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9"/>
        <w:spacing w:beforeLines="0" w:afterLines="0" w:line="240" w:lineRule="auto"/>
        <w:rPr>
          <w:rFonts w:hint="default" w:ascii="Times New Roman" w:hAnsi="Times New Roman" w:cs="Times New Roman"/>
          <w:sz w:val="32"/>
          <w:lang w:val="en-US" w:eastAsia="zh-CN"/>
        </w:rPr>
      </w:pPr>
      <w:r>
        <w:rPr>
          <w:rFonts w:hint="default" w:ascii="Times New Roman" w:hAnsi="Times New Roman" w:cs="Times New Roman"/>
          <w:sz w:val="32"/>
        </w:rPr>
        <mc:AlternateContent>
          <mc:Choice Requires="wps">
            <w:drawing>
              <wp:anchor distT="0" distB="0" distL="114300" distR="114300" simplePos="0" relativeHeight="251659264"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59264;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r>
        <w:rPr>
          <w:rFonts w:hint="default" w:ascii="Times New Roman" w:hAnsi="Times New Roman" w:cs="Times New Roman"/>
          <w:sz w:val="32"/>
          <w:lang w:val="en-US" w:eastAsia="zh-CN"/>
        </w:rPr>
        <w:t xml:space="preserve">                     </w:t>
      </w:r>
    </w:p>
    <w:p>
      <w:pPr>
        <w:pStyle w:val="9"/>
        <w:spacing w:beforeLines="0" w:afterLines="0" w:line="570" w:lineRule="exact"/>
        <w:ind w:left="0" w:leftChars="0" w:firstLine="0" w:firstLineChars="0"/>
        <w:jc w:val="right"/>
        <w:rPr>
          <w:rFonts w:hint="eastAsia" w:asciiTheme="majorEastAsia" w:hAnsiTheme="majorEastAsia" w:eastAsiaTheme="majorEastAsia" w:cstheme="majorEastAsia"/>
          <w:color w:val="000000" w:themeColor="text1"/>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川林资许准（乐）〔2024〕109号</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lang w:val="en-US" w:eastAsia="zh-CN"/>
        </w:rPr>
        <w:t>四川省林业和草原局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u w:val="none"/>
          <w:lang w:val="en-US" w:eastAsia="zh-CN"/>
        </w:rPr>
      </w:pPr>
      <w:r>
        <w:rPr>
          <w:rFonts w:hint="default" w:ascii="Times New Roman" w:hAnsi="Times New Roman" w:eastAsia="方正小标宋_GBK" w:cs="Times New Roman"/>
          <w:b w:val="0"/>
          <w:bCs w:val="0"/>
          <w:color w:val="auto"/>
          <w:w w:val="100"/>
          <w:sz w:val="44"/>
          <w:szCs w:val="44"/>
          <w:lang w:eastAsia="zh-CN"/>
        </w:rPr>
        <w:t>关于准予</w:t>
      </w:r>
      <w:r>
        <w:rPr>
          <w:rFonts w:hint="default" w:ascii="Times New Roman" w:hAnsi="Times New Roman" w:eastAsia="方正小标宋_GBK" w:cs="Times New Roman"/>
          <w:b w:val="0"/>
          <w:bCs w:val="0"/>
          <w:color w:val="auto"/>
          <w:w w:val="100"/>
          <w:sz w:val="44"/>
          <w:szCs w:val="44"/>
          <w:u w:val="none"/>
          <w:lang w:val="en-US" w:eastAsia="zh-CN"/>
        </w:rPr>
        <w:t>乐山市五通桥区2024年第6批次</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center"/>
        <w:textAlignment w:val="auto"/>
        <w:rPr>
          <w:rFonts w:hint="default" w:ascii="Times New Roman" w:hAnsi="Times New Roman" w:eastAsia="方正小标宋_GBK" w:cs="Times New Roman"/>
          <w:b w:val="0"/>
          <w:bCs w:val="0"/>
          <w:color w:val="auto"/>
          <w:w w:val="100"/>
          <w:sz w:val="44"/>
          <w:szCs w:val="44"/>
          <w:lang w:val="en-US" w:eastAsia="zh-CN"/>
        </w:rPr>
      </w:pPr>
      <w:r>
        <w:rPr>
          <w:rFonts w:hint="default" w:ascii="Times New Roman" w:hAnsi="Times New Roman" w:eastAsia="方正小标宋_GBK" w:cs="Times New Roman"/>
          <w:b w:val="0"/>
          <w:bCs w:val="0"/>
          <w:color w:val="auto"/>
          <w:w w:val="100"/>
          <w:sz w:val="44"/>
          <w:szCs w:val="44"/>
          <w:u w:val="none"/>
          <w:lang w:val="en-US" w:eastAsia="zh-CN"/>
        </w:rPr>
        <w:t>建设用地</w:t>
      </w:r>
      <w:r>
        <w:rPr>
          <w:rFonts w:hint="default" w:ascii="Times New Roman" w:hAnsi="Times New Roman" w:eastAsia="方正小标宋_GBK" w:cs="Times New Roman"/>
          <w:b w:val="0"/>
          <w:bCs w:val="0"/>
          <w:color w:val="auto"/>
          <w:w w:val="100"/>
          <w:sz w:val="44"/>
          <w:szCs w:val="44"/>
          <w:lang w:val="en-US" w:eastAsia="zh-CN"/>
        </w:rPr>
        <w:t>占用林地的行政许可决定</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0" w:leftChars="0" w:right="0" w:rightChars="0" w:firstLine="0" w:firstLineChars="0"/>
        <w:jc w:val="left"/>
        <w:textAlignment w:val="auto"/>
        <w:rPr>
          <w:rFonts w:hint="default" w:ascii="Times New Roman" w:hAnsi="Times New Roman" w:eastAsia="仿宋_GB2312" w:cs="Times New Roman"/>
          <w:b w:val="0"/>
          <w:bCs w:val="0"/>
          <w:color w:val="auto"/>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0" w:firstLineChars="0"/>
        <w:jc w:val="both"/>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五通桥区土地储备中心</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left="0" w:leftChars="0" w:right="0" w:rightChars="0" w:firstLine="640" w:firstLineChars="200"/>
        <w:jc w:val="both"/>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你单位提交的“矿藏勘查、开采以及其他各类工程建设占用林地新办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numPr>
          <w:ilvl w:val="0"/>
          <w:numId w:val="0"/>
        </w:numPr>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一、准予“乐山市五通桥区2024年第6批次建设用地”（项目代码：五府函</w:t>
      </w:r>
      <w:r>
        <w:rPr>
          <w:rFonts w:hint="eastAsia" w:ascii="仿宋_GB2312" w:hAnsi="仿宋_GB2312" w:eastAsia="仿宋_GB2312" w:cs="仿宋_GB2312"/>
          <w:b w:val="0"/>
          <w:bCs w:val="0"/>
          <w:color w:val="000000" w:themeColor="text1"/>
          <w:kern w:val="2"/>
          <w:sz w:val="32"/>
          <w:szCs w:val="32"/>
          <w:u w:val="none"/>
          <w:lang w:val="en-US" w:eastAsia="zh-CN"/>
          <w14:textFill>
            <w14:solidFill>
              <w14:schemeClr w14:val="tx1"/>
            </w14:solidFill>
          </w14:textFill>
        </w:rPr>
        <w:t>〔2024〕29号</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）占用乐山市林地3.2243公顷。按林地权属划分，国有0公顷、集体3.2243公顷；按行政区域划分，乐山市五通桥区3.2243公顷（金山镇3.2243公顷）。项目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占用林地的具体位置、面积和用途，须与经审核上报的《乐山市五通桥区2024年第6批次建设用地使用林地可行性报告》一致。若准予的面积与全省新一轮林地保护利用规划的法定林地数据不一致，你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须及时办理相关变更手续。</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b w:val="0"/>
          <w:bCs w:val="0"/>
          <w:color w:val="000000" w:themeColor="text1"/>
          <w:sz w:val="32"/>
          <w:szCs w:val="32"/>
          <w:u w:val="none"/>
          <w14:textFill>
            <w14:solidFill>
              <w14:schemeClr w14:val="tx1"/>
            </w14:solidFill>
          </w14:textFill>
        </w:rPr>
      </w:pPr>
      <w:bookmarkStart w:id="0" w:name="_GoBack"/>
      <w:bookmarkEnd w:id="0"/>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二</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严格</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按照</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审核同意的用地红线范围</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进行</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建设，不得擅自改变经审核同意的林地建设用途，不得用于别墅、高尔夫球场、未依法批准的各类园区及法定禁止用地项目建设。</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施工必须依法规范管理，</w:t>
      </w:r>
      <w:r>
        <w:rPr>
          <w:rFonts w:hint="eastAsia" w:ascii="仿宋_GB2312" w:hAnsi="仿宋_GB2312" w:eastAsia="仿宋_GB2312" w:cs="仿宋_GB2312"/>
          <w:b w:val="0"/>
          <w:bCs w:val="0"/>
          <w:color w:val="000000" w:themeColor="text1"/>
          <w:sz w:val="32"/>
          <w:szCs w:val="32"/>
          <w:u w:val="none"/>
          <w14:textFill>
            <w14:solidFill>
              <w14:schemeClr w14:val="tx1"/>
            </w14:solidFill>
          </w14:textFill>
        </w:rPr>
        <w:t>严禁超范围占用林地，杜绝非法采伐、破坏植被等行为，严防森林火灾。</w:t>
      </w:r>
    </w:p>
    <w:p>
      <w:pPr>
        <w:keepNext w:val="0"/>
        <w:keepLines w:val="0"/>
        <w:pageBreakBefore w:val="0"/>
        <w:kinsoku/>
        <w:wordWrap/>
        <w:overflowPunct/>
        <w:topLinePunct w:val="0"/>
        <w:autoSpaceDE/>
        <w:autoSpaceDN/>
        <w:bidi w:val="0"/>
        <w:adjustRightInd/>
        <w:snapToGrid/>
        <w:spacing w:beforeLines="0" w:afterLines="0" w:line="540" w:lineRule="exact"/>
        <w:ind w:firstLine="640" w:firstLineChars="200"/>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三、本</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项目若</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涉及林木采伐，你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须按照《中华人民共和国森林法》《中华人民共和国森林法实施条例》《四川省林木采伐管理办法》等规定办理相关手续。</w:t>
      </w:r>
    </w:p>
    <w:p>
      <w:pPr>
        <w:keepNext w:val="0"/>
        <w:keepLines w:val="0"/>
        <w:pageBreakBefore w:val="0"/>
        <w:widowControl/>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四、国家林业和草原局成都专员办及四川省林业和草原局等地方各级林草主管部门将依法对</w:t>
      </w:r>
      <w:r>
        <w:rPr>
          <w:rFonts w:hint="eastAsia" w:ascii="仿宋_GB2312" w:hAnsi="仿宋_GB2312" w:eastAsia="仿宋_GB2312" w:cs="仿宋_GB2312"/>
          <w:b w:val="0"/>
          <w:bCs w:val="0"/>
          <w:color w:val="000000" w:themeColor="text1"/>
          <w:sz w:val="32"/>
          <w:szCs w:val="32"/>
          <w:u w:val="none"/>
          <w:lang w:eastAsia="zh-CN"/>
          <w14:textFill>
            <w14:solidFill>
              <w14:schemeClr w14:val="tx1"/>
            </w14:solidFill>
          </w14:textFill>
        </w:rPr>
        <w:t>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单位</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从事</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本行政许可事项的活动进行监督检查，请予以配合支持。</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五、</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本</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决定书</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仅作为</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该</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办理</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建设用地审批手续的依据，不是</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开工建设和各类生态环境敏感区准入的依据。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因</w:t>
      </w:r>
      <w:r>
        <w:rPr>
          <w:rFonts w:hint="eastAsia" w:ascii="仿宋_GB2312" w:hAnsi="仿宋_GB2312" w:eastAsia="仿宋_GB2312" w:cs="仿宋_GB2312"/>
          <w:b w:val="0"/>
          <w:bCs w:val="0"/>
          <w:color w:val="000000" w:themeColor="text1"/>
          <w:kern w:val="2"/>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设计变更等导致所占用林地的位置、面积</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等发生变更的，</w:t>
      </w:r>
      <w:r>
        <w:rPr>
          <w:rFonts w:hint="eastAsia" w:ascii="仿宋_GB2312" w:hAnsi="仿宋_GB2312" w:eastAsia="仿宋_GB2312" w:cs="仿宋_GB2312"/>
          <w:b w:val="0"/>
          <w:bCs w:val="0"/>
          <w:color w:val="000000" w:themeColor="text1"/>
          <w:kern w:val="2"/>
          <w:sz w:val="32"/>
          <w:szCs w:val="32"/>
          <w:u w:val="none"/>
          <w:lang w:val="en-US" w:eastAsia="zh-CN" w:bidi="ar-SA"/>
          <w14:textFill>
            <w14:solidFill>
              <w14:schemeClr w14:val="tx1"/>
            </w14:solidFill>
          </w14:textFill>
        </w:rPr>
        <w:t>你</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单位须</w:t>
      </w:r>
      <w:r>
        <w:rPr>
          <w:rFonts w:hint="eastAsia" w:ascii="仿宋_GB2312" w:hAnsi="仿宋_GB2312" w:eastAsia="仿宋_GB2312" w:cs="仿宋_GB2312"/>
          <w:b w:val="0"/>
          <w:bCs w:val="0"/>
          <w:color w:val="000000" w:themeColor="text1"/>
          <w:sz w:val="32"/>
          <w:szCs w:val="32"/>
          <w:highlight w:val="none"/>
          <w:u w:val="none"/>
          <w:lang w:eastAsia="zh-CN"/>
          <w14:textFill>
            <w14:solidFill>
              <w14:schemeClr w14:val="tx1"/>
            </w14:solidFill>
          </w14:textFill>
        </w:rPr>
        <w:t>依法向我局申请办理变更手续。</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六、本决定书有效期为两年。</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在有效期内未取得建设用地批准文件但仍需继续占用的，须在有效期届满三十日前向我局申请延续。</w:t>
      </w:r>
      <w:r>
        <w:rPr>
          <w:rFonts w:hint="eastAsia" w:ascii="仿宋_GB2312" w:hAnsi="仿宋_GB2312" w:eastAsia="仿宋_GB2312" w:cs="仿宋_GB2312"/>
          <w:b w:val="0"/>
          <w:bCs w:val="0"/>
          <w:color w:val="000000" w:themeColor="text1"/>
          <w:sz w:val="32"/>
          <w:szCs w:val="32"/>
          <w:highlight w:val="none"/>
          <w:u w:val="none"/>
          <w:lang w:val="en-US" w:eastAsia="zh-CN" w:bidi="ar-SA"/>
          <w14:textFill>
            <w14:solidFill>
              <w14:schemeClr w14:val="tx1"/>
            </w14:solidFill>
          </w14:textFill>
        </w:rPr>
        <w:t>项目</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在有效期内未取得建设用地批准文件且未申请延续,或者虽提出申请但未获得批准的，本决定书自动失效。</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40" w:lineRule="exact"/>
        <w:ind w:right="0" w:rightChars="0" w:firstLine="640" w:firstLineChars="200"/>
        <w:jc w:val="both"/>
        <w:textAlignment w:val="auto"/>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受四川省林业和草原局委托，本行政许可由</w:t>
      </w:r>
      <w:r>
        <w:rPr>
          <w:rFonts w:hint="eastAsia" w:ascii="仿宋_GB2312" w:hAnsi="仿宋_GB2312" w:eastAsia="仿宋_GB2312" w:cs="仿宋_GB2312"/>
          <w:b w:val="0"/>
          <w:bCs w:val="0"/>
          <w:color w:val="000000" w:themeColor="text1"/>
          <w:sz w:val="32"/>
          <w:szCs w:val="32"/>
          <w:u w:val="none"/>
          <w:lang w:val="en-US" w:eastAsia="zh-CN" w:bidi="ar-SA"/>
          <w14:textFill>
            <w14:solidFill>
              <w14:schemeClr w14:val="tx1"/>
            </w14:solidFill>
          </w14:textFill>
        </w:rPr>
        <w:t>乐山市林业和园林局</w:t>
      </w:r>
      <w:r>
        <w:rPr>
          <w:rFonts w:hint="eastAsia" w:ascii="仿宋_GB2312" w:hAnsi="仿宋_GB2312" w:eastAsia="仿宋_GB2312" w:cs="仿宋_GB2312"/>
          <w:b w:val="0"/>
          <w:bCs w:val="0"/>
          <w:color w:val="000000" w:themeColor="text1"/>
          <w:sz w:val="32"/>
          <w:szCs w:val="32"/>
          <w:u w:val="none"/>
          <w:lang w:val="en-US" w:eastAsia="zh-CN"/>
          <w14:textFill>
            <w14:solidFill>
              <w14:schemeClr w14:val="tx1"/>
            </w14:solidFill>
          </w14:textFill>
        </w:rPr>
        <w:t>依法受理、审查和决定。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四川省</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林业和草原局</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right"/>
        <w:textAlignment w:val="auto"/>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20</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24</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年</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11</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月</w:t>
      </w:r>
      <w:r>
        <w:rPr>
          <w:rFonts w:hint="eastAsia" w:ascii="仿宋_GB2312" w:hAnsi="仿宋_GB2312" w:eastAsia="仿宋_GB2312" w:cs="仿宋_GB2312"/>
          <w:b w:val="0"/>
          <w:bCs w:val="0"/>
          <w:color w:val="000000" w:themeColor="text1"/>
          <w:sz w:val="32"/>
          <w:szCs w:val="32"/>
          <w:highlight w:val="none"/>
          <w:u w:val="none"/>
          <w:lang w:val="en-US" w:eastAsia="zh-CN"/>
          <w14:textFill>
            <w14:solidFill>
              <w14:schemeClr w14:val="tx1"/>
            </w14:solidFill>
          </w14:textFill>
        </w:rPr>
        <w:t>21</w:t>
      </w:r>
      <w:r>
        <w:rPr>
          <w:rFonts w:hint="eastAsia" w:ascii="仿宋_GB2312" w:hAnsi="仿宋_GB2312" w:eastAsia="仿宋_GB2312" w:cs="仿宋_GB2312"/>
          <w:b w:val="0"/>
          <w:bCs w:val="0"/>
          <w:color w:val="000000" w:themeColor="text1"/>
          <w:sz w:val="32"/>
          <w:szCs w:val="32"/>
          <w:highlight w:val="none"/>
          <w:u w:val="none"/>
          <w14:textFill>
            <w14:solidFill>
              <w14:schemeClr w14:val="tx1"/>
            </w14:solidFill>
          </w14:textFill>
        </w:rPr>
        <w:t>日</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default" w:ascii="Times New Roman" w:hAnsi="Times New Roman" w:eastAsia="华文仿宋" w:cs="Times New Roman"/>
          <w:b w:val="0"/>
          <w:bCs w:val="0"/>
          <w:color w:val="000000" w:themeColor="text1"/>
          <w:spacing w:val="0"/>
          <w:sz w:val="28"/>
          <w:szCs w:val="28"/>
          <w:u w:val="single"/>
          <w:lang w:val="en-US" w:eastAsia="zh-CN"/>
          <w14:textFill>
            <w14:solidFill>
              <w14:schemeClr w14:val="tx1"/>
            </w14:solidFill>
          </w14:textFill>
        </w:rPr>
      </w:pPr>
      <w:r>
        <w:rPr>
          <w:rFonts w:hint="eastAsia" w:eastAsia="华文仿宋" w:cs="Times New Roman"/>
          <w:b w:val="0"/>
          <w:bCs w:val="0"/>
          <w:color w:val="000000" w:themeColor="text1"/>
          <w:spacing w:val="0"/>
          <w:sz w:val="28"/>
          <w:szCs w:val="28"/>
          <w:u w:val="single"/>
          <w:lang w:val="en-US" w:eastAsia="zh-CN"/>
          <w14:textFill>
            <w14:solidFill>
              <w14:schemeClr w14:val="tx1"/>
            </w14:solidFill>
          </w14:textFill>
        </w:rPr>
        <w:t xml:space="preserve">                                                                    </w:t>
      </w:r>
    </w:p>
    <w:p>
      <w:pPr>
        <w:pStyle w:val="6"/>
        <w:keepNext w:val="0"/>
        <w:keepLines w:val="0"/>
        <w:pageBreakBefore w:val="0"/>
        <w:widowControl w:val="0"/>
        <w:kinsoku/>
        <w:wordWrap/>
        <w:overflowPunct/>
        <w:topLinePunct w:val="0"/>
        <w:autoSpaceDE/>
        <w:autoSpaceDN/>
        <w:bidi w:val="0"/>
        <w:adjustRightInd/>
        <w:snapToGrid/>
        <w:spacing w:beforeLines="0" w:afterLines="0" w:line="400" w:lineRule="exact"/>
        <w:ind w:left="840" w:leftChars="0" w:right="0" w:rightChars="0" w:hanging="840" w:hangingChars="300"/>
        <w:textAlignment w:val="auto"/>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pacing w:val="0"/>
          <w:sz w:val="28"/>
          <w:szCs w:val="28"/>
          <w:u w:val="none"/>
          <w14:textFill>
            <w14:solidFill>
              <w14:schemeClr w14:val="tx1"/>
            </w14:solidFill>
          </w14:textFill>
        </w:rPr>
        <w:t>抄送：</w:t>
      </w:r>
      <w:r>
        <w:rPr>
          <w:rFonts w:hint="eastAsia" w:asciiTheme="majorEastAsia" w:hAnsiTheme="majorEastAsia" w:eastAsiaTheme="majorEastAsia" w:cstheme="majorEastAsia"/>
          <w:color w:val="000000" w:themeColor="text1"/>
          <w:spacing w:val="0"/>
          <w:sz w:val="28"/>
          <w:szCs w:val="28"/>
          <w:u w:val="none"/>
          <w14:textFill>
            <w14:solidFill>
              <w14:schemeClr w14:val="tx1"/>
            </w14:solidFill>
          </w14:textFill>
        </w:rPr>
        <w:t>国家林业和草原局成都专员办，</w:t>
      </w:r>
      <w:r>
        <w:rPr>
          <w:rFonts w:hint="eastAsia" w:asciiTheme="majorEastAsia" w:hAnsiTheme="majorEastAsia" w:eastAsiaTheme="majorEastAsia" w:cstheme="majorEastAsia"/>
          <w:color w:val="000000" w:themeColor="text1"/>
          <w:spacing w:val="0"/>
          <w:sz w:val="28"/>
          <w:szCs w:val="28"/>
          <w:u w:val="none"/>
          <w:lang w:eastAsia="zh-CN"/>
          <w14:textFill>
            <w14:solidFill>
              <w14:schemeClr w14:val="tx1"/>
            </w14:solidFill>
          </w14:textFill>
        </w:rPr>
        <w:t>四川省</w:t>
      </w:r>
      <w:r>
        <w:rPr>
          <w:rFonts w:hint="eastAsia" w:asciiTheme="majorEastAsia" w:hAnsiTheme="majorEastAsia" w:eastAsiaTheme="majorEastAsia" w:cstheme="majorEastAsia"/>
          <w:color w:val="000000" w:themeColor="text1"/>
          <w:spacing w:val="0"/>
          <w:sz w:val="28"/>
          <w:szCs w:val="28"/>
          <w:u w:val="none"/>
          <w:lang w:val="en-US" w:eastAsia="zh-CN"/>
          <w14:textFill>
            <w14:solidFill>
              <w14:schemeClr w14:val="tx1"/>
            </w14:solidFill>
          </w14:textFill>
        </w:rPr>
        <w:t>林业和草原局，乐山市自</w:t>
      </w:r>
    </w:p>
    <w:p>
      <w:pPr>
        <w:pStyle w:val="6"/>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right="0" w:rightChars="0" w:hanging="840" w:hangingChars="300"/>
        <w:textAlignment w:val="auto"/>
      </w:pP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 xml:space="preserve">      然资源和规划局，乐山市五通桥区自然资源局。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2000000000000000000"/>
    <w:charset w:val="86"/>
    <w:family w:val="script"/>
    <w:pitch w:val="default"/>
    <w:sig w:usb0="00000000" w:usb1="00000000" w:usb2="00000000" w:usb3="00000000" w:csb0="0000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4"/>
                      <w:rPr>
                        <w:rFonts w:hint="eastAsia" w:asciiTheme="majorEastAsia" w:hAnsiTheme="majorEastAsia" w:eastAsiaTheme="majorEastAsia" w:cstheme="majorEastAsia"/>
                        <w:sz w:val="28"/>
                        <w:szCs w:val="28"/>
                        <w:lang w:eastAsia="zh-CN"/>
                      </w:rPr>
                    </w:pPr>
                    <w:r>
                      <w:rPr>
                        <w:rFonts w:hint="eastAsia" w:asciiTheme="majorEastAsia" w:hAnsiTheme="majorEastAsia" w:eastAsiaTheme="majorEastAsia" w:cstheme="majorEastAsia"/>
                        <w:sz w:val="28"/>
                        <w:szCs w:val="28"/>
                        <w:lang w:eastAsia="zh-CN"/>
                      </w:rPr>
                      <w:fldChar w:fldCharType="begin"/>
                    </w:r>
                    <w:r>
                      <w:rPr>
                        <w:rFonts w:hint="eastAsia" w:asciiTheme="majorEastAsia" w:hAnsiTheme="majorEastAsia" w:eastAsiaTheme="majorEastAsia" w:cstheme="majorEastAsia"/>
                        <w:sz w:val="28"/>
                        <w:szCs w:val="28"/>
                        <w:lang w:eastAsia="zh-CN"/>
                      </w:rPr>
                      <w:instrText xml:space="preserve"> PAGE  \* MERGEFORMAT </w:instrText>
                    </w:r>
                    <w:r>
                      <w:rPr>
                        <w:rFonts w:hint="eastAsia" w:asciiTheme="majorEastAsia" w:hAnsiTheme="majorEastAsia" w:eastAsiaTheme="majorEastAsia" w:cstheme="majorEastAsia"/>
                        <w:sz w:val="28"/>
                        <w:szCs w:val="28"/>
                        <w:lang w:eastAsia="zh-CN"/>
                      </w:rPr>
                      <w:fldChar w:fldCharType="separate"/>
                    </w:r>
                    <w:r>
                      <w:rPr>
                        <w:rFonts w:hint="eastAsia" w:asciiTheme="majorEastAsia" w:hAnsiTheme="majorEastAsia" w:eastAsiaTheme="majorEastAsia" w:cstheme="majorEastAsia"/>
                        <w:sz w:val="28"/>
                        <w:szCs w:val="28"/>
                        <w:lang w:eastAsia="zh-CN"/>
                      </w:rPr>
                      <w:t>1</w:t>
                    </w:r>
                    <w:r>
                      <w:rPr>
                        <w:rFonts w:hint="eastAsia" w:asciiTheme="majorEastAsia" w:hAnsiTheme="majorEastAsia" w:eastAsiaTheme="majorEastAsia" w:cstheme="maj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6C762C4F"/>
    <w:rsid w:val="11FB58B0"/>
    <w:rsid w:val="25881488"/>
    <w:rsid w:val="4A7E3CB7"/>
    <w:rsid w:val="4CA4668A"/>
    <w:rsid w:val="4E050584"/>
    <w:rsid w:val="52597280"/>
    <w:rsid w:val="6C762C4F"/>
    <w:rsid w:val="6FDFD6DE"/>
    <w:rsid w:val="709113B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8">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Indent"/>
    <w:basedOn w:val="1"/>
    <w:next w:val="2"/>
    <w:qFormat/>
    <w:uiPriority w:val="0"/>
    <w:pPr>
      <w:spacing w:line="640" w:lineRule="exact"/>
      <w:ind w:firstLine="615"/>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Body Text First Indent 2"/>
    <w:basedOn w:val="3"/>
    <w:next w:val="1"/>
    <w:qFormat/>
    <w:uiPriority w:val="0"/>
    <w:pPr>
      <w:ind w:firstLine="420"/>
    </w:pPr>
  </w:style>
  <w:style w:type="paragraph" w:customStyle="1" w:styleId="9">
    <w:name w:val="UserStyle_0"/>
    <w:basedOn w:val="10"/>
    <w:qFormat/>
    <w:uiPriority w:val="0"/>
    <w:pPr>
      <w:spacing w:line="567" w:lineRule="exact"/>
      <w:ind w:firstLine="200" w:firstLineChars="200"/>
    </w:pPr>
  </w:style>
  <w:style w:type="paragraph" w:customStyle="1" w:styleId="10">
    <w:name w:val="UserStyle_1"/>
    <w:basedOn w:val="11"/>
    <w:qFormat/>
    <w:uiPriority w:val="0"/>
    <w:pPr>
      <w:spacing w:line="567" w:lineRule="atLeast"/>
      <w:jc w:val="both"/>
    </w:pPr>
    <w:rPr>
      <w:rFonts w:eastAsia="方正仿宋_GBK"/>
      <w:sz w:val="32"/>
    </w:rPr>
  </w:style>
  <w:style w:type="paragraph" w:customStyle="1" w:styleId="11">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964</Words>
  <Characters>1012</Characters>
  <Lines>0</Lines>
  <Paragraphs>0</Paragraphs>
  <TotalTime>5</TotalTime>
  <ScaleCrop>false</ScaleCrop>
  <LinksUpToDate>false</LinksUpToDate>
  <CharactersWithSpaces>1037</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2024-08-30T09:59:00Z</dcterms:created>
  <dc:creator>涵 花 花 </dc:creator>
  <cp:lastModifiedBy>Administrator</cp:lastModifiedBy>
  <cp:lastPrinted>2024-11-25T03:09:25Z</cp:lastPrinted>
  <dcterms:modified xsi:type="dcterms:W3CDTF">2024-11-25T06:34:00Z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720AE602B5EC424EBBA1D8E0CC2A8F53_11</vt:lpwstr>
  </property>
</Properties>
</file>