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川林资许准（乐）〔2024〕86号</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沙湾轸溪镇寨子村2024年</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第3</w:t>
      </w:r>
      <w:r>
        <w:rPr>
          <w:rFonts w:hint="eastAsia" w:eastAsia="方正小标宋_GBK" w:cs="Times New Roman"/>
          <w:b w:val="0"/>
          <w:bCs w:val="0"/>
          <w:color w:val="auto"/>
          <w:w w:val="100"/>
          <w:sz w:val="44"/>
          <w:szCs w:val="44"/>
          <w:u w:val="none"/>
          <w:lang w:val="en-US" w:eastAsia="zh-CN"/>
        </w:rPr>
        <w:t>季度</w:t>
      </w:r>
      <w:r>
        <w:rPr>
          <w:rFonts w:hint="default" w:ascii="Times New Roman" w:hAnsi="Times New Roman" w:eastAsia="方正小标宋_GBK" w:cs="Times New Roman"/>
          <w:b w:val="0"/>
          <w:bCs w:val="0"/>
          <w:color w:val="auto"/>
          <w:w w:val="100"/>
          <w:sz w:val="44"/>
          <w:szCs w:val="44"/>
          <w:u w:val="none"/>
          <w:lang w:val="en-US" w:eastAsia="zh-CN"/>
        </w:rPr>
        <w:t>农村居民宅基地项目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rPr>
          <w:rFonts w:hint="eastAsia" w:ascii="仿宋" w:hAnsi="仿宋" w:eastAsia="仿宋" w:cs="仿宋"/>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乐山市沙湾区自然资源局</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沙湾轸溪镇寨子村2024年第3季度农村居民宅基地项目”（项目代码：农村宅基地和建房（规划许可）审批表）占用乐山市林地0.2093公顷。按林地权属划分，国有0公顷、集体0.2093公顷；按行政区域划分，乐山市沙湾区0.2093公顷（轸溪镇0.2093公顷）。项目</w:t>
      </w:r>
      <w:r>
        <w:rPr>
          <w:rFonts w:hint="eastAsia" w:ascii="仿宋" w:hAnsi="仿宋" w:eastAsia="仿宋" w:cs="仿宋"/>
          <w:b w:val="0"/>
          <w:bCs w:val="0"/>
          <w:color w:val="auto"/>
          <w:sz w:val="32"/>
          <w:szCs w:val="32"/>
          <w:u w:val="none"/>
          <w:lang w:val="en-US" w:eastAsia="zh-CN"/>
        </w:rPr>
        <w:t>占用林地的具体位置、面积和用途，须与经审核上报的《沙湾轸溪镇寨子村2024年第3季度农村居民宅基地项目使用林地现状调查表》一致。若准予的面积与全省新一轮林地保护利用规划的法定林地数据不一致，你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须及时办理相关变更手续。</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bidi="ar-SA"/>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涉及林木采伐，你单位须按照《中华人民共和国森林法》《中华人民共和国森林法实施条例》《四川省林木采伐管理办法》等规定办理相关手续。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eastAsia="zh-CN"/>
        </w:rPr>
        <w:t>单位从事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kern w:val="2"/>
          <w:sz w:val="32"/>
          <w:szCs w:val="32"/>
          <w:highlight w:val="none"/>
          <w:u w:val="none"/>
          <w:lang w:val="en-US" w:eastAsia="zh-CN" w:bidi="ar-SA"/>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bookmarkStart w:id="0" w:name="_GoBack"/>
      <w:bookmarkEnd w:id="0"/>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16</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然资源和规划局，乐山市沙湾区自然资源局。                </w:t>
      </w:r>
    </w:p>
    <w:sectPr>
      <w:footerReference r:id="rId3" w:type="default"/>
      <w:pgSz w:w="11906" w:h="16838"/>
      <w:pgMar w:top="1327" w:right="1531" w:bottom="1327"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D8411C4-DD24-46BF-96AC-605CAC52C691}"/>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B69250BE-49FB-437C-8BD5-7FA3003710CC}"/>
  </w:font>
  <w:font w:name="仿宋">
    <w:panose1 w:val="02010609060101010101"/>
    <w:charset w:val="86"/>
    <w:family w:val="auto"/>
    <w:pitch w:val="default"/>
    <w:sig w:usb0="800002BF" w:usb1="38CF7CFA" w:usb2="00000016" w:usb3="00000000" w:csb0="00040001" w:csb1="00000000"/>
    <w:embedRegular r:id="rId3" w:fontKey="{F6BACE7E-289A-426B-B761-7133A0659BA7}"/>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embedRegular r:id="rId4" w:fontKey="{776FB939-6CE9-448C-974A-3D4FAD90BDCD}"/>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AB47A55"/>
    <w:rsid w:val="269E4678"/>
    <w:rsid w:val="3ED42345"/>
    <w:rsid w:val="44BE3A56"/>
    <w:rsid w:val="45A939CB"/>
    <w:rsid w:val="47E565AF"/>
    <w:rsid w:val="4B091ED8"/>
    <w:rsid w:val="4CA4668A"/>
    <w:rsid w:val="5B446886"/>
    <w:rsid w:val="66785892"/>
    <w:rsid w:val="68D400F8"/>
    <w:rsid w:val="6C762C4F"/>
    <w:rsid w:val="6F537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996</Words>
  <Characters>1031</Characters>
  <Lines>0</Lines>
  <Paragraphs>0</Paragraphs>
  <TotalTime>3</TotalTime>
  <ScaleCrop>false</ScaleCrop>
  <LinksUpToDate>false</LinksUpToDate>
  <CharactersWithSpaces>1056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dcterms:modified xsi:type="dcterms:W3CDTF">2024-10-21T01:32:52Z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