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川林资许准（乐）〔2024〕98号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五通桥区春芽茶厂新建项目</w:t>
      </w:r>
      <w:r>
        <w:rPr>
          <w:rFonts w:hint="default" w:ascii="Times New Roman" w:hAnsi="Times New Roman" w:eastAsia="方正小标宋_GBK" w:cs="Times New Roman"/>
          <w:b w:val="0"/>
          <w:bCs w:val="0"/>
          <w:color w:val="auto"/>
          <w:w w:val="100"/>
          <w:sz w:val="44"/>
          <w:szCs w:val="44"/>
          <w:lang w:val="en-US" w:eastAsia="zh-CN"/>
        </w:rPr>
        <w:t>占</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left"/>
        <w:textAlignment w:val="auto"/>
        <w:rPr>
          <w:rFonts w:hint="eastAsia" w:ascii="仿宋" w:hAnsi="仿宋" w:eastAsia="仿宋" w:cs="仿宋"/>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0" w:firstLineChars="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乐山市五通桥区春芽茶厂</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准予“五通桥区春芽茶厂新建项目”（项目代码：川投资备【2407-511112-04-01-383799】FGQB-0095号）占用乐山市林地0.0312公顷。按林地权属划分，国有0公顷、集体0.0312公顷；按行政区域划分，乐山市五通桥区0.0312公顷（金山镇0.0312公顷）。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占用林地的具体位置、面积和用途，须与经审核上报的《五通桥区春芽茶厂新建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二</w:t>
      </w:r>
      <w:r>
        <w:rPr>
          <w:rFonts w:hint="eastAsia" w:ascii="仿宋" w:hAnsi="仿宋" w:eastAsia="仿宋" w:cs="仿宋"/>
          <w:color w:val="000000" w:themeColor="text1"/>
          <w:sz w:val="32"/>
          <w:szCs w:val="32"/>
          <w:u w:val="none"/>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color w:val="000000" w:themeColor="text1"/>
          <w:sz w:val="32"/>
          <w:szCs w:val="32"/>
          <w:u w:val="none"/>
          <w:lang w:val="en-US" w:eastAsia="zh-CN"/>
          <w14:textFill>
            <w14:solidFill>
              <w14:schemeClr w14:val="tx1"/>
            </w14:solidFill>
          </w14:textFill>
        </w:rPr>
        <w:t>须</w:t>
      </w:r>
      <w:r>
        <w:rPr>
          <w:rFonts w:hint="eastAsia" w:ascii="仿宋" w:hAnsi="仿宋" w:eastAsia="仿宋" w:cs="仿宋"/>
          <w:color w:val="000000" w:themeColor="text1"/>
          <w:sz w:val="32"/>
          <w:szCs w:val="32"/>
          <w:u w:val="none"/>
          <w14:textFill>
            <w14:solidFill>
              <w14:schemeClr w14:val="tx1"/>
            </w14:solidFill>
          </w14:textFill>
        </w:rPr>
        <w:t>严格</w:t>
      </w:r>
      <w:r>
        <w:rPr>
          <w:rFonts w:hint="eastAsia" w:ascii="仿宋" w:hAnsi="仿宋" w:eastAsia="仿宋" w:cs="仿宋"/>
          <w:color w:val="000000" w:themeColor="text1"/>
          <w:sz w:val="32"/>
          <w:szCs w:val="32"/>
          <w:u w:val="none"/>
          <w:lang w:val="en-US" w:eastAsia="zh-CN"/>
          <w14:textFill>
            <w14:solidFill>
              <w14:schemeClr w14:val="tx1"/>
            </w14:solidFill>
          </w14:textFill>
        </w:rPr>
        <w:t>按照</w:t>
      </w:r>
      <w:r>
        <w:rPr>
          <w:rFonts w:hint="eastAsia" w:ascii="仿宋" w:hAnsi="仿宋" w:eastAsia="仿宋" w:cs="仿宋"/>
          <w:color w:val="000000" w:themeColor="text1"/>
          <w:sz w:val="32"/>
          <w:szCs w:val="32"/>
          <w:u w:val="none"/>
          <w14:textFill>
            <w14:solidFill>
              <w14:schemeClr w14:val="tx1"/>
            </w14:solidFill>
          </w14:textFill>
        </w:rPr>
        <w:t>审核同意的用地红线范围</w:t>
      </w:r>
      <w:r>
        <w:rPr>
          <w:rFonts w:hint="eastAsia" w:ascii="仿宋" w:hAnsi="仿宋" w:eastAsia="仿宋" w:cs="仿宋"/>
          <w:color w:val="000000" w:themeColor="text1"/>
          <w:sz w:val="32"/>
          <w:szCs w:val="32"/>
          <w:u w:val="none"/>
          <w:lang w:val="en-US" w:eastAsia="zh-CN"/>
          <w14:textFill>
            <w14:solidFill>
              <w14:schemeClr w14:val="tx1"/>
            </w14:solidFill>
          </w14:textFill>
        </w:rPr>
        <w:t>进行</w:t>
      </w:r>
      <w:r>
        <w:rPr>
          <w:rFonts w:hint="eastAsia" w:ascii="仿宋" w:hAnsi="仿宋" w:eastAsia="仿宋" w:cs="仿宋"/>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 w:hAnsi="仿宋" w:eastAsia="仿宋" w:cs="仿宋"/>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u w:val="none"/>
          <w:lang w:val="en-US" w:eastAsia="zh-CN"/>
          <w14:textFill>
            <w14:solidFill>
              <w14:schemeClr w14:val="tx1"/>
            </w14:solidFill>
          </w14:textFill>
        </w:rPr>
        <w:t>施工必须依法规范管理，</w:t>
      </w:r>
      <w:r>
        <w:rPr>
          <w:rFonts w:hint="eastAsia" w:ascii="仿宋" w:hAnsi="仿宋" w:eastAsia="仿宋" w:cs="仿宋"/>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三、本</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涉及林木采伐，你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从事</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五、</w:t>
      </w:r>
      <w:r>
        <w:rPr>
          <w:rFonts w:hint="eastAsia" w:ascii="仿宋" w:hAnsi="仿宋" w:eastAsia="仿宋" w:cs="仿宋"/>
          <w:color w:val="000000" w:themeColor="text1"/>
          <w:sz w:val="32"/>
          <w:szCs w:val="32"/>
          <w:highlight w:val="none"/>
          <w:u w:val="none"/>
          <w14:textFill>
            <w14:solidFill>
              <w14:schemeClr w14:val="tx1"/>
            </w14:solidFill>
          </w14:textFill>
        </w:rPr>
        <w:t>本</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决定书</w:t>
      </w:r>
      <w:r>
        <w:rPr>
          <w:rFonts w:hint="eastAsia" w:ascii="仿宋" w:hAnsi="仿宋" w:eastAsia="仿宋" w:cs="仿宋"/>
          <w:color w:val="000000" w:themeColor="text1"/>
          <w:sz w:val="32"/>
          <w:szCs w:val="32"/>
          <w:highlight w:val="none"/>
          <w:u w:val="none"/>
          <w14:textFill>
            <w14:solidFill>
              <w14:schemeClr w14:val="tx1"/>
            </w14:solidFill>
          </w14:textFill>
        </w:rPr>
        <w:t>仅作为</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该</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14:textFill>
            <w14:solidFill>
              <w14:schemeClr w14:val="tx1"/>
            </w14:solidFill>
          </w14:textFill>
        </w:rPr>
        <w:t>办理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建设用地审批手续的依据，不是</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等发生变更的，</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单位须</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bidi="ar-SA"/>
          <w14:textFill>
            <w14:solidFill>
              <w14:schemeClr w14:val="tx1"/>
            </w14:solidFill>
          </w14:textFill>
        </w:rPr>
        <w:t>乐山市林业和园林局</w:t>
      </w:r>
      <w:r>
        <w:rPr>
          <w:rFonts w:hint="eastAsia" w:ascii="仿宋" w:hAnsi="仿宋" w:eastAsia="仿宋" w:cs="仿宋"/>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beforeLines="0" w:afterLines="0" w:line="600" w:lineRule="exact"/>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p>
    <w:p>
      <w:pPr>
        <w:pStyle w:val="7"/>
        <w:keepNext w:val="0"/>
        <w:keepLines w:val="0"/>
        <w:pageBreakBefore w:val="0"/>
        <w:kinsoku/>
        <w:wordWrap/>
        <w:overflowPunct/>
        <w:topLinePunct w:val="0"/>
        <w:autoSpaceDE/>
        <w:autoSpaceDN/>
        <w:bidi w:val="0"/>
        <w:adjustRightInd/>
        <w:snapToGrid/>
        <w:spacing w:beforeLines="0" w:afterLines="0" w:line="600" w:lineRule="exact"/>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p>
    <w:p>
      <w:pPr>
        <w:rPr>
          <w:rFonts w:hint="eastAsia" w:ascii="仿宋" w:hAnsi="仿宋" w:eastAsia="仿宋" w:cs="仿宋"/>
          <w:color w:val="000000" w:themeColor="text1"/>
          <w:sz w:val="32"/>
          <w:szCs w:val="32"/>
          <w:u w:val="none"/>
          <w:lang w:val="en-US" w:eastAsia="zh-CN"/>
          <w14:textFill>
            <w14:solidFill>
              <w14:schemeClr w14:val="tx1"/>
            </w14:solidFill>
          </w14:textFill>
        </w:rPr>
      </w:pPr>
    </w:p>
    <w:p>
      <w:pPr>
        <w:rPr>
          <w:rFonts w:hint="eastAsia" w:ascii="仿宋" w:hAnsi="仿宋" w:eastAsia="仿宋" w:cs="仿宋"/>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14:textFill>
            <w14:solidFill>
              <w14:schemeClr w14:val="tx1"/>
            </w14:solidFill>
          </w14:textFill>
        </w:rPr>
        <w:t>20</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10</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29</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single"/>
          <w:lang w:val="en-US" w:eastAsia="zh-CN"/>
          <w14:textFill>
            <w14:solidFill>
              <w14:schemeClr w14:val="tx1"/>
            </w14:solidFill>
          </w14:textFill>
        </w:rPr>
      </w:pPr>
      <w:bookmarkStart w:id="0" w:name="_GoBack"/>
      <w:bookmarkEnd w:id="0"/>
      <w:r>
        <w:rPr>
          <w:rFonts w:hint="eastAsia" w:eastAsia="仿宋_GB2312" w:cs="Times New Roman"/>
          <w:b w:val="0"/>
          <w:bCs w:val="0"/>
          <w:color w:val="000000" w:themeColor="text1"/>
          <w:sz w:val="32"/>
          <w:szCs w:val="32"/>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hanging="840" w:hangingChars="300"/>
        <w:jc w:val="left"/>
        <w:textAlignment w:val="auto"/>
        <w:outlineLvl w:val="9"/>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抄送：</w:t>
      </w:r>
      <w:r>
        <w:rPr>
          <w:rFonts w:hint="eastAsia" w:asciiTheme="majorEastAsia" w:hAnsiTheme="majorEastAsia" w:eastAsiaTheme="majorEastAsia" w:cstheme="majorEastAsia"/>
          <w:b w:val="0"/>
          <w:bCs w:val="0"/>
          <w:color w:val="000000" w:themeColor="text1"/>
          <w:sz w:val="28"/>
          <w:szCs w:val="28"/>
          <w:u w:val="none"/>
          <w14:textFill>
            <w14:solidFill>
              <w14:schemeClr w14:val="tx1"/>
            </w14:solidFill>
          </w14:textFill>
        </w:rPr>
        <w:t>国家林业和草原局森林资源管理司</w:t>
      </w: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，国家林业和草原局成都专</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hanging="840" w:hangingChars="300"/>
        <w:jc w:val="left"/>
        <w:textAlignment w:val="auto"/>
        <w:outlineLvl w:val="9"/>
      </w:pP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 xml:space="preserve">      </w:t>
      </w:r>
      <w:r>
        <w:rPr>
          <w:rFonts w:hint="eastAsia" w:asciiTheme="majorEastAsia" w:hAnsiTheme="majorEastAsia" w:eastAsiaTheme="majorEastAsia" w:cstheme="majorEastAsia"/>
          <w:b w:val="0"/>
          <w:bCs w:val="0"/>
          <w:color w:val="000000" w:themeColor="text1"/>
          <w:sz w:val="28"/>
          <w:szCs w:val="28"/>
          <w:u w:val="single"/>
          <w:lang w:eastAsia="zh-CN"/>
          <w14:textFill>
            <w14:solidFill>
              <w14:schemeClr w14:val="tx1"/>
            </w14:solidFill>
          </w14:textFill>
        </w:rPr>
        <w:t>员办，</w:t>
      </w: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乐山市自然资源和规划局，乐山市五通桥区自然资源局</w:t>
      </w: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EC642B1-E5D8-4C22-B99F-8566F507BED4}"/>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FAB93884-BC60-4B88-A182-A83C1F12847E}"/>
  </w:font>
  <w:font w:name="仿宋">
    <w:panose1 w:val="02010609060101010101"/>
    <w:charset w:val="86"/>
    <w:family w:val="auto"/>
    <w:pitch w:val="default"/>
    <w:sig w:usb0="800002BF" w:usb1="38CF7CFA" w:usb2="00000016" w:usb3="00000000" w:csb0="00040001" w:csb1="00000000"/>
    <w:embedRegular r:id="rId3" w:fontKey="{8996EC00-776C-4522-B569-6B5D87968626}"/>
  </w:font>
  <w:font w:name="仿宋_GB2312">
    <w:panose1 w:val="02010609030101010101"/>
    <w:charset w:val="86"/>
    <w:family w:val="auto"/>
    <w:pitch w:val="default"/>
    <w:sig w:usb0="00000001" w:usb1="080E0000" w:usb2="00000000" w:usb3="00000000" w:csb0="00040000" w:csb1="00000000"/>
    <w:embedRegular r:id="rId4" w:fontKey="{F5A897A9-B878-4406-B5C1-6116FF35946B}"/>
  </w:font>
  <w:font w:name="方正小标宋简体">
    <w:panose1 w:val="02010601030101010101"/>
    <w:charset w:val="86"/>
    <w:family w:val="auto"/>
    <w:pitch w:val="default"/>
    <w:sig w:usb0="00000001" w:usb1="080E0000" w:usb2="00000000" w:usb3="00000000" w:csb0="00040000" w:csb1="00000000"/>
    <w:embedRegular r:id="rId5" w:fontKey="{6E74C9BF-5A14-464A-A4DF-939F58C385C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27C3597"/>
    <w:rsid w:val="0F541E1A"/>
    <w:rsid w:val="116C775D"/>
    <w:rsid w:val="14676633"/>
    <w:rsid w:val="18B42CF3"/>
    <w:rsid w:val="23C62375"/>
    <w:rsid w:val="307D29C3"/>
    <w:rsid w:val="3DAA3A4B"/>
    <w:rsid w:val="51803B17"/>
    <w:rsid w:val="518E4531"/>
    <w:rsid w:val="5C5D420F"/>
    <w:rsid w:val="6C762C4F"/>
    <w:rsid w:val="6F713D14"/>
    <w:rsid w:val="77D6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w:basedOn w:val="1"/>
    <w:qFormat/>
    <w:uiPriority w:val="0"/>
    <w:pPr>
      <w:spacing w:after="120" w:afterLines="0"/>
    </w:pPr>
  </w:style>
  <w:style w:type="paragraph" w:styleId="4">
    <w:name w:val="Body Text Indent"/>
    <w:basedOn w:val="1"/>
    <w:next w:val="2"/>
    <w:qFormat/>
    <w:uiPriority w:val="0"/>
    <w:pPr>
      <w:spacing w:line="640" w:lineRule="exact"/>
      <w:ind w:firstLine="615"/>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957</Words>
  <Characters>1014</Characters>
  <Lines>0</Lines>
  <Paragraphs>0</Paragraphs>
  <TotalTime>1</TotalTime>
  <ScaleCrop>false</ScaleCrop>
  <LinksUpToDate>false</LinksUpToDate>
  <CharactersWithSpaces>1040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2024-09-06T02:41:00Z</cp:lastPrinted>
  <dcterms:modified xsi:type="dcterms:W3CDTF">2024-11-01T02:44:35Z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