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80"/>
          <w:szCs w:val="80"/>
        </w:rPr>
      </w:pPr>
      <w:bookmarkStart w:id="0" w:name="_GoBack"/>
      <w:bookmarkEnd w:id="0"/>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3360"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3360;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川林资许准（乐）〔2024〕87号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犍为县202</w:t>
      </w:r>
      <w:r>
        <w:rPr>
          <w:rFonts w:hint="eastAsia" w:eastAsia="方正小标宋_GBK" w:cs="Times New Roman"/>
          <w:b w:val="0"/>
          <w:bCs w:val="0"/>
          <w:color w:val="auto"/>
          <w:w w:val="100"/>
          <w:sz w:val="44"/>
          <w:szCs w:val="44"/>
          <w:u w:val="none"/>
          <w:lang w:val="en-US" w:eastAsia="zh-CN"/>
        </w:rPr>
        <w:t>4</w:t>
      </w:r>
      <w:r>
        <w:rPr>
          <w:rFonts w:hint="default" w:ascii="Times New Roman" w:hAnsi="Times New Roman" w:eastAsia="方正小标宋_GBK" w:cs="Times New Roman"/>
          <w:b w:val="0"/>
          <w:bCs w:val="0"/>
          <w:color w:val="auto"/>
          <w:w w:val="100"/>
          <w:sz w:val="44"/>
          <w:szCs w:val="44"/>
          <w:u w:val="none"/>
          <w:lang w:val="en-US" w:eastAsia="zh-CN"/>
        </w:rPr>
        <w:t>年度第3批农村居民宅基地项目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犍为县自然资源局</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犍为县2024年度第3批农村居民宅基地项目”（项目代码：农村宅基地和建房（规划许可）审批表）占用乐山市林地0.8104公顷。按林地权属划分，国有0公顷、集体0.8104公顷；按行政区域划分，犍为县0.8104公顷（芭沟镇0.1083公顷、定文镇0.0373公顷、龙孔镇0.2501公顷、罗城镇0.1077公顷、清溪镇0.0421公顷、寿保镇0.0079公顷、双溪镇0.0650公顷、铁炉镇0.0395公顷、舞雩镇0.0350公顷、玉津镇0.0334公顷、孝姑镇0.0549公顷、石溪镇0.0292公顷）。项目</w:t>
      </w:r>
      <w:r>
        <w:rPr>
          <w:rFonts w:hint="eastAsia" w:ascii="仿宋" w:hAnsi="仿宋" w:eastAsia="仿宋" w:cs="仿宋"/>
          <w:b w:val="0"/>
          <w:bCs w:val="0"/>
          <w:color w:val="auto"/>
          <w:sz w:val="32"/>
          <w:szCs w:val="32"/>
          <w:u w:val="none"/>
          <w:lang w:val="en-US" w:eastAsia="zh-CN"/>
        </w:rPr>
        <w:t>占用林地的具体位置、面积和用途，须与经审核上报的《犍为县2024年度第3批农村居民宅基地项目使用林地现状调查表》一致。若准予的面积与全省新一轮林地保护利用规划的法定林地数据不一致，你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须及时办理相关变更手续。</w:t>
      </w:r>
    </w:p>
    <w:p>
      <w:pPr>
        <w:spacing w:beforeLines="0" w:afterLines="0" w:line="570" w:lineRule="exact"/>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b w:val="0"/>
          <w:bCs w:val="0"/>
          <w:color w:val="auto"/>
          <w:sz w:val="32"/>
          <w:szCs w:val="32"/>
          <w:highlight w:val="none"/>
          <w:u w:val="none"/>
          <w:lang w:val="en-US" w:eastAsia="zh-CN" w:bidi="ar-SA"/>
        </w:rPr>
        <w:t>单位</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涉及林木采伐，你单位须按照《中华人民共和国森林法》《中华人民共和国森林法实施条例》《四川省林木采伐管理办法》等规定办理相关手续。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b w:val="0"/>
          <w:bCs w:val="0"/>
          <w:color w:val="auto"/>
          <w:sz w:val="32"/>
          <w:szCs w:val="32"/>
          <w:highlight w:val="none"/>
          <w:u w:val="none"/>
          <w:lang w:eastAsia="zh-CN"/>
        </w:rPr>
        <w:t>单位从事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b w:val="0"/>
          <w:bCs w:val="0"/>
          <w:color w:val="auto"/>
          <w:kern w:val="2"/>
          <w:sz w:val="32"/>
          <w:szCs w:val="32"/>
          <w:highlight w:val="none"/>
          <w:u w:val="none"/>
          <w:lang w:val="en-US" w:eastAsia="zh-CN" w:bidi="ar-SA"/>
        </w:rPr>
        <w:t>单位</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16</w:t>
      </w:r>
      <w:r>
        <w:rPr>
          <w:rFonts w:hint="eastAsia" w:ascii="仿宋" w:hAnsi="仿宋" w:eastAsia="仿宋" w:cs="仿宋"/>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both"/>
        <w:textAlignment w:val="auto"/>
        <w:rPr>
          <w:rFonts w:hint="default" w:asciiTheme="majorEastAsia" w:hAnsiTheme="majorEastAsia" w:eastAsiaTheme="majorEastAsia" w:cstheme="majorEastAsia"/>
          <w:b w:val="0"/>
          <w:bCs w:val="0"/>
          <w:color w:val="auto"/>
          <w:sz w:val="28"/>
          <w:szCs w:val="28"/>
          <w:highlight w:val="none"/>
          <w:u w:val="single"/>
          <w:lang w:val="en-US" w:eastAsia="zh-CN"/>
        </w:rPr>
      </w:pPr>
      <w:r>
        <w:rPr>
          <w:rFonts w:hint="eastAsia" w:asciiTheme="majorEastAsia" w:hAnsiTheme="majorEastAsia" w:eastAsiaTheme="majorEastAsia" w:cstheme="majorEastAsia"/>
          <w:b w:val="0"/>
          <w:bCs w:val="0"/>
          <w:color w:val="auto"/>
          <w:sz w:val="28"/>
          <w:szCs w:val="28"/>
          <w:highlight w:val="none"/>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0" w:leftChars="0" w:right="0" w:rightChars="0" w:firstLine="0" w:firstLineChars="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然资源和规划局，犍为县自然资源局。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8472F9FA-0E72-4138-ACD9-B6788A7676C6}"/>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FD04F70F-5CB3-43E1-AA93-C0633AFBD4C8}"/>
  </w:font>
  <w:font w:name="方正小标宋简体">
    <w:panose1 w:val="02010601030101010101"/>
    <w:charset w:val="86"/>
    <w:family w:val="auto"/>
    <w:pitch w:val="default"/>
    <w:sig w:usb0="00000001" w:usb1="080E0000" w:usb2="00000000" w:usb3="00000000" w:csb0="00040000" w:csb1="00000000"/>
    <w:embedRegular r:id="rId3" w:fontKey="{CC2805B3-2757-41AA-9B34-65DA19832DF3}"/>
  </w:font>
  <w:font w:name="仿宋_GB2312">
    <w:panose1 w:val="02010609030101010101"/>
    <w:charset w:val="86"/>
    <w:family w:val="auto"/>
    <w:pitch w:val="default"/>
    <w:sig w:usb0="00000001" w:usb1="080E0000" w:usb2="00000000" w:usb3="00000000" w:csb0="00040000" w:csb1="00000000"/>
    <w:embedRegular r:id="rId4" w:fontKey="{152C1F68-8244-44C6-8F63-5CC7CAE9762F}"/>
  </w:font>
  <w:font w:name="仿宋">
    <w:panose1 w:val="02010609060101010101"/>
    <w:charset w:val="86"/>
    <w:family w:val="auto"/>
    <w:pitch w:val="default"/>
    <w:sig w:usb0="800002BF" w:usb1="38CF7CFA" w:usb2="00000016" w:usb3="00000000" w:csb0="00040001" w:csb1="00000000"/>
    <w:embedRegular r:id="rId5" w:fontKey="{B03A39EC-CA72-4229-B6F3-44A0357698CC}"/>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3877801"/>
    <w:rsid w:val="269E4678"/>
    <w:rsid w:val="305A547B"/>
    <w:rsid w:val="37CC4F93"/>
    <w:rsid w:val="3ED42345"/>
    <w:rsid w:val="44BE3A56"/>
    <w:rsid w:val="45A939CB"/>
    <w:rsid w:val="4CA4668A"/>
    <w:rsid w:val="5540179A"/>
    <w:rsid w:val="5A137DA9"/>
    <w:rsid w:val="5EBC36F3"/>
    <w:rsid w:val="6C762C4F"/>
    <w:rsid w:val="6F537CBB"/>
    <w:rsid w:val="7EA76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1052</Words>
  <Characters>1142</Characters>
  <Lines>0</Lines>
  <Paragraphs>0</Paragraphs>
  <TotalTime>1</TotalTime>
  <ScaleCrop>false</ScaleCrop>
  <LinksUpToDate>false</LinksUpToDate>
  <CharactersWithSpaces>1167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2024-10-22T07:37:08Z</cp:lastPrinted>
  <dcterms:modified xsi:type="dcterms:W3CDTF">2024-10-22T08:19:23Z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