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0"/>
        <w:spacing w:beforeLines="0" w:afterLines="0" w:line="570" w:lineRule="exact"/>
        <w:ind w:left="0" w:leftChars="0" w:firstLine="0" w:firstLineChars="0"/>
        <w:jc w:val="left"/>
        <w:rPr>
          <w:rFonts w:hint="default" w:ascii="Times New Roman" w:hAnsi="Times New Roman" w:eastAsia="仿宋" w:cs="Times New Roman"/>
          <w:b/>
          <w:bCs/>
          <w:color w:val="0000FF"/>
          <w:spacing w:val="-6"/>
          <w:kern w:val="2"/>
          <w:sz w:val="28"/>
          <w:szCs w:val="28"/>
          <w:u w:val="single"/>
          <w:lang w:val="en-US" w:eastAsia="zh-CN"/>
        </w:rPr>
      </w:pPr>
    </w:p>
    <w:p>
      <w:pPr>
        <w:keepNext/>
        <w:keepLines/>
        <w:pageBreakBefore w:val="0"/>
        <w:widowControl w:val="0"/>
        <w:kinsoku/>
        <w:wordWrap/>
        <w:overflowPunct/>
        <w:topLinePunct w:val="0"/>
        <w:autoSpaceDE/>
        <w:autoSpaceDN/>
        <w:bidi w:val="0"/>
        <w:adjustRightInd w:val="0"/>
        <w:snapToGrid w:val="0"/>
        <w:spacing w:before="0"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78"/>
          <w:szCs w:val="78"/>
        </w:rPr>
      </w:pPr>
      <w:r>
        <w:rPr>
          <w:rFonts w:hint="default" w:ascii="Times New Roman" w:hAnsi="Times New Roman" w:eastAsia="方正小标宋_GBK" w:cs="Times New Roman"/>
          <w:b w:val="0"/>
          <w:bCs w:val="0"/>
          <w:color w:val="FF0000"/>
          <w:kern w:val="44"/>
          <w:sz w:val="80"/>
          <w:szCs w:val="80"/>
        </w:rPr>
        <w:t>四川省林业和草原局</w:t>
      </w: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p>
    <w:p>
      <w:pPr>
        <w:keepNext/>
        <w:keepLines/>
        <w:pageBreakBefore w:val="0"/>
        <w:widowControl w:val="0"/>
        <w:kinsoku/>
        <w:wordWrap/>
        <w:overflowPunct/>
        <w:topLinePunct w:val="0"/>
        <w:autoSpaceDE/>
        <w:autoSpaceDN/>
        <w:bidi w:val="0"/>
        <w:adjustRightInd w:val="0"/>
        <w:snapToGrid w:val="0"/>
        <w:spacing w:beforeLines="0" w:afterLines="0" w:line="240" w:lineRule="auto"/>
        <w:jc w:val="center"/>
        <w:textAlignment w:val="auto"/>
        <w:outlineLvl w:val="0"/>
        <w:rPr>
          <w:rFonts w:hint="default" w:ascii="Times New Roman" w:hAnsi="Times New Roman" w:eastAsia="方正小标宋_GBK" w:cs="Times New Roman"/>
          <w:b w:val="0"/>
          <w:bCs w:val="0"/>
          <w:color w:val="FF0000"/>
          <w:kern w:val="44"/>
          <w:sz w:val="52"/>
          <w:szCs w:val="52"/>
          <w:lang w:eastAsia="zh-CN"/>
        </w:rPr>
      </w:pPr>
      <w:r>
        <w:rPr>
          <w:rFonts w:hint="default" w:ascii="Times New Roman" w:hAnsi="Times New Roman" w:eastAsia="方正小标宋_GBK" w:cs="Times New Roman"/>
          <w:b w:val="0"/>
          <w:bCs w:val="0"/>
          <w:color w:val="FF0000"/>
          <w:kern w:val="44"/>
          <w:sz w:val="52"/>
          <w:szCs w:val="52"/>
          <w:lang w:eastAsia="zh-CN"/>
        </w:rPr>
        <w:t>行政许可决定书</w:t>
      </w:r>
    </w:p>
    <w:p>
      <w:pPr>
        <w:pStyle w:val="3"/>
        <w:keepNext w:val="0"/>
        <w:keepLines w:val="0"/>
        <w:pageBreakBefore w:val="0"/>
        <w:widowControl w:val="0"/>
        <w:kinsoku/>
        <w:wordWrap/>
        <w:overflowPunct/>
        <w:topLinePunct w:val="0"/>
        <w:autoSpaceDE/>
        <w:autoSpaceDN/>
        <w:bidi w:val="0"/>
        <w:adjustRightInd/>
        <w:snapToGrid/>
        <w:spacing w:beforeLines="0" w:after="0" w:line="240" w:lineRule="auto"/>
        <w:jc w:val="right"/>
        <w:textAlignment w:val="auto"/>
        <w:rPr>
          <w:rFonts w:hint="default" w:ascii="Times New Roman" w:hAnsi="Times New Roman" w:eastAsia="仿宋_GB2312" w:cs="Times New Roman"/>
          <w:b w:val="0"/>
          <w:bCs w:val="0"/>
          <w:color w:val="0000FF"/>
          <w:sz w:val="32"/>
          <w:szCs w:val="32"/>
          <w:lang w:val="en-US" w:eastAsia="zh-CN"/>
        </w:rPr>
      </w:pPr>
      <w:r>
        <w:rPr>
          <w:rFonts w:hint="default" w:ascii="Times New Roman" w:hAnsi="Times New Roman" w:cs="Times New Roman"/>
          <w:color w:val="0000FF"/>
          <w:sz w:val="32"/>
        </w:rPr>
        <mc:AlternateContent>
          <mc:Choice Requires="wps">
            <w:drawing>
              <wp:anchor distT="0" distB="0" distL="114300" distR="114300" simplePos="0" relativeHeight="251663360" behindDoc="0" locked="0" layoutInCell="1" allowOverlap="1">
                <wp:simplePos x="0" y="0"/>
                <wp:positionH relativeFrom="column">
                  <wp:posOffset>-246380</wp:posOffset>
                </wp:positionH>
                <wp:positionV relativeFrom="paragraph">
                  <wp:posOffset>106680</wp:posOffset>
                </wp:positionV>
                <wp:extent cx="5763260" cy="635"/>
                <wp:effectExtent l="0" t="0" r="0" b="0"/>
                <wp:wrapNone/>
                <wp:docPr id="1" name="直接连接符 1"/>
                <wp:cNvGraphicFramePr/>
                <a:graphic xmlns:a="http://schemas.openxmlformats.org/drawingml/2006/main">
                  <a:graphicData uri="http://schemas.microsoft.com/office/word/2010/wordprocessingShape">
                    <wps:wsp>
                      <wps:cNvCnPr/>
                      <wps:spPr>
                        <a:xfrm>
                          <a:off x="0" y="0"/>
                          <a:ext cx="5763260" cy="635"/>
                        </a:xfrm>
                        <a:prstGeom prst="line">
                          <a:avLst/>
                        </a:prstGeom>
                        <a:ln w="1270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4pt;margin-top:8.4pt;height:0.05pt;width:453.8pt;z-index:251663360;mso-width-relative:page;mso-height-relative:page;" filled="f" stroked="t" coordsize="21600,21600" o:gfxdata="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L1xIMNYAAAAJAQAADwAAAAAA&#10;AAABACAAAAAiAAAAZHJzL2Rvd25yZXYueG1sUEsBAhQAFAAAAAgAh07iQMIyuwjcAQAAmQMAAA4A&#10;AAAAAAAAAQAgAAAAJQEAAGRycy9lMm9Eb2MueG1sUEsFBgAAAAAGAAYAWQEAAHMFAAAAAA==&#10;">
                <v:fill on="f" focussize="0,0"/>
                <v:stroke weight="1pt" color="#FF0000" joinstyle="round"/>
                <v:imagedata o:title=""/>
                <o:lock v:ext="edit" aspectratio="f"/>
              </v:line>
            </w:pict>
          </mc:Fallback>
        </mc:AlternateConten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eastAsia" w:asciiTheme="majorEastAsia" w:hAnsiTheme="majorEastAsia" w:eastAsiaTheme="majorEastAsia" w:cstheme="majorEastAsia"/>
          <w:color w:val="000000" w:themeColor="text1"/>
          <w:sz w:val="28"/>
          <w:szCs w:val="28"/>
          <w:highlight w:val="none"/>
          <w:u w:val="none"/>
          <w:lang w:val="en-US"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kern w:val="2"/>
          <w:sz w:val="28"/>
          <w:szCs w:val="28"/>
          <w:u w:val="none"/>
          <w:lang w:val="en-US" w:eastAsia="zh-CN"/>
          <w14:textFill>
            <w14:solidFill>
              <w14:schemeClr w14:val="tx1"/>
            </w14:solidFill>
          </w14:textFill>
        </w:rPr>
        <w:t>川林资许续（乐）〔2024〕16号</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jc w:val="right"/>
        <w:textAlignment w:val="auto"/>
        <w:rPr>
          <w:rFonts w:hint="default" w:ascii="Times New Roman" w:hAnsi="Times New Roman" w:eastAsia="仿宋_GB2312" w:cs="Times New Roman"/>
          <w:color w:val="000000"/>
          <w:sz w:val="32"/>
          <w:szCs w:val="32"/>
          <w:highlight w:val="none"/>
          <w:lang w:val="en-US" w:eastAsia="zh-CN"/>
        </w:rPr>
      </w:pP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z w:val="44"/>
          <w:szCs w:val="44"/>
          <w:lang w:val="en-US" w:eastAsia="zh-CN"/>
        </w:rPr>
        <w:t>四川省</w:t>
      </w:r>
      <w:r>
        <w:rPr>
          <w:rFonts w:hint="default" w:ascii="Times New Roman" w:hAnsi="Times New Roman" w:eastAsia="方正小标宋简体" w:cs="Times New Roman"/>
          <w:b w:val="0"/>
          <w:bCs w:val="0"/>
          <w:color w:val="000000"/>
          <w:sz w:val="44"/>
          <w:szCs w:val="44"/>
        </w:rPr>
        <w:t>林业和草原局</w:t>
      </w:r>
    </w:p>
    <w:p>
      <w:pPr>
        <w:keepNext w:val="0"/>
        <w:keepLines w:val="0"/>
        <w:pageBreakBefore w:val="0"/>
        <w:widowControl w:val="0"/>
        <w:suppressLineNumbers w:val="0"/>
        <w:kinsoku/>
        <w:wordWrap/>
        <w:overflowPunct/>
        <w:topLinePunct w:val="0"/>
        <w:autoSpaceDE/>
        <w:autoSpaceDN/>
        <w:bidi w:val="0"/>
        <w:adjustRightInd/>
        <w:snapToGrid/>
        <w:spacing w:beforeLines="0" w:afterLines="0" w:line="570" w:lineRule="exact"/>
        <w:jc w:val="center"/>
        <w:textAlignment w:val="auto"/>
        <w:rPr>
          <w:rFonts w:hint="default" w:ascii="Times New Roman" w:hAnsi="Times New Roman" w:eastAsia="方正小标宋简体" w:cs="Times New Roman"/>
          <w:b w:val="0"/>
          <w:bCs w:val="0"/>
          <w:color w:val="000000"/>
          <w:sz w:val="44"/>
          <w:szCs w:val="44"/>
        </w:rPr>
      </w:pPr>
      <w:r>
        <w:rPr>
          <w:rFonts w:hint="default" w:ascii="Times New Roman" w:hAnsi="Times New Roman" w:eastAsia="方正小标宋简体" w:cs="Times New Roman"/>
          <w:b w:val="0"/>
          <w:bCs w:val="0"/>
          <w:color w:val="000000"/>
          <w:spacing w:val="-6"/>
          <w:sz w:val="44"/>
          <w:szCs w:val="44"/>
        </w:rPr>
        <w:t>关于</w:t>
      </w:r>
      <w:bookmarkStart w:id="0" w:name="_GoBack"/>
      <w:r>
        <w:rPr>
          <w:rFonts w:hint="default" w:ascii="Times New Roman" w:hAnsi="Times New Roman" w:eastAsia="方正小标宋简体" w:cs="Times New Roman"/>
          <w:b w:val="0"/>
          <w:bCs w:val="0"/>
          <w:color w:val="000000"/>
          <w:spacing w:val="-6"/>
          <w:sz w:val="44"/>
          <w:szCs w:val="44"/>
          <w:lang w:val="en-US" w:eastAsia="zh-CN"/>
        </w:rPr>
        <w:t>延续</w:t>
      </w:r>
      <w:r>
        <w:rPr>
          <w:rFonts w:hint="default" w:ascii="Times New Roman" w:hAnsi="Times New Roman" w:eastAsia="方正小标宋简体" w:cs="Times New Roman"/>
          <w:b w:val="0"/>
          <w:bCs w:val="0"/>
          <w:color w:val="000000"/>
          <w:spacing w:val="-6"/>
          <w:sz w:val="44"/>
          <w:szCs w:val="44"/>
          <w:u w:val="none"/>
          <w:lang w:val="en-US" w:eastAsia="zh-CN"/>
        </w:rPr>
        <w:t>乐山市沙湾三兴矿业有限公司矿区基础及配套生产设施更新改造技改项目</w:t>
      </w:r>
      <w:r>
        <w:rPr>
          <w:rFonts w:hint="default" w:ascii="Times New Roman" w:hAnsi="Times New Roman" w:eastAsia="方正小标宋简体" w:cs="Times New Roman"/>
          <w:b w:val="0"/>
          <w:bCs w:val="0"/>
          <w:color w:val="000000"/>
          <w:sz w:val="44"/>
          <w:szCs w:val="44"/>
          <w:lang w:val="en-US" w:eastAsia="zh-CN"/>
        </w:rPr>
        <w:t>占用林地的行政许可决定</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center"/>
        <w:textAlignment w:val="auto"/>
        <w:rPr>
          <w:rFonts w:hint="default" w:ascii="Times New Roman" w:hAnsi="Times New Roman" w:eastAsia="仿宋_GB2312" w:cs="Times New Roman"/>
          <w:color w:val="000000" w:themeColor="text1"/>
          <w:sz w:val="32"/>
          <w:szCs w:val="32"/>
          <w:u w:val="none"/>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right="0" w:rightChars="0"/>
        <w:jc w:val="both"/>
        <w:textAlignment w:val="auto"/>
        <w:rPr>
          <w:rFonts w:hint="eastAsia" w:ascii="仿宋" w:hAnsi="仿宋" w:eastAsia="仿宋" w:cs="仿宋"/>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乐山市沙湾三兴矿业有限公司：</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color w:val="000000" w:themeColor="text1"/>
          <w:sz w:val="32"/>
          <w:szCs w:val="32"/>
          <w:u w:val="none"/>
          <w:lang w:val="en-US"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提交的“矿藏勘查、开采以及其他各类工程建设占用林地延续审核（省级权限）”行政许可事项申请材料收悉。根据《中华人民共和国行政许可法》《中华人民共和国森林法》《建设项目使用林地审核审批管理办法》等规定，经审查，现作出如下行政许可决定。</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一、准予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乐山市沙湾三兴矿业有限公司矿区基础及配套生产设施更新改造技改项目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《使用林地审核同意书》（川林资许准（乐）〔2022〕196号）有效期延续至2026年12月23日。</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原</w:t>
      </w:r>
      <w:r>
        <w:rPr>
          <w:rFonts w:hint="eastAsia" w:ascii="仿宋" w:hAnsi="仿宋" w:eastAsia="仿宋" w:cs="仿宋"/>
          <w:b w:val="0"/>
          <w:bCs w:val="0"/>
          <w:color w:val="000000" w:themeColor="text1"/>
          <w:sz w:val="32"/>
          <w:szCs w:val="32"/>
          <w:highlight w:val="none"/>
          <w:u w:val="none"/>
          <w14:textFill>
            <w14:solidFill>
              <w14:schemeClr w14:val="tx1"/>
            </w14:solidFill>
          </w14:textFill>
        </w:rPr>
        <w:t>《使用林地审核同意书》</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（川林资许准（乐）〔2022〕196号）其余条款内容不变。</w:t>
      </w:r>
    </w:p>
    <w:p>
      <w:pPr>
        <w:keepNext w:val="0"/>
        <w:keepLines w:val="0"/>
        <w:pageBreakBefore w:val="0"/>
        <w:widowControl w:val="0"/>
        <w:numPr>
          <w:ilvl w:val="0"/>
          <w:numId w:val="0"/>
        </w:numPr>
        <w:kinsoku/>
        <w:wordWrap/>
        <w:overflowPunct/>
        <w:topLinePunct w:val="0"/>
        <w:autoSpaceDE/>
        <w:autoSpaceDN/>
        <w:bidi w:val="0"/>
        <w:adjustRightInd/>
        <w:snapToGrid/>
        <w:spacing w:beforeLines="0" w:afterLines="0" w:line="570" w:lineRule="exact"/>
        <w:ind w:left="0" w:leftChars="0" w:right="0" w:rightChars="0" w:firstLine="624" w:firstLineChars="195"/>
        <w:jc w:val="both"/>
        <w:textAlignment w:val="auto"/>
        <w:rPr>
          <w:rFonts w:hint="eastAsia" w:ascii="仿宋" w:hAnsi="仿宋" w:eastAsia="仿宋" w:cs="仿宋"/>
          <w:b w:val="0"/>
          <w:bCs w:val="0"/>
          <w:color w:val="000000" w:themeColor="text1"/>
          <w:sz w:val="32"/>
          <w:szCs w:val="32"/>
          <w:highlight w:val="none"/>
          <w:u w:val="none"/>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二、</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本项目确</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再次</w:t>
      </w:r>
      <w:r>
        <w:rPr>
          <w:rFonts w:hint="eastAsia" w:ascii="仿宋" w:hAnsi="仿宋" w:eastAsia="仿宋" w:cs="仿宋"/>
          <w:b w:val="0"/>
          <w:bCs w:val="0"/>
          <w:color w:val="000000" w:themeColor="text1"/>
          <w:sz w:val="32"/>
          <w:szCs w:val="32"/>
          <w:highlight w:val="none"/>
          <w:u w:val="none"/>
          <w:lang w:eastAsia="zh-CN"/>
          <w14:textFill>
            <w14:solidFill>
              <w14:schemeClr w14:val="tx1"/>
            </w14:solidFill>
          </w14:textFill>
        </w:rPr>
        <w:t>延续的</w:t>
      </w:r>
      <w:r>
        <w:rPr>
          <w:rFonts w:hint="eastAsia" w:ascii="仿宋" w:hAnsi="仿宋" w:eastAsia="仿宋" w:cs="仿宋"/>
          <w:b w:val="0"/>
          <w:bCs w:val="0"/>
          <w:color w:val="000000" w:themeColor="text1"/>
          <w:sz w:val="32"/>
          <w:szCs w:val="32"/>
          <w:highlight w:val="none"/>
          <w:u w:val="none"/>
          <w14:textFill>
            <w14:solidFill>
              <w14:schemeClr w14:val="tx1"/>
            </w14:solidFill>
          </w14:textFill>
        </w:rPr>
        <w:t>，</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你</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公司</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须</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在有效期届满</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三十日前</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向</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我</w:t>
      </w:r>
      <w:r>
        <w:rPr>
          <w:rFonts w:hint="eastAsia" w:ascii="仿宋" w:hAnsi="仿宋" w:eastAsia="仿宋" w:cs="仿宋"/>
          <w:b w:val="0"/>
          <w:bCs w:val="0"/>
          <w:color w:val="000000" w:themeColor="text1"/>
          <w:sz w:val="32"/>
          <w:szCs w:val="32"/>
          <w:highlight w:val="none"/>
          <w:u w:val="none"/>
          <w14:textFill>
            <w14:solidFill>
              <w14:schemeClr w14:val="tx1"/>
            </w14:solidFill>
          </w14:textFill>
        </w:rPr>
        <w:t>局</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提出</w:t>
      </w:r>
      <w:r>
        <w:rPr>
          <w:rFonts w:hint="eastAsia" w:ascii="仿宋" w:hAnsi="仿宋" w:eastAsia="仿宋" w:cs="仿宋"/>
          <w:b w:val="0"/>
          <w:bCs w:val="0"/>
          <w:color w:val="000000" w:themeColor="text1"/>
          <w:sz w:val="32"/>
          <w:szCs w:val="32"/>
          <w:highlight w:val="none"/>
          <w:u w:val="none"/>
          <w14:textFill>
            <w14:solidFill>
              <w14:schemeClr w14:val="tx1"/>
            </w14:solidFill>
          </w14:textFill>
        </w:rPr>
        <w:t>申请。</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该</w:t>
      </w:r>
      <w:r>
        <w:rPr>
          <w:rFonts w:hint="eastAsia" w:ascii="仿宋" w:hAnsi="仿宋" w:eastAsia="仿宋" w:cs="仿宋"/>
          <w:b w:val="0"/>
          <w:bCs w:val="0"/>
          <w:color w:val="000000" w:themeColor="text1"/>
          <w:sz w:val="32"/>
          <w:szCs w:val="32"/>
          <w:highlight w:val="none"/>
          <w:u w:val="none"/>
          <w14:textFill>
            <w14:solidFill>
              <w14:schemeClr w14:val="tx1"/>
            </w14:solidFill>
          </w14:textFill>
        </w:rPr>
        <w:t>项目在有效期内未取得建设用地批准文件且未再申请延续的，</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或虽提出申请但未获得批准的，</w:t>
      </w:r>
      <w:r>
        <w:rPr>
          <w:rFonts w:hint="eastAsia" w:ascii="仿宋" w:hAnsi="仿宋" w:eastAsia="仿宋" w:cs="仿宋"/>
          <w:b w:val="0"/>
          <w:bCs w:val="0"/>
          <w:color w:val="000000" w:themeColor="text1"/>
          <w:sz w:val="32"/>
          <w:szCs w:val="32"/>
          <w:highlight w:val="none"/>
          <w:u w:val="none"/>
          <w14:textFill>
            <w14:solidFill>
              <w14:schemeClr w14:val="tx1"/>
            </w14:solidFill>
          </w14:textFill>
        </w:rPr>
        <w:t>本决定书和</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该项目</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原</w:t>
      </w:r>
      <w:r>
        <w:rPr>
          <w:rFonts w:hint="eastAsia" w:ascii="仿宋" w:hAnsi="仿宋" w:eastAsia="仿宋" w:cs="仿宋"/>
          <w:b w:val="0"/>
          <w:bCs w:val="0"/>
          <w:color w:val="000000" w:themeColor="text1"/>
          <w:sz w:val="32"/>
          <w:szCs w:val="32"/>
          <w:highlight w:val="none"/>
          <w:u w:val="none"/>
          <w14:textFill>
            <w14:solidFill>
              <w14:schemeClr w14:val="tx1"/>
            </w14:solidFill>
          </w14:textFill>
        </w:rPr>
        <w:t>《使用林地审核同意书》</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（川林资许准（乐）〔2022〕196号）</w:t>
      </w:r>
      <w:r>
        <w:rPr>
          <w:rFonts w:hint="eastAsia" w:ascii="仿宋" w:hAnsi="仿宋" w:eastAsia="仿宋" w:cs="仿宋"/>
          <w:b w:val="0"/>
          <w:bCs w:val="0"/>
          <w:color w:val="000000" w:themeColor="text1"/>
          <w:sz w:val="32"/>
          <w:szCs w:val="32"/>
          <w:highlight w:val="none"/>
          <w:u w:val="none"/>
          <w14:textFill>
            <w14:solidFill>
              <w14:schemeClr w14:val="tx1"/>
            </w14:solidFill>
          </w14:textFill>
        </w:rPr>
        <w:t>自动失效。</w:t>
      </w:r>
    </w:p>
    <w:p>
      <w:pPr>
        <w:spacing w:beforeLines="0" w:afterLines="0" w:line="57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受四川省林业和草原局委托，本行政许可由</w:t>
      </w:r>
      <w:r>
        <w:rPr>
          <w:rFonts w:hint="eastAsia" w:ascii="仿宋" w:hAnsi="仿宋" w:eastAsia="仿宋" w:cs="仿宋"/>
          <w:color w:val="000000" w:themeColor="text1"/>
          <w:sz w:val="32"/>
          <w:szCs w:val="32"/>
          <w:u w:val="none"/>
          <w:lang w:val="en-US" w:eastAsia="zh-CN"/>
          <w14:textFill>
            <w14:solidFill>
              <w14:schemeClr w14:val="tx1"/>
            </w14:solidFill>
          </w14:textFill>
        </w:rPr>
        <w:t>乐山市林业和园林局</w:t>
      </w:r>
      <w:r>
        <w:rPr>
          <w:rFonts w:hint="eastAsia" w:ascii="仿宋" w:hAnsi="仿宋" w:eastAsia="仿宋" w:cs="仿宋"/>
          <w:color w:val="000000" w:themeColor="text1"/>
          <w:sz w:val="32"/>
          <w:szCs w:val="32"/>
          <w:highlight w:val="none"/>
          <w:u w:val="none"/>
          <w:lang w:val="en-US" w:eastAsia="zh-CN"/>
          <w14:textFill>
            <w14:solidFill>
              <w14:schemeClr w14:val="tx1"/>
            </w14:solidFill>
          </w14:textFill>
        </w:rPr>
        <w:t>依法受理、审查和决定。</w:t>
      </w:r>
    </w:p>
    <w:p>
      <w:pPr>
        <w:spacing w:beforeLines="0" w:afterLines="0" w:line="57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p>
    <w:p>
      <w:pPr>
        <w:spacing w:beforeLines="0" w:afterLines="0" w:line="57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p>
    <w:p>
      <w:pPr>
        <w:spacing w:beforeLines="0" w:afterLines="0" w:line="57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p>
    <w:p>
      <w:pPr>
        <w:spacing w:beforeLines="0" w:afterLines="0" w:line="570" w:lineRule="exact"/>
        <w:ind w:firstLine="640" w:firstLineChars="200"/>
        <w:rPr>
          <w:rFonts w:hint="eastAsia" w:ascii="仿宋" w:hAnsi="仿宋" w:eastAsia="仿宋" w:cs="仿宋"/>
          <w:color w:val="000000" w:themeColor="text1"/>
          <w:sz w:val="32"/>
          <w:szCs w:val="32"/>
          <w:highlight w:val="none"/>
          <w:u w:val="none"/>
          <w:lang w:val="en-US" w:eastAsia="zh-CN"/>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4480" w:firstLineChars="1400"/>
        <w:jc w:val="right"/>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 xml:space="preserve">     四川省</w:t>
      </w:r>
      <w:r>
        <w:rPr>
          <w:rFonts w:hint="eastAsia" w:ascii="仿宋" w:hAnsi="仿宋" w:eastAsia="仿宋" w:cs="仿宋"/>
          <w:b w:val="0"/>
          <w:bCs w:val="0"/>
          <w:color w:val="000000" w:themeColor="text1"/>
          <w:sz w:val="32"/>
          <w:szCs w:val="32"/>
          <w:u w:val="none"/>
          <w:lang w:eastAsia="zh-CN"/>
          <w14:textFill>
            <w14:solidFill>
              <w14:schemeClr w14:val="tx1"/>
            </w14:solidFill>
          </w14:textFill>
        </w:rPr>
        <w:t>林业和草原局</w:t>
      </w:r>
    </w:p>
    <w:p>
      <w:pPr>
        <w:keepNext w:val="0"/>
        <w:keepLines w:val="0"/>
        <w:pageBreakBefore w:val="0"/>
        <w:widowControl w:val="0"/>
        <w:kinsoku/>
        <w:wordWrap/>
        <w:overflowPunct/>
        <w:topLinePunct w:val="0"/>
        <w:autoSpaceDE/>
        <w:autoSpaceDN/>
        <w:bidi w:val="0"/>
        <w:adjustRightInd/>
        <w:snapToGrid/>
        <w:spacing w:beforeLines="0" w:afterLines="0" w:line="570" w:lineRule="exact"/>
        <w:ind w:firstLine="0" w:firstLineChars="0"/>
        <w:jc w:val="right"/>
        <w:textAlignment w:val="auto"/>
        <w:rPr>
          <w:rFonts w:hint="eastAsia" w:ascii="仿宋" w:hAnsi="仿宋" w:eastAsia="仿宋" w:cs="仿宋"/>
          <w:b w:val="0"/>
          <w:bCs w:val="0"/>
          <w:color w:val="000000" w:themeColor="text1"/>
          <w:sz w:val="32"/>
          <w:szCs w:val="32"/>
          <w:u w:val="none"/>
          <w:lang w:val="en-US" w:eastAsia="zh-CN"/>
          <w14:textFill>
            <w14:solidFill>
              <w14:schemeClr w14:val="tx1"/>
            </w14:solidFill>
          </w14:textFill>
        </w:rPr>
      </w:pPr>
      <w:r>
        <w:rPr>
          <w:rFonts w:hint="eastAsia" w:ascii="仿宋" w:hAnsi="仿宋" w:eastAsia="仿宋" w:cs="仿宋"/>
          <w:b w:val="0"/>
          <w:bCs w:val="0"/>
          <w:color w:val="000000" w:themeColor="text1"/>
          <w:sz w:val="32"/>
          <w:szCs w:val="32"/>
          <w:u w:val="none"/>
          <w14:textFill>
            <w14:solidFill>
              <w14:schemeClr w14:val="tx1"/>
            </w14:solidFill>
          </w14:textFill>
        </w:rPr>
        <w:t>20</w:t>
      </w:r>
      <w:r>
        <w:rPr>
          <w:rFonts w:hint="eastAsia" w:ascii="仿宋" w:hAnsi="仿宋" w:eastAsia="仿宋" w:cs="仿宋"/>
          <w:b w:val="0"/>
          <w:bCs w:val="0"/>
          <w:color w:val="000000" w:themeColor="text1"/>
          <w:sz w:val="32"/>
          <w:szCs w:val="32"/>
          <w:u w:val="none"/>
          <w:lang w:val="en-US" w:eastAsia="zh-CN"/>
          <w14:textFill>
            <w14:solidFill>
              <w14:schemeClr w14:val="tx1"/>
            </w14:solidFill>
          </w14:textFill>
        </w:rPr>
        <w:t>2</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4</w:t>
      </w:r>
      <w:r>
        <w:rPr>
          <w:rFonts w:hint="eastAsia" w:ascii="仿宋" w:hAnsi="仿宋" w:eastAsia="仿宋" w:cs="仿宋"/>
          <w:b w:val="0"/>
          <w:bCs w:val="0"/>
          <w:color w:val="000000" w:themeColor="text1"/>
          <w:sz w:val="32"/>
          <w:szCs w:val="32"/>
          <w:u w:val="none"/>
          <w14:textFill>
            <w14:solidFill>
              <w14:schemeClr w14:val="tx1"/>
            </w14:solidFill>
          </w14:textFill>
        </w:rPr>
        <w:t>年</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10</w:t>
      </w:r>
      <w:r>
        <w:rPr>
          <w:rFonts w:hint="eastAsia" w:ascii="仿宋" w:hAnsi="仿宋" w:eastAsia="仿宋" w:cs="仿宋"/>
          <w:b w:val="0"/>
          <w:bCs w:val="0"/>
          <w:color w:val="000000" w:themeColor="text1"/>
          <w:sz w:val="32"/>
          <w:szCs w:val="32"/>
          <w:u w:val="none"/>
          <w14:textFill>
            <w14:solidFill>
              <w14:schemeClr w14:val="tx1"/>
            </w14:solidFill>
          </w14:textFill>
        </w:rPr>
        <w:t>月</w:t>
      </w:r>
      <w:r>
        <w:rPr>
          <w:rFonts w:hint="eastAsia" w:ascii="仿宋" w:hAnsi="仿宋" w:eastAsia="仿宋" w:cs="仿宋"/>
          <w:b w:val="0"/>
          <w:bCs w:val="0"/>
          <w:color w:val="000000" w:themeColor="text1"/>
          <w:sz w:val="32"/>
          <w:szCs w:val="32"/>
          <w:highlight w:val="none"/>
          <w:u w:val="none"/>
          <w:lang w:val="en-US" w:eastAsia="zh-CN"/>
          <w14:textFill>
            <w14:solidFill>
              <w14:schemeClr w14:val="tx1"/>
            </w14:solidFill>
          </w14:textFill>
        </w:rPr>
        <w:t>31</w:t>
      </w:r>
      <w:r>
        <w:rPr>
          <w:rFonts w:hint="eastAsia" w:ascii="仿宋" w:hAnsi="仿宋" w:eastAsia="仿宋" w:cs="仿宋"/>
          <w:b w:val="0"/>
          <w:bCs w:val="0"/>
          <w:color w:val="000000" w:themeColor="text1"/>
          <w:sz w:val="32"/>
          <w:szCs w:val="32"/>
          <w:u w:val="none"/>
          <w14:textFill>
            <w14:solidFill>
              <w14:schemeClr w14:val="tx1"/>
            </w14:solidFill>
          </w14:textFill>
        </w:rPr>
        <w:t>日</w:t>
      </w: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none"/>
          <w:lang w:eastAsia="zh-CN"/>
          <w14:textFill>
            <w14:solidFill>
              <w14:schemeClr w14:val="tx1"/>
            </w14:solidFill>
          </w14:textFill>
        </w:rPr>
      </w:pPr>
    </w:p>
    <w:p>
      <w:pPr>
        <w:pStyle w:val="3"/>
        <w:keepNext w:val="0"/>
        <w:keepLines w:val="0"/>
        <w:pageBreakBefore w:val="0"/>
        <w:widowControl w:val="0"/>
        <w:kinsoku/>
        <w:wordWrap/>
        <w:overflowPunct/>
        <w:topLinePunct w:val="0"/>
        <w:autoSpaceDE/>
        <w:autoSpaceDN/>
        <w:bidi w:val="0"/>
        <w:adjustRightInd/>
        <w:snapToGrid/>
        <w:spacing w:beforeLines="0" w:after="0" w:line="570" w:lineRule="exact"/>
        <w:textAlignment w:val="auto"/>
        <w:rPr>
          <w:rFonts w:hint="default" w:ascii="Times New Roman" w:hAnsi="Times New Roman" w:eastAsia="仿宋_GB2312" w:cs="Times New Roman"/>
          <w:b w:val="0"/>
          <w:bCs w:val="0"/>
          <w:color w:val="000000" w:themeColor="text1"/>
          <w:sz w:val="32"/>
          <w:szCs w:val="32"/>
          <w:u w:val="single"/>
          <w:lang w:val="en-US" w:eastAsia="zh-CN"/>
          <w14:textFill>
            <w14:solidFill>
              <w14:schemeClr w14:val="tx1"/>
            </w14:solidFill>
          </w14:textFill>
        </w:rPr>
      </w:pPr>
      <w:r>
        <w:rPr>
          <w:rFonts w:hint="eastAsia" w:eastAsia="仿宋_GB2312" w:cs="Times New Roman"/>
          <w:b w:val="0"/>
          <w:bCs w:val="0"/>
          <w:color w:val="000000" w:themeColor="text1"/>
          <w:sz w:val="32"/>
          <w:szCs w:val="32"/>
          <w:u w:val="single"/>
          <w:lang w:val="en-US" w:eastAsia="zh-CN"/>
          <w14:textFill>
            <w14:solidFill>
              <w14:schemeClr w14:val="tx1"/>
            </w14:solidFill>
          </w14:textFill>
        </w:rPr>
        <w:t xml:space="preserve">                                                        </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抄送：</w:t>
      </w:r>
      <w:r>
        <w:rPr>
          <w:rFonts w:hint="eastAsia" w:asciiTheme="majorEastAsia" w:hAnsiTheme="majorEastAsia" w:eastAsiaTheme="majorEastAsia" w:cstheme="majorEastAsia"/>
          <w:b w:val="0"/>
          <w:bCs w:val="0"/>
          <w:color w:val="000000" w:themeColor="text1"/>
          <w:sz w:val="28"/>
          <w:szCs w:val="28"/>
          <w:u w:val="none"/>
          <w14:textFill>
            <w14:solidFill>
              <w14:schemeClr w14:val="tx1"/>
            </w14:solidFill>
          </w14:textFill>
        </w:rPr>
        <w:t>国家林业和草原局森林资源管理司</w:t>
      </w:r>
      <w:r>
        <w:rPr>
          <w:rFonts w:hint="eastAsia" w:asciiTheme="majorEastAsia" w:hAnsiTheme="majorEastAsia" w:eastAsiaTheme="majorEastAsia" w:cstheme="majorEastAsia"/>
          <w:b w:val="0"/>
          <w:bCs w:val="0"/>
          <w:color w:val="000000" w:themeColor="text1"/>
          <w:sz w:val="28"/>
          <w:szCs w:val="28"/>
          <w:u w:val="none"/>
          <w:lang w:eastAsia="zh-CN"/>
          <w14:textFill>
            <w14:solidFill>
              <w14:schemeClr w14:val="tx1"/>
            </w14:solidFill>
          </w14:textFill>
        </w:rPr>
        <w:t>，国家林业和草原局成都专员</w:t>
      </w:r>
    </w:p>
    <w:p>
      <w:pPr>
        <w:keepNext w:val="0"/>
        <w:keepLines w:val="0"/>
        <w:pageBreakBefore w:val="0"/>
        <w:widowControl w:val="0"/>
        <w:kinsoku/>
        <w:wordWrap/>
        <w:overflowPunct/>
        <w:topLinePunct w:val="0"/>
        <w:autoSpaceDE/>
        <w:autoSpaceDN/>
        <w:bidi w:val="0"/>
        <w:adjustRightInd/>
        <w:snapToGrid/>
        <w:spacing w:beforeLines="0" w:afterLines="0" w:line="570" w:lineRule="exact"/>
        <w:ind w:left="840" w:leftChars="0" w:hanging="840" w:hangingChars="300"/>
        <w:jc w:val="left"/>
        <w:textAlignment w:val="auto"/>
        <w:outlineLvl w:val="9"/>
        <w:rPr>
          <w:rFonts w:hint="default" w:asciiTheme="majorEastAsia" w:hAnsiTheme="majorEastAsia" w:eastAsiaTheme="majorEastAsia" w:cstheme="majorEastAsia"/>
          <w:color w:val="000000" w:themeColor="text1"/>
          <w:sz w:val="28"/>
          <w:szCs w:val="28"/>
          <w:u w:val="single"/>
          <w:lang w:val="en-US"/>
          <w14:textFill>
            <w14:solidFill>
              <w14:schemeClr w14:val="tx1"/>
            </w14:solidFill>
          </w14:textFill>
        </w:rPr>
      </w:pP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w:t>
      </w:r>
      <w:r>
        <w:rPr>
          <w:rFonts w:hint="eastAsia" w:asciiTheme="majorEastAsia" w:hAnsiTheme="majorEastAsia" w:eastAsiaTheme="majorEastAsia" w:cstheme="majorEastAsia"/>
          <w:b w:val="0"/>
          <w:bCs w:val="0"/>
          <w:color w:val="000000" w:themeColor="text1"/>
          <w:sz w:val="28"/>
          <w:szCs w:val="28"/>
          <w:u w:val="single"/>
          <w:lang w:eastAsia="zh-CN"/>
          <w14:textFill>
            <w14:solidFill>
              <w14:schemeClr w14:val="tx1"/>
            </w14:solidFill>
          </w14:textFill>
        </w:rPr>
        <w:t>办，</w:t>
      </w:r>
      <w:r>
        <w:rPr>
          <w:rFonts w:hint="eastAsia" w:asciiTheme="majorEastAsia" w:hAnsiTheme="majorEastAsia" w:eastAsiaTheme="majorEastAsia" w:cstheme="majorEastAsia"/>
          <w:color w:val="000000" w:themeColor="text1"/>
          <w:spacing w:val="0"/>
          <w:sz w:val="28"/>
          <w:szCs w:val="28"/>
          <w:u w:val="single"/>
          <w:lang w:val="en-US" w:eastAsia="zh-CN"/>
          <w14:textFill>
            <w14:solidFill>
              <w14:schemeClr w14:val="tx1"/>
            </w14:solidFill>
          </w14:textFill>
        </w:rPr>
        <w:t>乐山市自然资源和规划局，乐山市沙湾区自然资源局</w:t>
      </w:r>
      <w:r>
        <w:rPr>
          <w:rFonts w:hint="eastAsia" w:asciiTheme="majorEastAsia" w:hAnsiTheme="majorEastAsia" w:eastAsiaTheme="majorEastAsia" w:cstheme="majorEastAsia"/>
          <w:b w:val="0"/>
          <w:bCs w:val="0"/>
          <w:color w:val="000000" w:themeColor="text1"/>
          <w:sz w:val="28"/>
          <w:szCs w:val="28"/>
          <w:u w:val="single"/>
          <w:lang w:val="en-US" w:eastAsia="zh-CN"/>
          <w14:textFill>
            <w14:solidFill>
              <w14:schemeClr w14:val="tx1"/>
            </w14:solidFill>
          </w14:textFill>
        </w:rPr>
        <w:t xml:space="preserve">。      </w:t>
      </w:r>
    </w:p>
    <w:sectPr>
      <w:footerReference r:id="rId3" w:type="default"/>
      <w:pgSz w:w="11906" w:h="16838"/>
      <w:pgMar w:top="1440" w:right="1531" w:bottom="1440"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4ABD0F8D-57C5-4F50-AEE4-5AFB914192EF}"/>
  </w:font>
  <w:font w:name="方正仿宋_GBK">
    <w:altName w:val="微软雅黑"/>
    <w:panose1 w:val="03000509000000000000"/>
    <w:charset w:val="86"/>
    <w:family w:val="script"/>
    <w:pitch w:val="default"/>
    <w:sig w:usb0="00000000" w:usb1="00000000" w:usb2="00000000" w:usb3="00000000" w:csb0="00040000" w:csb1="00000000"/>
  </w:font>
  <w:font w:name="方正小标宋_GBK">
    <w:panose1 w:val="03000509000000000000"/>
    <w:charset w:val="86"/>
    <w:family w:val="auto"/>
    <w:pitch w:val="default"/>
    <w:sig w:usb0="00000001" w:usb1="080E0000" w:usb2="00000000" w:usb3="00000000" w:csb0="00040000" w:csb1="00000000"/>
    <w:embedRegular r:id="rId2" w:fontKey="{512A4C41-45D0-4608-A0E6-2EBE63F96663}"/>
  </w:font>
  <w:font w:name="仿宋">
    <w:panose1 w:val="02010609060101010101"/>
    <w:charset w:val="86"/>
    <w:family w:val="auto"/>
    <w:pitch w:val="default"/>
    <w:sig w:usb0="800002BF" w:usb1="38CF7CFA" w:usb2="00000016" w:usb3="00000000" w:csb0="00040001" w:csb1="00000000"/>
    <w:embedRegular r:id="rId3" w:fontKey="{70690044-800C-49EC-B9E8-5DF606E7EE6B}"/>
  </w:font>
  <w:font w:name="仿宋_GB2312">
    <w:panose1 w:val="02010609030101010101"/>
    <w:charset w:val="86"/>
    <w:family w:val="auto"/>
    <w:pitch w:val="default"/>
    <w:sig w:usb0="00000001" w:usb1="080E0000" w:usb2="00000000" w:usb3="00000000" w:csb0="00040000" w:csb1="00000000"/>
    <w:embedRegular r:id="rId4" w:fontKey="{9C3EAD8D-4D8E-4E15-B5CA-D11D0A20B5D7}"/>
  </w:font>
  <w:font w:name="方正小标宋简体">
    <w:panose1 w:val="02010601030101010101"/>
    <w:charset w:val="86"/>
    <w:family w:val="auto"/>
    <w:pitch w:val="default"/>
    <w:sig w:usb0="00000001" w:usb1="080E0000" w:usb2="00000000" w:usb3="00000000" w:csb0="00040000" w:csb1="00000000"/>
    <w:embedRegular r:id="rId5" w:fontKey="{87A3C935-A99E-4B8E-9E1E-BDBAB59B3BA9}"/>
  </w:font>
  <w:font w:name="方正仿宋简体">
    <w:altName w:val="微软雅黑"/>
    <w:panose1 w:val="02010601030101010101"/>
    <w:charset w:val="86"/>
    <w:family w:val="auto"/>
    <w:pitch w:val="default"/>
    <w:sig w:usb0="00000000" w:usb1="00000000" w:usb2="00000000" w:usb3="00000000" w:csb0="00040000" w:csb1="00000000"/>
  </w:font>
  <w:font w:name="华文仿宋">
    <w:panose1 w:val="02010600040101010101"/>
    <w:charset w:val="86"/>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584200" cy="183515"/>
              <wp:effectExtent l="0" t="0" r="0" b="0"/>
              <wp:wrapNone/>
              <wp:docPr id="4" name="文本框 4"/>
              <wp:cNvGraphicFramePr/>
              <a:graphic xmlns:a="http://schemas.openxmlformats.org/drawingml/2006/main">
                <a:graphicData uri="http://schemas.microsoft.com/office/word/2010/wordprocessingShape">
                  <wps:wsp>
                    <wps:cNvSpPr txBox="1"/>
                    <wps:spPr>
                      <a:xfrm>
                        <a:off x="0" y="0"/>
                        <a:ext cx="584200" cy="18351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top:0pt;height:14.45pt;width:46pt;mso-position-horizontal:outside;mso-position-horizontal-relative:margin;z-index:251659264;mso-width-relative:page;mso-height-relative:page;" filled="f" stroked="f" coordsize="21600,21600" o:gfxdata="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">
              <v:fill on="f" focussize="0,0"/>
              <v:stroke on="f" weight="0.5pt"/>
              <v:imagedata o:title=""/>
              <o:lock v:ext="edit" aspectratio="f"/>
              <v:textbox inset="0mm,0mm,0mm,0mm">
                <w:txbxContent>
                  <w:p>
                    <w:pPr>
                      <w:pStyle w:val="5"/>
                      <w:rPr>
                        <w:rFonts w:hint="eastAsia" w:asciiTheme="majorEastAsia" w:hAnsiTheme="majorEastAsia" w:eastAsiaTheme="majorEastAsia" w:cstheme="majorEastAsia"/>
                        <w:sz w:val="28"/>
                        <w:szCs w:val="28"/>
                      </w:rPr>
                    </w:pPr>
                    <w:r>
                      <w:rPr>
                        <w:rFonts w:hint="eastAsia" w:asciiTheme="majorEastAsia" w:hAnsiTheme="majorEastAsia" w:eastAsiaTheme="majorEastAsia" w:cstheme="majorEastAsia"/>
                        <w:sz w:val="28"/>
                        <w:szCs w:val="28"/>
                      </w:rPr>
                      <w:fldChar w:fldCharType="begin"/>
                    </w:r>
                    <w:r>
                      <w:rPr>
                        <w:rFonts w:hint="eastAsia" w:asciiTheme="majorEastAsia" w:hAnsiTheme="majorEastAsia" w:eastAsiaTheme="majorEastAsia" w:cstheme="majorEastAsia"/>
                        <w:sz w:val="28"/>
                        <w:szCs w:val="28"/>
                      </w:rPr>
                      <w:instrText xml:space="preserve"> PAGE  \* MERGEFORMAT </w:instrText>
                    </w:r>
                    <w:r>
                      <w:rPr>
                        <w:rFonts w:hint="eastAsia" w:asciiTheme="majorEastAsia" w:hAnsiTheme="majorEastAsia" w:eastAsiaTheme="majorEastAsia" w:cstheme="majorEastAsia"/>
                        <w:sz w:val="28"/>
                        <w:szCs w:val="28"/>
                      </w:rPr>
                      <w:fldChar w:fldCharType="separate"/>
                    </w:r>
                    <w:r>
                      <w:rPr>
                        <w:rFonts w:hint="eastAsia" w:asciiTheme="majorEastAsia" w:hAnsiTheme="majorEastAsia" w:eastAsiaTheme="majorEastAsia" w:cstheme="majorEastAsia"/>
                        <w:sz w:val="28"/>
                        <w:szCs w:val="28"/>
                      </w:rPr>
                      <w:t>1</w:t>
                    </w:r>
                    <w:r>
                      <w:rPr>
                        <w:rFonts w:hint="eastAsia" w:asciiTheme="majorEastAsia" w:hAnsiTheme="majorEastAsia" w:eastAsiaTheme="majorEastAsia" w:cstheme="majorEastAsia"/>
                        <w:sz w:val="28"/>
                        <w:szCs w:val="28"/>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1"/>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jBkOTJmNTkwYzlkNWEzNWI5NmNkNmY2NDZmMDg4NTAifQ=="/>
  </w:docVars>
  <w:rsids>
    <w:rsidRoot w:val="3A6609DE"/>
    <w:rsid w:val="050761EF"/>
    <w:rsid w:val="0CAF6FD7"/>
    <w:rsid w:val="13FA05C9"/>
    <w:rsid w:val="18173395"/>
    <w:rsid w:val="1CE26EDB"/>
    <w:rsid w:val="2A241CFB"/>
    <w:rsid w:val="34873C48"/>
    <w:rsid w:val="3626715F"/>
    <w:rsid w:val="3A6609DE"/>
    <w:rsid w:val="4B2023DB"/>
    <w:rsid w:val="5424798C"/>
    <w:rsid w:val="619F627E"/>
    <w:rsid w:val="66DA749C"/>
    <w:rsid w:val="6E337948"/>
    <w:rsid w:val="797347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rPr>
  </w:style>
  <w:style w:type="character" w:default="1" w:styleId="9">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Normal Indent"/>
    <w:basedOn w:val="1"/>
    <w:next w:val="1"/>
    <w:qFormat/>
    <w:uiPriority w:val="0"/>
    <w:pPr>
      <w:ind w:firstLine="420" w:firstLineChars="200"/>
    </w:pPr>
    <w:rPr>
      <w:rFonts w:ascii="Times New Roman" w:hAnsi="Times New Roman" w:eastAsia="宋体" w:cs="Times New Roman"/>
      <w:sz w:val="21"/>
      <w:szCs w:val="20"/>
    </w:rPr>
  </w:style>
  <w:style w:type="paragraph" w:styleId="3">
    <w:name w:val="Body Text"/>
    <w:basedOn w:val="1"/>
    <w:qFormat/>
    <w:uiPriority w:val="0"/>
    <w:pPr>
      <w:spacing w:after="120" w:afterLines="0"/>
    </w:pPr>
  </w:style>
  <w:style w:type="paragraph" w:styleId="4">
    <w:name w:val="Body Text Indent"/>
    <w:basedOn w:val="1"/>
    <w:next w:val="2"/>
    <w:qFormat/>
    <w:uiPriority w:val="0"/>
    <w:pPr>
      <w:spacing w:line="640" w:lineRule="exact"/>
      <w:ind w:firstLine="615"/>
    </w:pPr>
  </w:style>
  <w:style w:type="paragraph" w:styleId="5">
    <w:name w:val="footer"/>
    <w:basedOn w:val="1"/>
    <w:qFormat/>
    <w:uiPriority w:val="0"/>
    <w:pPr>
      <w:tabs>
        <w:tab w:val="center" w:pos="4153"/>
        <w:tab w:val="right" w:pos="8306"/>
      </w:tabs>
      <w:snapToGrid w:val="0"/>
      <w:jc w:val="left"/>
    </w:pPr>
    <w:rPr>
      <w:sz w:val="18"/>
    </w:rPr>
  </w:style>
  <w:style w:type="paragraph" w:styleId="6">
    <w:name w:val="header"/>
    <w:basedOn w:val="1"/>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7">
    <w:name w:val="Body Text First Indent 2"/>
    <w:basedOn w:val="4"/>
    <w:next w:val="1"/>
    <w:qFormat/>
    <w:uiPriority w:val="0"/>
    <w:pPr>
      <w:ind w:firstLine="420"/>
    </w:pPr>
  </w:style>
  <w:style w:type="paragraph" w:customStyle="1" w:styleId="10">
    <w:name w:val="UserStyle_0"/>
    <w:basedOn w:val="11"/>
    <w:qFormat/>
    <w:uiPriority w:val="0"/>
    <w:pPr>
      <w:spacing w:line="567" w:lineRule="exact"/>
      <w:ind w:firstLine="200" w:firstLineChars="200"/>
    </w:pPr>
  </w:style>
  <w:style w:type="paragraph" w:customStyle="1" w:styleId="11">
    <w:name w:val="UserStyle_1"/>
    <w:basedOn w:val="12"/>
    <w:qFormat/>
    <w:uiPriority w:val="0"/>
    <w:pPr>
      <w:spacing w:line="567" w:lineRule="atLeast"/>
      <w:jc w:val="both"/>
    </w:pPr>
    <w:rPr>
      <w:rFonts w:eastAsia="方正仿宋_GBK"/>
      <w:sz w:val="32"/>
    </w:rPr>
  </w:style>
  <w:style w:type="paragraph" w:customStyle="1" w:styleId="12">
    <w:name w:val="UserStyle_3"/>
    <w:basedOn w:val="1"/>
    <w:qFormat/>
    <w:uiPriority w:val="0"/>
    <w:pPr>
      <w:spacing w:line="700" w:lineRule="atLeast"/>
      <w:jc w:val="center"/>
      <w:textAlignment w:val="baseline"/>
    </w:pPr>
    <w:rPr>
      <w:rFonts w:eastAsia="方正小标宋_GBK"/>
      <w:sz w:val="44"/>
      <w:szCs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558</Words>
  <Characters>586</Characters>
  <Lines>0</Lines>
  <Paragraphs>0</Paragraphs>
  <TotalTime>1</TotalTime>
  <ScaleCrop>false</ScaleCrop>
  <LinksUpToDate>false</LinksUpToDate>
  <CharactersWithSpaces>601</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2024-08-29T03:29:00Z</dcterms:created>
  <dc:creator>涵 花 花 </dc:creator>
  <cp:lastModifiedBy>Administrator</cp:lastModifiedBy>
  <cp:lastPrinted>2024-11-04T05:57:54Z</cp:lastPrinted>
  <dcterms:modified xsi:type="dcterms:W3CDTF">2024-11-04T06:03:42Z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D663B883F3E24BCDA28320B573E094A9_11</vt:lpwstr>
  </property>
</Properties>
</file>