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08764D">
      <w:pPr>
        <w:jc w:val="center"/>
        <w:rPr>
          <w:rFonts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</w:rPr>
        <w:t>招</w:t>
      </w:r>
      <w:bookmarkStart w:id="0" w:name="_GoBack"/>
      <w:bookmarkEnd w:id="0"/>
      <w:r>
        <w:rPr>
          <w:rFonts w:hint="eastAsia" w:ascii="方正小标宋简体" w:hAnsi="黑体" w:eastAsia="方正小标宋简体" w:cs="黑体"/>
          <w:sz w:val="44"/>
          <w:szCs w:val="44"/>
        </w:rPr>
        <w:t>标代理机构选择评分细则表</w:t>
      </w:r>
    </w:p>
    <w:tbl>
      <w:tblPr>
        <w:tblStyle w:val="2"/>
        <w:tblW w:w="92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800"/>
        <w:gridCol w:w="720"/>
        <w:gridCol w:w="4568"/>
        <w:gridCol w:w="1335"/>
      </w:tblGrid>
      <w:tr w14:paraId="13CDC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F56E35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序号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908D0E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评分因素及权重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F8C67D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分值</w:t>
            </w:r>
          </w:p>
        </w:tc>
        <w:tc>
          <w:tcPr>
            <w:tcW w:w="4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91AD87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评分标准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CC5842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备注</w:t>
            </w:r>
          </w:p>
        </w:tc>
      </w:tr>
      <w:tr w14:paraId="114D24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A206BE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1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D71537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报价</w:t>
            </w:r>
          </w:p>
          <w:p w14:paraId="0B86F692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30%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0B5647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30</w:t>
            </w:r>
          </w:p>
        </w:tc>
        <w:tc>
          <w:tcPr>
            <w:tcW w:w="4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35D228">
            <w:pPr>
              <w:adjustRightInd w:val="0"/>
              <w:snapToGrid w:val="0"/>
              <w:ind w:firstLine="420" w:firstLineChars="200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1.投标人按照发展改革委《关于进一步放开建设项目专业服务价格的通知》（发改价格〔2015〕299号）第一条第（三）款规定执行。</w:t>
            </w:r>
          </w:p>
          <w:p w14:paraId="2D709AEC">
            <w:pPr>
              <w:adjustRightInd w:val="0"/>
              <w:snapToGrid w:val="0"/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2.投标报价计分方法：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招标代理费最高限定收取比例为项目中标金额的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1.5%；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以下浮率最高者得分最高，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相比最高下浮率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每少下浮一个百分点扣1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分（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不足一个百分点按一个百分点计算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；</w:t>
            </w:r>
          </w:p>
          <w:p w14:paraId="56262A5F">
            <w:pPr>
              <w:adjustRightInd w:val="0"/>
              <w:snapToGrid w:val="0"/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3.报价下浮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比例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超过20%，则报价分值为0分。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1A6D97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</w:tr>
      <w:tr w14:paraId="7AC9D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4D47B2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0E5EE6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招标代理方案40</w:t>
            </w:r>
            <w:r>
              <w:rPr>
                <w:rFonts w:ascii="仿宋_GB2312" w:hAnsi="仿宋_GB2312" w:eastAsia="仿宋_GB2312" w:cs="仿宋_GB2312"/>
                <w:szCs w:val="21"/>
              </w:rPr>
              <w:t>%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E3234C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40</w:t>
            </w:r>
          </w:p>
        </w:tc>
        <w:tc>
          <w:tcPr>
            <w:tcW w:w="4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85A12F">
            <w:pPr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根据投标人着重从如何保证招投标的合法合规、公平公正，如何保证招投标工作质量和工作水平方面编制招标代理服务方案。包括但不仅限于如下内容：需求论证组织；招标文件制作质量；招投标程序合法合规；开标过程公平公正；防范围标、串标行为；质疑投诉防范和处理；招标资料收集、保存、移交、协助电子平台项目生成等。</w:t>
            </w:r>
          </w:p>
          <w:p w14:paraId="10726894">
            <w:pPr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对方案进行横向比较综合评分，优秀得31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～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40分，良好得21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～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30分，一般得11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～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20分，差得10分，未提供得</w:t>
            </w:r>
            <w:r>
              <w:rPr>
                <w:rFonts w:ascii="仿宋_GB2312" w:hAnsi="仿宋_GB2312" w:eastAsia="仿宋_GB2312" w:cs="仿宋_GB2312"/>
                <w:szCs w:val="21"/>
              </w:rPr>
              <w:t>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分。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53507F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</w:tr>
      <w:tr w14:paraId="7AC93C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1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9CA494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7373C4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执业能力</w:t>
            </w:r>
          </w:p>
          <w:p w14:paraId="17E6D545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15</w:t>
            </w:r>
            <w:r>
              <w:rPr>
                <w:rFonts w:ascii="仿宋_GB2312" w:hAnsi="仿宋_GB2312" w:eastAsia="仿宋_GB2312" w:cs="仿宋_GB2312"/>
                <w:szCs w:val="21"/>
              </w:rPr>
              <w:t>%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73EF99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15</w:t>
            </w:r>
          </w:p>
        </w:tc>
        <w:tc>
          <w:tcPr>
            <w:tcW w:w="4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EE1C10">
            <w:pPr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1.机构从业人员（10分）：</w:t>
            </w:r>
            <w:r>
              <w:rPr>
                <w:rFonts w:ascii="仿宋_GB2312" w:hAnsi="仿宋_GB2312" w:eastAsia="仿宋_GB2312" w:cs="仿宋_GB2312"/>
                <w:szCs w:val="21"/>
              </w:rPr>
              <w:t>10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人及以上得10分，</w:t>
            </w:r>
            <w:r>
              <w:rPr>
                <w:rFonts w:ascii="仿宋_GB2312" w:hAnsi="仿宋_GB2312" w:eastAsia="仿宋_GB2312" w:cs="仿宋_GB2312"/>
                <w:szCs w:val="21"/>
              </w:rPr>
              <w:t>5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～</w:t>
            </w:r>
            <w:r>
              <w:rPr>
                <w:rFonts w:ascii="仿宋_GB2312" w:hAnsi="仿宋_GB2312" w:eastAsia="仿宋_GB2312" w:cs="仿宋_GB2312"/>
                <w:szCs w:val="21"/>
              </w:rPr>
              <w:t>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人得5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～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9分，4人（含）以下不得分；</w:t>
            </w:r>
          </w:p>
          <w:p w14:paraId="73010B60">
            <w:pPr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2.项目负责人配备（5分）：项目负责人具有本科或以上学历得5分、专科得3分。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B1AEFC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人员不重复计分，并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提供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人员在职证明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材料</w:t>
            </w:r>
          </w:p>
        </w:tc>
      </w:tr>
      <w:tr w14:paraId="2A765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7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977E33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4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20275B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代理业绩</w:t>
            </w:r>
          </w:p>
          <w:p w14:paraId="3384C406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10</w:t>
            </w:r>
            <w:r>
              <w:rPr>
                <w:rFonts w:ascii="仿宋_GB2312" w:hAnsi="仿宋_GB2312" w:eastAsia="仿宋_GB2312" w:cs="仿宋_GB2312"/>
                <w:szCs w:val="21"/>
              </w:rPr>
              <w:t>%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0753F8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10</w:t>
            </w:r>
          </w:p>
        </w:tc>
        <w:tc>
          <w:tcPr>
            <w:tcW w:w="4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44DED6">
            <w:pPr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以近一年内代理业绩为准（时间以投标截止日为准），每提供</w:t>
            </w:r>
            <w:r>
              <w:rPr>
                <w:rFonts w:ascii="仿宋_GB2312" w:hAnsi="仿宋_GB2312" w:eastAsia="仿宋_GB2312" w:cs="仿宋_GB2312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个得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分，最高得10分（提供中标通知书或合同等证明材料）。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03247B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当年新成立的公司，不提供代理业绩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，按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分计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。</w:t>
            </w:r>
          </w:p>
        </w:tc>
      </w:tr>
      <w:tr w14:paraId="5283C3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E26537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5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196A38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投标文件规范性</w:t>
            </w:r>
          </w:p>
          <w:p w14:paraId="1C5EFF3E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5%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FE5AD6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5</w:t>
            </w:r>
          </w:p>
        </w:tc>
        <w:tc>
          <w:tcPr>
            <w:tcW w:w="4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6224FB">
            <w:pPr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投标文件制作规范，没有细微偏差情形的得满分；有一项细微偏差扣</w:t>
            </w:r>
            <w:r>
              <w:rPr>
                <w:rFonts w:ascii="仿宋_GB2312" w:hAnsi="仿宋_GB2312" w:eastAsia="仿宋_GB2312" w:cs="仿宋_GB2312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分；直到该项分值扣完为止。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8C0C65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</w:tr>
    </w:tbl>
    <w:p w14:paraId="264340F8">
      <w:pPr>
        <w:rPr>
          <w:rFonts w:hint="eastAsia" w:ascii="仿宋_GB2312" w:eastAsia="仿宋_GB2312"/>
          <w:sz w:val="32"/>
          <w:szCs w:val="32"/>
        </w:rPr>
      </w:pPr>
    </w:p>
    <w:p w14:paraId="416E752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E31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2025-10-20T06:54:02Z</dcterms:created>
  <dc:creator>Administrator</dc:creator>
  <cp:lastModifiedBy>土猴儿</cp:lastModifiedBy>
  <dcterms:modified xsi:type="dcterms:W3CDTF">2025-10-20T06:54:13Z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eyJoZGlkIjoiOGMwOGU1ZWZiOWQ1MjExODE5M2QwMzA2NGJmNDJmY2MiLCJ1c2VySWQiOiIyMjYyNzE5MTYifQ==</vt:lpwstr>
  </property>
  <property fmtid="{D5CDD505-2E9C-101B-9397-08002B2CF9AE}" pid="4" name="ICV">
    <vt:lpwstr>846923B5B75B4CF4B5E165061C8C96E0_12</vt:lpwstr>
  </property>
</Properties>
</file>