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第</w:t>
      </w:r>
      <w:r>
        <w:rPr>
          <w:rFonts w:hint="eastAsia" w:ascii="Times New Roman" w:hAnsi="Times New Roman" w:eastAsia="方正小标宋简体"/>
          <w:sz w:val="44"/>
          <w:szCs w:val="44"/>
          <w:lang w:val="en-US" w:eastAsia="zh-CN"/>
        </w:rPr>
        <w:t>二</w:t>
      </w:r>
      <w:r>
        <w:rPr>
          <w:rFonts w:ascii="Times New Roman" w:hAnsi="Times New Roman" w:eastAsia="方正小标宋简体"/>
          <w:sz w:val="44"/>
          <w:szCs w:val="44"/>
        </w:rPr>
        <w:t>轮</w:t>
      </w:r>
      <w:bookmarkStart w:id="0" w:name="_GoBack"/>
      <w:bookmarkEnd w:id="0"/>
      <w:r>
        <w:rPr>
          <w:rFonts w:hint="eastAsia" w:ascii="Times New Roman" w:hAnsi="Times New Roman" w:eastAsia="方正小标宋简体"/>
          <w:sz w:val="44"/>
          <w:szCs w:val="44"/>
          <w:lang w:val="en-US" w:eastAsia="zh-CN"/>
        </w:rPr>
        <w:t>省级</w:t>
      </w:r>
      <w:r>
        <w:rPr>
          <w:rFonts w:ascii="Times New Roman" w:hAnsi="Times New Roman" w:eastAsia="方正小标宋简体"/>
          <w:sz w:val="44"/>
          <w:szCs w:val="44"/>
        </w:rPr>
        <w:t>生态环境保护督察第</w:t>
      </w:r>
      <w:r>
        <w:rPr>
          <w:rFonts w:hint="eastAsia" w:ascii="Times New Roman" w:hAnsi="Times New Roman" w:eastAsia="方正小标宋简体"/>
          <w:sz w:val="44"/>
          <w:szCs w:val="44"/>
          <w:lang w:val="en-US" w:eastAsia="zh-CN"/>
        </w:rPr>
        <w:t>五</w:t>
      </w:r>
      <w:r>
        <w:rPr>
          <w:rFonts w:ascii="Times New Roman" w:hAnsi="Times New Roman" w:eastAsia="方正小标宋简体"/>
          <w:sz w:val="44"/>
          <w:szCs w:val="44"/>
        </w:rPr>
        <w:t>项</w:t>
      </w:r>
    </w:p>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整改任务完成情况表</w:t>
      </w:r>
    </w:p>
    <w:p>
      <w:pPr>
        <w:overflowPunct w:val="0"/>
        <w:topLinePunct/>
        <w:spacing w:line="600" w:lineRule="exact"/>
        <w:jc w:val="center"/>
        <w:rPr>
          <w:rFonts w:ascii="Times New Roman" w:hAnsi="Times New Roman" w:eastAsia="仿宋_GB2312"/>
          <w:sz w:val="32"/>
          <w:szCs w:val="32"/>
        </w:rPr>
      </w:pPr>
    </w:p>
    <w:tbl>
      <w:tblPr>
        <w:tblStyle w:val="9"/>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2716"/>
        <w:gridCol w:w="6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864"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整改任务</w:t>
            </w:r>
          </w:p>
        </w:tc>
        <w:tc>
          <w:tcPr>
            <w:tcW w:w="611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val="0"/>
              <w:topLinePunct/>
              <w:autoSpaceDE/>
              <w:autoSpaceDN/>
              <w:bidi w:val="0"/>
              <w:adjustRightInd/>
              <w:snapToGrid/>
              <w:spacing w:line="240" w:lineRule="auto"/>
              <w:textAlignment w:val="auto"/>
              <w:rPr>
                <w:rFonts w:hint="eastAsia" w:ascii="Times New Roman" w:hAnsi="Times New Roman" w:eastAsia="楷体_GB2312" w:cs="Times New Roman"/>
                <w:kern w:val="0"/>
                <w:sz w:val="21"/>
                <w:szCs w:val="21"/>
                <w:lang w:val="en-US" w:eastAsia="zh-CN" w:bidi="ar-SA"/>
              </w:rPr>
            </w:pPr>
            <w:r>
              <w:rPr>
                <w:rFonts w:hint="eastAsia" w:ascii="仿宋_GB2312" w:hAnsi="仿宋_GB2312" w:eastAsia="仿宋_GB2312" w:cs="仿宋_GB2312"/>
                <w:kern w:val="0"/>
                <w:sz w:val="21"/>
                <w:szCs w:val="21"/>
                <w:lang w:eastAsia="zh-CN"/>
              </w:rPr>
              <w:t>省污染防治攻坚领导小组办公室要求乐山等10市于2020年11月10日零时启动重污染天气黄色预警。按照乐山市重污染天气预防和应急预案有关要求，所有建筑工地必须采取湿法作业并有效除尘，未落实的工地停止施工，进城货车须绕行。犍为县重视程度不够，县住建、交通等部门执行落实不力，岷江航电枢纽工程犍为段、芭石独立工矿区新型工业基地等重大工程项目未采取有效防尘降尘措施，且未停止施工，现场大面积裸土未覆盖，进出场工程车辆基本未密闭、带泥上路、抛洒滴漏问题突出，附近道路积尘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452"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整改责任单位</w:t>
            </w:r>
          </w:p>
        </w:tc>
        <w:tc>
          <w:tcPr>
            <w:tcW w:w="6118" w:type="dxa"/>
            <w:tcBorders>
              <w:top w:val="single" w:color="auto" w:sz="4" w:space="0"/>
              <w:left w:val="nil"/>
              <w:bottom w:val="single" w:color="auto" w:sz="4" w:space="0"/>
              <w:right w:val="single" w:color="auto" w:sz="4" w:space="0"/>
            </w:tcBorders>
            <w:vAlign w:val="center"/>
          </w:tcPr>
          <w:p>
            <w:pPr>
              <w:overflowPunct w:val="0"/>
              <w:topLinePunct/>
              <w:spacing w:line="5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1"/>
                <w:szCs w:val="21"/>
              </w:rPr>
              <w:t>犍为县委、县政府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028"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整改目标</w:t>
            </w:r>
          </w:p>
        </w:tc>
        <w:tc>
          <w:tcPr>
            <w:tcW w:w="6118" w:type="dxa"/>
            <w:tcBorders>
              <w:top w:val="single" w:color="auto" w:sz="4" w:space="0"/>
              <w:left w:val="nil"/>
              <w:bottom w:val="single" w:color="auto" w:sz="4" w:space="0"/>
              <w:right w:val="single" w:color="auto" w:sz="4" w:space="0"/>
            </w:tcBorders>
            <w:vAlign w:val="center"/>
          </w:tcPr>
          <w:p>
            <w:pPr>
              <w:overflowPunct w:val="0"/>
              <w:topLinePunct/>
              <w:spacing w:line="50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全面落实重污染天气应急响应，全面从严管控施工和道路扬尘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736"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整改措施</w:t>
            </w:r>
          </w:p>
        </w:tc>
        <w:tc>
          <w:tcPr>
            <w:tcW w:w="6118" w:type="dxa"/>
            <w:tcBorders>
              <w:top w:val="single" w:color="auto" w:sz="4" w:space="0"/>
              <w:left w:val="nil"/>
              <w:bottom w:val="single" w:color="auto" w:sz="4" w:space="0"/>
              <w:right w:val="single" w:color="auto" w:sz="4" w:space="0"/>
            </w:tcBorders>
          </w:tcPr>
          <w:p>
            <w:pPr>
              <w:keepNext w:val="0"/>
              <w:keepLines w:val="0"/>
              <w:pageBreakBefore w:val="0"/>
              <w:widowControl w:val="0"/>
              <w:numPr>
                <w:ilvl w:val="0"/>
                <w:numId w:val="0"/>
              </w:numPr>
              <w:kinsoku/>
              <w:wordWrap/>
              <w:topLinePunct/>
              <w:autoSpaceDE/>
              <w:autoSpaceDN/>
              <w:bidi w:val="0"/>
              <w:adjustRightInd/>
              <w:snapToGrid/>
              <w:spacing w:line="240" w:lineRule="auto"/>
              <w:jc w:val="left"/>
              <w:textAlignment w:val="auto"/>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一）扎实推进全县重污染天气应急响应工作，进一步健全重污染天气应急响应机制，全面提高预防、预警和应急能力，进一步控制、减少重污染天气，最大程度减少和遏制重污染天气带来的影响。2021年1月底前参照《乐山市污染防治攻坚战领导小组办公室关于印发〈乐山市重污染天气预防和应急预案减排措施项目清单（2020年）〉的通知》（乐污防攻坚办〔2021〕5号），印发《犍为县重污染天气预防和应急预案减排措施项目清单（2020年）》并严格执行。</w:t>
            </w:r>
          </w:p>
          <w:p>
            <w:pPr>
              <w:keepNext w:val="0"/>
              <w:keepLines w:val="0"/>
              <w:pageBreakBefore w:val="0"/>
              <w:widowControl w:val="0"/>
              <w:numPr>
                <w:ilvl w:val="0"/>
                <w:numId w:val="0"/>
              </w:numPr>
              <w:kinsoku/>
              <w:wordWrap/>
              <w:topLinePunct/>
              <w:autoSpaceDE/>
              <w:autoSpaceDN/>
              <w:bidi w:val="0"/>
              <w:adjustRightInd/>
              <w:snapToGrid/>
              <w:spacing w:line="240" w:lineRule="auto"/>
              <w:jc w:val="left"/>
              <w:textAlignment w:val="auto"/>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（二）制定落实《岷江航电犍为枢纽工程砂石系统拆除方案》，2020年12月底前完成砂石系统拆除，2021年3月底前完成场地整治和生态治理。</w:t>
            </w:r>
          </w:p>
          <w:p>
            <w:pPr>
              <w:keepNext w:val="0"/>
              <w:keepLines w:val="0"/>
              <w:pageBreakBefore w:val="0"/>
              <w:widowControl w:val="0"/>
              <w:numPr>
                <w:ilvl w:val="0"/>
                <w:numId w:val="0"/>
              </w:numPr>
              <w:kinsoku/>
              <w:wordWrap/>
              <w:topLinePunct/>
              <w:autoSpaceDE/>
              <w:autoSpaceDN/>
              <w:bidi w:val="0"/>
              <w:adjustRightInd/>
              <w:snapToGrid/>
              <w:spacing w:line="240" w:lineRule="auto"/>
              <w:jc w:val="left"/>
              <w:textAlignment w:val="auto"/>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三）制定落实《岷江龙溪口航电枢纽工程扬尘污染等环境问题整改方案》，2020年12月底前完善进出场地硬化，增设车辆冲洗设施、喷淋设施，安装扬尘自动监测系统；2021年4月底前完成物料堆放和砂石加工系统封装。</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Cs w:val="21"/>
              </w:rPr>
              <w:t>（四）制定落实《犍为新型工业基地扬尘污染等环境问题整改方案》，2021年4月底前完成施工区域打围、裸土覆盖，完善进出场地硬化和增设车辆冲洗设施、喷淋设施。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005"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整改主要工作</w:t>
            </w:r>
          </w:p>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及成效</w:t>
            </w:r>
          </w:p>
        </w:tc>
        <w:tc>
          <w:tcPr>
            <w:tcW w:w="6118" w:type="dxa"/>
            <w:tcBorders>
              <w:top w:val="single" w:color="auto" w:sz="4" w:space="0"/>
              <w:left w:val="nil"/>
              <w:bottom w:val="single" w:color="auto" w:sz="4" w:space="0"/>
              <w:right w:val="single" w:color="auto" w:sz="4" w:space="0"/>
            </w:tcBorders>
          </w:tcPr>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1.进一步建立健全重污染天气应急响应机制，制定并严格执行《犍为县重污染天气预防和应急预案减排措施项目清单（2020年）》，扎实推进全县重污染天气应急响应工作。</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2.岷江航电犍为枢纽于2021年1月18日完成砂石系统拆除，2021年2月7日完成了拆除场地上的种草、浇水等生态修复。</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3.龙溪口枢纽于2020年11月20日完成进出场地硬化，完成骨料和料场的覆盖，组建15人的道路清洁队，增置6台雾炮机，1套喷淋系统，2台洒水车，开展常态化道路防扬尘整治；2020年12月5日安装扬尘自动监测系统，增设车辆冲洗设施，完成砂石加工系统的封装。</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eastAsia" w:ascii="仿宋_GB2312" w:hAnsi="仿宋_GB2312" w:eastAsia="仿宋_GB2312" w:cs="仿宋_GB2312"/>
                <w:kern w:val="0"/>
                <w:sz w:val="28"/>
                <w:szCs w:val="28"/>
              </w:rPr>
            </w:pPr>
            <w:r>
              <w:rPr>
                <w:rFonts w:hint="default" w:ascii="Times New Roman" w:hAnsi="Times New Roman" w:eastAsia="仿宋_GB2312" w:cs="Times New Roman"/>
                <w:kern w:val="0"/>
                <w:sz w:val="21"/>
                <w:szCs w:val="21"/>
              </w:rPr>
              <w:t>4.2020年11月，印发《犍为新型工业基地在建项目扬尘污染等环境问题整改方案》，明确了整改责任、整改措施、整改时限。2021年4月，非施工作业区裸土实现全覆盖，新增移动雾炮车1台、洒水车8辆、雾炮机46台，安装围挡4500米，硬化进出口场地4万平方米，设置进出口通道车辆自动冲洗设施2个，全面落实扬尘污染防治措施，扬尘污染得到有效遏制。2021年11月，犍为新型工业基地孝姑核心区原场平区域全面复绿。</w:t>
            </w:r>
          </w:p>
        </w:tc>
      </w:tr>
    </w:tbl>
    <w:p>
      <w:pPr>
        <w:widowControl/>
        <w:spacing w:line="600" w:lineRule="exact"/>
        <w:jc w:val="left"/>
        <w:rPr>
          <w:rFonts w:ascii="Times New Roman" w:hAnsi="Times New Roman" w:eastAsia="宋体" w:cs="黑体"/>
        </w:rPr>
      </w:pPr>
      <w:r>
        <w:rPr>
          <w:rFonts w:ascii="Times New Roman" w:hAnsi="Times New Roman"/>
        </w:rPr>
        <mc:AlternateContent>
          <mc:Choice Requires="wps">
            <w:drawing>
              <wp:anchor distT="0" distB="0" distL="0" distR="0" simplePos="0" relativeHeight="1024" behindDoc="0" locked="0" layoutInCell="1" allowOverlap="1">
                <wp:simplePos x="0" y="0"/>
                <wp:positionH relativeFrom="column">
                  <wp:posOffset>4549140</wp:posOffset>
                </wp:positionH>
                <wp:positionV relativeFrom="paragraph">
                  <wp:posOffset>8097520</wp:posOffset>
                </wp:positionV>
                <wp:extent cx="1228725" cy="471805"/>
                <wp:effectExtent l="0" t="0" r="9525" b="5080"/>
                <wp:wrapNone/>
                <wp:docPr id="1026" name="文本框 4"/>
                <wp:cNvGraphicFramePr/>
                <a:graphic xmlns:a="http://schemas.openxmlformats.org/drawingml/2006/main">
                  <a:graphicData uri="http://schemas.microsoft.com/office/word/2010/wordprocessingShape">
                    <wps:wsp>
                      <wps:cNvSpPr/>
                      <wps:spPr>
                        <a:xfrm>
                          <a:off x="0" y="0"/>
                          <a:ext cx="1228725" cy="471805"/>
                        </a:xfrm>
                        <a:prstGeom prst="rect">
                          <a:avLst/>
                        </a:prstGeom>
                        <a:solidFill>
                          <a:srgbClr val="FFFFFF"/>
                        </a:solidFill>
                        <a:ln>
                          <a:noFill/>
                        </a:ln>
                      </wps:spPr>
                      <wps:txbx>
                        <w:txbxContent>
                          <w:p/>
                        </w:txbxContent>
                      </wps:txbx>
                      <wps:bodyPr vert="horz" wrap="square" lIns="91440" tIns="45720" rIns="91440" bIns="45720" anchor="t">
                        <a:noAutofit/>
                      </wps:bodyPr>
                    </wps:wsp>
                  </a:graphicData>
                </a:graphic>
              </wp:anchor>
            </w:drawing>
          </mc:Choice>
          <mc:Fallback>
            <w:pict>
              <v:rect id="文本框 4" o:spid="_x0000_s1026" o:spt="1" style="position:absolute;left:0pt;margin-left:358.2pt;margin-top:637.6pt;height:37.15pt;width:96.75pt;z-index:1024;mso-width-relative:page;mso-height-relative:page;" fillcolor="#FFFFFF" filled="t" stroked="f" coordsize="21600,21600" o:gfxdata="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GDcG9oAAAANAQAADwAAAAAAAAAB&#10;ACAAAAAiAAAAZHJzL2Rvd25yZXYueG1sUEsBAhQAFAAAAAgAh07iQPeb0w7VAQAAiQMAAA4AAAAA&#10;AAAAAQAgAAAAKQEAAGRycy9lMm9Eb2MueG1sUEsFBgAAAAAGAAYAWQEAAHAFAAAAAA==&#10;">
                <v:fill on="t" focussize="0,0"/>
                <v:stroke on="f"/>
                <v:imagedata o:title=""/>
                <o:lock v:ext="edit" aspectratio="f"/>
                <v:textbox>
                  <w:txbxContent>
                    <w:p/>
                  </w:txbxContent>
                </v:textbox>
              </v:rect>
            </w:pict>
          </mc:Fallback>
        </mc:AlternateContent>
      </w:r>
    </w:p>
    <w:sectPr>
      <w:footerReference r:id="rId3" w:type="default"/>
      <w:footerReference r:id="rId4" w:type="even"/>
      <w:pgSz w:w="11906" w:h="16838"/>
      <w:pgMar w:top="2098" w:right="1474" w:bottom="1247"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001010101"/>
    <w:charset w:val="86"/>
    <w:family w:val="modern"/>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210" w:leftChars="100" w:right="210" w:rightChars="100"/>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15</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210" w:leftChars="100" w:right="210" w:rightChars="10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16</w:t>
    </w:r>
    <w:r>
      <w:rPr>
        <w:rFonts w:ascii="宋体" w:hAnsi="宋体" w:eastAsia="宋体"/>
        <w:sz w:val="28"/>
        <w:szCs w:val="28"/>
      </w:rPr>
      <w:fldChar w:fldCharType="end"/>
    </w:r>
    <w:r>
      <w:rPr>
        <w:rFonts w:hint="eastAsia" w:ascii="宋体" w:hAnsi="宋体" w:eastAsia="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6D02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paragraph" w:styleId="3">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qFormat/>
    <w:uiPriority w:val="1"/>
  </w:style>
  <w:style w:type="table" w:default="1" w:styleId="9">
    <w:name w:val="Normal Table"/>
    <w:qFormat/>
    <w:uiPriority w:val="99"/>
    <w:tblPr>
      <w:tblCellMar>
        <w:top w:w="0" w:type="dxa"/>
        <w:left w:w="108" w:type="dxa"/>
        <w:bottom w:w="0" w:type="dxa"/>
        <w:right w:w="108" w:type="dxa"/>
      </w:tblCellMar>
    </w:tblPr>
  </w:style>
  <w:style w:type="paragraph" w:styleId="2">
    <w:name w:val="Salutation"/>
    <w:basedOn w:val="1"/>
    <w:next w:val="1"/>
    <w:link w:val="16"/>
    <w:qFormat/>
    <w:uiPriority w:val="99"/>
    <w:rPr>
      <w:rFonts w:ascii="Calibri" w:hAnsi="Calibri" w:eastAsia="宋体" w:cs="黑体"/>
    </w:rPr>
  </w:style>
  <w:style w:type="paragraph" w:styleId="4">
    <w:name w:val="index 8"/>
    <w:basedOn w:val="1"/>
    <w:next w:val="1"/>
    <w:qFormat/>
    <w:uiPriority w:val="99"/>
    <w:pPr>
      <w:ind w:left="2940"/>
    </w:pPr>
  </w:style>
  <w:style w:type="paragraph" w:styleId="5">
    <w:name w:val="Body Text"/>
    <w:basedOn w:val="1"/>
    <w:next w:val="4"/>
    <w:link w:val="17"/>
    <w:qFormat/>
    <w:uiPriority w:val="0"/>
    <w:pPr>
      <w:widowControl/>
      <w:spacing w:line="360" w:lineRule="auto"/>
      <w:jc w:val="left"/>
    </w:pPr>
    <w:rPr>
      <w:rFonts w:ascii="Calibri" w:hAnsi="Calibri" w:eastAsia="宋体" w:cs="Times New Roman"/>
      <w:color w:val="000000"/>
      <w:kern w:val="0"/>
      <w:sz w:val="24"/>
      <w:szCs w:val="24"/>
      <w:lang w:eastAsia="en-US" w:bidi="en-US"/>
    </w:rPr>
  </w:style>
  <w:style w:type="paragraph" w:styleId="6">
    <w:name w:val="Balloon Text"/>
    <w:basedOn w:val="1"/>
    <w:link w:val="14"/>
    <w:qFormat/>
    <w:uiPriority w:val="99"/>
    <w:rPr>
      <w:sz w:val="18"/>
      <w:szCs w:val="18"/>
    </w:rPr>
  </w:style>
  <w:style w:type="paragraph" w:styleId="7">
    <w:name w:val="footer"/>
    <w:basedOn w:val="1"/>
    <w:link w:val="12"/>
    <w:qFormat/>
    <w:uiPriority w:val="99"/>
    <w:pPr>
      <w:tabs>
        <w:tab w:val="center" w:pos="4153"/>
        <w:tab w:val="right" w:pos="8306"/>
      </w:tabs>
      <w:snapToGrid w:val="0"/>
      <w:jc w:val="left"/>
    </w:pPr>
    <w:rPr>
      <w:sz w:val="18"/>
      <w:szCs w:val="18"/>
    </w:rPr>
  </w:style>
  <w:style w:type="paragraph" w:styleId="8">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字符"/>
    <w:basedOn w:val="10"/>
    <w:link w:val="8"/>
    <w:qFormat/>
    <w:uiPriority w:val="99"/>
    <w:rPr>
      <w:sz w:val="18"/>
      <w:szCs w:val="18"/>
    </w:rPr>
  </w:style>
  <w:style w:type="character" w:customStyle="1" w:styleId="12">
    <w:name w:val="页脚 字符"/>
    <w:basedOn w:val="10"/>
    <w:link w:val="7"/>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框文本 字符"/>
    <w:basedOn w:val="10"/>
    <w:link w:val="6"/>
    <w:qFormat/>
    <w:uiPriority w:val="99"/>
    <w:rPr>
      <w:kern w:val="2"/>
      <w:sz w:val="18"/>
      <w:szCs w:val="18"/>
    </w:rPr>
  </w:style>
  <w:style w:type="character" w:customStyle="1" w:styleId="15">
    <w:name w:val="标题 1 字符"/>
    <w:basedOn w:val="10"/>
    <w:link w:val="3"/>
    <w:qFormat/>
    <w:uiPriority w:val="9"/>
    <w:rPr>
      <w:b/>
      <w:bCs/>
      <w:kern w:val="44"/>
      <w:sz w:val="44"/>
      <w:szCs w:val="44"/>
    </w:rPr>
  </w:style>
  <w:style w:type="character" w:customStyle="1" w:styleId="16">
    <w:name w:val="称呼 字符"/>
    <w:basedOn w:val="10"/>
    <w:link w:val="2"/>
    <w:qFormat/>
    <w:uiPriority w:val="99"/>
    <w:rPr>
      <w:rFonts w:ascii="Calibri" w:hAnsi="Calibri" w:eastAsia="宋体" w:cs="黑体"/>
      <w:kern w:val="2"/>
      <w:sz w:val="21"/>
      <w:szCs w:val="22"/>
    </w:rPr>
  </w:style>
  <w:style w:type="character" w:customStyle="1" w:styleId="17">
    <w:name w:val="正文文本 字符"/>
    <w:basedOn w:val="10"/>
    <w:link w:val="5"/>
    <w:qFormat/>
    <w:uiPriority w:val="0"/>
    <w:rPr>
      <w:rFonts w:ascii="Calibri" w:hAnsi="Calibri"/>
      <w:color w:val="000000"/>
      <w:sz w:val="24"/>
      <w:szCs w:val="24"/>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539E45-0918-4B6C-8A81-8B7E5CA5D55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1430</Words>
  <Characters>1532</Characters>
  <Paragraphs>46</Paragraphs>
  <TotalTime>4</TotalTime>
  <ScaleCrop>false</ScaleCrop>
  <LinksUpToDate>false</LinksUpToDate>
  <CharactersWithSpaces>1538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2020-08-11T02:52:00Z</dcterms:created>
  <dc:creator>刘乙沛</dc:creator>
  <cp:lastModifiedBy>云裳</cp:lastModifiedBy>
  <cp:lastPrinted>2024-01-04T03:07:00Z</cp:lastPrinted>
  <dcterms:modified xsi:type="dcterms:W3CDTF">2024-01-04T06:31:45Z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D25EDCCDEC79409B8A9863B8E8C09F58_12</vt:lpwstr>
  </property>
</Properties>
</file>