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5C517F"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6250E3F3">
      <w:pPr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招标代理机构选择评分细则表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800"/>
        <w:gridCol w:w="720"/>
        <w:gridCol w:w="4613"/>
        <w:gridCol w:w="1031"/>
      </w:tblGrid>
      <w:tr w14:paraId="7CECF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15F527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序号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A8159B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评分因素及权重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012FE0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分值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CC58B7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评分标准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588FB6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备注</w:t>
            </w:r>
          </w:p>
        </w:tc>
      </w:tr>
      <w:tr w14:paraId="2B50E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6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9872CA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1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6B7B8D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报价</w:t>
            </w:r>
          </w:p>
          <w:p w14:paraId="3BEF3948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  <w:r>
              <w:rPr>
                <w:rFonts w:ascii="仿宋_GB2312" w:hAnsi="仿宋_GB2312" w:eastAsia="仿宋_GB2312" w:cs="仿宋_GB2312"/>
                <w:szCs w:val="21"/>
              </w:rPr>
              <w:t>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F2CF93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6DD63C">
            <w:pPr>
              <w:widowControl/>
              <w:shd w:val="clear" w:color="auto" w:fill="FFFFFF"/>
              <w:spacing w:line="320" w:lineRule="exact"/>
              <w:jc w:val="left"/>
              <w:outlineLvl w:val="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1.投标人按照发展改革委《关于进一步放开建设项目专业服务价格的通知》（发改价格〔2015〕299号）第一条第（三）款规定执行。</w:t>
            </w:r>
          </w:p>
          <w:p w14:paraId="65294C27">
            <w:pPr>
              <w:adjustRightInd w:val="0"/>
              <w:snapToGrid w:val="0"/>
              <w:ind w:left="-109" w:leftChars="-52"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2.投标报价计分方法：以下浮率最高者得分最高，每少下浮一个百分点扣1分;( 不足一个百分点按一个百分点计算)；</w:t>
            </w:r>
          </w:p>
          <w:p w14:paraId="04EC6397">
            <w:pPr>
              <w:pStyle w:val="4"/>
              <w:ind w:firstLine="308" w:firstLineChars="147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3.报价下浮超过20%，则报价分值为0分。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B64AAA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</w:tr>
      <w:tr w14:paraId="4C8D2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BA0788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2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E05A6B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执业能力</w:t>
            </w:r>
          </w:p>
          <w:p w14:paraId="778AB371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2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0</w:t>
            </w:r>
            <w:r>
              <w:rPr>
                <w:rFonts w:ascii="仿宋_GB2312" w:hAnsi="仿宋_GB2312" w:eastAsia="仿宋_GB2312" w:cs="仿宋_GB2312"/>
                <w:szCs w:val="21"/>
              </w:rPr>
              <w:t>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993D94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2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0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30384E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1.机构从业人员（</w:t>
            </w:r>
            <w:r>
              <w:rPr>
                <w:rFonts w:ascii="仿宋_GB2312" w:hAnsi="仿宋_GB2312" w:eastAsia="仿宋_GB2312" w:cs="仿宋_GB2312"/>
                <w:szCs w:val="21"/>
              </w:rPr>
              <w:t>10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分）：</w:t>
            </w:r>
            <w:r>
              <w:rPr>
                <w:rFonts w:ascii="仿宋_GB2312" w:hAnsi="仿宋_GB2312" w:eastAsia="仿宋_GB2312" w:cs="仿宋_GB2312"/>
                <w:szCs w:val="21"/>
              </w:rPr>
              <w:t>10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人及以上得</w:t>
            </w:r>
            <w:r>
              <w:rPr>
                <w:rFonts w:ascii="仿宋_GB2312" w:hAnsi="仿宋_GB2312" w:eastAsia="仿宋_GB2312" w:cs="仿宋_GB2312"/>
                <w:szCs w:val="21"/>
              </w:rPr>
              <w:t>10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分，</w:t>
            </w:r>
            <w:r>
              <w:rPr>
                <w:rFonts w:ascii="仿宋_GB2312" w:hAnsi="仿宋_GB2312" w:eastAsia="仿宋_GB2312" w:cs="仿宋_GB2312"/>
                <w:szCs w:val="21"/>
              </w:rPr>
              <w:t>5-9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人得</w:t>
            </w:r>
            <w:r>
              <w:rPr>
                <w:rFonts w:ascii="仿宋_GB2312" w:hAnsi="仿宋_GB2312" w:eastAsia="仿宋_GB2312" w:cs="仿宋_GB2312"/>
                <w:szCs w:val="21"/>
              </w:rPr>
              <w:t>5-9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分，4人（含）以下不得分；</w:t>
            </w:r>
          </w:p>
          <w:p w14:paraId="10E52524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2.项目负责人配备（</w:t>
            </w:r>
            <w:r>
              <w:rPr>
                <w:rFonts w:ascii="仿宋_GB2312" w:hAnsi="仿宋_GB2312" w:eastAsia="仿宋_GB2312" w:cs="仿宋_GB2312"/>
                <w:szCs w:val="21"/>
              </w:rPr>
              <w:t>10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分）：项目负责人具有本科或以上学历得10分、专科得5分。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500964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提供证明材料</w:t>
            </w:r>
          </w:p>
        </w:tc>
      </w:tr>
      <w:tr w14:paraId="420CD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474E64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3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E41B1C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代理业绩</w:t>
            </w:r>
          </w:p>
          <w:p w14:paraId="0A03784C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15</w:t>
            </w:r>
            <w:r>
              <w:rPr>
                <w:rFonts w:ascii="仿宋_GB2312" w:hAnsi="仿宋_GB2312" w:eastAsia="仿宋_GB2312" w:cs="仿宋_GB2312"/>
                <w:szCs w:val="21"/>
              </w:rPr>
              <w:t>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926A67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15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B33135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以近一年内代理业绩为准（时间以投标截止日为准），每提供</w:t>
            </w:r>
            <w:r>
              <w:rPr>
                <w:rFonts w:ascii="仿宋_GB2312" w:hAnsi="仿宋_GB2312" w:eastAsia="仿宋_GB2312" w:cs="仿宋_GB2312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个得3分（提供中标通知书或合同等证明材料）。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FB6F8A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当年新成立的公司，不提供代理业绩。</w:t>
            </w:r>
          </w:p>
        </w:tc>
      </w:tr>
      <w:tr w14:paraId="2FBFA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80D5BD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4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F81E31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招标代理方案40</w:t>
            </w:r>
            <w:r>
              <w:rPr>
                <w:rFonts w:ascii="仿宋_GB2312" w:hAnsi="仿宋_GB2312" w:eastAsia="仿宋_GB2312" w:cs="仿宋_GB2312"/>
                <w:szCs w:val="21"/>
              </w:rPr>
              <w:t>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18EB39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40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D82F7C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根据投标人着重从如何保证招投标的合法合规、公平公正，如何保证招投标工作质量和工作水平方面编制招标代理服务方案。包括但不仅限于如下内容：需求论证组织；招标文件制作质量；招投标程序合法合规；开标过程公平公正；防范围标、串标行为；质疑投诉防范和处理；招标资料收集、保存、移交、协助电子平台项目生成等。</w:t>
            </w:r>
          </w:p>
          <w:p w14:paraId="38DE8064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对方案进行横向比较综合评分，优秀得31-40分，良好得21-30分，一般得11-20分，差得10分，未提供得</w:t>
            </w:r>
            <w:r>
              <w:rPr>
                <w:rFonts w:ascii="仿宋_GB2312" w:hAnsi="仿宋_GB2312" w:eastAsia="仿宋_GB2312" w:cs="仿宋_GB2312"/>
                <w:szCs w:val="21"/>
              </w:rPr>
              <w:t>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分。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71C13F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</w:tr>
      <w:tr w14:paraId="39E69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CD8F8B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5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4212D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投标文件规范性</w:t>
            </w:r>
          </w:p>
          <w:p w14:paraId="13584E44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5%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EC7CDA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5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7D5461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投标文件制作规范，没有细微偏差情形的得满分；有一项细微偏差扣</w:t>
            </w:r>
            <w:r>
              <w:rPr>
                <w:rFonts w:ascii="仿宋_GB2312" w:hAnsi="仿宋_GB2312" w:eastAsia="仿宋_GB2312" w:cs="仿宋_GB2312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分；直到该项分值扣完为止。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16A976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</w:tr>
    </w:tbl>
    <w:p w14:paraId="05376CDF">
      <w:pPr>
        <w:jc w:val="both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szCs w:val="21"/>
        </w:rPr>
        <w:t>备注：各评分专家根据评分标准在评分中可保留小数点后一位数。</w:t>
      </w:r>
    </w:p>
    <w:p w14:paraId="3DDB3864"/>
    <w:p w14:paraId="233971F2">
      <w:bookmarkStart w:id="0" w:name="_GoBack"/>
      <w:bookmarkEnd w:id="0"/>
    </w:p>
    <w:sectPr>
      <w:footerReference r:id="rId3" w:type="default"/>
      <w:footerReference r:id="rId4" w:type="even"/>
      <w:pgSz w:w="11907" w:h="16840"/>
      <w:pgMar w:top="1588" w:right="1474" w:bottom="1474" w:left="1588" w:header="851" w:footer="851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E41092">
    <w:pPr>
      <w:pStyle w:val="3"/>
      <w:framePr w:wrap="around" w:vAnchor="text" w:hAnchor="margin" w:xAlign="outside" w:y="1"/>
      <w:ind w:left="420" w:leftChars="200" w:right="420" w:rightChars="200"/>
      <w:rPr>
        <w:rStyle w:val="7"/>
        <w:rFonts w:ascii="宋体"/>
        <w:sz w:val="28"/>
      </w:rPr>
    </w:pPr>
    <w:r>
      <w:rPr>
        <w:rStyle w:val="7"/>
        <w:rFonts w:ascii="宋体" w:hAnsi="宋体"/>
        <w:sz w:val="28"/>
      </w:rPr>
      <w:t xml:space="preserve">— </w:t>
    </w:r>
    <w:r>
      <w:rPr>
        <w:rStyle w:val="7"/>
        <w:rFonts w:ascii="宋体" w:hAnsi="宋体"/>
        <w:sz w:val="28"/>
      </w:rPr>
      <w:fldChar w:fldCharType="begin"/>
    </w:r>
    <w:r>
      <w:rPr>
        <w:rStyle w:val="7"/>
        <w:rFonts w:ascii="宋体" w:hAnsi="宋体"/>
        <w:sz w:val="28"/>
      </w:rPr>
      <w:instrText xml:space="preserve">PAGE  </w:instrText>
    </w:r>
    <w:r>
      <w:rPr>
        <w:rStyle w:val="7"/>
        <w:rFonts w:ascii="宋体" w:hAnsi="宋体"/>
        <w:sz w:val="28"/>
      </w:rPr>
      <w:fldChar w:fldCharType="separate"/>
    </w:r>
    <w:r>
      <w:rPr>
        <w:rStyle w:val="7"/>
        <w:rFonts w:ascii="宋体" w:hAnsi="宋体"/>
        <w:sz w:val="28"/>
      </w:rPr>
      <w:t>11</w:t>
    </w:r>
    <w:r>
      <w:rPr>
        <w:rStyle w:val="7"/>
        <w:rFonts w:ascii="宋体" w:hAnsi="宋体"/>
        <w:sz w:val="28"/>
      </w:rPr>
      <w:fldChar w:fldCharType="end"/>
    </w:r>
    <w:r>
      <w:rPr>
        <w:rStyle w:val="7"/>
        <w:rFonts w:ascii="宋体" w:hAnsi="宋体"/>
        <w:sz w:val="28"/>
      </w:rPr>
      <w:t xml:space="preserve"> —</w:t>
    </w:r>
  </w:p>
  <w:p w14:paraId="3C749C17">
    <w:pPr>
      <w:pStyle w:val="3"/>
      <w:tabs>
        <w:tab w:val="right" w:pos="8820"/>
        <w:tab w:val="clear" w:pos="8306"/>
      </w:tabs>
      <w:ind w:right="360" w:firstLine="360"/>
      <w:rPr>
        <w:sz w:val="28"/>
      </w:rPr>
    </w:pPr>
    <w:r>
      <w:tab/>
    </w:r>
    <w: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2CB474">
    <w:pPr>
      <w:pStyle w:val="3"/>
      <w:framePr w:wrap="around" w:vAnchor="text" w:hAnchor="margin" w:xAlign="outside" w:y="1"/>
      <w:ind w:left="420" w:leftChars="200" w:right="420" w:rightChars="200"/>
      <w:rPr>
        <w:rStyle w:val="7"/>
        <w:rFonts w:ascii="宋体"/>
        <w:sz w:val="28"/>
      </w:rPr>
    </w:pPr>
    <w:r>
      <w:rPr>
        <w:rStyle w:val="7"/>
        <w:rFonts w:ascii="宋体" w:hAnsi="宋体"/>
        <w:sz w:val="28"/>
      </w:rPr>
      <w:t xml:space="preserve">— </w:t>
    </w:r>
    <w:r>
      <w:rPr>
        <w:rStyle w:val="7"/>
        <w:rFonts w:ascii="宋体" w:hAnsi="宋体"/>
        <w:sz w:val="28"/>
      </w:rPr>
      <w:fldChar w:fldCharType="begin"/>
    </w:r>
    <w:r>
      <w:rPr>
        <w:rStyle w:val="7"/>
        <w:rFonts w:ascii="宋体" w:hAnsi="宋体"/>
        <w:sz w:val="28"/>
      </w:rPr>
      <w:instrText xml:space="preserve">PAGE  </w:instrText>
    </w:r>
    <w:r>
      <w:rPr>
        <w:rStyle w:val="7"/>
        <w:rFonts w:ascii="宋体" w:hAnsi="宋体"/>
        <w:sz w:val="28"/>
      </w:rPr>
      <w:fldChar w:fldCharType="separate"/>
    </w:r>
    <w:r>
      <w:rPr>
        <w:rStyle w:val="7"/>
        <w:rFonts w:ascii="宋体" w:hAnsi="宋体"/>
        <w:sz w:val="28"/>
      </w:rPr>
      <w:t>2</w:t>
    </w:r>
    <w:r>
      <w:rPr>
        <w:rStyle w:val="7"/>
        <w:rFonts w:ascii="宋体" w:hAnsi="宋体"/>
        <w:sz w:val="28"/>
      </w:rPr>
      <w:fldChar w:fldCharType="end"/>
    </w:r>
    <w:r>
      <w:rPr>
        <w:rStyle w:val="7"/>
        <w:rFonts w:ascii="宋体" w:hAnsi="宋体"/>
        <w:sz w:val="28"/>
      </w:rPr>
      <w:t xml:space="preserve"> —</w:t>
    </w:r>
  </w:p>
  <w:p w14:paraId="2D7E6780">
    <w:pPr>
      <w:pStyle w:val="3"/>
      <w:ind w:right="360" w:firstLine="360"/>
      <w:rPr>
        <w:sz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774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line="960" w:lineRule="exact"/>
      <w:jc w:val="center"/>
    </w:pPr>
    <w:rPr>
      <w:rFonts w:eastAsia="方正小标宋简体"/>
      <w:spacing w:val="-20"/>
      <w:w w:val="90"/>
      <w:sz w:val="140"/>
      <w:szCs w:val="20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Body Text First Indent"/>
    <w:basedOn w:val="2"/>
    <w:semiHidden/>
    <w:unhideWhenUsed/>
    <w:qFormat/>
    <w:uiPriority w:val="99"/>
    <w:pPr>
      <w:spacing w:after="120" w:line="240" w:lineRule="auto"/>
      <w:ind w:firstLine="420" w:firstLineChars="100"/>
      <w:jc w:val="both"/>
    </w:pPr>
    <w:rPr>
      <w:rFonts w:eastAsia="宋体"/>
      <w:spacing w:val="0"/>
      <w:w w:val="100"/>
      <w:sz w:val="21"/>
      <w:szCs w:val="24"/>
    </w:rPr>
  </w:style>
  <w:style w:type="character" w:styleId="7">
    <w:name w:val="page number"/>
    <w:basedOn w:val="6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2025-08-07T06:56:21Z</dcterms:created>
  <dc:creator>Administrator</dc:creator>
  <cp:lastModifiedBy>土猴儿</cp:lastModifiedBy>
  <dcterms:modified xsi:type="dcterms:W3CDTF">2025-08-07T06:56:23Z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eyJoZGlkIjoiOGMwOGU1ZWZiOWQ1MjExODE5M2QwMzA2NGJmNDJmY2MiLCJ1c2VySWQiOiIyMjYyNzE5MTYifQ==</vt:lpwstr>
  </property>
  <property fmtid="{D5CDD505-2E9C-101B-9397-08002B2CF9AE}" pid="4" name="ICV">
    <vt:lpwstr>5BFF3ACB65FC44E2B980B67FD3A3C57E_12</vt:lpwstr>
  </property>
</Properties>
</file>