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71C1EA">
      <w:pPr>
        <w:pStyle w:val="3"/>
        <w:spacing w:line="600" w:lineRule="exact"/>
        <w:ind w:left="0"/>
        <w:jc w:val="center"/>
        <w:rPr>
          <w:rFonts w:hint="eastAsia" w:ascii="黑体" w:hAnsi="黑体" w:eastAsia="黑体" w:cs="黑体"/>
          <w:color w:val="000000"/>
          <w:sz w:val="30"/>
          <w:szCs w:val="30"/>
        </w:rPr>
      </w:pPr>
      <w:bookmarkStart w:id="0" w:name="_GoBack"/>
      <w:r>
        <w:rPr>
          <w:rFonts w:hint="eastAsia" w:ascii="黑体" w:hAnsi="黑体" w:eastAsia="黑体" w:cs="黑体"/>
          <w:color w:val="000000"/>
          <w:sz w:val="30"/>
          <w:szCs w:val="30"/>
        </w:rPr>
        <w:t>巩固拓展脱贫攻坚成果同乡村振兴有效衔接总体评价专项调研项目评审评分表（满分100分）</w:t>
      </w:r>
    </w:p>
    <w:bookmarkEnd w:id="0"/>
    <w:p w14:paraId="17E75E1C">
      <w:pPr>
        <w:numPr>
          <w:ilvl w:val="0"/>
          <w:numId w:val="0"/>
        </w:numPr>
        <w:spacing w:line="600" w:lineRule="exact"/>
        <w:ind w:left="0"/>
        <w:jc w:val="center"/>
        <w:rPr>
          <w:rFonts w:hint="eastAsia" w:ascii="黑体" w:hAnsi="黑体" w:eastAsia="黑体" w:cs="黑体"/>
          <w:color w:val="000000"/>
          <w:sz w:val="30"/>
          <w:szCs w:val="30"/>
        </w:rPr>
      </w:pPr>
    </w:p>
    <w:p w14:paraId="5E9796A8">
      <w:pPr>
        <w:pStyle w:val="2"/>
        <w:numPr>
          <w:ilvl w:val="0"/>
          <w:numId w:val="0"/>
        </w:numPr>
        <w:spacing w:line="600" w:lineRule="exact"/>
        <w:ind w:left="0"/>
        <w:jc w:val="center"/>
        <w:rPr>
          <w:rFonts w:hint="eastAsia" w:ascii="黑体" w:hAnsi="黑体" w:eastAsia="黑体" w:cs="黑体"/>
          <w:color w:val="000000"/>
          <w:sz w:val="30"/>
          <w:szCs w:val="30"/>
        </w:rPr>
      </w:pPr>
    </w:p>
    <w:p w14:paraId="306DC659">
      <w:pPr>
        <w:rPr>
          <w:rFonts w:hint="eastAsia" w:ascii="黑体" w:hAnsi="黑体" w:eastAsia="黑体" w:cs="黑体"/>
          <w:color w:val="000000"/>
          <w:sz w:val="30"/>
          <w:szCs w:val="30"/>
        </w:rPr>
      </w:pPr>
    </w:p>
    <w:p w14:paraId="0789AFE5">
      <w:pPr>
        <w:pStyle w:val="2"/>
        <w:rPr>
          <w:rFonts w:hint="eastAsia"/>
        </w:rPr>
      </w:pPr>
    </w:p>
    <w:tbl>
      <w:tblPr>
        <w:tblStyle w:val="5"/>
        <w:tblW w:w="8783" w:type="dxa"/>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fixed"/>
        <w:tblCellMar>
          <w:top w:w="0" w:type="dxa"/>
          <w:left w:w="0" w:type="dxa"/>
          <w:bottom w:w="0" w:type="dxa"/>
          <w:right w:w="0" w:type="dxa"/>
        </w:tblCellMar>
      </w:tblPr>
      <w:tblGrid>
        <w:gridCol w:w="698"/>
        <w:gridCol w:w="1050"/>
        <w:gridCol w:w="712"/>
        <w:gridCol w:w="5716"/>
        <w:gridCol w:w="607"/>
      </w:tblGrid>
      <w:tr w14:paraId="5E1AA4C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698"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759DEB7">
            <w:pPr>
              <w:pStyle w:val="4"/>
              <w:widowControl/>
              <w:wordWrap w:val="0"/>
              <w:spacing w:before="150" w:beforeAutospacing="0" w:after="150" w:afterAutospacing="0" w:line="300" w:lineRule="exact"/>
              <w:jc w:val="center"/>
              <w:rPr>
                <w:rFonts w:hint="eastAsia" w:ascii="宋体" w:hAnsi="宋体" w:cs="宋体"/>
                <w:sz w:val="28"/>
                <w:szCs w:val="28"/>
              </w:rPr>
            </w:pPr>
            <w:r>
              <w:rPr>
                <w:rFonts w:hint="eastAsia" w:ascii="宋体" w:hAnsi="宋体" w:cs="宋体"/>
                <w:sz w:val="28"/>
                <w:szCs w:val="28"/>
              </w:rPr>
              <w:t>分类</w:t>
            </w:r>
          </w:p>
        </w:tc>
        <w:tc>
          <w:tcPr>
            <w:tcW w:w="1762" w:type="dxa"/>
            <w:gridSpan w:val="2"/>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D4F8BFF">
            <w:pPr>
              <w:pStyle w:val="4"/>
              <w:widowControl/>
              <w:wordWrap w:val="0"/>
              <w:spacing w:before="150" w:beforeAutospacing="0" w:after="150" w:afterAutospacing="0" w:line="300" w:lineRule="exact"/>
              <w:jc w:val="center"/>
              <w:rPr>
                <w:rFonts w:hint="eastAsia" w:ascii="宋体" w:hAnsi="宋体" w:cs="宋体"/>
                <w:sz w:val="28"/>
                <w:szCs w:val="28"/>
              </w:rPr>
            </w:pPr>
            <w:r>
              <w:rPr>
                <w:rFonts w:hint="eastAsia" w:ascii="宋体" w:hAnsi="宋体" w:cs="宋体"/>
                <w:sz w:val="28"/>
                <w:szCs w:val="28"/>
              </w:rPr>
              <w:t>评审内容</w:t>
            </w:r>
          </w:p>
        </w:tc>
        <w:tc>
          <w:tcPr>
            <w:tcW w:w="5716"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F490271">
            <w:pPr>
              <w:pStyle w:val="4"/>
              <w:widowControl/>
              <w:wordWrap w:val="0"/>
              <w:spacing w:before="150" w:beforeAutospacing="0" w:after="150" w:afterAutospacing="0" w:line="300" w:lineRule="exact"/>
              <w:ind w:firstLine="1960" w:firstLineChars="700"/>
              <w:jc w:val="both"/>
              <w:rPr>
                <w:rFonts w:hint="eastAsia" w:ascii="宋体" w:hAnsi="宋体" w:cs="宋体"/>
                <w:sz w:val="28"/>
                <w:szCs w:val="28"/>
              </w:rPr>
            </w:pPr>
            <w:r>
              <w:rPr>
                <w:rFonts w:hint="eastAsia" w:ascii="宋体" w:hAnsi="宋体" w:cs="宋体"/>
                <w:sz w:val="28"/>
                <w:szCs w:val="28"/>
              </w:rPr>
              <w:t>评分标准</w:t>
            </w:r>
          </w:p>
        </w:tc>
        <w:tc>
          <w:tcPr>
            <w:tcW w:w="60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41E4066">
            <w:pPr>
              <w:pStyle w:val="4"/>
              <w:widowControl/>
              <w:wordWrap w:val="0"/>
              <w:spacing w:before="150" w:beforeAutospacing="0" w:after="150" w:afterAutospacing="0" w:line="300" w:lineRule="exact"/>
              <w:jc w:val="center"/>
              <w:rPr>
                <w:rFonts w:hint="eastAsia" w:ascii="宋体" w:hAnsi="宋体" w:cs="宋体"/>
                <w:sz w:val="28"/>
                <w:szCs w:val="28"/>
              </w:rPr>
            </w:pPr>
            <w:r>
              <w:rPr>
                <w:rFonts w:hint="eastAsia" w:ascii="宋体" w:hAnsi="宋体" w:cs="宋体"/>
                <w:sz w:val="28"/>
                <w:szCs w:val="28"/>
              </w:rPr>
              <w:t>分值</w:t>
            </w:r>
          </w:p>
        </w:tc>
      </w:tr>
      <w:tr w14:paraId="5CE5A5A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23" w:hRule="atLeast"/>
        </w:trPr>
        <w:tc>
          <w:tcPr>
            <w:tcW w:w="698"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3A668C2">
            <w:pPr>
              <w:pStyle w:val="4"/>
              <w:widowControl/>
              <w:wordWrap w:val="0"/>
              <w:spacing w:before="150" w:beforeAutospacing="0" w:after="150" w:afterAutospacing="0" w:line="300" w:lineRule="exact"/>
              <w:ind w:firstLine="280" w:firstLineChars="100"/>
              <w:rPr>
                <w:rFonts w:hint="eastAsia" w:ascii="宋体" w:hAnsi="宋体" w:cs="宋体"/>
                <w:sz w:val="28"/>
                <w:szCs w:val="28"/>
              </w:rPr>
            </w:pPr>
            <w:r>
              <w:rPr>
                <w:rFonts w:hint="eastAsia" w:ascii="宋体" w:hAnsi="宋体" w:cs="宋体"/>
                <w:sz w:val="28"/>
                <w:szCs w:val="28"/>
              </w:rPr>
              <w:t>1</w:t>
            </w:r>
          </w:p>
        </w:tc>
        <w:tc>
          <w:tcPr>
            <w:tcW w:w="1762" w:type="dxa"/>
            <w:gridSpan w:val="2"/>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7937706">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类似项目业绩（</w:t>
            </w:r>
            <w:r>
              <w:rPr>
                <w:rFonts w:hint="eastAsia" w:ascii="宋体" w:hAnsi="宋体" w:cs="宋体"/>
                <w:sz w:val="28"/>
                <w:szCs w:val="28"/>
                <w:lang w:val="en-US" w:eastAsia="zh-CN"/>
              </w:rPr>
              <w:t>12</w:t>
            </w:r>
            <w:r>
              <w:rPr>
                <w:rFonts w:hint="eastAsia" w:ascii="宋体" w:hAnsi="宋体" w:cs="宋体"/>
                <w:sz w:val="28"/>
                <w:szCs w:val="28"/>
              </w:rPr>
              <w:t>分）</w:t>
            </w:r>
          </w:p>
        </w:tc>
        <w:tc>
          <w:tcPr>
            <w:tcW w:w="5716"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5D868EC">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投标人近三年（2022、2023、2024年度）承接过国家级、省级和地市级（含）巩固拓展脱贫攻坚成果第三方评估工作的，每提供一个国家级业绩证明得5分，每提供一个省级业绩证明得3分，每提供一个地市级（含）业绩证明得2分。最高得分</w:t>
            </w:r>
            <w:r>
              <w:rPr>
                <w:rFonts w:hint="default" w:ascii="宋体" w:hAnsi="宋体" w:cs="宋体"/>
                <w:sz w:val="28"/>
                <w:szCs w:val="28"/>
                <w:lang w:val="en-US"/>
              </w:rPr>
              <w:t>12</w:t>
            </w:r>
            <w:r>
              <w:rPr>
                <w:rFonts w:hint="eastAsia" w:ascii="宋体" w:hAnsi="宋体" w:cs="宋体"/>
                <w:sz w:val="28"/>
                <w:szCs w:val="28"/>
              </w:rPr>
              <w:t>分。</w:t>
            </w:r>
          </w:p>
          <w:p w14:paraId="75274DF5">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证明材料：提供合同或协议复印件加盖公章，时间以合同签订日期为准。</w:t>
            </w:r>
          </w:p>
        </w:tc>
        <w:tc>
          <w:tcPr>
            <w:tcW w:w="60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07A6104">
            <w:pPr>
              <w:pStyle w:val="4"/>
              <w:widowControl/>
              <w:wordWrap w:val="0"/>
              <w:spacing w:before="150" w:beforeAutospacing="0" w:after="150" w:afterAutospacing="0" w:line="300" w:lineRule="exact"/>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12</w:t>
            </w:r>
          </w:p>
        </w:tc>
      </w:tr>
      <w:tr w14:paraId="2D35C2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197" w:hRule="atLeast"/>
        </w:trPr>
        <w:tc>
          <w:tcPr>
            <w:tcW w:w="698"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30912FD">
            <w:pPr>
              <w:pStyle w:val="4"/>
              <w:widowControl/>
              <w:wordWrap w:val="0"/>
              <w:spacing w:before="150" w:beforeAutospacing="0" w:after="150" w:afterAutospacing="0" w:line="300" w:lineRule="exact"/>
              <w:ind w:firstLine="280" w:firstLineChars="100"/>
              <w:rPr>
                <w:rFonts w:hint="eastAsia" w:ascii="宋体" w:hAnsi="宋体" w:cs="宋体"/>
                <w:sz w:val="28"/>
                <w:szCs w:val="28"/>
              </w:rPr>
            </w:pPr>
            <w:r>
              <w:rPr>
                <w:rFonts w:hint="eastAsia" w:ascii="宋体" w:hAnsi="宋体" w:cs="宋体"/>
                <w:sz w:val="28"/>
                <w:szCs w:val="28"/>
              </w:rPr>
              <w:t>2</w:t>
            </w:r>
          </w:p>
        </w:tc>
        <w:tc>
          <w:tcPr>
            <w:tcW w:w="1762" w:type="dxa"/>
            <w:gridSpan w:val="2"/>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5AA7D0D">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拟投入本项目专业人员（5分）</w:t>
            </w:r>
          </w:p>
        </w:tc>
        <w:tc>
          <w:tcPr>
            <w:tcW w:w="5716"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6440A58">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投标人拟派本项目的管理机构人员中，具备涉农专业中级职称的每人得1分，具备涉农专业高级职称</w:t>
            </w:r>
            <w:r>
              <w:rPr>
                <w:rFonts w:hint="eastAsia" w:ascii="宋体" w:hAnsi="宋体" w:cs="宋体"/>
                <w:sz w:val="28"/>
                <w:szCs w:val="28"/>
                <w:lang w:eastAsia="zh-CN"/>
              </w:rPr>
              <w:t>的</w:t>
            </w:r>
            <w:r>
              <w:rPr>
                <w:rFonts w:hint="eastAsia" w:ascii="宋体" w:hAnsi="宋体" w:cs="宋体"/>
                <w:sz w:val="28"/>
                <w:szCs w:val="28"/>
              </w:rPr>
              <w:t>每人得2分</w:t>
            </w:r>
            <w:r>
              <w:rPr>
                <w:rFonts w:hint="eastAsia" w:ascii="宋体" w:hAnsi="宋体" w:cs="宋体"/>
                <w:sz w:val="28"/>
                <w:szCs w:val="28"/>
                <w:lang w:eastAsia="zh-CN"/>
              </w:rPr>
              <w:t>，</w:t>
            </w:r>
            <w:r>
              <w:rPr>
                <w:rFonts w:hint="eastAsia" w:ascii="宋体" w:hAnsi="宋体" w:cs="宋体"/>
                <w:sz w:val="28"/>
                <w:szCs w:val="28"/>
              </w:rPr>
              <w:t>最高5分。</w:t>
            </w:r>
          </w:p>
          <w:p w14:paraId="38851B87">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证明材料：提供人员</w:t>
            </w:r>
            <w:r>
              <w:rPr>
                <w:rFonts w:hint="eastAsia" w:ascii="宋体" w:hAnsi="宋体" w:eastAsia="宋体" w:cs="宋体"/>
                <w:sz w:val="28"/>
                <w:szCs w:val="28"/>
              </w:rPr>
              <w:t>职称证书</w:t>
            </w:r>
            <w:r>
              <w:rPr>
                <w:rFonts w:hint="eastAsia" w:ascii="宋体" w:hAnsi="宋体" w:cs="宋体"/>
                <w:sz w:val="28"/>
                <w:szCs w:val="28"/>
              </w:rPr>
              <w:t>。</w:t>
            </w:r>
          </w:p>
        </w:tc>
        <w:tc>
          <w:tcPr>
            <w:tcW w:w="60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AF619A5">
            <w:pPr>
              <w:pStyle w:val="4"/>
              <w:widowControl/>
              <w:wordWrap w:val="0"/>
              <w:spacing w:before="150" w:beforeAutospacing="0" w:after="150" w:afterAutospacing="0" w:line="300" w:lineRule="exact"/>
              <w:jc w:val="center"/>
              <w:rPr>
                <w:rFonts w:hint="eastAsia" w:ascii="宋体" w:hAnsi="宋体" w:cs="宋体"/>
                <w:sz w:val="28"/>
                <w:szCs w:val="28"/>
              </w:rPr>
            </w:pPr>
            <w:r>
              <w:rPr>
                <w:rFonts w:hint="eastAsia" w:ascii="宋体" w:hAnsi="宋体" w:cs="宋体"/>
                <w:sz w:val="28"/>
                <w:szCs w:val="28"/>
              </w:rPr>
              <w:t>5</w:t>
            </w:r>
          </w:p>
        </w:tc>
      </w:tr>
      <w:tr w14:paraId="757FB80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28" w:hRule="atLeast"/>
        </w:trPr>
        <w:tc>
          <w:tcPr>
            <w:tcW w:w="698" w:type="dxa"/>
            <w:vMerge w:val="restart"/>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1FC8894">
            <w:pPr>
              <w:pStyle w:val="4"/>
              <w:widowControl/>
              <w:wordWrap w:val="0"/>
              <w:spacing w:before="150" w:beforeAutospacing="0" w:after="150" w:afterAutospacing="0" w:line="300" w:lineRule="exact"/>
              <w:ind w:firstLine="280" w:firstLineChars="100"/>
              <w:rPr>
                <w:rFonts w:hint="eastAsia" w:ascii="宋体" w:hAnsi="宋体" w:cs="宋体"/>
                <w:sz w:val="28"/>
                <w:szCs w:val="28"/>
              </w:rPr>
            </w:pPr>
            <w:r>
              <w:rPr>
                <w:rFonts w:hint="eastAsia" w:ascii="宋体" w:hAnsi="宋体" w:cs="宋体"/>
                <w:sz w:val="28"/>
                <w:szCs w:val="28"/>
              </w:rPr>
              <w:t>3</w:t>
            </w:r>
          </w:p>
        </w:tc>
        <w:tc>
          <w:tcPr>
            <w:tcW w:w="1050" w:type="dxa"/>
            <w:vMerge w:val="restart"/>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00F5C24">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服务方案（</w:t>
            </w:r>
            <w:r>
              <w:rPr>
                <w:rFonts w:hint="eastAsia" w:ascii="宋体" w:hAnsi="宋体" w:cs="宋体"/>
                <w:sz w:val="28"/>
                <w:szCs w:val="28"/>
                <w:lang w:val="en-US" w:eastAsia="zh-CN"/>
              </w:rPr>
              <w:t>53</w:t>
            </w:r>
            <w:r>
              <w:rPr>
                <w:rFonts w:hint="eastAsia" w:ascii="宋体" w:hAnsi="宋体" w:cs="宋体"/>
                <w:sz w:val="28"/>
                <w:szCs w:val="28"/>
              </w:rPr>
              <w:t>分）</w:t>
            </w:r>
          </w:p>
        </w:tc>
        <w:tc>
          <w:tcPr>
            <w:tcW w:w="71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A8BC070">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总体思路</w:t>
            </w:r>
          </w:p>
          <w:p w14:paraId="3BD791FF">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（9分）</w:t>
            </w:r>
          </w:p>
        </w:tc>
        <w:tc>
          <w:tcPr>
            <w:tcW w:w="5716"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C556AF8">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提出对本次采购范围内工作的理解，明确技术标准、方法、工作重点与难点。总体思路满足招标范围内工作要求。</w:t>
            </w:r>
          </w:p>
          <w:p w14:paraId="427185F5">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能深刻理解项目实施的背景和意义，思路清晰、针对性强的得9分；对项目实施的背景和意义理解一般、思路一般、针对性一般的得6分；对项目实施的背景和意义理解不到位、思路不清晰、针对性不强的得3分；没有得0分。</w:t>
            </w:r>
          </w:p>
        </w:tc>
        <w:tc>
          <w:tcPr>
            <w:tcW w:w="60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57E5562">
            <w:pPr>
              <w:pStyle w:val="4"/>
              <w:widowControl/>
              <w:wordWrap w:val="0"/>
              <w:spacing w:before="150" w:beforeAutospacing="0" w:after="150" w:afterAutospacing="0" w:line="300" w:lineRule="exact"/>
              <w:jc w:val="center"/>
              <w:rPr>
                <w:rFonts w:hint="eastAsia" w:ascii="宋体" w:hAnsi="宋体" w:cs="宋体"/>
                <w:sz w:val="28"/>
                <w:szCs w:val="28"/>
              </w:rPr>
            </w:pPr>
            <w:r>
              <w:rPr>
                <w:rFonts w:hint="eastAsia" w:ascii="宋体" w:hAnsi="宋体" w:cs="宋体"/>
                <w:sz w:val="28"/>
                <w:szCs w:val="28"/>
              </w:rPr>
              <w:t>9</w:t>
            </w:r>
          </w:p>
        </w:tc>
      </w:tr>
      <w:tr w14:paraId="5742D09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313" w:hRule="atLeast"/>
        </w:trPr>
        <w:tc>
          <w:tcPr>
            <w:tcW w:w="698"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B72EF98">
            <w:pPr>
              <w:widowControl/>
              <w:spacing w:line="300" w:lineRule="exact"/>
              <w:jc w:val="left"/>
              <w:rPr>
                <w:rFonts w:hint="eastAsia" w:ascii="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5C73A2A">
            <w:pPr>
              <w:widowControl/>
              <w:spacing w:line="300" w:lineRule="exact"/>
              <w:jc w:val="left"/>
              <w:rPr>
                <w:rFonts w:hint="eastAsia" w:ascii="宋体"/>
                <w:sz w:val="28"/>
                <w:szCs w:val="28"/>
              </w:rPr>
            </w:pPr>
          </w:p>
        </w:tc>
        <w:tc>
          <w:tcPr>
            <w:tcW w:w="71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DAF66EE">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实施方案</w:t>
            </w:r>
          </w:p>
          <w:p w14:paraId="4C2C89DD">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（2</w:t>
            </w:r>
            <w:r>
              <w:rPr>
                <w:rFonts w:hint="eastAsia" w:ascii="宋体" w:hAnsi="宋体" w:cs="宋体"/>
                <w:sz w:val="28"/>
                <w:szCs w:val="28"/>
                <w:lang w:val="en-US" w:eastAsia="zh-CN"/>
              </w:rPr>
              <w:t>8</w:t>
            </w:r>
            <w:r>
              <w:rPr>
                <w:rFonts w:hint="eastAsia" w:ascii="宋体" w:hAnsi="宋体" w:cs="宋体"/>
                <w:sz w:val="28"/>
                <w:szCs w:val="28"/>
              </w:rPr>
              <w:t>分）</w:t>
            </w:r>
          </w:p>
        </w:tc>
        <w:tc>
          <w:tcPr>
            <w:tcW w:w="5716"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8F58CE4">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（1）总体工作部署合理，工作阶段划分明确、依据足够充分，评估工作顺序合理的得1</w:t>
            </w:r>
            <w:r>
              <w:rPr>
                <w:rFonts w:hint="default" w:ascii="宋体" w:hAnsi="宋体" w:cs="宋体"/>
                <w:sz w:val="28"/>
                <w:szCs w:val="28"/>
                <w:lang w:val="en-US"/>
              </w:rPr>
              <w:t>4</w:t>
            </w:r>
            <w:r>
              <w:rPr>
                <w:rFonts w:hint="eastAsia" w:ascii="宋体" w:hAnsi="宋体" w:cs="宋体"/>
                <w:sz w:val="28"/>
                <w:szCs w:val="28"/>
              </w:rPr>
              <w:t>分；总体工作部署一般，工作阶段划分一般、依据充分、评估工作顺序基本合理的7分；总体工作部署不合理，工作阶段划分不明确，依据不充分，评估工作顺序不合理的得4分；没有得0分。</w:t>
            </w:r>
          </w:p>
          <w:p w14:paraId="5B836676">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（2）各项具体工作安排和</w:t>
            </w:r>
            <w:r>
              <w:rPr>
                <w:rFonts w:hint="eastAsia" w:ascii="宋体" w:hAnsi="宋体" w:eastAsia="宋体" w:cs="宋体"/>
                <w:sz w:val="28"/>
                <w:szCs w:val="28"/>
              </w:rPr>
              <w:t>工作布置的非常明确、依据足够充分，工作安排合</w:t>
            </w:r>
            <w:r>
              <w:rPr>
                <w:rFonts w:hint="eastAsia" w:ascii="宋体" w:hAnsi="宋体" w:cs="宋体"/>
                <w:sz w:val="28"/>
                <w:szCs w:val="28"/>
              </w:rPr>
              <w:t>理的得1</w:t>
            </w:r>
            <w:r>
              <w:rPr>
                <w:rFonts w:hint="default" w:ascii="宋体" w:hAnsi="宋体" w:cs="宋体"/>
                <w:sz w:val="28"/>
                <w:szCs w:val="28"/>
                <w:lang w:val="en-US"/>
              </w:rPr>
              <w:t>4</w:t>
            </w:r>
            <w:r>
              <w:rPr>
                <w:rFonts w:hint="eastAsia" w:ascii="宋体" w:hAnsi="宋体" w:cs="宋体"/>
                <w:sz w:val="28"/>
                <w:szCs w:val="28"/>
              </w:rPr>
              <w:t>分；各项具体工作安排和工程布置的基本明确、依据充分，工作安排基本合理的得7分；各项具体工作安排和工程布置的不明确、依据不充分，工作安排不合理的得4分；没有得0分。</w:t>
            </w:r>
          </w:p>
        </w:tc>
        <w:tc>
          <w:tcPr>
            <w:tcW w:w="60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7219B51">
            <w:pPr>
              <w:pStyle w:val="4"/>
              <w:widowControl/>
              <w:wordWrap w:val="0"/>
              <w:spacing w:before="150" w:beforeAutospacing="0" w:after="150" w:afterAutospacing="0" w:line="300" w:lineRule="exact"/>
              <w:jc w:val="center"/>
              <w:rPr>
                <w:rFonts w:hint="eastAsia" w:ascii="宋体" w:hAnsi="宋体" w:eastAsia="宋体" w:cs="宋体"/>
                <w:sz w:val="28"/>
                <w:szCs w:val="28"/>
                <w:lang w:eastAsia="zh-CN"/>
              </w:rPr>
            </w:pPr>
            <w:r>
              <w:rPr>
                <w:rFonts w:hint="eastAsia" w:ascii="宋体" w:hAnsi="宋体" w:cs="宋体"/>
                <w:sz w:val="28"/>
                <w:szCs w:val="28"/>
              </w:rPr>
              <w:t>2</w:t>
            </w:r>
            <w:r>
              <w:rPr>
                <w:rFonts w:hint="eastAsia" w:ascii="宋体" w:hAnsi="宋体" w:cs="宋体"/>
                <w:sz w:val="28"/>
                <w:szCs w:val="28"/>
                <w:lang w:val="en-US" w:eastAsia="zh-CN"/>
              </w:rPr>
              <w:t>8</w:t>
            </w:r>
          </w:p>
        </w:tc>
      </w:tr>
      <w:tr w14:paraId="03C71B8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698"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A727AA9">
            <w:pPr>
              <w:widowControl/>
              <w:spacing w:line="300" w:lineRule="exact"/>
              <w:jc w:val="left"/>
              <w:rPr>
                <w:rFonts w:hint="eastAsia" w:ascii="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41568CC">
            <w:pPr>
              <w:widowControl/>
              <w:spacing w:line="300" w:lineRule="exact"/>
              <w:jc w:val="left"/>
              <w:rPr>
                <w:rFonts w:hint="eastAsia" w:ascii="宋体"/>
                <w:sz w:val="28"/>
                <w:szCs w:val="28"/>
              </w:rPr>
            </w:pPr>
          </w:p>
        </w:tc>
        <w:tc>
          <w:tcPr>
            <w:tcW w:w="71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F858D9F">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进度措施</w:t>
            </w:r>
          </w:p>
          <w:p w14:paraId="0A90E3A8">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（6分）</w:t>
            </w:r>
          </w:p>
        </w:tc>
        <w:tc>
          <w:tcPr>
            <w:tcW w:w="5716"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2BDE205">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对项目评估程序和工期安排合理性等方面进行</w:t>
            </w:r>
            <w:r>
              <w:rPr>
                <w:rFonts w:hint="eastAsia" w:ascii="宋体" w:hAnsi="宋体" w:cs="宋体"/>
                <w:sz w:val="28"/>
                <w:szCs w:val="28"/>
                <w:lang w:eastAsia="zh-CN"/>
              </w:rPr>
              <w:t>横</w:t>
            </w:r>
            <w:r>
              <w:rPr>
                <w:rFonts w:hint="eastAsia" w:ascii="宋体" w:hAnsi="宋体" w:cs="宋体"/>
                <w:sz w:val="28"/>
                <w:szCs w:val="28"/>
              </w:rPr>
              <w:t>向比较综合评定。</w:t>
            </w:r>
          </w:p>
          <w:p w14:paraId="06C2AE58">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评估程序和工期安排合理，能完全满足项目需求的得6分；评估程序和工作安排基本合理，能基本满足项目需求的得4分；评估程序和工作安排不合理，不能基本满足项目需求的得2分，没有得0分。</w:t>
            </w:r>
          </w:p>
        </w:tc>
        <w:tc>
          <w:tcPr>
            <w:tcW w:w="60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C45A1CD">
            <w:pPr>
              <w:pStyle w:val="4"/>
              <w:widowControl/>
              <w:wordWrap w:val="0"/>
              <w:spacing w:before="150" w:beforeAutospacing="0" w:after="150" w:afterAutospacing="0" w:line="300" w:lineRule="exact"/>
              <w:ind w:firstLine="280" w:firstLineChars="100"/>
              <w:jc w:val="both"/>
              <w:rPr>
                <w:rFonts w:hint="eastAsia" w:ascii="宋体" w:hAnsi="宋体" w:cs="宋体"/>
                <w:sz w:val="28"/>
                <w:szCs w:val="28"/>
              </w:rPr>
            </w:pPr>
            <w:r>
              <w:rPr>
                <w:rFonts w:hint="eastAsia" w:ascii="宋体" w:hAnsi="宋体" w:cs="宋体"/>
                <w:sz w:val="28"/>
                <w:szCs w:val="28"/>
              </w:rPr>
              <w:t>6</w:t>
            </w:r>
          </w:p>
        </w:tc>
      </w:tr>
      <w:tr w14:paraId="602B400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698"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32D301C">
            <w:pPr>
              <w:widowControl/>
              <w:spacing w:line="300" w:lineRule="exact"/>
              <w:jc w:val="left"/>
              <w:rPr>
                <w:rFonts w:hint="eastAsia" w:ascii="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F3E17AF">
            <w:pPr>
              <w:widowControl/>
              <w:spacing w:line="300" w:lineRule="exact"/>
              <w:jc w:val="left"/>
              <w:rPr>
                <w:rFonts w:hint="eastAsia" w:ascii="宋体"/>
                <w:sz w:val="28"/>
                <w:szCs w:val="28"/>
              </w:rPr>
            </w:pPr>
          </w:p>
        </w:tc>
        <w:tc>
          <w:tcPr>
            <w:tcW w:w="71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64225A5">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组织管理</w:t>
            </w:r>
          </w:p>
          <w:p w14:paraId="240AE23A">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（10分）</w:t>
            </w:r>
          </w:p>
        </w:tc>
        <w:tc>
          <w:tcPr>
            <w:tcW w:w="5716"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6D166B4">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人员配置、管理是否合理，技术人员的水平是否熟悉相关业务，满足项目任务需要。人员配备充足、人员分工明确，技术人员经验丰富的得10分；人员配备不够充足、人员分工不够明确，技术人员经验一般的得7分；人员配备明显不足、人员分工不明确、技术人员经验欠缺的得，4分；没有得0分。</w:t>
            </w:r>
          </w:p>
        </w:tc>
        <w:tc>
          <w:tcPr>
            <w:tcW w:w="60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39BA2DA">
            <w:pPr>
              <w:pStyle w:val="4"/>
              <w:widowControl/>
              <w:wordWrap w:val="0"/>
              <w:spacing w:before="150" w:beforeAutospacing="0" w:after="150" w:afterAutospacing="0" w:line="300" w:lineRule="exact"/>
              <w:jc w:val="center"/>
              <w:rPr>
                <w:rFonts w:hint="eastAsia" w:ascii="宋体" w:hAnsi="宋体" w:cs="宋体"/>
                <w:sz w:val="28"/>
                <w:szCs w:val="28"/>
              </w:rPr>
            </w:pPr>
            <w:r>
              <w:rPr>
                <w:rFonts w:hint="eastAsia" w:ascii="宋体" w:hAnsi="宋体" w:cs="宋体"/>
                <w:sz w:val="28"/>
                <w:szCs w:val="28"/>
              </w:rPr>
              <w:t>10</w:t>
            </w:r>
          </w:p>
        </w:tc>
      </w:tr>
      <w:tr w14:paraId="08CD6CC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698"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B474EB7">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4</w:t>
            </w:r>
          </w:p>
        </w:tc>
        <w:tc>
          <w:tcPr>
            <w:tcW w:w="1762" w:type="dxa"/>
            <w:gridSpan w:val="2"/>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CC7DA7B">
            <w:pPr>
              <w:pStyle w:val="4"/>
              <w:widowControl/>
              <w:wordWrap w:val="0"/>
              <w:spacing w:before="150" w:beforeAutospacing="0" w:after="150" w:afterAutospacing="0" w:line="300" w:lineRule="exact"/>
              <w:rPr>
                <w:rFonts w:hint="eastAsia" w:ascii="宋体" w:hAnsi="宋体" w:cs="宋体"/>
                <w:sz w:val="28"/>
                <w:szCs w:val="28"/>
              </w:rPr>
            </w:pPr>
            <w:r>
              <w:rPr>
                <w:rFonts w:hint="eastAsia" w:ascii="宋体" w:hAnsi="宋体" w:cs="宋体"/>
                <w:sz w:val="28"/>
                <w:szCs w:val="28"/>
              </w:rPr>
              <w:t>价格（30分）</w:t>
            </w:r>
          </w:p>
        </w:tc>
        <w:tc>
          <w:tcPr>
            <w:tcW w:w="5716"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6AE255A">
            <w:pPr>
              <w:pStyle w:val="4"/>
              <w:widowControl/>
              <w:wordWrap w:val="0"/>
              <w:spacing w:before="150" w:beforeAutospacing="0" w:after="150" w:afterAutospacing="0" w:line="300" w:lineRule="exact"/>
              <w:ind w:firstLine="420"/>
              <w:rPr>
                <w:rFonts w:hint="eastAsia" w:ascii="宋体" w:hAnsi="宋体" w:cs="宋体"/>
                <w:sz w:val="28"/>
                <w:szCs w:val="28"/>
              </w:rPr>
            </w:pPr>
            <w:r>
              <w:rPr>
                <w:rFonts w:hint="eastAsia" w:ascii="宋体" w:hAnsi="宋体" w:cs="宋体"/>
                <w:sz w:val="28"/>
                <w:szCs w:val="28"/>
              </w:rPr>
              <w:t>报价得分=（评标基准价/投标报价）×30【注：满足比选公告要求且投标价格最低的投标报价为评标基准价</w:t>
            </w:r>
            <w:r>
              <w:rPr>
                <w:rFonts w:hint="eastAsia" w:ascii="宋体" w:hAnsi="宋体" w:cs="宋体"/>
                <w:sz w:val="28"/>
                <w:szCs w:val="28"/>
                <w:lang w:eastAsia="zh-CN"/>
              </w:rPr>
              <w:t>】</w:t>
            </w:r>
            <w:r>
              <w:rPr>
                <w:rFonts w:hint="eastAsia" w:ascii="宋体" w:hAnsi="宋体" w:cs="宋体"/>
                <w:sz w:val="28"/>
                <w:szCs w:val="28"/>
              </w:rPr>
              <w:t>评审小组认为供应商的最后报价明显低于其他供应商的报价，有可能影响合同质量或者不能诚信履约的，评审小组应当将其作为无效投标处理。</w:t>
            </w:r>
          </w:p>
        </w:tc>
        <w:tc>
          <w:tcPr>
            <w:tcW w:w="60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590BF8F">
            <w:pPr>
              <w:pStyle w:val="4"/>
              <w:widowControl/>
              <w:wordWrap w:val="0"/>
              <w:spacing w:before="150" w:beforeAutospacing="0" w:after="150" w:afterAutospacing="0" w:line="300" w:lineRule="exact"/>
              <w:jc w:val="center"/>
              <w:rPr>
                <w:rFonts w:hint="eastAsia" w:ascii="宋体" w:hAnsi="宋体" w:cs="宋体"/>
                <w:sz w:val="28"/>
                <w:szCs w:val="28"/>
              </w:rPr>
            </w:pPr>
            <w:r>
              <w:rPr>
                <w:rFonts w:hint="eastAsia" w:ascii="宋体" w:hAnsi="宋体" w:cs="宋体"/>
                <w:sz w:val="28"/>
                <w:szCs w:val="28"/>
              </w:rPr>
              <w:t>30</w:t>
            </w:r>
          </w:p>
        </w:tc>
      </w:tr>
    </w:tbl>
    <w:p w14:paraId="725F8D0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601BBE"/>
    <w:rsid w:val="12601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next w:val="1"/>
    <w:uiPriority w:val="0"/>
    <w:pPr>
      <w:tabs>
        <w:tab w:val="center" w:pos="4153"/>
        <w:tab w:val="right" w:pos="8306"/>
      </w:tabs>
      <w:snapToGrid w:val="0"/>
      <w:jc w:val="left"/>
    </w:pPr>
    <w:rPr>
      <w:rFonts w:ascii="Times New Roman" w:hAnsi="Times New Roman" w:eastAsia="宋体" w:cs="Times New Roman"/>
      <w:sz w:val="18"/>
    </w:rPr>
  </w:style>
  <w:style w:type="paragraph" w:styleId="3">
    <w:name w:val="index 8"/>
    <w:basedOn w:val="1"/>
    <w:next w:val="1"/>
    <w:uiPriority w:val="0"/>
    <w:pPr>
      <w:ind w:left="2940"/>
    </w:pPr>
    <w:rPr>
      <w:rFonts w:ascii="Times New Roman" w:hAnsi="Times New Roman" w:eastAsia="宋体" w:cs="Times New Roman"/>
    </w:rPr>
  </w:style>
  <w:style w:type="paragraph" w:styleId="4">
    <w:name w:val="Normal (Web)"/>
    <w:basedOn w:val="1"/>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2025-09-05T09:59:00Z</dcterms:created>
  <dc:creator>艳子</dc:creator>
  <cp:lastModifiedBy>艳子</cp:lastModifiedBy>
  <dcterms:modified xsi:type="dcterms:W3CDTF">2025-09-05T10:00:20Z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D9506E5C2C7F46D8AC7B3411497CFCD4_11</vt:lpwstr>
  </property>
  <property fmtid="{D5CDD505-2E9C-101B-9397-08002B2CF9AE}" pid="4" name="KSOTemplateDocerSaveRecord">
    <vt:lpwstr>eyJoZGlkIjoiNmM4YWNlZmM5MzI4M2Y5MmUwYzJjNDNmNTk5NmM0M2EiLCJ1c2VySWQiOiI0NDM0Mzg1NzYifQ==</vt:lpwstr>
  </property>
</Properties>
</file>