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1C4E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9" w:afterLines="5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乐山市卫生健康委市本级部分行政权力事项动态调整清单</w:t>
      </w:r>
    </w:p>
    <w:tbl>
      <w:tblPr>
        <w:tblStyle w:val="5"/>
        <w:tblW w:w="15874" w:type="dxa"/>
        <w:tblInd w:w="-6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1021"/>
        <w:gridCol w:w="960"/>
        <w:gridCol w:w="4454"/>
        <w:gridCol w:w="690"/>
        <w:gridCol w:w="780"/>
        <w:gridCol w:w="990"/>
        <w:gridCol w:w="990"/>
        <w:gridCol w:w="3945"/>
        <w:gridCol w:w="900"/>
      </w:tblGrid>
      <w:tr w14:paraId="10FDC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tblHeader/>
        </w:trPr>
        <w:tc>
          <w:tcPr>
            <w:tcW w:w="1144" w:type="dxa"/>
            <w:vMerge w:val="restart"/>
            <w:shd w:val="clear" w:color="auto" w:fill="FFFFFF"/>
            <w:noWrap w:val="0"/>
            <w:vAlign w:val="center"/>
          </w:tcPr>
          <w:p w14:paraId="0FAF0B3F">
            <w:pPr>
              <w:pStyle w:val="2"/>
              <w:adjustRightInd w:val="0"/>
              <w:snapToGrid w:val="0"/>
              <w:spacing w:before="0" w:after="0" w:line="240" w:lineRule="exact"/>
              <w:rPr>
                <w:rFonts w:ascii="Times New Roman" w:hAnsi="Times New Roman"/>
                <w:b w:val="0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 w:val="21"/>
                <w:szCs w:val="21"/>
              </w:rPr>
              <w:t>序号</w:t>
            </w:r>
          </w:p>
        </w:tc>
        <w:tc>
          <w:tcPr>
            <w:tcW w:w="7125" w:type="dxa"/>
            <w:gridSpan w:val="4"/>
            <w:shd w:val="clear" w:color="auto" w:fill="FFFFFF"/>
            <w:noWrap w:val="0"/>
            <w:vAlign w:val="center"/>
          </w:tcPr>
          <w:p w14:paraId="7A3800C8">
            <w:pPr>
              <w:pStyle w:val="2"/>
              <w:adjustRightInd w:val="0"/>
              <w:snapToGrid w:val="0"/>
              <w:spacing w:before="0" w:after="0" w:line="240" w:lineRule="exact"/>
              <w:jc w:val="center"/>
              <w:rPr>
                <w:rFonts w:ascii="Times New Roman" w:hAnsi="Times New Roman"/>
                <w:b w:val="0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 w:val="21"/>
                <w:szCs w:val="21"/>
              </w:rPr>
              <w:t>调整前情况</w:t>
            </w:r>
          </w:p>
        </w:tc>
        <w:tc>
          <w:tcPr>
            <w:tcW w:w="780" w:type="dxa"/>
            <w:vMerge w:val="restart"/>
            <w:shd w:val="clear" w:color="auto" w:fill="FFFFFF"/>
            <w:noWrap w:val="0"/>
            <w:vAlign w:val="center"/>
          </w:tcPr>
          <w:p w14:paraId="70C20667">
            <w:pPr>
              <w:pStyle w:val="2"/>
              <w:adjustRightInd w:val="0"/>
              <w:snapToGrid w:val="0"/>
              <w:spacing w:before="0" w:after="0" w:line="240" w:lineRule="exact"/>
              <w:jc w:val="center"/>
              <w:rPr>
                <w:rFonts w:ascii="Times New Roman" w:hAnsi="Times New Roman"/>
                <w:b w:val="0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 w:val="21"/>
                <w:szCs w:val="21"/>
              </w:rPr>
              <w:t>调整</w:t>
            </w:r>
            <w:r>
              <w:rPr>
                <w:rFonts w:ascii="Times New Roman" w:hAnsi="Times New Roman"/>
                <w:b w:val="0"/>
                <w:bCs/>
                <w:sz w:val="21"/>
                <w:szCs w:val="21"/>
              </w:rPr>
              <w:br w:type="textWrapping"/>
            </w:r>
            <w:r>
              <w:rPr>
                <w:rFonts w:ascii="Times New Roman" w:hAnsi="Times New Roman"/>
                <w:b w:val="0"/>
                <w:bCs/>
                <w:sz w:val="21"/>
                <w:szCs w:val="21"/>
              </w:rPr>
              <w:t>方式</w:t>
            </w:r>
          </w:p>
        </w:tc>
        <w:tc>
          <w:tcPr>
            <w:tcW w:w="6825" w:type="dxa"/>
            <w:gridSpan w:val="4"/>
            <w:shd w:val="clear" w:color="auto" w:fill="FFFFFF"/>
            <w:noWrap w:val="0"/>
            <w:vAlign w:val="center"/>
          </w:tcPr>
          <w:p w14:paraId="3E621332">
            <w:pPr>
              <w:pStyle w:val="2"/>
              <w:adjustRightInd w:val="0"/>
              <w:snapToGrid w:val="0"/>
              <w:spacing w:before="0" w:after="0" w:line="240" w:lineRule="exact"/>
              <w:jc w:val="center"/>
              <w:rPr>
                <w:rFonts w:ascii="Times New Roman" w:hAnsi="Times New Roman"/>
                <w:b w:val="0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 w:val="21"/>
                <w:szCs w:val="21"/>
              </w:rPr>
              <w:t>调整后情况</w:t>
            </w:r>
          </w:p>
        </w:tc>
      </w:tr>
      <w:tr w14:paraId="4734E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tblHeader/>
        </w:trPr>
        <w:tc>
          <w:tcPr>
            <w:tcW w:w="1144" w:type="dxa"/>
            <w:vMerge w:val="continue"/>
            <w:shd w:val="clear" w:color="auto" w:fill="FFFFFF"/>
            <w:noWrap w:val="0"/>
            <w:vAlign w:val="center"/>
          </w:tcPr>
          <w:p w14:paraId="7A2C2812">
            <w:pPr>
              <w:pStyle w:val="2"/>
              <w:numPr>
                <w:ilvl w:val="0"/>
                <w:numId w:val="1"/>
              </w:numPr>
              <w:adjustRightInd w:val="0"/>
              <w:snapToGrid w:val="0"/>
              <w:spacing w:before="0" w:after="0" w:line="240" w:lineRule="exact"/>
              <w:jc w:val="center"/>
              <w:rPr>
                <w:rFonts w:ascii="Times New Roman" w:hAnsi="Times New Roman"/>
                <w:b w:val="0"/>
                <w:bCs/>
                <w:sz w:val="21"/>
                <w:szCs w:val="21"/>
              </w:rPr>
            </w:pPr>
          </w:p>
        </w:tc>
        <w:tc>
          <w:tcPr>
            <w:tcW w:w="1021" w:type="dxa"/>
            <w:shd w:val="clear" w:color="auto" w:fill="FFFFFF"/>
            <w:noWrap w:val="0"/>
            <w:vAlign w:val="center"/>
          </w:tcPr>
          <w:p w14:paraId="70EA1317">
            <w:pPr>
              <w:pStyle w:val="2"/>
              <w:adjustRightInd w:val="0"/>
              <w:snapToGrid w:val="0"/>
              <w:spacing w:before="0" w:after="0" w:line="240" w:lineRule="exact"/>
              <w:jc w:val="center"/>
              <w:rPr>
                <w:rFonts w:ascii="Times New Roman" w:hAnsi="Times New Roman"/>
                <w:b w:val="0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 w:val="21"/>
                <w:szCs w:val="21"/>
              </w:rPr>
              <w:t>部门</w:t>
            </w:r>
          </w:p>
        </w:tc>
        <w:tc>
          <w:tcPr>
            <w:tcW w:w="960" w:type="dxa"/>
            <w:shd w:val="clear" w:color="auto" w:fill="FFFFFF"/>
            <w:noWrap w:val="0"/>
            <w:vAlign w:val="center"/>
          </w:tcPr>
          <w:p w14:paraId="5EC610E8">
            <w:pPr>
              <w:pStyle w:val="2"/>
              <w:adjustRightInd w:val="0"/>
              <w:snapToGrid w:val="0"/>
              <w:spacing w:before="0" w:after="0" w:line="240" w:lineRule="exact"/>
              <w:jc w:val="center"/>
              <w:rPr>
                <w:rFonts w:ascii="Times New Roman" w:hAnsi="Times New Roman"/>
                <w:b w:val="0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 w:val="21"/>
                <w:szCs w:val="21"/>
              </w:rPr>
              <w:t>权力</w:t>
            </w:r>
            <w:r>
              <w:rPr>
                <w:rFonts w:ascii="Times New Roman" w:hAnsi="Times New Roman"/>
                <w:b w:val="0"/>
                <w:bCs/>
                <w:sz w:val="21"/>
                <w:szCs w:val="21"/>
              </w:rPr>
              <w:br w:type="textWrapping"/>
            </w:r>
            <w:r>
              <w:rPr>
                <w:rFonts w:ascii="Times New Roman" w:hAnsi="Times New Roman"/>
                <w:b w:val="0"/>
                <w:bCs/>
                <w:sz w:val="21"/>
                <w:szCs w:val="21"/>
              </w:rPr>
              <w:t>类型</w:t>
            </w:r>
          </w:p>
        </w:tc>
        <w:tc>
          <w:tcPr>
            <w:tcW w:w="4454" w:type="dxa"/>
            <w:shd w:val="clear" w:color="auto" w:fill="FFFFFF"/>
            <w:noWrap w:val="0"/>
            <w:vAlign w:val="center"/>
          </w:tcPr>
          <w:p w14:paraId="4265412D">
            <w:pPr>
              <w:pStyle w:val="2"/>
              <w:adjustRightInd w:val="0"/>
              <w:snapToGrid w:val="0"/>
              <w:spacing w:before="0" w:after="0" w:line="240" w:lineRule="exact"/>
              <w:jc w:val="center"/>
              <w:rPr>
                <w:rFonts w:ascii="Times New Roman" w:hAnsi="Times New Roman"/>
                <w:b w:val="0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 w:val="21"/>
                <w:szCs w:val="21"/>
              </w:rPr>
              <w:t>权力名称</w:t>
            </w:r>
          </w:p>
        </w:tc>
        <w:tc>
          <w:tcPr>
            <w:tcW w:w="690" w:type="dxa"/>
            <w:shd w:val="clear" w:color="auto" w:fill="FFFFFF"/>
            <w:noWrap w:val="0"/>
            <w:vAlign w:val="center"/>
          </w:tcPr>
          <w:p w14:paraId="0559BEFD">
            <w:pPr>
              <w:pStyle w:val="2"/>
              <w:adjustRightInd w:val="0"/>
              <w:snapToGrid w:val="0"/>
              <w:spacing w:before="0" w:after="0" w:line="240" w:lineRule="exact"/>
              <w:jc w:val="center"/>
              <w:rPr>
                <w:rFonts w:ascii="Times New Roman" w:hAnsi="Times New Roman"/>
                <w:b w:val="0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 w:val="21"/>
                <w:szCs w:val="21"/>
              </w:rPr>
              <w:t>备注</w:t>
            </w:r>
          </w:p>
        </w:tc>
        <w:tc>
          <w:tcPr>
            <w:tcW w:w="780" w:type="dxa"/>
            <w:vMerge w:val="continue"/>
            <w:shd w:val="clear" w:color="auto" w:fill="FFFFFF"/>
            <w:noWrap w:val="0"/>
            <w:vAlign w:val="center"/>
          </w:tcPr>
          <w:p w14:paraId="5570AD41">
            <w:pPr>
              <w:pStyle w:val="2"/>
              <w:adjustRightInd w:val="0"/>
              <w:snapToGrid w:val="0"/>
              <w:spacing w:before="0" w:after="0" w:line="240" w:lineRule="exact"/>
              <w:jc w:val="center"/>
              <w:rPr>
                <w:rFonts w:ascii="Times New Roman" w:hAnsi="Times New Roman"/>
                <w:b w:val="0"/>
                <w:bCs/>
                <w:sz w:val="21"/>
                <w:szCs w:val="21"/>
              </w:rPr>
            </w:pPr>
          </w:p>
        </w:tc>
        <w:tc>
          <w:tcPr>
            <w:tcW w:w="990" w:type="dxa"/>
            <w:shd w:val="clear" w:color="auto" w:fill="FFFFFF"/>
            <w:noWrap w:val="0"/>
            <w:vAlign w:val="center"/>
          </w:tcPr>
          <w:p w14:paraId="4A1DD639">
            <w:pPr>
              <w:pStyle w:val="2"/>
              <w:adjustRightInd w:val="0"/>
              <w:snapToGrid w:val="0"/>
              <w:spacing w:before="0" w:after="0" w:line="240" w:lineRule="exact"/>
              <w:jc w:val="center"/>
              <w:rPr>
                <w:rFonts w:ascii="Times New Roman" w:hAnsi="Times New Roman"/>
                <w:b w:val="0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 w:val="21"/>
                <w:szCs w:val="21"/>
              </w:rPr>
              <w:t>部门</w:t>
            </w:r>
          </w:p>
        </w:tc>
        <w:tc>
          <w:tcPr>
            <w:tcW w:w="990" w:type="dxa"/>
            <w:shd w:val="clear" w:color="auto" w:fill="FFFFFF"/>
            <w:noWrap w:val="0"/>
            <w:vAlign w:val="center"/>
          </w:tcPr>
          <w:p w14:paraId="644F86C6">
            <w:pPr>
              <w:pStyle w:val="2"/>
              <w:adjustRightInd w:val="0"/>
              <w:snapToGrid w:val="0"/>
              <w:spacing w:before="0" w:after="0" w:line="240" w:lineRule="exact"/>
              <w:jc w:val="center"/>
              <w:rPr>
                <w:rFonts w:ascii="Times New Roman" w:hAnsi="Times New Roman"/>
                <w:b w:val="0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 w:val="21"/>
                <w:szCs w:val="21"/>
              </w:rPr>
              <w:t>权力</w:t>
            </w:r>
            <w:r>
              <w:rPr>
                <w:rFonts w:ascii="Times New Roman" w:hAnsi="Times New Roman"/>
                <w:b w:val="0"/>
                <w:bCs/>
                <w:sz w:val="21"/>
                <w:szCs w:val="21"/>
              </w:rPr>
              <w:br w:type="textWrapping"/>
            </w:r>
            <w:r>
              <w:rPr>
                <w:rFonts w:ascii="Times New Roman" w:hAnsi="Times New Roman"/>
                <w:b w:val="0"/>
                <w:bCs/>
                <w:sz w:val="21"/>
                <w:szCs w:val="21"/>
              </w:rPr>
              <w:t>类型</w:t>
            </w:r>
          </w:p>
        </w:tc>
        <w:tc>
          <w:tcPr>
            <w:tcW w:w="3945" w:type="dxa"/>
            <w:shd w:val="clear" w:color="auto" w:fill="FFFFFF"/>
            <w:noWrap w:val="0"/>
            <w:vAlign w:val="center"/>
          </w:tcPr>
          <w:p w14:paraId="4DB158CE">
            <w:pPr>
              <w:pStyle w:val="2"/>
              <w:adjustRightInd w:val="0"/>
              <w:snapToGrid w:val="0"/>
              <w:spacing w:before="0" w:after="0" w:line="240" w:lineRule="exact"/>
              <w:jc w:val="center"/>
              <w:rPr>
                <w:rFonts w:ascii="Times New Roman" w:hAnsi="Times New Roman"/>
                <w:b w:val="0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 w:val="21"/>
                <w:szCs w:val="21"/>
              </w:rPr>
              <w:t>权力名称</w:t>
            </w:r>
          </w:p>
        </w:tc>
        <w:tc>
          <w:tcPr>
            <w:tcW w:w="900" w:type="dxa"/>
            <w:shd w:val="clear" w:color="auto" w:fill="FFFFFF"/>
            <w:noWrap w:val="0"/>
            <w:vAlign w:val="center"/>
          </w:tcPr>
          <w:p w14:paraId="30FBF06B">
            <w:pPr>
              <w:pStyle w:val="2"/>
              <w:adjustRightInd w:val="0"/>
              <w:snapToGrid w:val="0"/>
              <w:spacing w:before="0" w:after="0" w:line="240" w:lineRule="exact"/>
              <w:jc w:val="center"/>
              <w:rPr>
                <w:rFonts w:ascii="Times New Roman" w:hAnsi="Times New Roman"/>
                <w:b w:val="0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sz w:val="21"/>
                <w:szCs w:val="21"/>
              </w:rPr>
              <w:t>备注</w:t>
            </w:r>
          </w:p>
        </w:tc>
      </w:tr>
      <w:tr w14:paraId="5F590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144" w:type="dxa"/>
            <w:shd w:val="clear" w:color="auto" w:fill="FFFFFF"/>
            <w:noWrap w:val="0"/>
            <w:vAlign w:val="center"/>
          </w:tcPr>
          <w:p w14:paraId="4E6FDD69">
            <w:pPr>
              <w:widowControl/>
              <w:numPr>
                <w:ilvl w:val="0"/>
                <w:numId w:val="1"/>
              </w:numPr>
              <w:tabs>
                <w:tab w:val="center" w:pos="0"/>
                <w:tab w:val="left" w:pos="562"/>
              </w:tabs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sz w:val="21"/>
                <w:szCs w:val="21"/>
              </w:rPr>
            </w:pPr>
          </w:p>
        </w:tc>
        <w:tc>
          <w:tcPr>
            <w:tcW w:w="1021" w:type="dxa"/>
            <w:shd w:val="clear" w:color="auto" w:fill="FFFFFF"/>
            <w:noWrap w:val="0"/>
            <w:vAlign w:val="center"/>
          </w:tcPr>
          <w:p w14:paraId="52137FB4"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eastAsia="zh-CN" w:bidi="ar"/>
              </w:rPr>
              <w:t>市卫生健康委</w:t>
            </w:r>
          </w:p>
        </w:tc>
        <w:tc>
          <w:tcPr>
            <w:tcW w:w="960" w:type="dxa"/>
            <w:shd w:val="clear" w:color="auto" w:fill="FFFFFF"/>
            <w:noWrap w:val="0"/>
            <w:vAlign w:val="center"/>
          </w:tcPr>
          <w:p w14:paraId="28131B27"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"/>
              </w:rPr>
              <w:t>行政处罚</w:t>
            </w:r>
          </w:p>
        </w:tc>
        <w:tc>
          <w:tcPr>
            <w:tcW w:w="4454" w:type="dxa"/>
            <w:shd w:val="clear" w:color="auto" w:fill="FFFFFF"/>
            <w:noWrap w:val="0"/>
            <w:vAlign w:val="center"/>
          </w:tcPr>
          <w:p w14:paraId="03FC355D"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"/>
              </w:rPr>
              <w:t>对未经许可，擅自从事使用有毒物品作业的行政处罚</w:t>
            </w:r>
          </w:p>
        </w:tc>
        <w:tc>
          <w:tcPr>
            <w:tcW w:w="690" w:type="dxa"/>
            <w:shd w:val="clear" w:color="auto" w:fill="FFFFFF"/>
            <w:noWrap w:val="0"/>
            <w:vAlign w:val="center"/>
          </w:tcPr>
          <w:p w14:paraId="09E6DA2D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 w14:paraId="409D258B"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eastAsia="zh-CN" w:bidi="ar"/>
              </w:rPr>
              <w:t>取消</w:t>
            </w:r>
          </w:p>
        </w:tc>
        <w:tc>
          <w:tcPr>
            <w:tcW w:w="990" w:type="dxa"/>
            <w:shd w:val="clear" w:color="auto" w:fill="FFFFFF"/>
            <w:noWrap w:val="0"/>
            <w:vAlign w:val="center"/>
          </w:tcPr>
          <w:p w14:paraId="6F3E1C46">
            <w:pPr>
              <w:widowControl/>
              <w:spacing w:line="24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990" w:type="dxa"/>
            <w:shd w:val="clear" w:color="auto" w:fill="FFFFFF"/>
            <w:noWrap w:val="0"/>
            <w:vAlign w:val="center"/>
          </w:tcPr>
          <w:p w14:paraId="20E70378"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945" w:type="dxa"/>
            <w:shd w:val="clear" w:color="auto" w:fill="FFFFFF"/>
            <w:noWrap w:val="0"/>
            <w:vAlign w:val="center"/>
          </w:tcPr>
          <w:p w14:paraId="67079E97"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00" w:type="dxa"/>
            <w:shd w:val="clear" w:color="auto" w:fill="FFFFFF"/>
            <w:noWrap w:val="0"/>
            <w:vAlign w:val="center"/>
          </w:tcPr>
          <w:p w14:paraId="10037215"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</w:tr>
      <w:tr w14:paraId="69B00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4" w:type="dxa"/>
            <w:shd w:val="clear" w:color="auto" w:fill="FFFFFF"/>
            <w:noWrap w:val="0"/>
            <w:vAlign w:val="center"/>
          </w:tcPr>
          <w:p w14:paraId="34022B6D">
            <w:pPr>
              <w:widowControl/>
              <w:numPr>
                <w:ilvl w:val="0"/>
                <w:numId w:val="1"/>
              </w:numPr>
              <w:tabs>
                <w:tab w:val="center" w:pos="0"/>
                <w:tab w:val="left" w:pos="562"/>
              </w:tabs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sz w:val="21"/>
                <w:szCs w:val="21"/>
              </w:rPr>
            </w:pPr>
          </w:p>
        </w:tc>
        <w:tc>
          <w:tcPr>
            <w:tcW w:w="1021" w:type="dxa"/>
            <w:shd w:val="clear" w:color="auto" w:fill="FFFFFF"/>
            <w:noWrap w:val="0"/>
            <w:vAlign w:val="center"/>
          </w:tcPr>
          <w:p w14:paraId="6AD57F41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eastAsia="zh-CN" w:bidi="ar"/>
              </w:rPr>
              <w:t>市卫生健康委</w:t>
            </w:r>
          </w:p>
        </w:tc>
        <w:tc>
          <w:tcPr>
            <w:tcW w:w="960" w:type="dxa"/>
            <w:shd w:val="clear" w:color="auto" w:fill="FFFFFF"/>
            <w:noWrap w:val="0"/>
            <w:vAlign w:val="center"/>
          </w:tcPr>
          <w:p w14:paraId="62FFB0AA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"/>
              </w:rPr>
              <w:t>行政处罚</w:t>
            </w:r>
          </w:p>
        </w:tc>
        <w:tc>
          <w:tcPr>
            <w:tcW w:w="4454" w:type="dxa"/>
            <w:shd w:val="clear" w:color="auto" w:fill="FFFFFF"/>
            <w:noWrap w:val="0"/>
            <w:vAlign w:val="center"/>
          </w:tcPr>
          <w:p w14:paraId="615A7EA5"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对医疗机构滥用麻醉药品、剧毒药品、精神药品，或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使用假、劣药品、过期失效淘汰药品和其他违禁药品的；未经批准自行配制制剂的；个人、合伙举办的医疗机构未按审批登记的机关核准的范围、品种和数量配备药柜、药房的药品的；个人、合伙举办的医疗机构所配药品以其他形式对外销售的行政处罚</w:t>
            </w:r>
          </w:p>
          <w:p w14:paraId="4A05532F">
            <w:pPr>
              <w:spacing w:line="240" w:lineRule="exact"/>
              <w:jc w:val="left"/>
              <w:rPr>
                <w:rFonts w:ascii="Times New Roman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0" w:type="dxa"/>
            <w:shd w:val="clear" w:color="auto" w:fill="FFFFFF"/>
            <w:noWrap w:val="0"/>
            <w:vAlign w:val="center"/>
          </w:tcPr>
          <w:p w14:paraId="5D810000"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仿宋_GB2312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 w14:paraId="62EEBFE3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kern w:val="2"/>
                <w:sz w:val="21"/>
                <w:szCs w:val="21"/>
                <w:lang w:val="en-US" w:eastAsia="zh-CN" w:bidi="ar-SA"/>
              </w:rPr>
              <w:t>取消</w:t>
            </w:r>
          </w:p>
        </w:tc>
        <w:tc>
          <w:tcPr>
            <w:tcW w:w="990" w:type="dxa"/>
            <w:shd w:val="clear" w:color="auto" w:fill="FFFFFF"/>
            <w:noWrap w:val="0"/>
            <w:vAlign w:val="center"/>
          </w:tcPr>
          <w:p w14:paraId="517C13C6">
            <w:pPr>
              <w:widowControl/>
              <w:spacing w:line="240" w:lineRule="exact"/>
              <w:jc w:val="both"/>
              <w:textAlignment w:val="center"/>
              <w:rPr>
                <w:rFonts w:ascii="Times New Roman" w:hAnsi="Times New Roman" w:eastAsia="仿宋_GB2312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90" w:type="dxa"/>
            <w:shd w:val="clear" w:color="auto" w:fill="FFFFFF"/>
            <w:noWrap w:val="0"/>
            <w:vAlign w:val="center"/>
          </w:tcPr>
          <w:p w14:paraId="041613A8">
            <w:pPr>
              <w:widowControl/>
              <w:spacing w:line="240" w:lineRule="exact"/>
              <w:jc w:val="both"/>
              <w:textAlignment w:val="center"/>
              <w:rPr>
                <w:rFonts w:ascii="Times New Roman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945" w:type="dxa"/>
            <w:shd w:val="clear" w:color="auto" w:fill="FFFFFF"/>
            <w:noWrap w:val="0"/>
            <w:vAlign w:val="center"/>
          </w:tcPr>
          <w:p w14:paraId="0ABD73D5"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仿宋_GB2312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00" w:type="dxa"/>
            <w:shd w:val="clear" w:color="auto" w:fill="FFFFFF"/>
            <w:noWrap w:val="0"/>
            <w:vAlign w:val="center"/>
          </w:tcPr>
          <w:p w14:paraId="47544F32"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仿宋_GB2312"/>
                <w:kern w:val="0"/>
                <w:sz w:val="21"/>
                <w:szCs w:val="21"/>
                <w:lang w:bidi="ar"/>
              </w:rPr>
            </w:pPr>
          </w:p>
        </w:tc>
      </w:tr>
      <w:tr w14:paraId="42DDC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4" w:type="dxa"/>
            <w:shd w:val="clear" w:color="auto" w:fill="FFFFFF"/>
            <w:noWrap w:val="0"/>
            <w:vAlign w:val="center"/>
          </w:tcPr>
          <w:p w14:paraId="2EE484C6">
            <w:pPr>
              <w:widowControl/>
              <w:numPr>
                <w:ilvl w:val="0"/>
                <w:numId w:val="1"/>
              </w:numPr>
              <w:tabs>
                <w:tab w:val="left" w:pos="562"/>
              </w:tabs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21" w:type="dxa"/>
            <w:shd w:val="clear" w:color="auto" w:fill="FFFFFF"/>
            <w:noWrap w:val="0"/>
            <w:vAlign w:val="center"/>
          </w:tcPr>
          <w:p w14:paraId="5E5CAD14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eastAsia="zh-CN" w:bidi="ar"/>
              </w:rPr>
              <w:t>市卫生健康委</w:t>
            </w:r>
          </w:p>
        </w:tc>
        <w:tc>
          <w:tcPr>
            <w:tcW w:w="960" w:type="dxa"/>
            <w:shd w:val="clear" w:color="auto" w:fill="FFFFFF"/>
            <w:noWrap w:val="0"/>
            <w:vAlign w:val="center"/>
          </w:tcPr>
          <w:p w14:paraId="217292B7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"/>
              </w:rPr>
              <w:t>行政处罚</w:t>
            </w:r>
          </w:p>
        </w:tc>
        <w:tc>
          <w:tcPr>
            <w:tcW w:w="4454" w:type="dxa"/>
            <w:shd w:val="clear" w:color="auto" w:fill="FFFFFF"/>
            <w:noWrap w:val="0"/>
            <w:vAlign w:val="center"/>
          </w:tcPr>
          <w:p w14:paraId="7A26F379"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对医疗机构管理混乱，有严重事故隐患，直接影响医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疗安全且限期不改的行政处罚</w:t>
            </w:r>
          </w:p>
          <w:p w14:paraId="51B0C0A1">
            <w:pPr>
              <w:spacing w:line="240" w:lineRule="exact"/>
              <w:jc w:val="left"/>
              <w:rPr>
                <w:rFonts w:ascii="Times New Roman" w:hAnsi="Times New Roman" w:eastAsia="仿宋_GB2312"/>
                <w:sz w:val="21"/>
                <w:szCs w:val="21"/>
              </w:rPr>
            </w:pPr>
          </w:p>
        </w:tc>
        <w:tc>
          <w:tcPr>
            <w:tcW w:w="690" w:type="dxa"/>
            <w:shd w:val="clear" w:color="auto" w:fill="FFFFFF"/>
            <w:noWrap w:val="0"/>
            <w:vAlign w:val="center"/>
          </w:tcPr>
          <w:p w14:paraId="7465C5DE"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仿宋_GB2312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 w14:paraId="06511ED5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取消</w:t>
            </w:r>
          </w:p>
        </w:tc>
        <w:tc>
          <w:tcPr>
            <w:tcW w:w="990" w:type="dxa"/>
            <w:shd w:val="clear" w:color="auto" w:fill="FFFFFF"/>
            <w:noWrap w:val="0"/>
            <w:vAlign w:val="center"/>
          </w:tcPr>
          <w:p w14:paraId="6F321857">
            <w:pPr>
              <w:widowControl/>
              <w:spacing w:line="240" w:lineRule="exact"/>
              <w:jc w:val="both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90" w:type="dxa"/>
            <w:shd w:val="clear" w:color="auto" w:fill="FFFFFF"/>
            <w:noWrap w:val="0"/>
            <w:vAlign w:val="center"/>
          </w:tcPr>
          <w:p w14:paraId="363F20B4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945" w:type="dxa"/>
            <w:shd w:val="clear" w:color="auto" w:fill="FFFFFF"/>
            <w:noWrap w:val="0"/>
            <w:vAlign w:val="center"/>
          </w:tcPr>
          <w:p w14:paraId="11A65012"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00" w:type="dxa"/>
            <w:shd w:val="clear" w:color="auto" w:fill="FFFFFF"/>
            <w:noWrap w:val="0"/>
            <w:vAlign w:val="center"/>
          </w:tcPr>
          <w:p w14:paraId="37573C17"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仿宋_GB2312"/>
                <w:kern w:val="0"/>
                <w:sz w:val="21"/>
                <w:szCs w:val="21"/>
                <w:lang w:bidi="ar"/>
              </w:rPr>
            </w:pPr>
          </w:p>
        </w:tc>
      </w:tr>
      <w:tr w14:paraId="44C6E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4" w:type="dxa"/>
            <w:shd w:val="clear" w:color="auto" w:fill="FFFFFF"/>
            <w:noWrap w:val="0"/>
            <w:vAlign w:val="center"/>
          </w:tcPr>
          <w:p w14:paraId="2983BABE">
            <w:pPr>
              <w:widowControl/>
              <w:numPr>
                <w:ilvl w:val="0"/>
                <w:numId w:val="1"/>
              </w:numPr>
              <w:tabs>
                <w:tab w:val="left" w:pos="562"/>
              </w:tabs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21" w:type="dxa"/>
            <w:shd w:val="clear" w:color="auto" w:fill="FFFFFF"/>
            <w:noWrap w:val="0"/>
            <w:vAlign w:val="center"/>
          </w:tcPr>
          <w:p w14:paraId="742A0FC8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eastAsia="zh-CN" w:bidi="ar"/>
              </w:rPr>
              <w:t>市卫生健康委</w:t>
            </w:r>
          </w:p>
        </w:tc>
        <w:tc>
          <w:tcPr>
            <w:tcW w:w="960" w:type="dxa"/>
            <w:shd w:val="clear" w:color="auto" w:fill="FFFFFF"/>
            <w:noWrap w:val="0"/>
            <w:vAlign w:val="center"/>
          </w:tcPr>
          <w:p w14:paraId="4203115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"/>
              </w:rPr>
              <w:t>行政处罚</w:t>
            </w:r>
          </w:p>
        </w:tc>
        <w:tc>
          <w:tcPr>
            <w:tcW w:w="4454" w:type="dxa"/>
            <w:shd w:val="clear" w:color="auto" w:fill="FFFFFF"/>
            <w:noWrap w:val="0"/>
            <w:vAlign w:val="center"/>
          </w:tcPr>
          <w:p w14:paraId="546C4126"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对医疗机构未使用有本医疗机构标识的病历、处方、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检查报告单和票据，或将其出卖或出借的；使用其他医疗机构的票据、病历、处方、检查报告单的行政处罚</w:t>
            </w:r>
          </w:p>
          <w:p w14:paraId="110BAC30">
            <w:pPr>
              <w:spacing w:line="240" w:lineRule="exact"/>
              <w:jc w:val="left"/>
              <w:rPr>
                <w:rFonts w:ascii="Times New Roman" w:hAnsi="Times New Roman" w:eastAsia="仿宋_GB2312"/>
                <w:sz w:val="21"/>
                <w:szCs w:val="21"/>
              </w:rPr>
            </w:pPr>
          </w:p>
        </w:tc>
        <w:tc>
          <w:tcPr>
            <w:tcW w:w="690" w:type="dxa"/>
            <w:shd w:val="clear" w:color="auto" w:fill="FFFFFF"/>
            <w:noWrap w:val="0"/>
            <w:vAlign w:val="center"/>
          </w:tcPr>
          <w:p w14:paraId="7275A97F"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仿宋_GB2312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 w14:paraId="0EAA448C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变更</w:t>
            </w:r>
          </w:p>
        </w:tc>
        <w:tc>
          <w:tcPr>
            <w:tcW w:w="990" w:type="dxa"/>
            <w:shd w:val="clear" w:color="auto" w:fill="FFFFFF"/>
            <w:noWrap w:val="0"/>
            <w:vAlign w:val="center"/>
          </w:tcPr>
          <w:p w14:paraId="2CAB397C">
            <w:pPr>
              <w:widowControl/>
              <w:spacing w:line="24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市卫生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健康委</w:t>
            </w:r>
          </w:p>
          <w:p w14:paraId="1F174F91">
            <w:pPr>
              <w:widowControl/>
              <w:spacing w:line="240" w:lineRule="exact"/>
              <w:jc w:val="both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90" w:type="dxa"/>
            <w:shd w:val="clear" w:color="auto" w:fill="FFFFFF"/>
            <w:noWrap w:val="0"/>
            <w:vAlign w:val="center"/>
          </w:tcPr>
          <w:p w14:paraId="7013E910"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行政处罚</w:t>
            </w:r>
          </w:p>
          <w:p w14:paraId="2DBD3AE4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945" w:type="dxa"/>
            <w:shd w:val="clear" w:color="auto" w:fill="FFFFFF"/>
            <w:noWrap w:val="0"/>
            <w:vAlign w:val="center"/>
          </w:tcPr>
          <w:p w14:paraId="7180D28C"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对买卖或者出借有本医疗机构标识的病历、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处方、检查报告单和票据的行政处罚</w:t>
            </w:r>
          </w:p>
          <w:p w14:paraId="4FE64F0E">
            <w:pPr>
              <w:widowControl/>
              <w:spacing w:line="240" w:lineRule="exact"/>
              <w:jc w:val="left"/>
              <w:textAlignment w:val="center"/>
              <w:rPr>
                <w:rFonts w:hint="eastAsia" w:ascii="Times New Roman" w:hAnsi="Times New Roman" w:eastAsia="仿宋_GB2312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900" w:type="dxa"/>
            <w:shd w:val="clear" w:color="auto" w:fill="FFFFFF"/>
            <w:noWrap w:val="0"/>
            <w:vAlign w:val="center"/>
          </w:tcPr>
          <w:p w14:paraId="0DFC757B"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仿宋_GB2312"/>
                <w:kern w:val="0"/>
                <w:sz w:val="21"/>
                <w:szCs w:val="21"/>
                <w:lang w:bidi="ar"/>
              </w:rPr>
            </w:pPr>
          </w:p>
        </w:tc>
      </w:tr>
    </w:tbl>
    <w:p w14:paraId="1890C8A2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807C95"/>
    <w:multiLevelType w:val="multilevel"/>
    <w:tmpl w:val="3E807C95"/>
    <w:lvl w:ilvl="0" w:tentative="0">
      <w:start w:val="1"/>
      <w:numFmt w:val="decimal"/>
      <w:suff w:val="nothing"/>
      <w:lvlText w:val="%1"/>
      <w:lvlJc w:val="center"/>
      <w:pPr>
        <w:ind w:left="0" w:firstLine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kNjQ0ZDY2ZGVjODNlZDVjNDc1N2ZhODFlNjUzNTQifQ=="/>
  </w:docVars>
  <w:rsids>
    <w:rsidRoot w:val="00000000"/>
    <w:rsid w:val="041F679F"/>
    <w:rsid w:val="04305BAC"/>
    <w:rsid w:val="060914B4"/>
    <w:rsid w:val="0CE340E1"/>
    <w:rsid w:val="12863E8D"/>
    <w:rsid w:val="139525D9"/>
    <w:rsid w:val="156D4E90"/>
    <w:rsid w:val="19597C05"/>
    <w:rsid w:val="1A1E30A1"/>
    <w:rsid w:val="1C5F19D6"/>
    <w:rsid w:val="1FA40111"/>
    <w:rsid w:val="2063580D"/>
    <w:rsid w:val="258D70BD"/>
    <w:rsid w:val="295B1778"/>
    <w:rsid w:val="2AA1765E"/>
    <w:rsid w:val="31C81974"/>
    <w:rsid w:val="32367FC3"/>
    <w:rsid w:val="32B048E2"/>
    <w:rsid w:val="38D253DE"/>
    <w:rsid w:val="39DE7F87"/>
    <w:rsid w:val="3A944AE9"/>
    <w:rsid w:val="413B7A6D"/>
    <w:rsid w:val="430F7403"/>
    <w:rsid w:val="451707F1"/>
    <w:rsid w:val="49170DBF"/>
    <w:rsid w:val="491A08B0"/>
    <w:rsid w:val="4F6C798B"/>
    <w:rsid w:val="56C4474B"/>
    <w:rsid w:val="587D415B"/>
    <w:rsid w:val="5A403EEE"/>
    <w:rsid w:val="60477D84"/>
    <w:rsid w:val="6087186D"/>
    <w:rsid w:val="7084695D"/>
    <w:rsid w:val="70B43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left="200" w:leftChars="200"/>
    </w:pPr>
  </w:style>
  <w:style w:type="paragraph" w:styleId="4">
    <w:name w:val="Body Text First Indent 2"/>
    <w:basedOn w:val="3"/>
    <w:next w:val="1"/>
    <w:qFormat/>
    <w:uiPriority w:val="0"/>
    <w:pPr>
      <w:widowControl w:val="0"/>
      <w:ind w:left="200" w:leftChars="200" w:firstLine="200" w:firstLineChars="20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2024-07-10T09:30:59Z</dcterms:created>
  <dc:creator>Administrator</dc:creator>
  <cp:lastModifiedBy>Lucky</cp:lastModifiedBy>
  <dcterms:modified xsi:type="dcterms:W3CDTF">2024-07-10T09:46:06Z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3B48156BD2104A82A517D2737BF83B18_12</vt:lpwstr>
  </property>
</Properties>
</file>