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6B737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OLE_LINK4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0C1DF546">
      <w:pPr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招标代理机构选择评分细则表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0"/>
        <w:gridCol w:w="720"/>
        <w:gridCol w:w="4613"/>
        <w:gridCol w:w="1031"/>
      </w:tblGrid>
      <w:tr w14:paraId="452C2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0F653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序号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3EA8A9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评分因素及权重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30D1A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分值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332CED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评分标准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7D3DA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备注</w:t>
            </w:r>
          </w:p>
        </w:tc>
      </w:tr>
      <w:tr w14:paraId="4B010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47BB8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C4BE2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报价</w:t>
            </w:r>
          </w:p>
          <w:p w14:paraId="24DDB0A0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4AF3E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33087">
            <w:pPr>
              <w:widowControl/>
              <w:shd w:val="clear" w:color="auto" w:fill="FFFFFF"/>
              <w:spacing w:line="320" w:lineRule="exact"/>
              <w:jc w:val="left"/>
              <w:outlineLvl w:val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1.投标人按照发展改革委《关于进一步放开建设项目专业服务价格的通知》（发改价格〔2015〕299号）第一条第（三）款规定执行。</w:t>
            </w:r>
          </w:p>
          <w:p w14:paraId="50A9FC24">
            <w:pPr>
              <w:adjustRightInd w:val="0"/>
              <w:snapToGrid w:val="0"/>
              <w:ind w:left="-109" w:leftChars="-52" w:firstLine="420" w:firstLineChars="20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2.投标报价计分方法：以下浮率最高者得分最高，每少下浮一个百分点扣1分;( 不足一个百分点按一个百分点计算)；</w:t>
            </w:r>
          </w:p>
          <w:p w14:paraId="3F79D3A2">
            <w:pPr>
              <w:pStyle w:val="2"/>
              <w:ind w:firstLine="308" w:firstLineChars="147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3.报价下浮超过20%，则报价分值为0分。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61435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  <w:tr w14:paraId="6FCD9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8FC53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1D4DC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执业能力</w:t>
            </w:r>
          </w:p>
          <w:p w14:paraId="7BFB7FA9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0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0A50E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0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F3B8C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1.机构从业人员（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分）：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人及以上得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分，</w:t>
            </w:r>
            <w:r>
              <w:rPr>
                <w:rFonts w:ascii="仿宋_GB2312" w:hAnsi="仿宋_GB2312" w:eastAsia="仿宋_GB2312" w:cs="仿宋_GB2312"/>
                <w:szCs w:val="21"/>
              </w:rPr>
              <w:t>5-9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人得</w:t>
            </w:r>
            <w:r>
              <w:rPr>
                <w:rFonts w:ascii="仿宋_GB2312" w:hAnsi="仿宋_GB2312" w:eastAsia="仿宋_GB2312" w:cs="仿宋_GB2312"/>
                <w:szCs w:val="21"/>
              </w:rPr>
              <w:t>5-9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分，4人（含）以下不得分；</w:t>
            </w:r>
          </w:p>
          <w:p w14:paraId="4CD9351A">
            <w:pPr>
              <w:ind w:firstLine="420" w:firstLineChars="20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2.项目负责人配备（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分）：项目负责人具有本科或以上学历得10分、专科得5分。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9DFC18">
            <w:pPr>
              <w:jc w:val="center"/>
              <w:rPr>
                <w:rFonts w:hint="eastAsia"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提供证明材料</w:t>
            </w:r>
          </w:p>
        </w:tc>
      </w:tr>
      <w:tr w14:paraId="2C5B0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557842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3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7FF1C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代理业绩</w:t>
            </w:r>
          </w:p>
          <w:p w14:paraId="139292AC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A8D77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15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BCCFA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以近一年内代理业绩为准（时间以投标截止日为准），每提供</w:t>
            </w: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个得3分（提供中标通知书或合同等证明材料）。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5D81D">
            <w:pPr>
              <w:jc w:val="center"/>
              <w:rPr>
                <w:rFonts w:hint="eastAsia"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当年新成立的公司，不提供代理业绩。</w:t>
            </w:r>
          </w:p>
        </w:tc>
      </w:tr>
      <w:tr w14:paraId="29346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0ECBE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4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A0512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招标代理方案40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69FFD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40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E27F6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根据投标人着重从如何保证招投标的合法合规、公平公正，如何保证招投标工作质量和工作水平方面编制招标代理服务方案。包括但不仅限于如下内容：需求论证组织；招标文件制作质量；招投标程序合法合规；开标过程公平公正；防范围标、串标行为；质疑投诉防范和处理；招标资料收集、保存、移交、协助电子平台项目生成等。</w:t>
            </w:r>
          </w:p>
          <w:p w14:paraId="18AD232F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对方案进行横向比较综合评分，优秀得31-40分，良好得21-30分，一般得11-20分，差得10分，未提供得</w:t>
            </w:r>
            <w:r>
              <w:rPr>
                <w:rFonts w:ascii="仿宋_GB2312" w:hAnsi="仿宋_GB2312" w:eastAsia="仿宋_GB2312" w:cs="仿宋_GB2312"/>
                <w:szCs w:val="21"/>
              </w:rPr>
              <w:t>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A54CB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  <w:tr w14:paraId="06EAC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938F9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6F1AC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投标文件规范性</w:t>
            </w:r>
          </w:p>
          <w:p w14:paraId="3BC26EA7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B1FBF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9EDC6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投标文件制作规范，没有细微偏差情形的得满分；有一项细微偏差扣</w:t>
            </w: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分；直到该项分值扣完为止。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21A67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</w:tbl>
    <w:p w14:paraId="6FB81122"/>
    <w:p w14:paraId="6C487BD4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Cs w:val="21"/>
        </w:rPr>
        <w:t>备注：各评分专家根据评分标准在评分中可保留小数点后一位数。</w:t>
      </w:r>
    </w:p>
    <w:bookmarkEnd w:id="0"/>
    <w:p w14:paraId="38606169">
      <w:pPr>
        <w:bidi w:val="0"/>
        <w:ind w:firstLine="372" w:firstLineChars="0"/>
        <w:jc w:val="left"/>
        <w:rPr>
          <w:rFonts w:hint="default"/>
          <w:lang w:val="en-US" w:eastAsia="zh-CN"/>
        </w:rPr>
      </w:pPr>
    </w:p>
    <w:p w14:paraId="54F2FDED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xZTQ2NmQ0MTg4Zjk5YWM1NzJlYjMyMTA5NDU1MDAifQ=="/>
  </w:docVars>
  <w:rsids>
    <w:rsidRoot w:val="0F500526"/>
    <w:rsid w:val="0F500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100" w:firstLineChars="100"/>
    </w:pPr>
    <w:rPr>
      <w:color w:val="FF0000"/>
    </w:rPr>
  </w:style>
  <w:style w:type="paragraph" w:styleId="3">
    <w:name w:val="Body Text"/>
    <w:basedOn w:val="1"/>
    <w:next w:val="4"/>
    <w:semiHidden/>
    <w:unhideWhenUsed/>
    <w:qFormat/>
    <w:uiPriority w:val="99"/>
    <w:pPr>
      <w:spacing w:after="120"/>
    </w:pPr>
    <w:rPr>
      <w:rFonts w:ascii="Times New Roman" w:hAnsi="Times New Roman"/>
      <w:szCs w:val="24"/>
    </w:rPr>
  </w:style>
  <w:style w:type="paragraph" w:styleId="4">
    <w:name w:val="Subtitle"/>
    <w:basedOn w:val="1"/>
    <w:next w:val="1"/>
    <w:qFormat/>
    <w:uiPriority w:val="11"/>
    <w:pPr>
      <w:spacing w:after="60"/>
      <w:jc w:val="center"/>
      <w:outlineLvl w:val="1"/>
    </w:pPr>
    <w:rPr>
      <w:rFonts w:ascii="Cambria" w:hAnsi="Cambri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2024-12-12T03:04:00Z</dcterms:created>
  <dc:creator>曾莉</dc:creator>
  <cp:lastModifiedBy>曾莉</cp:lastModifiedBy>
  <dcterms:modified xsi:type="dcterms:W3CDTF">2024-12-12T03:04:33Z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FFDA1919040A47A58DBA332317A4E334_11</vt:lpwstr>
  </property>
</Properties>
</file>