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36B7374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50" w:lineRule="exact"/>
        <w:jc w:val="both"/>
        <w:textAlignment w:val="auto"/>
        <w:rPr>
          <w:rFonts w:hint="default" w:ascii="黑体" w:hAnsi="黑体" w:eastAsia="黑体" w:cs="黑体"/>
          <w:sz w:val="32"/>
          <w:szCs w:val="32"/>
          <w:lang w:val="en-US" w:eastAsia="zh-CN"/>
        </w:rPr>
      </w:pPr>
      <w:bookmarkStart w:id="0" w:name="OLE_LINK4"/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附件2</w:t>
      </w:r>
    </w:p>
    <w:p w14:paraId="0C1DF546">
      <w:pPr>
        <w:jc w:val="center"/>
        <w:rPr>
          <w:rFonts w:ascii="方正小标宋简体" w:hAnsi="黑体" w:eastAsia="方正小标宋简体" w:cs="黑体"/>
          <w:sz w:val="44"/>
          <w:szCs w:val="44"/>
        </w:rPr>
      </w:pPr>
      <w:r>
        <w:rPr>
          <w:rFonts w:hint="eastAsia" w:ascii="方正小标宋简体" w:hAnsi="黑体" w:eastAsia="方正小标宋简体" w:cs="黑体"/>
          <w:sz w:val="44"/>
          <w:szCs w:val="44"/>
        </w:rPr>
        <w:t>招标代理机构选择评分细则表</w:t>
      </w:r>
    </w:p>
    <w:tbl>
      <w:tblPr>
        <w:tblStyle w:val="8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8"/>
        <w:gridCol w:w="1800"/>
        <w:gridCol w:w="720"/>
        <w:gridCol w:w="4613"/>
        <w:gridCol w:w="1031"/>
      </w:tblGrid>
      <w:tr w14:paraId="452C217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2" w:hRule="atLeast"/>
        </w:trPr>
        <w:tc>
          <w:tcPr>
            <w:tcW w:w="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E70F653">
            <w:pPr>
              <w:jc w:val="center"/>
              <w:rPr>
                <w:rFonts w:ascii="方正小标宋简体" w:hAnsi="方正小标宋简体" w:eastAsia="方正小标宋简体" w:cs="方正小标宋简体"/>
                <w:szCs w:val="21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szCs w:val="21"/>
              </w:rPr>
              <w:t>序号</w:t>
            </w:r>
          </w:p>
        </w:tc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C3EA8A9">
            <w:pPr>
              <w:jc w:val="center"/>
              <w:rPr>
                <w:rFonts w:ascii="方正小标宋简体" w:hAnsi="方正小标宋简体" w:eastAsia="方正小标宋简体" w:cs="方正小标宋简体"/>
                <w:szCs w:val="21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szCs w:val="21"/>
              </w:rPr>
              <w:t>评分因素及权重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DF30D1A">
            <w:pPr>
              <w:jc w:val="center"/>
              <w:rPr>
                <w:rFonts w:ascii="方正小标宋简体" w:hAnsi="方正小标宋简体" w:eastAsia="方正小标宋简体" w:cs="方正小标宋简体"/>
                <w:szCs w:val="21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szCs w:val="21"/>
              </w:rPr>
              <w:t>分值</w:t>
            </w:r>
          </w:p>
        </w:tc>
        <w:tc>
          <w:tcPr>
            <w:tcW w:w="46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6332CED">
            <w:pPr>
              <w:jc w:val="center"/>
              <w:rPr>
                <w:rFonts w:ascii="方正小标宋简体" w:hAnsi="方正小标宋简体" w:eastAsia="方正小标宋简体" w:cs="方正小标宋简体"/>
                <w:szCs w:val="21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szCs w:val="21"/>
              </w:rPr>
              <w:t>评分标准</w:t>
            </w:r>
          </w:p>
        </w:tc>
        <w:tc>
          <w:tcPr>
            <w:tcW w:w="10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2D7D3DA">
            <w:pPr>
              <w:jc w:val="center"/>
              <w:rPr>
                <w:rFonts w:ascii="方正小标宋简体" w:hAnsi="方正小标宋简体" w:eastAsia="方正小标宋简体" w:cs="方正小标宋简体"/>
                <w:szCs w:val="21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szCs w:val="21"/>
              </w:rPr>
              <w:t>备注</w:t>
            </w:r>
          </w:p>
        </w:tc>
      </w:tr>
      <w:tr w14:paraId="4B0109D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66" w:hRule="atLeast"/>
        </w:trPr>
        <w:tc>
          <w:tcPr>
            <w:tcW w:w="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B647BB8">
            <w:pPr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ascii="仿宋_GB2312" w:hAnsi="仿宋_GB2312" w:eastAsia="仿宋_GB2312" w:cs="仿宋_GB2312"/>
                <w:szCs w:val="21"/>
              </w:rPr>
              <w:t>1</w:t>
            </w:r>
          </w:p>
        </w:tc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6AC4BE2">
            <w:pPr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报价</w:t>
            </w:r>
          </w:p>
          <w:p w14:paraId="24DDB0A0">
            <w:pPr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20</w:t>
            </w:r>
            <w:r>
              <w:rPr>
                <w:rFonts w:ascii="仿宋_GB2312" w:hAnsi="仿宋_GB2312" w:eastAsia="仿宋_GB2312" w:cs="仿宋_GB2312"/>
                <w:szCs w:val="21"/>
              </w:rPr>
              <w:t>%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BF4AF3E">
            <w:pPr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20</w:t>
            </w:r>
          </w:p>
        </w:tc>
        <w:tc>
          <w:tcPr>
            <w:tcW w:w="46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0233087">
            <w:pPr>
              <w:widowControl/>
              <w:shd w:val="clear" w:color="auto" w:fill="FFFFFF"/>
              <w:spacing w:line="320" w:lineRule="exact"/>
              <w:jc w:val="left"/>
              <w:outlineLvl w:val="0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ascii="仿宋_GB2312" w:hAnsi="仿宋_GB2312" w:eastAsia="仿宋_GB2312" w:cs="仿宋_GB2312"/>
                <w:szCs w:val="21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szCs w:val="21"/>
              </w:rPr>
              <w:t xml:space="preserve"> 1.投标人按照发展改革委《关于进一步放开建设项目专业服务价格的通知》（发改价格〔2015〕299号）第一条第（三）款规定执行。</w:t>
            </w:r>
          </w:p>
          <w:p w14:paraId="50A9FC24">
            <w:pPr>
              <w:adjustRightInd w:val="0"/>
              <w:snapToGrid w:val="0"/>
              <w:ind w:left="-109" w:leftChars="-52" w:firstLine="420" w:firstLineChars="200"/>
              <w:jc w:val="left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2.投标报价计分方法：以下浮率最高者得分最高，每少下浮一个百分点扣1分;( 不足一个百分点按一个百分点计算)；</w:t>
            </w:r>
          </w:p>
          <w:p w14:paraId="3F79D3A2">
            <w:pPr>
              <w:pStyle w:val="2"/>
              <w:ind w:firstLine="308" w:firstLineChars="147"/>
              <w:rPr>
                <w:rFonts w:hint="eastAsia" w:ascii="仿宋_GB2312" w:hAnsi="仿宋_GB2312" w:eastAsia="仿宋_GB2312" w:cs="仿宋_GB2312"/>
                <w:color w:val="auto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Cs w:val="21"/>
              </w:rPr>
              <w:t>3.报价下浮超过20%，则报价分值为0分。</w:t>
            </w:r>
          </w:p>
        </w:tc>
        <w:tc>
          <w:tcPr>
            <w:tcW w:w="10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D961435">
            <w:pPr>
              <w:jc w:val="center"/>
              <w:rPr>
                <w:rFonts w:ascii="方正小标宋简体" w:hAnsi="方正小标宋简体" w:eastAsia="方正小标宋简体" w:cs="方正小标宋简体"/>
                <w:szCs w:val="21"/>
              </w:rPr>
            </w:pPr>
          </w:p>
        </w:tc>
      </w:tr>
      <w:tr w14:paraId="6FCD9F1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13" w:hRule="atLeast"/>
        </w:trPr>
        <w:tc>
          <w:tcPr>
            <w:tcW w:w="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CC8FC53">
            <w:pPr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ascii="仿宋_GB2312" w:hAnsi="仿宋_GB2312" w:eastAsia="仿宋_GB2312" w:cs="仿宋_GB2312"/>
                <w:szCs w:val="21"/>
              </w:rPr>
              <w:t>2</w:t>
            </w:r>
          </w:p>
        </w:tc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441D4DC">
            <w:pPr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执业能力</w:t>
            </w:r>
          </w:p>
          <w:p w14:paraId="7BFB7FA9">
            <w:pPr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ascii="仿宋_GB2312" w:hAnsi="仿宋_GB2312" w:eastAsia="仿宋_GB2312" w:cs="仿宋_GB2312"/>
                <w:szCs w:val="21"/>
              </w:rPr>
              <w:t>2</w:t>
            </w:r>
            <w:r>
              <w:rPr>
                <w:rFonts w:hint="eastAsia" w:ascii="仿宋_GB2312" w:hAnsi="仿宋_GB2312" w:eastAsia="仿宋_GB2312" w:cs="仿宋_GB2312"/>
                <w:szCs w:val="21"/>
              </w:rPr>
              <w:t>0</w:t>
            </w:r>
            <w:r>
              <w:rPr>
                <w:rFonts w:ascii="仿宋_GB2312" w:hAnsi="仿宋_GB2312" w:eastAsia="仿宋_GB2312" w:cs="仿宋_GB2312"/>
                <w:szCs w:val="21"/>
              </w:rPr>
              <w:t>%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9E0A50E">
            <w:pPr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ascii="仿宋_GB2312" w:hAnsi="仿宋_GB2312" w:eastAsia="仿宋_GB2312" w:cs="仿宋_GB2312"/>
                <w:szCs w:val="21"/>
              </w:rPr>
              <w:t>2</w:t>
            </w:r>
            <w:r>
              <w:rPr>
                <w:rFonts w:hint="eastAsia" w:ascii="仿宋_GB2312" w:hAnsi="仿宋_GB2312" w:eastAsia="仿宋_GB2312" w:cs="仿宋_GB2312"/>
                <w:szCs w:val="21"/>
              </w:rPr>
              <w:t>0</w:t>
            </w:r>
          </w:p>
        </w:tc>
        <w:tc>
          <w:tcPr>
            <w:tcW w:w="46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F5F3B8C">
            <w:pPr>
              <w:ind w:firstLine="420" w:firstLineChars="200"/>
              <w:jc w:val="left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1.机构从业人员（</w:t>
            </w:r>
            <w:r>
              <w:rPr>
                <w:rFonts w:ascii="仿宋_GB2312" w:hAnsi="仿宋_GB2312" w:eastAsia="仿宋_GB2312" w:cs="仿宋_GB2312"/>
                <w:szCs w:val="21"/>
              </w:rPr>
              <w:t>10</w:t>
            </w:r>
            <w:r>
              <w:rPr>
                <w:rFonts w:hint="eastAsia" w:ascii="仿宋_GB2312" w:hAnsi="仿宋_GB2312" w:eastAsia="仿宋_GB2312" w:cs="仿宋_GB2312"/>
                <w:szCs w:val="21"/>
              </w:rPr>
              <w:t>分）：</w:t>
            </w:r>
            <w:r>
              <w:rPr>
                <w:rFonts w:ascii="仿宋_GB2312" w:hAnsi="仿宋_GB2312" w:eastAsia="仿宋_GB2312" w:cs="仿宋_GB2312"/>
                <w:szCs w:val="21"/>
              </w:rPr>
              <w:t>10</w:t>
            </w:r>
            <w:r>
              <w:rPr>
                <w:rFonts w:hint="eastAsia" w:ascii="仿宋_GB2312" w:hAnsi="仿宋_GB2312" w:eastAsia="仿宋_GB2312" w:cs="仿宋_GB2312"/>
                <w:szCs w:val="21"/>
              </w:rPr>
              <w:t>人及以上得</w:t>
            </w:r>
            <w:r>
              <w:rPr>
                <w:rFonts w:ascii="仿宋_GB2312" w:hAnsi="仿宋_GB2312" w:eastAsia="仿宋_GB2312" w:cs="仿宋_GB2312"/>
                <w:szCs w:val="21"/>
              </w:rPr>
              <w:t>10</w:t>
            </w:r>
            <w:r>
              <w:rPr>
                <w:rFonts w:hint="eastAsia" w:ascii="仿宋_GB2312" w:hAnsi="仿宋_GB2312" w:eastAsia="仿宋_GB2312" w:cs="仿宋_GB2312"/>
                <w:szCs w:val="21"/>
              </w:rPr>
              <w:t>分，</w:t>
            </w:r>
            <w:r>
              <w:rPr>
                <w:rFonts w:ascii="仿宋_GB2312" w:hAnsi="仿宋_GB2312" w:eastAsia="仿宋_GB2312" w:cs="仿宋_GB2312"/>
                <w:szCs w:val="21"/>
              </w:rPr>
              <w:t>5-9</w:t>
            </w:r>
            <w:r>
              <w:rPr>
                <w:rFonts w:hint="eastAsia" w:ascii="仿宋_GB2312" w:hAnsi="仿宋_GB2312" w:eastAsia="仿宋_GB2312" w:cs="仿宋_GB2312"/>
                <w:szCs w:val="21"/>
              </w:rPr>
              <w:t>人得</w:t>
            </w:r>
            <w:r>
              <w:rPr>
                <w:rFonts w:ascii="仿宋_GB2312" w:hAnsi="仿宋_GB2312" w:eastAsia="仿宋_GB2312" w:cs="仿宋_GB2312"/>
                <w:szCs w:val="21"/>
              </w:rPr>
              <w:t>5-9</w:t>
            </w:r>
            <w:r>
              <w:rPr>
                <w:rFonts w:hint="eastAsia" w:ascii="仿宋_GB2312" w:hAnsi="仿宋_GB2312" w:eastAsia="仿宋_GB2312" w:cs="仿宋_GB2312"/>
                <w:szCs w:val="21"/>
              </w:rPr>
              <w:t>分，4人（含）以下不得分；</w:t>
            </w:r>
          </w:p>
          <w:p w14:paraId="4CD9351A">
            <w:pPr>
              <w:ind w:firstLine="420" w:firstLineChars="200"/>
              <w:jc w:val="left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2.项目负责人配备（</w:t>
            </w:r>
            <w:r>
              <w:rPr>
                <w:rFonts w:ascii="仿宋_GB2312" w:hAnsi="仿宋_GB2312" w:eastAsia="仿宋_GB2312" w:cs="仿宋_GB2312"/>
                <w:szCs w:val="21"/>
              </w:rPr>
              <w:t>10</w:t>
            </w:r>
            <w:r>
              <w:rPr>
                <w:rFonts w:hint="eastAsia" w:ascii="仿宋_GB2312" w:hAnsi="仿宋_GB2312" w:eastAsia="仿宋_GB2312" w:cs="仿宋_GB2312"/>
                <w:szCs w:val="21"/>
              </w:rPr>
              <w:t>分）：项目负责人具有本科或以上学历得10分、专科得5分。</w:t>
            </w:r>
          </w:p>
        </w:tc>
        <w:tc>
          <w:tcPr>
            <w:tcW w:w="10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E9DFC18">
            <w:pPr>
              <w:jc w:val="center"/>
              <w:rPr>
                <w:rFonts w:hint="eastAsia" w:ascii="方正小标宋简体" w:hAnsi="方正小标宋简体" w:eastAsia="方正小标宋简体" w:cs="方正小标宋简体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提供证明材料</w:t>
            </w:r>
          </w:p>
        </w:tc>
      </w:tr>
      <w:tr w14:paraId="2C5B049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9" w:hRule="atLeast"/>
        </w:trPr>
        <w:tc>
          <w:tcPr>
            <w:tcW w:w="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5557842">
            <w:pPr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ascii="仿宋_GB2312" w:hAnsi="仿宋_GB2312" w:eastAsia="仿宋_GB2312" w:cs="仿宋_GB2312"/>
                <w:szCs w:val="21"/>
              </w:rPr>
              <w:t>3</w:t>
            </w:r>
          </w:p>
        </w:tc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FE7FF1C">
            <w:pPr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代理业绩</w:t>
            </w:r>
          </w:p>
          <w:p w14:paraId="139292AC">
            <w:pPr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15</w:t>
            </w:r>
            <w:r>
              <w:rPr>
                <w:rFonts w:ascii="仿宋_GB2312" w:hAnsi="仿宋_GB2312" w:eastAsia="仿宋_GB2312" w:cs="仿宋_GB2312"/>
                <w:szCs w:val="21"/>
              </w:rPr>
              <w:t>%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83A8D77">
            <w:pPr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ascii="仿宋_GB2312" w:hAnsi="仿宋_GB2312" w:eastAsia="仿宋_GB2312" w:cs="仿宋_GB2312"/>
                <w:szCs w:val="21"/>
              </w:rPr>
              <w:t>15</w:t>
            </w:r>
          </w:p>
        </w:tc>
        <w:tc>
          <w:tcPr>
            <w:tcW w:w="46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B0BCCFA">
            <w:pPr>
              <w:ind w:firstLine="420" w:firstLineChars="200"/>
              <w:jc w:val="left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以近一年内代理业绩为准（时间以投标截止日为准），每提供</w:t>
            </w:r>
            <w:r>
              <w:rPr>
                <w:rFonts w:ascii="仿宋_GB2312" w:hAnsi="仿宋_GB2312" w:eastAsia="仿宋_GB2312" w:cs="仿宋_GB2312"/>
                <w:szCs w:val="21"/>
              </w:rPr>
              <w:t>1</w:t>
            </w:r>
            <w:r>
              <w:rPr>
                <w:rFonts w:hint="eastAsia" w:ascii="仿宋_GB2312" w:hAnsi="仿宋_GB2312" w:eastAsia="仿宋_GB2312" w:cs="仿宋_GB2312"/>
                <w:szCs w:val="21"/>
              </w:rPr>
              <w:t>个得3分（提供中标通知书或合同等证明材料）。</w:t>
            </w:r>
          </w:p>
        </w:tc>
        <w:tc>
          <w:tcPr>
            <w:tcW w:w="10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9A5D81D">
            <w:pPr>
              <w:jc w:val="center"/>
              <w:rPr>
                <w:rFonts w:hint="eastAsia" w:ascii="方正小标宋简体" w:hAnsi="方正小标宋简体" w:eastAsia="方正小标宋简体" w:cs="方正小标宋简体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当年新成立的公司，不提供代理业绩。</w:t>
            </w:r>
          </w:p>
        </w:tc>
      </w:tr>
      <w:tr w14:paraId="2934690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42" w:hRule="atLeast"/>
        </w:trPr>
        <w:tc>
          <w:tcPr>
            <w:tcW w:w="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6E0ECBE">
            <w:pPr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ascii="仿宋_GB2312" w:hAnsi="仿宋_GB2312" w:eastAsia="仿宋_GB2312" w:cs="仿宋_GB2312"/>
                <w:szCs w:val="21"/>
              </w:rPr>
              <w:t>4</w:t>
            </w:r>
          </w:p>
        </w:tc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2DA0512">
            <w:pPr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招标代理方案40</w:t>
            </w:r>
            <w:r>
              <w:rPr>
                <w:rFonts w:ascii="仿宋_GB2312" w:hAnsi="仿宋_GB2312" w:eastAsia="仿宋_GB2312" w:cs="仿宋_GB2312"/>
                <w:szCs w:val="21"/>
              </w:rPr>
              <w:t>%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4969FFD">
            <w:pPr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40</w:t>
            </w:r>
          </w:p>
        </w:tc>
        <w:tc>
          <w:tcPr>
            <w:tcW w:w="46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CBE27F6">
            <w:pPr>
              <w:ind w:firstLine="420" w:firstLineChars="200"/>
              <w:jc w:val="left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根据投标人着重从如何保证招投标的合法合规、公平公正，如何保证招投标工作质量和工作水平方面编制招标代理服务方案。包括但不仅限于如下内容：需求论证组织；招标文件制作质量；招投标程序合法合规；开标过程公平公正；防范围标、串标行为；质疑投诉防范和处理；招标资料收集、保存、移交、协助电子平台项目生成等。</w:t>
            </w:r>
          </w:p>
          <w:p w14:paraId="18AD232F">
            <w:pPr>
              <w:ind w:firstLine="420" w:firstLineChars="200"/>
              <w:jc w:val="left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对方案进行横向比较综合评分，优秀得31-40分，良好得21-30分，一般得11-20分，差得10分，未提供得</w:t>
            </w:r>
            <w:r>
              <w:rPr>
                <w:rFonts w:ascii="仿宋_GB2312" w:hAnsi="仿宋_GB2312" w:eastAsia="仿宋_GB2312" w:cs="仿宋_GB2312"/>
                <w:szCs w:val="21"/>
              </w:rPr>
              <w:t>0</w:t>
            </w:r>
            <w:r>
              <w:rPr>
                <w:rFonts w:hint="eastAsia" w:ascii="仿宋_GB2312" w:hAnsi="仿宋_GB2312" w:eastAsia="仿宋_GB2312" w:cs="仿宋_GB2312"/>
                <w:szCs w:val="21"/>
              </w:rPr>
              <w:t>分。</w:t>
            </w:r>
          </w:p>
        </w:tc>
        <w:tc>
          <w:tcPr>
            <w:tcW w:w="10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6AA54CB">
            <w:pPr>
              <w:jc w:val="center"/>
              <w:rPr>
                <w:rFonts w:ascii="方正小标宋简体" w:hAnsi="方正小标宋简体" w:eastAsia="方正小标宋简体" w:cs="方正小标宋简体"/>
                <w:szCs w:val="21"/>
              </w:rPr>
            </w:pPr>
          </w:p>
        </w:tc>
      </w:tr>
      <w:tr w14:paraId="06EAC92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2" w:hRule="atLeast"/>
        </w:trPr>
        <w:tc>
          <w:tcPr>
            <w:tcW w:w="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2E938F9">
            <w:pPr>
              <w:jc w:val="center"/>
              <w:rPr>
                <w:rFonts w:ascii="方正小标宋简体" w:hAnsi="方正小标宋简体" w:eastAsia="方正小标宋简体" w:cs="方正小标宋简体"/>
                <w:szCs w:val="21"/>
              </w:rPr>
            </w:pPr>
            <w:r>
              <w:rPr>
                <w:rFonts w:ascii="仿宋_GB2312" w:hAnsi="仿宋_GB2312" w:eastAsia="仿宋_GB2312" w:cs="仿宋_GB2312"/>
                <w:szCs w:val="21"/>
              </w:rPr>
              <w:t>5</w:t>
            </w:r>
          </w:p>
        </w:tc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1C6F1AC">
            <w:pPr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投标文件规范性</w:t>
            </w:r>
          </w:p>
          <w:p w14:paraId="3BC26EA7">
            <w:pPr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ascii="仿宋_GB2312" w:hAnsi="仿宋_GB2312" w:eastAsia="仿宋_GB2312" w:cs="仿宋_GB2312"/>
                <w:szCs w:val="21"/>
              </w:rPr>
              <w:t>5%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B1B1FBF">
            <w:pPr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ascii="仿宋_GB2312" w:hAnsi="仿宋_GB2312" w:eastAsia="仿宋_GB2312" w:cs="仿宋_GB2312"/>
                <w:szCs w:val="21"/>
              </w:rPr>
              <w:t>5</w:t>
            </w:r>
          </w:p>
        </w:tc>
        <w:tc>
          <w:tcPr>
            <w:tcW w:w="46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5C9EDC6">
            <w:pPr>
              <w:ind w:firstLine="420" w:firstLineChars="200"/>
              <w:jc w:val="left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投标文件制作规范，没有细微偏差情形的得满分；有一项细微偏差扣</w:t>
            </w:r>
            <w:r>
              <w:rPr>
                <w:rFonts w:ascii="仿宋_GB2312" w:hAnsi="仿宋_GB2312" w:eastAsia="仿宋_GB2312" w:cs="仿宋_GB2312"/>
                <w:szCs w:val="21"/>
              </w:rPr>
              <w:t>1</w:t>
            </w:r>
            <w:r>
              <w:rPr>
                <w:rFonts w:hint="eastAsia" w:ascii="仿宋_GB2312" w:hAnsi="仿宋_GB2312" w:eastAsia="仿宋_GB2312" w:cs="仿宋_GB2312"/>
                <w:szCs w:val="21"/>
              </w:rPr>
              <w:t>分；直到该项分值扣完为止。</w:t>
            </w:r>
          </w:p>
        </w:tc>
        <w:tc>
          <w:tcPr>
            <w:tcW w:w="10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4A21A67">
            <w:pPr>
              <w:jc w:val="center"/>
              <w:rPr>
                <w:rFonts w:ascii="方正小标宋简体" w:hAnsi="方正小标宋简体" w:eastAsia="方正小标宋简体" w:cs="方正小标宋简体"/>
                <w:szCs w:val="21"/>
              </w:rPr>
            </w:pPr>
          </w:p>
        </w:tc>
      </w:tr>
    </w:tbl>
    <w:p w14:paraId="6FB81122"/>
    <w:p w14:paraId="6C487BD4">
      <w:pPr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Cs w:val="21"/>
        </w:rPr>
        <w:t>备注：各评分专家根据评分标准在评分中可保留小数点后一位数。</w:t>
      </w:r>
    </w:p>
    <w:bookmarkEnd w:id="0"/>
    <w:p w14:paraId="38606169">
      <w:pPr>
        <w:bidi w:val="0"/>
        <w:ind w:firstLine="372" w:firstLineChars="0"/>
        <w:jc w:val="left"/>
        <w:rPr>
          <w:rFonts w:hint="default"/>
          <w:lang w:val="en-US" w:eastAsia="zh-CN"/>
        </w:rPr>
      </w:pPr>
    </w:p>
    <w:p w14:paraId="7420E99F">
      <w:pPr>
        <w:pStyle w:val="2"/>
        <w:ind w:left="0" w:leftChars="0" w:firstLine="0" w:firstLineChars="0"/>
        <w:rPr>
          <w:rFonts w:hint="default"/>
          <w:lang w:val="en-US" w:eastAsia="zh-CN"/>
        </w:rPr>
      </w:pPr>
      <w:bookmarkStart w:id="1" w:name="_GoBack"/>
      <w:bookmarkEnd w:id="1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方正小标宋简体">
    <w:altName w:val="黑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仿宋_GB2312">
    <w:altName w:val="仿宋"/>
    <w:panose1 w:val="02000000000000000000"/>
    <w:charset w:val="86"/>
    <w:family w:val="auto"/>
    <w:pitch w:val="default"/>
    <w:sig w:usb0="00000000" w:usb1="00000000" w:usb2="00000012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Y0NTgwYjg4ZGEwNjljYjBjOWJlZjcyZDQzZTY5NGQifQ=="/>
  </w:docVars>
  <w:rsids>
    <w:rsidRoot w:val="00000000"/>
    <w:rsid w:val="00A37A16"/>
    <w:rsid w:val="00C60C22"/>
    <w:rsid w:val="06100D6E"/>
    <w:rsid w:val="06EB691D"/>
    <w:rsid w:val="085F2B2D"/>
    <w:rsid w:val="0AAB11B0"/>
    <w:rsid w:val="0B7E1005"/>
    <w:rsid w:val="0C905E9B"/>
    <w:rsid w:val="103A720B"/>
    <w:rsid w:val="11275FFC"/>
    <w:rsid w:val="118E2BEC"/>
    <w:rsid w:val="145C30F7"/>
    <w:rsid w:val="1A534654"/>
    <w:rsid w:val="1A970751"/>
    <w:rsid w:val="1AA761B1"/>
    <w:rsid w:val="1ADC478F"/>
    <w:rsid w:val="1C997DB5"/>
    <w:rsid w:val="1ED31B53"/>
    <w:rsid w:val="1FD004F5"/>
    <w:rsid w:val="205F3091"/>
    <w:rsid w:val="20D11A24"/>
    <w:rsid w:val="242126D3"/>
    <w:rsid w:val="27557177"/>
    <w:rsid w:val="276948A3"/>
    <w:rsid w:val="27D00BB2"/>
    <w:rsid w:val="293E4722"/>
    <w:rsid w:val="29D56A0C"/>
    <w:rsid w:val="2B437077"/>
    <w:rsid w:val="2BBE1B4A"/>
    <w:rsid w:val="2ECC488A"/>
    <w:rsid w:val="2F7455DA"/>
    <w:rsid w:val="30E11CA0"/>
    <w:rsid w:val="33707D37"/>
    <w:rsid w:val="37FC29BB"/>
    <w:rsid w:val="3EE80977"/>
    <w:rsid w:val="40F864BE"/>
    <w:rsid w:val="41982B66"/>
    <w:rsid w:val="43DC3263"/>
    <w:rsid w:val="44380293"/>
    <w:rsid w:val="44C47CE4"/>
    <w:rsid w:val="47530F1F"/>
    <w:rsid w:val="4B3841BF"/>
    <w:rsid w:val="4F551A6E"/>
    <w:rsid w:val="51CB40AB"/>
    <w:rsid w:val="55BF025D"/>
    <w:rsid w:val="56294DAD"/>
    <w:rsid w:val="567A16C7"/>
    <w:rsid w:val="587C0FDF"/>
    <w:rsid w:val="591E5852"/>
    <w:rsid w:val="592B3C38"/>
    <w:rsid w:val="59D41A6A"/>
    <w:rsid w:val="5B914A01"/>
    <w:rsid w:val="5C641D6D"/>
    <w:rsid w:val="5C933840"/>
    <w:rsid w:val="5E007C1C"/>
    <w:rsid w:val="5E0A148A"/>
    <w:rsid w:val="5F043CEE"/>
    <w:rsid w:val="5F1E7C70"/>
    <w:rsid w:val="620C59A6"/>
    <w:rsid w:val="6222526C"/>
    <w:rsid w:val="62B61B5B"/>
    <w:rsid w:val="63FA5ADD"/>
    <w:rsid w:val="64E84578"/>
    <w:rsid w:val="655E55BF"/>
    <w:rsid w:val="67FA440A"/>
    <w:rsid w:val="68257A60"/>
    <w:rsid w:val="69D65A5B"/>
    <w:rsid w:val="6F7777B2"/>
    <w:rsid w:val="70671D7D"/>
    <w:rsid w:val="71667D3F"/>
    <w:rsid w:val="72625B33"/>
    <w:rsid w:val="731A4C01"/>
    <w:rsid w:val="742952EE"/>
    <w:rsid w:val="75344F56"/>
    <w:rsid w:val="758A07C4"/>
    <w:rsid w:val="75FD7243"/>
    <w:rsid w:val="76073391"/>
    <w:rsid w:val="76407B2C"/>
    <w:rsid w:val="77B90C71"/>
    <w:rsid w:val="7AFF1477"/>
    <w:rsid w:val="B7FF12F0"/>
    <w:rsid w:val="CA3F30B0"/>
    <w:rsid w:val="FD7FC3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iPriority="99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11" w:semiHidden="0" w:name="Subtitle"/>
    <w:lsdException w:unhideWhenUsed="0" w:uiPriority="0" w:semiHidden="0" w:name="Salutation"/>
    <w:lsdException w:unhideWhenUsed="0" w:uiPriority="0" w:semiHidden="0" w:name="Date"/>
    <w:lsdException w:qFormat="1" w:uiPriority="99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5">
    <w:name w:val="heading 1"/>
    <w:basedOn w:val="1"/>
    <w:next w:val="1"/>
    <w:qFormat/>
    <w:uiPriority w:val="0"/>
    <w:pPr>
      <w:keepNext/>
      <w:keepLines/>
      <w:widowControl w:val="0"/>
      <w:spacing w:line="440" w:lineRule="atLeast"/>
      <w:jc w:val="center"/>
      <w:outlineLvl w:val="0"/>
    </w:pPr>
    <w:rPr>
      <w:rFonts w:ascii="宋体" w:hAnsi="宋体" w:eastAsia="宋体" w:cs="Calibri"/>
      <w:b/>
      <w:bCs/>
      <w:color w:val="000000"/>
      <w:kern w:val="44"/>
      <w:sz w:val="36"/>
      <w:szCs w:val="44"/>
    </w:rPr>
  </w:style>
  <w:style w:type="character" w:default="1" w:styleId="10">
    <w:name w:val="Default Paragraph Font"/>
    <w:semiHidden/>
    <w:qFormat/>
    <w:uiPriority w:val="0"/>
  </w:style>
  <w:style w:type="table" w:default="1" w:styleId="8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"/>
    <w:basedOn w:val="3"/>
    <w:unhideWhenUsed/>
    <w:qFormat/>
    <w:uiPriority w:val="99"/>
    <w:pPr>
      <w:ind w:firstLine="100" w:firstLineChars="100"/>
    </w:pPr>
    <w:rPr>
      <w:color w:val="FF0000"/>
    </w:rPr>
  </w:style>
  <w:style w:type="paragraph" w:styleId="3">
    <w:name w:val="Body Text"/>
    <w:basedOn w:val="1"/>
    <w:next w:val="4"/>
    <w:semiHidden/>
    <w:unhideWhenUsed/>
    <w:qFormat/>
    <w:uiPriority w:val="99"/>
    <w:pPr>
      <w:spacing w:after="120"/>
    </w:pPr>
    <w:rPr>
      <w:rFonts w:ascii="Times New Roman" w:hAnsi="Times New Roman"/>
      <w:szCs w:val="24"/>
    </w:rPr>
  </w:style>
  <w:style w:type="paragraph" w:styleId="4">
    <w:name w:val="Subtitle"/>
    <w:basedOn w:val="1"/>
    <w:next w:val="1"/>
    <w:qFormat/>
    <w:uiPriority w:val="11"/>
    <w:pPr>
      <w:spacing w:after="60"/>
      <w:jc w:val="center"/>
      <w:outlineLvl w:val="1"/>
    </w:pPr>
    <w:rPr>
      <w:rFonts w:ascii="Cambria" w:hAnsi="Cambria"/>
    </w:rPr>
  </w:style>
  <w:style w:type="paragraph" w:styleId="6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7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9">
    <w:name w:val="Table Grid"/>
    <w:basedOn w:val="8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1">
    <w:name w:val="page number"/>
    <w:basedOn w:val="10"/>
    <w:qFormat/>
    <w:uiPriority w:val="0"/>
  </w:style>
  <w:style w:type="paragraph" w:customStyle="1" w:styleId="12">
    <w:name w:val="Table Paragraph"/>
    <w:basedOn w:val="1"/>
    <w:qFormat/>
    <w:uiPriority w:val="1"/>
    <w:rPr>
      <w:rFonts w:ascii="宋体" w:hAnsi="宋体" w:eastAsia="宋体" w:cs="宋体"/>
      <w:lang w:val="zh-CN" w:eastAsia="zh-CN" w:bidi="zh-CN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1593</Words>
  <Characters>1722</Characters>
  <Lines>0</Lines>
  <Paragraphs>0</Paragraphs>
  <TotalTime>421</TotalTime>
  <ScaleCrop>false</ScaleCrop>
  <LinksUpToDate>false</LinksUpToDate>
  <CharactersWithSpaces>1737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2014-10-30T20:08:00Z</dcterms:created>
  <dc:creator>Administrator</dc:creator>
  <cp:lastModifiedBy>土猴儿</cp:lastModifiedBy>
  <cp:lastPrinted>2024-09-10T01:30:00Z</cp:lastPrinted>
  <dcterms:modified xsi:type="dcterms:W3CDTF">2025-10-24T01:50:54Z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78B671D877C84FED819A804D265CBF20_13</vt:lpwstr>
  </property>
  <property fmtid="{D5CDD505-2E9C-101B-9397-08002B2CF9AE}" pid="4" name="KSOTemplateDocerSaveRecord">
    <vt:lpwstr>eyJoZGlkIjoiOGMwOGU1ZWZiOWQ1MjExODE5M2QwMzA2NGJmNDJmY2MiLCJ1c2VySWQiOiIyMjYyNzE5MTYifQ==</vt:lpwstr>
  </property>
</Properties>
</file>