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B0642">
      <w:pPr>
        <w:pStyle w:val="9"/>
        <w:keepNext w:val="0"/>
        <w:keepLines w:val="0"/>
        <w:pageBreakBefore w:val="0"/>
        <w:kinsoku/>
        <w:wordWrap/>
        <w:overflowPunct/>
        <w:topLinePunct w:val="0"/>
        <w:autoSpaceDE/>
        <w:autoSpaceDN/>
        <w:bidi w:val="0"/>
        <w:spacing w:line="580" w:lineRule="exact"/>
        <w:jc w:val="center"/>
        <w:textAlignment w:val="auto"/>
        <w:rPr>
          <w:rFonts w:hint="eastAsia" w:ascii="方正小标宋_GBK" w:hAnsi="方正小标宋_GBK" w:eastAsia="方正小标宋_GBK" w:cs="方正小标宋_GBK"/>
          <w:b/>
          <w:bCs/>
          <w:color w:val="auto"/>
          <w:kern w:val="2"/>
          <w:sz w:val="44"/>
          <w:szCs w:val="44"/>
          <w:lang w:val="en-US" w:eastAsia="zh-CN"/>
        </w:rPr>
      </w:pPr>
      <w:r>
        <w:rPr>
          <w:rFonts w:hint="eastAsia" w:ascii="方正小标宋_GBK" w:hAnsi="方正小标宋_GBK" w:eastAsia="方正小标宋_GBK" w:cs="方正小标宋_GBK"/>
          <w:b/>
          <w:bCs/>
          <w:color w:val="auto"/>
          <w:kern w:val="2"/>
          <w:sz w:val="44"/>
          <w:szCs w:val="44"/>
          <w:lang w:val="en-US"/>
        </w:rPr>
        <w:t>乐山市</w:t>
      </w:r>
      <w:r>
        <w:rPr>
          <w:rFonts w:hint="eastAsia" w:ascii="方正小标宋_GBK" w:hAnsi="方正小标宋_GBK" w:eastAsia="方正小标宋_GBK" w:cs="方正小标宋_GBK"/>
          <w:b/>
          <w:bCs/>
          <w:color w:val="auto"/>
          <w:kern w:val="2"/>
          <w:sz w:val="44"/>
          <w:szCs w:val="44"/>
          <w:lang w:val="en-US" w:eastAsia="zh-CN"/>
        </w:rPr>
        <w:t>农业农村局</w:t>
      </w:r>
    </w:p>
    <w:p w14:paraId="4F54F6C0">
      <w:pPr>
        <w:pStyle w:val="9"/>
        <w:keepNext w:val="0"/>
        <w:keepLines w:val="0"/>
        <w:pageBreakBefore w:val="0"/>
        <w:kinsoku/>
        <w:wordWrap/>
        <w:overflowPunct/>
        <w:topLinePunct w:val="0"/>
        <w:autoSpaceDE/>
        <w:autoSpaceDN/>
        <w:bidi w:val="0"/>
        <w:spacing w:line="580" w:lineRule="exact"/>
        <w:jc w:val="center"/>
        <w:textAlignment w:val="auto"/>
        <w:rPr>
          <w:rFonts w:ascii="方正小标宋_GBK" w:hAnsi="方正小标宋_GBK" w:eastAsia="方正小标宋_GBK" w:cs="方正小标宋_GBK"/>
          <w:b/>
          <w:bCs/>
          <w:color w:val="auto"/>
          <w:kern w:val="2"/>
          <w:sz w:val="44"/>
          <w:szCs w:val="44"/>
        </w:rPr>
      </w:pPr>
      <w:r>
        <w:rPr>
          <w:rFonts w:hint="eastAsia" w:ascii="方正小标宋_GBK" w:hAnsi="方正小标宋_GBK" w:eastAsia="方正小标宋_GBK" w:cs="方正小标宋_GBK"/>
          <w:b/>
          <w:bCs/>
          <w:color w:val="auto"/>
          <w:kern w:val="2"/>
          <w:sz w:val="44"/>
          <w:szCs w:val="44"/>
          <w:lang w:val="en-US"/>
        </w:rPr>
        <w:t>2022—2023年生猪产能调控能繁母猪引种补贴项目</w:t>
      </w:r>
      <w:r>
        <w:rPr>
          <w:rFonts w:hint="eastAsia" w:ascii="方正小标宋_GBK" w:hAnsi="方正小标宋_GBK" w:eastAsia="方正小标宋_GBK" w:cs="方正小标宋_GBK"/>
          <w:b/>
          <w:bCs/>
          <w:color w:val="auto"/>
          <w:kern w:val="2"/>
          <w:sz w:val="44"/>
          <w:szCs w:val="44"/>
        </w:rPr>
        <w:t>支出绩效自评报告</w:t>
      </w:r>
    </w:p>
    <w:p w14:paraId="5D49E46E">
      <w:pPr>
        <w:pStyle w:val="9"/>
        <w:keepNext w:val="0"/>
        <w:keepLines w:val="0"/>
        <w:pageBreakBefore w:val="0"/>
        <w:kinsoku/>
        <w:wordWrap/>
        <w:overflowPunct/>
        <w:topLinePunct w:val="0"/>
        <w:autoSpaceDE/>
        <w:autoSpaceDN/>
        <w:bidi w:val="0"/>
        <w:spacing w:line="580" w:lineRule="exact"/>
        <w:ind w:firstLine="640"/>
        <w:jc w:val="center"/>
        <w:textAlignment w:val="auto"/>
        <w:rPr>
          <w:rFonts w:ascii="宋体" w:hAnsi="宋体"/>
          <w:color w:val="auto"/>
          <w:kern w:val="2"/>
          <w:sz w:val="32"/>
          <w:szCs w:val="32"/>
        </w:rPr>
      </w:pPr>
    </w:p>
    <w:p w14:paraId="5651DAD8">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hAnsi="黑体"/>
        </w:rPr>
      </w:pPr>
      <w:r>
        <w:rPr>
          <w:rFonts w:hint="eastAsia" w:hAnsi="黑体"/>
        </w:rPr>
        <w:t>为促进生猪产业持续</w:t>
      </w:r>
      <w:r>
        <w:rPr>
          <w:rFonts w:hAnsi="黑体"/>
        </w:rPr>
        <w:t>健康发展</w:t>
      </w:r>
      <w:r>
        <w:rPr>
          <w:rFonts w:hint="eastAsia" w:hAnsi="黑体"/>
        </w:rPr>
        <w:t>，防止</w:t>
      </w:r>
      <w:r>
        <w:rPr>
          <w:rFonts w:hAnsi="黑体"/>
        </w:rPr>
        <w:t>产能</w:t>
      </w:r>
      <w:r>
        <w:rPr>
          <w:rFonts w:hint="eastAsia" w:hAnsi="黑体"/>
        </w:rPr>
        <w:t>大幅波动</w:t>
      </w:r>
      <w:r>
        <w:rPr>
          <w:rFonts w:hAnsi="黑体"/>
        </w:rPr>
        <w:t>，</w:t>
      </w:r>
      <w:r>
        <w:rPr>
          <w:rFonts w:hint="eastAsia" w:hAnsi="黑体"/>
        </w:rPr>
        <w:t>形成</w:t>
      </w:r>
      <w:r>
        <w:rPr>
          <w:rFonts w:hAnsi="黑体"/>
        </w:rPr>
        <w:t>长期稳定的</w:t>
      </w:r>
      <w:r>
        <w:rPr>
          <w:rFonts w:hint="eastAsia" w:hAnsi="黑体"/>
        </w:rPr>
        <w:t>猪肉</w:t>
      </w:r>
      <w:r>
        <w:rPr>
          <w:rFonts w:hAnsi="黑体"/>
        </w:rPr>
        <w:t>保障供应能力</w:t>
      </w:r>
      <w:r>
        <w:rPr>
          <w:rFonts w:hint="eastAsia" w:hAnsi="黑体"/>
        </w:rPr>
        <w:t>，</w:t>
      </w:r>
      <w:r>
        <w:rPr>
          <w:rFonts w:hAnsi="黑体"/>
        </w:rPr>
        <w:t>更好地满足人民群众</w:t>
      </w:r>
      <w:r>
        <w:rPr>
          <w:rFonts w:hint="eastAsia" w:hAnsi="黑体"/>
        </w:rPr>
        <w:t>消费</w:t>
      </w:r>
      <w:r>
        <w:rPr>
          <w:rFonts w:hAnsi="黑体"/>
        </w:rPr>
        <w:t>需求，</w:t>
      </w:r>
      <w:r>
        <w:rPr>
          <w:rFonts w:hint="eastAsia" w:hAnsi="黑体"/>
        </w:rPr>
        <w:t>2022年</w:t>
      </w:r>
      <w:r>
        <w:rPr>
          <w:rFonts w:hAnsi="黑体"/>
        </w:rPr>
        <w:t>我市制定</w:t>
      </w:r>
      <w:r>
        <w:rPr>
          <w:rFonts w:hint="eastAsia" w:hAnsi="黑体"/>
        </w:rPr>
        <w:t>印发</w:t>
      </w:r>
      <w:r>
        <w:rPr>
          <w:rFonts w:hAnsi="黑体"/>
        </w:rPr>
        <w:t>了</w:t>
      </w:r>
      <w:r>
        <w:rPr>
          <w:rFonts w:hint="eastAsia" w:hAnsi="黑体"/>
        </w:rPr>
        <w:t>《乐山市2022-2023年生猪产能调控能繁母猪引种补贴项目实施方案》，每年</w:t>
      </w:r>
      <w:r>
        <w:rPr>
          <w:rFonts w:hAnsi="黑体"/>
        </w:rPr>
        <w:t>市县财政安排补贴资金</w:t>
      </w:r>
      <w:r>
        <w:rPr>
          <w:rFonts w:hint="eastAsia" w:hAnsi="黑体"/>
        </w:rPr>
        <w:t>900万元（其中</w:t>
      </w:r>
      <w:r>
        <w:rPr>
          <w:rFonts w:hAnsi="黑体"/>
        </w:rPr>
        <w:t>市级财政</w:t>
      </w:r>
      <w:r>
        <w:rPr>
          <w:rFonts w:hint="eastAsia" w:hAnsi="黑体"/>
        </w:rPr>
        <w:t>每年</w:t>
      </w:r>
      <w:r>
        <w:rPr>
          <w:rFonts w:hAnsi="黑体"/>
        </w:rPr>
        <w:t>最高补助</w:t>
      </w:r>
      <w:r>
        <w:rPr>
          <w:rFonts w:hint="eastAsia" w:hAnsi="黑体"/>
        </w:rPr>
        <w:t>225万元）</w:t>
      </w:r>
      <w:r>
        <w:rPr>
          <w:rFonts w:hAnsi="黑体"/>
        </w:rPr>
        <w:t>，用于</w:t>
      </w:r>
      <w:r>
        <w:rPr>
          <w:rFonts w:hint="eastAsia" w:hAnsi="黑体"/>
        </w:rPr>
        <w:t>引种</w:t>
      </w:r>
      <w:r>
        <w:rPr>
          <w:rFonts w:hAnsi="黑体"/>
        </w:rPr>
        <w:t>能繁母猪的补贴。</w:t>
      </w:r>
      <w:r>
        <w:rPr>
          <w:rFonts w:hint="eastAsia"/>
          <w:color w:val="000000" w:themeColor="text1"/>
          <w14:textFill>
            <w14:solidFill>
              <w14:schemeClr w14:val="tx1"/>
            </w14:solidFill>
          </w14:textFill>
        </w:rPr>
        <w:t>按照项目管理的相关要求，</w:t>
      </w:r>
      <w:r>
        <w:rPr>
          <w:rFonts w:hint="eastAsia" w:hAnsi="黑体"/>
        </w:rPr>
        <w:t>我局对该项目开展了事后绩效评价，具体情况如下。</w:t>
      </w:r>
    </w:p>
    <w:p w14:paraId="0F832C97">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hAnsi="黑体"/>
        </w:rPr>
      </w:pPr>
      <w:r>
        <w:rPr>
          <w:rFonts w:hint="eastAsia" w:ascii="黑体" w:hAnsi="宋体" w:eastAsia="黑体"/>
        </w:rPr>
        <w:t>一、</w:t>
      </w:r>
      <w:r>
        <w:rPr>
          <w:rFonts w:hint="eastAsia" w:ascii="黑体" w:hAnsi="宋体" w:eastAsia="黑体"/>
          <w:lang w:val="zh-CN"/>
        </w:rPr>
        <w:t>项目概况</w:t>
      </w:r>
    </w:p>
    <w:p w14:paraId="193E121D">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（一）项目基本情况</w:t>
      </w:r>
    </w:p>
    <w:p w14:paraId="06CD5CBA">
      <w:pPr>
        <w:keepNext w:val="0"/>
        <w:keepLines w:val="0"/>
        <w:pageBreakBefore w:val="0"/>
        <w:kinsoku/>
        <w:wordWrap/>
        <w:overflowPunct/>
        <w:topLinePunct w:val="0"/>
        <w:autoSpaceDE/>
        <w:autoSpaceDN/>
        <w:bidi w:val="0"/>
        <w:spacing w:line="580" w:lineRule="exact"/>
        <w:ind w:firstLine="645"/>
        <w:textAlignment w:val="auto"/>
        <w:rPr>
          <w:rFonts w:ascii="仿宋_GB2312" w:hAnsi="宋体"/>
        </w:rPr>
      </w:pPr>
      <w:r>
        <w:rPr>
          <w:rFonts w:hint="eastAsia" w:ascii="仿宋_GB2312" w:hAnsi="宋体"/>
          <w:b/>
          <w:bCs/>
          <w:lang w:val="zh-CN"/>
        </w:rPr>
        <w:t>1</w:t>
      </w:r>
      <w:r>
        <w:rPr>
          <w:rFonts w:hint="eastAsia" w:ascii="仿宋_GB2312" w:hAnsi="宋体"/>
          <w:b/>
          <w:bCs/>
        </w:rPr>
        <w:t>.主管部门职能职责。</w:t>
      </w:r>
      <w:r>
        <w:rPr>
          <w:rFonts w:hint="eastAsia" w:ascii="仿宋_GB2312" w:hAnsi="宋体"/>
        </w:rPr>
        <w:t>项目主管部门为</w:t>
      </w:r>
      <w:r>
        <w:rPr>
          <w:rFonts w:hint="eastAsia" w:ascii="仿宋_GB2312" w:hAnsi="宋体"/>
          <w:lang w:val="zh-CN"/>
        </w:rPr>
        <w:t>乐山市</w:t>
      </w:r>
      <w:r>
        <w:rPr>
          <w:rFonts w:hint="eastAsia" w:ascii="仿宋_GB2312" w:hAnsi="宋体"/>
        </w:rPr>
        <w:t>农业农村局，负责制定项目实施方案，并会同市财政局，指导督促下辖各县（市、区）农业农村局实施项目。</w:t>
      </w:r>
    </w:p>
    <w:p w14:paraId="21A6FF43">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cs="仿宋_GB2312"/>
          <w:color w:val="000000"/>
          <w:kern w:val="0"/>
          <w:lang w:bidi="ar"/>
        </w:rPr>
      </w:pPr>
      <w:r>
        <w:rPr>
          <w:rFonts w:hint="eastAsia" w:ascii="仿宋_GB2312" w:hAnsi="宋体"/>
          <w:b/>
          <w:bCs/>
          <w:lang w:val="zh-CN"/>
        </w:rPr>
        <w:t>2</w:t>
      </w:r>
      <w:r>
        <w:rPr>
          <w:rFonts w:hint="eastAsia" w:ascii="仿宋_GB2312" w:hAnsi="宋体"/>
          <w:b/>
          <w:bCs/>
        </w:rPr>
        <w:t>.</w:t>
      </w:r>
      <w:r>
        <w:rPr>
          <w:rFonts w:hint="eastAsia" w:ascii="仿宋_GB2312" w:hAnsi="宋体"/>
          <w:b/>
          <w:bCs/>
          <w:lang w:val="zh-CN"/>
        </w:rPr>
        <w:t>项目立项、资金申报的依据。</w:t>
      </w:r>
      <w:r>
        <w:rPr>
          <w:rFonts w:ascii="仿宋_GB2312" w:hAnsi="宋体" w:cs="仿宋_GB2312"/>
          <w:color w:val="000000"/>
          <w:kern w:val="0"/>
          <w:lang w:bidi="ar"/>
        </w:rPr>
        <w:t>2021年12月，省农业农村厅印发了《四川省生猪产能调控</w:t>
      </w:r>
      <w:r>
        <w:rPr>
          <w:rFonts w:hint="eastAsia" w:ascii="仿宋_GB2312" w:hAnsi="宋体" w:cs="仿宋_GB2312"/>
          <w:color w:val="000000"/>
          <w:kern w:val="0"/>
          <w:lang w:bidi="ar"/>
        </w:rPr>
        <w:t>实施方案（暂行）》（川农〔2021〕179号），对巩固生猪产能恢复成果，防止产能大幅波动进行了安排部署，要求各地出台相关扶持政策，并纳入考核。2022年4月，省委农村工作领导小组印发了《四川省促进生猪稳产保价七条措施》（川农领〔2022〕4号），要求面对生猪养殖环节连续严重亏损，对能繁母猪开展临时救助补贴，补贴对象为符合规定的规模养殖场（户）和种猪场（含地方保种场）。2022年4月，市政府下达的《关于印发项目投资等8个方面稳增长政策的通知》（乐府办发〔2022〕14号）任务，要求对养殖场（户）引进能繁母猪进行补助。2022年，我市能繁母猪存栏量连续两个季度下滑（一季度能繁母猪存栏16万头），仅高于省下能繁母猪存栏任务（15.7万头）2个百分点。为稳定我市能繁母猪种群，我局启动了乐山市2022—2023年生猪产能调控能繁母猪引种补贴项目。</w:t>
      </w:r>
    </w:p>
    <w:p w14:paraId="644BC4FA">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仿宋_GB2312" w:hAnsi="宋体"/>
          <w:lang w:val="zh-CN"/>
        </w:rPr>
      </w:pPr>
      <w:r>
        <w:rPr>
          <w:rFonts w:hint="eastAsia" w:ascii="仿宋_GB2312" w:hAnsi="宋体"/>
        </w:rPr>
        <w:t>项目</w:t>
      </w:r>
      <w:r>
        <w:rPr>
          <w:rFonts w:hint="eastAsia" w:ascii="仿宋_GB2312" w:hAnsi="宋体"/>
          <w:lang w:val="zh-CN"/>
        </w:rPr>
        <w:t>资金申报的依据：</w:t>
      </w:r>
      <w:r>
        <w:rPr>
          <w:rFonts w:hint="eastAsia" w:ascii="仿宋_GB2312" w:hAnsi="宋体"/>
        </w:rPr>
        <w:t>一是测算补贴数量，以各县（市、区）2022年1季度末能繁母猪（15万头）存栏数为基数，按照20%的比例确定引种补贴数量（</w:t>
      </w:r>
      <w:r>
        <w:rPr>
          <w:rFonts w:hint="eastAsia" w:ascii="仿宋_GB2312" w:hAnsi="宋体"/>
          <w:lang w:val="zh-CN"/>
        </w:rPr>
        <w:t>能繁母猪的使用年限‌</w:t>
      </w:r>
      <w:r>
        <w:rPr>
          <w:rFonts w:ascii="仿宋_GB2312" w:hAnsi="宋体"/>
          <w:lang w:val="zh-CN"/>
        </w:rPr>
        <w:t>‌</w:t>
      </w:r>
      <w:r>
        <w:rPr>
          <w:rFonts w:hint="eastAsia" w:ascii="仿宋_GB2312" w:hAnsi="宋体"/>
        </w:rPr>
        <w:t>一般—3-5年，即全市每年引种数量约占20%-33%）。按低限测算全市每年补贴能繁母猪3万头。二是确定补贴标准，参考《四川省财政厅四川省农业农村厅关于下达2020年省级财政现代农业发展工程共同财政事权转移支付资金支持开展新增能繁母猪补贴的通知》，确定我市每头能繁母猪补贴标准为300元。三是按照财政事权与支出责任相匹配的原则，能繁母猪引种补贴实行分级负担，其中市级财政承担25%，县级财政承担75%。综上，本项目每年财政补贴资金900万元，其中市级财政每年最高补助225万元，县级财政每年补助675万元。</w:t>
      </w:r>
    </w:p>
    <w:p w14:paraId="565749FC">
      <w:pPr>
        <w:keepNext w:val="0"/>
        <w:keepLines w:val="0"/>
        <w:pageBreakBefore w:val="0"/>
        <w:widowControl/>
        <w:kinsoku/>
        <w:wordWrap/>
        <w:overflowPunct/>
        <w:topLinePunct w:val="0"/>
        <w:autoSpaceDE/>
        <w:autoSpaceDN/>
        <w:bidi w:val="0"/>
        <w:spacing w:line="580" w:lineRule="exact"/>
        <w:ind w:firstLine="643" w:firstLineChars="200"/>
        <w:textAlignment w:val="auto"/>
        <w:rPr>
          <w:rFonts w:ascii="仿宋_GB2312" w:hAnsi="宋体"/>
          <w:lang w:val="zh-CN"/>
        </w:rPr>
      </w:pPr>
      <w:r>
        <w:rPr>
          <w:rFonts w:hint="eastAsia" w:ascii="仿宋_GB2312" w:hAnsi="宋体" w:cs="仿宋_GB2312"/>
          <w:b/>
          <w:bCs/>
          <w:color w:val="000000"/>
          <w:kern w:val="0"/>
          <w:lang w:val="zh-CN" w:bidi="ar"/>
        </w:rPr>
        <w:t>3</w:t>
      </w:r>
      <w:r>
        <w:rPr>
          <w:rFonts w:hint="eastAsia" w:ascii="仿宋_GB2312" w:hAnsi="宋体" w:cs="仿宋_GB2312"/>
          <w:b/>
          <w:bCs/>
          <w:color w:val="000000"/>
          <w:kern w:val="0"/>
          <w:lang w:bidi="ar"/>
        </w:rPr>
        <w:t>.</w:t>
      </w:r>
      <w:r>
        <w:rPr>
          <w:rFonts w:hint="eastAsia" w:ascii="仿宋_GB2312" w:hAnsi="宋体" w:cs="仿宋_GB2312"/>
          <w:b/>
          <w:bCs/>
          <w:color w:val="000000"/>
          <w:kern w:val="0"/>
          <w:lang w:val="zh-CN" w:bidi="ar"/>
        </w:rPr>
        <w:t>资金管理办法制定情况，资金支持具体项目的条件、范围与支持方式概况。</w:t>
      </w:r>
      <w:r>
        <w:rPr>
          <w:rFonts w:hint="eastAsia" w:ascii="仿宋_GB2312" w:hAnsi="宋体" w:cs="仿宋_GB2312"/>
          <w:color w:val="000000"/>
          <w:kern w:val="0"/>
          <w:lang w:bidi="ar"/>
        </w:rPr>
        <w:t>《省委农村工作领导小组关于印发四川省促进生猪稳产保价七条措施的通知》（川农领[2022]4号）明确要求：进一步强化稳定生猪产能财政支持力度，抓紧制定调控方案,各级财政可统筹安排中央财政农业生产发展资金指导性任务、省级财政现代农业发展工程资金、省级乡村振兴转移支付资金,对能繁母猪开展一次性临时救助补贴,补贴对象为符合规定的规模养殖场(户)和种猪场(含地方保种场),补助标准由各市(州)根据实际情况自行确定。各地要进一步统筹使用衔接推进乡村振兴补助资金,按照“四到县”制度规定,统筹安排衔接资金，支持稳定生猪产能，支持监测对象、脱贫户购买仔猪、母猪。为此，我们统筹安排市级财政衔接推进乡村振兴补助资金450万元（每年225万元）用于项目建设。项目实施阶段《乐山市市级财政衔接推进乡村振兴补助资金管理办法》尚未正式出台，项目资金管理参照《中央和省级财政衔接推进乡村振兴补助资金管理办法》（川财农</w:t>
      </w:r>
      <w:r>
        <w:rPr>
          <w:rFonts w:ascii="仿宋_GB2312" w:hAnsi="宋体" w:cs="仿宋_GB2312"/>
          <w:color w:val="000000"/>
          <w:kern w:val="0"/>
          <w:lang w:bidi="ar"/>
        </w:rPr>
        <w:t>〔20</w:t>
      </w:r>
      <w:r>
        <w:rPr>
          <w:rFonts w:hint="eastAsia" w:ascii="仿宋_GB2312" w:hAnsi="宋体" w:cs="仿宋_GB2312"/>
          <w:color w:val="000000"/>
          <w:kern w:val="0"/>
          <w:lang w:bidi="ar"/>
        </w:rPr>
        <w:t>21</w:t>
      </w:r>
      <w:r>
        <w:rPr>
          <w:rFonts w:ascii="仿宋_GB2312" w:hAnsi="宋体" w:cs="仿宋_GB2312"/>
          <w:color w:val="000000"/>
          <w:kern w:val="0"/>
          <w:lang w:bidi="ar"/>
        </w:rPr>
        <w:t>〕</w:t>
      </w:r>
      <w:r>
        <w:rPr>
          <w:rFonts w:hint="eastAsia" w:ascii="仿宋_GB2312" w:hAnsi="宋体" w:cs="仿宋_GB2312"/>
          <w:color w:val="000000"/>
          <w:kern w:val="0"/>
          <w:lang w:bidi="ar"/>
        </w:rPr>
        <w:t>36号）执行。项目</w:t>
      </w:r>
      <w:r>
        <w:rPr>
          <w:rFonts w:hint="eastAsia" w:ascii="仿宋_GB2312" w:hAnsi="宋体" w:cs="仿宋_GB2312"/>
          <w:color w:val="000000"/>
          <w:kern w:val="0"/>
          <w:lang w:val="zh-CN" w:bidi="ar"/>
        </w:rPr>
        <w:t>资金</w:t>
      </w:r>
      <w:r>
        <w:rPr>
          <w:rFonts w:hint="eastAsia" w:ascii="仿宋_GB2312" w:hAnsi="宋体" w:cs="仿宋_GB2312"/>
          <w:color w:val="000000"/>
          <w:kern w:val="0"/>
          <w:lang w:bidi="ar"/>
        </w:rPr>
        <w:t>主要</w:t>
      </w:r>
      <w:r>
        <w:rPr>
          <w:rFonts w:hint="eastAsia" w:ascii="仿宋_GB2312" w:hAnsi="宋体" w:cs="仿宋_GB2312"/>
          <w:color w:val="000000"/>
          <w:kern w:val="0"/>
          <w:lang w:val="zh-CN" w:bidi="ar"/>
        </w:rPr>
        <w:t>支持</w:t>
      </w:r>
      <w:r>
        <w:rPr>
          <w:rFonts w:ascii="仿宋_GB2312" w:hAnsi="宋体" w:cs="仿宋_GB2312"/>
          <w:color w:val="000000"/>
          <w:kern w:val="0"/>
          <w:lang w:bidi="ar"/>
        </w:rPr>
        <w:t>市</w:t>
      </w:r>
      <w:r>
        <w:rPr>
          <w:rFonts w:hint="eastAsia" w:ascii="仿宋_GB2312" w:hAnsi="宋体" w:cs="仿宋_GB2312"/>
          <w:color w:val="000000"/>
          <w:kern w:val="0"/>
          <w:lang w:bidi="ar"/>
        </w:rPr>
        <w:t>内</w:t>
      </w:r>
      <w:r>
        <w:rPr>
          <w:rFonts w:ascii="仿宋_GB2312" w:hAnsi="宋体" w:cs="仿宋_GB2312"/>
          <w:color w:val="000000"/>
          <w:kern w:val="0"/>
          <w:lang w:bidi="ar"/>
        </w:rPr>
        <w:t>国家级和省级生猪产能调控基地</w:t>
      </w:r>
      <w:r>
        <w:rPr>
          <w:rFonts w:hint="eastAsia" w:ascii="仿宋_GB2312" w:hAnsi="宋体" w:cs="仿宋_GB2312"/>
          <w:color w:val="000000"/>
          <w:kern w:val="0"/>
          <w:lang w:bidi="ar"/>
        </w:rPr>
        <w:t>、</w:t>
      </w:r>
      <w:r>
        <w:rPr>
          <w:rFonts w:ascii="仿宋_GB2312" w:hAnsi="宋体" w:cs="仿宋_GB2312"/>
          <w:color w:val="000000"/>
          <w:kern w:val="0"/>
          <w:lang w:bidi="ar"/>
        </w:rPr>
        <w:t>生</w:t>
      </w:r>
      <w:r>
        <w:rPr>
          <w:rFonts w:hint="eastAsia" w:ascii="仿宋_GB2312" w:hAnsi="宋体" w:cs="仿宋_GB2312"/>
          <w:color w:val="000000"/>
          <w:kern w:val="0"/>
          <w:lang w:bidi="ar"/>
        </w:rPr>
        <w:t>猪规模养殖场和种猪场（保种场）、非洲猪瘟等重大动物疫病区域防控试点范围内的中小型养殖户；养殖场户应在有资质的种猪场购买引进能繁母猪，并提供相应证明材料。</w:t>
      </w:r>
    </w:p>
    <w:p w14:paraId="1694D1F8">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仿宋_GB2312" w:hAnsi="宋体"/>
          <w:b/>
          <w:bCs/>
          <w:lang w:val="zh-CN"/>
        </w:rPr>
        <w:t>4</w:t>
      </w:r>
      <w:r>
        <w:rPr>
          <w:rFonts w:hint="eastAsia" w:ascii="仿宋_GB2312" w:hAnsi="宋体"/>
          <w:b/>
          <w:bCs/>
        </w:rPr>
        <w:t>.</w:t>
      </w:r>
      <w:r>
        <w:rPr>
          <w:rFonts w:hint="eastAsia" w:ascii="仿宋_GB2312" w:hAnsi="宋体"/>
          <w:b/>
          <w:bCs/>
          <w:lang w:val="zh-CN"/>
        </w:rPr>
        <w:t>资金分配的原则及考虑因素。</w:t>
      </w:r>
      <w:r>
        <w:rPr>
          <w:rFonts w:hint="eastAsia" w:ascii="仿宋_GB2312" w:hAnsi="宋体"/>
        </w:rPr>
        <w:t>项目资金以各县（市、区）2022年1季度末能繁母猪存栏数和当年目标任务数为基础，按照20%的比例确定引种补贴数量，以每头75元市级补贴标准，分配到县资金。</w:t>
      </w:r>
    </w:p>
    <w:p w14:paraId="7B1F7F98">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（二）项目绩效目标</w:t>
      </w:r>
    </w:p>
    <w:p w14:paraId="148EE319">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仿宋_GB2312" w:hAnsi="宋体"/>
          <w:b/>
          <w:bCs/>
          <w:lang w:val="zh-CN"/>
        </w:rPr>
        <w:t>1</w:t>
      </w:r>
      <w:r>
        <w:rPr>
          <w:rFonts w:hint="eastAsia" w:ascii="仿宋_GB2312" w:hAnsi="宋体"/>
          <w:b/>
          <w:bCs/>
        </w:rPr>
        <w:t>.</w:t>
      </w:r>
      <w:bookmarkStart w:id="0" w:name="OLE_LINK1"/>
      <w:r>
        <w:rPr>
          <w:rFonts w:hint="eastAsia" w:ascii="仿宋_GB2312" w:hAnsi="宋体"/>
          <w:b/>
          <w:bCs/>
          <w:lang w:val="zh-CN"/>
        </w:rPr>
        <w:t>项目</w:t>
      </w:r>
      <w:bookmarkEnd w:id="0"/>
      <w:r>
        <w:rPr>
          <w:rFonts w:hint="eastAsia" w:ascii="仿宋_GB2312" w:hAnsi="宋体"/>
          <w:b/>
          <w:bCs/>
          <w:lang w:val="zh-CN"/>
        </w:rPr>
        <w:t>主要内容。</w:t>
      </w:r>
      <w:r>
        <w:rPr>
          <w:rFonts w:hint="eastAsia" w:ascii="仿宋_GB2312" w:hAnsi="宋体"/>
          <w:lang w:val="zh-CN"/>
        </w:rPr>
        <w:t>支持生猪生产和产业发展，对符合条件的养殖场（户）引进能繁母猪的，予以300元/头一次性奖补。</w:t>
      </w:r>
    </w:p>
    <w:p w14:paraId="024F8575">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rPr>
      </w:pPr>
      <w:r>
        <w:rPr>
          <w:rFonts w:hint="eastAsia" w:ascii="仿宋_GB2312" w:hAnsi="宋体"/>
          <w:b/>
          <w:bCs/>
          <w:lang w:val="zh-CN"/>
        </w:rPr>
        <w:t>2</w:t>
      </w:r>
      <w:r>
        <w:rPr>
          <w:rFonts w:hint="eastAsia" w:ascii="仿宋_GB2312" w:hAnsi="宋体"/>
          <w:b/>
          <w:bCs/>
        </w:rPr>
        <w:t>.</w:t>
      </w:r>
      <w:r>
        <w:rPr>
          <w:rFonts w:hint="eastAsia" w:ascii="仿宋_GB2312" w:hAnsi="宋体"/>
          <w:b/>
          <w:bCs/>
          <w:lang w:val="zh-CN"/>
        </w:rPr>
        <w:t>项目绩效目标。</w:t>
      </w:r>
      <w:r>
        <w:rPr>
          <w:rFonts w:hint="eastAsia" w:ascii="仿宋_GB2312" w:hAnsi="宋体"/>
        </w:rPr>
        <w:t>项目分2年实施，每年计划补贴能繁母猪3万头，</w:t>
      </w:r>
      <w:r>
        <w:rPr>
          <w:rFonts w:hint="eastAsia" w:ascii="仿宋_GB2312" w:hAnsi="宋体"/>
          <w:lang w:val="zh-CN"/>
        </w:rPr>
        <w:t>项目</w:t>
      </w:r>
      <w:r>
        <w:rPr>
          <w:rFonts w:hint="eastAsia" w:ascii="仿宋_GB2312" w:hAnsi="宋体"/>
        </w:rPr>
        <w:t>具体</w:t>
      </w:r>
      <w:r>
        <w:rPr>
          <w:rFonts w:hint="eastAsia" w:ascii="仿宋_GB2312" w:hAnsi="宋体"/>
          <w:lang w:val="zh-CN"/>
        </w:rPr>
        <w:t>绩效目标</w:t>
      </w:r>
      <w:r>
        <w:rPr>
          <w:rFonts w:hint="eastAsia" w:ascii="仿宋_GB2312" w:hAnsi="宋体"/>
        </w:rPr>
        <w:t>如下：</w:t>
      </w:r>
    </w:p>
    <w:p w14:paraId="494BDB35">
      <w:pPr>
        <w:adjustRightInd w:val="0"/>
        <w:snapToGrid w:val="0"/>
        <w:spacing w:line="600" w:lineRule="exact"/>
        <w:jc w:val="center"/>
        <w:rPr>
          <w:rFonts w:ascii="仿宋_GB2312" w:hAnsi="宋体"/>
        </w:rPr>
      </w:pPr>
      <w:r>
        <w:rPr>
          <w:rFonts w:hint="eastAsia" w:ascii="仿宋_GB2312" w:hAnsi="宋体"/>
        </w:rPr>
        <w:t>表1：</w:t>
      </w:r>
      <w:r>
        <w:rPr>
          <w:rFonts w:hint="eastAsia" w:ascii="楷体_GB2312" w:hAnsi="宋体" w:eastAsia="楷体_GB2312"/>
          <w:b/>
          <w:lang w:val="zh-CN"/>
        </w:rPr>
        <w:t>项目绩效目标</w:t>
      </w:r>
    </w:p>
    <w:tbl>
      <w:tblPr>
        <w:tblStyle w:val="6"/>
        <w:tblW w:w="8854" w:type="dxa"/>
        <w:jc w:val="center"/>
        <w:tblLayout w:type="autofit"/>
        <w:tblCellMar>
          <w:top w:w="0" w:type="dxa"/>
          <w:left w:w="108" w:type="dxa"/>
          <w:bottom w:w="0" w:type="dxa"/>
          <w:right w:w="108" w:type="dxa"/>
        </w:tblCellMar>
      </w:tblPr>
      <w:tblGrid>
        <w:gridCol w:w="1834"/>
        <w:gridCol w:w="2160"/>
        <w:gridCol w:w="2700"/>
        <w:gridCol w:w="2160"/>
      </w:tblGrid>
      <w:tr w14:paraId="388E6B14">
        <w:tblPrEx>
          <w:tblCellMar>
            <w:top w:w="0" w:type="dxa"/>
            <w:left w:w="108" w:type="dxa"/>
            <w:bottom w:w="0" w:type="dxa"/>
            <w:right w:w="108" w:type="dxa"/>
          </w:tblCellMar>
        </w:tblPrEx>
        <w:trPr>
          <w:trHeight w:val="778" w:hRule="atLeast"/>
          <w:jc w:val="center"/>
        </w:trPr>
        <w:tc>
          <w:tcPr>
            <w:tcW w:w="1834" w:type="dxa"/>
            <w:tcBorders>
              <w:top w:val="single" w:color="auto" w:sz="4" w:space="0"/>
              <w:left w:val="single" w:color="auto" w:sz="4" w:space="0"/>
              <w:bottom w:val="single" w:color="auto" w:sz="4" w:space="0"/>
              <w:right w:val="single" w:color="auto" w:sz="4" w:space="0"/>
            </w:tcBorders>
            <w:vAlign w:val="center"/>
          </w:tcPr>
          <w:p w14:paraId="08F39A60">
            <w:pPr>
              <w:widowControl/>
              <w:spacing w:line="320" w:lineRule="exact"/>
              <w:jc w:val="center"/>
              <w:rPr>
                <w:rFonts w:ascii="黑体" w:hAnsi="黑体" w:eastAsia="黑体"/>
                <w:kern w:val="0"/>
                <w:sz w:val="24"/>
              </w:rPr>
            </w:pPr>
            <w:r>
              <w:rPr>
                <w:rFonts w:hint="eastAsia" w:ascii="黑体" w:hAnsi="黑体" w:eastAsia="黑体" w:cs="黑体"/>
                <w:kern w:val="0"/>
                <w:sz w:val="24"/>
              </w:rPr>
              <w:t>县（市、区）</w:t>
            </w:r>
          </w:p>
        </w:tc>
        <w:tc>
          <w:tcPr>
            <w:tcW w:w="2160" w:type="dxa"/>
            <w:tcBorders>
              <w:top w:val="single" w:color="auto" w:sz="4" w:space="0"/>
              <w:left w:val="nil"/>
              <w:bottom w:val="single" w:color="auto" w:sz="4" w:space="0"/>
              <w:right w:val="single" w:color="auto" w:sz="4" w:space="0"/>
            </w:tcBorders>
            <w:vAlign w:val="center"/>
          </w:tcPr>
          <w:p w14:paraId="1ABB6B90">
            <w:pPr>
              <w:widowControl/>
              <w:spacing w:line="320" w:lineRule="exact"/>
              <w:jc w:val="center"/>
              <w:rPr>
                <w:rFonts w:ascii="黑体" w:hAnsi="黑体" w:eastAsia="黑体"/>
                <w:kern w:val="0"/>
                <w:sz w:val="24"/>
              </w:rPr>
            </w:pPr>
            <w:r>
              <w:rPr>
                <w:rFonts w:hint="eastAsia" w:ascii="黑体" w:hAnsi="黑体" w:eastAsia="黑体" w:cs="黑体"/>
                <w:kern w:val="0"/>
                <w:sz w:val="24"/>
              </w:rPr>
              <w:t>产出指标</w:t>
            </w:r>
          </w:p>
        </w:tc>
        <w:tc>
          <w:tcPr>
            <w:tcW w:w="2700" w:type="dxa"/>
            <w:tcBorders>
              <w:top w:val="single" w:color="auto" w:sz="4" w:space="0"/>
              <w:left w:val="nil"/>
              <w:bottom w:val="single" w:color="auto" w:sz="4" w:space="0"/>
              <w:right w:val="single" w:color="auto" w:sz="4" w:space="0"/>
            </w:tcBorders>
            <w:vAlign w:val="center"/>
          </w:tcPr>
          <w:p w14:paraId="50D7DABA">
            <w:pPr>
              <w:widowControl/>
              <w:spacing w:line="320" w:lineRule="exact"/>
              <w:jc w:val="center"/>
              <w:rPr>
                <w:rFonts w:ascii="黑体" w:hAnsi="黑体" w:eastAsia="黑体"/>
                <w:kern w:val="0"/>
                <w:sz w:val="24"/>
              </w:rPr>
            </w:pPr>
            <w:r>
              <w:rPr>
                <w:rFonts w:hint="eastAsia" w:ascii="黑体" w:hAnsi="黑体" w:eastAsia="黑体"/>
                <w:kern w:val="0"/>
                <w:sz w:val="24"/>
              </w:rPr>
              <w:t>效益指标</w:t>
            </w:r>
          </w:p>
        </w:tc>
        <w:tc>
          <w:tcPr>
            <w:tcW w:w="2160" w:type="dxa"/>
            <w:tcBorders>
              <w:top w:val="single" w:color="auto" w:sz="4" w:space="0"/>
              <w:left w:val="nil"/>
              <w:bottom w:val="single" w:color="auto" w:sz="4" w:space="0"/>
              <w:right w:val="single" w:color="auto" w:sz="4" w:space="0"/>
            </w:tcBorders>
            <w:vAlign w:val="center"/>
          </w:tcPr>
          <w:p w14:paraId="17FD1EBC">
            <w:pPr>
              <w:widowControl/>
              <w:spacing w:line="320" w:lineRule="exact"/>
              <w:jc w:val="center"/>
              <w:rPr>
                <w:rFonts w:ascii="黑体" w:hAnsi="黑体" w:eastAsia="黑体"/>
                <w:kern w:val="0"/>
                <w:sz w:val="24"/>
              </w:rPr>
            </w:pPr>
            <w:r>
              <w:rPr>
                <w:rFonts w:hint="eastAsia" w:ascii="黑体" w:hAnsi="黑体" w:eastAsia="黑体"/>
                <w:kern w:val="0"/>
                <w:sz w:val="24"/>
              </w:rPr>
              <w:t>满意度指标</w:t>
            </w:r>
          </w:p>
        </w:tc>
      </w:tr>
      <w:tr w14:paraId="173C585B">
        <w:tblPrEx>
          <w:tblCellMar>
            <w:top w:w="0" w:type="dxa"/>
            <w:left w:w="108" w:type="dxa"/>
            <w:bottom w:w="0" w:type="dxa"/>
            <w:right w:w="108" w:type="dxa"/>
          </w:tblCellMar>
        </w:tblPrEx>
        <w:trPr>
          <w:trHeight w:val="785" w:hRule="atLeast"/>
          <w:jc w:val="center"/>
        </w:trPr>
        <w:tc>
          <w:tcPr>
            <w:tcW w:w="1834" w:type="dxa"/>
            <w:tcBorders>
              <w:top w:val="single" w:color="auto" w:sz="4" w:space="0"/>
              <w:left w:val="single" w:color="auto" w:sz="4" w:space="0"/>
              <w:bottom w:val="single" w:color="auto" w:sz="4" w:space="0"/>
              <w:right w:val="single" w:color="auto" w:sz="4" w:space="0"/>
            </w:tcBorders>
            <w:vAlign w:val="center"/>
          </w:tcPr>
          <w:p w14:paraId="21697E90">
            <w:pPr>
              <w:widowControl/>
              <w:spacing w:line="320" w:lineRule="exact"/>
              <w:jc w:val="center"/>
              <w:rPr>
                <w:rFonts w:ascii="仿宋_GB2312" w:hAnsi="宋体"/>
                <w:bCs/>
                <w:kern w:val="0"/>
                <w:sz w:val="24"/>
              </w:rPr>
            </w:pPr>
            <w:r>
              <w:rPr>
                <w:rFonts w:hint="eastAsia" w:ascii="仿宋_GB2312" w:hAnsi="宋体" w:cs="仿宋_GB2312"/>
                <w:bCs/>
                <w:kern w:val="0"/>
                <w:sz w:val="24"/>
              </w:rPr>
              <w:t>乐山市合计</w:t>
            </w:r>
          </w:p>
        </w:tc>
        <w:tc>
          <w:tcPr>
            <w:tcW w:w="2160" w:type="dxa"/>
            <w:tcBorders>
              <w:top w:val="nil"/>
              <w:left w:val="nil"/>
              <w:bottom w:val="single" w:color="auto" w:sz="4" w:space="0"/>
              <w:right w:val="single" w:color="auto" w:sz="4" w:space="0"/>
            </w:tcBorders>
            <w:vAlign w:val="center"/>
          </w:tcPr>
          <w:p w14:paraId="322D13F4">
            <w:pPr>
              <w:widowControl/>
              <w:spacing w:line="320" w:lineRule="exact"/>
              <w:jc w:val="center"/>
              <w:rPr>
                <w:rFonts w:ascii="仿宋_GB2312"/>
                <w:bCs/>
                <w:color w:val="000000"/>
                <w:kern w:val="0"/>
                <w:sz w:val="24"/>
              </w:rPr>
            </w:pPr>
            <w:r>
              <w:rPr>
                <w:rFonts w:hint="eastAsia" w:ascii="仿宋_GB2312"/>
                <w:sz w:val="24"/>
              </w:rPr>
              <w:t>能繁母猪正常保有量</w:t>
            </w:r>
            <w:r>
              <w:rPr>
                <w:rFonts w:hint="eastAsia" w:ascii="仿宋_GB2312"/>
                <w:bCs/>
                <w:color w:val="000000"/>
                <w:kern w:val="0"/>
                <w:sz w:val="24"/>
              </w:rPr>
              <w:t>16.5</w:t>
            </w:r>
            <w:r>
              <w:rPr>
                <w:rFonts w:hint="eastAsia" w:ascii="仿宋_GB2312"/>
                <w:sz w:val="24"/>
              </w:rPr>
              <w:t>万头</w:t>
            </w:r>
          </w:p>
        </w:tc>
        <w:tc>
          <w:tcPr>
            <w:tcW w:w="2700" w:type="dxa"/>
            <w:tcBorders>
              <w:top w:val="nil"/>
              <w:left w:val="nil"/>
              <w:bottom w:val="single" w:color="auto" w:sz="4" w:space="0"/>
              <w:right w:val="single" w:color="auto" w:sz="4" w:space="0"/>
            </w:tcBorders>
            <w:vAlign w:val="center"/>
          </w:tcPr>
          <w:p w14:paraId="6D99A01D">
            <w:pPr>
              <w:widowControl/>
              <w:spacing w:line="320" w:lineRule="exact"/>
              <w:jc w:val="center"/>
              <w:rPr>
                <w:rFonts w:ascii="仿宋_GB2312"/>
                <w:bCs/>
                <w:color w:val="000000"/>
                <w:kern w:val="0"/>
                <w:sz w:val="24"/>
              </w:rPr>
            </w:pPr>
            <w:r>
              <w:rPr>
                <w:rFonts w:hint="eastAsia" w:ascii="仿宋_GB2312"/>
                <w:sz w:val="24"/>
              </w:rPr>
              <w:t>能繁母猪质量显著提升，畜禽种业水平提高</w:t>
            </w:r>
          </w:p>
        </w:tc>
        <w:tc>
          <w:tcPr>
            <w:tcW w:w="2160" w:type="dxa"/>
            <w:tcBorders>
              <w:top w:val="nil"/>
              <w:left w:val="nil"/>
              <w:bottom w:val="single" w:color="auto" w:sz="4" w:space="0"/>
              <w:right w:val="single" w:color="auto" w:sz="4" w:space="0"/>
            </w:tcBorders>
            <w:vAlign w:val="center"/>
          </w:tcPr>
          <w:p w14:paraId="1E205DDF">
            <w:pPr>
              <w:spacing w:line="320" w:lineRule="exact"/>
              <w:jc w:val="center"/>
              <w:rPr>
                <w:rFonts w:ascii="仿宋_GB2312"/>
                <w:sz w:val="24"/>
              </w:rPr>
            </w:pPr>
            <w:r>
              <w:rPr>
                <w:rFonts w:hint="eastAsia" w:ascii="仿宋_GB2312"/>
                <w:sz w:val="24"/>
              </w:rPr>
              <w:t>生猪养殖户满意度≥90%</w:t>
            </w:r>
          </w:p>
        </w:tc>
      </w:tr>
    </w:tbl>
    <w:p w14:paraId="3C590C01">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仿宋_GB2312" w:hAnsi="宋体"/>
          <w:b/>
          <w:bCs/>
          <w:lang w:val="zh-CN"/>
        </w:rPr>
        <w:t>3．申报内容合理</w:t>
      </w:r>
      <w:r>
        <w:rPr>
          <w:rFonts w:hint="eastAsia" w:ascii="仿宋_GB2312" w:hAnsi="宋体"/>
          <w:b/>
          <w:bCs/>
        </w:rPr>
        <w:t>性</w:t>
      </w:r>
      <w:r>
        <w:rPr>
          <w:rFonts w:hint="eastAsia" w:ascii="仿宋_GB2312" w:hAnsi="宋体"/>
          <w:b/>
          <w:bCs/>
          <w:lang w:val="zh-CN"/>
        </w:rPr>
        <w:t>分析。</w:t>
      </w:r>
      <w:r>
        <w:rPr>
          <w:rFonts w:hint="eastAsia" w:ascii="仿宋_GB2312" w:hAnsi="宋体"/>
        </w:rPr>
        <w:t>能繁母猪是生猪产能调控最核心的指标，对养殖场引种能繁母猪进行补贴，符合我市生猪生产实际，符合国、省、市稳定生猪生产的决策</w:t>
      </w:r>
      <w:r>
        <w:rPr>
          <w:rFonts w:hint="eastAsia" w:ascii="仿宋_GB2312" w:hAnsi="宋体"/>
          <w:lang w:val="en-US" w:eastAsia="zh-CN"/>
        </w:rPr>
        <w:t>部署</w:t>
      </w:r>
      <w:r>
        <w:rPr>
          <w:rFonts w:hint="eastAsia" w:ascii="仿宋_GB2312" w:hAnsi="宋体"/>
        </w:rPr>
        <w:t>，对促进我市生猪产业高质量发展有着重要意义。项目申报目标以省下生猪生产目标和产能调控目标为基础而制定的，目标合理可行。</w:t>
      </w:r>
    </w:p>
    <w:p w14:paraId="00C72141">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（三）项目自评步骤及方法。</w:t>
      </w:r>
    </w:p>
    <w:p w14:paraId="27E0AAE7">
      <w:pPr>
        <w:keepNext w:val="0"/>
        <w:keepLines w:val="0"/>
        <w:pageBreakBefore w:val="0"/>
        <w:kinsoku/>
        <w:wordWrap/>
        <w:overflowPunct/>
        <w:topLinePunct w:val="0"/>
        <w:autoSpaceDE/>
        <w:autoSpaceDN/>
        <w:bidi w:val="0"/>
        <w:spacing w:line="580" w:lineRule="exact"/>
        <w:ind w:firstLine="643" w:firstLineChars="200"/>
        <w:textAlignment w:val="auto"/>
        <w:rPr>
          <w:rFonts w:ascii="仿宋_GB2312" w:hAnsi="宋体"/>
        </w:rPr>
      </w:pPr>
      <w:r>
        <w:rPr>
          <w:rFonts w:ascii="仿宋_GB2312" w:hAnsi="宋体"/>
          <w:b/>
          <w:kern w:val="0"/>
        </w:rPr>
        <w:t>1.</w:t>
      </w:r>
      <w:r>
        <w:rPr>
          <w:rFonts w:hint="eastAsia" w:ascii="仿宋_GB2312" w:hAnsi="宋体"/>
          <w:b/>
          <w:kern w:val="0"/>
        </w:rPr>
        <w:t>前期准备。</w:t>
      </w:r>
      <w:r>
        <w:rPr>
          <w:rFonts w:hint="eastAsia" w:ascii="仿宋_GB2312" w:hAnsi="宋体"/>
        </w:rPr>
        <w:t>市、县财政和农业农村部门成立绩效自评评价小组，整理项目相关资料，确定绩效评价方案，督促单位进行绩效自评。</w:t>
      </w:r>
    </w:p>
    <w:p w14:paraId="32B4B548">
      <w:pPr>
        <w:keepNext w:val="0"/>
        <w:keepLines w:val="0"/>
        <w:pageBreakBefore w:val="0"/>
        <w:kinsoku/>
        <w:wordWrap/>
        <w:overflowPunct/>
        <w:topLinePunct w:val="0"/>
        <w:autoSpaceDE/>
        <w:autoSpaceDN/>
        <w:bidi w:val="0"/>
        <w:spacing w:line="580" w:lineRule="exact"/>
        <w:ind w:firstLine="643" w:firstLineChars="200"/>
        <w:textAlignment w:val="auto"/>
        <w:rPr>
          <w:rFonts w:ascii="仿宋_GB2312" w:hAnsi="宋体"/>
        </w:rPr>
      </w:pPr>
      <w:r>
        <w:rPr>
          <w:rFonts w:ascii="仿宋_GB2312" w:hAnsi="宋体"/>
          <w:b/>
          <w:kern w:val="0"/>
        </w:rPr>
        <w:t>2.</w:t>
      </w:r>
      <w:r>
        <w:rPr>
          <w:rFonts w:hint="eastAsia" w:ascii="仿宋_GB2312" w:hAnsi="宋体"/>
          <w:b/>
          <w:kern w:val="0"/>
        </w:rPr>
        <w:t>组织实施。</w:t>
      </w:r>
      <w:r>
        <w:rPr>
          <w:rFonts w:hint="eastAsia" w:ascii="仿宋_GB2312" w:hAnsi="宋体"/>
        </w:rPr>
        <w:t>收集涉及项目的指标文件、管理办法和单位财务会计资料，核对相关财政拨付情况，调查补贴资金享受对象，全面了解资金支出使用情况。</w:t>
      </w:r>
    </w:p>
    <w:p w14:paraId="6D48512F">
      <w:pPr>
        <w:keepNext w:val="0"/>
        <w:keepLines w:val="0"/>
        <w:pageBreakBefore w:val="0"/>
        <w:kinsoku/>
        <w:wordWrap/>
        <w:overflowPunct/>
        <w:topLinePunct w:val="0"/>
        <w:autoSpaceDE/>
        <w:autoSpaceDN/>
        <w:bidi w:val="0"/>
        <w:spacing w:line="580" w:lineRule="exact"/>
        <w:ind w:firstLine="643" w:firstLineChars="200"/>
        <w:textAlignment w:val="auto"/>
        <w:rPr>
          <w:rFonts w:ascii="仿宋_GB2312" w:hAnsi="宋体"/>
          <w:lang w:val="zh-CN"/>
        </w:rPr>
      </w:pPr>
      <w:r>
        <w:rPr>
          <w:rFonts w:ascii="仿宋_GB2312" w:hAnsi="宋体"/>
          <w:b/>
          <w:kern w:val="0"/>
        </w:rPr>
        <w:t>3.</w:t>
      </w:r>
      <w:r>
        <w:rPr>
          <w:rFonts w:hint="eastAsia" w:ascii="仿宋_GB2312" w:hAnsi="宋体"/>
          <w:b/>
          <w:kern w:val="0"/>
        </w:rPr>
        <w:t>分析评价。</w:t>
      </w:r>
      <w:r>
        <w:rPr>
          <w:rFonts w:hint="eastAsia" w:ascii="仿宋_GB2312" w:hAnsi="宋体"/>
        </w:rPr>
        <w:t>分析项目资金使用管理情况，组织绩效评价，根据结果提出相关建议。</w:t>
      </w:r>
    </w:p>
    <w:p w14:paraId="53CBA0A7">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黑体" w:hAnsi="宋体" w:eastAsia="黑体"/>
        </w:rPr>
      </w:pPr>
      <w:r>
        <w:rPr>
          <w:rFonts w:hint="eastAsia" w:ascii="黑体" w:hAnsi="宋体" w:eastAsia="黑体"/>
        </w:rPr>
        <w:t>二、项目资金申报及使用情况</w:t>
      </w:r>
    </w:p>
    <w:p w14:paraId="7E14252D">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（一）项目资金申报及批复情况</w:t>
      </w:r>
    </w:p>
    <w:p w14:paraId="75143D48">
      <w:pPr>
        <w:keepNext w:val="0"/>
        <w:keepLines w:val="0"/>
        <w:pageBreakBefore w:val="0"/>
        <w:widowControl/>
        <w:kinsoku/>
        <w:wordWrap/>
        <w:overflowPunct/>
        <w:topLinePunct w:val="0"/>
        <w:autoSpaceDE/>
        <w:autoSpaceDN/>
        <w:bidi w:val="0"/>
        <w:spacing w:line="580" w:lineRule="exact"/>
        <w:ind w:firstLine="640" w:firstLineChars="200"/>
        <w:textAlignment w:val="auto"/>
        <w:rPr>
          <w:rFonts w:ascii="仿宋_GB2312" w:hAnsi="宋体" w:cs="仿宋_GB2312"/>
          <w:color w:val="000000"/>
          <w:kern w:val="0"/>
          <w:lang w:bidi="ar"/>
        </w:rPr>
      </w:pPr>
      <w:r>
        <w:rPr>
          <w:rFonts w:hint="eastAsia" w:ascii="仿宋_GB2312" w:hAnsi="宋体"/>
        </w:rPr>
        <w:t>项目实施方案于2022年5月经事前绩效评估和市农业农村局党组会议审议通过后，联合市财政局上报市政府审定通过。6月2日，市农业农村局、市财政局联合印发了《乐山市2022—2023年生猪产能调控能繁母猪引种补贴项目实施方案》。按照实施方案，当年实施的能繁母猪引种财政补贴资金在次年据实清算，市级财政补贴资金列入市农业农村局部门预算，区县财政补贴资金通过县级预算或按规定统筹整合相关上级补助资金安排解决。</w:t>
      </w:r>
      <w:r>
        <w:rPr>
          <w:rFonts w:hint="eastAsia" w:ascii="仿宋_GB2312" w:hAnsi="宋体" w:cs="仿宋_GB2312"/>
          <w:color w:val="000000"/>
          <w:kern w:val="0"/>
          <w:lang w:bidi="ar"/>
        </w:rPr>
        <w:t>2023年5月，市财政、市农业农村局按照实施方案和项目实施情况，下达了生猪产能调控能繁母猪引种补贴项目经费225万元（乐市财政农〔2023〕20号）。</w:t>
      </w:r>
    </w:p>
    <w:p w14:paraId="0473B553">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楷体_GB2312" w:hAnsi="宋体" w:eastAsia="楷体_GB2312"/>
          <w:b/>
          <w:lang w:val="zh-CN"/>
        </w:rPr>
        <w:t>（二）资金计划、到位及使用情况</w:t>
      </w:r>
    </w:p>
    <w:p w14:paraId="4F03D049">
      <w:pPr>
        <w:keepNext w:val="0"/>
        <w:keepLines w:val="0"/>
        <w:pageBreakBefore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楷体_GB2312" w:hAnsi="宋体" w:eastAsia="楷体_GB2312"/>
          <w:lang w:val="zh-CN"/>
        </w:rPr>
        <w:t>1．资金计划。</w:t>
      </w:r>
    </w:p>
    <w:p w14:paraId="35750A76">
      <w:pPr>
        <w:keepNext w:val="0"/>
        <w:keepLines w:val="0"/>
        <w:pageBreakBefore w:val="0"/>
        <w:kinsoku/>
        <w:wordWrap/>
        <w:overflowPunct/>
        <w:topLinePunct w:val="0"/>
        <w:autoSpaceDE/>
        <w:autoSpaceDN/>
        <w:bidi w:val="0"/>
        <w:adjustRightInd w:val="0"/>
        <w:snapToGrid w:val="0"/>
        <w:spacing w:line="580" w:lineRule="exact"/>
        <w:jc w:val="center"/>
        <w:textAlignment w:val="auto"/>
        <w:rPr>
          <w:rFonts w:ascii="仿宋_GB2312" w:hAnsi="宋体"/>
        </w:rPr>
      </w:pPr>
      <w:r>
        <w:rPr>
          <w:rFonts w:hint="eastAsia" w:ascii="仿宋_GB2312" w:hAnsi="宋体"/>
        </w:rPr>
        <w:t>表2：资金计划表</w:t>
      </w:r>
    </w:p>
    <w:tbl>
      <w:tblPr>
        <w:tblStyle w:val="6"/>
        <w:tblW w:w="5300" w:type="pct"/>
        <w:jc w:val="center"/>
        <w:tblLayout w:type="fixed"/>
        <w:tblCellMar>
          <w:top w:w="0" w:type="dxa"/>
          <w:left w:w="108" w:type="dxa"/>
          <w:bottom w:w="0" w:type="dxa"/>
          <w:right w:w="108" w:type="dxa"/>
        </w:tblCellMar>
      </w:tblPr>
      <w:tblGrid>
        <w:gridCol w:w="979"/>
        <w:gridCol w:w="688"/>
        <w:gridCol w:w="642"/>
        <w:gridCol w:w="752"/>
        <w:gridCol w:w="782"/>
        <w:gridCol w:w="893"/>
        <w:gridCol w:w="876"/>
        <w:gridCol w:w="893"/>
        <w:gridCol w:w="757"/>
        <w:gridCol w:w="871"/>
        <w:gridCol w:w="902"/>
      </w:tblGrid>
      <w:tr w14:paraId="1DAE535E">
        <w:tblPrEx>
          <w:tblCellMar>
            <w:top w:w="0" w:type="dxa"/>
            <w:left w:w="108" w:type="dxa"/>
            <w:bottom w:w="0" w:type="dxa"/>
            <w:right w:w="108" w:type="dxa"/>
          </w:tblCellMar>
        </w:tblPrEx>
        <w:trPr>
          <w:trHeight w:val="365" w:hRule="atLeast"/>
          <w:jc w:val="center"/>
        </w:trPr>
        <w:tc>
          <w:tcPr>
            <w:tcW w:w="541" w:type="pct"/>
            <w:vMerge w:val="restart"/>
            <w:tcBorders>
              <w:top w:val="single" w:color="auto" w:sz="4" w:space="0"/>
              <w:left w:val="single" w:color="auto" w:sz="4" w:space="0"/>
              <w:bottom w:val="single" w:color="auto" w:sz="4" w:space="0"/>
              <w:right w:val="single" w:color="auto" w:sz="4" w:space="0"/>
            </w:tcBorders>
            <w:vAlign w:val="center"/>
          </w:tcPr>
          <w:p w14:paraId="40FFCF4E">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4"/>
                <w:szCs w:val="24"/>
                <w:lang w:val="en-US" w:eastAsia="zh-CN" w:bidi="ar"/>
              </w:rPr>
              <w:t>单位</w:t>
            </w:r>
          </w:p>
        </w:tc>
        <w:tc>
          <w:tcPr>
            <w:tcW w:w="380" w:type="pct"/>
            <w:vMerge w:val="restart"/>
            <w:tcBorders>
              <w:top w:val="single" w:color="auto" w:sz="4" w:space="0"/>
              <w:left w:val="single" w:color="auto" w:sz="4" w:space="0"/>
              <w:bottom w:val="single" w:color="auto" w:sz="4" w:space="0"/>
              <w:right w:val="single" w:color="auto" w:sz="4" w:space="0"/>
            </w:tcBorders>
            <w:vAlign w:val="center"/>
          </w:tcPr>
          <w:p w14:paraId="101C029D">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能繁母猪正常保有量（万头）</w:t>
            </w:r>
          </w:p>
        </w:tc>
        <w:tc>
          <w:tcPr>
            <w:tcW w:w="355" w:type="pct"/>
            <w:vMerge w:val="restart"/>
            <w:tcBorders>
              <w:top w:val="single" w:color="auto" w:sz="4" w:space="0"/>
              <w:left w:val="single" w:color="auto" w:sz="4" w:space="0"/>
              <w:bottom w:val="single" w:color="000000" w:sz="4" w:space="0"/>
              <w:right w:val="single" w:color="auto" w:sz="4" w:space="0"/>
            </w:tcBorders>
            <w:vAlign w:val="center"/>
          </w:tcPr>
          <w:p w14:paraId="21EF69C2">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补助标准（元/头）</w:t>
            </w:r>
          </w:p>
        </w:tc>
        <w:tc>
          <w:tcPr>
            <w:tcW w:w="1827" w:type="pct"/>
            <w:gridSpan w:val="4"/>
            <w:tcBorders>
              <w:top w:val="single" w:color="auto" w:sz="4" w:space="0"/>
              <w:left w:val="nil"/>
              <w:bottom w:val="single" w:color="auto" w:sz="4" w:space="0"/>
              <w:right w:val="single" w:color="auto" w:sz="4" w:space="0"/>
            </w:tcBorders>
            <w:vAlign w:val="center"/>
          </w:tcPr>
          <w:p w14:paraId="556CE038">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2022年</w:t>
            </w:r>
          </w:p>
        </w:tc>
        <w:tc>
          <w:tcPr>
            <w:tcW w:w="1894" w:type="pct"/>
            <w:gridSpan w:val="4"/>
            <w:tcBorders>
              <w:top w:val="single" w:color="auto" w:sz="4" w:space="0"/>
              <w:left w:val="nil"/>
              <w:bottom w:val="single" w:color="auto" w:sz="4" w:space="0"/>
              <w:right w:val="single" w:color="auto" w:sz="4" w:space="0"/>
            </w:tcBorders>
            <w:noWrap/>
            <w:vAlign w:val="center"/>
          </w:tcPr>
          <w:p w14:paraId="524D7A47">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2023年</w:t>
            </w:r>
          </w:p>
        </w:tc>
      </w:tr>
      <w:tr w14:paraId="034B148A">
        <w:tblPrEx>
          <w:tblCellMar>
            <w:top w:w="0" w:type="dxa"/>
            <w:left w:w="108" w:type="dxa"/>
            <w:bottom w:w="0" w:type="dxa"/>
            <w:right w:w="108" w:type="dxa"/>
          </w:tblCellMar>
        </w:tblPrEx>
        <w:trPr>
          <w:trHeight w:val="1397" w:hRule="atLeast"/>
          <w:jc w:val="center"/>
        </w:trPr>
        <w:tc>
          <w:tcPr>
            <w:tcW w:w="541" w:type="pct"/>
            <w:vMerge w:val="continue"/>
            <w:tcBorders>
              <w:top w:val="single" w:color="auto" w:sz="4" w:space="0"/>
              <w:left w:val="single" w:color="auto" w:sz="4" w:space="0"/>
              <w:bottom w:val="single" w:color="auto" w:sz="4" w:space="0"/>
              <w:right w:val="single" w:color="auto" w:sz="4" w:space="0"/>
            </w:tcBorders>
            <w:vAlign w:val="center"/>
          </w:tcPr>
          <w:p w14:paraId="6BB06336">
            <w:pPr>
              <w:widowControl/>
              <w:spacing w:line="240" w:lineRule="exact"/>
              <w:jc w:val="center"/>
              <w:rPr>
                <w:rFonts w:ascii="黑体" w:hAnsi="黑体" w:eastAsia="黑体" w:cs="黑体"/>
                <w:color w:val="000000"/>
                <w:kern w:val="0"/>
                <w:sz w:val="21"/>
                <w:szCs w:val="21"/>
              </w:rPr>
            </w:pPr>
          </w:p>
        </w:tc>
        <w:tc>
          <w:tcPr>
            <w:tcW w:w="380" w:type="pct"/>
            <w:vMerge w:val="continue"/>
            <w:tcBorders>
              <w:top w:val="single" w:color="auto" w:sz="4" w:space="0"/>
              <w:left w:val="single" w:color="auto" w:sz="4" w:space="0"/>
              <w:bottom w:val="single" w:color="auto" w:sz="4" w:space="0"/>
              <w:right w:val="single" w:color="auto" w:sz="4" w:space="0"/>
            </w:tcBorders>
            <w:vAlign w:val="center"/>
          </w:tcPr>
          <w:p w14:paraId="2AF7E488">
            <w:pPr>
              <w:widowControl/>
              <w:spacing w:line="240" w:lineRule="exact"/>
              <w:jc w:val="center"/>
              <w:rPr>
                <w:rFonts w:ascii="黑体" w:hAnsi="黑体" w:eastAsia="黑体" w:cs="黑体"/>
                <w:color w:val="000000"/>
                <w:kern w:val="0"/>
                <w:sz w:val="21"/>
                <w:szCs w:val="21"/>
              </w:rPr>
            </w:pPr>
          </w:p>
        </w:tc>
        <w:tc>
          <w:tcPr>
            <w:tcW w:w="355" w:type="pct"/>
            <w:vMerge w:val="continue"/>
            <w:tcBorders>
              <w:top w:val="single" w:color="auto" w:sz="4" w:space="0"/>
              <w:left w:val="single" w:color="auto" w:sz="4" w:space="0"/>
              <w:bottom w:val="single" w:color="000000" w:sz="4" w:space="0"/>
              <w:right w:val="single" w:color="auto" w:sz="4" w:space="0"/>
            </w:tcBorders>
            <w:vAlign w:val="center"/>
          </w:tcPr>
          <w:p w14:paraId="7F88EDC8">
            <w:pPr>
              <w:widowControl/>
              <w:spacing w:line="240" w:lineRule="exact"/>
              <w:jc w:val="center"/>
              <w:rPr>
                <w:rFonts w:ascii="黑体" w:hAnsi="黑体" w:eastAsia="黑体" w:cs="黑体"/>
                <w:color w:val="000000"/>
                <w:kern w:val="0"/>
                <w:sz w:val="21"/>
                <w:szCs w:val="21"/>
              </w:rPr>
            </w:pPr>
          </w:p>
        </w:tc>
        <w:tc>
          <w:tcPr>
            <w:tcW w:w="416" w:type="pct"/>
            <w:tcBorders>
              <w:top w:val="nil"/>
              <w:left w:val="nil"/>
              <w:bottom w:val="single" w:color="auto" w:sz="4" w:space="0"/>
              <w:right w:val="single" w:color="auto" w:sz="4" w:space="0"/>
            </w:tcBorders>
            <w:vAlign w:val="center"/>
          </w:tcPr>
          <w:p w14:paraId="56B3DD85">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引种补助计划数（万头）</w:t>
            </w:r>
          </w:p>
        </w:tc>
        <w:tc>
          <w:tcPr>
            <w:tcW w:w="432" w:type="pct"/>
            <w:tcBorders>
              <w:top w:val="nil"/>
              <w:left w:val="nil"/>
              <w:bottom w:val="single" w:color="auto" w:sz="4" w:space="0"/>
              <w:right w:val="single" w:color="auto" w:sz="4" w:space="0"/>
            </w:tcBorders>
            <w:vAlign w:val="center"/>
          </w:tcPr>
          <w:p w14:paraId="2D27BC58">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补贴资金合计（万元）</w:t>
            </w:r>
          </w:p>
        </w:tc>
        <w:tc>
          <w:tcPr>
            <w:tcW w:w="494" w:type="pct"/>
            <w:tcBorders>
              <w:top w:val="nil"/>
              <w:left w:val="nil"/>
              <w:bottom w:val="single" w:color="auto" w:sz="4" w:space="0"/>
              <w:right w:val="single" w:color="auto" w:sz="4" w:space="0"/>
            </w:tcBorders>
            <w:vAlign w:val="center"/>
          </w:tcPr>
          <w:p w14:paraId="713A10EC">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市级财政补贴资金上限（万元）</w:t>
            </w:r>
          </w:p>
        </w:tc>
        <w:tc>
          <w:tcPr>
            <w:tcW w:w="484" w:type="pct"/>
            <w:tcBorders>
              <w:top w:val="nil"/>
              <w:left w:val="nil"/>
              <w:bottom w:val="single" w:color="auto" w:sz="4" w:space="0"/>
              <w:right w:val="single" w:color="auto" w:sz="4" w:space="0"/>
            </w:tcBorders>
            <w:vAlign w:val="center"/>
          </w:tcPr>
          <w:p w14:paraId="1089ECF4">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县级财政资金</w:t>
            </w:r>
          </w:p>
          <w:p w14:paraId="5B6F53C8">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（万元）</w:t>
            </w:r>
          </w:p>
        </w:tc>
        <w:tc>
          <w:tcPr>
            <w:tcW w:w="494" w:type="pct"/>
            <w:tcBorders>
              <w:top w:val="nil"/>
              <w:left w:val="nil"/>
              <w:bottom w:val="single" w:color="auto" w:sz="4" w:space="0"/>
              <w:right w:val="single" w:color="auto" w:sz="4" w:space="0"/>
            </w:tcBorders>
            <w:vAlign w:val="center"/>
          </w:tcPr>
          <w:p w14:paraId="48A13900">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引种补助计划数</w:t>
            </w:r>
          </w:p>
          <w:p w14:paraId="7AF400EC">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（万头）</w:t>
            </w:r>
          </w:p>
        </w:tc>
        <w:tc>
          <w:tcPr>
            <w:tcW w:w="418" w:type="pct"/>
            <w:tcBorders>
              <w:top w:val="nil"/>
              <w:left w:val="nil"/>
              <w:bottom w:val="single" w:color="auto" w:sz="4" w:space="0"/>
              <w:right w:val="single" w:color="auto" w:sz="4" w:space="0"/>
            </w:tcBorders>
            <w:vAlign w:val="center"/>
          </w:tcPr>
          <w:p w14:paraId="6EE744C8">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补贴资金合计</w:t>
            </w:r>
          </w:p>
          <w:p w14:paraId="60D6D74C">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（万元）</w:t>
            </w:r>
          </w:p>
        </w:tc>
        <w:tc>
          <w:tcPr>
            <w:tcW w:w="482" w:type="pct"/>
            <w:tcBorders>
              <w:top w:val="nil"/>
              <w:left w:val="nil"/>
              <w:bottom w:val="single" w:color="auto" w:sz="4" w:space="0"/>
              <w:right w:val="single" w:color="auto" w:sz="4" w:space="0"/>
            </w:tcBorders>
            <w:vAlign w:val="center"/>
          </w:tcPr>
          <w:p w14:paraId="39B6AB58">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市级财政补贴资金上限（万元）</w:t>
            </w:r>
          </w:p>
        </w:tc>
        <w:tc>
          <w:tcPr>
            <w:tcW w:w="499" w:type="pct"/>
            <w:tcBorders>
              <w:top w:val="nil"/>
              <w:left w:val="nil"/>
              <w:bottom w:val="single" w:color="auto" w:sz="4" w:space="0"/>
              <w:right w:val="single" w:color="auto" w:sz="4" w:space="0"/>
            </w:tcBorders>
            <w:vAlign w:val="center"/>
          </w:tcPr>
          <w:p w14:paraId="7302927A">
            <w:pPr>
              <w:widowControl/>
              <w:spacing w:line="240" w:lineRule="exact"/>
              <w:jc w:val="center"/>
              <w:rPr>
                <w:rFonts w:ascii="黑体" w:hAnsi="黑体" w:eastAsia="黑体" w:cs="黑体"/>
                <w:color w:val="000000"/>
                <w:kern w:val="0"/>
                <w:sz w:val="21"/>
                <w:szCs w:val="21"/>
              </w:rPr>
            </w:pPr>
            <w:r>
              <w:rPr>
                <w:rFonts w:hint="eastAsia" w:ascii="黑体" w:hAnsi="黑体" w:eastAsia="黑体" w:cs="黑体"/>
                <w:color w:val="000000"/>
                <w:kern w:val="0"/>
                <w:sz w:val="21"/>
                <w:szCs w:val="21"/>
              </w:rPr>
              <w:t>县级财政资金（万元）</w:t>
            </w:r>
          </w:p>
        </w:tc>
      </w:tr>
      <w:tr w14:paraId="5A145E1A">
        <w:tblPrEx>
          <w:tblCellMar>
            <w:top w:w="0" w:type="dxa"/>
            <w:left w:w="108" w:type="dxa"/>
            <w:bottom w:w="0" w:type="dxa"/>
            <w:right w:w="108" w:type="dxa"/>
          </w:tblCellMar>
        </w:tblPrEx>
        <w:trPr>
          <w:trHeight w:val="511" w:hRule="atLeast"/>
          <w:jc w:val="center"/>
        </w:trPr>
        <w:tc>
          <w:tcPr>
            <w:tcW w:w="541" w:type="pct"/>
            <w:tcBorders>
              <w:top w:val="nil"/>
              <w:left w:val="single" w:color="auto" w:sz="4" w:space="0"/>
              <w:bottom w:val="single" w:color="auto" w:sz="4" w:space="0"/>
              <w:right w:val="single" w:color="auto" w:sz="4" w:space="0"/>
            </w:tcBorders>
            <w:vAlign w:val="center"/>
          </w:tcPr>
          <w:p w14:paraId="1A649FCA">
            <w:pPr>
              <w:widowControl/>
              <w:spacing w:line="240" w:lineRule="exact"/>
              <w:jc w:val="center"/>
              <w:rPr>
                <w:rFonts w:ascii="仿宋_GB2312" w:hAnsi="宋体" w:cs="宋体"/>
                <w:color w:val="000000"/>
                <w:kern w:val="0"/>
                <w:sz w:val="21"/>
                <w:szCs w:val="21"/>
              </w:rPr>
            </w:pPr>
            <w:r>
              <w:rPr>
                <w:rFonts w:hint="eastAsia" w:ascii="仿宋_GB2312" w:hAnsi="宋体" w:cs="宋体"/>
                <w:color w:val="000000"/>
                <w:kern w:val="0"/>
                <w:sz w:val="21"/>
                <w:szCs w:val="21"/>
              </w:rPr>
              <w:t>乐山市</w:t>
            </w:r>
          </w:p>
        </w:tc>
        <w:tc>
          <w:tcPr>
            <w:tcW w:w="380" w:type="pct"/>
            <w:tcBorders>
              <w:top w:val="nil"/>
              <w:left w:val="nil"/>
              <w:bottom w:val="single" w:color="auto" w:sz="4" w:space="0"/>
              <w:right w:val="single" w:color="auto" w:sz="4" w:space="0"/>
            </w:tcBorders>
            <w:vAlign w:val="center"/>
          </w:tcPr>
          <w:p w14:paraId="22A28B92">
            <w:pPr>
              <w:spacing w:line="240" w:lineRule="exact"/>
              <w:jc w:val="center"/>
              <w:rPr>
                <w:rFonts w:ascii="仿宋_GB2312"/>
                <w:color w:val="000000"/>
                <w:sz w:val="21"/>
                <w:szCs w:val="21"/>
              </w:rPr>
            </w:pPr>
            <w:r>
              <w:rPr>
                <w:rFonts w:hint="eastAsia" w:ascii="仿宋_GB2312"/>
                <w:color w:val="000000"/>
                <w:sz w:val="21"/>
                <w:szCs w:val="21"/>
              </w:rPr>
              <w:t>16.5</w:t>
            </w:r>
          </w:p>
        </w:tc>
        <w:tc>
          <w:tcPr>
            <w:tcW w:w="355" w:type="pct"/>
            <w:tcBorders>
              <w:top w:val="nil"/>
              <w:left w:val="nil"/>
              <w:bottom w:val="single" w:color="auto" w:sz="4" w:space="0"/>
              <w:right w:val="single" w:color="auto" w:sz="4" w:space="0"/>
            </w:tcBorders>
            <w:vAlign w:val="center"/>
          </w:tcPr>
          <w:p w14:paraId="777547C8">
            <w:pPr>
              <w:spacing w:line="240" w:lineRule="exact"/>
              <w:jc w:val="center"/>
              <w:rPr>
                <w:rFonts w:ascii="仿宋_GB2312"/>
                <w:color w:val="000000"/>
                <w:sz w:val="21"/>
                <w:szCs w:val="21"/>
              </w:rPr>
            </w:pPr>
            <w:r>
              <w:rPr>
                <w:rFonts w:hint="eastAsia" w:ascii="仿宋_GB2312"/>
                <w:color w:val="000000"/>
                <w:sz w:val="21"/>
                <w:szCs w:val="21"/>
              </w:rPr>
              <w:t>300</w:t>
            </w:r>
          </w:p>
        </w:tc>
        <w:tc>
          <w:tcPr>
            <w:tcW w:w="416" w:type="pct"/>
            <w:tcBorders>
              <w:top w:val="nil"/>
              <w:left w:val="nil"/>
              <w:bottom w:val="single" w:color="auto" w:sz="4" w:space="0"/>
              <w:right w:val="single" w:color="auto" w:sz="4" w:space="0"/>
            </w:tcBorders>
            <w:vAlign w:val="center"/>
          </w:tcPr>
          <w:p w14:paraId="3323AC89">
            <w:pPr>
              <w:spacing w:line="240" w:lineRule="exact"/>
              <w:jc w:val="center"/>
              <w:rPr>
                <w:rFonts w:ascii="仿宋_GB2312"/>
                <w:color w:val="000000"/>
                <w:sz w:val="21"/>
                <w:szCs w:val="21"/>
              </w:rPr>
            </w:pPr>
            <w:r>
              <w:rPr>
                <w:rFonts w:hint="eastAsia" w:ascii="仿宋_GB2312"/>
                <w:color w:val="000000"/>
                <w:sz w:val="21"/>
                <w:szCs w:val="21"/>
              </w:rPr>
              <w:t>3</w:t>
            </w:r>
          </w:p>
        </w:tc>
        <w:tc>
          <w:tcPr>
            <w:tcW w:w="432" w:type="pct"/>
            <w:tcBorders>
              <w:top w:val="nil"/>
              <w:left w:val="nil"/>
              <w:bottom w:val="single" w:color="auto" w:sz="4" w:space="0"/>
              <w:right w:val="single" w:color="auto" w:sz="4" w:space="0"/>
            </w:tcBorders>
            <w:vAlign w:val="center"/>
          </w:tcPr>
          <w:p w14:paraId="7235069F">
            <w:pPr>
              <w:spacing w:line="240" w:lineRule="exact"/>
              <w:jc w:val="center"/>
              <w:rPr>
                <w:rFonts w:ascii="仿宋_GB2312"/>
                <w:color w:val="000000"/>
                <w:sz w:val="21"/>
                <w:szCs w:val="21"/>
              </w:rPr>
            </w:pPr>
            <w:r>
              <w:rPr>
                <w:rFonts w:hint="eastAsia" w:ascii="仿宋_GB2312"/>
                <w:color w:val="000000"/>
                <w:sz w:val="21"/>
                <w:szCs w:val="21"/>
              </w:rPr>
              <w:t>900</w:t>
            </w:r>
          </w:p>
        </w:tc>
        <w:tc>
          <w:tcPr>
            <w:tcW w:w="494" w:type="pct"/>
            <w:tcBorders>
              <w:top w:val="nil"/>
              <w:left w:val="nil"/>
              <w:bottom w:val="single" w:color="auto" w:sz="4" w:space="0"/>
              <w:right w:val="single" w:color="auto" w:sz="4" w:space="0"/>
            </w:tcBorders>
            <w:vAlign w:val="center"/>
          </w:tcPr>
          <w:p w14:paraId="06951C03">
            <w:pPr>
              <w:spacing w:line="240" w:lineRule="exact"/>
              <w:jc w:val="center"/>
              <w:rPr>
                <w:rFonts w:ascii="仿宋_GB2312"/>
                <w:color w:val="000000"/>
                <w:sz w:val="21"/>
                <w:szCs w:val="21"/>
              </w:rPr>
            </w:pPr>
            <w:r>
              <w:rPr>
                <w:rFonts w:hint="eastAsia" w:ascii="仿宋_GB2312"/>
                <w:color w:val="000000"/>
                <w:sz w:val="21"/>
                <w:szCs w:val="21"/>
              </w:rPr>
              <w:t>225</w:t>
            </w:r>
          </w:p>
        </w:tc>
        <w:tc>
          <w:tcPr>
            <w:tcW w:w="484" w:type="pct"/>
            <w:tcBorders>
              <w:top w:val="nil"/>
              <w:left w:val="nil"/>
              <w:bottom w:val="single" w:color="auto" w:sz="4" w:space="0"/>
              <w:right w:val="single" w:color="auto" w:sz="4" w:space="0"/>
            </w:tcBorders>
            <w:vAlign w:val="center"/>
          </w:tcPr>
          <w:p w14:paraId="0B8B3D18">
            <w:pPr>
              <w:spacing w:line="240" w:lineRule="exact"/>
              <w:jc w:val="center"/>
              <w:rPr>
                <w:rFonts w:ascii="仿宋_GB2312"/>
                <w:color w:val="000000"/>
                <w:sz w:val="21"/>
                <w:szCs w:val="21"/>
              </w:rPr>
            </w:pPr>
            <w:r>
              <w:rPr>
                <w:rFonts w:hint="eastAsia" w:ascii="仿宋_GB2312"/>
                <w:color w:val="000000"/>
                <w:sz w:val="21"/>
                <w:szCs w:val="21"/>
              </w:rPr>
              <w:t>675</w:t>
            </w:r>
          </w:p>
        </w:tc>
        <w:tc>
          <w:tcPr>
            <w:tcW w:w="494" w:type="pct"/>
            <w:tcBorders>
              <w:top w:val="nil"/>
              <w:left w:val="nil"/>
              <w:bottom w:val="single" w:color="auto" w:sz="4" w:space="0"/>
              <w:right w:val="single" w:color="auto" w:sz="4" w:space="0"/>
            </w:tcBorders>
            <w:vAlign w:val="center"/>
          </w:tcPr>
          <w:p w14:paraId="4568EAA7">
            <w:pPr>
              <w:spacing w:line="240" w:lineRule="exact"/>
              <w:jc w:val="center"/>
              <w:rPr>
                <w:rFonts w:ascii="仿宋_GB2312"/>
                <w:color w:val="000000"/>
                <w:sz w:val="21"/>
                <w:szCs w:val="21"/>
              </w:rPr>
            </w:pPr>
            <w:r>
              <w:rPr>
                <w:rFonts w:hint="eastAsia" w:ascii="仿宋_GB2312"/>
                <w:color w:val="000000"/>
                <w:sz w:val="21"/>
                <w:szCs w:val="21"/>
              </w:rPr>
              <w:t>3</w:t>
            </w:r>
          </w:p>
        </w:tc>
        <w:tc>
          <w:tcPr>
            <w:tcW w:w="418" w:type="pct"/>
            <w:tcBorders>
              <w:top w:val="nil"/>
              <w:left w:val="nil"/>
              <w:bottom w:val="single" w:color="auto" w:sz="4" w:space="0"/>
              <w:right w:val="single" w:color="auto" w:sz="4" w:space="0"/>
            </w:tcBorders>
            <w:vAlign w:val="center"/>
          </w:tcPr>
          <w:p w14:paraId="1C0BE7B6">
            <w:pPr>
              <w:spacing w:line="240" w:lineRule="exact"/>
              <w:jc w:val="center"/>
              <w:rPr>
                <w:rFonts w:ascii="仿宋_GB2312"/>
                <w:color w:val="000000"/>
                <w:sz w:val="21"/>
                <w:szCs w:val="21"/>
              </w:rPr>
            </w:pPr>
            <w:r>
              <w:rPr>
                <w:rFonts w:hint="eastAsia" w:ascii="仿宋_GB2312"/>
                <w:color w:val="000000"/>
                <w:sz w:val="21"/>
                <w:szCs w:val="21"/>
              </w:rPr>
              <w:t>900</w:t>
            </w:r>
          </w:p>
        </w:tc>
        <w:tc>
          <w:tcPr>
            <w:tcW w:w="482" w:type="pct"/>
            <w:tcBorders>
              <w:top w:val="nil"/>
              <w:left w:val="nil"/>
              <w:bottom w:val="single" w:color="auto" w:sz="4" w:space="0"/>
              <w:right w:val="single" w:color="auto" w:sz="4" w:space="0"/>
            </w:tcBorders>
            <w:vAlign w:val="center"/>
          </w:tcPr>
          <w:p w14:paraId="56EC06D8">
            <w:pPr>
              <w:spacing w:line="240" w:lineRule="exact"/>
              <w:jc w:val="center"/>
              <w:rPr>
                <w:rFonts w:ascii="仿宋_GB2312"/>
                <w:color w:val="000000"/>
                <w:sz w:val="21"/>
                <w:szCs w:val="21"/>
              </w:rPr>
            </w:pPr>
            <w:r>
              <w:rPr>
                <w:rFonts w:hint="eastAsia" w:ascii="仿宋_GB2312"/>
                <w:color w:val="000000"/>
                <w:sz w:val="21"/>
                <w:szCs w:val="21"/>
              </w:rPr>
              <w:t>225</w:t>
            </w:r>
          </w:p>
        </w:tc>
        <w:tc>
          <w:tcPr>
            <w:tcW w:w="499" w:type="pct"/>
            <w:tcBorders>
              <w:top w:val="nil"/>
              <w:left w:val="nil"/>
              <w:bottom w:val="single" w:color="auto" w:sz="4" w:space="0"/>
              <w:right w:val="single" w:color="auto" w:sz="4" w:space="0"/>
            </w:tcBorders>
            <w:vAlign w:val="center"/>
          </w:tcPr>
          <w:p w14:paraId="6567212F">
            <w:pPr>
              <w:spacing w:line="240" w:lineRule="exact"/>
              <w:jc w:val="center"/>
              <w:rPr>
                <w:rFonts w:ascii="仿宋_GB2312"/>
                <w:color w:val="000000"/>
                <w:sz w:val="21"/>
                <w:szCs w:val="21"/>
              </w:rPr>
            </w:pPr>
            <w:r>
              <w:rPr>
                <w:rFonts w:hint="eastAsia" w:ascii="仿宋_GB2312"/>
                <w:color w:val="000000"/>
                <w:sz w:val="21"/>
                <w:szCs w:val="21"/>
              </w:rPr>
              <w:t>675</w:t>
            </w:r>
          </w:p>
        </w:tc>
      </w:tr>
    </w:tbl>
    <w:p w14:paraId="4A8C85A2">
      <w:pPr>
        <w:keepNext w:val="0"/>
        <w:keepLines w:val="0"/>
        <w:pageBreakBefore w:val="0"/>
        <w:widowControl w:val="0"/>
        <w:tabs>
          <w:tab w:val="left" w:pos="1560"/>
        </w:tabs>
        <w:kinsoku/>
        <w:wordWrap/>
        <w:overflowPunct/>
        <w:topLinePunct w:val="0"/>
        <w:autoSpaceDE/>
        <w:autoSpaceDN/>
        <w:bidi w:val="0"/>
        <w:spacing w:line="580" w:lineRule="exact"/>
        <w:ind w:firstLine="640"/>
        <w:textAlignment w:val="auto"/>
        <w:rPr>
          <w:rFonts w:ascii="仿宋_GB2312" w:hAnsi="宋体" w:cs="仿宋_GB2312"/>
          <w:color w:val="000000"/>
          <w:kern w:val="0"/>
          <w:lang w:bidi="ar"/>
        </w:rPr>
      </w:pPr>
      <w:r>
        <w:rPr>
          <w:rFonts w:hint="eastAsia" w:ascii="楷体_GB2312" w:hAnsi="宋体" w:eastAsia="楷体_GB2312"/>
          <w:lang w:val="zh-CN"/>
        </w:rPr>
        <w:t>2．资金到位。</w:t>
      </w:r>
      <w:r>
        <w:rPr>
          <w:rFonts w:hint="eastAsia" w:ascii="仿宋_GB2312" w:hAnsi="宋体" w:cs="仿宋_GB2312"/>
          <w:color w:val="000000"/>
          <w:kern w:val="0"/>
          <w:lang w:bidi="ar"/>
        </w:rPr>
        <w:t>市财政、市农业农村局按照实施方案和项目实施情况，累计下达市级资金281.405万元。2023年5月乐市财政农〔2023〕20号文件下达225万元，2024年11月乐市财政农〔2024〕67号文件下达56.405万元。</w:t>
      </w:r>
      <w:r>
        <w:rPr>
          <w:rFonts w:hint="eastAsia" w:hAnsi="黑体"/>
        </w:rPr>
        <w:t>2024年11月26日，市农业农村局会同市财政局对项目补贴资金进行了清算（乐市财政农〔2024〕73号），收回市级补贴资金68.8325万元。</w:t>
      </w:r>
    </w:p>
    <w:p w14:paraId="0A4306EA">
      <w:pPr>
        <w:keepNext w:val="0"/>
        <w:keepLines w:val="0"/>
        <w:pageBreakBefore w:val="0"/>
        <w:widowControl w:val="0"/>
        <w:tabs>
          <w:tab w:val="left" w:pos="1560"/>
        </w:tabs>
        <w:kinsoku/>
        <w:wordWrap/>
        <w:overflowPunct/>
        <w:topLinePunct w:val="0"/>
        <w:autoSpaceDE/>
        <w:autoSpaceDN/>
        <w:bidi w:val="0"/>
        <w:spacing w:line="580" w:lineRule="exact"/>
        <w:ind w:firstLine="640"/>
        <w:textAlignment w:val="auto"/>
        <w:rPr>
          <w:rFonts w:hAnsi="黑体"/>
        </w:rPr>
      </w:pPr>
      <w:r>
        <w:rPr>
          <w:rFonts w:hint="eastAsia" w:ascii="楷体_GB2312" w:hAnsi="宋体" w:eastAsia="楷体_GB2312"/>
          <w:lang w:val="zh-CN"/>
        </w:rPr>
        <w:t>3．资金使用。</w:t>
      </w:r>
      <w:r>
        <w:rPr>
          <w:rFonts w:hint="eastAsia" w:hAnsi="黑体"/>
        </w:rPr>
        <w:t>市县两年应补贴资金850.29万元（其中市级212.5725万元，县级637.715万元）；实际已拨付补贴资金837.29万元（其中市级212.5725万元，县级624万元），待支付资金13万元（均为县级资金，其中沙湾区9万元，犍为县4.41万元）。</w:t>
      </w:r>
    </w:p>
    <w:p w14:paraId="4ED2AD97">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ascii="仿宋_GB2312" w:hAnsi="宋体"/>
        </w:rPr>
      </w:pPr>
      <w:r>
        <w:rPr>
          <w:rFonts w:hint="eastAsia" w:ascii="仿宋_GB2312" w:hAnsi="宋体"/>
        </w:rPr>
        <w:t>表3：2022</w:t>
      </w:r>
      <w:r>
        <w:rPr>
          <w:rFonts w:hint="eastAsia" w:ascii="仿宋_GB2312" w:hAnsi="宋体"/>
          <w:lang w:val="en-US" w:eastAsia="zh-CN"/>
        </w:rPr>
        <w:t>-2023</w:t>
      </w:r>
      <w:r>
        <w:rPr>
          <w:rFonts w:hint="eastAsia" w:ascii="仿宋_GB2312" w:hAnsi="宋体"/>
        </w:rPr>
        <w:t>年</w:t>
      </w:r>
      <w:r>
        <w:rPr>
          <w:rFonts w:hint="eastAsia" w:ascii="仿宋_GB2312" w:hAnsi="宋体"/>
          <w:lang w:val="en-US" w:eastAsia="zh-CN"/>
        </w:rPr>
        <w:t>全市</w:t>
      </w:r>
      <w:r>
        <w:rPr>
          <w:rFonts w:hint="eastAsia" w:ascii="仿宋_GB2312" w:hAnsi="宋体"/>
        </w:rPr>
        <w:t>资金使用情况</w:t>
      </w:r>
    </w:p>
    <w:tbl>
      <w:tblPr>
        <w:tblStyle w:val="6"/>
        <w:tblW w:w="4998" w:type="pct"/>
        <w:tblInd w:w="0" w:type="dxa"/>
        <w:tblLayout w:type="autofit"/>
        <w:tblCellMar>
          <w:top w:w="0" w:type="dxa"/>
          <w:left w:w="108" w:type="dxa"/>
          <w:bottom w:w="0" w:type="dxa"/>
          <w:right w:w="108" w:type="dxa"/>
        </w:tblCellMar>
      </w:tblPr>
      <w:tblGrid>
        <w:gridCol w:w="1701"/>
        <w:gridCol w:w="1701"/>
        <w:gridCol w:w="2"/>
        <w:gridCol w:w="1699"/>
        <w:gridCol w:w="2"/>
        <w:gridCol w:w="1699"/>
        <w:gridCol w:w="2"/>
        <w:gridCol w:w="1713"/>
      </w:tblGrid>
      <w:tr w14:paraId="1CCF5690">
        <w:tblPrEx>
          <w:tblCellMar>
            <w:top w:w="0" w:type="dxa"/>
            <w:left w:w="108" w:type="dxa"/>
            <w:bottom w:w="0" w:type="dxa"/>
            <w:right w:w="108" w:type="dxa"/>
          </w:tblCellMar>
        </w:tblPrEx>
        <w:trPr>
          <w:trHeight w:val="288" w:hRule="atLeast"/>
        </w:trPr>
        <w:tc>
          <w:tcPr>
            <w:tcW w:w="9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B6B9F0">
            <w:pPr>
              <w:jc w:val="cente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年度</w:t>
            </w:r>
          </w:p>
        </w:tc>
        <w:tc>
          <w:tcPr>
            <w:tcW w:w="9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812C05">
            <w:pPr>
              <w:jc w:val="center"/>
              <w:rPr>
                <w:rFonts w:ascii="黑体" w:hAnsi="黑体" w:eastAsia="黑体" w:cs="黑体"/>
                <w:b/>
                <w:bCs/>
                <w:sz w:val="21"/>
                <w:szCs w:val="21"/>
              </w:rPr>
            </w:pPr>
            <w:r>
              <w:rPr>
                <w:rFonts w:hint="eastAsia" w:ascii="黑体" w:hAnsi="黑体" w:eastAsia="黑体" w:cs="黑体"/>
                <w:b/>
                <w:bCs/>
                <w:sz w:val="21"/>
                <w:szCs w:val="21"/>
              </w:rPr>
              <w:t>补贴头数（头）</w:t>
            </w:r>
          </w:p>
        </w:tc>
        <w:tc>
          <w:tcPr>
            <w:tcW w:w="300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1096D2">
            <w:pPr>
              <w:jc w:val="center"/>
              <w:rPr>
                <w:rFonts w:ascii="黑体" w:hAnsi="黑体" w:eastAsia="黑体" w:cs="黑体"/>
                <w:b/>
                <w:bCs/>
                <w:sz w:val="21"/>
                <w:szCs w:val="21"/>
              </w:rPr>
            </w:pPr>
            <w:r>
              <w:rPr>
                <w:rFonts w:hint="eastAsia" w:ascii="黑体" w:hAnsi="黑体" w:eastAsia="黑体" w:cs="黑体"/>
                <w:b/>
                <w:bCs/>
                <w:sz w:val="21"/>
                <w:szCs w:val="21"/>
              </w:rPr>
              <w:t>补贴资金</w:t>
            </w:r>
          </w:p>
        </w:tc>
      </w:tr>
      <w:tr w14:paraId="150E48FF">
        <w:tblPrEx>
          <w:tblCellMar>
            <w:top w:w="0" w:type="dxa"/>
            <w:left w:w="108" w:type="dxa"/>
            <w:bottom w:w="0" w:type="dxa"/>
            <w:right w:w="108" w:type="dxa"/>
          </w:tblCellMar>
        </w:tblPrEx>
        <w:trPr>
          <w:trHeight w:val="432" w:hRule="atLeast"/>
        </w:trPr>
        <w:tc>
          <w:tcPr>
            <w:tcW w:w="9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EFDB7">
            <w:pPr>
              <w:jc w:val="center"/>
              <w:rPr>
                <w:rFonts w:ascii="黑体" w:hAnsi="黑体" w:eastAsia="黑体" w:cs="黑体"/>
                <w:b/>
                <w:bCs/>
                <w:sz w:val="21"/>
                <w:szCs w:val="21"/>
              </w:rPr>
            </w:pPr>
          </w:p>
        </w:tc>
        <w:tc>
          <w:tcPr>
            <w:tcW w:w="9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38A5B">
            <w:pPr>
              <w:jc w:val="center"/>
              <w:rPr>
                <w:rFonts w:ascii="黑体" w:hAnsi="黑体" w:eastAsia="黑体" w:cs="黑体"/>
                <w:b/>
                <w:bCs/>
                <w:sz w:val="21"/>
                <w:szCs w:val="21"/>
              </w:rPr>
            </w:pP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F394E">
            <w:pPr>
              <w:jc w:val="center"/>
              <w:rPr>
                <w:rFonts w:ascii="黑体" w:hAnsi="黑体" w:eastAsia="黑体" w:cs="黑体"/>
                <w:b/>
                <w:bCs/>
                <w:sz w:val="21"/>
                <w:szCs w:val="21"/>
              </w:rPr>
            </w:pPr>
            <w:r>
              <w:rPr>
                <w:rFonts w:hint="eastAsia" w:ascii="黑体" w:hAnsi="黑体" w:eastAsia="黑体" w:cs="黑体"/>
                <w:b/>
                <w:bCs/>
                <w:sz w:val="21"/>
                <w:szCs w:val="21"/>
              </w:rPr>
              <w:t>小计（万元）</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96D149">
            <w:pPr>
              <w:jc w:val="center"/>
              <w:rPr>
                <w:rFonts w:ascii="黑体" w:hAnsi="黑体" w:eastAsia="黑体" w:cs="黑体"/>
                <w:b/>
                <w:bCs/>
                <w:sz w:val="21"/>
                <w:szCs w:val="21"/>
              </w:rPr>
            </w:pPr>
            <w:r>
              <w:rPr>
                <w:rFonts w:hint="eastAsia" w:ascii="黑体" w:hAnsi="黑体" w:eastAsia="黑体" w:cs="黑体"/>
                <w:b/>
                <w:bCs/>
                <w:sz w:val="21"/>
                <w:szCs w:val="21"/>
              </w:rPr>
              <w:t>市级（万元）</w:t>
            </w:r>
          </w:p>
        </w:tc>
        <w:tc>
          <w:tcPr>
            <w:tcW w:w="100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DB0BC1">
            <w:pPr>
              <w:jc w:val="center"/>
              <w:rPr>
                <w:rFonts w:ascii="黑体" w:hAnsi="黑体" w:eastAsia="黑体" w:cs="黑体"/>
                <w:b/>
                <w:bCs/>
                <w:sz w:val="21"/>
                <w:szCs w:val="21"/>
              </w:rPr>
            </w:pPr>
            <w:r>
              <w:rPr>
                <w:rFonts w:hint="eastAsia" w:ascii="黑体" w:hAnsi="黑体" w:eastAsia="黑体" w:cs="黑体"/>
                <w:b/>
                <w:bCs/>
                <w:sz w:val="21"/>
                <w:szCs w:val="21"/>
              </w:rPr>
              <w:t>县级（万元）</w:t>
            </w:r>
          </w:p>
        </w:tc>
      </w:tr>
      <w:tr w14:paraId="4A381A74">
        <w:tblPrEx>
          <w:tblCellMar>
            <w:top w:w="0" w:type="dxa"/>
            <w:left w:w="108" w:type="dxa"/>
            <w:bottom w:w="0" w:type="dxa"/>
            <w:right w:w="108" w:type="dxa"/>
          </w:tblCellMar>
        </w:tblPrEx>
        <w:trPr>
          <w:trHeight w:val="313"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055C4">
            <w:pPr>
              <w:widowControl/>
              <w:jc w:val="center"/>
              <w:textAlignment w:val="center"/>
              <w:rPr>
                <w:rFonts w:hint="default" w:ascii="仿宋_GB2312" w:hAnsi="宋体" w:eastAsia="仿宋_GB2312" w:cs="仿宋_GB2312"/>
                <w:b/>
                <w:bCs/>
                <w:color w:val="000000"/>
                <w:sz w:val="18"/>
                <w:szCs w:val="18"/>
                <w:lang w:val="en-US" w:eastAsia="zh-CN"/>
              </w:rPr>
            </w:pPr>
            <w:r>
              <w:rPr>
                <w:rFonts w:hint="eastAsia" w:ascii="仿宋_GB2312" w:hAnsi="宋体" w:cs="仿宋_GB2312"/>
                <w:b/>
                <w:bCs/>
                <w:color w:val="000000"/>
                <w:kern w:val="0"/>
                <w:sz w:val="18"/>
                <w:szCs w:val="18"/>
                <w:lang w:val="en-US" w:eastAsia="zh-CN" w:bidi="ar"/>
              </w:rPr>
              <w:t>2022年</w:t>
            </w:r>
          </w:p>
        </w:tc>
        <w:tc>
          <w:tcPr>
            <w:tcW w:w="9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E141">
            <w:pPr>
              <w:widowControl/>
              <w:jc w:val="center"/>
              <w:textAlignment w:val="center"/>
              <w:rPr>
                <w:rFonts w:eastAsia="宋体"/>
                <w:b/>
                <w:bCs/>
                <w:color w:val="000000"/>
                <w:sz w:val="18"/>
                <w:szCs w:val="18"/>
              </w:rPr>
            </w:pPr>
            <w:r>
              <w:rPr>
                <w:rFonts w:eastAsia="宋体"/>
                <w:b/>
                <w:bCs/>
                <w:color w:val="000000"/>
                <w:kern w:val="0"/>
                <w:sz w:val="18"/>
                <w:szCs w:val="18"/>
                <w:lang w:bidi="ar"/>
              </w:rPr>
              <w:t>14854</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F10DC">
            <w:pPr>
              <w:widowControl/>
              <w:jc w:val="center"/>
              <w:textAlignment w:val="center"/>
              <w:rPr>
                <w:rFonts w:eastAsia="宋体"/>
                <w:b/>
                <w:bCs/>
                <w:color w:val="000000"/>
                <w:sz w:val="18"/>
                <w:szCs w:val="18"/>
              </w:rPr>
            </w:pPr>
            <w:r>
              <w:rPr>
                <w:rFonts w:eastAsia="宋体"/>
                <w:b/>
                <w:bCs/>
                <w:color w:val="000000"/>
                <w:kern w:val="0"/>
                <w:sz w:val="18"/>
                <w:szCs w:val="18"/>
                <w:lang w:bidi="ar"/>
              </w:rPr>
              <w:t>445.62</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7EF6">
            <w:pPr>
              <w:widowControl/>
              <w:jc w:val="center"/>
              <w:textAlignment w:val="center"/>
              <w:rPr>
                <w:rFonts w:eastAsia="宋体"/>
                <w:b/>
                <w:bCs/>
                <w:color w:val="000000"/>
                <w:sz w:val="18"/>
                <w:szCs w:val="18"/>
              </w:rPr>
            </w:pPr>
            <w:r>
              <w:rPr>
                <w:rFonts w:eastAsia="宋体"/>
                <w:b/>
                <w:bCs/>
                <w:color w:val="000000"/>
                <w:kern w:val="0"/>
                <w:sz w:val="18"/>
                <w:szCs w:val="18"/>
                <w:lang w:bidi="ar"/>
              </w:rPr>
              <w:t>111.405</w:t>
            </w:r>
          </w:p>
        </w:tc>
        <w:tc>
          <w:tcPr>
            <w:tcW w:w="10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C311">
            <w:pPr>
              <w:widowControl/>
              <w:jc w:val="center"/>
              <w:textAlignment w:val="center"/>
              <w:rPr>
                <w:rFonts w:eastAsia="宋体"/>
                <w:b/>
                <w:bCs/>
                <w:color w:val="000000"/>
                <w:sz w:val="18"/>
                <w:szCs w:val="18"/>
              </w:rPr>
            </w:pPr>
            <w:r>
              <w:rPr>
                <w:rFonts w:eastAsia="宋体"/>
                <w:b/>
                <w:bCs/>
                <w:color w:val="000000"/>
                <w:kern w:val="0"/>
                <w:sz w:val="18"/>
                <w:szCs w:val="18"/>
                <w:lang w:bidi="ar"/>
              </w:rPr>
              <w:t>334.215</w:t>
            </w:r>
          </w:p>
        </w:tc>
      </w:tr>
      <w:tr w14:paraId="635A8A5F">
        <w:tblPrEx>
          <w:tblCellMar>
            <w:top w:w="0" w:type="dxa"/>
            <w:left w:w="108" w:type="dxa"/>
            <w:bottom w:w="0" w:type="dxa"/>
            <w:right w:w="108" w:type="dxa"/>
          </w:tblCellMar>
        </w:tblPrEx>
        <w:trPr>
          <w:trHeight w:val="288"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6612">
            <w:pPr>
              <w:widowControl/>
              <w:jc w:val="center"/>
              <w:textAlignment w:val="center"/>
              <w:rPr>
                <w:rFonts w:hint="default" w:ascii="仿宋_GB2312" w:hAnsi="宋体" w:eastAsia="仿宋_GB2312" w:cs="仿宋_GB2312"/>
                <w:b/>
                <w:bCs/>
                <w:sz w:val="18"/>
                <w:szCs w:val="18"/>
                <w:lang w:val="en-US" w:eastAsia="zh-CN"/>
              </w:rPr>
            </w:pPr>
            <w:r>
              <w:rPr>
                <w:rFonts w:hint="eastAsia" w:ascii="仿宋_GB2312" w:hAnsi="宋体" w:cs="仿宋_GB2312"/>
                <w:b/>
                <w:bCs/>
                <w:kern w:val="0"/>
                <w:sz w:val="18"/>
                <w:szCs w:val="18"/>
                <w:lang w:val="en-US" w:eastAsia="zh-CN" w:bidi="ar"/>
              </w:rPr>
              <w:t>2023年</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F898E">
            <w:pPr>
              <w:widowControl/>
              <w:jc w:val="center"/>
              <w:textAlignment w:val="center"/>
              <w:rPr>
                <w:rFonts w:eastAsia="宋体"/>
                <w:color w:val="000000"/>
                <w:kern w:val="0"/>
                <w:sz w:val="18"/>
                <w:szCs w:val="18"/>
                <w:lang w:bidi="ar"/>
              </w:rPr>
            </w:pPr>
            <w:r>
              <w:rPr>
                <w:rFonts w:hint="eastAsia" w:eastAsia="宋体"/>
                <w:color w:val="000000"/>
                <w:kern w:val="0"/>
                <w:sz w:val="18"/>
                <w:szCs w:val="18"/>
                <w:lang w:bidi="ar"/>
              </w:rPr>
              <w:t>13489</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4F02D">
            <w:pPr>
              <w:widowControl/>
              <w:jc w:val="center"/>
              <w:textAlignment w:val="center"/>
              <w:rPr>
                <w:rFonts w:eastAsia="宋体"/>
                <w:color w:val="000000"/>
                <w:kern w:val="0"/>
                <w:sz w:val="18"/>
                <w:szCs w:val="18"/>
                <w:lang w:bidi="ar"/>
              </w:rPr>
            </w:pPr>
            <w:r>
              <w:rPr>
                <w:rFonts w:hint="eastAsia" w:eastAsia="宋体"/>
                <w:color w:val="000000"/>
                <w:kern w:val="0"/>
                <w:sz w:val="18"/>
                <w:szCs w:val="18"/>
                <w:lang w:bidi="ar"/>
              </w:rPr>
              <w:t>404.67</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9BB9">
            <w:pPr>
              <w:widowControl/>
              <w:jc w:val="center"/>
              <w:textAlignment w:val="center"/>
              <w:rPr>
                <w:rFonts w:eastAsia="宋体"/>
                <w:color w:val="000000"/>
                <w:kern w:val="0"/>
                <w:sz w:val="18"/>
                <w:szCs w:val="18"/>
                <w:lang w:bidi="ar"/>
              </w:rPr>
            </w:pPr>
            <w:r>
              <w:rPr>
                <w:rFonts w:hint="eastAsia" w:eastAsia="宋体"/>
                <w:color w:val="000000"/>
                <w:kern w:val="0"/>
                <w:sz w:val="18"/>
                <w:szCs w:val="18"/>
                <w:lang w:bidi="ar"/>
              </w:rPr>
              <w:t>101.1675</w:t>
            </w:r>
          </w:p>
        </w:tc>
        <w:tc>
          <w:tcPr>
            <w:tcW w:w="10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A9B3">
            <w:pPr>
              <w:widowControl/>
              <w:jc w:val="center"/>
              <w:textAlignment w:val="center"/>
              <w:rPr>
                <w:rFonts w:eastAsia="宋体"/>
                <w:color w:val="000000"/>
                <w:kern w:val="0"/>
                <w:sz w:val="18"/>
                <w:szCs w:val="18"/>
                <w:lang w:bidi="ar"/>
              </w:rPr>
            </w:pPr>
            <w:r>
              <w:rPr>
                <w:rFonts w:hint="eastAsia" w:eastAsia="宋体"/>
                <w:color w:val="000000"/>
                <w:kern w:val="0"/>
                <w:sz w:val="18"/>
                <w:szCs w:val="18"/>
                <w:lang w:bidi="ar"/>
              </w:rPr>
              <w:t>303.5025</w:t>
            </w:r>
          </w:p>
        </w:tc>
      </w:tr>
    </w:tbl>
    <w:p w14:paraId="39637C3C">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（三）项目财务管理情况。</w:t>
      </w:r>
    </w:p>
    <w:p w14:paraId="1FC9755E">
      <w:pPr>
        <w:keepNext w:val="0"/>
        <w:keepLines w:val="0"/>
        <w:pageBreakBefore w:val="0"/>
        <w:widowControl w:val="0"/>
        <w:kinsoku/>
        <w:wordWrap/>
        <w:overflowPunct/>
        <w:topLinePunct w:val="0"/>
        <w:autoSpaceDE/>
        <w:autoSpaceDN/>
        <w:bidi w:val="0"/>
        <w:spacing w:line="580" w:lineRule="exact"/>
        <w:ind w:firstLine="645"/>
        <w:textAlignment w:val="auto"/>
        <w:rPr>
          <w:rFonts w:ascii="仿宋_GB2312" w:hAnsi="宋体"/>
        </w:rPr>
      </w:pPr>
      <w:r>
        <w:rPr>
          <w:rFonts w:hint="eastAsia" w:ascii="仿宋_GB2312"/>
        </w:rPr>
        <w:t>我市各项目实施单位（县、市、区农业农村局）财务管理制度健全，严格执行财务管理制度，账务处理及时，会计核算规范。</w:t>
      </w:r>
    </w:p>
    <w:p w14:paraId="564D520B">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黑体" w:hAnsi="宋体" w:eastAsia="黑体"/>
        </w:rPr>
      </w:pPr>
      <w:r>
        <w:rPr>
          <w:rFonts w:hint="eastAsia" w:ascii="黑体" w:hAnsi="宋体" w:eastAsia="黑体"/>
        </w:rPr>
        <w:t>三、项目实施及管理情况</w:t>
      </w:r>
    </w:p>
    <w:p w14:paraId="58C91602">
      <w:pPr>
        <w:keepNext w:val="0"/>
        <w:keepLines w:val="0"/>
        <w:pageBreakBefore w:val="0"/>
        <w:widowControl w:val="0"/>
        <w:kinsoku/>
        <w:wordWrap/>
        <w:overflowPunct/>
        <w:topLinePunct w:val="0"/>
        <w:autoSpaceDE/>
        <w:autoSpaceDN/>
        <w:bidi w:val="0"/>
        <w:spacing w:line="580" w:lineRule="exact"/>
        <w:ind w:firstLine="645"/>
        <w:textAlignment w:val="auto"/>
        <w:rPr>
          <w:rFonts w:ascii="仿宋_GB2312"/>
        </w:rPr>
      </w:pPr>
      <w:r>
        <w:rPr>
          <w:rFonts w:hint="eastAsia" w:ascii="楷体_GB2312" w:hAnsi="宋体" w:eastAsia="楷体_GB2312"/>
          <w:b/>
          <w:lang w:val="zh-CN"/>
        </w:rPr>
        <w:t>（一）项目组织架构及实施流程。</w:t>
      </w:r>
      <w:r>
        <w:rPr>
          <w:rFonts w:hint="eastAsia" w:ascii="仿宋_GB2312"/>
        </w:rPr>
        <w:t>本项目经充分调研和论证，形成市级实施方案印发各县（市、区）人民政府；各县结合实际，按照市级方案和资金管理办法，由农业农村部门牵头制定详细实施方案并组织实施。符合条件的养殖场（户）引进购买能繁母猪后自愿申报，乡镇审核后经公示，县级农业农村部门复核后，通过“一卡通”或企业对公账户将项目补贴资金拨付给符合条件的生猪养殖场（户）。</w:t>
      </w:r>
    </w:p>
    <w:p w14:paraId="340F5C34">
      <w:pPr>
        <w:keepNext w:val="0"/>
        <w:keepLines w:val="0"/>
        <w:pageBreakBefore w:val="0"/>
        <w:widowControl w:val="0"/>
        <w:kinsoku/>
        <w:wordWrap/>
        <w:overflowPunct/>
        <w:topLinePunct w:val="0"/>
        <w:autoSpaceDE/>
        <w:autoSpaceDN/>
        <w:bidi w:val="0"/>
        <w:spacing w:line="580" w:lineRule="exact"/>
        <w:ind w:firstLine="645"/>
        <w:textAlignment w:val="auto"/>
        <w:rPr>
          <w:rFonts w:ascii="仿宋_GB2312"/>
        </w:rPr>
      </w:pPr>
      <w:r>
        <w:rPr>
          <w:rFonts w:hint="eastAsia" w:ascii="楷体_GB2312" w:hAnsi="宋体" w:eastAsia="楷体_GB2312"/>
          <w:b/>
          <w:lang w:val="zh-CN"/>
        </w:rPr>
        <w:t>（二）项目管理情况。</w:t>
      </w:r>
      <w:r>
        <w:rPr>
          <w:rFonts w:hint="eastAsia" w:ascii="仿宋_GB2312"/>
        </w:rPr>
        <w:t>项目实施单位（县、市、区农业农村局）严格执行相关法律法规及项目管理制度，公开、透明、公正进行。</w:t>
      </w:r>
    </w:p>
    <w:p w14:paraId="572781B5">
      <w:pPr>
        <w:keepNext w:val="0"/>
        <w:keepLines w:val="0"/>
        <w:pageBreakBefore w:val="0"/>
        <w:widowControl w:val="0"/>
        <w:kinsoku/>
        <w:wordWrap/>
        <w:overflowPunct/>
        <w:topLinePunct w:val="0"/>
        <w:autoSpaceDE/>
        <w:autoSpaceDN/>
        <w:bidi w:val="0"/>
        <w:spacing w:line="580" w:lineRule="exact"/>
        <w:ind w:firstLine="645"/>
        <w:textAlignment w:val="auto"/>
        <w:rPr>
          <w:rFonts w:ascii="仿宋_GB2312" w:hAnsi="宋体"/>
          <w:lang w:val="zh-CN"/>
        </w:rPr>
      </w:pPr>
      <w:r>
        <w:rPr>
          <w:rFonts w:hint="eastAsia" w:ascii="楷体_GB2312" w:hAnsi="宋体" w:eastAsia="楷体_GB2312"/>
          <w:b/>
          <w:lang w:val="zh-CN"/>
        </w:rPr>
        <w:t>（三）项目监管情况。</w:t>
      </w:r>
      <w:r>
        <w:rPr>
          <w:rFonts w:hint="eastAsia" w:ascii="仿宋_GB2312"/>
        </w:rPr>
        <w:t>市农业农村局会同市财政局、市审计局等部门强化项目监管，按照实施方案，开展多次督导和检查。</w:t>
      </w:r>
    </w:p>
    <w:p w14:paraId="19C9FB02">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仿宋_GB2312" w:hAnsi="宋体"/>
          <w:lang w:val="zh-CN"/>
        </w:rPr>
      </w:pPr>
      <w:r>
        <w:rPr>
          <w:rFonts w:hint="eastAsia" w:ascii="黑体" w:hAnsi="宋体" w:eastAsia="黑体"/>
        </w:rPr>
        <w:t>四、项目绩效情况</w:t>
      </w:r>
      <w:r>
        <w:rPr>
          <w:rFonts w:hint="eastAsia" w:ascii="仿宋_GB2312" w:hAnsi="宋体"/>
          <w:lang w:val="zh-CN"/>
        </w:rPr>
        <w:tab/>
      </w:r>
    </w:p>
    <w:p w14:paraId="1F4C2749">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（一）项目完成情况。</w:t>
      </w:r>
    </w:p>
    <w:p w14:paraId="38A7E731">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宋体" w:eastAsia="仿宋_GB2312"/>
          <w:lang w:val="en-US" w:eastAsia="zh-CN"/>
        </w:rPr>
      </w:pPr>
      <w:r>
        <w:rPr>
          <w:rFonts w:hint="eastAsia" w:ascii="仿宋_GB2312" w:hAnsi="宋体"/>
        </w:rPr>
        <w:t>1.项目补贴情况，见表</w:t>
      </w:r>
      <w:r>
        <w:rPr>
          <w:rFonts w:hint="eastAsia" w:ascii="仿宋_GB2312" w:hAnsi="宋体"/>
          <w:lang w:val="en-US" w:eastAsia="zh-CN"/>
        </w:rPr>
        <w:t>4</w:t>
      </w:r>
    </w:p>
    <w:p w14:paraId="33CBDD62">
      <w:pPr>
        <w:keepNext w:val="0"/>
        <w:keepLines w:val="0"/>
        <w:pageBreakBefore w:val="0"/>
        <w:widowControl w:val="0"/>
        <w:kinsoku/>
        <w:wordWrap/>
        <w:overflowPunct/>
        <w:topLinePunct w:val="0"/>
        <w:autoSpaceDE/>
        <w:autoSpaceDN/>
        <w:bidi w:val="0"/>
        <w:adjustRightInd w:val="0"/>
        <w:snapToGrid w:val="0"/>
        <w:spacing w:line="580" w:lineRule="exact"/>
        <w:jc w:val="center"/>
        <w:textAlignment w:val="auto"/>
        <w:rPr>
          <w:rFonts w:ascii="仿宋_GB2312" w:hAnsi="宋体"/>
        </w:rPr>
      </w:pPr>
      <w:r>
        <w:rPr>
          <w:rFonts w:hint="eastAsia" w:ascii="仿宋_GB2312" w:hAnsi="宋体"/>
        </w:rPr>
        <w:t>表</w:t>
      </w:r>
      <w:r>
        <w:rPr>
          <w:rFonts w:hint="eastAsia" w:ascii="仿宋_GB2312" w:hAnsi="宋体"/>
          <w:lang w:val="en-US" w:eastAsia="zh-CN"/>
        </w:rPr>
        <w:t>4</w:t>
      </w:r>
      <w:r>
        <w:rPr>
          <w:rFonts w:hint="eastAsia" w:ascii="仿宋_GB2312" w:hAnsi="宋体"/>
        </w:rPr>
        <w:t>：项目补贴数量</w:t>
      </w:r>
    </w:p>
    <w:tbl>
      <w:tblPr>
        <w:tblStyle w:val="6"/>
        <w:tblW w:w="4913" w:type="pct"/>
        <w:tblInd w:w="0" w:type="dxa"/>
        <w:tblLayout w:type="fixed"/>
        <w:tblCellMar>
          <w:top w:w="0" w:type="dxa"/>
          <w:left w:w="108" w:type="dxa"/>
          <w:bottom w:w="0" w:type="dxa"/>
          <w:right w:w="108" w:type="dxa"/>
        </w:tblCellMar>
      </w:tblPr>
      <w:tblGrid>
        <w:gridCol w:w="1249"/>
        <w:gridCol w:w="1107"/>
        <w:gridCol w:w="1516"/>
        <w:gridCol w:w="1326"/>
        <w:gridCol w:w="1335"/>
        <w:gridCol w:w="1841"/>
      </w:tblGrid>
      <w:tr w14:paraId="6B800259">
        <w:tblPrEx>
          <w:tblCellMar>
            <w:top w:w="0" w:type="dxa"/>
            <w:left w:w="108" w:type="dxa"/>
            <w:bottom w:w="0" w:type="dxa"/>
            <w:right w:w="108" w:type="dxa"/>
          </w:tblCellMar>
        </w:tblPrEx>
        <w:trPr>
          <w:trHeight w:val="288" w:hRule="atLeast"/>
        </w:trPr>
        <w:tc>
          <w:tcPr>
            <w:tcW w:w="745" w:type="pct"/>
            <w:vMerge w:val="restart"/>
            <w:tcBorders>
              <w:top w:val="single" w:color="000000" w:sz="4" w:space="0"/>
              <w:left w:val="single" w:color="000000" w:sz="4" w:space="0"/>
              <w:right w:val="single" w:color="000000" w:sz="4" w:space="0"/>
            </w:tcBorders>
            <w:shd w:val="clear" w:color="auto" w:fill="auto"/>
            <w:noWrap/>
            <w:vAlign w:val="center"/>
          </w:tcPr>
          <w:p w14:paraId="18B00833">
            <w:pPr>
              <w:jc w:val="center"/>
              <w:rPr>
                <w:rFonts w:ascii="黑体" w:hAnsi="黑体" w:eastAsia="黑体" w:cs="黑体"/>
                <w:color w:val="000000"/>
                <w:sz w:val="22"/>
                <w:szCs w:val="22"/>
              </w:rPr>
            </w:pPr>
          </w:p>
        </w:tc>
        <w:tc>
          <w:tcPr>
            <w:tcW w:w="6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ED571">
            <w:pPr>
              <w:widowControl/>
              <w:jc w:val="center"/>
              <w:textAlignment w:val="center"/>
              <w:rPr>
                <w:rFonts w:ascii="黑体" w:hAnsi="黑体" w:eastAsia="黑体" w:cs="黑体"/>
                <w:color w:val="000000"/>
                <w:sz w:val="22"/>
                <w:szCs w:val="22"/>
              </w:rPr>
            </w:pPr>
            <w:r>
              <w:rPr>
                <w:rFonts w:hint="eastAsia" w:ascii="黑体" w:hAnsi="黑体" w:eastAsia="黑体" w:cs="黑体"/>
                <w:color w:val="000000"/>
                <w:kern w:val="0"/>
                <w:sz w:val="22"/>
                <w:szCs w:val="22"/>
                <w:lang w:bidi="ar"/>
              </w:rPr>
              <w:t>计划补贴头数</w:t>
            </w:r>
          </w:p>
        </w:tc>
        <w:tc>
          <w:tcPr>
            <w:tcW w:w="249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A945">
            <w:pPr>
              <w:widowControl/>
              <w:jc w:val="center"/>
              <w:textAlignment w:val="center"/>
              <w:rPr>
                <w:rFonts w:ascii="黑体" w:hAnsi="黑体" w:eastAsia="黑体" w:cs="黑体"/>
                <w:color w:val="000000"/>
                <w:sz w:val="22"/>
                <w:szCs w:val="22"/>
              </w:rPr>
            </w:pPr>
            <w:r>
              <w:rPr>
                <w:rFonts w:hint="eastAsia" w:ascii="黑体" w:hAnsi="黑体" w:eastAsia="黑体" w:cs="黑体"/>
                <w:color w:val="000000"/>
                <w:kern w:val="0"/>
                <w:sz w:val="22"/>
                <w:szCs w:val="22"/>
                <w:lang w:bidi="ar"/>
              </w:rPr>
              <w:t>实际补贴头数</w:t>
            </w:r>
          </w:p>
        </w:tc>
        <w:tc>
          <w:tcPr>
            <w:tcW w:w="1099" w:type="pct"/>
            <w:vMerge w:val="restart"/>
            <w:tcBorders>
              <w:top w:val="single" w:color="000000" w:sz="4" w:space="0"/>
              <w:left w:val="single" w:color="000000" w:sz="4" w:space="0"/>
              <w:right w:val="single" w:color="000000" w:sz="4" w:space="0"/>
            </w:tcBorders>
            <w:shd w:val="clear" w:color="auto" w:fill="auto"/>
            <w:noWrap/>
            <w:vAlign w:val="center"/>
          </w:tcPr>
          <w:p w14:paraId="5E6D2163">
            <w:pPr>
              <w:jc w:val="center"/>
              <w:rPr>
                <w:rFonts w:ascii="宋体" w:hAnsi="宋体" w:eastAsia="宋体" w:cs="宋体"/>
                <w:color w:val="000000"/>
                <w:sz w:val="22"/>
                <w:szCs w:val="22"/>
              </w:rPr>
            </w:pPr>
            <w:r>
              <w:rPr>
                <w:rFonts w:hint="eastAsia" w:ascii="黑体" w:hAnsi="黑体" w:eastAsia="黑体" w:cs="黑体"/>
                <w:color w:val="000000"/>
                <w:sz w:val="22"/>
                <w:szCs w:val="22"/>
              </w:rPr>
              <w:t>完成率</w:t>
            </w:r>
          </w:p>
        </w:tc>
      </w:tr>
      <w:tr w14:paraId="0A096A4F">
        <w:tblPrEx>
          <w:tblCellMar>
            <w:top w:w="0" w:type="dxa"/>
            <w:left w:w="108" w:type="dxa"/>
            <w:bottom w:w="0" w:type="dxa"/>
            <w:right w:w="108" w:type="dxa"/>
          </w:tblCellMar>
        </w:tblPrEx>
        <w:trPr>
          <w:trHeight w:val="288" w:hRule="atLeast"/>
        </w:trPr>
        <w:tc>
          <w:tcPr>
            <w:tcW w:w="745" w:type="pct"/>
            <w:vMerge w:val="continue"/>
            <w:tcBorders>
              <w:left w:val="single" w:color="000000" w:sz="4" w:space="0"/>
              <w:bottom w:val="single" w:color="000000" w:sz="4" w:space="0"/>
              <w:right w:val="single" w:color="000000" w:sz="4" w:space="0"/>
            </w:tcBorders>
            <w:shd w:val="clear" w:color="auto" w:fill="auto"/>
            <w:noWrap/>
            <w:vAlign w:val="center"/>
          </w:tcPr>
          <w:p w14:paraId="17DB8A36">
            <w:pPr>
              <w:jc w:val="center"/>
              <w:rPr>
                <w:rFonts w:ascii="黑体" w:hAnsi="黑体" w:eastAsia="黑体" w:cs="黑体"/>
                <w:color w:val="000000"/>
                <w:sz w:val="22"/>
                <w:szCs w:val="22"/>
              </w:rPr>
            </w:pPr>
          </w:p>
        </w:tc>
        <w:tc>
          <w:tcPr>
            <w:tcW w:w="6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2CE0C">
            <w:pPr>
              <w:jc w:val="center"/>
              <w:rPr>
                <w:rFonts w:ascii="黑体" w:hAnsi="黑体" w:eastAsia="黑体" w:cs="黑体"/>
                <w:color w:val="000000"/>
                <w:sz w:val="22"/>
                <w:szCs w:val="22"/>
              </w:rPr>
            </w:pPr>
          </w:p>
        </w:tc>
        <w:tc>
          <w:tcPr>
            <w:tcW w:w="9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9691">
            <w:pPr>
              <w:widowControl/>
              <w:jc w:val="center"/>
              <w:textAlignment w:val="center"/>
              <w:rPr>
                <w:rFonts w:ascii="黑体" w:hAnsi="黑体" w:eastAsia="黑体" w:cs="黑体"/>
                <w:color w:val="000000"/>
                <w:sz w:val="22"/>
                <w:szCs w:val="22"/>
              </w:rPr>
            </w:pPr>
            <w:r>
              <w:rPr>
                <w:rFonts w:hint="eastAsia" w:ascii="黑体" w:hAnsi="黑体" w:eastAsia="黑体" w:cs="黑体"/>
                <w:color w:val="000000"/>
                <w:kern w:val="0"/>
                <w:sz w:val="22"/>
                <w:szCs w:val="22"/>
                <w:lang w:bidi="ar"/>
              </w:rPr>
              <w:t>合计</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8A78">
            <w:pPr>
              <w:widowControl/>
              <w:jc w:val="center"/>
              <w:textAlignment w:val="center"/>
              <w:rPr>
                <w:rFonts w:ascii="黑体" w:hAnsi="黑体" w:eastAsia="黑体" w:cs="黑体"/>
                <w:color w:val="000000"/>
                <w:sz w:val="22"/>
                <w:szCs w:val="22"/>
              </w:rPr>
            </w:pPr>
            <w:r>
              <w:rPr>
                <w:rFonts w:hint="eastAsia" w:ascii="黑体" w:hAnsi="黑体" w:eastAsia="黑体" w:cs="黑体"/>
                <w:color w:val="000000"/>
                <w:kern w:val="0"/>
                <w:sz w:val="22"/>
                <w:szCs w:val="22"/>
                <w:lang w:bidi="ar"/>
              </w:rPr>
              <w:t>2022年</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C41A8">
            <w:pPr>
              <w:widowControl/>
              <w:jc w:val="center"/>
              <w:textAlignment w:val="center"/>
              <w:rPr>
                <w:rFonts w:ascii="黑体" w:hAnsi="黑体" w:eastAsia="黑体" w:cs="黑体"/>
                <w:color w:val="000000"/>
                <w:sz w:val="22"/>
                <w:szCs w:val="22"/>
              </w:rPr>
            </w:pPr>
            <w:r>
              <w:rPr>
                <w:rFonts w:hint="eastAsia" w:ascii="黑体" w:hAnsi="黑体" w:eastAsia="黑体" w:cs="黑体"/>
                <w:color w:val="000000"/>
                <w:kern w:val="0"/>
                <w:sz w:val="22"/>
                <w:szCs w:val="22"/>
                <w:lang w:bidi="ar"/>
              </w:rPr>
              <w:t>2023年</w:t>
            </w:r>
          </w:p>
        </w:tc>
        <w:tc>
          <w:tcPr>
            <w:tcW w:w="1099" w:type="pct"/>
            <w:vMerge w:val="continue"/>
            <w:tcBorders>
              <w:left w:val="single" w:color="000000" w:sz="4" w:space="0"/>
              <w:bottom w:val="single" w:color="000000" w:sz="4" w:space="0"/>
              <w:right w:val="single" w:color="000000" w:sz="4" w:space="0"/>
            </w:tcBorders>
            <w:shd w:val="clear" w:color="auto" w:fill="auto"/>
            <w:noWrap/>
            <w:vAlign w:val="center"/>
          </w:tcPr>
          <w:p w14:paraId="3634DDA8">
            <w:pPr>
              <w:jc w:val="center"/>
              <w:rPr>
                <w:rFonts w:ascii="宋体" w:hAnsi="宋体" w:eastAsia="宋体" w:cs="宋体"/>
                <w:color w:val="000000"/>
                <w:sz w:val="22"/>
                <w:szCs w:val="22"/>
              </w:rPr>
            </w:pPr>
          </w:p>
        </w:tc>
      </w:tr>
      <w:tr w14:paraId="14BAE123">
        <w:tblPrEx>
          <w:tblCellMar>
            <w:top w:w="0" w:type="dxa"/>
            <w:left w:w="108" w:type="dxa"/>
            <w:bottom w:w="0" w:type="dxa"/>
            <w:right w:w="108" w:type="dxa"/>
          </w:tblCellMar>
        </w:tblPrEx>
        <w:trPr>
          <w:trHeight w:val="497" w:hRule="atLeast"/>
        </w:trPr>
        <w:tc>
          <w:tcPr>
            <w:tcW w:w="7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B7F3">
            <w:pPr>
              <w:widowControl/>
              <w:jc w:val="center"/>
              <w:textAlignment w:val="center"/>
              <w:rPr>
                <w:rFonts w:ascii="仿宋_GB2312" w:hAnsi="仿宋_GB2312" w:cs="仿宋_GB2312"/>
                <w:b/>
                <w:bCs/>
                <w:sz w:val="16"/>
                <w:szCs w:val="16"/>
              </w:rPr>
            </w:pPr>
            <w:r>
              <w:rPr>
                <w:rFonts w:hint="eastAsia" w:ascii="仿宋_GB2312" w:hAnsi="仿宋_GB2312" w:cs="仿宋_GB2312"/>
                <w:b/>
                <w:bCs/>
                <w:kern w:val="0"/>
                <w:sz w:val="16"/>
                <w:szCs w:val="16"/>
                <w:lang w:bidi="ar"/>
              </w:rPr>
              <w:t>全市</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BBB38">
            <w:pPr>
              <w:widowControl/>
              <w:jc w:val="center"/>
              <w:textAlignment w:val="center"/>
              <w:rPr>
                <w:rFonts w:eastAsia="宋体"/>
                <w:color w:val="000000"/>
                <w:kern w:val="0"/>
                <w:sz w:val="18"/>
                <w:szCs w:val="18"/>
                <w:lang w:bidi="ar"/>
              </w:rPr>
            </w:pPr>
            <w:r>
              <w:rPr>
                <w:rFonts w:hint="eastAsia" w:eastAsia="宋体"/>
                <w:color w:val="000000"/>
                <w:kern w:val="0"/>
                <w:sz w:val="18"/>
                <w:szCs w:val="18"/>
                <w:lang w:bidi="ar"/>
              </w:rPr>
              <w:t>60000</w:t>
            </w:r>
          </w:p>
        </w:tc>
        <w:tc>
          <w:tcPr>
            <w:tcW w:w="9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06D1C">
            <w:pPr>
              <w:widowControl/>
              <w:jc w:val="center"/>
              <w:textAlignment w:val="center"/>
              <w:rPr>
                <w:rFonts w:hint="eastAsia" w:eastAsia="宋体"/>
                <w:color w:val="000000"/>
                <w:kern w:val="0"/>
                <w:sz w:val="18"/>
                <w:szCs w:val="18"/>
                <w:lang w:bidi="ar"/>
              </w:rPr>
            </w:pPr>
            <w:r>
              <w:rPr>
                <w:rFonts w:hint="eastAsia" w:eastAsia="宋体"/>
                <w:color w:val="000000"/>
                <w:kern w:val="0"/>
                <w:sz w:val="18"/>
                <w:szCs w:val="18"/>
                <w:lang w:val="en-US" w:eastAsia="zh-CN" w:bidi="ar"/>
              </w:rPr>
              <w:t>28343</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FF82">
            <w:pPr>
              <w:widowControl/>
              <w:jc w:val="center"/>
              <w:textAlignment w:val="center"/>
              <w:rPr>
                <w:rFonts w:hint="eastAsia" w:eastAsia="宋体"/>
                <w:color w:val="000000"/>
                <w:kern w:val="0"/>
                <w:sz w:val="18"/>
                <w:szCs w:val="18"/>
                <w:lang w:bidi="ar"/>
              </w:rPr>
            </w:pPr>
            <w:r>
              <w:rPr>
                <w:rFonts w:hint="eastAsia" w:eastAsia="宋体"/>
                <w:color w:val="000000"/>
                <w:kern w:val="0"/>
                <w:sz w:val="18"/>
                <w:szCs w:val="18"/>
                <w:lang w:bidi="ar"/>
              </w:rPr>
              <w:t>14854</w:t>
            </w: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7343C">
            <w:pPr>
              <w:widowControl/>
              <w:jc w:val="center"/>
              <w:textAlignment w:val="center"/>
              <w:rPr>
                <w:rFonts w:hint="eastAsia" w:eastAsia="宋体"/>
                <w:color w:val="000000"/>
                <w:kern w:val="0"/>
                <w:sz w:val="18"/>
                <w:szCs w:val="18"/>
                <w:lang w:bidi="ar"/>
              </w:rPr>
            </w:pPr>
            <w:r>
              <w:rPr>
                <w:rFonts w:hint="eastAsia" w:eastAsia="宋体"/>
                <w:color w:val="000000"/>
                <w:kern w:val="0"/>
                <w:sz w:val="18"/>
                <w:szCs w:val="18"/>
                <w:lang w:bidi="ar"/>
              </w:rPr>
              <w:t>13489</w:t>
            </w:r>
          </w:p>
        </w:tc>
        <w:tc>
          <w:tcPr>
            <w:tcW w:w="10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2F52">
            <w:pPr>
              <w:widowControl/>
              <w:jc w:val="center"/>
              <w:textAlignment w:val="center"/>
              <w:rPr>
                <w:rFonts w:hint="eastAsia" w:eastAsia="宋体"/>
                <w:color w:val="000000"/>
                <w:kern w:val="0"/>
                <w:sz w:val="18"/>
                <w:szCs w:val="18"/>
                <w:lang w:bidi="ar"/>
              </w:rPr>
            </w:pPr>
            <w:r>
              <w:rPr>
                <w:rFonts w:hint="eastAsia" w:eastAsia="宋体"/>
                <w:color w:val="000000"/>
                <w:kern w:val="0"/>
                <w:sz w:val="18"/>
                <w:szCs w:val="18"/>
                <w:lang w:bidi="ar"/>
              </w:rPr>
              <w:t>47%</w:t>
            </w:r>
          </w:p>
        </w:tc>
      </w:tr>
    </w:tbl>
    <w:p w14:paraId="74C63BE1">
      <w:pPr>
        <w:adjustRightInd w:val="0"/>
        <w:snapToGrid w:val="0"/>
        <w:spacing w:line="600" w:lineRule="exact"/>
        <w:ind w:firstLine="720"/>
        <w:rPr>
          <w:rFonts w:ascii="仿宋_GB2312" w:hAnsi="宋体"/>
        </w:rPr>
      </w:pPr>
      <w:r>
        <w:rPr>
          <w:rFonts w:hint="eastAsia" w:ascii="仿宋_GB2312" w:hAnsi="宋体"/>
        </w:rPr>
        <w:t>2.绩效目标完成情况,见表</w:t>
      </w:r>
      <w:r>
        <w:rPr>
          <w:rFonts w:hint="eastAsia" w:ascii="仿宋_GB2312" w:hAnsi="宋体"/>
          <w:lang w:val="en-US" w:eastAsia="zh-CN"/>
        </w:rPr>
        <w:t>5</w:t>
      </w:r>
      <w:r>
        <w:rPr>
          <w:rFonts w:hint="eastAsia" w:ascii="仿宋_GB2312" w:hAnsi="宋体"/>
        </w:rPr>
        <w:t>。</w:t>
      </w:r>
    </w:p>
    <w:p w14:paraId="31B49B7A">
      <w:pPr>
        <w:pStyle w:val="2"/>
        <w:ind w:firstLine="0" w:firstLineChars="0"/>
        <w:jc w:val="center"/>
        <w:rPr>
          <w:rFonts w:ascii="仿宋_GB2312" w:hAnsi="宋体" w:eastAsia="仿宋_GB2312"/>
          <w:szCs w:val="32"/>
        </w:rPr>
      </w:pPr>
      <w:r>
        <w:rPr>
          <w:rFonts w:hint="eastAsia" w:ascii="仿宋_GB2312" w:hAnsi="宋体" w:eastAsia="仿宋_GB2312"/>
          <w:szCs w:val="32"/>
        </w:rPr>
        <w:t>表</w:t>
      </w:r>
      <w:r>
        <w:rPr>
          <w:rFonts w:hint="eastAsia" w:ascii="仿宋_GB2312" w:hAnsi="宋体" w:eastAsia="仿宋_GB2312"/>
          <w:szCs w:val="32"/>
          <w:lang w:val="en-US" w:eastAsia="zh-CN"/>
        </w:rPr>
        <w:t>5</w:t>
      </w:r>
      <w:r>
        <w:rPr>
          <w:rFonts w:hint="eastAsia" w:ascii="仿宋_GB2312" w:hAnsi="宋体" w:eastAsia="仿宋_GB2312"/>
          <w:szCs w:val="32"/>
        </w:rPr>
        <w:t>：绩效目标完成情况</w:t>
      </w:r>
    </w:p>
    <w:tbl>
      <w:tblPr>
        <w:tblStyle w:val="6"/>
        <w:tblW w:w="8283" w:type="dxa"/>
        <w:tblInd w:w="96" w:type="dxa"/>
        <w:tblLayout w:type="autofit"/>
        <w:tblCellMar>
          <w:top w:w="0" w:type="dxa"/>
          <w:left w:w="108" w:type="dxa"/>
          <w:bottom w:w="0" w:type="dxa"/>
          <w:right w:w="108" w:type="dxa"/>
        </w:tblCellMar>
      </w:tblPr>
      <w:tblGrid>
        <w:gridCol w:w="960"/>
        <w:gridCol w:w="960"/>
        <w:gridCol w:w="1367"/>
        <w:gridCol w:w="960"/>
        <w:gridCol w:w="982"/>
        <w:gridCol w:w="676"/>
        <w:gridCol w:w="2378"/>
      </w:tblGrid>
      <w:tr w14:paraId="177E8E7A">
        <w:tblPrEx>
          <w:tblCellMar>
            <w:top w:w="0" w:type="dxa"/>
            <w:left w:w="108" w:type="dxa"/>
            <w:bottom w:w="0" w:type="dxa"/>
            <w:right w:w="108" w:type="dxa"/>
          </w:tblCellMar>
        </w:tblPrEx>
        <w:trPr>
          <w:trHeight w:val="432"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813C2">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一级指标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219211">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二级指标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C0629">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三级指标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20337">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指标值</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30B57">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完成值</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CFBAA4">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度量单位</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0591F3">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备注</w:t>
            </w:r>
          </w:p>
        </w:tc>
      </w:tr>
      <w:tr w14:paraId="11B38CC9">
        <w:tblPrEx>
          <w:tblCellMar>
            <w:top w:w="0" w:type="dxa"/>
            <w:left w:w="108" w:type="dxa"/>
            <w:bottom w:w="0" w:type="dxa"/>
            <w:right w:w="108" w:type="dxa"/>
          </w:tblCellMar>
        </w:tblPrEx>
        <w:trPr>
          <w:trHeight w:val="1080" w:hRule="atLeast"/>
        </w:trPr>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A699E3">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产出指标</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025B0C">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数量指标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E5A84">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常年能繁母猪存栏量</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5A3DDB">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≥15.4</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1FFF7">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≥15.4</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3148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万头</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9E7845">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2022年末存栏16.2万头，2023年末存栏15.2万头，符合国省生猪产能调控政策，且排名全省前列。</w:t>
            </w:r>
          </w:p>
        </w:tc>
      </w:tr>
      <w:tr w14:paraId="4A27E513">
        <w:tblPrEx>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4AE528">
            <w:pPr>
              <w:rPr>
                <w:rFonts w:ascii="仿宋_GB2312" w:hAnsi="仿宋_GB2312" w:cs="仿宋_GB2312"/>
                <w:color w:val="000000"/>
                <w:sz w:val="18"/>
                <w:szCs w:val="18"/>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59982A">
            <w:pPr>
              <w:rPr>
                <w:rFonts w:ascii="仿宋_GB2312" w:hAnsi="仿宋_GB2312" w:cs="仿宋_GB2312"/>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10AC35">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全年生猪出栏量</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31B07">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≥266</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141D31">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≥266</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73AE4">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万头</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1527C">
            <w:pP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2022年出栏275.8万头，2023年出栏281.8万头。</w:t>
            </w:r>
          </w:p>
        </w:tc>
      </w:tr>
      <w:tr w14:paraId="6AC41200">
        <w:tblPrEx>
          <w:tblCellMar>
            <w:top w:w="0" w:type="dxa"/>
            <w:left w:w="108" w:type="dxa"/>
            <w:bottom w:w="0" w:type="dxa"/>
            <w:right w:w="108" w:type="dxa"/>
          </w:tblCellMar>
        </w:tblPrEx>
        <w:trPr>
          <w:trHeight w:val="432" w:hRule="atLeast"/>
        </w:trPr>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63F5BD">
            <w:pPr>
              <w:rPr>
                <w:rFonts w:ascii="仿宋_GB2312" w:hAnsi="仿宋_GB2312" w:cs="仿宋_GB2312"/>
                <w:color w:val="000000"/>
                <w:sz w:val="18"/>
                <w:szCs w:val="18"/>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0B401A">
            <w:pPr>
              <w:rPr>
                <w:rFonts w:ascii="仿宋_GB2312" w:hAnsi="仿宋_GB2312" w:cs="仿宋_GB2312"/>
                <w:color w:val="000000"/>
                <w:sz w:val="18"/>
                <w:szCs w:val="18"/>
              </w:rPr>
            </w:pP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7853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生猪规模养殖场保有量</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59BE3E">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≥775</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61D8C8">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≥775</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D7EE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个</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C1EAE5">
            <w:pPr>
              <w:rPr>
                <w:rFonts w:ascii="仿宋_GB2312" w:hAnsi="仿宋_GB2312" w:cs="仿宋_GB2312"/>
                <w:color w:val="000000"/>
                <w:sz w:val="18"/>
                <w:szCs w:val="18"/>
              </w:rPr>
            </w:pPr>
          </w:p>
        </w:tc>
      </w:tr>
      <w:tr w14:paraId="6BAE7170">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7D32A9">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产出指标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FAE7F">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成本指标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CD613">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市级补助资金</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A9B5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≤225</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71577">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≤225</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77643">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万元</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5E76D9">
            <w:pPr>
              <w:rPr>
                <w:rFonts w:ascii="仿宋_GB2312" w:hAnsi="仿宋_GB2312" w:cs="仿宋_GB2312"/>
                <w:color w:val="000000"/>
                <w:sz w:val="18"/>
                <w:szCs w:val="18"/>
              </w:rPr>
            </w:pPr>
          </w:p>
        </w:tc>
      </w:tr>
      <w:tr w14:paraId="086AF2BA">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F6D8B">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产出指标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B4210">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质量指标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DAFA9B">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畜禽种业水平</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0D39F">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提升</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7BE7B">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提升</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09DEF7">
            <w:pPr>
              <w:rPr>
                <w:rFonts w:ascii="仿宋_GB2312" w:hAnsi="仿宋_GB2312" w:cs="仿宋_GB2312"/>
                <w:color w:val="000000"/>
                <w:sz w:val="18"/>
                <w:szCs w:val="18"/>
              </w:rPr>
            </w:pP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B76FC">
            <w:pPr>
              <w:rPr>
                <w:rFonts w:ascii="仿宋_GB2312" w:hAnsi="仿宋_GB2312" w:cs="仿宋_GB2312"/>
                <w:color w:val="000000"/>
                <w:sz w:val="18"/>
                <w:szCs w:val="18"/>
              </w:rPr>
            </w:pPr>
          </w:p>
        </w:tc>
      </w:tr>
      <w:tr w14:paraId="5E7075E5">
        <w:tblPrEx>
          <w:tblCellMar>
            <w:top w:w="0" w:type="dxa"/>
            <w:left w:w="108" w:type="dxa"/>
            <w:bottom w:w="0" w:type="dxa"/>
            <w:right w:w="108" w:type="dxa"/>
          </w:tblCellMar>
        </w:tblPrEx>
        <w:trPr>
          <w:trHeight w:val="4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A66D9A">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产出指标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0F590">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时效指标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A7CCD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完成时间</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72DA0">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2024年6月</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6B36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2024年6月</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E5CC3A">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年</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7C1B55">
            <w:pPr>
              <w:rPr>
                <w:rFonts w:ascii="仿宋_GB2312" w:hAnsi="仿宋_GB2312" w:cs="仿宋_GB2312"/>
                <w:color w:val="000000"/>
                <w:sz w:val="18"/>
                <w:szCs w:val="18"/>
              </w:rPr>
            </w:pPr>
          </w:p>
        </w:tc>
      </w:tr>
      <w:tr w14:paraId="398976F6">
        <w:tblPrEx>
          <w:tblCellMar>
            <w:top w:w="0" w:type="dxa"/>
            <w:left w:w="108" w:type="dxa"/>
            <w:bottom w:w="0" w:type="dxa"/>
            <w:right w:w="108" w:type="dxa"/>
          </w:tblCellMar>
        </w:tblPrEx>
        <w:trPr>
          <w:trHeight w:val="432"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72BF5">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效益指标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32897">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经济效益指标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03338">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全市生猪产值</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77E5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≥75</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B15DB9">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≥75</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4B849">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亿元</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63215F">
            <w:pP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2022年82.5亿元，2023年75.4亿元</w:t>
            </w:r>
          </w:p>
        </w:tc>
      </w:tr>
      <w:tr w14:paraId="7BB7AD9D">
        <w:tblPrEx>
          <w:tblCellMar>
            <w:top w:w="0" w:type="dxa"/>
            <w:left w:w="108" w:type="dxa"/>
            <w:bottom w:w="0" w:type="dxa"/>
            <w:right w:w="108" w:type="dxa"/>
          </w:tblCellMar>
        </w:tblPrEx>
        <w:trPr>
          <w:trHeight w:val="432" w:hRule="atLeast"/>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F6C2CC">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满意度指标</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6FFDE">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服务对象满意度指标</w:t>
            </w:r>
          </w:p>
        </w:tc>
        <w:tc>
          <w:tcPr>
            <w:tcW w:w="136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21C32">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生猪养殖户满意度</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7F21E">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≥90</w:t>
            </w:r>
          </w:p>
        </w:tc>
        <w:tc>
          <w:tcPr>
            <w:tcW w:w="98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63E161">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≥90</w:t>
            </w:r>
          </w:p>
        </w:tc>
        <w:tc>
          <w:tcPr>
            <w:tcW w:w="6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04C219">
            <w:pPr>
              <w:widowControl/>
              <w:textAlignment w:val="center"/>
              <w:rPr>
                <w:rFonts w:ascii="仿宋_GB2312" w:hAnsi="仿宋_GB2312" w:cs="仿宋_GB2312"/>
                <w:color w:val="000000"/>
                <w:sz w:val="18"/>
                <w:szCs w:val="18"/>
              </w:rPr>
            </w:pPr>
            <w:r>
              <w:rPr>
                <w:rFonts w:hint="eastAsia" w:ascii="仿宋_GB2312" w:hAnsi="仿宋_GB2312" w:cs="仿宋_GB2312"/>
                <w:color w:val="000000"/>
                <w:kern w:val="0"/>
                <w:sz w:val="18"/>
                <w:szCs w:val="18"/>
                <w:lang w:bidi="ar"/>
              </w:rPr>
              <w:t>%</w:t>
            </w:r>
          </w:p>
        </w:tc>
        <w:tc>
          <w:tcPr>
            <w:tcW w:w="23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BB6BFD">
            <w:pPr>
              <w:rPr>
                <w:rFonts w:ascii="仿宋_GB2312" w:hAnsi="仿宋_GB2312" w:cs="仿宋_GB2312"/>
                <w:color w:val="000000"/>
                <w:sz w:val="18"/>
                <w:szCs w:val="18"/>
              </w:rPr>
            </w:pPr>
          </w:p>
        </w:tc>
      </w:tr>
    </w:tbl>
    <w:p w14:paraId="771C5942">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（二）项目效益情况。</w:t>
      </w:r>
    </w:p>
    <w:p w14:paraId="5D2056D8">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仿宋_GB2312" w:hAnsi="仿宋_GB2312" w:cs="仿宋_GB2312"/>
        </w:rPr>
      </w:pPr>
      <w:r>
        <w:rPr>
          <w:rFonts w:hint="eastAsia" w:ascii="仿宋_GB2312" w:hAnsi="仿宋_GB2312" w:cs="仿宋_GB2312"/>
        </w:rPr>
        <w:t>2022年—2023年我市生猪产业在全国全省生猪市场持续低迷、养殖户普遍亏损的大背景下，通过本项目带动，</w:t>
      </w:r>
      <w:r>
        <w:rPr>
          <w:rFonts w:hint="eastAsia" w:ascii="仿宋_GB2312" w:hAnsi="仿宋_GB2312" w:cs="仿宋_GB2312"/>
          <w:kern w:val="0"/>
          <w:shd w:val="clear" w:color="auto" w:fill="FFFFFF"/>
        </w:rPr>
        <w:t>逆境稳产，取得较好</w:t>
      </w:r>
      <w:r>
        <w:rPr>
          <w:rFonts w:hint="eastAsia" w:ascii="仿宋_GB2312" w:hAnsi="仿宋_GB2312" w:cs="仿宋_GB2312"/>
          <w:lang w:val="zh-CN"/>
        </w:rPr>
        <w:t>经济社会和</w:t>
      </w:r>
      <w:r>
        <w:rPr>
          <w:rFonts w:hint="eastAsia" w:ascii="仿宋_GB2312" w:hAnsi="仿宋_GB2312" w:cs="仿宋_GB2312"/>
        </w:rPr>
        <w:t>生态效益。</w:t>
      </w:r>
    </w:p>
    <w:p w14:paraId="4AF7CAA8">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仿宋_GB2312" w:hAnsi="仿宋_GB2312" w:cs="仿宋_GB2312"/>
        </w:rPr>
      </w:pPr>
      <w:r>
        <w:rPr>
          <w:rFonts w:hint="eastAsia" w:ascii="仿宋_GB2312" w:hAnsi="仿宋_GB2312" w:cs="仿宋_GB2312"/>
          <w:b/>
          <w:bCs/>
        </w:rPr>
        <w:t>1.社会效益。</w:t>
      </w:r>
      <w:r>
        <w:rPr>
          <w:rFonts w:hint="eastAsia" w:ascii="仿宋_GB2312" w:hAnsi="仿宋_GB2312" w:cs="仿宋_GB2312"/>
        </w:rPr>
        <w:t>2022年全市生猪出栏275.8万头，同比增长4.7%（增幅全省第三），高于全省1个百分点；完成省下目标107.3%。生猪存栏180.7万头，同比增长3.4%（增幅全省第一），增幅高于全省5.7个百分点，全省唯一增长市。能繁母猪存栏16.2万头，同比下降0.9%，降幅低于全省0.9个百分点。2023年全市生猪出栏281.8万头，同比增长2.2%，增幅排名全省第二；能繁母猪存栏15.15万头，省下存栏保有量任务完成率93.5%，排名全省第二。</w:t>
      </w:r>
    </w:p>
    <w:p w14:paraId="38531BB3">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仿宋_GB2312" w:hAnsi="仿宋_GB2312" w:cs="仿宋_GB2312"/>
        </w:rPr>
      </w:pPr>
      <w:r>
        <w:rPr>
          <w:rFonts w:hint="eastAsia" w:ascii="仿宋_GB2312" w:hAnsi="仿宋_GB2312" w:cs="仿宋_GB2312"/>
          <w:b/>
          <w:bCs/>
        </w:rPr>
        <w:t>2.经济效益。</w:t>
      </w:r>
      <w:r>
        <w:rPr>
          <w:rFonts w:hint="eastAsia" w:ascii="仿宋_GB2312" w:hAnsi="仿宋_GB2312" w:cs="仿宋_GB2312"/>
        </w:rPr>
        <w:t>全市累计补贴能繁母猪</w:t>
      </w:r>
      <w:r>
        <w:rPr>
          <w:rFonts w:hint="eastAsia" w:ascii="仿宋_GB2312" w:hAnsi="仿宋_GB2312" w:cs="仿宋_GB2312"/>
          <w:kern w:val="0"/>
          <w:shd w:val="clear" w:color="auto" w:fill="FFFFFF"/>
        </w:rPr>
        <w:t>31073头，直接拉动养殖场户引种投入4600万元以上（每头能繁母猪价值1500元）。</w:t>
      </w:r>
    </w:p>
    <w:p w14:paraId="2895A291">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Style w:val="10"/>
          <w:rFonts w:ascii="仿宋_GB2312" w:hAnsi="仿宋_GB2312" w:cs="仿宋_GB2312"/>
        </w:rPr>
      </w:pPr>
      <w:r>
        <w:rPr>
          <w:rFonts w:hint="eastAsia" w:ascii="仿宋_GB2312" w:hAnsi="仿宋_GB2312" w:cs="仿宋_GB2312"/>
          <w:b/>
          <w:bCs/>
        </w:rPr>
        <w:t>3.生态效益。</w:t>
      </w:r>
      <w:r>
        <w:rPr>
          <w:rFonts w:hint="eastAsia" w:ascii="仿宋_GB2312" w:hAnsi="仿宋_GB2312" w:cs="仿宋_GB2312"/>
        </w:rPr>
        <w:t>2年来全市创</w:t>
      </w:r>
      <w:r>
        <w:rPr>
          <w:rStyle w:val="10"/>
          <w:rFonts w:hint="eastAsia" w:ascii="仿宋_GB2312" w:hAnsi="仿宋_GB2312" w:cs="仿宋_GB2312"/>
        </w:rPr>
        <w:t>建部级标准化示范场2个，省级标准化示范场20个；创建国家级生猪产能调控基地35个，省级基地</w:t>
      </w:r>
      <w:r>
        <w:rPr>
          <w:rFonts w:hint="eastAsia" w:ascii="仿宋_GB2312" w:hAnsi="仿宋_GB2312" w:cs="仿宋_GB2312"/>
        </w:rPr>
        <w:t>139</w:t>
      </w:r>
      <w:r>
        <w:rPr>
          <w:rStyle w:val="10"/>
          <w:rFonts w:hint="eastAsia" w:ascii="仿宋_GB2312" w:hAnsi="仿宋_GB2312" w:cs="仿宋_GB2312"/>
        </w:rPr>
        <w:t>个，各项创建数量均位居全省前列。在项目带动和示范引领下，封闭养殖、自动饲养、生化除臭等一大批先进生产技术工艺全面推广使用，全市畜禽养殖管理和粪污资源化利用水平大幅提升。</w:t>
      </w:r>
    </w:p>
    <w:p w14:paraId="439E1FE7">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黑体" w:hAnsi="宋体" w:eastAsia="黑体"/>
        </w:rPr>
      </w:pPr>
      <w:r>
        <w:rPr>
          <w:rFonts w:hint="eastAsia" w:ascii="黑体" w:hAnsi="宋体" w:eastAsia="黑体"/>
        </w:rPr>
        <w:t>五、评价结论及建议</w:t>
      </w:r>
    </w:p>
    <w:p w14:paraId="008A9C0B">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（一）评价结论</w:t>
      </w:r>
    </w:p>
    <w:p w14:paraId="14C8F0DB">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ascii="仿宋_GB2312" w:hAnsi="宋体" w:cs="仿宋_GB2312"/>
        </w:rPr>
      </w:pPr>
      <w:r>
        <w:rPr>
          <w:rFonts w:hint="eastAsia" w:ascii="仿宋_GB2312"/>
        </w:rPr>
        <w:t>本项目</w:t>
      </w:r>
      <w:r>
        <w:rPr>
          <w:rFonts w:hint="eastAsia" w:ascii="仿宋_GB2312" w:hAnsi="宋体"/>
        </w:rPr>
        <w:t>符合我市经济社会发展规划，符合中央、省、市生猪稳产保供政策相关要求，</w:t>
      </w:r>
      <w:r>
        <w:rPr>
          <w:rFonts w:hint="eastAsia" w:ascii="仿宋_GB2312" w:hAnsi="宋体" w:cs="仿宋_GB2312"/>
        </w:rPr>
        <w:t>促进了我市生猪生产的稳定发展，</w:t>
      </w:r>
      <w:r>
        <w:rPr>
          <w:rFonts w:hint="eastAsia" w:ascii="仿宋_GB2312" w:hAnsi="宋体"/>
          <w:kern w:val="0"/>
        </w:rPr>
        <w:t>带动养殖户恢复生猪生产。</w:t>
      </w:r>
      <w:r>
        <w:rPr>
          <w:rFonts w:hint="eastAsia" w:ascii="仿宋_GB2312" w:hAnsi="宋体"/>
        </w:rPr>
        <w:t>项目申报符合申报条件，资金分配合规合理，项目资金拨付及时，使用规范。完成项目绩效目标，取得良好社会、经济效益，</w:t>
      </w:r>
      <w:r>
        <w:rPr>
          <w:rFonts w:hint="eastAsia" w:ascii="仿宋_GB2312" w:hAnsi="宋体"/>
          <w:kern w:val="0"/>
        </w:rPr>
        <w:t>发挥了财政补贴资金杠杆作用，市内养殖场户对项目满意度高。</w:t>
      </w:r>
    </w:p>
    <w:p w14:paraId="1E8AC0E2">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（二）存在的问题</w:t>
      </w:r>
    </w:p>
    <w:p w14:paraId="65A7B120">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ascii="仿宋_GB2312" w:hAnsi="宋体"/>
          <w:kern w:val="0"/>
        </w:rPr>
      </w:pPr>
      <w:r>
        <w:rPr>
          <w:rFonts w:hint="eastAsia" w:ascii="仿宋_GB2312" w:hAnsi="宋体"/>
          <w:b/>
          <w:bCs/>
          <w:kern w:val="0"/>
        </w:rPr>
        <w:t>1.引种多但补贴少。</w:t>
      </w:r>
      <w:r>
        <w:rPr>
          <w:rFonts w:hint="eastAsia" w:ascii="仿宋_GB2312" w:hAnsi="宋体"/>
          <w:kern w:val="0"/>
        </w:rPr>
        <w:t>据系统反馈和实地调查2022—2023年全市规模养殖场就购入后备母猪66190头，但享受补贴数仅有28343头。一方面生猪行情持续低迷，中小养殖场引种意愿受到一定影响。另一方面项目补贴设置了部分前置条件，如在有资质的种猪场引种、提供完善的资料、大型场引种补贴数量不超过设计存栏的20%等，造成补贴数量较少。</w:t>
      </w:r>
    </w:p>
    <w:p w14:paraId="0290DD30">
      <w:pPr>
        <w:keepNext w:val="0"/>
        <w:keepLines w:val="0"/>
        <w:pageBreakBefore w:val="0"/>
        <w:widowControl w:val="0"/>
        <w:tabs>
          <w:tab w:val="left" w:pos="1560"/>
        </w:tabs>
        <w:kinsoku/>
        <w:wordWrap/>
        <w:overflowPunct/>
        <w:topLinePunct w:val="0"/>
        <w:autoSpaceDE/>
        <w:autoSpaceDN/>
        <w:bidi w:val="0"/>
        <w:spacing w:line="580" w:lineRule="exact"/>
        <w:ind w:firstLine="643"/>
        <w:textAlignment w:val="auto"/>
      </w:pPr>
      <w:r>
        <w:rPr>
          <w:rFonts w:hAnsi="楷体_GB2312" w:cs="楷体_GB2312"/>
          <w:b/>
          <w:bCs/>
        </w:rPr>
        <w:t>2.</w:t>
      </w:r>
      <w:r>
        <w:rPr>
          <w:rFonts w:hint="eastAsia" w:hAnsi="楷体_GB2312" w:cs="楷体_GB2312"/>
          <w:b/>
          <w:bCs/>
        </w:rPr>
        <w:t>部分县级配套资金不及时</w:t>
      </w:r>
      <w:r>
        <w:rPr>
          <w:rFonts w:hint="eastAsia" w:hAnsi="楷体_GB2312" w:cs="楷体_GB2312"/>
        </w:rPr>
        <w:t>。</w:t>
      </w:r>
      <w:r>
        <w:rPr>
          <w:rFonts w:hint="eastAsia" w:hAnsi="黑体"/>
        </w:rPr>
        <w:t>能繁母猪引种补贴实行市、县分级负担，其中市级财政承担</w:t>
      </w:r>
      <w:r>
        <w:rPr>
          <w:rFonts w:hAnsi="黑体"/>
        </w:rPr>
        <w:t>25%，县级财政承担75%。</w:t>
      </w:r>
      <w:r>
        <w:rPr>
          <w:rFonts w:hint="eastAsia" w:hAnsi="黑体"/>
        </w:rPr>
        <w:t>2024年初项目建设内容结束后，仅有市中区</w:t>
      </w:r>
      <w:r>
        <w:rPr>
          <w:rFonts w:hAnsi="黑体"/>
        </w:rPr>
        <w:t>、</w:t>
      </w:r>
      <w:r>
        <w:rPr>
          <w:rFonts w:hint="eastAsia" w:hAnsi="黑体"/>
        </w:rPr>
        <w:t>金口河区</w:t>
      </w:r>
      <w:r>
        <w:rPr>
          <w:rFonts w:hAnsi="黑体"/>
        </w:rPr>
        <w:t>、</w:t>
      </w:r>
      <w:r>
        <w:rPr>
          <w:rFonts w:hint="eastAsia" w:hAnsi="黑体"/>
        </w:rPr>
        <w:t>峨边县</w:t>
      </w:r>
      <w:r>
        <w:rPr>
          <w:rFonts w:hAnsi="黑体"/>
        </w:rPr>
        <w:t>、马边县</w:t>
      </w:r>
      <w:r>
        <w:rPr>
          <w:rFonts w:hint="eastAsia" w:hAnsi="黑体"/>
        </w:rPr>
        <w:t>4县及时足额落实了县级配套资金。其余区县到2024年底才陆续配套县级资金，沙湾区和犍为县至今尚有部分县级配套资金未到位。</w:t>
      </w:r>
    </w:p>
    <w:p w14:paraId="4F134EF3">
      <w:pPr>
        <w:keepNext w:val="0"/>
        <w:keepLines w:val="0"/>
        <w:pageBreakBefore w:val="0"/>
        <w:widowControl w:val="0"/>
        <w:kinsoku/>
        <w:wordWrap/>
        <w:overflowPunct/>
        <w:topLinePunct w:val="0"/>
        <w:autoSpaceDE/>
        <w:autoSpaceDN/>
        <w:bidi w:val="0"/>
        <w:adjustRightInd w:val="0"/>
        <w:snapToGrid w:val="0"/>
        <w:spacing w:line="580" w:lineRule="exact"/>
        <w:ind w:firstLine="720"/>
        <w:textAlignment w:val="auto"/>
        <w:rPr>
          <w:rFonts w:ascii="楷体_GB2312" w:hAnsi="宋体" w:eastAsia="楷体_GB2312"/>
          <w:b/>
          <w:lang w:val="zh-CN"/>
        </w:rPr>
      </w:pPr>
      <w:r>
        <w:rPr>
          <w:rFonts w:hint="eastAsia" w:ascii="楷体_GB2312" w:hAnsi="宋体" w:eastAsia="楷体_GB2312"/>
          <w:b/>
          <w:lang w:val="zh-CN"/>
        </w:rPr>
        <w:t>（三）相关建议</w:t>
      </w:r>
    </w:p>
    <w:p w14:paraId="17E37C71">
      <w:pPr>
        <w:pStyle w:val="2"/>
        <w:keepNext w:val="0"/>
        <w:keepLines w:val="0"/>
        <w:pageBreakBefore w:val="0"/>
        <w:widowControl w:val="0"/>
        <w:kinsoku/>
        <w:wordWrap/>
        <w:overflowPunct/>
        <w:topLinePunct w:val="0"/>
        <w:autoSpaceDE/>
        <w:autoSpaceDN/>
        <w:bidi w:val="0"/>
        <w:spacing w:line="580" w:lineRule="exact"/>
        <w:ind w:firstLine="643"/>
        <w:textAlignment w:val="auto"/>
      </w:pPr>
      <w:r>
        <w:rPr>
          <w:rFonts w:hint="eastAsia" w:hAnsi="黑体" w:eastAsia="仿宋_GB2312"/>
          <w:b/>
          <w:bCs/>
          <w:szCs w:val="32"/>
        </w:rPr>
        <w:t>一是</w:t>
      </w:r>
      <w:r>
        <w:rPr>
          <w:rFonts w:hint="eastAsia" w:hAnsi="黑体" w:eastAsia="仿宋_GB2312"/>
          <w:szCs w:val="32"/>
        </w:rPr>
        <w:t>继续加大对生猪产业的项目和政策支持，将能繁母猪引种补贴作为中长期政策，同时在牛羊等畜禽方面加大投入，满足“菜篮子”市场多元化供应。</w:t>
      </w:r>
      <w:r>
        <w:rPr>
          <w:rFonts w:hint="eastAsia" w:hAnsi="黑体" w:eastAsia="仿宋_GB2312"/>
          <w:b/>
          <w:bCs/>
          <w:szCs w:val="32"/>
        </w:rPr>
        <w:t>二是</w:t>
      </w:r>
      <w:r>
        <w:rPr>
          <w:rFonts w:hint="eastAsia" w:hAnsi="黑体" w:eastAsia="仿宋_GB2312"/>
          <w:szCs w:val="32"/>
        </w:rPr>
        <w:t>全面加强项目管理，督促相关区县完成县级资金配套和支付。</w:t>
      </w:r>
      <w:bookmarkStart w:id="1" w:name="_GoBack"/>
      <w:bookmarkEnd w:id="1"/>
    </w:p>
    <w:p w14:paraId="567917B6">
      <w:pPr>
        <w:pStyle w:val="2"/>
        <w:keepNext w:val="0"/>
        <w:keepLines w:val="0"/>
        <w:pageBreakBefore w:val="0"/>
        <w:widowControl w:val="0"/>
        <w:kinsoku/>
        <w:wordWrap/>
        <w:overflowPunct/>
        <w:topLinePunct w:val="0"/>
        <w:autoSpaceDE/>
        <w:autoSpaceDN/>
        <w:bidi w:val="0"/>
        <w:spacing w:line="580" w:lineRule="exact"/>
        <w:ind w:firstLine="4160" w:firstLineChars="1300"/>
        <w:textAlignment w:val="auto"/>
        <w:rPr>
          <w:rFonts w:hint="eastAsia" w:hAnsi="黑体" w:eastAsia="仿宋_GB2312"/>
          <w:szCs w:val="32"/>
          <w:lang w:val="en-US" w:eastAsia="zh-CN"/>
        </w:rPr>
      </w:pPr>
      <w:r>
        <w:rPr>
          <w:rFonts w:hint="eastAsia" w:hAnsi="黑体" w:eastAsia="仿宋_GB2312"/>
          <w:szCs w:val="32"/>
          <w:lang w:val="en-US" w:eastAsia="zh-CN"/>
        </w:rPr>
        <w:t>乐山市农业农村局</w:t>
      </w:r>
    </w:p>
    <w:p w14:paraId="38A06687">
      <w:pPr>
        <w:pStyle w:val="2"/>
        <w:keepNext w:val="0"/>
        <w:keepLines w:val="0"/>
        <w:pageBreakBefore w:val="0"/>
        <w:widowControl w:val="0"/>
        <w:kinsoku/>
        <w:wordWrap/>
        <w:overflowPunct/>
        <w:topLinePunct w:val="0"/>
        <w:autoSpaceDE/>
        <w:autoSpaceDN/>
        <w:bidi w:val="0"/>
        <w:spacing w:line="580" w:lineRule="exact"/>
        <w:ind w:firstLine="4160" w:firstLineChars="1300"/>
        <w:textAlignment w:val="auto"/>
        <w:rPr>
          <w:rFonts w:hint="default" w:hAnsi="黑体" w:eastAsia="仿宋_GB2312"/>
          <w:szCs w:val="32"/>
          <w:lang w:val="en-US" w:eastAsia="zh-CN"/>
        </w:rPr>
      </w:pPr>
      <w:r>
        <w:rPr>
          <w:rFonts w:hint="eastAsia" w:hAnsi="黑体" w:eastAsia="仿宋_GB2312"/>
          <w:szCs w:val="32"/>
          <w:lang w:val="en-US" w:eastAsia="zh-CN"/>
        </w:rPr>
        <w:t>2025年6月25日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6B1998-7818-48D1-B69E-79354CD06FC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833A063-9C22-42B5-BC34-71E60F6D4932}"/>
  </w:font>
  <w:font w:name="方正仿宋简体">
    <w:altName w:val="微软雅黑"/>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
    <w:altName w:val="Times New Roman"/>
    <w:panose1 w:val="00000000000000000000"/>
    <w:charset w:val="00"/>
    <w:family w:val="roman"/>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3" w:fontKey="{D20E72FE-4A4F-4CC7-9FEE-9A6FF39D8072}"/>
  </w:font>
  <w:font w:name="楷体_GB2312">
    <w:panose1 w:val="02010609030101010101"/>
    <w:charset w:val="86"/>
    <w:family w:val="modern"/>
    <w:pitch w:val="default"/>
    <w:sig w:usb0="00000001" w:usb1="080E0000" w:usb2="00000000" w:usb3="00000000" w:csb0="00040000" w:csb1="00000000"/>
    <w:embedRegular r:id="rId4" w:fontKey="{5822C227-9323-43DB-A949-8B287FE6AD2C}"/>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Y2Q0NTIxMzkxNDU5MzM2MDRlMDRkNjNlNWZmYmEifQ=="/>
  </w:docVars>
  <w:rsids>
    <w:rsidRoot w:val="771D4D51"/>
    <w:rsid w:val="0030633F"/>
    <w:rsid w:val="00505F37"/>
    <w:rsid w:val="00A1134B"/>
    <w:rsid w:val="00A45397"/>
    <w:rsid w:val="00C00C88"/>
    <w:rsid w:val="00EE42FF"/>
    <w:rsid w:val="0197502B"/>
    <w:rsid w:val="026020F9"/>
    <w:rsid w:val="061340E1"/>
    <w:rsid w:val="093C0C24"/>
    <w:rsid w:val="111C1C1F"/>
    <w:rsid w:val="143F42F3"/>
    <w:rsid w:val="19EE47F1"/>
    <w:rsid w:val="1C25106F"/>
    <w:rsid w:val="22AD555F"/>
    <w:rsid w:val="23CC2948"/>
    <w:rsid w:val="25EF7666"/>
    <w:rsid w:val="2AF86ED7"/>
    <w:rsid w:val="2B385C88"/>
    <w:rsid w:val="2D147184"/>
    <w:rsid w:val="2E7A192C"/>
    <w:rsid w:val="32C610E3"/>
    <w:rsid w:val="35874596"/>
    <w:rsid w:val="39050DB8"/>
    <w:rsid w:val="42A15FF5"/>
    <w:rsid w:val="42AB3218"/>
    <w:rsid w:val="572D6258"/>
    <w:rsid w:val="59E763FE"/>
    <w:rsid w:val="5D7A7EA1"/>
    <w:rsid w:val="64EA121C"/>
    <w:rsid w:val="673244E2"/>
    <w:rsid w:val="6B2C2051"/>
    <w:rsid w:val="6C984C6E"/>
    <w:rsid w:val="74A708C5"/>
    <w:rsid w:val="74B64F1E"/>
    <w:rsid w:val="771D4D51"/>
    <w:rsid w:val="F1F64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3"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常用样式（方正仿宋简）"/>
    <w:basedOn w:val="1"/>
    <w:qFormat/>
    <w:uiPriority w:val="0"/>
    <w:pPr>
      <w:spacing w:line="560" w:lineRule="exact"/>
      <w:ind w:firstLine="640" w:firstLineChars="200"/>
    </w:pPr>
    <w:rPr>
      <w:rFonts w:eastAsia="方正仿宋简体"/>
      <w:szCs w:val="21"/>
    </w:rPr>
  </w:style>
  <w:style w:type="paragraph" w:styleId="3">
    <w:name w:val="footer"/>
    <w:basedOn w:val="1"/>
    <w:unhideWhenUsed/>
    <w:qFormat/>
    <w:uiPriority w:val="99"/>
    <w:pPr>
      <w:tabs>
        <w:tab w:val="center" w:pos="4153"/>
        <w:tab w:val="right" w:pos="8306"/>
      </w:tabs>
      <w:snapToGrid w:val="0"/>
      <w:jc w:val="left"/>
    </w:pPr>
    <w:rPr>
      <w:sz w:val="18"/>
      <w:szCs w:val="18"/>
      <w:lang w:val="zh-CN"/>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lang w:val="zh-CN"/>
    </w:rPr>
  </w:style>
  <w:style w:type="paragraph" w:styleId="5">
    <w:name w:val="Title"/>
    <w:next w:val="1"/>
    <w:qFormat/>
    <w:uiPriority w:val="3"/>
    <w:pPr>
      <w:widowControl w:val="0"/>
      <w:adjustRightInd w:val="0"/>
      <w:snapToGrid w:val="0"/>
      <w:spacing w:line="640" w:lineRule="exact"/>
      <w:jc w:val="center"/>
    </w:pPr>
    <w:rPr>
      <w:rFonts w:ascii="方正小标宋简体" w:hAnsi="Cambria" w:eastAsia="方正小标宋简体" w:cs="Times New Roman"/>
      <w:bCs/>
      <w:w w:val="90"/>
      <w:kern w:val="2"/>
      <w:sz w:val="36"/>
      <w:szCs w:val="44"/>
      <w:lang w:val="en-US" w:eastAsia="zh-CN" w:bidi="ar-SA"/>
    </w:rPr>
  </w:style>
  <w:style w:type="character" w:styleId="8">
    <w:name w:val="Strong"/>
    <w:basedOn w:val="7"/>
    <w:qFormat/>
    <w:uiPriority w:val="0"/>
    <w:rPr>
      <w:b/>
    </w:rPr>
  </w:style>
  <w:style w:type="paragraph" w:customStyle="1" w:styleId="9">
    <w:name w:val="四号正文"/>
    <w:basedOn w:val="1"/>
    <w:qFormat/>
    <w:uiPriority w:val="0"/>
    <w:pPr>
      <w:spacing w:line="360" w:lineRule="auto"/>
    </w:pPr>
    <w:rPr>
      <w:rFonts w:ascii="??" w:hAnsi="??" w:eastAsia="宋体"/>
      <w:color w:val="000000"/>
      <w:kern w:val="0"/>
      <w:sz w:val="28"/>
      <w:szCs w:val="21"/>
      <w:lang w:val="zh-CN"/>
    </w:rPr>
  </w:style>
  <w:style w:type="character" w:customStyle="1" w:styleId="10">
    <w:name w:val="UserStyle_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xb21cn</Company>
  <Pages>9</Pages>
  <Words>1107</Words>
  <Characters>6313</Characters>
  <Lines>52</Lines>
  <Paragraphs>14</Paragraphs>
  <TotalTime>10</TotalTime>
  <ScaleCrop>false</ScaleCrop>
  <LinksUpToDate>false</LinksUpToDate>
  <CharactersWithSpaces>7406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2020-07-01T00:13:00Z</dcterms:created>
  <dc:creator>Administrator</dc:creator>
  <cp:lastModifiedBy>维生素</cp:lastModifiedBy>
  <dcterms:modified xsi:type="dcterms:W3CDTF">2025-06-27T09:24:41Z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4DB7AF5F9F944E10B2E907ACA896954C_13</vt:lpwstr>
  </property>
</Properties>
</file>