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76FA5">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b w:val="0"/>
          <w:i w:val="0"/>
          <w:caps w:val="0"/>
          <w:color w:val="3D3D3D"/>
          <w:spacing w:val="0"/>
          <w:w w:val="100"/>
          <w:sz w:val="32"/>
          <w:szCs w:val="32"/>
          <w:lang w:val="en-US" w:eastAsia="zh-CN"/>
        </w:rPr>
      </w:pPr>
      <w:r>
        <w:rPr>
          <w:rFonts w:hint="eastAsia" w:ascii="黑体" w:hAnsi="黑体" w:eastAsia="黑体" w:cs="黑体"/>
          <w:b w:val="0"/>
          <w:i w:val="0"/>
          <w:caps w:val="0"/>
          <w:color w:val="3D3D3D"/>
          <w:spacing w:val="0"/>
          <w:w w:val="100"/>
          <w:sz w:val="32"/>
          <w:szCs w:val="32"/>
          <w:lang w:eastAsia="zh-CN"/>
        </w:rPr>
        <w:t>附件</w:t>
      </w:r>
      <w:r>
        <w:rPr>
          <w:rFonts w:hint="eastAsia" w:ascii="黑体" w:hAnsi="黑体" w:eastAsia="黑体" w:cs="黑体"/>
          <w:b w:val="0"/>
          <w:i w:val="0"/>
          <w:caps w:val="0"/>
          <w:color w:val="3D3D3D"/>
          <w:spacing w:val="0"/>
          <w:w w:val="100"/>
          <w:sz w:val="32"/>
          <w:szCs w:val="32"/>
          <w:lang w:val="en-US" w:eastAsia="zh-CN"/>
        </w:rPr>
        <w:t>1：</w:t>
      </w:r>
    </w:p>
    <w:p w14:paraId="39067A2D">
      <w:pPr>
        <w:spacing w:line="700" w:lineRule="exact"/>
        <w:jc w:val="center"/>
        <w:rPr>
          <w:rFonts w:hint="eastAsia" w:ascii="方正小标宋简体" w:hAnsi="方正小标宋简体" w:eastAsia="方正小标宋简体" w:cs="方正小标宋简体"/>
          <w:color w:val="000000"/>
          <w:sz w:val="44"/>
          <w:szCs w:val="44"/>
        </w:rPr>
      </w:pPr>
    </w:p>
    <w:p w14:paraId="3B030E8F">
      <w:pPr>
        <w:spacing w:line="700" w:lineRule="exact"/>
        <w:jc w:val="center"/>
        <w:rPr>
          <w:rFonts w:hint="eastAsia" w:ascii="方正小标宋简体" w:hAnsi="方正小标宋简体" w:eastAsia="方正小标宋简体" w:cs="方正小标宋简体"/>
          <w:color w:val="000000"/>
          <w:sz w:val="44"/>
          <w:szCs w:val="44"/>
        </w:rPr>
      </w:pPr>
      <w:bookmarkStart w:id="1" w:name="_GoBack"/>
      <w:r>
        <w:rPr>
          <w:rFonts w:hint="eastAsia" w:ascii="方正小标宋简体" w:hAnsi="方正小标宋简体" w:eastAsia="方正小标宋简体" w:cs="方正小标宋简体"/>
          <w:color w:val="000000"/>
          <w:sz w:val="44"/>
          <w:szCs w:val="44"/>
        </w:rPr>
        <w:t>乐山市“十五五”服务业发展规划比选</w:t>
      </w:r>
    </w:p>
    <w:p w14:paraId="5BD1DBF8">
      <w:pPr>
        <w:spacing w:line="7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工作方案</w:t>
      </w:r>
    </w:p>
    <w:bookmarkEnd w:id="1"/>
    <w:p w14:paraId="49880076">
      <w:pPr>
        <w:tabs>
          <w:tab w:val="left" w:pos="987"/>
        </w:tabs>
        <w:spacing w:line="600" w:lineRule="exact"/>
        <w:ind w:firstLine="640" w:firstLineChars="200"/>
        <w:rPr>
          <w:rFonts w:hint="eastAsia" w:ascii="宋体" w:hAnsi="宋体" w:cs="宋体"/>
          <w:color w:val="000000"/>
          <w:sz w:val="32"/>
          <w:szCs w:val="32"/>
        </w:rPr>
      </w:pPr>
    </w:p>
    <w:p w14:paraId="1065D800">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乐山市人民政府办公室关于做好“十五五”规划编制工作的通知》要求，市商务局负责《乐山市“十五五”服务业发展规划》（以下简称规划）编制工作。为确保编制工作水平，扎实做好规划编制工作，现向社会公开征集、择优确定1家单位作为《乐山市“十五五”服务业发展规划》编制单位。</w:t>
      </w:r>
    </w:p>
    <w:p w14:paraId="352115EB">
      <w:pPr>
        <w:tabs>
          <w:tab w:val="left" w:pos="3747"/>
        </w:tabs>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黑体" w:hAnsi="黑体" w:eastAsia="黑体" w:cs="黑体"/>
          <w:color w:val="000000"/>
          <w:sz w:val="32"/>
          <w:szCs w:val="32"/>
        </w:rPr>
        <w:t>一、项目概况</w:t>
      </w:r>
      <w:r>
        <w:rPr>
          <w:rFonts w:hint="eastAsia" w:ascii="方正黑体简体" w:hAnsi="方正黑体简体" w:eastAsia="方正黑体简体" w:cs="方正黑体简体"/>
          <w:color w:val="000000"/>
          <w:sz w:val="32"/>
          <w:szCs w:val="32"/>
        </w:rPr>
        <w:tab/>
      </w:r>
    </w:p>
    <w:p w14:paraId="3FB7C0A2">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(一)项目名称</w:t>
      </w:r>
    </w:p>
    <w:p w14:paraId="35FA715C">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《乐山市“十五五”服务业发展规划》编制项目</w:t>
      </w:r>
    </w:p>
    <w:p w14:paraId="4058AD41">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（二）采购单位</w:t>
      </w:r>
    </w:p>
    <w:p w14:paraId="1CE7CBEA">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乐山市商务局</w:t>
      </w:r>
    </w:p>
    <w:p w14:paraId="2A5B861A">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（三）成果要求</w:t>
      </w:r>
    </w:p>
    <w:p w14:paraId="77EDDEEF">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编制完成《乐山市“十五五”服务业发展规划》,内容须符合乐山市“十五五”服务业发展规划有关要求,包括但不仅限于以下内容:</w:t>
      </w:r>
    </w:p>
    <w:p w14:paraId="6934DCAC">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1.总结“十四五”期间乐山市服务业发展成效与存在问题，明确“十五五”期间乐山市现代服务业发展的基础与环境；</w:t>
      </w:r>
    </w:p>
    <w:p w14:paraId="2792880B">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2.明确“十五五”期间乐山市服务业发展的总体思路、基本原则、发展目标等；</w:t>
      </w:r>
    </w:p>
    <w:p w14:paraId="6C278D01">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3.提出“十五五”期间乐山市服务业发展的重点产业、重点任务、重大项目等；</w:t>
      </w:r>
    </w:p>
    <w:p w14:paraId="6DB2AB2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4.根据“十五五”期间乐山市服务业的发展方向，提出产业发展的空间布局，梳理出服务业重大项目清单；</w:t>
      </w:r>
    </w:p>
    <w:p w14:paraId="2CA0724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5.明确“十五五”期间乐山市服务业发展的保障措施。</w:t>
      </w:r>
    </w:p>
    <w:p w14:paraId="52182700">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二、报名对象基本要求</w:t>
      </w:r>
    </w:p>
    <w:p w14:paraId="1495691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1.高校(含党校)、社科院和国内外专业研究、咨询机构。本次不接受个人报名。</w:t>
      </w:r>
    </w:p>
    <w:p w14:paraId="0DC0F2A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2.报名单位必须具备独立开展所投编制项目的基本研究条件和能力，具有相关研究经验与研究业绩。</w:t>
      </w:r>
    </w:p>
    <w:p w14:paraId="07000B23">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3.有依法缴纳税收和社会保障资金的良好记录。</w:t>
      </w:r>
    </w:p>
    <w:p w14:paraId="1B2B27FB">
      <w:pPr>
        <w:spacing w:line="560" w:lineRule="exact"/>
        <w:ind w:firstLine="640" w:firstLineChars="200"/>
        <w:rPr>
          <w:rFonts w:hint="eastAsia" w:ascii="仿宋_GB2312" w:hAnsi="仿宋_GB2312" w:eastAsia="仿宋_GB2312" w:cs="仿宋_GB2312"/>
          <w:color w:val="000000"/>
          <w:sz w:val="32"/>
          <w:szCs w:val="32"/>
        </w:rPr>
      </w:pP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.参加比选活动的单位在前三年内,没有违法违纪记录。</w:t>
      </w:r>
    </w:p>
    <w:p w14:paraId="02024B1A">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三、经费额度</w:t>
      </w:r>
    </w:p>
    <w:p w14:paraId="679AD733">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本次编制经费不超过25万元（含税），超过最高限价的报价为无效报价。</w:t>
      </w:r>
    </w:p>
    <w:p w14:paraId="0271ACD1">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四、总体时间进度安排</w:t>
      </w:r>
    </w:p>
    <w:p w14:paraId="6A1384B2">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（一）比选公告发布</w:t>
      </w:r>
    </w:p>
    <w:p w14:paraId="082833D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在乐山市商务局网站（https://lsswj.leshan.gov.cn）发布比选公告及相关信息。</w:t>
      </w:r>
    </w:p>
    <w:p w14:paraId="0F090ADD">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时间：2025年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-12月7日</w:t>
      </w:r>
    </w:p>
    <w:p w14:paraId="54C1C2ED">
      <w:pPr>
        <w:spacing w:line="560" w:lineRule="exact"/>
        <w:ind w:firstLine="643" w:firstLineChars="200"/>
        <w:rPr>
          <w:rFonts w:hint="eastAsia" w:ascii="楷体_GB2312" w:hAnsi="楷体_GB2312" w:eastAsia="楷体_GB2312" w:cs="楷体_GB2312"/>
          <w:b/>
          <w:bCs/>
          <w:color w:val="000000"/>
          <w:sz w:val="32"/>
          <w:szCs w:val="32"/>
        </w:rPr>
      </w:pPr>
    </w:p>
    <w:p w14:paraId="761D4ABF">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（二）报名及所需资料</w:t>
      </w:r>
    </w:p>
    <w:p w14:paraId="28980B07">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方案公告发布7天内，业主单位接受报名。</w:t>
      </w:r>
    </w:p>
    <w:p w14:paraId="6DF7328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报名所需资料：</w:t>
      </w:r>
    </w:p>
    <w:p w14:paraId="72AC787A">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1.企业营业执照或事业单位法人证书复印件(原件备查验);</w:t>
      </w:r>
    </w:p>
    <w:p w14:paraId="772763C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2.公司或单位基本情况简介材料;</w:t>
      </w:r>
    </w:p>
    <w:p w14:paraId="338ABA20">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3.符合《中华人民共和国政府采购法》第二十二条规定的相应证明材料(相关证明可提供承诺函);</w:t>
      </w:r>
    </w:p>
    <w:p w14:paraId="72A8B8DB">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4.业绩证明、人员配备、服务方案等;</w:t>
      </w:r>
    </w:p>
    <w:p w14:paraId="645ED569">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5.比选报名表(见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w:t>
      </w:r>
    </w:p>
    <w:p w14:paraId="4E3D47D5">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6.投标承诺函(见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w:t>
      </w:r>
    </w:p>
    <w:p w14:paraId="3756B9EB">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7.法定代表人授权书(见</w:t>
      </w:r>
      <w:r>
        <w:rPr>
          <w:rFonts w:hint="eastAsia" w:ascii="仿宋_GB2312" w:hAnsi="仿宋_GB2312" w:eastAsia="仿宋_GB2312" w:cs="仿宋_GB2312"/>
          <w:color w:val="000000"/>
          <w:sz w:val="32"/>
          <w:szCs w:val="32"/>
          <w:lang w:eastAsia="zh-CN"/>
        </w:rPr>
        <w:t>公告</w:t>
      </w: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p>
    <w:p w14:paraId="58C307C0">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注:①以上材料装订成册,一式</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份,并加盖鲜章,整体加盖骑缝章;所有投选材料需密封后加盖公章并在封面注明投选法人名称及投选项目名称。②须提供加盖鲜章的资格证明材料复印件,原件备查。报名单位在报名截止时间前将上述所需资料密封递交（寄送）至乐山市商务局服务业科（含电子版文档）。报名截止时间后递交的参选文件将不再受理。</w:t>
      </w:r>
    </w:p>
    <w:p w14:paraId="299F7E20">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报名截止时间：2025年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18：00</w:t>
      </w:r>
      <w:r>
        <w:rPr>
          <w:rFonts w:hint="eastAsia" w:ascii="仿宋_GB2312" w:hAnsi="仿宋_GB2312" w:eastAsia="仿宋_GB2312" w:cs="仿宋_GB2312"/>
          <w:color w:val="000000"/>
          <w:sz w:val="32"/>
          <w:szCs w:val="32"/>
        </w:rPr>
        <w:t>时。</w:t>
      </w:r>
    </w:p>
    <w:p w14:paraId="5058CEA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报名地点：</w:t>
      </w:r>
      <w:r>
        <w:rPr>
          <w:rFonts w:hint="eastAsia" w:ascii="仿宋_GB2312" w:hAnsi="仿宋_GB2312" w:eastAsia="仿宋_GB2312" w:cs="仿宋_GB2312"/>
          <w:w w:val="100"/>
          <w:sz w:val="32"/>
          <w:szCs w:val="32"/>
          <w:lang w:val="en-US" w:eastAsia="zh-CN"/>
        </w:rPr>
        <w:t>乐山市商务局（春华路南段608号）5楼服务业综合科（504室）。</w:t>
      </w:r>
    </w:p>
    <w:p w14:paraId="62C58332">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（三）比选时间</w:t>
      </w:r>
    </w:p>
    <w:p w14:paraId="55925CCD">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业主单位组建比选委员会开展比选工作。于2025年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日举行公开比选，依次听取参选单位对《规划》研究的陈述及审阅其提交的参选材料后根据评分高低确定中选单位，及时公布比选结果。</w:t>
      </w:r>
    </w:p>
    <w:p w14:paraId="563A30F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比选主要因素：《规划》研究方案思路清晰，符合乐山实际，具备较强的操作性；研究方法科学，适合课题要求；参选单位信誉良好，业绩突出，具有一定知名度；参选单位组建专门的团队从事编制工作，具有良好的合作精神，能够提供全程优质服务。</w:t>
      </w:r>
    </w:p>
    <w:p w14:paraId="1058DCEE">
      <w:pPr>
        <w:spacing w:line="560" w:lineRule="exact"/>
        <w:ind w:firstLine="643"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（四）签订合同</w:t>
      </w:r>
    </w:p>
    <w:p w14:paraId="6B9C8CE6">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中选单位与业主单位指定代表签订《乐山市商务局委托规划编制合同书》。</w:t>
      </w:r>
    </w:p>
    <w:p w14:paraId="5068B55F">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五、对中选单位和中选课题的管理</w:t>
      </w:r>
    </w:p>
    <w:p w14:paraId="2163BAF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业主单位指定代表全程监督检查与中选单位签订的《规划编制合同书》的执行情况，并给予如有关部门走访获取资料的协助。</w:t>
      </w:r>
    </w:p>
    <w:p w14:paraId="2DF264DC">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六、时间进度要求</w:t>
      </w:r>
    </w:p>
    <w:p w14:paraId="7045941A">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选单位应于2025年12月30日前完成《规划》研究初稿，提交业主单位。中选单位根据评议审查结果对《规划》进行修改和完善，2026年4月30日前向业主单位提交符合要求的正式《规划》。同时，中选单位在业主单位正式提交市政府常务会审定前，需按程序完成《规划》的社会稳定风险评估、</w:t>
      </w:r>
      <w:bookmarkStart w:id="0" w:name="OLE_LINK1"/>
      <w:r>
        <w:rPr>
          <w:rFonts w:hint="eastAsia" w:ascii="仿宋_GB2312" w:hAnsi="仿宋_GB2312" w:eastAsia="仿宋_GB2312" w:cs="仿宋_GB2312"/>
          <w:color w:val="000000"/>
          <w:sz w:val="32"/>
          <w:szCs w:val="32"/>
        </w:rPr>
        <w:t>公平性</w:t>
      </w:r>
      <w:bookmarkEnd w:id="0"/>
      <w:r>
        <w:rPr>
          <w:rFonts w:hint="eastAsia" w:ascii="仿宋_GB2312" w:hAnsi="仿宋_GB2312" w:eastAsia="仿宋_GB2312" w:cs="仿宋_GB2312"/>
          <w:color w:val="000000"/>
          <w:sz w:val="32"/>
          <w:szCs w:val="32"/>
        </w:rPr>
        <w:t>竞争审查、环境影响评价等环节工作</w:t>
      </w:r>
      <w:r>
        <w:rPr>
          <w:rFonts w:hint="eastAsia" w:ascii="仿宋_GB2312" w:hAnsi="仿宋_GB2312" w:eastAsia="仿宋_GB2312" w:cs="仿宋_GB2312"/>
          <w:color w:val="000000"/>
          <w:sz w:val="32"/>
          <w:szCs w:val="32"/>
          <w:lang w:eastAsia="zh-CN"/>
        </w:rPr>
        <w:t>，做好通过市政府常务会相关服务和资料准备等</w:t>
      </w:r>
      <w:r>
        <w:rPr>
          <w:rFonts w:hint="eastAsia" w:ascii="仿宋_GB2312" w:hAnsi="仿宋_GB2312" w:eastAsia="仿宋_GB2312" w:cs="仿宋_GB2312"/>
          <w:color w:val="000000"/>
          <w:sz w:val="32"/>
          <w:szCs w:val="32"/>
        </w:rPr>
        <w:t>。</w:t>
      </w:r>
    </w:p>
    <w:p w14:paraId="00F53328">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七、纪律要求</w:t>
      </w:r>
    </w:p>
    <w:p w14:paraId="6E6EFB7C">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1.业主单位负责对申报工作的组织和指导，确保公平公正公开比选。</w:t>
      </w:r>
    </w:p>
    <w:p w14:paraId="3A90CC7E">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2.服务建议书及课题必须拥有充分、完全、排他的著作权。内容不能弄虚作假、抄袭剽窃。一经查实，即取消参评资格;如已获中选，一律撤项。</w:t>
      </w:r>
    </w:p>
    <w:p w14:paraId="3CB7A6FB">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八、成果管理</w:t>
      </w:r>
    </w:p>
    <w:p w14:paraId="18D9DE4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规划成果归乐山市商务局所有。中选单位无权自行或授权任何第三方使用。</w:t>
      </w:r>
    </w:p>
    <w:p w14:paraId="6B0BDA1F">
      <w:pPr>
        <w:spacing w:line="560" w:lineRule="exact"/>
        <w:ind w:firstLine="640" w:firstLineChars="200"/>
        <w:rPr>
          <w:rFonts w:hint="eastAsia" w:ascii="方正黑体简体" w:hAnsi="方正黑体简体" w:eastAsia="方正黑体简体" w:cs="方正黑体简体"/>
          <w:color w:val="000000"/>
          <w:sz w:val="32"/>
          <w:szCs w:val="32"/>
        </w:rPr>
      </w:pPr>
      <w:r>
        <w:rPr>
          <w:rFonts w:hint="eastAsia" w:ascii="方正黑体简体" w:hAnsi="方正黑体简体" w:eastAsia="方正黑体简体" w:cs="方正黑体简体"/>
          <w:color w:val="000000"/>
          <w:sz w:val="32"/>
          <w:szCs w:val="32"/>
        </w:rPr>
        <w:t>九、其他事项</w:t>
      </w:r>
    </w:p>
    <w:p w14:paraId="10BB7EE6">
      <w:pPr>
        <w:spacing w:line="56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联系人：</w:t>
      </w:r>
      <w:r>
        <w:rPr>
          <w:rFonts w:hint="eastAsia" w:ascii="仿宋_GB2312" w:hAnsi="仿宋_GB2312" w:eastAsia="仿宋_GB2312" w:cs="仿宋_GB2312"/>
          <w:color w:val="000000"/>
          <w:sz w:val="32"/>
          <w:szCs w:val="32"/>
          <w:lang w:eastAsia="zh-CN"/>
        </w:rPr>
        <w:t>雍老师</w:t>
      </w:r>
    </w:p>
    <w:p w14:paraId="41559BF9">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联系电话：0833-2133156</w:t>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18784565528</w:t>
      </w:r>
    </w:p>
    <w:p w14:paraId="6D573542">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邮箱：</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HYPERLINK "mailto:404419187@qq.com"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lang w:val="en-US" w:eastAsia="zh-CN"/>
        </w:rPr>
        <w:t>806477369</w:t>
      </w:r>
      <w:r>
        <w:rPr>
          <w:rFonts w:hint="eastAsia" w:ascii="仿宋_GB2312" w:hAnsi="仿宋_GB2312" w:eastAsia="仿宋_GB2312" w:cs="仿宋_GB2312"/>
          <w:color w:val="000000"/>
          <w:sz w:val="32"/>
          <w:szCs w:val="32"/>
        </w:rPr>
        <w:t>@qq.com</w:t>
      </w:r>
      <w:r>
        <w:rPr>
          <w:rFonts w:hint="eastAsia" w:ascii="仿宋_GB2312" w:hAnsi="仿宋_GB2312" w:eastAsia="仿宋_GB2312" w:cs="仿宋_GB2312"/>
          <w:color w:val="000000"/>
          <w:sz w:val="32"/>
          <w:szCs w:val="32"/>
        </w:rPr>
        <w:fldChar w:fldCharType="end"/>
      </w:r>
    </w:p>
    <w:p w14:paraId="06C213CA">
      <w:pPr>
        <w:spacing w:line="560" w:lineRule="exact"/>
        <w:rPr>
          <w:rFonts w:hint="eastAsia" w:ascii="仿宋_GB2312" w:hAnsi="仿宋_GB2312" w:eastAsia="仿宋_GB2312" w:cs="仿宋_GB2312"/>
          <w:color w:val="000000"/>
          <w:sz w:val="32"/>
          <w:szCs w:val="32"/>
        </w:rPr>
      </w:pPr>
    </w:p>
    <w:p w14:paraId="6BC22C2D">
      <w:pPr>
        <w:spacing w:line="560" w:lineRule="exact"/>
        <w:ind w:firstLine="640" w:firstLineChars="200"/>
        <w:rPr>
          <w:rFonts w:hint="eastAsia" w:ascii="仿宋_GB2312" w:hAnsi="仿宋_GB2312" w:eastAsia="仿宋_GB2312" w:cs="仿宋_GB2312"/>
          <w:color w:val="000000"/>
          <w:sz w:val="32"/>
          <w:szCs w:val="32"/>
        </w:rPr>
      </w:pPr>
    </w:p>
    <w:p w14:paraId="71B31AA8">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 xml:space="preserve">                          乐山市商务局</w:t>
      </w:r>
    </w:p>
    <w:p w14:paraId="6C31AB5C">
      <w:pPr>
        <w:spacing w:line="560" w:lineRule="exact"/>
        <w:ind w:firstLine="5120" w:firstLineChars="16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2025年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日</w:t>
      </w:r>
    </w:p>
    <w:p w14:paraId="27125442">
      <w:pPr>
        <w:spacing w:line="560" w:lineRule="exact"/>
        <w:jc w:val="center"/>
        <w:outlineLvl w:val="0"/>
        <w:rPr>
          <w:rFonts w:hint="eastAsia" w:ascii="方正小标宋简体" w:hAnsi="方正小标宋简体" w:eastAsia="方正小标宋简体" w:cs="方正小标宋简体"/>
          <w:b/>
          <w:bCs/>
          <w:sz w:val="44"/>
          <w:szCs w:val="44"/>
        </w:rPr>
      </w:pPr>
    </w:p>
    <w:p w14:paraId="3410EC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72864"/>
    <w:rsid w:val="13672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2"/>
    <w:basedOn w:val="3"/>
    <w:next w:val="1"/>
    <w:qFormat/>
    <w:uiPriority w:val="0"/>
  </w:style>
  <w:style w:type="paragraph" w:customStyle="1" w:styleId="3">
    <w:name w:val="正文 New New New New"/>
    <w:next w:val="2"/>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2025-12-02T03:21:00Z</dcterms:created>
  <dc:creator>月牙台</dc:creator>
  <cp:lastModifiedBy>月牙台</cp:lastModifiedBy>
  <dcterms:modified xsi:type="dcterms:W3CDTF">2025-12-02T03:22:11Z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18A5F767CC214F9A9165BDCE0DEA1C73_11</vt:lpwstr>
  </property>
  <property fmtid="{D5CDD505-2E9C-101B-9397-08002B2CF9AE}" pid="4" name="KSOTemplateDocerSaveRecord">
    <vt:lpwstr>eyJoZGlkIjoiNTYxMDBkZjNjMjg0NzhjMGUyN2NmY2Q2MTE5ZTIzNjEiLCJ1c2VySWQiOiI4MDA3NzkifQ==</vt:lpwstr>
  </property>
</Properties>
</file>