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bookmarkStart w:id="0" w:name="_GoBack"/>
      <w:bookmarkEnd w:id="0"/>
    </w:p>
    <w:p>
      <w:pPr>
        <w:pStyle w:val="9"/>
        <w:spacing w:beforeLines="0" w:afterLines="0" w:line="570" w:lineRule="exact"/>
        <w:ind w:left="0" w:leftChars="0" w:firstLine="0" w:firstLineChars="0"/>
        <w:jc w:val="right"/>
        <w:rPr>
          <w:rFonts w:hint="eastAsia"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b w:val="0"/>
          <w:bCs w:val="0"/>
          <w:color w:val="000000" w:themeColor="text1"/>
          <w:kern w:val="2"/>
          <w:sz w:val="28"/>
          <w:szCs w:val="28"/>
          <w:u w:val="none"/>
          <w:lang w:val="en-US" w:eastAsia="zh-CN"/>
          <w14:textFill>
            <w14:solidFill>
              <w14:schemeClr w14:val="tx1"/>
            </w14:solidFill>
          </w14:textFill>
        </w:rPr>
        <w:t>川林资许准（乐）〔2024〕120号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color w:val="auto"/>
          <w:w w:val="100"/>
          <w:sz w:val="44"/>
          <w:szCs w:val="44"/>
          <w:lang w:val="en-US" w:eastAsia="zh-CN"/>
        </w:rPr>
      </w:pPr>
      <w:r>
        <w:rPr>
          <w:rFonts w:hint="eastAsia" w:ascii="方正小标宋简体" w:hAnsi="方正小标宋简体" w:eastAsia="方正小标宋简体" w:cs="方正小标宋简体"/>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color w:val="auto"/>
          <w:w w:val="100"/>
          <w:sz w:val="44"/>
          <w:szCs w:val="44"/>
          <w:u w:val="none"/>
          <w:lang w:val="en-US" w:eastAsia="zh-CN"/>
        </w:rPr>
      </w:pPr>
      <w:r>
        <w:rPr>
          <w:rFonts w:hint="eastAsia" w:ascii="方正小标宋简体" w:hAnsi="方正小标宋简体" w:eastAsia="方正小标宋简体" w:cs="方正小标宋简体"/>
          <w:b w:val="0"/>
          <w:bCs w:val="0"/>
          <w:color w:val="auto"/>
          <w:w w:val="100"/>
          <w:sz w:val="44"/>
          <w:szCs w:val="44"/>
          <w:lang w:eastAsia="zh-CN"/>
        </w:rPr>
        <w:t>关于准予</w:t>
      </w:r>
      <w:r>
        <w:rPr>
          <w:rFonts w:hint="eastAsia" w:ascii="方正小标宋简体" w:hAnsi="方正小标宋简体" w:eastAsia="方正小标宋简体" w:cs="方正小标宋简体"/>
          <w:b w:val="0"/>
          <w:bCs w:val="0"/>
          <w:color w:val="auto"/>
          <w:w w:val="100"/>
          <w:sz w:val="44"/>
          <w:szCs w:val="44"/>
          <w:u w:val="none"/>
          <w:lang w:val="en-US" w:eastAsia="zh-CN"/>
        </w:rPr>
        <w:t>乐山沐川城南110千伏输变电工程</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color w:val="auto"/>
          <w:w w:val="100"/>
          <w:sz w:val="44"/>
          <w:szCs w:val="44"/>
          <w:lang w:val="en-US" w:eastAsia="zh-CN"/>
        </w:rPr>
      </w:pPr>
      <w:r>
        <w:rPr>
          <w:rFonts w:hint="eastAsia" w:ascii="方正小标宋简体" w:hAnsi="方正小标宋简体" w:eastAsia="方正小标宋简体" w:cs="方正小标宋简体"/>
          <w:b w:val="0"/>
          <w:bCs w:val="0"/>
          <w:color w:val="auto"/>
          <w:w w:val="100"/>
          <w:sz w:val="44"/>
          <w:szCs w:val="44"/>
          <w:u w:val="none"/>
          <w:lang w:val="en-US" w:eastAsia="zh-CN"/>
        </w:rPr>
        <w:t>项目</w:t>
      </w:r>
      <w:r>
        <w:rPr>
          <w:rFonts w:hint="eastAsia" w:ascii="方正小标宋简体" w:hAnsi="方正小标宋简体" w:eastAsia="方正小标宋简体" w:cs="方正小标宋简体"/>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国网四川省电力公司乐山供电公司</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公司</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一、</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准予“乐山沐川城南110千伏输变电工程项目”（</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项目代码</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沐行审农林水</w:t>
      </w:r>
      <w:r>
        <w:rPr>
          <w:rFonts w:hint="default" w:ascii="Times New Roman" w:hAnsi="Times New Roman" w:eastAsia="仿宋_GB2312" w:cs="Times New Roman"/>
          <w:b w:val="0"/>
          <w:bCs w:val="0"/>
          <w:color w:val="000000" w:themeColor="text1"/>
          <w:kern w:val="2"/>
          <w:sz w:val="32"/>
          <w:szCs w:val="32"/>
          <w:u w:val="none"/>
          <w:lang w:val="en-US" w:eastAsia="zh-CN"/>
          <w14:textFill>
            <w14:solidFill>
              <w14:schemeClr w14:val="tx1"/>
            </w14:solidFill>
          </w14:textFill>
        </w:rPr>
        <w:t>〔202</w:t>
      </w:r>
      <w:r>
        <w:rPr>
          <w:rFonts w:hint="eastAsia" w:eastAsia="仿宋_GB2312" w:cs="Times New Roman"/>
          <w:b w:val="0"/>
          <w:bCs w:val="0"/>
          <w:color w:val="000000" w:themeColor="text1"/>
          <w:kern w:val="2"/>
          <w:sz w:val="32"/>
          <w:szCs w:val="32"/>
          <w:u w:val="none"/>
          <w:lang w:val="en-US" w:eastAsia="zh-CN"/>
          <w14:textFill>
            <w14:solidFill>
              <w14:schemeClr w14:val="tx1"/>
            </w14:solidFill>
          </w14:textFill>
        </w:rPr>
        <w:t>4</w:t>
      </w:r>
      <w:r>
        <w:rPr>
          <w:rFonts w:hint="default" w:ascii="Times New Roman" w:hAnsi="Times New Roman" w:eastAsia="仿宋_GB2312" w:cs="Times New Roman"/>
          <w:b w:val="0"/>
          <w:bCs w:val="0"/>
          <w:color w:val="000000" w:themeColor="text1"/>
          <w:kern w:val="2"/>
          <w:sz w:val="32"/>
          <w:szCs w:val="32"/>
          <w:u w:val="none"/>
          <w:lang w:val="en-US" w:eastAsia="zh-CN"/>
          <w14:textFill>
            <w14:solidFill>
              <w14:schemeClr w14:val="tx1"/>
            </w14:solidFill>
          </w14:textFill>
        </w:rPr>
        <w:t>〕</w:t>
      </w:r>
      <w:r>
        <w:rPr>
          <w:rFonts w:hint="eastAsia" w:eastAsia="仿宋_GB2312" w:cs="Times New Roman"/>
          <w:b w:val="0"/>
          <w:bCs w:val="0"/>
          <w:color w:val="000000" w:themeColor="text1"/>
          <w:kern w:val="2"/>
          <w:sz w:val="32"/>
          <w:szCs w:val="32"/>
          <w:u w:val="none"/>
          <w:lang w:val="en-US" w:eastAsia="zh-CN"/>
          <w14:textFill>
            <w14:solidFill>
              <w14:schemeClr w14:val="tx1"/>
            </w14:solidFill>
          </w14:textFill>
        </w:rPr>
        <w:t>41</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号</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）占用</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乐山市</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林地</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1.9363</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公顷。按林地权属划分，国有</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0</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公顷、集体</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1.9363</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公顷；按行政区域划分，</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沐川县1.9363</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高笋乡0.0887</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、沐溪镇1.6099公顷、武圣乡0.1421公顷、舟坝镇0.0956公顷</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占用林地的具体位置、面积和用途，须与经审核上报的《乐山沐川城南110千伏输变电工程使用林地</w:t>
      </w:r>
      <w:r>
        <w:rPr>
          <w:rFonts w:hint="eastAsia" w:eastAsia="仿宋_GB2312" w:cs="Times New Roman"/>
          <w:b w:val="0"/>
          <w:bCs w:val="0"/>
          <w:color w:val="000000" w:themeColor="text1"/>
          <w:sz w:val="32"/>
          <w:szCs w:val="32"/>
          <w:u w:val="none"/>
          <w:lang w:val="en-US" w:eastAsia="zh-CN"/>
          <w14:textFill>
            <w14:solidFill>
              <w14:schemeClr w14:val="tx1"/>
            </w14:solidFill>
          </w14:textFill>
        </w:rPr>
        <w:t>可行性报告</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》一致。若准予的面积与全省新一轮林地保护利用规划的法定林地数据不一致，你</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公司</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须及时办理相关变更手续。</w:t>
      </w:r>
    </w:p>
    <w:p>
      <w:pPr>
        <w:spacing w:beforeLines="0" w:afterLines="0" w:line="570" w:lineRule="exact"/>
        <w:ind w:firstLine="640" w:firstLineChars="200"/>
        <w:rPr>
          <w:rFonts w:hint="default" w:ascii="Times New Roman" w:hAnsi="Times New Roman" w:eastAsia="仿宋_GB2312" w:cs="Times New Roman"/>
          <w:color w:val="000000" w:themeColor="text1"/>
          <w:sz w:val="32"/>
          <w:szCs w:val="32"/>
          <w:u w:val="none"/>
          <w14:textFill>
            <w14:solidFill>
              <w14:schemeClr w14:val="tx1"/>
            </w14:solidFill>
          </w14:textFill>
        </w:rPr>
      </w:pPr>
      <w:r>
        <w:rPr>
          <w:rFonts w:hint="eastAsia" w:eastAsia="仿宋_GB2312" w:cs="Times New Roman"/>
          <w:color w:val="000000" w:themeColor="text1"/>
          <w:sz w:val="32"/>
          <w:szCs w:val="32"/>
          <w:u w:val="none"/>
          <w:lang w:val="en-US" w:eastAsia="zh-CN"/>
          <w14:textFill>
            <w14:solidFill>
              <w14:schemeClr w14:val="tx1"/>
            </w14:solidFill>
          </w14:textFill>
        </w:rPr>
        <w:t>二</w:t>
      </w:r>
      <w:r>
        <w:rPr>
          <w:rFonts w:hint="default" w:ascii="Times New Roman" w:hAnsi="Times New Roman" w:eastAsia="仿宋_GB2312" w:cs="Times New Roman"/>
          <w:color w:val="000000" w:themeColor="text1"/>
          <w:sz w:val="32"/>
          <w:szCs w:val="32"/>
          <w:u w:val="none"/>
          <w14:textFill>
            <w14:solidFill>
              <w14:schemeClr w14:val="tx1"/>
            </w14:solidFill>
          </w14:textFill>
        </w:rPr>
        <w:t>、你</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公司</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须</w:t>
      </w:r>
      <w:r>
        <w:rPr>
          <w:rFonts w:hint="default" w:ascii="Times New Roman" w:hAnsi="Times New Roman" w:eastAsia="仿宋_GB2312" w:cs="Times New Roman"/>
          <w:color w:val="000000" w:themeColor="text1"/>
          <w:sz w:val="32"/>
          <w:szCs w:val="32"/>
          <w:u w:val="none"/>
          <w14:textFill>
            <w14:solidFill>
              <w14:schemeClr w14:val="tx1"/>
            </w14:solidFill>
          </w14:textFill>
        </w:rPr>
        <w:t>严格</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按照</w:t>
      </w:r>
      <w:r>
        <w:rPr>
          <w:rFonts w:hint="default" w:ascii="Times New Roman" w:hAnsi="Times New Roman" w:eastAsia="仿宋_GB2312" w:cs="Times New Roman"/>
          <w:color w:val="000000" w:themeColor="text1"/>
          <w:sz w:val="32"/>
          <w:szCs w:val="32"/>
          <w:u w:val="none"/>
          <w14:textFill>
            <w14:solidFill>
              <w14:schemeClr w14:val="tx1"/>
            </w14:solidFill>
          </w14:textFill>
        </w:rPr>
        <w:t>审核同意的用地红线范围</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进行</w:t>
      </w:r>
      <w:r>
        <w:rPr>
          <w:rFonts w:hint="default" w:ascii="Times New Roman" w:hAnsi="Times New Roman" w:eastAsia="仿宋_GB2312" w:cs="Times New Roman"/>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default" w:ascii="Times New Roman" w:hAnsi="Times New Roman" w:eastAsia="仿宋_GB2312" w:cs="Times New Roman"/>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施工必须依法规范管理，</w:t>
      </w:r>
      <w:r>
        <w:rPr>
          <w:rFonts w:hint="default" w:ascii="Times New Roman" w:hAnsi="Times New Roman" w:eastAsia="仿宋_GB2312" w:cs="Times New Roman"/>
          <w:color w:val="000000" w:themeColor="text1"/>
          <w:sz w:val="32"/>
          <w:szCs w:val="32"/>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三</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w:t>
      </w:r>
      <w:r>
        <w:rPr>
          <w:rFonts w:hint="default" w:ascii="Times New Roman" w:hAnsi="Times New Roman" w:eastAsia="仿宋_GB2312" w:cs="Times New Roman"/>
          <w:b w:val="0"/>
          <w:bCs w:val="0"/>
          <w:color w:val="000000" w:themeColor="text1"/>
          <w:kern w:val="2"/>
          <w:sz w:val="32"/>
          <w:szCs w:val="32"/>
          <w:u w:val="none"/>
          <w:lang w:val="en-US" w:eastAsia="zh-CN" w:bidi="ar-SA"/>
          <w14:textFill>
            <w14:solidFill>
              <w14:schemeClr w14:val="tx1"/>
            </w14:solidFill>
          </w14:textFill>
        </w:rPr>
        <w:t>项目若</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涉及林木采伐，你</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公司</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四</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u w:val="none"/>
          <w:lang w:val="en-US" w:eastAsia="zh-CN"/>
          <w14:textFill>
            <w14:solidFill>
              <w14:schemeClr w14:val="tx1"/>
            </w14:solidFill>
          </w14:textFill>
        </w:rPr>
        <w:t>本项目涉及四川沐川国家森林公园、沐川县芹菜坪河洗脚县级饮用水水源地二级保护区、凉山-相岭生物多样性维护-水土保持生态保护红线，你公司应按照承诺尽快办理相关准入手续，在未取得手续前不得进入开工建设，并严格执行森林公园、饮用水水源保护区、生态保护红线管理等相关规定，采取必要措施减轻对森林公园、饮用水水源保护区、生态保护红线生态功能的不利影响。</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五、</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国家林业和草原局成都专员办及四川省林业和草原局等地方各级林草主管部门将依法对</w:t>
      </w:r>
      <w:r>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t>你</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公司</w:t>
      </w:r>
      <w:r>
        <w:rPr>
          <w:rFonts w:hint="default" w:ascii="Times New Roman" w:hAnsi="Times New Roman" w:eastAsia="仿宋_GB2312" w:cs="Times New Roman"/>
          <w:b w:val="0"/>
          <w:bCs w:val="0"/>
          <w:color w:val="000000" w:themeColor="text1"/>
          <w:sz w:val="32"/>
          <w:szCs w:val="32"/>
          <w:highlight w:val="none"/>
          <w:u w:val="none"/>
          <w:lang w:eastAsia="zh-CN"/>
          <w14:textFill>
            <w14:solidFill>
              <w14:schemeClr w14:val="tx1"/>
            </w14:solidFill>
          </w14:textFill>
        </w:rPr>
        <w:t>从事</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color w:val="000000" w:themeColor="text1"/>
          <w:sz w:val="32"/>
          <w:szCs w:val="32"/>
          <w:highlight w:val="none"/>
          <w:u w:val="none"/>
          <w:lang w:val="en-US" w:eastAsia="zh-CN"/>
          <w14:textFill>
            <w14:solidFill>
              <w14:schemeClr w14:val="tx1"/>
            </w14:solidFill>
          </w14:textFill>
        </w:rPr>
        <w:t>六</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本</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决定书</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仅作为</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该</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办理</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建设用地审批手续的依据，不是</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开工建设和各类生态环境敏感区准入的依据。</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因</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设计变更等导致所占用林地的位置、面积</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等发生变更的，</w:t>
      </w:r>
      <w:r>
        <w:rPr>
          <w:rFonts w:hint="default" w:ascii="Times New Roman" w:hAnsi="Times New Roman" w:eastAsia="仿宋_GB2312" w:cs="Times New Roman"/>
          <w:b w:val="0"/>
          <w:bCs w:val="0"/>
          <w:color w:val="000000" w:themeColor="text1"/>
          <w:kern w:val="2"/>
          <w:sz w:val="32"/>
          <w:szCs w:val="32"/>
          <w:u w:val="none"/>
          <w:lang w:val="en-US" w:eastAsia="zh-CN" w:bidi="ar-SA"/>
          <w14:textFill>
            <w14:solidFill>
              <w14:schemeClr w14:val="tx1"/>
            </w14:solidFill>
          </w14:textFill>
        </w:rPr>
        <w:t>你</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公司</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须</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七</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、本决定书有效期为两年。</w:t>
      </w:r>
      <w:r>
        <w:rPr>
          <w:rFonts w:hint="default" w:ascii="Times New Roman" w:hAnsi="Times New Roman" w:eastAsia="仿宋_GB2312" w:cs="Times New Roman"/>
          <w:b w:val="0"/>
          <w:bCs w:val="0"/>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default" w:ascii="Times New Roman" w:hAnsi="Times New Roman" w:eastAsia="仿宋_GB2312" w:cs="Times New Roman"/>
          <w:b w:val="0"/>
          <w:bCs w:val="0"/>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受四川省林业和草原局委托，本行政许可由</w:t>
      </w:r>
      <w:r>
        <w:rPr>
          <w:rFonts w:hint="eastAsia" w:eastAsia="仿宋_GB2312" w:cs="Times New Roman"/>
          <w:color w:val="000000" w:themeColor="text1"/>
          <w:sz w:val="32"/>
          <w:szCs w:val="32"/>
          <w:u w:val="none"/>
          <w:lang w:val="en-US" w:eastAsia="zh-CN" w:bidi="ar-SA"/>
          <w14:textFill>
            <w14:solidFill>
              <w14:schemeClr w14:val="tx1"/>
            </w14:solidFill>
          </w14:textFill>
        </w:rPr>
        <w:t>乐山市林业和园林局</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p>
    <w:p>
      <w:pPr>
        <w:pStyle w:val="6"/>
        <w:spacing w:beforeLines="0" w:afterLines="0" w:line="570" w:lineRule="exact"/>
        <w:rPr>
          <w:rFonts w:hint="default" w:ascii="Times New Roman" w:hAnsi="Times New Roman" w:eastAsia="仿宋_GB2312" w:cs="Times New Roman"/>
          <w:color w:val="000000" w:themeColor="text1"/>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四川省</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20</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2</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4</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年</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 xml:space="preserve"> 11</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月</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28</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日</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00" w:themeColor="text1"/>
          <w:sz w:val="32"/>
          <w:szCs w:val="32"/>
          <w:u w:val="single"/>
          <w:lang w:val="en-US" w:eastAsia="zh-CN"/>
          <w14:textFill>
            <w14:solidFill>
              <w14:schemeClr w14:val="tx1"/>
            </w14:solidFill>
          </w14:textFill>
        </w:rPr>
      </w:pPr>
      <w:r>
        <w:rPr>
          <w:rFonts w:hint="eastAsia" w:eastAsia="仿宋_GB2312" w:cs="Times New Roman"/>
          <w:b w:val="0"/>
          <w:bCs w:val="0"/>
          <w:color w:val="000000" w:themeColor="text1"/>
          <w:sz w:val="32"/>
          <w:szCs w:val="32"/>
          <w:u w:val="single"/>
          <w:lang w:val="en-US" w:eastAsia="zh-CN"/>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自然资源和规划局，沐川县林业局。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B16BB02B-9FFE-4B9C-9C4A-37701A336BD1}"/>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88FEE797-4F5C-46DF-AAF7-BB0F9B08AEAD}"/>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00D1148A-9506-4A0E-9CA2-9294AA1578B8}"/>
  </w:font>
  <w:font w:name="方正小标宋简体">
    <w:panose1 w:val="02010601030101010101"/>
    <w:charset w:val="86"/>
    <w:family w:val="auto"/>
    <w:pitch w:val="default"/>
    <w:sig w:usb0="00000001" w:usb1="080E0000" w:usb2="00000000" w:usb3="00000000" w:csb0="00040000" w:csb1="00000000"/>
    <w:embedRegular r:id="rId4" w:fontKey="{D987DA0C-D68F-4A65-B495-0DB8646AE43C}"/>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580410A"/>
    <w:rsid w:val="079B034B"/>
    <w:rsid w:val="2F80183D"/>
    <w:rsid w:val="363C2D93"/>
    <w:rsid w:val="49357C8E"/>
    <w:rsid w:val="4AE11A3C"/>
    <w:rsid w:val="4CA4668A"/>
    <w:rsid w:val="548F484B"/>
    <w:rsid w:val="5C716401"/>
    <w:rsid w:val="5DFF85BE"/>
    <w:rsid w:val="6C762C4F"/>
    <w:rsid w:val="709113BE"/>
    <w:rsid w:val="70EE509C"/>
    <w:rsid w:val="DFDF6247"/>
    <w:rsid w:val="F8BE8879"/>
    <w:rsid w:val="FD3F4C6D"/>
    <w:rsid w:val="FF77E8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968</Words>
  <Characters>1031</Characters>
  <Lines>0</Lines>
  <Paragraphs>0</Paragraphs>
  <TotalTime>51</TotalTime>
  <ScaleCrop>false</ScaleCrop>
  <LinksUpToDate>false</LinksUpToDate>
  <CharactersWithSpaces>1058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2024-08-30T17:59:00Z</dcterms:created>
  <dc:creator>涵 花 花 </dc:creator>
  <cp:lastModifiedBy>Administrator</cp:lastModifiedBy>
  <cp:lastPrinted>2024-12-04T02:15:08Z</cp:lastPrinted>
  <dcterms:modified xsi:type="dcterms:W3CDTF">2024-12-09T08:35:32Z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