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default" w:hAnsi="Times New Roman" w:eastAsia="仿宋" w:cs="Times New Roman" w:asciiTheme="minorAscii"/>
          <w:color w:val="000000" w:themeColor="text1"/>
          <w:sz w:val="28"/>
          <w:szCs w:val="28"/>
          <w:u w:val="none"/>
          <w:lang w:val="en-US" w:eastAsia="zh-CN"/>
          <w14:textFill>
            <w14:solidFill>
              <w14:schemeClr w14:val="tx1"/>
            </w14:solidFill>
          </w14:textFill>
        </w:rPr>
      </w:pPr>
      <w:r>
        <w:rPr>
          <w:rFonts w:hint="default" w:hAnsi="Times New Roman" w:eastAsia="仿宋_GB2312" w:cs="Times New Roman" w:asciiTheme="minorAscii"/>
          <w:b w:val="0"/>
          <w:bCs w:val="0"/>
          <w:color w:val="000000" w:themeColor="text1"/>
          <w:kern w:val="2"/>
          <w:sz w:val="28"/>
          <w:szCs w:val="28"/>
          <w:u w:val="none"/>
          <w:lang w:val="en-US" w:eastAsia="zh-CN"/>
          <w14:textFill>
            <w14:solidFill>
              <w14:schemeClr w14:val="tx1"/>
            </w14:solidFill>
          </w14:textFill>
        </w:rPr>
        <w:t>川林资许准（</w:t>
      </w:r>
      <w:r>
        <w:rPr>
          <w:rFonts w:hint="eastAsia" w:eastAsia="仿宋_GB2312" w:cs="Times New Roman" w:asciiTheme="minorAscii"/>
          <w:b w:val="0"/>
          <w:bCs w:val="0"/>
          <w:color w:val="000000" w:themeColor="text1"/>
          <w:kern w:val="2"/>
          <w:sz w:val="28"/>
          <w:szCs w:val="28"/>
          <w:u w:val="none"/>
          <w:lang w:val="en-US" w:eastAsia="zh-CN"/>
          <w14:textFill>
            <w14:solidFill>
              <w14:schemeClr w14:val="tx1"/>
            </w14:solidFill>
          </w14:textFill>
        </w:rPr>
        <w:t>乐</w:t>
      </w:r>
      <w:r>
        <w:rPr>
          <w:rFonts w:hint="default" w:hAnsi="Times New Roman" w:eastAsia="仿宋_GB2312" w:cs="Times New Roman" w:asciiTheme="minorAscii"/>
          <w:b w:val="0"/>
          <w:bCs w:val="0"/>
          <w:color w:val="000000" w:themeColor="text1"/>
          <w:kern w:val="2"/>
          <w:sz w:val="28"/>
          <w:szCs w:val="28"/>
          <w:u w:val="none"/>
          <w:lang w:val="en-US" w:eastAsia="zh-CN"/>
          <w14:textFill>
            <w14:solidFill>
              <w14:schemeClr w14:val="tx1"/>
            </w14:solidFill>
          </w14:textFill>
        </w:rPr>
        <w:t>）</w:t>
      </w:r>
      <w:r>
        <w:rPr>
          <w:rFonts w:hint="eastAsia" w:ascii="仿宋" w:hAnsi="仿宋" w:eastAsia="仿宋" w:cs="仿宋"/>
          <w:b w:val="0"/>
          <w:bCs w:val="0"/>
          <w:color w:val="000000" w:themeColor="text1"/>
          <w:kern w:val="2"/>
          <w:sz w:val="28"/>
          <w:szCs w:val="28"/>
          <w:u w:val="none"/>
          <w:lang w:val="en-US" w:eastAsia="zh-CN"/>
          <w14:textFill>
            <w14:solidFill>
              <w14:schemeClr w14:val="tx1"/>
            </w14:solidFill>
          </w14:textFill>
        </w:rPr>
        <w:t>〔</w:t>
      </w:r>
      <w:r>
        <w:rPr>
          <w:rFonts w:hint="default" w:hAnsi="Times New Roman" w:eastAsia="仿宋_GB2312" w:cs="Times New Roman" w:asciiTheme="minorAscii"/>
          <w:b w:val="0"/>
          <w:bCs w:val="0"/>
          <w:color w:val="000000" w:themeColor="text1"/>
          <w:kern w:val="2"/>
          <w:sz w:val="28"/>
          <w:szCs w:val="28"/>
          <w:u w:val="none"/>
          <w:lang w:val="en-US" w:eastAsia="zh-CN"/>
          <w14:textFill>
            <w14:solidFill>
              <w14:schemeClr w14:val="tx1"/>
            </w14:solidFill>
          </w14:textFill>
        </w:rPr>
        <w:t>202</w:t>
      </w:r>
      <w:r>
        <w:rPr>
          <w:rFonts w:hint="eastAsia" w:eastAsia="仿宋_GB2312" w:cs="Times New Roman" w:asciiTheme="minorAscii"/>
          <w:b w:val="0"/>
          <w:bCs w:val="0"/>
          <w:color w:val="000000" w:themeColor="text1"/>
          <w:kern w:val="2"/>
          <w:sz w:val="28"/>
          <w:szCs w:val="28"/>
          <w:u w:val="none"/>
          <w:lang w:val="en-US" w:eastAsia="zh-CN"/>
          <w14:textFill>
            <w14:solidFill>
              <w14:schemeClr w14:val="tx1"/>
            </w14:solidFill>
          </w14:textFill>
        </w:rPr>
        <w:t>4</w:t>
      </w:r>
      <w:r>
        <w:rPr>
          <w:rFonts w:hint="eastAsia" w:ascii="仿宋" w:hAnsi="仿宋" w:eastAsia="仿宋" w:cs="仿宋"/>
          <w:b w:val="0"/>
          <w:bCs w:val="0"/>
          <w:color w:val="000000" w:themeColor="text1"/>
          <w:kern w:val="2"/>
          <w:sz w:val="28"/>
          <w:szCs w:val="28"/>
          <w:u w:val="none"/>
          <w:lang w:val="en-US" w:eastAsia="zh-CN"/>
          <w14:textFill>
            <w14:solidFill>
              <w14:schemeClr w14:val="tx1"/>
            </w14:solidFill>
          </w14:textFill>
        </w:rPr>
        <w:t>〕</w:t>
      </w:r>
      <w:r>
        <w:rPr>
          <w:rFonts w:hint="eastAsia" w:eastAsia="仿宋_GB2312" w:cs="Times New Roman" w:asciiTheme="minorAscii"/>
          <w:b w:val="0"/>
          <w:bCs w:val="0"/>
          <w:color w:val="000000" w:themeColor="text1"/>
          <w:kern w:val="2"/>
          <w:sz w:val="28"/>
          <w:szCs w:val="28"/>
          <w:u w:val="none"/>
          <w:lang w:val="en-US" w:eastAsia="zh-CN"/>
          <w14:textFill>
            <w14:solidFill>
              <w14:schemeClr w14:val="tx1"/>
            </w14:solidFill>
          </w14:textFill>
        </w:rPr>
        <w:t xml:space="preserve">125 </w:t>
      </w:r>
      <w:r>
        <w:rPr>
          <w:rFonts w:hint="default" w:hAnsi="Times New Roman" w:eastAsia="仿宋_GB2312" w:cs="Times New Roman" w:asciiTheme="minorAscii"/>
          <w:b w:val="0"/>
          <w:bCs w:val="0"/>
          <w:color w:val="000000" w:themeColor="text1"/>
          <w:kern w:val="2"/>
          <w:sz w:val="28"/>
          <w:szCs w:val="28"/>
          <w:u w:val="none"/>
          <w:lang w:val="en-US" w:eastAsia="zh-CN"/>
          <w14:textFill>
            <w14:solidFill>
              <w14:schemeClr w14:val="tx1"/>
            </w14:solidFill>
          </w14:textFill>
        </w:rPr>
        <w:t>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000000" w:themeColor="text1"/>
          <w:w w:val="90"/>
          <w:sz w:val="44"/>
          <w:szCs w:val="44"/>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000000" w:themeColor="text1"/>
          <w:w w:val="100"/>
          <w:sz w:val="44"/>
          <w:szCs w:val="44"/>
          <w:u w:val="none"/>
          <w:lang w:val="en-US" w:eastAsia="zh-CN"/>
          <w14:textFill>
            <w14:solidFill>
              <w14:schemeClr w14:val="tx1"/>
            </w14:solidFill>
          </w14:textFill>
        </w:rPr>
      </w:pPr>
      <w:r>
        <w:rPr>
          <w:rFonts w:hint="default" w:ascii="Times New Roman" w:hAnsi="Times New Roman" w:eastAsia="方正小标宋_GBK" w:cs="Times New Roman"/>
          <w:b w:val="0"/>
          <w:bCs w:val="0"/>
          <w:color w:val="000000" w:themeColor="text1"/>
          <w:w w:val="100"/>
          <w:sz w:val="44"/>
          <w:szCs w:val="44"/>
          <w:u w:val="none"/>
          <w:lang w:val="en-US" w:eastAsia="zh-CN"/>
          <w14:textFill>
            <w14:solidFill>
              <w14:schemeClr w14:val="tx1"/>
            </w14:solidFill>
          </w14:textFill>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000000" w:themeColor="text1"/>
          <w:w w:val="100"/>
          <w:sz w:val="44"/>
          <w:szCs w:val="44"/>
          <w:u w:val="none"/>
          <w:lang w:eastAsia="zh-CN"/>
          <w14:textFill>
            <w14:solidFill>
              <w14:schemeClr w14:val="tx1"/>
            </w14:solidFill>
          </w14:textFill>
        </w:rPr>
      </w:pPr>
      <w:r>
        <w:rPr>
          <w:rFonts w:hint="default" w:ascii="Times New Roman" w:hAnsi="Times New Roman" w:eastAsia="方正小标宋_GBK" w:cs="Times New Roman"/>
          <w:b w:val="0"/>
          <w:bCs w:val="0"/>
          <w:color w:val="000000" w:themeColor="text1"/>
          <w:w w:val="100"/>
          <w:sz w:val="44"/>
          <w:szCs w:val="44"/>
          <w:u w:val="none"/>
          <w:lang w:eastAsia="zh-CN"/>
          <w14:textFill>
            <w14:solidFill>
              <w14:schemeClr w14:val="tx1"/>
            </w14:solidFill>
          </w14:textFill>
        </w:rPr>
        <w:t>关于准予峨眉山市2024年第4批次建设</w:t>
      </w:r>
    </w:p>
    <w:p>
      <w:pPr>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0" w:firstLineChars="0"/>
        <w:jc w:val="center"/>
        <w:textAlignment w:val="auto"/>
        <w:rPr>
          <w:rFonts w:hint="default" w:ascii="Times New Roman" w:hAnsi="Times New Roman" w:eastAsia="方正小标宋_GBK" w:cs="Times New Roman"/>
          <w:b w:val="0"/>
          <w:bCs w:val="0"/>
          <w:color w:val="000000" w:themeColor="text1"/>
          <w:w w:val="100"/>
          <w:sz w:val="44"/>
          <w:szCs w:val="44"/>
          <w:u w:val="none"/>
          <w:lang w:val="en-US" w:eastAsia="zh-CN"/>
          <w14:textFill>
            <w14:solidFill>
              <w14:schemeClr w14:val="tx1"/>
            </w14:solidFill>
          </w14:textFill>
        </w:rPr>
      </w:pPr>
      <w:r>
        <w:rPr>
          <w:rFonts w:hint="default" w:ascii="Times New Roman" w:hAnsi="Times New Roman" w:eastAsia="方正小标宋_GBK" w:cs="Times New Roman"/>
          <w:b w:val="0"/>
          <w:bCs w:val="0"/>
          <w:color w:val="000000" w:themeColor="text1"/>
          <w:w w:val="100"/>
          <w:sz w:val="44"/>
          <w:szCs w:val="44"/>
          <w:u w:val="none"/>
          <w:lang w:eastAsia="zh-CN"/>
          <w14:textFill>
            <w14:solidFill>
              <w14:schemeClr w14:val="tx1"/>
            </w14:solidFill>
          </w14:textFill>
        </w:rPr>
        <w:t>用地</w:t>
      </w:r>
      <w:r>
        <w:rPr>
          <w:rFonts w:hint="default" w:ascii="Times New Roman" w:hAnsi="Times New Roman" w:eastAsia="方正小标宋_GBK" w:cs="Times New Roman"/>
          <w:b w:val="0"/>
          <w:bCs w:val="0"/>
          <w:color w:val="000000" w:themeColor="text1"/>
          <w:w w:val="100"/>
          <w:sz w:val="44"/>
          <w:szCs w:val="44"/>
          <w:u w:val="none"/>
          <w:lang w:val="en-US" w:eastAsia="zh-CN"/>
          <w14:textFill>
            <w14:solidFill>
              <w14:schemeClr w14:val="tx1"/>
            </w14:solidFill>
          </w14:textFill>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0" w:firstLineChars="0"/>
        <w:jc w:val="left"/>
        <w:textAlignment w:val="auto"/>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left="0" w:leftChars="0" w:right="0" w:rightChars="0" w:firstLine="0" w:firstLineChars="0"/>
        <w:jc w:val="both"/>
        <w:textAlignment w:val="auto"/>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pPr>
      <w:r>
        <w:rPr>
          <w:rFonts w:hint="eastAsia" w:eastAsia="华文仿宋" w:cs="Times New Roman"/>
          <w:b w:val="0"/>
          <w:bCs w:val="0"/>
          <w:color w:val="000000" w:themeColor="text1"/>
          <w:sz w:val="32"/>
          <w:szCs w:val="32"/>
          <w:u w:val="none"/>
          <w:lang w:val="en-US" w:eastAsia="zh-CN"/>
          <w14:textFill>
            <w14:solidFill>
              <w14:schemeClr w14:val="tx1"/>
            </w14:solidFill>
          </w14:textFill>
        </w:rPr>
        <w:t>峨眉山市自然资源局</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left="0" w:leftChars="0" w:right="0" w:rightChars="0" w:firstLine="640" w:firstLineChars="200"/>
        <w:jc w:val="both"/>
        <w:textAlignment w:val="auto"/>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一、</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准予“峨眉山市2024年第4批次建设用地”（</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批准文号：峨府函〔2024〕26号</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占用</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乐山市</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林地</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6.1542</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公顷。按林地权属划分，国有</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0</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公顷、集体</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6.1542</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公顷；按行政区域划分，</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峨眉山市6.1542</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高桥镇6.1542公顷</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占用林地的具体位置、面积和用途，须与经审核上报的《峨眉山市2024年第4批次建设用地</w:t>
      </w:r>
      <w:r>
        <w:rPr>
          <w:rFonts w:hint="eastAsia" w:eastAsia="仿宋_GB2312" w:cs="Times New Roman"/>
          <w:b w:val="0"/>
          <w:bCs w:val="0"/>
          <w:color w:val="000000" w:themeColor="text1"/>
          <w:sz w:val="32"/>
          <w:szCs w:val="32"/>
          <w:u w:val="none"/>
          <w:lang w:val="en-US" w:eastAsia="zh-CN"/>
          <w14:textFill>
            <w14:solidFill>
              <w14:schemeClr w14:val="tx1"/>
            </w14:solidFill>
          </w14:textFill>
        </w:rPr>
        <w:t>使用林地可行性报告</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》一致。若准予的面积与全省新一轮林地保护利用规划的法定林地数据不一致，你</w:t>
      </w:r>
      <w:r>
        <w:rPr>
          <w:rFonts w:hint="eastAsia" w:eastAsia="仿宋_GB2312" w:cs="Times New Roman"/>
          <w:b w:val="0"/>
          <w:bCs w:val="0"/>
          <w:color w:val="000000" w:themeColor="text1"/>
          <w:sz w:val="32"/>
          <w:szCs w:val="32"/>
          <w:u w:val="none"/>
          <w:lang w:val="en-US" w:eastAsia="zh-CN"/>
          <w14:textFill>
            <w14:solidFill>
              <w14:schemeClr w14:val="tx1"/>
            </w14:solidFill>
          </w14:textFill>
        </w:rPr>
        <w:t>单位</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须及时办理相关变更手续。</w:t>
      </w:r>
    </w:p>
    <w:p>
      <w:pPr>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仿宋_GB2312" w:cs="Times New Roman"/>
          <w:color w:val="000000" w:themeColor="text1"/>
          <w:sz w:val="32"/>
          <w:szCs w:val="32"/>
          <w:u w:val="none"/>
          <w14:textFill>
            <w14:solidFill>
              <w14:schemeClr w14:val="tx1"/>
            </w14:solidFill>
          </w14:textFill>
        </w:rPr>
      </w:pPr>
      <w:r>
        <w:rPr>
          <w:rFonts w:hint="eastAsia" w:eastAsia="仿宋_GB2312" w:cs="Times New Roman"/>
          <w:color w:val="000000" w:themeColor="text1"/>
          <w:sz w:val="32"/>
          <w:szCs w:val="32"/>
          <w:u w:val="none"/>
          <w:lang w:val="en-US" w:eastAsia="zh-CN"/>
          <w14:textFill>
            <w14:solidFill>
              <w14:schemeClr w14:val="tx1"/>
            </w14:solidFill>
          </w14:textFill>
        </w:rPr>
        <w:t>二</w:t>
      </w:r>
      <w:r>
        <w:rPr>
          <w:rFonts w:hint="default" w:ascii="Times New Roman" w:hAnsi="Times New Roman" w:eastAsia="仿宋_GB2312" w:cs="Times New Roman"/>
          <w:color w:val="000000" w:themeColor="text1"/>
          <w:sz w:val="32"/>
          <w:szCs w:val="32"/>
          <w:u w:val="none"/>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须</w:t>
      </w:r>
      <w:r>
        <w:rPr>
          <w:rFonts w:hint="default" w:ascii="Times New Roman" w:hAnsi="Times New Roman" w:eastAsia="仿宋_GB2312" w:cs="Times New Roman"/>
          <w:color w:val="000000" w:themeColor="text1"/>
          <w:sz w:val="32"/>
          <w:szCs w:val="32"/>
          <w:u w:val="none"/>
          <w14:textFill>
            <w14:solidFill>
              <w14:schemeClr w14:val="tx1"/>
            </w14:solidFill>
          </w14:textFill>
        </w:rPr>
        <w:t>严格</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按照</w:t>
      </w:r>
      <w:r>
        <w:rPr>
          <w:rFonts w:hint="default" w:ascii="Times New Roman" w:hAnsi="Times New Roman" w:eastAsia="仿宋_GB2312" w:cs="Times New Roman"/>
          <w:color w:val="000000" w:themeColor="text1"/>
          <w:sz w:val="32"/>
          <w:szCs w:val="32"/>
          <w:u w:val="none"/>
          <w14:textFill>
            <w14:solidFill>
              <w14:schemeClr w14:val="tx1"/>
            </w14:solidFill>
          </w14:textFill>
        </w:rPr>
        <w:t>审核同意的用地红线范围</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进行</w:t>
      </w:r>
      <w:r>
        <w:rPr>
          <w:rFonts w:hint="default" w:ascii="Times New Roman" w:hAnsi="Times New Roman" w:eastAsia="仿宋_GB2312" w:cs="Times New Roman"/>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default" w:ascii="Times New Roman" w:hAnsi="Times New Roman" w:eastAsia="仿宋_GB2312" w:cs="Times New Roman"/>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施工必须依法规范管理，</w:t>
      </w:r>
      <w:r>
        <w:rPr>
          <w:rFonts w:hint="default" w:ascii="Times New Roman" w:hAnsi="Times New Roman" w:eastAsia="仿宋_GB2312" w:cs="Times New Roman"/>
          <w:color w:val="000000" w:themeColor="text1"/>
          <w:sz w:val="32"/>
          <w:szCs w:val="32"/>
          <w:u w:val="none"/>
          <w14:textFill>
            <w14:solidFill>
              <w14:schemeClr w14:val="tx1"/>
            </w14:solidFill>
          </w14:textFill>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三</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w:t>
      </w:r>
      <w:r>
        <w:rPr>
          <w:rFonts w:hint="default" w:ascii="Times New Roman" w:hAnsi="Times New Roman" w:eastAsia="仿宋_GB2312" w:cs="Times New Roman"/>
          <w:b w:val="0"/>
          <w:bCs w:val="0"/>
          <w:color w:val="000000" w:themeColor="text1"/>
          <w:kern w:val="2"/>
          <w:sz w:val="32"/>
          <w:szCs w:val="32"/>
          <w:u w:val="none"/>
          <w:lang w:val="en-US" w:eastAsia="zh-CN" w:bidi="ar-SA"/>
          <w14:textFill>
            <w14:solidFill>
              <w14:schemeClr w14:val="tx1"/>
            </w14:solidFill>
          </w14:textFill>
        </w:rPr>
        <w:t>项目若</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涉及林木采伐，你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60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四</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、国家林业和草原局成都专员办及四川省林业和草原局等地方各级林草主管部门将依法对</w:t>
      </w:r>
      <w:r>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b w:val="0"/>
          <w:bCs w:val="0"/>
          <w:color w:val="000000" w:themeColor="text1"/>
          <w:sz w:val="32"/>
          <w:szCs w:val="32"/>
          <w:highlight w:val="none"/>
          <w:u w:val="none"/>
          <w:lang w:eastAsia="zh-CN"/>
          <w14:textFill>
            <w14:solidFill>
              <w14:schemeClr w14:val="tx1"/>
            </w14:solidFill>
          </w14:textFill>
        </w:rPr>
        <w:t>从事</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color w:val="000000" w:themeColor="text1"/>
          <w:sz w:val="32"/>
          <w:szCs w:val="32"/>
          <w:highlight w:val="none"/>
          <w:u w:val="none"/>
          <w:lang w:val="en-US" w:eastAsia="zh-CN"/>
          <w14:textFill>
            <w14:solidFill>
              <w14:schemeClr w14:val="tx1"/>
            </w14:solidFill>
          </w14:textFill>
        </w:rPr>
        <w:t>五</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本</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决定书</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仅作为</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该</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办理</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建设用地审批手续的依据，不是</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开工建设和各类生态环境敏感区准入的依据。</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因</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设计变更等导致所占用林地的位置、面积</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等发生变更的，</w:t>
      </w:r>
      <w:r>
        <w:rPr>
          <w:rFonts w:hint="default" w:ascii="Times New Roman" w:hAnsi="Times New Roman" w:eastAsia="仿宋_GB2312" w:cs="Times New Roman"/>
          <w:b w:val="0"/>
          <w:bCs w:val="0"/>
          <w:color w:val="000000" w:themeColor="text1"/>
          <w:kern w:val="2"/>
          <w:sz w:val="32"/>
          <w:szCs w:val="32"/>
          <w:u w:val="none"/>
          <w:lang w:val="en-US" w:eastAsia="zh-CN" w:bidi="ar-SA"/>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须</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六</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、本决定书有效期为两年。</w:t>
      </w:r>
      <w:r>
        <w:rPr>
          <w:rFonts w:hint="default" w:ascii="Times New Roman" w:hAnsi="Times New Roman" w:eastAsia="仿宋_GB2312" w:cs="Times New Roman"/>
          <w:b w:val="0"/>
          <w:bCs w:val="0"/>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default" w:ascii="Times New Roman" w:hAnsi="Times New Roman" w:eastAsia="仿宋_GB2312" w:cs="Times New Roman"/>
          <w:b w:val="0"/>
          <w:bCs w:val="0"/>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bookmarkStart w:id="0" w:name="_GoBack"/>
      <w:bookmarkEnd w:id="0"/>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受四川省林业和草原局委托，本行政许可由</w:t>
      </w:r>
      <w:r>
        <w:rPr>
          <w:rFonts w:hint="eastAsia" w:eastAsia="仿宋_GB2312" w:cs="Times New Roman"/>
          <w:color w:val="000000" w:themeColor="text1"/>
          <w:sz w:val="32"/>
          <w:szCs w:val="32"/>
          <w:u w:val="none"/>
          <w:lang w:val="en-US" w:eastAsia="zh-CN" w:bidi="ar-SA"/>
          <w14:textFill>
            <w14:solidFill>
              <w14:schemeClr w14:val="tx1"/>
            </w14:solidFill>
          </w14:textFill>
        </w:rPr>
        <w:t>乐山市林业和园林局</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依法受理、审查和决定。</w:t>
      </w:r>
    </w:p>
    <w:p>
      <w:pPr>
        <w:keepNext w:val="0"/>
        <w:keepLines w:val="0"/>
        <w:pageBreakBefore w:val="0"/>
        <w:kinsoku/>
        <w:wordWrap/>
        <w:overflowPunct/>
        <w:topLinePunct w:val="0"/>
        <w:autoSpaceDE/>
        <w:autoSpaceDN/>
        <w:bidi w:val="0"/>
        <w:adjustRightInd/>
        <w:snapToGrid/>
        <w:spacing w:beforeLines="0" w:afterLines="0" w:line="600" w:lineRule="exact"/>
        <w:textAlignment w:val="auto"/>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p>
    <w:p>
      <w:pPr>
        <w:pStyle w:val="7"/>
        <w:keepNext w:val="0"/>
        <w:keepLines w:val="0"/>
        <w:pageBreakBefore w:val="0"/>
        <w:kinsoku/>
        <w:wordWrap/>
        <w:overflowPunct/>
        <w:topLinePunct w:val="0"/>
        <w:autoSpaceDE/>
        <w:autoSpaceDN/>
        <w:bidi w:val="0"/>
        <w:adjustRightInd/>
        <w:snapToGrid/>
        <w:spacing w:beforeLines="0" w:afterLines="0" w:line="600" w:lineRule="exact"/>
        <w:textAlignment w:val="auto"/>
        <w:rPr>
          <w:rFonts w:hint="default" w:ascii="Times New Roman" w:hAnsi="Times New Roman" w:eastAsia="仿宋_GB2312" w:cs="Times New Roman"/>
          <w:color w:val="000000" w:themeColor="text1"/>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四川省</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20</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2</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4</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年</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12</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月</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16</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日</w:t>
      </w:r>
    </w:p>
    <w:p>
      <w:pPr>
        <w:pStyle w:val="7"/>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0" w:firstLineChars="0"/>
        <w:textAlignment w:val="auto"/>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beforeLines="0" w:afterLines="0" w:line="600" w:lineRule="exact"/>
        <w:ind w:left="840" w:leftChars="0" w:right="0" w:rightChars="0" w:hanging="840" w:hangingChars="300"/>
        <w:textAlignment w:val="auto"/>
        <w:rPr>
          <w:rFonts w:hint="default" w:ascii="Times New Roman" w:hAnsi="Times New Roman" w:eastAsia="华文仿宋" w:cs="Times New Roman"/>
          <w:b w:val="0"/>
          <w:bCs w:val="0"/>
          <w:color w:val="000000" w:themeColor="text1"/>
          <w:spacing w:val="0"/>
          <w:sz w:val="28"/>
          <w:szCs w:val="28"/>
          <w:u w:val="single"/>
          <w:lang w:val="en-US" w:eastAsia="zh-CN"/>
          <w14:textFill>
            <w14:solidFill>
              <w14:schemeClr w14:val="tx1"/>
            </w14:solidFill>
          </w14:textFill>
        </w:rPr>
      </w:pPr>
      <w:r>
        <w:rPr>
          <w:rFonts w:hint="eastAsia" w:eastAsia="华文仿宋" w:cs="Times New Roman"/>
          <w:b w:val="0"/>
          <w:bCs w:val="0"/>
          <w:color w:val="000000" w:themeColor="text1"/>
          <w:spacing w:val="0"/>
          <w:sz w:val="28"/>
          <w:szCs w:val="28"/>
          <w:u w:val="single"/>
          <w:lang w:val="en-US" w:eastAsia="zh-CN"/>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60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pStyle w:val="7"/>
        <w:keepNext w:val="0"/>
        <w:keepLines w:val="0"/>
        <w:pageBreakBefore w:val="0"/>
        <w:widowControl w:val="0"/>
        <w:kinsoku/>
        <w:wordWrap/>
        <w:overflowPunct/>
        <w:topLinePunct w:val="0"/>
        <w:autoSpaceDE/>
        <w:autoSpaceDN/>
        <w:bidi w:val="0"/>
        <w:adjustRightInd/>
        <w:snapToGrid/>
        <w:spacing w:beforeLines="0" w:afterLines="0" w:line="600" w:lineRule="exact"/>
        <w:ind w:left="840" w:leftChars="0" w:right="0" w:rightChars="0" w:hanging="840" w:hangingChars="300"/>
        <w:textAlignment w:val="auto"/>
        <w:rPr>
          <w:color w:val="000000" w:themeColor="text1"/>
          <w:u w:val="none"/>
          <w14:textFill>
            <w14:solidFill>
              <w14:schemeClr w14:val="tx1"/>
            </w14:solidFill>
          </w14:textFill>
        </w:rPr>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然资源和规划局，峨眉山市自然资源局。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A33DA53-5A28-4D48-871D-A3D4B7AEFA7E}"/>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8D33C038-7BDE-441B-B34C-0EB583F2B26B}"/>
  </w:font>
  <w:font w:name="仿宋">
    <w:panose1 w:val="02010609060101010101"/>
    <w:charset w:val="86"/>
    <w:family w:val="auto"/>
    <w:pitch w:val="default"/>
    <w:sig w:usb0="800002BF" w:usb1="38CF7CFA" w:usb2="00000016" w:usb3="00000000" w:csb0="00040001" w:csb1="00000000"/>
    <w:embedRegular r:id="rId3" w:fontKey="{A7BAFD46-AFAA-4882-8C7C-CD2991467840}"/>
  </w:font>
  <w:font w:name="仿宋_GB2312">
    <w:panose1 w:val="02010609030101010101"/>
    <w:charset w:val="86"/>
    <w:family w:val="auto"/>
    <w:pitch w:val="default"/>
    <w:sig w:usb0="00000001" w:usb1="080E0000" w:usb2="00000000" w:usb3="00000000" w:csb0="00040000" w:csb1="00000000"/>
    <w:embedRegular r:id="rId4" w:fontKey="{22DF2070-1B2B-4BAF-951E-331AADA06192}"/>
  </w:font>
  <w:font w:name="方正小标宋简体">
    <w:panose1 w:val="02010601030101010101"/>
    <w:charset w:val="86"/>
    <w:family w:val="auto"/>
    <w:pitch w:val="default"/>
    <w:sig w:usb0="00000001" w:usb1="080E0000" w:usb2="00000000" w:usb3="00000000" w:csb0="00040000" w:csb1="00000000"/>
    <w:embedRegular r:id="rId5" w:fontKey="{6C8C7407-53B5-41AA-93E6-B6D5E92E39E4}"/>
  </w:font>
  <w:font w:name="华文仿宋">
    <w:panose1 w:val="02010600040101010101"/>
    <w:charset w:val="86"/>
    <w:family w:val="auto"/>
    <w:pitch w:val="default"/>
    <w:sig w:usb0="00000000" w:usb1="00000000" w:usb2="00000000" w:usb3="00000000" w:csb0="00000000" w:csb1="00000000"/>
    <w:embedRegular r:id="rId6" w:fontKey="{377F7A15-FA05-4FBF-8541-888EF629364E}"/>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BD03519"/>
    <w:rsid w:val="14676633"/>
    <w:rsid w:val="18B42CF3"/>
    <w:rsid w:val="1A9F423A"/>
    <w:rsid w:val="208C39AB"/>
    <w:rsid w:val="23C62375"/>
    <w:rsid w:val="307D29C3"/>
    <w:rsid w:val="3B3C10D6"/>
    <w:rsid w:val="3BFBB748"/>
    <w:rsid w:val="3DAA3A4B"/>
    <w:rsid w:val="3DFFFE57"/>
    <w:rsid w:val="43307086"/>
    <w:rsid w:val="518E4531"/>
    <w:rsid w:val="5974040B"/>
    <w:rsid w:val="5C5D420F"/>
    <w:rsid w:val="5F6F872E"/>
    <w:rsid w:val="6C762C4F"/>
    <w:rsid w:val="6FAE6989"/>
    <w:rsid w:val="6FB7617E"/>
    <w:rsid w:val="76655F35"/>
    <w:rsid w:val="77D64CE8"/>
    <w:rsid w:val="7A5EF601"/>
    <w:rsid w:val="7C627CE0"/>
    <w:rsid w:val="7DF7789C"/>
    <w:rsid w:val="7DFE3DB7"/>
    <w:rsid w:val="7FDEFB3C"/>
    <w:rsid w:val="7FFB437E"/>
    <w:rsid w:val="CBF22F75"/>
    <w:rsid w:val="DDFEEA68"/>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955</Words>
  <Characters>995</Characters>
  <Lines>0</Lines>
  <Paragraphs>0</Paragraphs>
  <TotalTime>1</TotalTime>
  <ScaleCrop>false</ScaleCrop>
  <LinksUpToDate>false</LinksUpToDate>
  <CharactersWithSpaces>1020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2024-08-31T09:59:00Z</dcterms:created>
  <dc:creator>涵 花 花 </dc:creator>
  <cp:lastModifiedBy>Administrator</cp:lastModifiedBy>
  <cp:lastPrinted>2024-11-26T02:20:00Z</cp:lastPrinted>
  <dcterms:modified xsi:type="dcterms:W3CDTF">2024-12-16T08:12:24Z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