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b w:val="0"/>
          <w:bCs w:val="0"/>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川林资许准（乐）〔2024〕139号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峨眉山市峨眉河双福镇石岗村段</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u w:val="none"/>
          <w:lang w:val="en-US" w:eastAsia="zh-CN"/>
        </w:rPr>
        <w:t>防洪治理工程</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rPr>
          <w:rFonts w:hint="eastAsia" w:ascii="仿宋_GB2312" w:hAnsi="仿宋_GB2312" w:eastAsia="仿宋_GB2312" w:cs="仿宋_GB2312"/>
          <w:b w:val="0"/>
          <w:bCs w:val="0"/>
          <w:color w:val="auto"/>
          <w:sz w:val="32"/>
          <w:szCs w:val="32"/>
          <w:u w:val="none"/>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峨眉山市水利建设与河湖保护中心</w:t>
      </w:r>
      <w:r>
        <w:rPr>
          <w:rFonts w:hint="eastAsia" w:ascii="仿宋_GB2312" w:hAnsi="仿宋_GB2312" w:eastAsia="仿宋_GB2312" w:cs="仿宋_GB2312"/>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一、</w:t>
      </w:r>
      <w:r>
        <w:rPr>
          <w:rFonts w:hint="eastAsia" w:ascii="仿宋_GB2312" w:hAnsi="仿宋_GB2312" w:eastAsia="仿宋_GB2312" w:cs="仿宋_GB2312"/>
          <w:b w:val="0"/>
          <w:bCs w:val="0"/>
          <w:color w:val="auto"/>
          <w:sz w:val="32"/>
          <w:szCs w:val="32"/>
          <w:highlight w:val="none"/>
          <w:u w:val="none"/>
          <w:lang w:val="en-US" w:eastAsia="zh-CN"/>
        </w:rPr>
        <w:t>准予“峨眉山市峨眉河双福镇石岗村段防洪治理工程”（项目代码：峨发改投资〔2020〕105号）占用乐山市林地0.6511公顷。按林地权属划分，国有0公顷、集体0.6511公顷；按行政区域划分，峨眉山市0.6511公顷（双福镇0.6511公顷）。项目</w:t>
      </w:r>
      <w:r>
        <w:rPr>
          <w:rFonts w:hint="eastAsia" w:ascii="仿宋_GB2312" w:hAnsi="仿宋_GB2312" w:eastAsia="仿宋_GB2312" w:cs="仿宋_GB2312"/>
          <w:b w:val="0"/>
          <w:bCs w:val="0"/>
          <w:color w:val="auto"/>
          <w:sz w:val="32"/>
          <w:szCs w:val="32"/>
          <w:u w:val="none"/>
          <w:lang w:val="en-US" w:eastAsia="zh-CN"/>
        </w:rPr>
        <w:t>占用林地的具体位置、面积和用途，须与经审核上报的《峨眉山市峨眉河双福镇石岗村段防洪治理工程使用林地现状调查表》一致。若准予的面积与全省新一轮林地保护利用规划的法定林地数据不一致，你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none"/>
          <w:lang w:val="en-US" w:eastAsia="zh-CN"/>
        </w:rPr>
        <w:t>二</w:t>
      </w:r>
      <w:r>
        <w:rPr>
          <w:rFonts w:hint="eastAsia" w:ascii="仿宋_GB2312" w:hAnsi="仿宋_GB2312" w:eastAsia="仿宋_GB2312" w:cs="仿宋_GB2312"/>
          <w:color w:val="auto"/>
          <w:sz w:val="32"/>
          <w:szCs w:val="32"/>
          <w:u w:val="none"/>
        </w:rPr>
        <w:t>、你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color w:val="auto"/>
          <w:sz w:val="32"/>
          <w:szCs w:val="32"/>
          <w:u w:val="none"/>
          <w:lang w:val="en-US" w:eastAsia="zh-CN"/>
        </w:rPr>
        <w:t>须</w:t>
      </w:r>
      <w:r>
        <w:rPr>
          <w:rFonts w:hint="eastAsia" w:ascii="仿宋_GB2312" w:hAnsi="仿宋_GB2312" w:eastAsia="仿宋_GB2312" w:cs="仿宋_GB2312"/>
          <w:color w:val="auto"/>
          <w:sz w:val="32"/>
          <w:szCs w:val="32"/>
          <w:u w:val="none"/>
        </w:rPr>
        <w:t>严格</w:t>
      </w:r>
      <w:r>
        <w:rPr>
          <w:rFonts w:hint="eastAsia" w:ascii="仿宋_GB2312" w:hAnsi="仿宋_GB2312" w:eastAsia="仿宋_GB2312" w:cs="仿宋_GB2312"/>
          <w:color w:val="auto"/>
          <w:sz w:val="32"/>
          <w:szCs w:val="32"/>
          <w:u w:val="none"/>
          <w:lang w:val="en-US" w:eastAsia="zh-CN"/>
        </w:rPr>
        <w:t>按照</w:t>
      </w:r>
      <w:r>
        <w:rPr>
          <w:rFonts w:hint="eastAsia" w:ascii="仿宋_GB2312" w:hAnsi="仿宋_GB2312" w:eastAsia="仿宋_GB2312" w:cs="仿宋_GB2312"/>
          <w:color w:val="auto"/>
          <w:sz w:val="32"/>
          <w:szCs w:val="32"/>
          <w:u w:val="none"/>
        </w:rPr>
        <w:t>审核同意的用地红线范围</w:t>
      </w:r>
      <w:r>
        <w:rPr>
          <w:rFonts w:hint="eastAsia" w:ascii="仿宋_GB2312" w:hAnsi="仿宋_GB2312" w:eastAsia="仿宋_GB2312" w:cs="仿宋_GB2312"/>
          <w:color w:val="auto"/>
          <w:sz w:val="32"/>
          <w:szCs w:val="32"/>
          <w:u w:val="none"/>
          <w:lang w:val="en-US" w:eastAsia="zh-CN"/>
        </w:rPr>
        <w:t>进行</w:t>
      </w:r>
      <w:r>
        <w:rPr>
          <w:rFonts w:hint="eastAsia" w:ascii="仿宋_GB2312" w:hAnsi="仿宋_GB2312" w:eastAsia="仿宋_GB2312" w:cs="仿宋_GB2312"/>
          <w:color w:val="auto"/>
          <w:sz w:val="32"/>
          <w:szCs w:val="32"/>
          <w:u w:val="none"/>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auto"/>
          <w:sz w:val="32"/>
          <w:szCs w:val="32"/>
          <w:highlight w:val="none"/>
          <w:u w:val="none"/>
          <w:lang w:val="en-US" w:eastAsia="zh-CN" w:bidi="ar-SA"/>
        </w:rPr>
        <w:t>项目</w:t>
      </w:r>
      <w:r>
        <w:rPr>
          <w:rFonts w:hint="eastAsia" w:ascii="仿宋_GB2312" w:hAnsi="仿宋_GB2312" w:eastAsia="仿宋_GB2312" w:cs="仿宋_GB2312"/>
          <w:color w:val="auto"/>
          <w:sz w:val="32"/>
          <w:szCs w:val="32"/>
          <w:u w:val="none"/>
          <w:lang w:val="en-US" w:eastAsia="zh-CN"/>
        </w:rPr>
        <w:t>施工必须依法规范管理，</w:t>
      </w:r>
      <w:r>
        <w:rPr>
          <w:rFonts w:hint="eastAsia" w:ascii="仿宋_GB2312" w:hAnsi="仿宋_GB2312" w:eastAsia="仿宋_GB2312" w:cs="仿宋_GB2312"/>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三、本</w:t>
      </w:r>
      <w:r>
        <w:rPr>
          <w:rFonts w:hint="eastAsia" w:ascii="仿宋_GB2312" w:hAnsi="仿宋_GB2312" w:eastAsia="仿宋_GB2312" w:cs="仿宋_GB2312"/>
          <w:b w:val="0"/>
          <w:bCs w:val="0"/>
          <w:color w:val="auto"/>
          <w:kern w:val="2"/>
          <w:sz w:val="32"/>
          <w:szCs w:val="32"/>
          <w:u w:val="none"/>
          <w:lang w:val="en-US" w:eastAsia="zh-CN" w:bidi="ar-SA"/>
        </w:rPr>
        <w:t>项目若</w:t>
      </w:r>
      <w:r>
        <w:rPr>
          <w:rFonts w:hint="eastAsia" w:ascii="仿宋_GB2312" w:hAnsi="仿宋_GB2312" w:eastAsia="仿宋_GB2312" w:cs="仿宋_GB2312"/>
          <w:b w:val="0"/>
          <w:bCs w:val="0"/>
          <w:color w:val="auto"/>
          <w:sz w:val="32"/>
          <w:szCs w:val="32"/>
          <w:u w:val="none"/>
          <w:lang w:val="en-US" w:eastAsia="zh-CN"/>
        </w:rPr>
        <w:t>涉及林木采伐，你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u w:val="none"/>
          <w:lang w:val="en-US" w:eastAsia="zh-CN"/>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四、国家林业和草原局成都专员办及四川省林业和草原局等地方各级林草主管部门将依法对</w:t>
      </w:r>
      <w:r>
        <w:rPr>
          <w:rFonts w:hint="eastAsia" w:ascii="仿宋_GB2312" w:hAnsi="仿宋_GB2312" w:eastAsia="仿宋_GB2312" w:cs="仿宋_GB2312"/>
          <w:b w:val="0"/>
          <w:bCs w:val="0"/>
          <w:color w:val="auto"/>
          <w:sz w:val="32"/>
          <w:szCs w:val="32"/>
          <w:u w:val="none"/>
          <w:lang w:eastAsia="zh-CN"/>
        </w:rPr>
        <w:t>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b w:val="0"/>
          <w:bCs w:val="0"/>
          <w:color w:val="auto"/>
          <w:sz w:val="32"/>
          <w:szCs w:val="32"/>
          <w:highlight w:val="none"/>
          <w:u w:val="none"/>
          <w:lang w:eastAsia="zh-CN"/>
        </w:rPr>
        <w:t>从事</w:t>
      </w:r>
      <w:r>
        <w:rPr>
          <w:rFonts w:hint="eastAsia" w:ascii="仿宋_GB2312" w:hAnsi="仿宋_GB2312" w:eastAsia="仿宋_GB2312" w:cs="仿宋_GB2312"/>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color w:val="auto"/>
          <w:sz w:val="32"/>
          <w:szCs w:val="32"/>
          <w:highlight w:val="none"/>
          <w:u w:val="none"/>
          <w:lang w:val="en-US" w:eastAsia="zh-CN"/>
        </w:rPr>
        <w:t>五、</w:t>
      </w:r>
      <w:r>
        <w:rPr>
          <w:rFonts w:hint="eastAsia" w:ascii="仿宋_GB2312" w:hAnsi="仿宋_GB2312" w:eastAsia="仿宋_GB2312" w:cs="仿宋_GB2312"/>
          <w:color w:val="auto"/>
          <w:sz w:val="32"/>
          <w:szCs w:val="32"/>
          <w:highlight w:val="none"/>
          <w:u w:val="none"/>
        </w:rPr>
        <w:t>本</w:t>
      </w:r>
      <w:r>
        <w:rPr>
          <w:rFonts w:hint="eastAsia" w:ascii="仿宋_GB2312" w:hAnsi="仿宋_GB2312" w:eastAsia="仿宋_GB2312" w:cs="仿宋_GB2312"/>
          <w:color w:val="auto"/>
          <w:sz w:val="32"/>
          <w:szCs w:val="32"/>
          <w:highlight w:val="none"/>
          <w:u w:val="none"/>
          <w:lang w:val="en-US" w:eastAsia="zh-CN"/>
        </w:rPr>
        <w:t>决定书</w:t>
      </w:r>
      <w:r>
        <w:rPr>
          <w:rFonts w:hint="eastAsia" w:ascii="仿宋_GB2312" w:hAnsi="仿宋_GB2312" w:eastAsia="仿宋_GB2312" w:cs="仿宋_GB2312"/>
          <w:color w:val="auto"/>
          <w:sz w:val="32"/>
          <w:szCs w:val="32"/>
          <w:highlight w:val="none"/>
          <w:u w:val="none"/>
        </w:rPr>
        <w:t>仅作为</w:t>
      </w:r>
      <w:r>
        <w:rPr>
          <w:rFonts w:hint="eastAsia" w:ascii="仿宋_GB2312" w:hAnsi="仿宋_GB2312" w:eastAsia="仿宋_GB2312" w:cs="仿宋_GB2312"/>
          <w:color w:val="auto"/>
          <w:sz w:val="32"/>
          <w:szCs w:val="32"/>
          <w:highlight w:val="none"/>
          <w:u w:val="none"/>
          <w:lang w:eastAsia="zh-CN"/>
        </w:rPr>
        <w:t>该</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rPr>
        <w:t>办理</w:t>
      </w:r>
      <w:r>
        <w:rPr>
          <w:rFonts w:hint="eastAsia" w:ascii="仿宋_GB2312" w:hAnsi="仿宋_GB2312" w:eastAsia="仿宋_GB2312" w:cs="仿宋_GB2312"/>
          <w:color w:val="auto"/>
          <w:sz w:val="32"/>
          <w:szCs w:val="32"/>
          <w:highlight w:val="none"/>
          <w:u w:val="none"/>
          <w:lang w:eastAsia="zh-CN"/>
        </w:rPr>
        <w:t>建设用地审批手续的依据，不是</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eastAsia="zh-CN"/>
        </w:rPr>
        <w:t>开工建设和各类生态环境敏感区准入的依据。</w:t>
      </w:r>
      <w:r>
        <w:rPr>
          <w:rFonts w:hint="eastAsia" w:ascii="仿宋_GB2312" w:hAnsi="仿宋_GB2312" w:eastAsia="仿宋_GB2312" w:cs="仿宋_GB2312"/>
          <w:color w:val="auto"/>
          <w:sz w:val="32"/>
          <w:szCs w:val="32"/>
          <w:highlight w:val="none"/>
          <w:u w:val="none"/>
          <w:lang w:val="en-US" w:eastAsia="zh-CN"/>
        </w:rPr>
        <w:t>因</w:t>
      </w:r>
      <w:r>
        <w:rPr>
          <w:rFonts w:hint="eastAsia" w:ascii="仿宋_GB2312" w:hAnsi="仿宋_GB2312" w:eastAsia="仿宋_GB2312" w:cs="仿宋_GB2312"/>
          <w:b w:val="0"/>
          <w:bCs w:val="0"/>
          <w:color w:val="auto"/>
          <w:kern w:val="2"/>
          <w:sz w:val="32"/>
          <w:szCs w:val="32"/>
          <w:highlight w:val="none"/>
          <w:u w:val="none"/>
          <w:lang w:val="en-US" w:eastAsia="zh-CN" w:bidi="ar-SA"/>
        </w:rPr>
        <w:t>项目</w:t>
      </w:r>
      <w:r>
        <w:rPr>
          <w:rFonts w:hint="eastAsia" w:ascii="仿宋_GB2312" w:hAnsi="仿宋_GB2312" w:eastAsia="仿宋_GB2312" w:cs="仿宋_GB2312"/>
          <w:color w:val="auto"/>
          <w:sz w:val="32"/>
          <w:szCs w:val="32"/>
          <w:highlight w:val="none"/>
          <w:u w:val="none"/>
          <w:lang w:val="en-US" w:eastAsia="zh-CN"/>
        </w:rPr>
        <w:t>设计变更等导致所占用林地的位置、面积</w:t>
      </w:r>
      <w:r>
        <w:rPr>
          <w:rFonts w:hint="eastAsia" w:ascii="仿宋_GB2312" w:hAnsi="仿宋_GB2312" w:eastAsia="仿宋_GB2312" w:cs="仿宋_GB2312"/>
          <w:color w:val="auto"/>
          <w:sz w:val="32"/>
          <w:szCs w:val="32"/>
          <w:highlight w:val="none"/>
          <w:u w:val="none"/>
          <w:lang w:eastAsia="zh-CN"/>
        </w:rPr>
        <w:t>等发生变更的，</w:t>
      </w:r>
      <w:r>
        <w:rPr>
          <w:rFonts w:hint="eastAsia" w:ascii="仿宋_GB2312" w:hAnsi="仿宋_GB2312" w:eastAsia="仿宋_GB2312" w:cs="仿宋_GB2312"/>
          <w:b w:val="0"/>
          <w:bCs w:val="0"/>
          <w:color w:val="auto"/>
          <w:kern w:val="2"/>
          <w:sz w:val="32"/>
          <w:szCs w:val="32"/>
          <w:u w:val="none"/>
          <w:lang w:val="en-US" w:eastAsia="zh-CN" w:bidi="ar-SA"/>
        </w:rPr>
        <w:t>你</w:t>
      </w:r>
      <w:r>
        <w:rPr>
          <w:rFonts w:hint="eastAsia" w:ascii="仿宋_GB2312" w:hAnsi="仿宋_GB2312" w:eastAsia="仿宋_GB2312" w:cs="仿宋_GB2312"/>
          <w:b w:val="0"/>
          <w:bCs w:val="0"/>
          <w:color w:val="auto"/>
          <w:sz w:val="32"/>
          <w:szCs w:val="32"/>
          <w:highlight w:val="none"/>
          <w:u w:val="none"/>
          <w:lang w:val="en-US" w:eastAsia="zh-CN"/>
        </w:rPr>
        <w:t>单位</w:t>
      </w:r>
      <w:r>
        <w:rPr>
          <w:rFonts w:hint="eastAsia" w:ascii="仿宋_GB2312" w:hAnsi="仿宋_GB2312" w:eastAsia="仿宋_GB2312" w:cs="仿宋_GB2312"/>
          <w:color w:val="auto"/>
          <w:sz w:val="32"/>
          <w:szCs w:val="32"/>
          <w:highlight w:val="none"/>
          <w:u w:val="none"/>
          <w:lang w:val="en-US" w:eastAsia="zh-CN"/>
        </w:rPr>
        <w:t>须</w:t>
      </w:r>
      <w:r>
        <w:rPr>
          <w:rFonts w:hint="eastAsia" w:ascii="仿宋_GB2312" w:hAnsi="仿宋_GB2312" w:eastAsia="仿宋_GB2312" w:cs="仿宋_GB2312"/>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u w:val="none"/>
          <w:lang w:val="en-US" w:eastAsia="zh-CN"/>
        </w:rPr>
      </w:pPr>
      <w:r>
        <w:rPr>
          <w:rFonts w:hint="eastAsia" w:ascii="仿宋_GB2312" w:hAnsi="仿宋_GB2312" w:eastAsia="仿宋_GB2312" w:cs="仿宋_GB2312"/>
          <w:b w:val="0"/>
          <w:bCs w:val="0"/>
          <w:color w:val="auto"/>
          <w:sz w:val="32"/>
          <w:szCs w:val="32"/>
          <w:u w:val="none"/>
          <w:lang w:val="en-US" w:eastAsia="zh-CN"/>
        </w:rPr>
        <w:t>六、本决定书有效期为两年。</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auto"/>
          <w:sz w:val="32"/>
          <w:szCs w:val="32"/>
          <w:highlight w:val="none"/>
          <w:u w:val="none"/>
          <w:lang w:val="en-US" w:eastAsia="zh-CN" w:bidi="ar-SA"/>
        </w:rPr>
        <w:t>项目</w:t>
      </w:r>
      <w:r>
        <w:rPr>
          <w:rFonts w:hint="eastAsia" w:ascii="仿宋_GB2312" w:hAnsi="仿宋_GB2312" w:eastAsia="仿宋_GB2312" w:cs="仿宋_GB2312"/>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受四川省林业和草原局委托，本行政许可由</w:t>
      </w:r>
      <w:r>
        <w:rPr>
          <w:rFonts w:hint="eastAsia" w:ascii="仿宋_GB2312" w:hAnsi="仿宋_GB2312" w:eastAsia="仿宋_GB2312" w:cs="仿宋_GB2312"/>
          <w:color w:val="auto"/>
          <w:sz w:val="32"/>
          <w:szCs w:val="32"/>
          <w:u w:val="none"/>
          <w:lang w:val="en-US" w:eastAsia="zh-CN" w:bidi="ar-SA"/>
        </w:rPr>
        <w:t>乐山市林业和园林局</w:t>
      </w:r>
      <w:r>
        <w:rPr>
          <w:rFonts w:hint="eastAsia" w:ascii="仿宋_GB2312" w:hAnsi="仿宋_GB2312" w:eastAsia="仿宋_GB2312" w:cs="仿宋_GB2312"/>
          <w:color w:val="auto"/>
          <w:sz w:val="32"/>
          <w:szCs w:val="32"/>
          <w:u w:val="none"/>
          <w:lang w:val="en-US" w:eastAsia="zh-CN"/>
        </w:rPr>
        <w:t>依法受理、审查和决定。</w:t>
      </w:r>
    </w:p>
    <w:p>
      <w:pPr>
        <w:pStyle w:val="6"/>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color w:val="auto"/>
          <w:u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lang w:val="en-US" w:eastAsia="zh-CN"/>
        </w:rPr>
        <w:t>四川省</w:t>
      </w:r>
      <w:r>
        <w:rPr>
          <w:rFonts w:hint="eastAsia" w:ascii="仿宋_GB2312" w:hAnsi="仿宋_GB2312" w:eastAsia="仿宋_GB2312" w:cs="仿宋_GB2312"/>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0" w:rightChars="0"/>
        <w:jc w:val="right"/>
        <w:textAlignment w:val="auto"/>
        <w:rPr>
          <w:rFonts w:hint="eastAsia" w:ascii="仿宋_GB2312" w:hAnsi="仿宋_GB2312" w:eastAsia="仿宋_GB2312" w:cs="仿宋_GB2312"/>
          <w:b w:val="0"/>
          <w:bCs w:val="0"/>
          <w:color w:val="auto"/>
          <w:sz w:val="32"/>
          <w:szCs w:val="32"/>
          <w:highlight w:val="none"/>
          <w:u w:val="none"/>
          <w:lang w:val="en-US" w:eastAsia="zh-CN"/>
        </w:rPr>
      </w:pPr>
      <w:r>
        <w:rPr>
          <w:rFonts w:hint="eastAsia" w:ascii="仿宋_GB2312" w:hAnsi="仿宋_GB2312" w:eastAsia="仿宋_GB2312" w:cs="仿宋_GB2312"/>
          <w:b w:val="0"/>
          <w:bCs w:val="0"/>
          <w:color w:val="auto"/>
          <w:sz w:val="32"/>
          <w:szCs w:val="32"/>
          <w:highlight w:val="none"/>
          <w:u w:val="none"/>
        </w:rPr>
        <w:t>20</w:t>
      </w:r>
      <w:r>
        <w:rPr>
          <w:rFonts w:hint="eastAsia" w:ascii="仿宋_GB2312" w:hAnsi="仿宋_GB2312" w:eastAsia="仿宋_GB2312" w:cs="仿宋_GB2312"/>
          <w:b w:val="0"/>
          <w:bCs w:val="0"/>
          <w:color w:val="auto"/>
          <w:sz w:val="32"/>
          <w:szCs w:val="32"/>
          <w:highlight w:val="none"/>
          <w:u w:val="none"/>
          <w:lang w:val="en-US" w:eastAsia="zh-CN"/>
        </w:rPr>
        <w:t>24</w:t>
      </w:r>
      <w:r>
        <w:rPr>
          <w:rFonts w:hint="eastAsia" w:ascii="仿宋_GB2312" w:hAnsi="仿宋_GB2312" w:eastAsia="仿宋_GB2312" w:cs="仿宋_GB2312"/>
          <w:b w:val="0"/>
          <w:bCs w:val="0"/>
          <w:color w:val="auto"/>
          <w:sz w:val="32"/>
          <w:szCs w:val="32"/>
          <w:highlight w:val="none"/>
          <w:u w:val="none"/>
        </w:rPr>
        <w:t>年</w:t>
      </w:r>
      <w:r>
        <w:rPr>
          <w:rFonts w:hint="eastAsia" w:ascii="仿宋_GB2312" w:hAnsi="仿宋_GB2312" w:eastAsia="仿宋_GB2312" w:cs="仿宋_GB2312"/>
          <w:b w:val="0"/>
          <w:bCs w:val="0"/>
          <w:color w:val="auto"/>
          <w:sz w:val="32"/>
          <w:szCs w:val="32"/>
          <w:highlight w:val="none"/>
          <w:u w:val="none"/>
          <w:lang w:val="en-US" w:eastAsia="zh-CN"/>
        </w:rPr>
        <w:t>12</w:t>
      </w:r>
      <w:r>
        <w:rPr>
          <w:rFonts w:hint="eastAsia" w:ascii="仿宋_GB2312" w:hAnsi="仿宋_GB2312" w:eastAsia="仿宋_GB2312" w:cs="仿宋_GB2312"/>
          <w:b w:val="0"/>
          <w:bCs w:val="0"/>
          <w:color w:val="auto"/>
          <w:sz w:val="32"/>
          <w:szCs w:val="32"/>
          <w:highlight w:val="none"/>
          <w:u w:val="none"/>
        </w:rPr>
        <w:t>月</w:t>
      </w:r>
      <w:r>
        <w:rPr>
          <w:rFonts w:hint="eastAsia" w:ascii="仿宋_GB2312" w:hAnsi="仿宋_GB2312" w:eastAsia="仿宋_GB2312" w:cs="仿宋_GB2312"/>
          <w:b w:val="0"/>
          <w:bCs w:val="0"/>
          <w:color w:val="auto"/>
          <w:sz w:val="32"/>
          <w:szCs w:val="32"/>
          <w:highlight w:val="none"/>
          <w:u w:val="none"/>
          <w:lang w:val="en-US" w:eastAsia="zh-CN"/>
        </w:rPr>
        <w:t>20</w:t>
      </w:r>
      <w:r>
        <w:rPr>
          <w:rFonts w:hint="eastAsia" w:ascii="仿宋_GB2312" w:hAnsi="仿宋_GB2312" w:eastAsia="仿宋_GB2312" w:cs="仿宋_GB2312"/>
          <w:b w:val="0"/>
          <w:bCs w:val="0"/>
          <w:color w:val="auto"/>
          <w:sz w:val="32"/>
          <w:szCs w:val="32"/>
          <w:highlight w:val="none"/>
          <w:u w:val="none"/>
        </w:rPr>
        <w:t>日</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default" w:ascii="仿宋_GB2312" w:hAnsi="仿宋_GB2312" w:eastAsia="仿宋_GB2312" w:cs="仿宋_GB2312"/>
          <w:b w:val="0"/>
          <w:bCs w:val="0"/>
          <w:color w:val="auto"/>
          <w:spacing w:val="0"/>
          <w:sz w:val="28"/>
          <w:szCs w:val="28"/>
          <w:u w:val="single"/>
          <w:lang w:val="en-US" w:eastAsia="zh-CN"/>
        </w:rPr>
      </w:pPr>
      <w:r>
        <w:rPr>
          <w:rFonts w:hint="eastAsia" w:ascii="仿宋_GB2312" w:hAnsi="仿宋_GB2312" w:eastAsia="仿宋_GB2312" w:cs="仿宋_GB2312"/>
          <w:b w:val="0"/>
          <w:bCs w:val="0"/>
          <w:color w:val="auto"/>
          <w:spacing w:val="0"/>
          <w:sz w:val="28"/>
          <w:szCs w:val="28"/>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w:t>
      </w:r>
    </w:p>
    <w:p>
      <w:pPr>
        <w:pStyle w:val="6"/>
        <w:keepNext w:val="0"/>
        <w:keepLines w:val="0"/>
        <w:pageBreakBefore w:val="0"/>
        <w:widowControl w:val="0"/>
        <w:kinsoku/>
        <w:wordWrap/>
        <w:overflowPunct/>
        <w:topLinePunct w:val="0"/>
        <w:autoSpaceDE/>
        <w:autoSpaceDN/>
        <w:bidi w:val="0"/>
        <w:adjustRightInd/>
        <w:snapToGrid/>
        <w:spacing w:line="500" w:lineRule="exact"/>
        <w:ind w:left="840" w:leftChars="0" w:right="0" w:rightChars="0" w:hanging="840" w:hangingChars="300"/>
        <w:textAlignment w:val="auto"/>
        <w:rPr>
          <w:rFonts w:hint="eastAsia" w:ascii="仿宋_GB2312" w:hAnsi="仿宋_GB2312" w:eastAsia="仿宋_GB2312" w:cs="仿宋_GB2312"/>
          <w:color w:val="auto"/>
          <w:u w:val="none"/>
        </w:rPr>
      </w:pPr>
      <w:r>
        <w:rPr>
          <w:rFonts w:hint="eastAsia" w:asciiTheme="majorEastAsia" w:hAnsiTheme="majorEastAsia" w:eastAsiaTheme="majorEastAsia" w:cstheme="majorEastAsia"/>
          <w:color w:val="auto"/>
          <w:spacing w:val="0"/>
          <w:sz w:val="28"/>
          <w:szCs w:val="28"/>
          <w:u w:val="single"/>
          <w:lang w:val="en-US" w:eastAsia="zh-CN"/>
        </w:rPr>
        <w:t xml:space="preserve">      自然资源和规划局，峨眉山市自然资源局。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80F2160"/>
    <w:rsid w:val="11FB58B0"/>
    <w:rsid w:val="22E8573F"/>
    <w:rsid w:val="25881488"/>
    <w:rsid w:val="4CA4668A"/>
    <w:rsid w:val="52597280"/>
    <w:rsid w:val="60BC3D04"/>
    <w:rsid w:val="64B04CF7"/>
    <w:rsid w:val="671D12F4"/>
    <w:rsid w:val="6C762C4F"/>
    <w:rsid w:val="709113BE"/>
    <w:rsid w:val="741A4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981</Words>
  <Characters>1014</Characters>
  <Lines>0</Lines>
  <Paragraphs>0</Paragraphs>
  <TotalTime>2</TotalTime>
  <ScaleCrop>false</ScaleCrop>
  <LinksUpToDate>false</LinksUpToDate>
  <CharactersWithSpaces>1042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2024-12-24T07:37:32Z</cp:lastPrinted>
  <dcterms:modified xsi:type="dcterms:W3CDTF">2024-12-24T07:37:38Z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