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川林资许准（乐）〔2024〕126 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关于准予峨眉山市2024年第</w:t>
      </w:r>
      <w:r>
        <w:rPr>
          <w:rFonts w:hint="eastAsia" w:eastAsia="方正小标宋_GBK" w:cs="Times New Roman"/>
          <w:b w:val="0"/>
          <w:bCs w:val="0"/>
          <w:color w:val="auto"/>
          <w:w w:val="100"/>
          <w:sz w:val="44"/>
          <w:szCs w:val="44"/>
          <w:lang w:val="en-US" w:eastAsia="zh-CN"/>
        </w:rPr>
        <w:t>10</w:t>
      </w:r>
      <w:r>
        <w:rPr>
          <w:rFonts w:hint="default" w:ascii="Times New Roman" w:hAnsi="Times New Roman" w:eastAsia="方正小标宋_GBK" w:cs="Times New Roman"/>
          <w:b w:val="0"/>
          <w:bCs w:val="0"/>
          <w:color w:val="auto"/>
          <w:w w:val="100"/>
          <w:sz w:val="44"/>
          <w:szCs w:val="44"/>
          <w:lang w:eastAsia="zh-CN"/>
        </w:rPr>
        <w:t>批次建设</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bookmarkStart w:id="0" w:name="_GoBack"/>
      <w:bookmarkEnd w:id="0"/>
      <w:r>
        <w:rPr>
          <w:rFonts w:hint="default" w:ascii="Times New Roman" w:hAnsi="Times New Roman" w:eastAsia="方正小标宋_GBK" w:cs="Times New Roman"/>
          <w:b w:val="0"/>
          <w:bCs w:val="0"/>
          <w:color w:val="auto"/>
          <w:w w:val="100"/>
          <w:sz w:val="44"/>
          <w:szCs w:val="44"/>
          <w:lang w:eastAsia="zh-CN"/>
        </w:rPr>
        <w:t>用地</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left"/>
        <w:textAlignment w:val="auto"/>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0" w:firstLineChars="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峨眉山市自然资源局</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准予“峨眉山市2024年第10批次建设用地”（批准文号：峨府函〔2024〕44号）占用乐山市林地2.7165公顷。按林地权属划分，国有0公顷、集体2.7165公顷；按行政区域划分，峨眉山市2.7165公顷（龙池镇2.7165公顷）。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占用林地的具体位置、面积和用途，须与经审核上报的《峨眉山市2024年第10批次建设用地使用林地可行性报告》一致。若准予的面积与全省新一轮林地保护利用规划的法定林地数据不一致，你单位须及时办理相关变更手续。</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u w:val="none"/>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u w:val="none"/>
          <w14:textFill>
            <w14:solidFill>
              <w14:schemeClr w14:val="tx1"/>
            </w14:solidFill>
          </w14:textFill>
        </w:rPr>
        <w:t>严格</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按照</w:t>
      </w:r>
      <w:r>
        <w:rPr>
          <w:rFonts w:hint="eastAsia" w:ascii="仿宋_GB2312" w:hAnsi="仿宋_GB2312" w:eastAsia="仿宋_GB2312" w:cs="仿宋_GB2312"/>
          <w:color w:val="000000" w:themeColor="text1"/>
          <w:sz w:val="32"/>
          <w:szCs w:val="32"/>
          <w:u w:val="none"/>
          <w14:textFill>
            <w14:solidFill>
              <w14:schemeClr w14:val="tx1"/>
            </w14:solidFill>
          </w14:textFill>
        </w:rPr>
        <w:t>审核同意的用地红线范围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进行</w:t>
      </w:r>
      <w:r>
        <w:rPr>
          <w:rFonts w:hint="eastAsia" w:ascii="仿宋_GB2312" w:hAnsi="仿宋_GB2312" w:eastAsia="仿宋_GB2312" w:cs="仿宋_GB2312"/>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施工必须依法规范管理，</w:t>
      </w:r>
      <w:r>
        <w:rPr>
          <w:rFonts w:hint="eastAsia" w:ascii="仿宋_GB2312" w:hAnsi="仿宋_GB2312" w:eastAsia="仿宋_GB2312" w:cs="仿宋_GB2312"/>
          <w:color w:val="000000" w:themeColor="text1"/>
          <w:sz w:val="32"/>
          <w:szCs w:val="32"/>
          <w:u w:val="none"/>
          <w14:textFill>
            <w14:solidFill>
              <w14:schemeClr w14:val="tx1"/>
            </w14:solidFill>
          </w14:textFill>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三、本</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涉及林木采伐，你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从事</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决定书</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仅作为</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该</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办理</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建设用地审批手续的依据，不是</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因</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等发生变更的，</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单位须</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_GB2312" w:hAnsi="仿宋_GB2312" w:eastAsia="仿宋_GB2312" w:cs="仿宋_GB2312"/>
          <w:color w:val="000000" w:themeColor="text1"/>
          <w:sz w:val="32"/>
          <w:szCs w:val="32"/>
          <w:u w:val="none"/>
          <w:lang w:val="en-US" w:eastAsia="zh-CN" w:bidi="ar-SA"/>
          <w14:textFill>
            <w14:solidFill>
              <w14:schemeClr w14:val="tx1"/>
            </w14:solidFill>
          </w14:textFill>
        </w:rPr>
        <w:t>乐山市林业和园林局</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依法受理、审查和决定。</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pStyle w:val="7"/>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四川省</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24</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年</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12</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月</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16</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日</w:t>
      </w:r>
    </w:p>
    <w:p>
      <w:pPr>
        <w:pStyle w:val="7"/>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line="600" w:lineRule="exact"/>
        <w:ind w:left="960" w:leftChars="0" w:right="0" w:rightChars="0" w:hanging="960" w:hangingChars="300"/>
        <w:textAlignment w:val="auto"/>
        <w:rPr>
          <w:rFonts w:hint="default" w:ascii="仿宋_GB2312" w:hAnsi="仿宋_GB2312" w:eastAsia="仿宋_GB2312" w:cs="仿宋_GB2312"/>
          <w:b w:val="0"/>
          <w:bCs w:val="0"/>
          <w:color w:val="000000" w:themeColor="text1"/>
          <w:spacing w:val="0"/>
          <w:sz w:val="32"/>
          <w:szCs w:val="32"/>
          <w:u w:val="singl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0"/>
          <w:sz w:val="32"/>
          <w:szCs w:val="32"/>
          <w:u w:val="single"/>
          <w:lang w:val="en-US" w:eastAsia="zh-CN"/>
          <w14:textFill>
            <w14:solidFill>
              <w14:schemeClr w14:val="tx1"/>
            </w14:solidFill>
          </w14:textFill>
        </w:rPr>
        <w:t xml:space="preserve">                                                       </w:t>
      </w:r>
    </w:p>
    <w:p>
      <w:pPr>
        <w:pStyle w:val="7"/>
        <w:keepNext w:val="0"/>
        <w:keepLines w:val="0"/>
        <w:pageBreakBefore w:val="0"/>
        <w:widowControl w:val="0"/>
        <w:kinsoku/>
        <w:wordWrap/>
        <w:overflowPunct/>
        <w:topLinePunct w:val="0"/>
        <w:autoSpaceDE/>
        <w:autoSpaceDN/>
        <w:bidi w:val="0"/>
        <w:adjustRightInd/>
        <w:snapToGrid/>
        <w:spacing w:line="60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u w:val="none"/>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u w:val="none"/>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林业和草原局，乐山市自</w:t>
      </w:r>
    </w:p>
    <w:p>
      <w:pPr>
        <w:pStyle w:val="7"/>
        <w:keepNext w:val="0"/>
        <w:keepLines w:val="0"/>
        <w:pageBreakBefore w:val="0"/>
        <w:widowControl w:val="0"/>
        <w:kinsoku/>
        <w:wordWrap/>
        <w:overflowPunct/>
        <w:topLinePunct w:val="0"/>
        <w:autoSpaceDE/>
        <w:autoSpaceDN/>
        <w:bidi w:val="0"/>
        <w:adjustRightInd/>
        <w:snapToGrid/>
        <w:spacing w:line="600" w:lineRule="exact"/>
        <w:ind w:left="840" w:leftChars="0" w:right="0" w:rightChars="0" w:hanging="840" w:hangingChars="300"/>
        <w:textAlignment w:val="auto"/>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然资源和规划局，峨眉山市自然资源局。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1780BBDD-9392-4F2C-9C63-90898C363C8C}"/>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BA28CD65-4CBB-4699-B4BC-304970914B4B}"/>
  </w:font>
  <w:font w:name="方正小标宋简体">
    <w:panose1 w:val="02010601030101010101"/>
    <w:charset w:val="86"/>
    <w:family w:val="auto"/>
    <w:pitch w:val="default"/>
    <w:sig w:usb0="00000001" w:usb1="080E0000" w:usb2="00000000" w:usb3="00000000" w:csb0="00040000" w:csb1="00000000"/>
    <w:embedRegular r:id="rId3" w:fontKey="{8E990A1E-21D6-458E-9212-DE51A30BA02D}"/>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8E83ADE"/>
    <w:rsid w:val="0FEBB4C7"/>
    <w:rsid w:val="116269CD"/>
    <w:rsid w:val="14676633"/>
    <w:rsid w:val="18B42CF3"/>
    <w:rsid w:val="1A9F423A"/>
    <w:rsid w:val="208C39AB"/>
    <w:rsid w:val="23C62375"/>
    <w:rsid w:val="307D29C3"/>
    <w:rsid w:val="3B3C10D6"/>
    <w:rsid w:val="3BFBB748"/>
    <w:rsid w:val="3DAA3A4B"/>
    <w:rsid w:val="3DFFFE57"/>
    <w:rsid w:val="43307086"/>
    <w:rsid w:val="518E4531"/>
    <w:rsid w:val="573AC375"/>
    <w:rsid w:val="5C5D420F"/>
    <w:rsid w:val="5F6F872E"/>
    <w:rsid w:val="6C762C4F"/>
    <w:rsid w:val="6FAE6989"/>
    <w:rsid w:val="6FB7617E"/>
    <w:rsid w:val="76655F35"/>
    <w:rsid w:val="77D64CE8"/>
    <w:rsid w:val="7A5EF601"/>
    <w:rsid w:val="7DF7789C"/>
    <w:rsid w:val="7DFE3DB7"/>
    <w:rsid w:val="7F64F8A1"/>
    <w:rsid w:val="7FDEFB3C"/>
    <w:rsid w:val="7FFB437E"/>
    <w:rsid w:val="CBF22F75"/>
    <w:rsid w:val="DDFEEA68"/>
    <w:rsid w:val="F77CD7C1"/>
    <w:rsid w:val="FB38382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955</Words>
  <Characters>998</Characters>
  <Lines>0</Lines>
  <Paragraphs>0</Paragraphs>
  <TotalTime>1</TotalTime>
  <ScaleCrop>false</ScaleCrop>
  <LinksUpToDate>false</LinksUpToDate>
  <CharactersWithSpaces>1023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2024-08-31T09:59:00Z</dcterms:created>
  <dc:creator>涵 花 花 </dc:creator>
  <cp:lastModifiedBy>Administrator</cp:lastModifiedBy>
  <cp:lastPrinted>2024-12-12T17:43:00Z</cp:lastPrinted>
  <dcterms:modified xsi:type="dcterms:W3CDTF">2024-12-16T08:15:40Z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