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600" w:lineRule="exact"/>
        <w:rPr>
          <w:rFonts w:hint="eastAsia" w:ascii="Times New Roman" w:hAnsi="Times New Roman" w:eastAsia="黑体"/>
          <w:sz w:val="32"/>
          <w:szCs w:val="32"/>
          <w:lang w:val="en-US" w:eastAsia="zh-CN"/>
        </w:rPr>
      </w:pPr>
      <w:r>
        <w:rPr>
          <w:rFonts w:ascii="Times New Roman" w:hAnsi="Times New Roman" w:eastAsia="黑体" w:cs="Times New Roman"/>
          <w:sz w:val="32"/>
          <w:szCs w:val="32"/>
        </w:rPr>
        <w:t>附件</w:t>
      </w:r>
    </w:p>
    <w:p>
      <w:pPr>
        <w:ind w:left="0" w:leftChars="0" w:firstLine="0" w:firstLineChars="0"/>
        <w:rPr>
          <w:rFonts w:hint="eastAsia" w:ascii="宋体" w:hAnsi="宋体" w:eastAsia="宋体" w:cs="宋体"/>
          <w:sz w:val="18"/>
          <w:szCs w:val="18"/>
        </w:rPr>
      </w:pPr>
    </w:p>
    <w:p>
      <w:pPr>
        <w:ind w:left="0" w:leftChars="0" w:firstLine="0" w:firstLineChars="0"/>
        <w:jc w:val="center"/>
        <w:rPr>
          <w:rFonts w:hint="eastAsia" w:ascii="Arial Unicode MS" w:hAnsi="Arial Unicode MS" w:eastAsia="Arial Unicode MS" w:cs="Arial Unicode MS"/>
          <w:sz w:val="44"/>
          <w:szCs w:val="44"/>
        </w:rPr>
      </w:pPr>
      <w:r>
        <w:rPr>
          <w:rFonts w:hint="eastAsia" w:ascii="方正小标宋简体" w:hAnsi="方正小标宋简体" w:eastAsia="方正小标宋简体" w:cs="方正小标宋简体"/>
          <w:sz w:val="44"/>
          <w:szCs w:val="44"/>
          <w:lang w:val="en-US" w:eastAsia="zh-CN"/>
        </w:rPr>
        <w:t>“云上福来”</w:t>
      </w:r>
      <w:r>
        <w:rPr>
          <w:rFonts w:hint="eastAsia" w:ascii="方正小标宋简体" w:hAnsi="方正小标宋简体" w:eastAsia="方正小标宋简体" w:cs="方正小标宋简体"/>
          <w:sz w:val="44"/>
          <w:szCs w:val="44"/>
          <w:lang w:eastAsia="zh-CN"/>
        </w:rPr>
        <w:t>景区</w:t>
      </w:r>
      <w:r>
        <w:rPr>
          <w:rFonts w:hint="eastAsia" w:ascii="方正小标宋简体" w:hAnsi="方正小标宋简体" w:eastAsia="方正小标宋简体" w:cs="方正小标宋简体"/>
          <w:sz w:val="44"/>
          <w:szCs w:val="44"/>
        </w:rPr>
        <w:t>创建基本情况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一、景区基本情况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eastAsia="zh-CN"/>
        </w:rPr>
        <w:t>“云上福来</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eastAsia="zh-CN"/>
        </w:rPr>
        <w:t>景区位于四川省乐山市马边彝族自治县北部</w:t>
      </w:r>
      <w:r>
        <w:rPr>
          <w:rFonts w:hint="eastAsia" w:ascii="仿宋_GB2312" w:hAnsi="仿宋_GB2312" w:eastAsia="仿宋_GB2312" w:cs="仿宋_GB2312"/>
          <w:color w:val="000000"/>
          <w:kern w:val="0"/>
          <w:sz w:val="32"/>
          <w:szCs w:val="32"/>
          <w:lang w:val="en-US" w:eastAsia="zh-CN"/>
        </w:rPr>
        <w:t>劳动镇福来村</w:t>
      </w:r>
      <w:r>
        <w:rPr>
          <w:rFonts w:hint="eastAsia" w:ascii="仿宋_GB2312" w:hAnsi="仿宋_GB2312" w:eastAsia="仿宋_GB2312" w:cs="仿宋_GB2312"/>
          <w:color w:val="000000"/>
          <w:kern w:val="0"/>
          <w:sz w:val="32"/>
          <w:szCs w:val="32"/>
          <w:lang w:eastAsia="zh-CN"/>
        </w:rPr>
        <w:t>，距县城</w:t>
      </w:r>
      <w:r>
        <w:rPr>
          <w:rFonts w:hint="eastAsia" w:ascii="仿宋_GB2312" w:hAnsi="仿宋_GB2312" w:eastAsia="仿宋_GB2312" w:cs="仿宋_GB2312"/>
          <w:color w:val="000000"/>
          <w:kern w:val="0"/>
          <w:sz w:val="32"/>
          <w:szCs w:val="32"/>
          <w:highlight w:val="none"/>
          <w:lang w:val="en-US" w:eastAsia="zh-CN"/>
        </w:rPr>
        <w:t>10</w:t>
      </w:r>
      <w:r>
        <w:rPr>
          <w:rFonts w:hint="eastAsia" w:ascii="仿宋_GB2312" w:hAnsi="仿宋_GB2312" w:eastAsia="仿宋_GB2312" w:cs="仿宋_GB2312"/>
          <w:color w:val="000000"/>
          <w:kern w:val="0"/>
          <w:sz w:val="32"/>
          <w:szCs w:val="32"/>
          <w:highlight w:val="none"/>
          <w:lang w:eastAsia="zh-CN"/>
        </w:rPr>
        <w:t>公里，面积约</w:t>
      </w:r>
      <w:r>
        <w:rPr>
          <w:rFonts w:hint="eastAsia" w:ascii="仿宋_GB2312" w:hAnsi="仿宋_GB2312" w:eastAsia="仿宋_GB2312" w:cs="仿宋_GB2312"/>
          <w:color w:val="000000"/>
          <w:kern w:val="0"/>
          <w:sz w:val="32"/>
          <w:szCs w:val="32"/>
          <w:highlight w:val="none"/>
          <w:lang w:val="en-US" w:eastAsia="zh-CN"/>
        </w:rPr>
        <w:t>1.65</w:t>
      </w:r>
      <w:r>
        <w:rPr>
          <w:rFonts w:hint="eastAsia" w:ascii="仿宋_GB2312" w:hAnsi="仿宋_GB2312" w:eastAsia="仿宋_GB2312" w:cs="仿宋_GB2312"/>
          <w:color w:val="000000"/>
          <w:kern w:val="0"/>
          <w:sz w:val="32"/>
          <w:szCs w:val="32"/>
          <w:highlight w:val="none"/>
          <w:lang w:eastAsia="zh-CN"/>
        </w:rPr>
        <w:t>平方</w:t>
      </w:r>
      <w:r>
        <w:rPr>
          <w:rFonts w:hint="eastAsia" w:ascii="仿宋_GB2312" w:hAnsi="仿宋_GB2312" w:eastAsia="仿宋_GB2312" w:cs="仿宋_GB2312"/>
          <w:color w:val="000000"/>
          <w:kern w:val="0"/>
          <w:sz w:val="32"/>
          <w:szCs w:val="32"/>
          <w:lang w:eastAsia="zh-CN"/>
        </w:rPr>
        <w:t>公里，</w:t>
      </w:r>
      <w:r>
        <w:rPr>
          <w:rFonts w:hint="eastAsia" w:ascii="仿宋_GB2312" w:hAnsi="仿宋_GB2312" w:eastAsia="仿宋_GB2312" w:cs="仿宋_GB2312"/>
          <w:color w:val="000000"/>
          <w:kern w:val="0"/>
          <w:sz w:val="32"/>
          <w:szCs w:val="32"/>
          <w:highlight w:val="none"/>
          <w:lang w:eastAsia="zh-CN"/>
        </w:rPr>
        <w:t>规划范围内包括</w:t>
      </w:r>
      <w:r>
        <w:rPr>
          <w:rFonts w:hint="eastAsia" w:ascii="仿宋_GB2312" w:hAnsi="仿宋_GB2312" w:eastAsia="仿宋_GB2312" w:cs="仿宋_GB2312"/>
          <w:color w:val="000000"/>
          <w:kern w:val="0"/>
          <w:sz w:val="32"/>
          <w:szCs w:val="32"/>
          <w:highlight w:val="none"/>
          <w:lang w:val="en-US" w:eastAsia="zh-CN"/>
        </w:rPr>
        <w:t>丹霞地貌、</w:t>
      </w:r>
      <w:r>
        <w:rPr>
          <w:rFonts w:hint="eastAsia" w:ascii="仿宋_GB2312" w:hAnsi="仿宋_GB2312" w:eastAsia="仿宋_GB2312" w:cs="仿宋_GB2312"/>
          <w:color w:val="000000"/>
          <w:kern w:val="0"/>
          <w:sz w:val="32"/>
          <w:szCs w:val="32"/>
          <w:highlight w:val="none"/>
          <w:lang w:eastAsia="zh-CN"/>
        </w:rPr>
        <w:t>高山茶园、</w:t>
      </w:r>
      <w:r>
        <w:rPr>
          <w:rFonts w:hint="eastAsia" w:ascii="仿宋_GB2312" w:hAnsi="仿宋_GB2312" w:eastAsia="仿宋_GB2312" w:cs="仿宋_GB2312"/>
          <w:color w:val="000000"/>
          <w:kern w:val="0"/>
          <w:sz w:val="32"/>
          <w:szCs w:val="32"/>
          <w:highlight w:val="none"/>
          <w:lang w:val="en-US" w:eastAsia="zh-CN"/>
        </w:rPr>
        <w:t>天然</w:t>
      </w:r>
      <w:r>
        <w:rPr>
          <w:rFonts w:hint="eastAsia" w:ascii="仿宋_GB2312" w:hAnsi="仿宋_GB2312" w:eastAsia="仿宋_GB2312" w:cs="仿宋_GB2312"/>
          <w:color w:val="000000"/>
          <w:kern w:val="0"/>
          <w:sz w:val="32"/>
          <w:szCs w:val="32"/>
          <w:highlight w:val="none"/>
          <w:lang w:eastAsia="zh-CN"/>
        </w:rPr>
        <w:t>森林、彝族村寨等重要旅游资源</w:t>
      </w:r>
      <w:r>
        <w:rPr>
          <w:rFonts w:hint="eastAsia" w:ascii="仿宋_GB2312" w:hAnsi="仿宋_GB2312" w:eastAsia="仿宋_GB2312" w:cs="仿宋_GB2312"/>
          <w:color w:val="000000"/>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景区</w:t>
      </w:r>
      <w:r>
        <w:rPr>
          <w:rFonts w:hint="eastAsia" w:ascii="仿宋_GB2312" w:hAnsi="仿宋_GB2312" w:eastAsia="仿宋_GB2312" w:cs="仿宋_GB2312"/>
          <w:color w:val="000000"/>
          <w:kern w:val="0"/>
          <w:sz w:val="32"/>
          <w:szCs w:val="32"/>
          <w:lang w:eastAsia="zh-CN"/>
        </w:rPr>
        <w:t>紧邻G348线，距仁沐新高速马边支线出口8公里，进出交通便利、区位优势明显。地处南丝绸之路经济带和长江经济带交汇区域、西南乌蒙山区和大小凉山彝区结合地带，依托乐山市作为成渝双城经济圈建设重点城市的经济优势和小凉山独特的地质地貌、多样性的气候，为景区茶叶生产及经济开发提供了优势区位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eastAsia="zh-CN"/>
        </w:rPr>
        <w:t>“云上福来</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eastAsia="zh-CN"/>
        </w:rPr>
        <w:t>景区地处文化高地，紧邻核心城市，旅游区位优势明显。位于成都3小时和乐山1.5小时经济圈内，是汉彝门户地带和南丝绸之路的重要节点，也是马边参与乐山共建巴蜀旅游文化走廊、聚焦打造南丝路文化旅游走廊的重要县域片区节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eastAsia="zh-CN"/>
        </w:rPr>
        <w:t>“云上福来”</w:t>
      </w:r>
      <w:r>
        <w:rPr>
          <w:rFonts w:hint="eastAsia" w:ascii="仿宋_GB2312" w:hAnsi="仿宋_GB2312" w:eastAsia="仿宋_GB2312" w:cs="仿宋_GB2312"/>
          <w:color w:val="000000"/>
          <w:kern w:val="0"/>
          <w:sz w:val="32"/>
          <w:szCs w:val="32"/>
          <w:lang w:eastAsia="zh-CN"/>
        </w:rPr>
        <w:t>景区依茶山森林之肌理，承彝乡人文之脉络，打造</w:t>
      </w:r>
      <w:r>
        <w:rPr>
          <w:rFonts w:hint="eastAsia" w:ascii="仿宋_GB2312" w:hAnsi="仿宋_GB2312" w:eastAsia="仿宋_GB2312" w:cs="仿宋_GB2312"/>
          <w:color w:val="000000"/>
          <w:kern w:val="0"/>
          <w:sz w:val="32"/>
          <w:szCs w:val="32"/>
          <w:lang w:val="en-US" w:eastAsia="zh-CN"/>
        </w:rPr>
        <w:t>成</w:t>
      </w:r>
      <w:r>
        <w:rPr>
          <w:rFonts w:hint="eastAsia" w:ascii="仿宋_GB2312" w:hAnsi="仿宋_GB2312" w:eastAsia="仿宋_GB2312" w:cs="仿宋_GB2312"/>
          <w:color w:val="000000"/>
          <w:kern w:val="0"/>
          <w:sz w:val="32"/>
          <w:szCs w:val="32"/>
          <w:lang w:eastAsia="zh-CN"/>
        </w:rPr>
        <w:t>以“彝茶·彝人·彝居”深度体验为核心，集休闲度假、民俗文化、研学户外、山地观光为一体的中国首个彝茶文化体验目的地、彝乡综合性的山地微度假目的地。</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二、创建情况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县委政府</w:t>
      </w:r>
      <w:r>
        <w:rPr>
          <w:rFonts w:hint="eastAsia" w:ascii="仿宋_GB2312" w:hAnsi="仿宋_GB2312" w:eastAsia="仿宋_GB2312" w:cs="仿宋_GB2312"/>
          <w:sz w:val="32"/>
          <w:szCs w:val="32"/>
          <w:lang w:eastAsia="zh-CN"/>
        </w:rPr>
        <w:t>高度重视</w:t>
      </w:r>
      <w:r>
        <w:rPr>
          <w:rFonts w:hint="eastAsia" w:ascii="仿宋_GB2312" w:hAnsi="仿宋_GB2312" w:eastAsia="仿宋_GB2312" w:cs="仿宋_GB2312"/>
          <w:color w:val="000000"/>
          <w:kern w:val="0"/>
          <w:sz w:val="32"/>
          <w:szCs w:val="32"/>
          <w:lang w:eastAsia="zh-CN"/>
        </w:rPr>
        <w:t>“云上福来”</w:t>
      </w:r>
      <w:r>
        <w:rPr>
          <w:rFonts w:hint="eastAsia" w:ascii="仿宋_GB2312" w:hAnsi="仿宋_GB2312" w:eastAsia="仿宋_GB2312" w:cs="仿宋_GB2312"/>
          <w:sz w:val="32"/>
          <w:szCs w:val="32"/>
          <w:lang w:eastAsia="zh-CN"/>
        </w:rPr>
        <w:t>景区创建工作，</w:t>
      </w:r>
      <w:r>
        <w:rPr>
          <w:rFonts w:hint="eastAsia" w:ascii="Times New Roman" w:hAnsi="Times New Roman" w:eastAsia="仿宋_GB2312" w:cs="Times New Roman"/>
          <w:b w:val="0"/>
          <w:bCs w:val="0"/>
          <w:sz w:val="32"/>
          <w:szCs w:val="32"/>
          <w:lang w:val="en-US" w:eastAsia="zh-CN"/>
        </w:rPr>
        <w:t>先后</w:t>
      </w:r>
      <w:r>
        <w:rPr>
          <w:rFonts w:hint="default" w:ascii="Times New Roman" w:hAnsi="Times New Roman" w:eastAsia="仿宋_GB2312" w:cs="Times New Roman"/>
          <w:b w:val="0"/>
          <w:bCs w:val="0"/>
          <w:sz w:val="32"/>
          <w:szCs w:val="32"/>
          <w:lang w:val="en-US" w:eastAsia="zh-CN"/>
        </w:rPr>
        <w:t>召开了创建工作动员大会，成立了“云上福来”项目创建工作专班，</w:t>
      </w:r>
      <w:r>
        <w:rPr>
          <w:rFonts w:hint="eastAsia" w:ascii="Times New Roman" w:hAnsi="Times New Roman" w:eastAsia="仿宋_GB2312" w:cs="Times New Roman"/>
          <w:b w:val="0"/>
          <w:bCs w:val="0"/>
          <w:sz w:val="32"/>
          <w:szCs w:val="32"/>
          <w:lang w:val="en-US" w:eastAsia="zh-CN"/>
        </w:rPr>
        <w:t>组建了由县委常委、宣传部长任组长，县政府副县长任副组长，相关要素保障部门业务骨干为成员。工作机制形成以来，在专班组长、副组长领导下，及时召开会议研究解决困难问题，定期调度工作任务完成情况，保障了整个创建工作按计划有力有序推进。审定了</w:t>
      </w:r>
      <w:r>
        <w:rPr>
          <w:rFonts w:hint="default" w:ascii="Times New Roman" w:hAnsi="Times New Roman" w:eastAsia="仿宋_GB2312" w:cs="Times New Roman"/>
          <w:b w:val="0"/>
          <w:bCs w:val="0"/>
          <w:sz w:val="32"/>
          <w:szCs w:val="32"/>
          <w:lang w:val="en-US" w:eastAsia="zh-CN"/>
        </w:rPr>
        <w:t>《马边“云上福来”景区旅游总体规划》，</w:t>
      </w:r>
      <w:r>
        <w:rPr>
          <w:rFonts w:hint="eastAsia" w:ascii="Times New Roman" w:hAnsi="Times New Roman" w:eastAsia="仿宋_GB2312" w:cs="Times New Roman"/>
          <w:b w:val="0"/>
          <w:bCs w:val="0"/>
          <w:sz w:val="32"/>
          <w:szCs w:val="32"/>
          <w:lang w:val="en-US" w:eastAsia="zh-CN"/>
        </w:rPr>
        <w:t>明确了</w:t>
      </w:r>
      <w:r>
        <w:rPr>
          <w:rFonts w:hint="default" w:ascii="Times New Roman" w:hAnsi="Times New Roman" w:eastAsia="仿宋_GB2312" w:cs="Times New Roman"/>
          <w:b w:val="0"/>
          <w:bCs w:val="0"/>
          <w:sz w:val="32"/>
          <w:szCs w:val="32"/>
          <w:lang w:val="en-US" w:eastAsia="zh-CN"/>
        </w:rPr>
        <w:t>3</w:t>
      </w:r>
      <w:r>
        <w:rPr>
          <w:rFonts w:hint="eastAsia" w:ascii="Times New Roman" w:hAnsi="Times New Roman" w:eastAsia="仿宋_GB2312" w:cs="Times New Roman"/>
          <w:b w:val="0"/>
          <w:bCs w:val="0"/>
          <w:sz w:val="32"/>
          <w:szCs w:val="32"/>
          <w:lang w:val="en-US" w:eastAsia="zh-CN"/>
        </w:rPr>
        <w:t>2</w:t>
      </w:r>
      <w:r>
        <w:rPr>
          <w:rFonts w:hint="default" w:ascii="Times New Roman" w:hAnsi="Times New Roman" w:eastAsia="仿宋_GB2312" w:cs="Times New Roman"/>
          <w:b w:val="0"/>
          <w:bCs w:val="0"/>
          <w:sz w:val="32"/>
          <w:szCs w:val="32"/>
          <w:lang w:val="en-US" w:eastAsia="zh-CN"/>
        </w:rPr>
        <w:t>项</w:t>
      </w:r>
      <w:r>
        <w:rPr>
          <w:rFonts w:hint="eastAsia" w:ascii="Times New Roman" w:hAnsi="Times New Roman" w:eastAsia="仿宋_GB2312" w:cs="Times New Roman"/>
          <w:b w:val="0"/>
          <w:bCs w:val="0"/>
          <w:sz w:val="32"/>
          <w:szCs w:val="32"/>
          <w:lang w:val="en-US" w:eastAsia="zh-CN"/>
        </w:rPr>
        <w:t>硬件</w:t>
      </w:r>
      <w:r>
        <w:rPr>
          <w:rFonts w:hint="default" w:ascii="Times New Roman" w:hAnsi="Times New Roman" w:eastAsia="仿宋_GB2312" w:cs="Times New Roman"/>
          <w:b w:val="0"/>
          <w:bCs w:val="0"/>
          <w:sz w:val="32"/>
          <w:szCs w:val="32"/>
          <w:lang w:val="en-US" w:eastAsia="zh-CN"/>
        </w:rPr>
        <w:t>建设任务</w:t>
      </w:r>
      <w:r>
        <w:rPr>
          <w:rFonts w:hint="eastAsia" w:ascii="Times New Roman" w:hAnsi="Times New Roman" w:eastAsia="仿宋_GB2312" w:cs="Times New Roman"/>
          <w:b w:val="0"/>
          <w:bCs w:val="0"/>
          <w:sz w:val="32"/>
          <w:szCs w:val="32"/>
          <w:lang w:val="en-US" w:eastAsia="zh-CN"/>
        </w:rPr>
        <w:t>和29项</w:t>
      </w:r>
      <w:r>
        <w:rPr>
          <w:rFonts w:hint="default" w:ascii="Times New Roman" w:hAnsi="Times New Roman" w:eastAsia="仿宋_GB2312" w:cs="Times New Roman"/>
          <w:b w:val="0"/>
          <w:bCs w:val="0"/>
          <w:sz w:val="32"/>
          <w:szCs w:val="32"/>
          <w:lang w:val="en-US" w:eastAsia="zh-CN"/>
        </w:rPr>
        <w:t>软件</w:t>
      </w:r>
      <w:r>
        <w:rPr>
          <w:rFonts w:hint="eastAsia" w:ascii="Times New Roman" w:hAnsi="Times New Roman" w:eastAsia="仿宋_GB2312" w:cs="Times New Roman"/>
          <w:b w:val="0"/>
          <w:bCs w:val="0"/>
          <w:sz w:val="32"/>
          <w:szCs w:val="32"/>
          <w:lang w:val="en-US" w:eastAsia="zh-CN"/>
        </w:rPr>
        <w:t>建设</w:t>
      </w:r>
      <w:r>
        <w:rPr>
          <w:rFonts w:hint="default" w:ascii="Times New Roman" w:hAnsi="Times New Roman" w:eastAsia="仿宋_GB2312" w:cs="Times New Roman"/>
          <w:b w:val="0"/>
          <w:bCs w:val="0"/>
          <w:sz w:val="32"/>
          <w:szCs w:val="32"/>
          <w:lang w:val="en-US" w:eastAsia="zh-CN"/>
        </w:rPr>
        <w:t>任务</w:t>
      </w:r>
      <w:r>
        <w:rPr>
          <w:rFonts w:hint="eastAsia" w:ascii="Times New Roman" w:hAnsi="Times New Roman" w:eastAsia="仿宋_GB2312" w:cs="Times New Roman"/>
          <w:b w:val="0"/>
          <w:bCs w:val="0"/>
          <w:sz w:val="32"/>
          <w:szCs w:val="32"/>
          <w:lang w:val="en-US" w:eastAsia="zh-CN"/>
        </w:rPr>
        <w:t>责任单位、完成时限。加强统筹协调，按照创建标准，整合创建资源，对景区范围及周边交通、乡村振兴、农业农村局等项目进行统筹建设，提高设施配套水平。</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三、主要成效</w:t>
      </w:r>
    </w:p>
    <w:p>
      <w:pPr>
        <w:keepNext w:val="0"/>
        <w:keepLines w:val="0"/>
        <w:pageBreakBefore w:val="0"/>
        <w:numPr>
          <w:ilvl w:val="0"/>
          <w:numId w:val="1"/>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完善</w:t>
      </w:r>
      <w:r>
        <w:rPr>
          <w:rFonts w:hint="eastAsia" w:ascii="楷体_GB2312" w:hAnsi="楷体_GB2312" w:eastAsia="楷体_GB2312" w:cs="楷体_GB2312"/>
          <w:sz w:val="32"/>
          <w:szCs w:val="32"/>
        </w:rPr>
        <w:t>旅游交通条件。</w:t>
      </w:r>
      <w:r>
        <w:rPr>
          <w:rFonts w:hint="eastAsia" w:ascii="仿宋_GB2312" w:hAnsi="仿宋_GB2312" w:eastAsia="仿宋_GB2312" w:cs="仿宋_GB2312"/>
          <w:color w:val="000000"/>
          <w:kern w:val="0"/>
          <w:sz w:val="32"/>
          <w:szCs w:val="32"/>
          <w:lang w:eastAsia="zh-CN"/>
        </w:rPr>
        <w:t>“云上福来”</w:t>
      </w:r>
      <w:r>
        <w:rPr>
          <w:rFonts w:hint="eastAsia" w:ascii="仿宋_GB2312" w:hAnsi="仿宋_GB2312" w:eastAsia="仿宋_GB2312" w:cs="仿宋_GB2312"/>
          <w:sz w:val="32"/>
          <w:szCs w:val="32"/>
        </w:rPr>
        <w:t>景区设置了多个停车场，共规划上百个停车位，停车场按照相关标准划停车线、分设出入口并进行文化氛围装饰，达到与周边旅游景观相协调的效果，停车场管理制度健全，设专人管理。景区为保证景区秩序和游客安全，合理设置了景区内部的旅游交通线路。景区道路形成了游览线，内部游步道均采用石砖、木栈道等生态材质，景区道路绿化良好。</w:t>
      </w:r>
    </w:p>
    <w:p>
      <w:pPr>
        <w:keepNext w:val="0"/>
        <w:keepLines w:val="0"/>
        <w:pageBreakBefore w:val="0"/>
        <w:numPr>
          <w:ilvl w:val="0"/>
          <w:numId w:val="1"/>
        </w:numPr>
        <w:kinsoku/>
        <w:wordWrap/>
        <w:overflowPunct/>
        <w:topLinePunct w:val="0"/>
        <w:autoSpaceDE/>
        <w:autoSpaceDN/>
        <w:bidi w:val="0"/>
        <w:adjustRightInd/>
        <w:snapToGrid/>
        <w:spacing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提升</w:t>
      </w:r>
      <w:r>
        <w:rPr>
          <w:rFonts w:hint="eastAsia" w:ascii="楷体_GB2312" w:hAnsi="楷体_GB2312" w:eastAsia="楷体_GB2312" w:cs="楷体_GB2312"/>
          <w:sz w:val="32"/>
          <w:szCs w:val="32"/>
        </w:rPr>
        <w:t>景区</w:t>
      </w:r>
      <w:bookmarkStart w:id="0" w:name="_GoBack"/>
      <w:bookmarkEnd w:id="0"/>
      <w:r>
        <w:rPr>
          <w:rFonts w:hint="eastAsia" w:ascii="楷体_GB2312" w:hAnsi="楷体_GB2312" w:eastAsia="楷体_GB2312" w:cs="楷体_GB2312"/>
          <w:sz w:val="32"/>
          <w:szCs w:val="32"/>
        </w:rPr>
        <w:t>游览设施。</w:t>
      </w:r>
      <w:r>
        <w:rPr>
          <w:rFonts w:hint="eastAsia" w:ascii="仿宋_GB2312" w:hAnsi="仿宋_GB2312" w:eastAsia="仿宋_GB2312" w:cs="仿宋_GB2312"/>
          <w:color w:val="000000"/>
          <w:kern w:val="0"/>
          <w:sz w:val="32"/>
          <w:szCs w:val="32"/>
          <w:lang w:eastAsia="zh-CN"/>
        </w:rPr>
        <w:t>“云上福来”</w:t>
      </w:r>
      <w:r>
        <w:rPr>
          <w:rFonts w:hint="eastAsia" w:ascii="仿宋_GB2312" w:hAnsi="仿宋_GB2312" w:eastAsia="仿宋_GB2312" w:cs="仿宋_GB2312"/>
          <w:sz w:val="32"/>
          <w:szCs w:val="32"/>
        </w:rPr>
        <w:t>景区设有游客中心，提供景区多语种宣传折页等导览资料和宣传资料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精美全景图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景区旅游活动节目预告牌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特殊人群服务及设施</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，满足游客观光、游览、购物、休憩等需求，配套旅游厕所。</w:t>
      </w:r>
      <w:r>
        <w:rPr>
          <w:rFonts w:hint="eastAsia" w:ascii="仿宋_GB2312" w:hAnsi="仿宋_GB2312" w:eastAsia="仿宋_GB2312" w:cs="仿宋_GB2312"/>
          <w:sz w:val="32"/>
          <w:szCs w:val="32"/>
          <w:lang w:val="en-US" w:eastAsia="zh-CN"/>
        </w:rPr>
        <w:t>并配备</w:t>
      </w:r>
      <w:r>
        <w:rPr>
          <w:rFonts w:hint="eastAsia" w:ascii="仿宋_GB2312" w:hAnsi="仿宋_GB2312" w:eastAsia="仿宋_GB2312" w:cs="仿宋_GB2312"/>
          <w:sz w:val="32"/>
          <w:szCs w:val="32"/>
        </w:rPr>
        <w:t>专职的旅游咨询服务人员，为游客提供景区、游览、食宿、交通等咨询服务。景区在主要出入口处设立了导游全景图，详细标注景区各主要景点</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服务设施的位置，并明示了景区咨询、投诉、救援电话等。在道路沿线设置有公共休息设施，能充分满足游客休息与观景需要。</w:t>
      </w:r>
      <w:r>
        <w:rPr>
          <w:rFonts w:hint="eastAsia" w:ascii="仿宋_GB2312" w:hAnsi="仿宋_GB2312" w:eastAsia="仿宋_GB2312" w:cs="仿宋_GB2312"/>
          <w:color w:val="000000"/>
          <w:kern w:val="0"/>
          <w:sz w:val="32"/>
          <w:szCs w:val="32"/>
          <w:lang w:eastAsia="zh-CN"/>
        </w:rPr>
        <w:t>“云上福来”</w:t>
      </w:r>
      <w:r>
        <w:rPr>
          <w:rFonts w:hint="eastAsia" w:ascii="仿宋_GB2312" w:hAnsi="仿宋_GB2312" w:eastAsia="仿宋_GB2312" w:cs="仿宋_GB2312"/>
          <w:sz w:val="32"/>
          <w:szCs w:val="32"/>
        </w:rPr>
        <w:t>景区公共信息图形符号设置严格按照国家标准设立，图形规范、准确。</w:t>
      </w:r>
    </w:p>
    <w:p>
      <w:pPr>
        <w:keepNext w:val="0"/>
        <w:keepLines w:val="0"/>
        <w:pageBreakBefore w:val="0"/>
        <w:numPr>
          <w:ilvl w:val="0"/>
          <w:numId w:val="1"/>
        </w:numPr>
        <w:kinsoku/>
        <w:wordWrap/>
        <w:overflowPunct/>
        <w:topLinePunct w:val="0"/>
        <w:autoSpaceDE/>
        <w:autoSpaceDN/>
        <w:bidi w:val="0"/>
        <w:adjustRightInd/>
        <w:snapToGrid/>
        <w:spacing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强化</w:t>
      </w:r>
      <w:r>
        <w:rPr>
          <w:rFonts w:hint="eastAsia" w:ascii="楷体_GB2312" w:hAnsi="楷体_GB2312" w:eastAsia="楷体_GB2312" w:cs="楷体_GB2312"/>
          <w:sz w:val="32"/>
          <w:szCs w:val="32"/>
        </w:rPr>
        <w:t>旅游安全</w:t>
      </w:r>
      <w:r>
        <w:rPr>
          <w:rFonts w:hint="eastAsia" w:ascii="楷体_GB2312" w:hAnsi="楷体_GB2312" w:eastAsia="楷体_GB2312" w:cs="楷体_GB2312"/>
          <w:sz w:val="32"/>
          <w:szCs w:val="32"/>
          <w:lang w:eastAsia="zh-CN"/>
        </w:rPr>
        <w:t>保障</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景区现有专职安全保护人员、流动安全保护人员。设置有效监控系统，配置监控摄像头多个，已经链接四川省智游天府平台。制定了高峰期游客安全和特殊时段安全的处置预案、管理制度等安全措施，对景区的旅游安全进行定期、定时巡查。在游客集中区，通过多种形式向游客公布急救电话与救援电话，对重点防火区域配备了电子监控、灭火器、消防栓等消防、安全设施。为保证游客的游览安全，景区在危险地段设置安全警示牌、温馨提示牌、安全护栏等设施，管理部门定期或不定期开展检查，保证游览设施的安全可靠。景区医务室配备有医护人员、急救箱、急救担架、急救药品、日常药品等，制定了医务室管理制度和医护人员岗位职责，有力保证了游客的游览安全，景区自开放以来未发生重大安全事故。</w:t>
      </w:r>
    </w:p>
    <w:p>
      <w:pPr>
        <w:keepNext w:val="0"/>
        <w:keepLines w:val="0"/>
        <w:pageBreakBefore w:val="0"/>
        <w:numPr>
          <w:ilvl w:val="0"/>
          <w:numId w:val="1"/>
        </w:numPr>
        <w:kinsoku/>
        <w:wordWrap/>
        <w:overflowPunct/>
        <w:topLinePunct w:val="0"/>
        <w:autoSpaceDE/>
        <w:autoSpaceDN/>
        <w:bidi w:val="0"/>
        <w:adjustRightInd/>
        <w:snapToGrid/>
        <w:spacing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营造干净卫生环境</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景区成立了专业卫生队伍，配备有正式环卫工人，在游客高峰期，还聘请周边的临时环卫人员。景区采取日产日清</w:t>
      </w:r>
      <w:r>
        <w:rPr>
          <w:rFonts w:hint="eastAsia" w:ascii="仿宋_GB2312" w:hAnsi="仿宋_GB2312" w:eastAsia="仿宋_GB2312" w:cs="仿宋_GB2312"/>
          <w:sz w:val="32"/>
          <w:szCs w:val="32"/>
          <w:lang w:val="en-US" w:eastAsia="zh-CN"/>
        </w:rPr>
        <w:t>进行垃圾</w:t>
      </w:r>
      <w:r>
        <w:rPr>
          <w:rFonts w:hint="eastAsia" w:ascii="仿宋_GB2312" w:hAnsi="仿宋_GB2312" w:eastAsia="仿宋_GB2312" w:cs="仿宋_GB2312"/>
          <w:sz w:val="32"/>
          <w:szCs w:val="32"/>
        </w:rPr>
        <w:t>管理，合理设置分类垃圾桶，配备美观大方的垃圾清扫器具。景区在醒目位置设置“非吸烟区”标识，</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加强对餐饮区域的食品卫生管理，要求食品卫生须符合国家卫生规定。景区建有多处公共卫生间，厕位数量充足，厕所内外部设计、装饰与周边环境协调，并设有家庭卫生间和无障碍人士专用厕位；厕所内配备了盥洗设施、挂衣钩、卫生纸、面镜等设施及专职服务人员，各项卫生管理制度完善、职责明确、管理到位。</w:t>
      </w:r>
    </w:p>
    <w:p>
      <w:pPr>
        <w:keepNext w:val="0"/>
        <w:keepLines w:val="0"/>
        <w:pageBreakBefore w:val="0"/>
        <w:numPr>
          <w:ilvl w:val="0"/>
          <w:numId w:val="1"/>
        </w:numPr>
        <w:kinsoku/>
        <w:wordWrap/>
        <w:overflowPunct/>
        <w:topLinePunct w:val="0"/>
        <w:autoSpaceDE/>
        <w:autoSpaceDN/>
        <w:bidi w:val="0"/>
        <w:adjustRightInd/>
        <w:snapToGrid/>
        <w:spacing w:line="576"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rPr>
        <w:t>提升信息服务</w:t>
      </w:r>
      <w:r>
        <w:rPr>
          <w:rFonts w:hint="eastAsia" w:ascii="楷体_GB2312" w:hAnsi="楷体_GB2312" w:eastAsia="楷体_GB2312" w:cs="楷体_GB2312"/>
          <w:sz w:val="32"/>
          <w:szCs w:val="32"/>
          <w:lang w:eastAsia="zh-CN"/>
        </w:rPr>
        <w:t>水平</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在游客中心开设了邮政服务点，设置了邮政服务专柜，邮政信箱，为游客提供全面的邮政相关服务，同时提供办理信件、包裹、特快专递邮寄业务，提供供游客阅读的各类刊物，为游客提供了便捷的通信服务，方便和满足了游客邮政通信的需要</w:t>
      </w:r>
      <w:r>
        <w:rPr>
          <w:rFonts w:hint="eastAsia" w:ascii="仿宋_GB2312" w:hAnsi="仿宋_GB2312" w:eastAsia="仿宋_GB2312" w:cs="仿宋_GB2312"/>
          <w:sz w:val="32"/>
          <w:szCs w:val="32"/>
          <w:lang w:eastAsia="zh-CN"/>
        </w:rPr>
        <w:t>。景区电讯基础设施完善，游客中心放置公用电话，周边建有移动、联通、电信通讯机站，目前景区游客集中区域实现了移动电话信号全覆盖，保证了通话无盲区。</w:t>
      </w:r>
    </w:p>
    <w:p>
      <w:pPr>
        <w:keepNext w:val="0"/>
        <w:keepLines w:val="0"/>
        <w:pageBreakBefore w:val="0"/>
        <w:numPr>
          <w:ilvl w:val="0"/>
          <w:numId w:val="1"/>
        </w:numPr>
        <w:kinsoku/>
        <w:wordWrap/>
        <w:overflowPunct/>
        <w:topLinePunct w:val="0"/>
        <w:autoSpaceDE/>
        <w:autoSpaceDN/>
        <w:bidi w:val="0"/>
        <w:adjustRightInd/>
        <w:snapToGrid/>
        <w:spacing w:line="576" w:lineRule="exact"/>
        <w:ind w:left="0" w:leftChars="0"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消费环境规范有序</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景区在游客中心内设有旅游商品专卖店，旅游商品种类丰富，共数百种，具有本地区域特色。制定了各项管理制度，内容详实，职责明确，对旅游购物店铺进行统一规范管理，商品明码标价、无价格欺诈行为，无围追兜售、强买强卖现象。为游客营造了安全、卫生、秩序良好的购物环境。</w:t>
      </w:r>
    </w:p>
    <w:p>
      <w:pPr>
        <w:pStyle w:val="4"/>
        <w:keepNext w:val="0"/>
        <w:keepLines w:val="0"/>
        <w:pageBreakBefore w:val="0"/>
        <w:widowControl/>
        <w:numPr>
          <w:ilvl w:val="0"/>
          <w:numId w:val="1"/>
        </w:numPr>
        <w:kinsoku/>
        <w:wordWrap/>
        <w:overflowPunct/>
        <w:topLinePunct w:val="0"/>
        <w:autoSpaceDE/>
        <w:autoSpaceDN/>
        <w:bidi w:val="0"/>
        <w:adjustRightInd/>
        <w:snapToGrid/>
        <w:spacing w:line="576" w:lineRule="exact"/>
        <w:ind w:left="0" w:leftChars="0"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kern w:val="2"/>
          <w:sz w:val="32"/>
          <w:szCs w:val="32"/>
          <w:lang w:val="en-US" w:eastAsia="zh-CN" w:bidi="ar-SA"/>
        </w:rPr>
        <w:t>规范景区综合管理。</w:t>
      </w:r>
      <w:r>
        <w:rPr>
          <w:rFonts w:hint="eastAsia" w:ascii="仿宋_GB2312" w:hAnsi="仿宋_GB2312" w:eastAsia="仿宋_GB2312" w:cs="仿宋_GB2312"/>
          <w:color w:val="000000"/>
          <w:sz w:val="32"/>
          <w:szCs w:val="32"/>
        </w:rPr>
        <w:t>景区管理机构健全、职责分明，市场营销、讲解、环保等各类规章制度健全，部门及员工对各自职责和分工熟知，严格按照各项规章制度执行，有相应的执行记录。景区培训制度健全，每年对相关从业人员进行培训，内容涵盖营销、安全、环保等方面，通过培训，全面提高了员工的业务知识和服务水平</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投诉处理制度和投诉服务设施健全，有专门的投诉场所和投诉电话，在游客中心设置了意见簿，方便游客给景区提意见和建议。景区自开业以来未发生重大质量投诉事件。景区征询游客意见后对游客的意见进行了分析，及时通报、认真采纳了游客的合理意见。景区职工和旅游从业人员80%为本地人，对当地经济有显著的带动作用。</w:t>
      </w:r>
    </w:p>
    <w:p>
      <w:pPr>
        <w:keepNext w:val="0"/>
        <w:keepLines w:val="0"/>
        <w:pageBreakBefore w:val="0"/>
        <w:widowControl/>
        <w:numPr>
          <w:ilvl w:val="0"/>
          <w:numId w:val="1"/>
        </w:numPr>
        <w:kinsoku/>
        <w:wordWrap/>
        <w:overflowPunct/>
        <w:topLinePunct w:val="0"/>
        <w:autoSpaceDE/>
        <w:autoSpaceDN/>
        <w:bidi w:val="0"/>
        <w:adjustRightInd/>
        <w:snapToGrid/>
        <w:spacing w:line="576"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狠抓资源和环境保护。</w:t>
      </w:r>
      <w:r>
        <w:rPr>
          <w:rFonts w:hint="eastAsia" w:ascii="仿宋_GB2312" w:hAnsi="仿宋_GB2312" w:eastAsia="仿宋_GB2312" w:cs="仿宋_GB2312"/>
          <w:sz w:val="32"/>
          <w:szCs w:val="32"/>
        </w:rPr>
        <w:t>景区空气质量、噪声指标、地表水质量均达到相关标准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景区在旅游开发过程中，坚持“保护第一”的原则，树立科学规划、综合开发的理念，聘请专业设计公司对景区的资源保护进行设计。景区内服务类建筑均与景区风格相协调，建筑选址科学，景观效果良好；功能性建筑隐蔽，外观美化；输电、通讯线路实现部分地下隐蔽埋置；景区内标语口号、商品广告、商业服务设施招牌、游览设施均考虑主题文化、民俗因素，外观与文化内涵相适应。景区山水林田相依，自然环境优美，景区内居民均使用环保材料与能源，禁止高噪音和有害气体污染，有效地保护了景区的生态环境。</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kern w:val="0"/>
          <w:sz w:val="32"/>
          <w:szCs w:val="32"/>
          <w:lang w:val="en-US" w:eastAsia="zh-CN"/>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九</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宣传营销成效显著</w:t>
      </w:r>
      <w:r>
        <w:rPr>
          <w:rFonts w:hint="eastAsia" w:ascii="楷体_GB2312" w:hAnsi="楷体_GB2312" w:eastAsia="楷体_GB2312" w:cs="楷体_GB2312"/>
          <w:sz w:val="32"/>
          <w:szCs w:val="32"/>
        </w:rPr>
        <w:t>。</w:t>
      </w:r>
      <w:r>
        <w:rPr>
          <w:rFonts w:hint="eastAsia" w:ascii="仿宋_GB2312" w:hAnsi="仿宋_GB2312" w:eastAsia="仿宋_GB2312" w:cs="仿宋_GB2312"/>
          <w:color w:val="000000"/>
          <w:kern w:val="0"/>
          <w:sz w:val="32"/>
          <w:szCs w:val="32"/>
          <w:lang w:val="en-US" w:eastAsia="zh-CN"/>
        </w:rPr>
        <w:t>景区在央视《朝闻天下》、乐山广播电视台《美丽乡村行》、搜狐新闻、腾讯新闻、网易、乐山日报等平台、报刊和网站都进行过宣传介绍。2021年国庆节前后，景区与马边县政府联合主办以“共享彝风，共度国庆”为主题的“2021年中国乐山·马边彝族风情狂欢节暨国庆民俗文体活动”，并将中旅投资打造的“云上福来——卡莎莎乡村度假区”作为分会场，举办了“‘乐游云上福来 体味诗画原乡’彝风民谣音乐品鉴会暨卡莎莎乡村度假区投运仪式”和“‘景村共建谋发展 乡风文明促振兴’云上风情狂欢晚会”两场主题活动，充分展示马边的人文风情和自然之美。曾先后荣获全国民主法治示范村、全国“一村一品”示范村、省级先进基层党组织、省级（5A）先进村党组织、省级乡村振兴示范村、省级乡村旅游重点村、2020乐山文化旅游“新十景”殊荣等荣誉。</w:t>
      </w:r>
      <w:r>
        <w:rPr>
          <w:rFonts w:hint="eastAsia" w:ascii="仿宋_GB2312" w:hAnsi="仿宋_GB2312" w:eastAsia="仿宋_GB2312" w:cs="仿宋_GB2312"/>
          <w:sz w:val="32"/>
          <w:szCs w:val="32"/>
          <w:lang w:eastAsia="zh-CN"/>
        </w:rPr>
        <w:t>卡莎莎</w:t>
      </w:r>
      <w:r>
        <w:rPr>
          <w:rFonts w:hint="eastAsia" w:ascii="仿宋_GB2312" w:hAnsi="仿宋_GB2312" w:eastAsia="仿宋_GB2312" w:cs="仿宋_GB2312"/>
          <w:sz w:val="32"/>
          <w:szCs w:val="32"/>
          <w:lang w:val="en-US" w:eastAsia="zh-CN"/>
        </w:rPr>
        <w:t>民宿于</w:t>
      </w:r>
      <w:r>
        <w:rPr>
          <w:rFonts w:hint="eastAsia" w:ascii="仿宋_GB2312" w:hAnsi="仿宋_GB2312" w:eastAsia="仿宋_GB2312" w:cs="仿宋_GB2312"/>
          <w:sz w:val="32"/>
          <w:szCs w:val="32"/>
          <w:lang w:eastAsia="zh-CN"/>
        </w:rPr>
        <w:t>2022年荣获四川省“天府旅游名宿”荣誉称号，2024年入选国家乙级民宿，</w:t>
      </w:r>
      <w:r>
        <w:rPr>
          <w:rFonts w:hint="eastAsia" w:ascii="仿宋_GB2312" w:hAnsi="仿宋_GB2312" w:eastAsia="仿宋_GB2312" w:cs="仿宋_GB2312"/>
          <w:b w:val="0"/>
          <w:bCs w:val="0"/>
          <w:sz w:val="32"/>
          <w:szCs w:val="32"/>
          <w:lang w:val="en-US" w:eastAsia="zh-CN"/>
        </w:rPr>
        <w:t>高山有机</w:t>
      </w:r>
      <w:r>
        <w:rPr>
          <w:rFonts w:hint="eastAsia" w:ascii="仿宋_GB2312" w:hAnsi="仿宋_GB2312" w:eastAsia="仿宋_GB2312" w:cs="仿宋_GB2312"/>
          <w:b w:val="0"/>
          <w:bCs/>
          <w:sz w:val="32"/>
          <w:szCs w:val="32"/>
        </w:rPr>
        <w:t>茶园</w:t>
      </w:r>
      <w:r>
        <w:rPr>
          <w:rFonts w:hint="eastAsia" w:ascii="仿宋_GB2312" w:hAnsi="仿宋_GB2312" w:eastAsia="仿宋_GB2312" w:cs="仿宋_GB2312"/>
          <w:b w:val="0"/>
          <w:bCs/>
          <w:sz w:val="32"/>
          <w:szCs w:val="32"/>
          <w:lang w:val="en-US" w:eastAsia="zh-CN"/>
        </w:rPr>
        <w:t>于2024年</w:t>
      </w:r>
      <w:r>
        <w:rPr>
          <w:rFonts w:hint="eastAsia" w:ascii="仿宋_GB2312" w:hAnsi="仿宋_GB2312" w:eastAsia="仿宋_GB2312" w:cs="仿宋_GB2312"/>
          <w:b w:val="0"/>
          <w:bCs/>
          <w:sz w:val="32"/>
          <w:szCs w:val="32"/>
        </w:rPr>
        <w:t>被评为四川省三星级茶叶现代农业园区</w:t>
      </w:r>
      <w:r>
        <w:rPr>
          <w:rFonts w:hint="eastAsia" w:ascii="仿宋_GB2312" w:hAnsi="仿宋_GB2312" w:eastAsia="仿宋_GB2312" w:cs="仿宋_GB2312"/>
          <w:b w:val="0"/>
          <w:bCs/>
          <w:sz w:val="32"/>
          <w:szCs w:val="32"/>
          <w:lang w:eastAsia="zh-CN"/>
        </w:rPr>
        <w:t>。</w:t>
      </w:r>
    </w:p>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Arial Unicode MS">
    <w:altName w:val="Times New Roman"/>
    <w:panose1 w:val="020B0604020202020204"/>
    <w:charset w:val="86"/>
    <w:family w:val="auto"/>
    <w:pitch w:val="default"/>
    <w:sig w:usb0="00000000" w:usb1="00000000"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A0CEE8"/>
    <w:multiLevelType w:val="singleLevel"/>
    <w:tmpl w:val="6BA0CEE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5ODFjZDk0ZDUwNDNjZjExZjJjMGUzZTg4YmM0MTQifQ=="/>
  </w:docVars>
  <w:rsids>
    <w:rsidRoot w:val="AFCC06AC"/>
    <w:rsid w:val="009F4FB4"/>
    <w:rsid w:val="0F017BB0"/>
    <w:rsid w:val="11912EC5"/>
    <w:rsid w:val="161E3423"/>
    <w:rsid w:val="16946F90"/>
    <w:rsid w:val="16FA7E6B"/>
    <w:rsid w:val="1BBF0523"/>
    <w:rsid w:val="1BCE4263"/>
    <w:rsid w:val="1CF77BE9"/>
    <w:rsid w:val="215B2A39"/>
    <w:rsid w:val="23895652"/>
    <w:rsid w:val="2AC43F44"/>
    <w:rsid w:val="305627F3"/>
    <w:rsid w:val="315CCC2E"/>
    <w:rsid w:val="340A347C"/>
    <w:rsid w:val="3A087973"/>
    <w:rsid w:val="3BDFC3DE"/>
    <w:rsid w:val="3E76DD6B"/>
    <w:rsid w:val="3F5A6B29"/>
    <w:rsid w:val="47AE38F8"/>
    <w:rsid w:val="4CAE5FDC"/>
    <w:rsid w:val="4DFF74C3"/>
    <w:rsid w:val="4FE5F142"/>
    <w:rsid w:val="529A4A4F"/>
    <w:rsid w:val="5EDC3E55"/>
    <w:rsid w:val="5FFAD281"/>
    <w:rsid w:val="6409403E"/>
    <w:rsid w:val="64EBF3F6"/>
    <w:rsid w:val="65AB90A6"/>
    <w:rsid w:val="67F4792E"/>
    <w:rsid w:val="690A3725"/>
    <w:rsid w:val="6E9B6E18"/>
    <w:rsid w:val="6F5F16C0"/>
    <w:rsid w:val="6FFBDE8E"/>
    <w:rsid w:val="6FFD5985"/>
    <w:rsid w:val="71564418"/>
    <w:rsid w:val="76BD26DD"/>
    <w:rsid w:val="787D55D4"/>
    <w:rsid w:val="78AA68FE"/>
    <w:rsid w:val="7BD74F52"/>
    <w:rsid w:val="7D36AD98"/>
    <w:rsid w:val="7DBF6E7E"/>
    <w:rsid w:val="7F7FBB45"/>
    <w:rsid w:val="ABFFA63E"/>
    <w:rsid w:val="AFCC06AC"/>
    <w:rsid w:val="AFE32754"/>
    <w:rsid w:val="D4ED1143"/>
    <w:rsid w:val="D7FF802A"/>
    <w:rsid w:val="DFF89207"/>
    <w:rsid w:val="F49B1BC3"/>
    <w:rsid w:val="F4D566AF"/>
    <w:rsid w:val="F6FE6F11"/>
    <w:rsid w:val="F7EBDDD3"/>
    <w:rsid w:val="F7EE296F"/>
    <w:rsid w:val="F9D61FFE"/>
    <w:rsid w:val="FF7F33F4"/>
    <w:rsid w:val="FFDFDFAB"/>
    <w:rsid w:val="FFF2E0F2"/>
    <w:rsid w:val="FFFB7C1E"/>
    <w:rsid w:val="FFFFA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99"/>
    <w:pPr>
      <w:spacing w:line="240" w:lineRule="auto"/>
      <w:ind w:firstLine="0"/>
    </w:pPr>
    <w:rPr>
      <w:rFonts w:ascii="宋体" w:hAnsi="Courier New" w:eastAsia="宋体" w:cs="Courier New"/>
      <w:sz w:val="21"/>
      <w:szCs w:val="21"/>
    </w:rPr>
  </w:style>
  <w:style w:type="paragraph" w:styleId="3">
    <w:name w:val="footer"/>
    <w:basedOn w:val="1"/>
    <w:unhideWhenUsed/>
    <w:qFormat/>
    <w:uiPriority w:val="99"/>
    <w:pPr>
      <w:tabs>
        <w:tab w:val="center" w:pos="4153"/>
        <w:tab w:val="right" w:pos="8306"/>
      </w:tabs>
      <w:snapToGrid w:val="0"/>
      <w:spacing w:line="240" w:lineRule="auto"/>
      <w:ind w:firstLine="0"/>
      <w:jc w:val="left"/>
    </w:pPr>
    <w:rPr>
      <w:rFonts w:asciiTheme="minorHAnsi" w:hAnsiTheme="minorHAnsi" w:eastAsiaTheme="minorEastAsia" w:cstheme="minorBidi"/>
      <w:sz w:val="18"/>
      <w:szCs w:val="18"/>
    </w:rPr>
  </w:style>
  <w:style w:type="paragraph" w:styleId="4">
    <w:name w:val="Normal (Web)"/>
    <w:basedOn w:val="1"/>
    <w:qFormat/>
    <w:uiPriority w:val="0"/>
    <w:rPr>
      <w:sz w:val="24"/>
    </w:rPr>
  </w:style>
  <w:style w:type="character" w:customStyle="1" w:styleId="7">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3189</Words>
  <Characters>3227</Characters>
  <Lines>0</Lines>
  <Paragraphs>0</Paragraphs>
  <TotalTime>7</TotalTime>
  <ScaleCrop>false</ScaleCrop>
  <LinksUpToDate>false</LinksUpToDate>
  <CharactersWithSpaces>3230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2022-11-23T17:24:00Z</dcterms:created>
  <dc:creator>user</dc:creator>
  <cp:lastModifiedBy>氓</cp:lastModifiedBy>
  <cp:lastPrinted>2024-01-22T10:45:00Z</cp:lastPrinted>
  <dcterms:modified xsi:type="dcterms:W3CDTF">2024-09-09T16:09:11Z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9EB53D01B3D94624BC8F37D4F3FC5E95_13</vt:lpwstr>
  </property>
</Properties>
</file>