
<file path=[Content_Types].xml><?xml version="1.0" encoding="utf-8"?>
<Types xmlns="http://schemas.openxmlformats.org/package/2006/content-types">
  <Default Extension="xml" ContentType="application/xml"/>
  <Default Extension="xlsx" ContentType="application/vnd.openxmlformats-officedocument.spreadsheetml.sheet"/>
  <Default Extension="png" ContentType="image/png"/>
  <Default Extension="tiff" ContentType="image/tif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style1.xml" ContentType="application/vnd.ms-office.chartstyle+xml"/>
  <Override PartName="/word/charts/style2.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7"/>
        <w:rPr>
          <w:rFonts w:hint="eastAsia" w:ascii="黑体" w:hAnsi="黑体" w:eastAsia="黑体" w:cs="黑体"/>
          <w:color w:val="auto"/>
          <w:sz w:val="32"/>
          <w:szCs w:val="32"/>
          <w:highlight w:val="none"/>
          <w:lang w:val="en-US" w:eastAsia="zh-CN"/>
        </w:rPr>
      </w:pPr>
      <w:bookmarkStart w:id="0" w:name="_Hlk106025675"/>
      <w:bookmarkEnd w:id="0"/>
      <w:bookmarkStart w:id="283" w:name="_GoBack"/>
      <w:bookmarkEnd w:id="283"/>
      <w:r>
        <w:rPr>
          <w:rFonts w:hint="eastAsia" w:ascii="黑体" w:hAnsi="黑体" w:eastAsia="黑体" w:cs="黑体"/>
          <w:color w:val="auto"/>
          <w:sz w:val="32"/>
          <w:szCs w:val="32"/>
          <w:highlight w:val="none"/>
          <w:lang w:eastAsia="zh-CN"/>
        </w:rPr>
        <w:t>附件</w:t>
      </w:r>
      <w:r>
        <w:rPr>
          <w:rFonts w:hint="eastAsia" w:ascii="黑体" w:hAnsi="黑体" w:eastAsia="黑体" w:cs="黑体"/>
          <w:color w:val="auto"/>
          <w:sz w:val="32"/>
          <w:szCs w:val="32"/>
          <w:highlight w:val="none"/>
          <w:lang w:val="en-US" w:eastAsia="zh-CN"/>
        </w:rPr>
        <w:t>1</w:t>
      </w:r>
    </w:p>
    <w:p>
      <w:pPr>
        <w:rPr>
          <w:kern w:val="0"/>
          <w:sz w:val="28"/>
          <w:szCs w:val="28"/>
          <w:highlight w:val="none"/>
        </w:rPr>
      </w:pPr>
    </w:p>
    <w:p>
      <w:pPr>
        <w:rPr>
          <w:b/>
          <w:kern w:val="0"/>
          <w:sz w:val="28"/>
          <w:szCs w:val="28"/>
          <w:highlight w:val="none"/>
        </w:rPr>
      </w:pPr>
    </w:p>
    <w:p>
      <w:pPr>
        <w:jc w:val="center"/>
        <w:rPr>
          <w:rFonts w:eastAsia="方正小标宋_GBK"/>
          <w:b/>
          <w:kern w:val="0"/>
          <w:sz w:val="48"/>
          <w:szCs w:val="48"/>
          <w:highlight w:val="none"/>
        </w:rPr>
      </w:pPr>
      <w:r>
        <w:rPr>
          <w:rFonts w:eastAsia="方正小标宋_GBK"/>
          <w:b/>
          <w:kern w:val="0"/>
          <w:sz w:val="48"/>
          <w:szCs w:val="48"/>
          <w:highlight w:val="none"/>
        </w:rPr>
        <w:t>乐山港总体规划修订</w:t>
      </w:r>
    </w:p>
    <w:p>
      <w:pPr>
        <w:jc w:val="center"/>
        <w:rPr>
          <w:rFonts w:eastAsia="方正小标宋_GBK"/>
          <w:b/>
          <w:kern w:val="0"/>
          <w:sz w:val="48"/>
          <w:szCs w:val="48"/>
          <w:highlight w:val="none"/>
        </w:rPr>
      </w:pPr>
      <w:r>
        <w:rPr>
          <w:rFonts w:eastAsia="方正小标宋_GBK"/>
          <w:b/>
          <w:kern w:val="0"/>
          <w:sz w:val="48"/>
          <w:szCs w:val="48"/>
          <w:highlight w:val="none"/>
        </w:rPr>
        <w:t>（</w:t>
      </w:r>
      <w:r>
        <w:rPr>
          <w:rFonts w:hint="eastAsia" w:eastAsia="方正小标宋_GBK"/>
          <w:b/>
          <w:kern w:val="0"/>
          <w:sz w:val="48"/>
          <w:szCs w:val="48"/>
          <w:highlight w:val="none"/>
          <w:lang w:eastAsia="zh-CN"/>
        </w:rPr>
        <w:t>征求意见</w:t>
      </w:r>
      <w:r>
        <w:rPr>
          <w:rFonts w:hint="eastAsia" w:eastAsia="方正小标宋_GBK"/>
          <w:b/>
          <w:kern w:val="0"/>
          <w:sz w:val="48"/>
          <w:szCs w:val="48"/>
          <w:highlight w:val="none"/>
        </w:rPr>
        <w:t>稿</w:t>
      </w:r>
      <w:r>
        <w:rPr>
          <w:rFonts w:eastAsia="方正小标宋_GBK"/>
          <w:b/>
          <w:kern w:val="0"/>
          <w:sz w:val="48"/>
          <w:szCs w:val="48"/>
          <w:highlight w:val="none"/>
        </w:rPr>
        <w:t>）</w:t>
      </w:r>
    </w:p>
    <w:p>
      <w:pPr>
        <w:rPr>
          <w:sz w:val="28"/>
          <w:szCs w:val="28"/>
          <w:highlight w:val="none"/>
        </w:rPr>
      </w:pPr>
    </w:p>
    <w:p>
      <w:pPr>
        <w:rPr>
          <w:sz w:val="28"/>
          <w:szCs w:val="28"/>
          <w:highlight w:val="none"/>
        </w:rPr>
      </w:pPr>
    </w:p>
    <w:p>
      <w:pPr>
        <w:rPr>
          <w:sz w:val="28"/>
          <w:szCs w:val="28"/>
          <w:highlight w:val="none"/>
        </w:rPr>
      </w:pPr>
    </w:p>
    <w:p>
      <w:pPr>
        <w:rPr>
          <w:sz w:val="28"/>
          <w:szCs w:val="28"/>
          <w:highlight w:val="none"/>
        </w:rPr>
      </w:pPr>
    </w:p>
    <w:p>
      <w:pPr>
        <w:rPr>
          <w:sz w:val="28"/>
          <w:szCs w:val="28"/>
          <w:highlight w:val="none"/>
        </w:rPr>
      </w:pPr>
    </w:p>
    <w:p>
      <w:pPr>
        <w:rPr>
          <w:sz w:val="28"/>
          <w:szCs w:val="28"/>
          <w:highlight w:val="none"/>
        </w:rPr>
      </w:pPr>
    </w:p>
    <w:p>
      <w:pPr>
        <w:rPr>
          <w:sz w:val="28"/>
          <w:szCs w:val="28"/>
          <w:highlight w:val="none"/>
        </w:rPr>
      </w:pPr>
    </w:p>
    <w:p>
      <w:pPr>
        <w:rPr>
          <w:sz w:val="28"/>
          <w:szCs w:val="28"/>
          <w:highlight w:val="none"/>
        </w:rPr>
      </w:pPr>
    </w:p>
    <w:p>
      <w:pPr>
        <w:rPr>
          <w:sz w:val="28"/>
          <w:szCs w:val="28"/>
          <w:highlight w:val="none"/>
        </w:rPr>
      </w:pPr>
    </w:p>
    <w:p>
      <w:pPr>
        <w:rPr>
          <w:snapToGrid w:val="0"/>
          <w:kern w:val="0"/>
          <w:sz w:val="28"/>
          <w:szCs w:val="28"/>
          <w:highlight w:val="none"/>
        </w:rPr>
      </w:pPr>
    </w:p>
    <w:p>
      <w:pPr>
        <w:rPr>
          <w:snapToGrid w:val="0"/>
          <w:kern w:val="0"/>
          <w:sz w:val="28"/>
          <w:szCs w:val="28"/>
          <w:highlight w:val="none"/>
        </w:rPr>
      </w:pPr>
    </w:p>
    <w:p>
      <w:pPr>
        <w:rPr>
          <w:snapToGrid w:val="0"/>
          <w:kern w:val="0"/>
          <w:sz w:val="28"/>
          <w:szCs w:val="28"/>
          <w:highlight w:val="none"/>
        </w:rPr>
      </w:pPr>
    </w:p>
    <w:tbl>
      <w:tblPr>
        <w:tblStyle w:val="32"/>
        <w:tblW w:w="0" w:type="auto"/>
        <w:jc w:val="center"/>
        <w:tblLayout w:type="autofit"/>
        <w:tblCellMar>
          <w:top w:w="0" w:type="dxa"/>
          <w:left w:w="108" w:type="dxa"/>
          <w:bottom w:w="0" w:type="dxa"/>
          <w:right w:w="108" w:type="dxa"/>
        </w:tblCellMar>
      </w:tblPr>
      <w:tblGrid>
        <w:gridCol w:w="6378"/>
      </w:tblGrid>
      <w:tr>
        <w:tblPrEx>
          <w:tblCellMar>
            <w:top w:w="0" w:type="dxa"/>
            <w:left w:w="108" w:type="dxa"/>
            <w:bottom w:w="0" w:type="dxa"/>
            <w:right w:w="108" w:type="dxa"/>
          </w:tblCellMar>
        </w:tblPrEx>
        <w:trPr>
          <w:jc w:val="center"/>
        </w:trPr>
        <w:tc>
          <w:tcPr>
            <w:tcW w:w="6378" w:type="dxa"/>
          </w:tcPr>
          <w:p>
            <w:pPr>
              <w:ind w:left="5" w:leftChars="-4" w:hanging="13" w:hangingChars="4"/>
              <w:jc w:val="distribute"/>
              <w:rPr>
                <w:rFonts w:eastAsia="黑体"/>
                <w:b/>
                <w:sz w:val="32"/>
                <w:szCs w:val="32"/>
                <w:highlight w:val="none"/>
              </w:rPr>
            </w:pPr>
            <w:r>
              <w:rPr>
                <w:rFonts w:eastAsia="黑体"/>
                <w:b/>
                <w:sz w:val="32"/>
                <w:szCs w:val="32"/>
                <w:highlight w:val="none"/>
              </w:rPr>
              <w:t>乐山市交通运输局</w:t>
            </w:r>
          </w:p>
          <w:p>
            <w:pPr>
              <w:ind w:left="5" w:leftChars="-4" w:hanging="13" w:hangingChars="4"/>
              <w:jc w:val="distribute"/>
              <w:rPr>
                <w:rFonts w:eastAsia="黑体"/>
                <w:b/>
                <w:sz w:val="32"/>
                <w:szCs w:val="32"/>
                <w:highlight w:val="none"/>
              </w:rPr>
            </w:pPr>
            <w:r>
              <w:rPr>
                <w:rFonts w:eastAsia="黑体"/>
                <w:b/>
                <w:sz w:val="32"/>
                <w:szCs w:val="32"/>
                <w:highlight w:val="none"/>
              </w:rPr>
              <w:t>乐山市港航中心</w:t>
            </w:r>
          </w:p>
          <w:p>
            <w:pPr>
              <w:ind w:left="5" w:leftChars="-4" w:hanging="13" w:hangingChars="4"/>
              <w:jc w:val="distribute"/>
              <w:rPr>
                <w:rFonts w:eastAsia="黑体"/>
                <w:b/>
                <w:snapToGrid w:val="0"/>
                <w:spacing w:val="68"/>
                <w:kern w:val="0"/>
                <w:sz w:val="32"/>
                <w:szCs w:val="32"/>
                <w:highlight w:val="none"/>
              </w:rPr>
            </w:pPr>
            <w:r>
              <w:rPr>
                <w:rFonts w:eastAsia="黑体"/>
                <w:b/>
                <w:sz w:val="32"/>
                <w:szCs w:val="32"/>
                <w:highlight w:val="none"/>
              </w:rPr>
              <w:t>四川省交通勘察设计研究院有限公司</w:t>
            </w:r>
          </w:p>
        </w:tc>
      </w:tr>
    </w:tbl>
    <w:p>
      <w:pPr>
        <w:jc w:val="center"/>
        <w:rPr>
          <w:rFonts w:eastAsia="黑体"/>
          <w:b/>
          <w:sz w:val="32"/>
          <w:szCs w:val="32"/>
          <w:highlight w:val="none"/>
        </w:rPr>
        <w:sectPr>
          <w:footerReference r:id="rId3" w:type="default"/>
          <w:pgSz w:w="11906" w:h="16838"/>
          <w:pgMar w:top="1440" w:right="1418" w:bottom="1440" w:left="1418" w:header="851" w:footer="992" w:gutter="0"/>
          <w:pgNumType w:start="1"/>
          <w:cols w:space="425" w:num="1"/>
          <w:docGrid w:type="lines" w:linePitch="312" w:charSpace="0"/>
        </w:sectPr>
      </w:pPr>
      <w:r>
        <w:rPr>
          <w:rFonts w:eastAsia="黑体"/>
          <w:b/>
          <w:sz w:val="32"/>
          <w:szCs w:val="32"/>
          <w:highlight w:val="none"/>
        </w:rPr>
        <w:t>二〇二</w:t>
      </w:r>
      <w:r>
        <w:rPr>
          <w:rFonts w:hint="eastAsia" w:eastAsia="黑体"/>
          <w:b/>
          <w:sz w:val="32"/>
          <w:szCs w:val="32"/>
          <w:highlight w:val="none"/>
        </w:rPr>
        <w:t>四</w:t>
      </w:r>
      <w:r>
        <w:rPr>
          <w:rFonts w:eastAsia="黑体"/>
          <w:b/>
          <w:sz w:val="32"/>
          <w:szCs w:val="32"/>
          <w:highlight w:val="none"/>
        </w:rPr>
        <w:t>年</w:t>
      </w:r>
      <w:r>
        <w:rPr>
          <w:rFonts w:hint="eastAsia" w:eastAsia="黑体"/>
          <w:b/>
          <w:sz w:val="32"/>
          <w:szCs w:val="32"/>
          <w:highlight w:val="none"/>
        </w:rPr>
        <w:t>一</w:t>
      </w:r>
      <w:r>
        <w:rPr>
          <w:rFonts w:eastAsia="黑体"/>
          <w:b/>
          <w:sz w:val="32"/>
          <w:szCs w:val="32"/>
          <w:highlight w:val="none"/>
        </w:rPr>
        <w:t>月</w:t>
      </w:r>
    </w:p>
    <w:p>
      <w:pPr>
        <w:adjustRightInd w:val="0"/>
        <w:snapToGrid w:val="0"/>
        <w:jc w:val="center"/>
        <w:rPr>
          <w:b/>
          <w:bCs/>
          <w:snapToGrid w:val="0"/>
          <w:kern w:val="0"/>
          <w:sz w:val="44"/>
          <w:szCs w:val="44"/>
          <w:highlight w:val="none"/>
        </w:rPr>
      </w:pPr>
      <w:r>
        <w:rPr>
          <w:b/>
          <w:bCs/>
          <w:snapToGrid w:val="0"/>
          <w:kern w:val="0"/>
          <w:sz w:val="36"/>
          <w:szCs w:val="44"/>
          <w:highlight w:val="none"/>
        </w:rPr>
        <w:t>乐山港总体规划修订</w:t>
      </w:r>
    </w:p>
    <w:p>
      <w:pPr>
        <w:adjustRightInd w:val="0"/>
        <w:snapToGrid w:val="0"/>
        <w:jc w:val="center"/>
        <w:rPr>
          <w:b/>
          <w:bCs/>
          <w:snapToGrid w:val="0"/>
          <w:kern w:val="0"/>
          <w:sz w:val="36"/>
          <w:szCs w:val="44"/>
          <w:highlight w:val="none"/>
        </w:rPr>
      </w:pPr>
    </w:p>
    <w:p>
      <w:pPr>
        <w:pStyle w:val="2"/>
        <w:rPr>
          <w:color w:val="auto"/>
          <w:highlight w:val="none"/>
        </w:rPr>
      </w:pPr>
    </w:p>
    <w:tbl>
      <w:tblPr>
        <w:tblStyle w:val="103"/>
        <w:tblpPr w:leftFromText="180" w:rightFromText="180" w:vertAnchor="text" w:horzAnchor="margin" w:tblpY="151"/>
        <w:tblW w:w="9781" w:type="dxa"/>
        <w:tblInd w:w="0" w:type="dxa"/>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
      <w:tblGrid>
        <w:gridCol w:w="993"/>
        <w:gridCol w:w="2835"/>
        <w:gridCol w:w="283"/>
        <w:gridCol w:w="5670"/>
      </w:tblGrid>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680" w:hRule="exact"/>
        </w:trPr>
        <w:tc>
          <w:tcPr>
            <w:tcW w:w="993" w:type="dxa"/>
          </w:tcPr>
          <w:p>
            <w:pPr>
              <w:jc w:val="distribute"/>
              <w:rPr>
                <w:rFonts w:asciiTheme="minorEastAsia" w:hAnsiTheme="minorEastAsia" w:eastAsiaTheme="minorEastAsia"/>
                <w:highlight w:val="none"/>
              </w:rPr>
            </w:pPr>
          </w:p>
        </w:tc>
        <w:tc>
          <w:tcPr>
            <w:tcW w:w="2835" w:type="dxa"/>
          </w:tcPr>
          <w:p>
            <w:pPr>
              <w:ind w:left="1"/>
              <w:jc w:val="distribute"/>
              <w:rPr>
                <w:rFonts w:asciiTheme="minorEastAsia" w:hAnsiTheme="minorEastAsia" w:eastAsiaTheme="minorEastAsia"/>
                <w:highlight w:val="none"/>
              </w:rPr>
            </w:pPr>
            <w:r>
              <w:rPr>
                <w:rFonts w:hint="eastAsia" w:cs="微软雅黑" w:asciiTheme="minorEastAsia" w:hAnsiTheme="minorEastAsia" w:eastAsiaTheme="minorEastAsia"/>
                <w:spacing w:val="16"/>
                <w:sz w:val="28"/>
                <w:szCs w:val="28"/>
                <w:highlight w:val="none"/>
              </w:rPr>
              <w:t>组</w:t>
            </w:r>
            <w:r>
              <w:rPr>
                <w:rFonts w:hint="eastAsia" w:asciiTheme="minorEastAsia" w:hAnsiTheme="minorEastAsia" w:eastAsiaTheme="minorEastAsia"/>
                <w:spacing w:val="16"/>
                <w:sz w:val="28"/>
                <w:szCs w:val="28"/>
                <w:highlight w:val="none"/>
              </w:rPr>
              <w:t xml:space="preserve"> </w:t>
            </w:r>
            <w:r>
              <w:rPr>
                <w:rFonts w:hint="eastAsia" w:cs="微软雅黑" w:asciiTheme="minorEastAsia" w:hAnsiTheme="minorEastAsia" w:eastAsiaTheme="minorEastAsia"/>
                <w:spacing w:val="16"/>
                <w:sz w:val="28"/>
                <w:szCs w:val="28"/>
                <w:highlight w:val="none"/>
              </w:rPr>
              <w:t>织</w:t>
            </w:r>
            <w:r>
              <w:rPr>
                <w:rFonts w:asciiTheme="minorEastAsia" w:hAnsiTheme="minorEastAsia" w:eastAsiaTheme="minorEastAsia"/>
                <w:spacing w:val="16"/>
                <w:sz w:val="28"/>
                <w:szCs w:val="28"/>
                <w:highlight w:val="none"/>
              </w:rPr>
              <w:t xml:space="preserve"> </w:t>
            </w:r>
            <w:r>
              <w:rPr>
                <w:rFonts w:hint="eastAsia" w:cs="微软雅黑" w:asciiTheme="minorEastAsia" w:hAnsiTheme="minorEastAsia" w:eastAsiaTheme="minorEastAsia"/>
                <w:spacing w:val="16"/>
                <w:sz w:val="28"/>
                <w:szCs w:val="28"/>
                <w:highlight w:val="none"/>
              </w:rPr>
              <w:t>单</w:t>
            </w:r>
            <w:r>
              <w:rPr>
                <w:rFonts w:asciiTheme="minorEastAsia" w:hAnsiTheme="minorEastAsia" w:eastAsiaTheme="minorEastAsia"/>
                <w:spacing w:val="16"/>
                <w:sz w:val="28"/>
                <w:szCs w:val="28"/>
                <w:highlight w:val="none"/>
              </w:rPr>
              <w:t xml:space="preserve"> </w:t>
            </w:r>
            <w:r>
              <w:rPr>
                <w:rFonts w:hint="eastAsia" w:cs="微软雅黑" w:asciiTheme="minorEastAsia" w:hAnsiTheme="minorEastAsia" w:eastAsiaTheme="minorEastAsia"/>
                <w:spacing w:val="16"/>
                <w:sz w:val="28"/>
                <w:szCs w:val="28"/>
                <w:highlight w:val="none"/>
              </w:rPr>
              <w:t>位</w:t>
            </w:r>
          </w:p>
        </w:tc>
        <w:tc>
          <w:tcPr>
            <w:tcW w:w="283" w:type="dxa"/>
            <w:vAlign w:val="center"/>
          </w:tcPr>
          <w:p>
            <w:pPr>
              <w:jc w:val="left"/>
              <w:rPr>
                <w:rFonts w:asciiTheme="minorEastAsia" w:hAnsiTheme="minorEastAsia" w:eastAsiaTheme="minorEastAsia"/>
                <w:highlight w:val="none"/>
              </w:rPr>
            </w:pPr>
            <w:r>
              <w:rPr>
                <w:rFonts w:hint="eastAsia" w:cs="微软雅黑" w:asciiTheme="minorEastAsia" w:hAnsiTheme="minorEastAsia" w:eastAsiaTheme="minorEastAsia"/>
                <w:highlight w:val="none"/>
              </w:rPr>
              <w:t>：</w:t>
            </w:r>
          </w:p>
        </w:tc>
        <w:tc>
          <w:tcPr>
            <w:tcW w:w="5670" w:type="dxa"/>
          </w:tcPr>
          <w:p>
            <w:pPr>
              <w:pStyle w:val="78"/>
              <w:rPr>
                <w:rFonts w:asciiTheme="minorEastAsia" w:hAnsiTheme="minorEastAsia" w:eastAsiaTheme="minorEastAsia"/>
                <w:sz w:val="28"/>
                <w:szCs w:val="28"/>
                <w:highlight w:val="none"/>
              </w:rPr>
            </w:pPr>
            <w:r>
              <w:rPr>
                <w:rFonts w:hint="eastAsia" w:cs="微软雅黑" w:asciiTheme="minorEastAsia" w:hAnsiTheme="minorEastAsia" w:eastAsiaTheme="minorEastAsia"/>
                <w:bCs/>
                <w:snapToGrid w:val="0"/>
                <w:kern w:val="0"/>
                <w:sz w:val="28"/>
                <w:szCs w:val="28"/>
                <w:highlight w:val="none"/>
              </w:rPr>
              <w:t>乐山市交通运输局、乐山市港航中心</w:t>
            </w:r>
          </w:p>
        </w:tc>
      </w:tr>
    </w:tbl>
    <w:p>
      <w:pPr>
        <w:pStyle w:val="2"/>
        <w:rPr>
          <w:rFonts w:asciiTheme="minorEastAsia" w:hAnsiTheme="minorEastAsia" w:eastAsiaTheme="minorEastAsia"/>
          <w:color w:val="auto"/>
          <w:highlight w:val="none"/>
        </w:rPr>
      </w:pPr>
    </w:p>
    <w:tbl>
      <w:tblPr>
        <w:tblStyle w:val="103"/>
        <w:tblpPr w:leftFromText="180" w:rightFromText="180" w:vertAnchor="text" w:horzAnchor="margin" w:tblpY="151"/>
        <w:tblW w:w="978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93"/>
        <w:gridCol w:w="2835"/>
        <w:gridCol w:w="283"/>
        <w:gridCol w:w="56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trPr>
        <w:tc>
          <w:tcPr>
            <w:tcW w:w="993" w:type="dxa"/>
          </w:tcPr>
          <w:p>
            <w:pPr>
              <w:jc w:val="distribute"/>
              <w:rPr>
                <w:rFonts w:asciiTheme="minorEastAsia" w:hAnsiTheme="minorEastAsia" w:eastAsiaTheme="minorEastAsia"/>
                <w:highlight w:val="none"/>
              </w:rPr>
            </w:pPr>
          </w:p>
        </w:tc>
        <w:tc>
          <w:tcPr>
            <w:tcW w:w="2835" w:type="dxa"/>
          </w:tcPr>
          <w:p>
            <w:pPr>
              <w:ind w:left="1"/>
              <w:jc w:val="distribute"/>
              <w:rPr>
                <w:rFonts w:asciiTheme="minorEastAsia" w:hAnsiTheme="minorEastAsia" w:eastAsiaTheme="minorEastAsia"/>
                <w:highlight w:val="none"/>
              </w:rPr>
            </w:pPr>
            <w:r>
              <w:rPr>
                <w:rFonts w:hint="eastAsia" w:cs="微软雅黑" w:asciiTheme="minorEastAsia" w:hAnsiTheme="minorEastAsia" w:eastAsiaTheme="minorEastAsia"/>
                <w:spacing w:val="16"/>
                <w:sz w:val="28"/>
                <w:szCs w:val="28"/>
                <w:highlight w:val="none"/>
              </w:rPr>
              <w:t>编</w:t>
            </w:r>
            <w:r>
              <w:rPr>
                <w:rFonts w:asciiTheme="minorEastAsia" w:hAnsiTheme="minorEastAsia" w:eastAsiaTheme="minorEastAsia"/>
                <w:spacing w:val="16"/>
                <w:sz w:val="28"/>
                <w:szCs w:val="28"/>
                <w:highlight w:val="none"/>
              </w:rPr>
              <w:t xml:space="preserve"> </w:t>
            </w:r>
            <w:r>
              <w:rPr>
                <w:rFonts w:hint="eastAsia" w:cs="微软雅黑" w:asciiTheme="minorEastAsia" w:hAnsiTheme="minorEastAsia" w:eastAsiaTheme="minorEastAsia"/>
                <w:spacing w:val="16"/>
                <w:sz w:val="28"/>
                <w:szCs w:val="28"/>
                <w:highlight w:val="none"/>
              </w:rPr>
              <w:t>制</w:t>
            </w:r>
            <w:r>
              <w:rPr>
                <w:rFonts w:asciiTheme="minorEastAsia" w:hAnsiTheme="minorEastAsia" w:eastAsiaTheme="minorEastAsia"/>
                <w:spacing w:val="16"/>
                <w:sz w:val="28"/>
                <w:szCs w:val="28"/>
                <w:highlight w:val="none"/>
              </w:rPr>
              <w:t xml:space="preserve"> </w:t>
            </w:r>
            <w:r>
              <w:rPr>
                <w:rFonts w:hint="eastAsia" w:cs="微软雅黑" w:asciiTheme="minorEastAsia" w:hAnsiTheme="minorEastAsia" w:eastAsiaTheme="minorEastAsia"/>
                <w:spacing w:val="16"/>
                <w:sz w:val="28"/>
                <w:szCs w:val="28"/>
                <w:highlight w:val="none"/>
              </w:rPr>
              <w:t>单</w:t>
            </w:r>
            <w:r>
              <w:rPr>
                <w:rFonts w:asciiTheme="minorEastAsia" w:hAnsiTheme="minorEastAsia" w:eastAsiaTheme="minorEastAsia"/>
                <w:spacing w:val="16"/>
                <w:sz w:val="28"/>
                <w:szCs w:val="28"/>
                <w:highlight w:val="none"/>
              </w:rPr>
              <w:t xml:space="preserve"> </w:t>
            </w:r>
            <w:r>
              <w:rPr>
                <w:rFonts w:hint="eastAsia" w:cs="微软雅黑" w:asciiTheme="minorEastAsia" w:hAnsiTheme="minorEastAsia" w:eastAsiaTheme="minorEastAsia"/>
                <w:spacing w:val="16"/>
                <w:sz w:val="28"/>
                <w:szCs w:val="28"/>
                <w:highlight w:val="none"/>
              </w:rPr>
              <w:t>位</w:t>
            </w:r>
          </w:p>
        </w:tc>
        <w:tc>
          <w:tcPr>
            <w:tcW w:w="283" w:type="dxa"/>
            <w:vAlign w:val="center"/>
          </w:tcPr>
          <w:p>
            <w:pPr>
              <w:jc w:val="left"/>
              <w:rPr>
                <w:rFonts w:asciiTheme="minorEastAsia" w:hAnsiTheme="minorEastAsia" w:eastAsiaTheme="minorEastAsia"/>
                <w:highlight w:val="none"/>
              </w:rPr>
            </w:pPr>
            <w:r>
              <w:rPr>
                <w:rFonts w:hint="eastAsia" w:cs="微软雅黑" w:asciiTheme="minorEastAsia" w:hAnsiTheme="minorEastAsia" w:eastAsiaTheme="minorEastAsia"/>
                <w:highlight w:val="none"/>
              </w:rPr>
              <w:t>：</w:t>
            </w:r>
          </w:p>
        </w:tc>
        <w:tc>
          <w:tcPr>
            <w:tcW w:w="5670" w:type="dxa"/>
          </w:tcPr>
          <w:p>
            <w:pPr>
              <w:pStyle w:val="78"/>
              <w:rPr>
                <w:rFonts w:asciiTheme="minorEastAsia" w:hAnsiTheme="minorEastAsia" w:eastAsiaTheme="minorEastAsia"/>
                <w:sz w:val="28"/>
                <w:szCs w:val="28"/>
                <w:highlight w:val="none"/>
              </w:rPr>
            </w:pPr>
            <w:r>
              <w:rPr>
                <w:rFonts w:hint="eastAsia" w:cs="宋体" w:asciiTheme="minorEastAsia" w:hAnsiTheme="minorEastAsia" w:eastAsiaTheme="minorEastAsia"/>
                <w:sz w:val="28"/>
                <w:szCs w:val="28"/>
                <w:highlight w:val="none"/>
              </w:rPr>
              <w:t>四川省交通勘察设计研究院有限公司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trPr>
        <w:tc>
          <w:tcPr>
            <w:tcW w:w="993" w:type="dxa"/>
          </w:tcPr>
          <w:p>
            <w:pPr>
              <w:jc w:val="distribute"/>
              <w:rPr>
                <w:rFonts w:asciiTheme="minorEastAsia" w:hAnsiTheme="minorEastAsia" w:eastAsiaTheme="minorEastAsia"/>
                <w:highlight w:val="none"/>
              </w:rPr>
            </w:pPr>
          </w:p>
        </w:tc>
        <w:tc>
          <w:tcPr>
            <w:tcW w:w="2835" w:type="dxa"/>
          </w:tcPr>
          <w:p>
            <w:pPr>
              <w:jc w:val="distribute"/>
              <w:rPr>
                <w:rFonts w:asciiTheme="minorEastAsia" w:hAnsiTheme="minorEastAsia" w:eastAsiaTheme="minorEastAsia"/>
                <w:highlight w:val="none"/>
              </w:rPr>
            </w:pPr>
            <w:r>
              <w:rPr>
                <w:rFonts w:hint="eastAsia" w:cs="微软雅黑" w:asciiTheme="minorEastAsia" w:hAnsiTheme="minorEastAsia" w:eastAsiaTheme="minorEastAsia"/>
                <w:spacing w:val="6"/>
                <w:sz w:val="28"/>
                <w:szCs w:val="28"/>
                <w:highlight w:val="none"/>
              </w:rPr>
              <w:t>资信证书等级</w:t>
            </w:r>
          </w:p>
        </w:tc>
        <w:tc>
          <w:tcPr>
            <w:tcW w:w="283" w:type="dxa"/>
            <w:vAlign w:val="center"/>
          </w:tcPr>
          <w:p>
            <w:pPr>
              <w:jc w:val="left"/>
              <w:rPr>
                <w:rFonts w:asciiTheme="minorEastAsia" w:hAnsiTheme="minorEastAsia" w:eastAsiaTheme="minorEastAsia"/>
                <w:highlight w:val="none"/>
              </w:rPr>
            </w:pPr>
            <w:r>
              <w:rPr>
                <w:rFonts w:hint="eastAsia" w:cs="微软雅黑" w:asciiTheme="minorEastAsia" w:hAnsiTheme="minorEastAsia" w:eastAsiaTheme="minorEastAsia"/>
                <w:highlight w:val="none"/>
              </w:rPr>
              <w:t>：</w:t>
            </w:r>
          </w:p>
        </w:tc>
        <w:tc>
          <w:tcPr>
            <w:tcW w:w="5670" w:type="dxa"/>
          </w:tcPr>
          <w:p>
            <w:pPr>
              <w:pStyle w:val="78"/>
              <w:rPr>
                <w:rFonts w:asciiTheme="minorEastAsia" w:hAnsiTheme="minorEastAsia" w:eastAsiaTheme="minorEastAsia"/>
                <w:sz w:val="28"/>
                <w:szCs w:val="28"/>
                <w:highlight w:val="none"/>
              </w:rPr>
            </w:pPr>
            <w:r>
              <w:rPr>
                <w:rFonts w:hint="eastAsia" w:cs="宋体" w:asciiTheme="minorEastAsia" w:hAnsiTheme="minorEastAsia" w:eastAsiaTheme="minorEastAsia"/>
                <w:sz w:val="28"/>
                <w:szCs w:val="28"/>
                <w:highlight w:val="none"/>
              </w:rPr>
              <w:t>甲级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trPr>
        <w:tc>
          <w:tcPr>
            <w:tcW w:w="993" w:type="dxa"/>
          </w:tcPr>
          <w:p>
            <w:pPr>
              <w:jc w:val="distribute"/>
              <w:rPr>
                <w:rFonts w:asciiTheme="minorEastAsia" w:hAnsiTheme="minorEastAsia" w:eastAsiaTheme="minorEastAsia"/>
                <w:highlight w:val="none"/>
              </w:rPr>
            </w:pPr>
          </w:p>
        </w:tc>
        <w:tc>
          <w:tcPr>
            <w:tcW w:w="2835" w:type="dxa"/>
          </w:tcPr>
          <w:p>
            <w:pPr>
              <w:ind w:left="1"/>
              <w:jc w:val="distribute"/>
              <w:rPr>
                <w:rFonts w:asciiTheme="minorEastAsia" w:hAnsiTheme="minorEastAsia" w:eastAsiaTheme="minorEastAsia"/>
                <w:highlight w:val="none"/>
              </w:rPr>
            </w:pPr>
            <w:r>
              <w:rPr>
                <w:rFonts w:hint="eastAsia" w:cs="微软雅黑" w:asciiTheme="minorEastAsia" w:hAnsiTheme="minorEastAsia" w:eastAsiaTheme="minorEastAsia"/>
                <w:spacing w:val="16"/>
                <w:sz w:val="28"/>
                <w:szCs w:val="28"/>
                <w:highlight w:val="none"/>
              </w:rPr>
              <w:t>发证机关</w:t>
            </w:r>
          </w:p>
        </w:tc>
        <w:tc>
          <w:tcPr>
            <w:tcW w:w="283" w:type="dxa"/>
            <w:vAlign w:val="center"/>
          </w:tcPr>
          <w:p>
            <w:pPr>
              <w:jc w:val="left"/>
              <w:rPr>
                <w:rFonts w:asciiTheme="minorEastAsia" w:hAnsiTheme="minorEastAsia" w:eastAsiaTheme="minorEastAsia"/>
                <w:highlight w:val="none"/>
              </w:rPr>
            </w:pPr>
            <w:r>
              <w:rPr>
                <w:rFonts w:hint="eastAsia" w:cs="微软雅黑" w:asciiTheme="minorEastAsia" w:hAnsiTheme="minorEastAsia" w:eastAsiaTheme="minorEastAsia"/>
                <w:highlight w:val="none"/>
              </w:rPr>
              <w:t>：</w:t>
            </w:r>
          </w:p>
        </w:tc>
        <w:tc>
          <w:tcPr>
            <w:tcW w:w="5670" w:type="dxa"/>
          </w:tcPr>
          <w:p>
            <w:pPr>
              <w:pStyle w:val="78"/>
              <w:rPr>
                <w:rFonts w:asciiTheme="minorEastAsia" w:hAnsiTheme="minorEastAsia" w:eastAsiaTheme="minorEastAsia"/>
                <w:sz w:val="28"/>
                <w:szCs w:val="28"/>
                <w:highlight w:val="none"/>
              </w:rPr>
            </w:pPr>
            <w:r>
              <w:rPr>
                <w:rFonts w:hint="eastAsia" w:cs="宋体" w:asciiTheme="minorEastAsia" w:hAnsiTheme="minorEastAsia" w:eastAsiaTheme="minorEastAsia"/>
                <w:spacing w:val="16"/>
                <w:sz w:val="28"/>
                <w:szCs w:val="28"/>
                <w:highlight w:val="none"/>
              </w:rPr>
              <w:t>中国工程咨询协会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trPr>
        <w:tc>
          <w:tcPr>
            <w:tcW w:w="993" w:type="dxa"/>
          </w:tcPr>
          <w:p>
            <w:pPr>
              <w:jc w:val="distribute"/>
              <w:rPr>
                <w:rFonts w:asciiTheme="minorEastAsia" w:hAnsiTheme="minorEastAsia" w:eastAsiaTheme="minorEastAsia"/>
                <w:highlight w:val="none"/>
              </w:rPr>
            </w:pPr>
          </w:p>
        </w:tc>
        <w:tc>
          <w:tcPr>
            <w:tcW w:w="2835" w:type="dxa"/>
          </w:tcPr>
          <w:p>
            <w:pPr>
              <w:jc w:val="distribute"/>
              <w:rPr>
                <w:rFonts w:asciiTheme="minorEastAsia" w:hAnsiTheme="minorEastAsia" w:eastAsiaTheme="minorEastAsia"/>
                <w:highlight w:val="none"/>
              </w:rPr>
            </w:pPr>
            <w:r>
              <w:rPr>
                <w:rFonts w:hint="eastAsia" w:cs="微软雅黑" w:asciiTheme="minorEastAsia" w:hAnsiTheme="minorEastAsia" w:eastAsiaTheme="minorEastAsia"/>
                <w:sz w:val="28"/>
                <w:szCs w:val="28"/>
                <w:highlight w:val="none"/>
              </w:rPr>
              <w:t>证书编号</w:t>
            </w:r>
          </w:p>
        </w:tc>
        <w:tc>
          <w:tcPr>
            <w:tcW w:w="283" w:type="dxa"/>
            <w:vAlign w:val="center"/>
          </w:tcPr>
          <w:p>
            <w:pPr>
              <w:jc w:val="left"/>
              <w:rPr>
                <w:rFonts w:asciiTheme="minorEastAsia" w:hAnsiTheme="minorEastAsia" w:eastAsiaTheme="minorEastAsia"/>
                <w:highlight w:val="none"/>
              </w:rPr>
            </w:pPr>
            <w:r>
              <w:rPr>
                <w:rFonts w:hint="eastAsia" w:cs="微软雅黑" w:asciiTheme="minorEastAsia" w:hAnsiTheme="minorEastAsia" w:eastAsiaTheme="minorEastAsia"/>
                <w:highlight w:val="none"/>
              </w:rPr>
              <w:t>：</w:t>
            </w:r>
          </w:p>
        </w:tc>
        <w:tc>
          <w:tcPr>
            <w:tcW w:w="5670" w:type="dxa"/>
          </w:tcPr>
          <w:p>
            <w:pPr>
              <w:pStyle w:val="78"/>
              <w:rPr>
                <w:rFonts w:asciiTheme="minorEastAsia" w:hAnsiTheme="minorEastAsia" w:eastAsiaTheme="minorEastAsia"/>
                <w:sz w:val="28"/>
                <w:szCs w:val="28"/>
                <w:highlight w:val="none"/>
              </w:rPr>
            </w:pPr>
            <w:r>
              <w:rPr>
                <w:rFonts w:hint="eastAsia" w:cs="微软雅黑" w:asciiTheme="minorEastAsia" w:hAnsiTheme="minorEastAsia" w:eastAsiaTheme="minorEastAsia"/>
                <w:sz w:val="28"/>
                <w:szCs w:val="28"/>
                <w:highlight w:val="none"/>
              </w:rPr>
              <w:t>甲</w:t>
            </w:r>
            <w:r>
              <w:rPr>
                <w:rFonts w:hint="eastAsia" w:asciiTheme="minorEastAsia" w:hAnsiTheme="minorEastAsia" w:eastAsiaTheme="minorEastAsia"/>
                <w:sz w:val="28"/>
                <w:szCs w:val="28"/>
                <w:highlight w:val="none"/>
              </w:rPr>
              <w:t>2</w:t>
            </w:r>
            <w:r>
              <w:rPr>
                <w:rFonts w:asciiTheme="minorEastAsia" w:hAnsiTheme="minorEastAsia" w:eastAsiaTheme="minorEastAsia"/>
                <w:sz w:val="28"/>
                <w:szCs w:val="28"/>
                <w:highlight w:val="none"/>
              </w:rPr>
              <w:t>72021011202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trPr>
        <w:tc>
          <w:tcPr>
            <w:tcW w:w="993" w:type="dxa"/>
          </w:tcPr>
          <w:p>
            <w:pPr>
              <w:jc w:val="distribute"/>
              <w:rPr>
                <w:rFonts w:asciiTheme="minorEastAsia" w:hAnsiTheme="minorEastAsia" w:eastAsiaTheme="minorEastAsia"/>
                <w:highlight w:val="none"/>
              </w:rPr>
            </w:pPr>
          </w:p>
        </w:tc>
        <w:tc>
          <w:tcPr>
            <w:tcW w:w="2835" w:type="dxa"/>
          </w:tcPr>
          <w:p>
            <w:pPr>
              <w:jc w:val="distribute"/>
              <w:rPr>
                <w:rFonts w:asciiTheme="minorEastAsia" w:hAnsiTheme="minorEastAsia" w:eastAsiaTheme="minorEastAsia"/>
                <w:highlight w:val="none"/>
              </w:rPr>
            </w:pPr>
            <w:r>
              <w:rPr>
                <w:rFonts w:hint="eastAsia" w:cs="微软雅黑" w:asciiTheme="minorEastAsia" w:hAnsiTheme="minorEastAsia" w:eastAsiaTheme="minorEastAsia"/>
                <w:sz w:val="28"/>
                <w:szCs w:val="28"/>
                <w:highlight w:val="none"/>
              </w:rPr>
              <w:t>总经理</w:t>
            </w:r>
          </w:p>
        </w:tc>
        <w:tc>
          <w:tcPr>
            <w:tcW w:w="283" w:type="dxa"/>
            <w:vAlign w:val="center"/>
          </w:tcPr>
          <w:p>
            <w:pPr>
              <w:jc w:val="left"/>
              <w:rPr>
                <w:rFonts w:asciiTheme="minorEastAsia" w:hAnsiTheme="minorEastAsia" w:eastAsiaTheme="minorEastAsia"/>
                <w:highlight w:val="none"/>
              </w:rPr>
            </w:pPr>
            <w:r>
              <w:rPr>
                <w:rFonts w:hint="eastAsia" w:cs="微软雅黑" w:asciiTheme="minorEastAsia" w:hAnsiTheme="minorEastAsia" w:eastAsiaTheme="minorEastAsia"/>
                <w:highlight w:val="none"/>
              </w:rPr>
              <w:t>：</w:t>
            </w:r>
          </w:p>
        </w:tc>
        <w:tc>
          <w:tcPr>
            <w:tcW w:w="5670" w:type="dxa"/>
          </w:tcPr>
          <w:p>
            <w:pPr>
              <w:tabs>
                <w:tab w:val="right" w:pos="5454"/>
              </w:tabs>
              <w:rPr>
                <w:rFonts w:asciiTheme="minorEastAsia" w:hAnsiTheme="minorEastAsia" w:eastAsiaTheme="minorEastAsia"/>
                <w:highlight w:val="none"/>
              </w:rPr>
            </w:pPr>
            <w:r>
              <w:rPr>
                <w:rFonts w:cs="微软雅黑" w:asciiTheme="minorEastAsia" w:hAnsiTheme="minorEastAsia" w:eastAsiaTheme="minorEastAsia"/>
                <w:spacing w:val="16"/>
                <w:sz w:val="28"/>
                <w:szCs w:val="28"/>
                <w:highlight w:val="none"/>
              </w:rPr>
              <w:t>王</w:t>
            </w:r>
            <w:r>
              <w:rPr>
                <w:rFonts w:hint="eastAsia" w:cs="微软雅黑" w:asciiTheme="minorEastAsia" w:hAnsiTheme="minorEastAsia" w:eastAsiaTheme="minorEastAsia"/>
                <w:spacing w:val="16"/>
                <w:sz w:val="28"/>
                <w:szCs w:val="28"/>
                <w:highlight w:val="none"/>
              </w:rPr>
              <w:t xml:space="preserve"> </w:t>
            </w:r>
            <w:r>
              <w:rPr>
                <w:rFonts w:cs="微软雅黑" w:asciiTheme="minorEastAsia" w:hAnsiTheme="minorEastAsia" w:eastAsiaTheme="minorEastAsia"/>
                <w:spacing w:val="16"/>
                <w:sz w:val="28"/>
                <w:szCs w:val="28"/>
                <w:highlight w:val="none"/>
              </w:rPr>
              <w:t>屹</w:t>
            </w:r>
            <w:r>
              <w:rPr>
                <w:rFonts w:cs="微软雅黑" w:asciiTheme="minorEastAsia" w:hAnsiTheme="minorEastAsia" w:eastAsiaTheme="minorEastAsia"/>
                <w:spacing w:val="16"/>
                <w:sz w:val="28"/>
                <w:szCs w:val="28"/>
                <w:highlight w:val="none"/>
              </w:rPr>
              <w:tab/>
            </w:r>
            <w:r>
              <w:rPr>
                <w:rFonts w:hint="eastAsia" w:cs="微软雅黑" w:asciiTheme="minorEastAsia" w:hAnsiTheme="minorEastAsia" w:eastAsiaTheme="minorEastAsia"/>
                <w:spacing w:val="16"/>
                <w:sz w:val="28"/>
                <w:szCs w:val="28"/>
                <w:highlight w:val="none"/>
              </w:rPr>
              <w:t>（正高级工程师）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trPr>
        <w:tc>
          <w:tcPr>
            <w:tcW w:w="993" w:type="dxa"/>
          </w:tcPr>
          <w:p>
            <w:pPr>
              <w:jc w:val="distribute"/>
              <w:rPr>
                <w:rFonts w:asciiTheme="minorEastAsia" w:hAnsiTheme="minorEastAsia" w:eastAsiaTheme="minorEastAsia"/>
                <w:spacing w:val="16"/>
                <w:sz w:val="28"/>
                <w:szCs w:val="28"/>
                <w:highlight w:val="none"/>
              </w:rPr>
            </w:pPr>
          </w:p>
        </w:tc>
        <w:tc>
          <w:tcPr>
            <w:tcW w:w="2835" w:type="dxa"/>
          </w:tcPr>
          <w:p>
            <w:pPr>
              <w:ind w:left="1"/>
              <w:jc w:val="distribute"/>
              <w:rPr>
                <w:rFonts w:asciiTheme="minorEastAsia" w:hAnsiTheme="minorEastAsia" w:eastAsiaTheme="minorEastAsia"/>
                <w:spacing w:val="16"/>
                <w:sz w:val="28"/>
                <w:szCs w:val="28"/>
                <w:highlight w:val="none"/>
              </w:rPr>
            </w:pPr>
            <w:r>
              <w:rPr>
                <w:rFonts w:hint="eastAsia" w:cs="微软雅黑" w:asciiTheme="minorEastAsia" w:hAnsiTheme="minorEastAsia" w:eastAsiaTheme="minorEastAsia"/>
                <w:spacing w:val="16"/>
                <w:sz w:val="28"/>
                <w:szCs w:val="28"/>
                <w:highlight w:val="none"/>
              </w:rPr>
              <w:t>公司分管领导</w:t>
            </w:r>
          </w:p>
        </w:tc>
        <w:tc>
          <w:tcPr>
            <w:tcW w:w="283" w:type="dxa"/>
            <w:vAlign w:val="center"/>
          </w:tcPr>
          <w:p>
            <w:pPr>
              <w:jc w:val="left"/>
              <w:rPr>
                <w:rFonts w:asciiTheme="minorEastAsia" w:hAnsiTheme="minorEastAsia" w:eastAsiaTheme="minorEastAsia"/>
                <w:highlight w:val="none"/>
              </w:rPr>
            </w:pPr>
            <w:r>
              <w:rPr>
                <w:rFonts w:hint="eastAsia" w:cs="微软雅黑" w:asciiTheme="minorEastAsia" w:hAnsiTheme="minorEastAsia" w:eastAsiaTheme="minorEastAsia"/>
                <w:highlight w:val="none"/>
              </w:rPr>
              <w:t>：</w:t>
            </w:r>
          </w:p>
        </w:tc>
        <w:tc>
          <w:tcPr>
            <w:tcW w:w="5670" w:type="dxa"/>
          </w:tcPr>
          <w:p>
            <w:pPr>
              <w:tabs>
                <w:tab w:val="right" w:pos="5454"/>
              </w:tabs>
              <w:rPr>
                <w:rFonts w:asciiTheme="minorEastAsia" w:hAnsiTheme="minorEastAsia" w:eastAsiaTheme="minorEastAsia"/>
                <w:highlight w:val="none"/>
              </w:rPr>
            </w:pPr>
            <w:r>
              <w:rPr>
                <w:rFonts w:cs="微软雅黑" w:asciiTheme="minorEastAsia" w:hAnsiTheme="minorEastAsia" w:eastAsiaTheme="minorEastAsia"/>
                <w:spacing w:val="16"/>
                <w:sz w:val="28"/>
                <w:szCs w:val="28"/>
                <w:highlight w:val="none"/>
              </w:rPr>
              <w:t>郝</w:t>
            </w:r>
            <w:r>
              <w:rPr>
                <w:rFonts w:hint="eastAsia" w:cs="微软雅黑" w:asciiTheme="minorEastAsia" w:hAnsiTheme="minorEastAsia" w:eastAsiaTheme="minorEastAsia"/>
                <w:spacing w:val="16"/>
                <w:sz w:val="28"/>
                <w:szCs w:val="28"/>
                <w:highlight w:val="none"/>
              </w:rPr>
              <w:t xml:space="preserve"> </w:t>
            </w:r>
            <w:r>
              <w:rPr>
                <w:rFonts w:cs="微软雅黑" w:asciiTheme="minorEastAsia" w:hAnsiTheme="minorEastAsia" w:eastAsiaTheme="minorEastAsia"/>
                <w:spacing w:val="16"/>
                <w:sz w:val="28"/>
                <w:szCs w:val="28"/>
                <w:highlight w:val="none"/>
              </w:rPr>
              <w:t>岭</w:t>
            </w:r>
            <w:r>
              <w:rPr>
                <w:rFonts w:cs="微软雅黑" w:asciiTheme="minorEastAsia" w:hAnsiTheme="minorEastAsia" w:eastAsiaTheme="minorEastAsia"/>
                <w:spacing w:val="16"/>
                <w:sz w:val="28"/>
                <w:szCs w:val="28"/>
                <w:highlight w:val="none"/>
              </w:rPr>
              <w:tab/>
            </w:r>
            <w:r>
              <w:rPr>
                <w:rFonts w:hint="eastAsia" w:cs="微软雅黑" w:asciiTheme="minorEastAsia" w:hAnsiTheme="minorEastAsia" w:eastAsiaTheme="minorEastAsia"/>
                <w:spacing w:val="16"/>
                <w:sz w:val="28"/>
                <w:szCs w:val="28"/>
                <w:highlight w:val="none"/>
              </w:rPr>
              <w:t>（正高级工程师）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trPr>
        <w:tc>
          <w:tcPr>
            <w:tcW w:w="993" w:type="dxa"/>
          </w:tcPr>
          <w:p>
            <w:pPr>
              <w:jc w:val="distribute"/>
              <w:rPr>
                <w:rFonts w:asciiTheme="minorEastAsia" w:hAnsiTheme="minorEastAsia" w:eastAsiaTheme="minorEastAsia"/>
                <w:highlight w:val="none"/>
              </w:rPr>
            </w:pPr>
          </w:p>
        </w:tc>
        <w:tc>
          <w:tcPr>
            <w:tcW w:w="2835" w:type="dxa"/>
          </w:tcPr>
          <w:p>
            <w:pPr>
              <w:jc w:val="distribute"/>
              <w:rPr>
                <w:rFonts w:asciiTheme="minorEastAsia" w:hAnsiTheme="minorEastAsia" w:eastAsiaTheme="minorEastAsia"/>
                <w:highlight w:val="none"/>
              </w:rPr>
            </w:pPr>
            <w:r>
              <w:rPr>
                <w:rFonts w:hint="eastAsia" w:cs="微软雅黑" w:asciiTheme="minorEastAsia" w:hAnsiTheme="minorEastAsia" w:eastAsiaTheme="minorEastAsia"/>
                <w:spacing w:val="6"/>
                <w:sz w:val="28"/>
                <w:szCs w:val="28"/>
                <w:highlight w:val="none"/>
              </w:rPr>
              <w:t>总工程师</w:t>
            </w:r>
          </w:p>
        </w:tc>
        <w:tc>
          <w:tcPr>
            <w:tcW w:w="283" w:type="dxa"/>
            <w:vAlign w:val="center"/>
          </w:tcPr>
          <w:p>
            <w:pPr>
              <w:jc w:val="left"/>
              <w:rPr>
                <w:rFonts w:asciiTheme="minorEastAsia" w:hAnsiTheme="minorEastAsia" w:eastAsiaTheme="minorEastAsia"/>
                <w:highlight w:val="none"/>
              </w:rPr>
            </w:pPr>
            <w:r>
              <w:rPr>
                <w:rFonts w:hint="eastAsia" w:cs="微软雅黑" w:asciiTheme="minorEastAsia" w:hAnsiTheme="minorEastAsia" w:eastAsiaTheme="minorEastAsia"/>
                <w:highlight w:val="none"/>
              </w:rPr>
              <w:t>：</w:t>
            </w:r>
          </w:p>
        </w:tc>
        <w:tc>
          <w:tcPr>
            <w:tcW w:w="5670" w:type="dxa"/>
          </w:tcPr>
          <w:p>
            <w:pPr>
              <w:tabs>
                <w:tab w:val="right" w:pos="5454"/>
              </w:tabs>
              <w:rPr>
                <w:rFonts w:asciiTheme="minorEastAsia" w:hAnsiTheme="minorEastAsia" w:eastAsiaTheme="minorEastAsia"/>
                <w:highlight w:val="none"/>
              </w:rPr>
            </w:pPr>
            <w:r>
              <w:rPr>
                <w:rFonts w:cs="微软雅黑" w:asciiTheme="minorEastAsia" w:hAnsiTheme="minorEastAsia" w:eastAsiaTheme="minorEastAsia"/>
                <w:spacing w:val="16"/>
                <w:sz w:val="28"/>
                <w:szCs w:val="28"/>
                <w:highlight w:val="none"/>
              </w:rPr>
              <w:t>谭先泽</w:t>
            </w:r>
            <w:r>
              <w:rPr>
                <w:rFonts w:cs="微软雅黑" w:asciiTheme="minorEastAsia" w:hAnsiTheme="minorEastAsia" w:eastAsiaTheme="minorEastAsia"/>
                <w:spacing w:val="16"/>
                <w:sz w:val="28"/>
                <w:szCs w:val="28"/>
                <w:highlight w:val="none"/>
              </w:rPr>
              <w:tab/>
            </w:r>
            <w:r>
              <w:rPr>
                <w:rFonts w:hint="eastAsia" w:cs="微软雅黑" w:asciiTheme="minorEastAsia" w:hAnsiTheme="minorEastAsia" w:eastAsiaTheme="minorEastAsia"/>
                <w:spacing w:val="16"/>
                <w:sz w:val="28"/>
                <w:szCs w:val="28"/>
                <w:highlight w:val="none"/>
              </w:rPr>
              <w:t>（正高级工程师）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trPr>
        <w:tc>
          <w:tcPr>
            <w:tcW w:w="993" w:type="dxa"/>
          </w:tcPr>
          <w:p>
            <w:pPr>
              <w:jc w:val="distribute"/>
              <w:rPr>
                <w:rFonts w:asciiTheme="minorEastAsia" w:hAnsiTheme="minorEastAsia" w:eastAsiaTheme="minorEastAsia"/>
                <w:highlight w:val="none"/>
              </w:rPr>
            </w:pPr>
          </w:p>
        </w:tc>
        <w:tc>
          <w:tcPr>
            <w:tcW w:w="2835" w:type="dxa"/>
          </w:tcPr>
          <w:p>
            <w:pPr>
              <w:ind w:left="1"/>
              <w:jc w:val="distribute"/>
              <w:rPr>
                <w:rFonts w:asciiTheme="minorEastAsia" w:hAnsiTheme="minorEastAsia" w:eastAsiaTheme="minorEastAsia"/>
                <w:highlight w:val="none"/>
              </w:rPr>
            </w:pPr>
            <w:r>
              <w:rPr>
                <w:rFonts w:hint="eastAsia" w:cs="微软雅黑" w:asciiTheme="minorEastAsia" w:hAnsiTheme="minorEastAsia" w:eastAsiaTheme="minorEastAsia"/>
                <w:spacing w:val="16"/>
                <w:sz w:val="28"/>
                <w:szCs w:val="28"/>
                <w:highlight w:val="none"/>
              </w:rPr>
              <w:t>审定人</w:t>
            </w:r>
          </w:p>
        </w:tc>
        <w:tc>
          <w:tcPr>
            <w:tcW w:w="283" w:type="dxa"/>
            <w:vAlign w:val="center"/>
          </w:tcPr>
          <w:p>
            <w:pPr>
              <w:jc w:val="left"/>
              <w:rPr>
                <w:rFonts w:asciiTheme="minorEastAsia" w:hAnsiTheme="minorEastAsia" w:eastAsiaTheme="minorEastAsia"/>
                <w:highlight w:val="none"/>
              </w:rPr>
            </w:pPr>
            <w:r>
              <w:rPr>
                <w:rFonts w:hint="eastAsia" w:cs="微软雅黑" w:asciiTheme="minorEastAsia" w:hAnsiTheme="minorEastAsia" w:eastAsiaTheme="minorEastAsia"/>
                <w:highlight w:val="none"/>
              </w:rPr>
              <w:t>：</w:t>
            </w:r>
          </w:p>
        </w:tc>
        <w:tc>
          <w:tcPr>
            <w:tcW w:w="5670" w:type="dxa"/>
          </w:tcPr>
          <w:p>
            <w:pPr>
              <w:tabs>
                <w:tab w:val="right" w:pos="5420"/>
              </w:tabs>
              <w:ind w:right="34"/>
              <w:rPr>
                <w:rFonts w:asciiTheme="minorEastAsia" w:hAnsiTheme="minorEastAsia" w:eastAsiaTheme="minorEastAsia"/>
                <w:highlight w:val="none"/>
              </w:rPr>
            </w:pPr>
            <w:r>
              <w:rPr>
                <w:rFonts w:cs="微软雅黑" w:asciiTheme="minorEastAsia" w:hAnsiTheme="minorEastAsia" w:eastAsiaTheme="minorEastAsia"/>
                <w:spacing w:val="16"/>
                <w:sz w:val="28"/>
                <w:szCs w:val="28"/>
                <w:highlight w:val="none"/>
              </w:rPr>
              <w:t>吴改选</w:t>
            </w:r>
            <w:r>
              <w:rPr>
                <w:rFonts w:cs="微软雅黑" w:asciiTheme="minorEastAsia" w:hAnsiTheme="minorEastAsia" w:eastAsiaTheme="minorEastAsia"/>
                <w:spacing w:val="16"/>
                <w:sz w:val="28"/>
                <w:szCs w:val="28"/>
                <w:highlight w:val="none"/>
              </w:rPr>
              <w:tab/>
            </w:r>
            <w:r>
              <w:rPr>
                <w:rFonts w:hint="eastAsia" w:cs="微软雅黑" w:asciiTheme="minorEastAsia" w:hAnsiTheme="minorEastAsia" w:eastAsiaTheme="minorEastAsia"/>
                <w:spacing w:val="16"/>
                <w:sz w:val="28"/>
                <w:szCs w:val="28"/>
                <w:highlight w:val="none"/>
              </w:rPr>
              <w:t>（高级工程师）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trPr>
        <w:tc>
          <w:tcPr>
            <w:tcW w:w="993" w:type="dxa"/>
          </w:tcPr>
          <w:p>
            <w:pPr>
              <w:jc w:val="distribute"/>
              <w:rPr>
                <w:rFonts w:asciiTheme="minorEastAsia" w:hAnsiTheme="minorEastAsia" w:eastAsiaTheme="minorEastAsia"/>
                <w:highlight w:val="none"/>
              </w:rPr>
            </w:pPr>
          </w:p>
        </w:tc>
        <w:tc>
          <w:tcPr>
            <w:tcW w:w="2835" w:type="dxa"/>
          </w:tcPr>
          <w:p>
            <w:pPr>
              <w:ind w:left="39"/>
              <w:jc w:val="distribute"/>
              <w:rPr>
                <w:rFonts w:asciiTheme="minorEastAsia" w:hAnsiTheme="minorEastAsia" w:eastAsiaTheme="minorEastAsia"/>
                <w:highlight w:val="none"/>
              </w:rPr>
            </w:pPr>
            <w:r>
              <w:rPr>
                <w:rFonts w:hint="eastAsia" w:cs="微软雅黑" w:asciiTheme="minorEastAsia" w:hAnsiTheme="minorEastAsia" w:eastAsiaTheme="minorEastAsia"/>
                <w:spacing w:val="26"/>
                <w:sz w:val="28"/>
                <w:szCs w:val="28"/>
                <w:highlight w:val="none"/>
              </w:rPr>
              <w:t>部门负责人</w:t>
            </w:r>
          </w:p>
        </w:tc>
        <w:tc>
          <w:tcPr>
            <w:tcW w:w="283" w:type="dxa"/>
            <w:vAlign w:val="center"/>
          </w:tcPr>
          <w:p>
            <w:pPr>
              <w:jc w:val="left"/>
              <w:rPr>
                <w:rFonts w:asciiTheme="minorEastAsia" w:hAnsiTheme="minorEastAsia" w:eastAsiaTheme="minorEastAsia"/>
                <w:highlight w:val="none"/>
              </w:rPr>
            </w:pPr>
            <w:r>
              <w:rPr>
                <w:rFonts w:hint="eastAsia" w:cs="微软雅黑" w:asciiTheme="minorEastAsia" w:hAnsiTheme="minorEastAsia" w:eastAsiaTheme="minorEastAsia"/>
                <w:highlight w:val="none"/>
              </w:rPr>
              <w:t>：</w:t>
            </w:r>
          </w:p>
        </w:tc>
        <w:tc>
          <w:tcPr>
            <w:tcW w:w="5670" w:type="dxa"/>
          </w:tcPr>
          <w:p>
            <w:pPr>
              <w:tabs>
                <w:tab w:val="right" w:pos="5454"/>
              </w:tabs>
              <w:rPr>
                <w:rFonts w:asciiTheme="minorEastAsia" w:hAnsiTheme="minorEastAsia" w:eastAsiaTheme="minorEastAsia"/>
                <w:highlight w:val="none"/>
              </w:rPr>
            </w:pPr>
            <w:r>
              <w:rPr>
                <w:rFonts w:cs="微软雅黑" w:asciiTheme="minorEastAsia" w:hAnsiTheme="minorEastAsia" w:eastAsiaTheme="minorEastAsia"/>
                <w:spacing w:val="16"/>
                <w:sz w:val="28"/>
                <w:szCs w:val="28"/>
                <w:highlight w:val="none"/>
              </w:rPr>
              <w:t>袁海婷</w:t>
            </w:r>
            <w:r>
              <w:rPr>
                <w:rFonts w:cs="微软雅黑" w:asciiTheme="minorEastAsia" w:hAnsiTheme="minorEastAsia" w:eastAsiaTheme="minorEastAsia"/>
                <w:spacing w:val="16"/>
                <w:sz w:val="28"/>
                <w:szCs w:val="28"/>
                <w:highlight w:val="none"/>
              </w:rPr>
              <w:tab/>
            </w:r>
            <w:r>
              <w:rPr>
                <w:rFonts w:hint="eastAsia" w:cs="微软雅黑" w:asciiTheme="minorEastAsia" w:hAnsiTheme="minorEastAsia" w:eastAsiaTheme="minorEastAsia"/>
                <w:spacing w:val="16"/>
                <w:sz w:val="28"/>
                <w:szCs w:val="28"/>
                <w:highlight w:val="none"/>
              </w:rPr>
              <w:t>（正高级工程师）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trPr>
        <w:tc>
          <w:tcPr>
            <w:tcW w:w="993" w:type="dxa"/>
          </w:tcPr>
          <w:p>
            <w:pPr>
              <w:jc w:val="distribute"/>
              <w:rPr>
                <w:rFonts w:asciiTheme="minorEastAsia" w:hAnsiTheme="minorEastAsia" w:eastAsiaTheme="minorEastAsia"/>
                <w:spacing w:val="26"/>
                <w:sz w:val="28"/>
                <w:szCs w:val="28"/>
                <w:highlight w:val="none"/>
              </w:rPr>
            </w:pPr>
          </w:p>
        </w:tc>
        <w:tc>
          <w:tcPr>
            <w:tcW w:w="2835" w:type="dxa"/>
          </w:tcPr>
          <w:p>
            <w:pPr>
              <w:ind w:left="39"/>
              <w:jc w:val="distribute"/>
              <w:rPr>
                <w:rFonts w:asciiTheme="minorEastAsia" w:hAnsiTheme="minorEastAsia" w:eastAsiaTheme="minorEastAsia"/>
                <w:spacing w:val="26"/>
                <w:sz w:val="28"/>
                <w:szCs w:val="28"/>
                <w:highlight w:val="none"/>
              </w:rPr>
            </w:pPr>
            <w:r>
              <w:rPr>
                <w:rFonts w:hint="eastAsia" w:cs="微软雅黑" w:asciiTheme="minorEastAsia" w:hAnsiTheme="minorEastAsia" w:eastAsiaTheme="minorEastAsia"/>
                <w:spacing w:val="26"/>
                <w:sz w:val="28"/>
                <w:szCs w:val="28"/>
                <w:highlight w:val="none"/>
              </w:rPr>
              <w:t>部门技术负责人人</w:t>
            </w:r>
          </w:p>
        </w:tc>
        <w:tc>
          <w:tcPr>
            <w:tcW w:w="283" w:type="dxa"/>
            <w:vAlign w:val="center"/>
          </w:tcPr>
          <w:p>
            <w:pPr>
              <w:jc w:val="left"/>
              <w:rPr>
                <w:rFonts w:asciiTheme="minorEastAsia" w:hAnsiTheme="minorEastAsia" w:eastAsiaTheme="minorEastAsia"/>
                <w:highlight w:val="none"/>
              </w:rPr>
            </w:pPr>
            <w:r>
              <w:rPr>
                <w:rFonts w:hint="eastAsia" w:cs="微软雅黑" w:asciiTheme="minorEastAsia" w:hAnsiTheme="minorEastAsia" w:eastAsiaTheme="minorEastAsia"/>
                <w:highlight w:val="none"/>
              </w:rPr>
              <w:t>：</w:t>
            </w:r>
          </w:p>
        </w:tc>
        <w:tc>
          <w:tcPr>
            <w:tcW w:w="5670" w:type="dxa"/>
          </w:tcPr>
          <w:p>
            <w:pPr>
              <w:tabs>
                <w:tab w:val="right" w:pos="5454"/>
              </w:tabs>
              <w:rPr>
                <w:rFonts w:asciiTheme="minorEastAsia" w:hAnsiTheme="minorEastAsia" w:eastAsiaTheme="minorEastAsia"/>
                <w:spacing w:val="16"/>
                <w:sz w:val="28"/>
                <w:szCs w:val="28"/>
                <w:highlight w:val="none"/>
              </w:rPr>
            </w:pPr>
            <w:r>
              <w:rPr>
                <w:rFonts w:cs="微软雅黑" w:asciiTheme="minorEastAsia" w:hAnsiTheme="minorEastAsia" w:eastAsiaTheme="minorEastAsia"/>
                <w:spacing w:val="16"/>
                <w:sz w:val="28"/>
                <w:szCs w:val="28"/>
                <w:highlight w:val="none"/>
              </w:rPr>
              <w:t>贺亚军</w:t>
            </w:r>
            <w:r>
              <w:rPr>
                <w:rFonts w:cs="微软雅黑" w:asciiTheme="minorEastAsia" w:hAnsiTheme="minorEastAsia" w:eastAsiaTheme="minorEastAsia"/>
                <w:spacing w:val="16"/>
                <w:sz w:val="28"/>
                <w:szCs w:val="28"/>
                <w:highlight w:val="none"/>
              </w:rPr>
              <w:tab/>
            </w:r>
            <w:r>
              <w:rPr>
                <w:rFonts w:hint="eastAsia" w:cs="微软雅黑" w:asciiTheme="minorEastAsia" w:hAnsiTheme="minorEastAsia" w:eastAsiaTheme="minorEastAsia"/>
                <w:spacing w:val="16"/>
                <w:sz w:val="28"/>
                <w:szCs w:val="28"/>
                <w:highlight w:val="none"/>
              </w:rPr>
              <w:t>（正高级工程师）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trPr>
        <w:tc>
          <w:tcPr>
            <w:tcW w:w="993" w:type="dxa"/>
          </w:tcPr>
          <w:p>
            <w:pPr>
              <w:tabs>
                <w:tab w:val="right" w:pos="8080"/>
              </w:tabs>
              <w:spacing w:line="360" w:lineRule="auto"/>
              <w:jc w:val="distribute"/>
              <w:rPr>
                <w:rFonts w:asciiTheme="minorEastAsia" w:hAnsiTheme="minorEastAsia" w:eastAsiaTheme="minorEastAsia"/>
                <w:sz w:val="28"/>
                <w:szCs w:val="28"/>
                <w:highlight w:val="none"/>
              </w:rPr>
            </w:pPr>
          </w:p>
        </w:tc>
        <w:tc>
          <w:tcPr>
            <w:tcW w:w="2835" w:type="dxa"/>
          </w:tcPr>
          <w:p>
            <w:pPr>
              <w:tabs>
                <w:tab w:val="right" w:pos="8080"/>
              </w:tabs>
              <w:spacing w:line="360" w:lineRule="auto"/>
              <w:jc w:val="distribute"/>
              <w:rPr>
                <w:rFonts w:asciiTheme="minorEastAsia" w:hAnsiTheme="minorEastAsia" w:eastAsiaTheme="minorEastAsia"/>
                <w:sz w:val="28"/>
                <w:szCs w:val="28"/>
                <w:highlight w:val="none"/>
              </w:rPr>
            </w:pPr>
            <w:r>
              <w:rPr>
                <w:rFonts w:hint="eastAsia" w:cs="微软雅黑" w:asciiTheme="minorEastAsia" w:hAnsiTheme="minorEastAsia" w:eastAsiaTheme="minorEastAsia"/>
                <w:sz w:val="28"/>
                <w:szCs w:val="28"/>
                <w:highlight w:val="none"/>
              </w:rPr>
              <w:t>项目负责人</w:t>
            </w:r>
          </w:p>
        </w:tc>
        <w:tc>
          <w:tcPr>
            <w:tcW w:w="283" w:type="dxa"/>
            <w:vAlign w:val="center"/>
          </w:tcPr>
          <w:p>
            <w:pPr>
              <w:tabs>
                <w:tab w:val="right" w:pos="8080"/>
              </w:tabs>
              <w:spacing w:line="360" w:lineRule="auto"/>
              <w:ind w:firstLine="21" w:firstLineChars="10"/>
              <w:jc w:val="center"/>
              <w:rPr>
                <w:rFonts w:asciiTheme="minorEastAsia" w:hAnsiTheme="minorEastAsia" w:eastAsiaTheme="minorEastAsia"/>
                <w:sz w:val="28"/>
                <w:szCs w:val="28"/>
                <w:highlight w:val="none"/>
              </w:rPr>
            </w:pPr>
            <w:r>
              <w:rPr>
                <w:rFonts w:hint="eastAsia" w:cs="微软雅黑" w:asciiTheme="minorEastAsia" w:hAnsiTheme="minorEastAsia" w:eastAsiaTheme="minorEastAsia"/>
                <w:highlight w:val="none"/>
              </w:rPr>
              <w:t>：</w:t>
            </w:r>
          </w:p>
        </w:tc>
        <w:tc>
          <w:tcPr>
            <w:tcW w:w="5670" w:type="dxa"/>
          </w:tcPr>
          <w:p>
            <w:pPr>
              <w:tabs>
                <w:tab w:val="right" w:pos="5454"/>
                <w:tab w:val="right" w:pos="8080"/>
              </w:tabs>
              <w:spacing w:line="360" w:lineRule="auto"/>
              <w:ind w:firstLine="31" w:firstLineChars="10"/>
              <w:rPr>
                <w:rFonts w:asciiTheme="minorEastAsia" w:hAnsiTheme="minorEastAsia" w:eastAsiaTheme="minorEastAsia"/>
                <w:sz w:val="28"/>
                <w:szCs w:val="28"/>
                <w:highlight w:val="none"/>
              </w:rPr>
            </w:pPr>
            <w:r>
              <w:rPr>
                <w:rFonts w:cs="微软雅黑" w:asciiTheme="minorEastAsia" w:hAnsiTheme="minorEastAsia" w:eastAsiaTheme="minorEastAsia"/>
                <w:spacing w:val="16"/>
                <w:sz w:val="28"/>
                <w:szCs w:val="28"/>
                <w:highlight w:val="none"/>
              </w:rPr>
              <w:t>文训科</w:t>
            </w:r>
            <w:r>
              <w:rPr>
                <w:rFonts w:cs="微软雅黑" w:asciiTheme="minorEastAsia" w:hAnsiTheme="minorEastAsia" w:eastAsiaTheme="minorEastAsia"/>
                <w:spacing w:val="16"/>
                <w:sz w:val="28"/>
                <w:szCs w:val="28"/>
                <w:highlight w:val="none"/>
              </w:rPr>
              <w:tab/>
            </w:r>
            <w:r>
              <w:rPr>
                <w:rFonts w:hint="eastAsia" w:cs="微软雅黑" w:asciiTheme="minorEastAsia" w:hAnsiTheme="minorEastAsia" w:eastAsiaTheme="minorEastAsia"/>
                <w:spacing w:val="16"/>
                <w:sz w:val="28"/>
                <w:szCs w:val="28"/>
                <w:highlight w:val="none"/>
              </w:rPr>
              <w:t>（正高级工程师）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trPr>
        <w:tc>
          <w:tcPr>
            <w:tcW w:w="993" w:type="dxa"/>
          </w:tcPr>
          <w:p>
            <w:pPr>
              <w:tabs>
                <w:tab w:val="right" w:pos="8080"/>
              </w:tabs>
              <w:spacing w:line="360" w:lineRule="auto"/>
              <w:jc w:val="distribute"/>
              <w:rPr>
                <w:rFonts w:asciiTheme="minorEastAsia" w:hAnsiTheme="minorEastAsia" w:eastAsiaTheme="minorEastAsia"/>
                <w:sz w:val="28"/>
                <w:szCs w:val="28"/>
                <w:highlight w:val="none"/>
              </w:rPr>
            </w:pPr>
          </w:p>
        </w:tc>
        <w:tc>
          <w:tcPr>
            <w:tcW w:w="2835" w:type="dxa"/>
          </w:tcPr>
          <w:p>
            <w:pPr>
              <w:tabs>
                <w:tab w:val="right" w:pos="8080"/>
              </w:tabs>
              <w:spacing w:line="360" w:lineRule="auto"/>
              <w:jc w:val="distribute"/>
              <w:rPr>
                <w:rFonts w:asciiTheme="minorEastAsia" w:hAnsiTheme="minorEastAsia" w:eastAsiaTheme="minorEastAsia"/>
                <w:sz w:val="28"/>
                <w:szCs w:val="28"/>
                <w:highlight w:val="none"/>
              </w:rPr>
            </w:pPr>
            <w:r>
              <w:rPr>
                <w:rFonts w:hint="eastAsia" w:cs="微软雅黑" w:asciiTheme="minorEastAsia" w:hAnsiTheme="minorEastAsia" w:eastAsiaTheme="minorEastAsia"/>
                <w:sz w:val="28"/>
                <w:szCs w:val="28"/>
                <w:highlight w:val="none"/>
              </w:rPr>
              <w:t>主要参与人员</w:t>
            </w:r>
          </w:p>
        </w:tc>
        <w:tc>
          <w:tcPr>
            <w:tcW w:w="283" w:type="dxa"/>
            <w:vAlign w:val="center"/>
          </w:tcPr>
          <w:p>
            <w:pPr>
              <w:jc w:val="left"/>
              <w:rPr>
                <w:rFonts w:asciiTheme="minorEastAsia" w:hAnsiTheme="minorEastAsia" w:eastAsiaTheme="minorEastAsia"/>
                <w:highlight w:val="none"/>
              </w:rPr>
            </w:pPr>
            <w:r>
              <w:rPr>
                <w:rFonts w:hint="eastAsia" w:cs="微软雅黑" w:asciiTheme="minorEastAsia" w:hAnsiTheme="minorEastAsia" w:eastAsiaTheme="minorEastAsia"/>
                <w:highlight w:val="none"/>
              </w:rPr>
              <w:t>：</w:t>
            </w:r>
          </w:p>
        </w:tc>
        <w:tc>
          <w:tcPr>
            <w:tcW w:w="5670" w:type="dxa"/>
          </w:tcPr>
          <w:p>
            <w:pPr>
              <w:rPr>
                <w:rFonts w:asciiTheme="minorEastAsia" w:hAnsiTheme="minorEastAsia" w:eastAsiaTheme="minorEastAsia"/>
                <w:sz w:val="28"/>
                <w:szCs w:val="28"/>
                <w:highlight w:val="none"/>
              </w:rPr>
            </w:pPr>
          </w:p>
          <w:p>
            <w:pPr>
              <w:rPr>
                <w:rFonts w:asciiTheme="minorEastAsia" w:hAnsiTheme="minorEastAsia" w:eastAsiaTheme="minorEastAsia"/>
                <w:sz w:val="28"/>
                <w:szCs w:val="28"/>
                <w:highlight w:val="none"/>
              </w:rPr>
            </w:pPr>
          </w:p>
        </w:tc>
      </w:tr>
    </w:tbl>
    <w:p>
      <w:pPr>
        <w:ind w:left="2268" w:leftChars="1080" w:right="252" w:rightChars="120" w:firstLine="1276" w:firstLineChars="456"/>
        <w:jc w:val="right"/>
        <w:rPr>
          <w:kern w:val="0"/>
          <w:sz w:val="28"/>
          <w:highlight w:val="none"/>
        </w:rPr>
      </w:pPr>
      <w:r>
        <w:rPr>
          <w:rFonts w:hint="eastAsia"/>
          <w:kern w:val="0"/>
          <w:sz w:val="28"/>
          <w:highlight w:val="none"/>
        </w:rPr>
        <w:t xml:space="preserve"> </w:t>
      </w:r>
      <w:r>
        <w:rPr>
          <w:kern w:val="0"/>
          <w:sz w:val="28"/>
          <w:highlight w:val="none"/>
        </w:rPr>
        <w:t xml:space="preserve">  刘晓帆  王  静  陈</w:t>
      </w:r>
      <w:r>
        <w:rPr>
          <w:rFonts w:hint="eastAsia"/>
          <w:kern w:val="0"/>
          <w:sz w:val="28"/>
          <w:highlight w:val="none"/>
        </w:rPr>
        <w:t xml:space="preserve"> </w:t>
      </w:r>
      <w:r>
        <w:rPr>
          <w:kern w:val="0"/>
          <w:sz w:val="28"/>
          <w:highlight w:val="none"/>
        </w:rPr>
        <w:t xml:space="preserve"> 刚  高  超  陈健雄</w:t>
      </w:r>
      <w:r>
        <w:rPr>
          <w:rFonts w:hint="eastAsia"/>
          <w:kern w:val="0"/>
          <w:sz w:val="28"/>
          <w:highlight w:val="none"/>
        </w:rPr>
        <w:t xml:space="preserve"> </w:t>
      </w:r>
      <w:r>
        <w:rPr>
          <w:kern w:val="0"/>
          <w:sz w:val="28"/>
          <w:highlight w:val="none"/>
        </w:rPr>
        <w:t xml:space="preserve"> </w:t>
      </w:r>
    </w:p>
    <w:p>
      <w:pPr>
        <w:ind w:left="2551" w:leftChars="1215" w:right="252" w:rightChars="120" w:firstLine="1416" w:firstLineChars="506"/>
        <w:jc w:val="right"/>
        <w:rPr>
          <w:kern w:val="0"/>
          <w:sz w:val="28"/>
          <w:highlight w:val="none"/>
        </w:rPr>
      </w:pPr>
      <w:r>
        <w:rPr>
          <w:kern w:val="0"/>
          <w:sz w:val="28"/>
          <w:highlight w:val="none"/>
        </w:rPr>
        <w:t>邱缔贤</w:t>
      </w:r>
      <w:r>
        <w:rPr>
          <w:rFonts w:hint="eastAsia"/>
          <w:kern w:val="0"/>
          <w:sz w:val="28"/>
          <w:highlight w:val="none"/>
        </w:rPr>
        <w:t xml:space="preserve"> </w:t>
      </w:r>
      <w:r>
        <w:rPr>
          <w:kern w:val="0"/>
          <w:sz w:val="28"/>
          <w:highlight w:val="none"/>
        </w:rPr>
        <w:t xml:space="preserve"> 肖  丹  吴礼国  周定科</w:t>
      </w:r>
      <w:r>
        <w:rPr>
          <w:rFonts w:hint="eastAsia"/>
          <w:kern w:val="0"/>
          <w:sz w:val="28"/>
          <w:highlight w:val="none"/>
        </w:rPr>
        <w:t xml:space="preserve"> </w:t>
      </w:r>
      <w:r>
        <w:rPr>
          <w:kern w:val="0"/>
          <w:sz w:val="28"/>
          <w:highlight w:val="none"/>
        </w:rPr>
        <w:t xml:space="preserve"> </w:t>
      </w:r>
      <w:r>
        <w:rPr>
          <w:rFonts w:hint="eastAsia"/>
          <w:kern w:val="0"/>
          <w:sz w:val="28"/>
          <w:highlight w:val="none"/>
        </w:rPr>
        <w:t>杨亚男</w:t>
      </w:r>
    </w:p>
    <w:p>
      <w:pPr>
        <w:ind w:left="1890" w:leftChars="900" w:right="252" w:rightChars="120" w:firstLine="1400" w:firstLineChars="500"/>
        <w:jc w:val="right"/>
        <w:rPr>
          <w:kern w:val="0"/>
          <w:sz w:val="28"/>
          <w:highlight w:val="none"/>
        </w:rPr>
      </w:pPr>
      <w:r>
        <w:rPr>
          <w:rFonts w:hint="eastAsia"/>
          <w:kern w:val="0"/>
          <w:sz w:val="28"/>
          <w:highlight w:val="none"/>
        </w:rPr>
        <w:t xml:space="preserve">曾 </w:t>
      </w:r>
      <w:r>
        <w:rPr>
          <w:kern w:val="0"/>
          <w:sz w:val="28"/>
          <w:highlight w:val="none"/>
        </w:rPr>
        <w:t xml:space="preserve"> </w:t>
      </w:r>
      <w:r>
        <w:rPr>
          <w:rFonts w:hint="eastAsia"/>
          <w:kern w:val="0"/>
          <w:sz w:val="28"/>
          <w:highlight w:val="none"/>
        </w:rPr>
        <w:t xml:space="preserve">元 </w:t>
      </w:r>
      <w:r>
        <w:rPr>
          <w:kern w:val="0"/>
          <w:sz w:val="28"/>
          <w:highlight w:val="none"/>
        </w:rPr>
        <w:t xml:space="preserve"> </w:t>
      </w:r>
      <w:r>
        <w:rPr>
          <w:rFonts w:hint="eastAsia"/>
          <w:kern w:val="0"/>
          <w:sz w:val="28"/>
          <w:highlight w:val="none"/>
        </w:rPr>
        <w:t xml:space="preserve">曾嘉伟 </w:t>
      </w:r>
      <w:r>
        <w:rPr>
          <w:kern w:val="0"/>
          <w:sz w:val="28"/>
          <w:highlight w:val="none"/>
        </w:rPr>
        <w:t xml:space="preserve"> </w:t>
      </w:r>
      <w:r>
        <w:rPr>
          <w:rFonts w:hint="eastAsia"/>
          <w:kern w:val="0"/>
          <w:sz w:val="28"/>
          <w:highlight w:val="none"/>
        </w:rPr>
        <w:t xml:space="preserve">徐 </w:t>
      </w:r>
      <w:r>
        <w:rPr>
          <w:kern w:val="0"/>
          <w:sz w:val="28"/>
          <w:highlight w:val="none"/>
        </w:rPr>
        <w:t xml:space="preserve"> </w:t>
      </w:r>
      <w:r>
        <w:rPr>
          <w:rFonts w:hint="eastAsia"/>
          <w:kern w:val="0"/>
          <w:sz w:val="28"/>
          <w:highlight w:val="none"/>
        </w:rPr>
        <w:t xml:space="preserve">维 </w:t>
      </w:r>
      <w:r>
        <w:rPr>
          <w:kern w:val="0"/>
          <w:sz w:val="28"/>
          <w:highlight w:val="none"/>
        </w:rPr>
        <w:t xml:space="preserve"> </w:t>
      </w:r>
      <w:r>
        <w:rPr>
          <w:rFonts w:hint="eastAsia"/>
          <w:kern w:val="0"/>
          <w:sz w:val="28"/>
          <w:highlight w:val="none"/>
        </w:rPr>
        <w:t xml:space="preserve">徐志威 </w:t>
      </w:r>
      <w:r>
        <w:rPr>
          <w:kern w:val="0"/>
          <w:sz w:val="28"/>
          <w:highlight w:val="none"/>
        </w:rPr>
        <w:t xml:space="preserve"> </w:t>
      </w:r>
      <w:r>
        <w:rPr>
          <w:rFonts w:hint="eastAsia"/>
          <w:kern w:val="0"/>
          <w:sz w:val="28"/>
          <w:highlight w:val="none"/>
        </w:rPr>
        <w:t>尹忠柳</w:t>
      </w:r>
    </w:p>
    <w:p>
      <w:pPr>
        <w:pStyle w:val="15"/>
        <w:snapToGrid w:val="0"/>
        <w:spacing w:after="0" w:line="408" w:lineRule="auto"/>
        <w:ind w:left="302" w:leftChars="144" w:firstLine="3418" w:firstLineChars="1221"/>
        <w:rPr>
          <w:sz w:val="28"/>
          <w:szCs w:val="28"/>
          <w:highlight w:val="none"/>
        </w:rPr>
      </w:pPr>
    </w:p>
    <w:p>
      <w:pPr>
        <w:pStyle w:val="24"/>
        <w:tabs>
          <w:tab w:val="right" w:leader="dot" w:pos="9060"/>
        </w:tabs>
        <w:spacing w:before="0" w:after="0" w:line="360" w:lineRule="auto"/>
        <w:rPr>
          <w:rFonts w:ascii="Times New Roman" w:hAnsi="Times New Roman"/>
          <w:highlight w:val="none"/>
        </w:rPr>
        <w:sectPr>
          <w:headerReference r:id="rId4" w:type="default"/>
          <w:pgSz w:w="11906" w:h="16838"/>
          <w:pgMar w:top="1440" w:right="1077" w:bottom="1440" w:left="1077" w:header="851" w:footer="992" w:gutter="0"/>
          <w:pgNumType w:start="1"/>
          <w:cols w:space="425" w:num="1"/>
          <w:docGrid w:type="lines" w:linePitch="312" w:charSpace="0"/>
        </w:sectPr>
      </w:pPr>
    </w:p>
    <w:sdt>
      <w:sdtPr>
        <w:rPr>
          <w:rFonts w:ascii="Times New Roman" w:hAnsi="Times New Roman" w:eastAsia="宋体" w:cs="Times New Roman"/>
          <w:b w:val="0"/>
          <w:bCs w:val="0"/>
          <w:caps/>
          <w:color w:val="auto"/>
          <w:kern w:val="2"/>
          <w:sz w:val="21"/>
          <w:szCs w:val="24"/>
          <w:highlight w:val="none"/>
          <w:lang w:val="zh-CN"/>
        </w:rPr>
        <w:id w:val="40147111"/>
        <w:docPartObj>
          <w:docPartGallery w:val="Table of Contents"/>
          <w:docPartUnique/>
        </w:docPartObj>
      </w:sdtPr>
      <w:sdtEndPr>
        <w:rPr>
          <w:rFonts w:ascii="Times New Roman" w:hAnsi="Times New Roman" w:eastAsia="宋体" w:cs="Times New Roman"/>
          <w:b/>
          <w:bCs/>
          <w:caps/>
          <w:color w:val="auto"/>
          <w:kern w:val="2"/>
          <w:sz w:val="20"/>
          <w:szCs w:val="20"/>
          <w:highlight w:val="none"/>
          <w:lang w:val="en-US"/>
        </w:rPr>
      </w:sdtEndPr>
      <w:sdtContent>
        <w:p>
          <w:pPr>
            <w:pStyle w:val="76"/>
            <w:spacing w:before="0"/>
            <w:jc w:val="center"/>
            <w:rPr>
              <w:rFonts w:ascii="Times New Roman" w:hAnsi="Times New Roman" w:cs="Times New Roman"/>
              <w:color w:val="auto"/>
              <w:highlight w:val="none"/>
            </w:rPr>
          </w:pPr>
          <w:r>
            <w:rPr>
              <w:rFonts w:ascii="Times New Roman" w:hAnsi="Times New Roman" w:cs="Times New Roman"/>
              <w:color w:val="auto"/>
              <w:sz w:val="32"/>
              <w:szCs w:val="32"/>
              <w:highlight w:val="none"/>
              <w:lang w:val="zh-CN"/>
            </w:rPr>
            <w:t>目录</w:t>
          </w:r>
        </w:p>
        <w:p>
          <w:pPr>
            <w:pStyle w:val="24"/>
            <w:tabs>
              <w:tab w:val="right" w:leader="dot" w:pos="9060"/>
            </w:tabs>
            <w:spacing w:before="0" w:after="0" w:line="360" w:lineRule="auto"/>
            <w:rPr>
              <w:rFonts w:ascii="Times New Roman" w:hAnsi="Times New Roman" w:eastAsiaTheme="minorEastAsia"/>
              <w:b w:val="0"/>
              <w:bCs w:val="0"/>
              <w:caps w:val="0"/>
              <w:sz w:val="24"/>
              <w:szCs w:val="24"/>
              <w:highlight w:val="none"/>
            </w:rPr>
          </w:pPr>
          <w:r>
            <w:rPr>
              <w:rFonts w:asciiTheme="minorEastAsia" w:hAnsiTheme="minorEastAsia" w:eastAsiaTheme="minorEastAsia"/>
              <w:b w:val="0"/>
              <w:bCs w:val="0"/>
              <w:caps w:val="0"/>
              <w:sz w:val="24"/>
              <w:szCs w:val="24"/>
              <w:highlight w:val="none"/>
            </w:rPr>
            <w:fldChar w:fldCharType="begin"/>
          </w:r>
          <w:r>
            <w:rPr>
              <w:rFonts w:asciiTheme="minorEastAsia" w:hAnsiTheme="minorEastAsia" w:eastAsiaTheme="minorEastAsia"/>
              <w:b w:val="0"/>
              <w:bCs w:val="0"/>
              <w:caps w:val="0"/>
              <w:sz w:val="24"/>
              <w:szCs w:val="24"/>
              <w:highlight w:val="none"/>
            </w:rPr>
            <w:instrText xml:space="preserve"> TOC \o "1-3" \u  \* MERGEFORMAT </w:instrText>
          </w:r>
          <w:r>
            <w:rPr>
              <w:rFonts w:asciiTheme="minorEastAsia" w:hAnsiTheme="minorEastAsia" w:eastAsiaTheme="minorEastAsia"/>
              <w:b w:val="0"/>
              <w:bCs w:val="0"/>
              <w:caps w:val="0"/>
              <w:sz w:val="24"/>
              <w:szCs w:val="24"/>
              <w:highlight w:val="none"/>
            </w:rPr>
            <w:fldChar w:fldCharType="separate"/>
          </w:r>
          <w:r>
            <w:rPr>
              <w:rFonts w:ascii="Times New Roman" w:hAnsi="Times New Roman" w:eastAsiaTheme="minorEastAsia"/>
              <w:b w:val="0"/>
              <w:sz w:val="24"/>
              <w:szCs w:val="24"/>
              <w:highlight w:val="none"/>
            </w:rPr>
            <w:t>前 言</w:t>
          </w:r>
          <w:r>
            <w:rPr>
              <w:rFonts w:ascii="Times New Roman" w:hAnsi="Times New Roman" w:eastAsiaTheme="minorEastAsia"/>
              <w:b w:val="0"/>
              <w:sz w:val="24"/>
              <w:szCs w:val="24"/>
              <w:highlight w:val="none"/>
            </w:rPr>
            <w:tab/>
          </w:r>
          <w:r>
            <w:rPr>
              <w:rFonts w:ascii="Times New Roman" w:hAnsi="Times New Roman" w:eastAsiaTheme="minorEastAsia"/>
              <w:b w:val="0"/>
              <w:sz w:val="24"/>
              <w:szCs w:val="24"/>
              <w:highlight w:val="none"/>
            </w:rPr>
            <w:fldChar w:fldCharType="begin"/>
          </w:r>
          <w:r>
            <w:rPr>
              <w:rFonts w:ascii="Times New Roman" w:hAnsi="Times New Roman" w:eastAsiaTheme="minorEastAsia"/>
              <w:b w:val="0"/>
              <w:sz w:val="24"/>
              <w:szCs w:val="24"/>
              <w:highlight w:val="none"/>
            </w:rPr>
            <w:instrText xml:space="preserve"> PAGEREF _Toc77781858 \h </w:instrText>
          </w:r>
          <w:r>
            <w:rPr>
              <w:rFonts w:ascii="Times New Roman" w:hAnsi="Times New Roman" w:eastAsiaTheme="minorEastAsia"/>
              <w:b w:val="0"/>
              <w:sz w:val="24"/>
              <w:szCs w:val="24"/>
              <w:highlight w:val="none"/>
            </w:rPr>
            <w:fldChar w:fldCharType="separate"/>
          </w:r>
          <w:r>
            <w:rPr>
              <w:rFonts w:ascii="Times New Roman" w:hAnsi="Times New Roman" w:eastAsiaTheme="minorEastAsia"/>
              <w:b w:val="0"/>
              <w:sz w:val="24"/>
              <w:szCs w:val="24"/>
              <w:highlight w:val="none"/>
            </w:rPr>
            <w:t>1</w:t>
          </w:r>
          <w:r>
            <w:rPr>
              <w:rFonts w:ascii="Times New Roman" w:hAnsi="Times New Roman" w:eastAsiaTheme="minorEastAsia"/>
              <w:b w:val="0"/>
              <w:sz w:val="24"/>
              <w:szCs w:val="24"/>
              <w:highlight w:val="none"/>
            </w:rPr>
            <w:fldChar w:fldCharType="end"/>
          </w:r>
        </w:p>
        <w:p>
          <w:pPr>
            <w:pStyle w:val="24"/>
            <w:tabs>
              <w:tab w:val="right" w:leader="dot" w:pos="9060"/>
            </w:tabs>
            <w:spacing w:before="0" w:after="0" w:line="360" w:lineRule="auto"/>
            <w:rPr>
              <w:rFonts w:ascii="Times New Roman" w:hAnsi="Times New Roman" w:eastAsiaTheme="minorEastAsia"/>
              <w:b w:val="0"/>
              <w:bCs w:val="0"/>
              <w:caps w:val="0"/>
              <w:sz w:val="24"/>
              <w:szCs w:val="24"/>
              <w:highlight w:val="none"/>
            </w:rPr>
          </w:pPr>
          <w:r>
            <w:rPr>
              <w:rFonts w:ascii="Times New Roman" w:hAnsi="Times New Roman" w:eastAsiaTheme="minorEastAsia"/>
              <w:b w:val="0"/>
              <w:sz w:val="24"/>
              <w:szCs w:val="24"/>
              <w:highlight w:val="none"/>
            </w:rPr>
            <w:t>第一章港口发展的现状</w:t>
          </w:r>
          <w:r>
            <w:rPr>
              <w:rFonts w:ascii="Times New Roman" w:hAnsi="Times New Roman" w:eastAsiaTheme="minorEastAsia"/>
              <w:b w:val="0"/>
              <w:sz w:val="24"/>
              <w:szCs w:val="24"/>
              <w:highlight w:val="none"/>
            </w:rPr>
            <w:tab/>
          </w:r>
          <w:r>
            <w:rPr>
              <w:rFonts w:ascii="Times New Roman" w:hAnsi="Times New Roman" w:eastAsiaTheme="minorEastAsia"/>
              <w:b w:val="0"/>
              <w:sz w:val="24"/>
              <w:szCs w:val="24"/>
              <w:highlight w:val="none"/>
            </w:rPr>
            <w:fldChar w:fldCharType="begin"/>
          </w:r>
          <w:r>
            <w:rPr>
              <w:rFonts w:ascii="Times New Roman" w:hAnsi="Times New Roman" w:eastAsiaTheme="minorEastAsia"/>
              <w:b w:val="0"/>
              <w:sz w:val="24"/>
              <w:szCs w:val="24"/>
              <w:highlight w:val="none"/>
            </w:rPr>
            <w:instrText xml:space="preserve"> PAGEREF _Toc77781859 \h </w:instrText>
          </w:r>
          <w:r>
            <w:rPr>
              <w:rFonts w:ascii="Times New Roman" w:hAnsi="Times New Roman" w:eastAsiaTheme="minorEastAsia"/>
              <w:b w:val="0"/>
              <w:sz w:val="24"/>
              <w:szCs w:val="24"/>
              <w:highlight w:val="none"/>
            </w:rPr>
            <w:fldChar w:fldCharType="separate"/>
          </w:r>
          <w:r>
            <w:rPr>
              <w:rFonts w:ascii="Times New Roman" w:hAnsi="Times New Roman" w:eastAsiaTheme="minorEastAsia"/>
              <w:b w:val="0"/>
              <w:sz w:val="24"/>
              <w:szCs w:val="24"/>
              <w:highlight w:val="none"/>
            </w:rPr>
            <w:t>15</w:t>
          </w:r>
          <w:r>
            <w:rPr>
              <w:rFonts w:ascii="Times New Roman" w:hAnsi="Times New Roman" w:eastAsiaTheme="minorEastAsia"/>
              <w:b w:val="0"/>
              <w:sz w:val="24"/>
              <w:szCs w:val="24"/>
              <w:highlight w:val="none"/>
            </w:rPr>
            <w:fldChar w:fldCharType="end"/>
          </w:r>
        </w:p>
        <w:p>
          <w:pPr>
            <w:pStyle w:val="28"/>
            <w:tabs>
              <w:tab w:val="right" w:leader="dot" w:pos="9060"/>
            </w:tabs>
            <w:spacing w:line="360" w:lineRule="auto"/>
            <w:rPr>
              <w:rFonts w:ascii="Times New Roman" w:hAnsi="Times New Roman" w:eastAsiaTheme="minorEastAsia"/>
              <w:smallCaps w:val="0"/>
              <w:sz w:val="24"/>
              <w:szCs w:val="24"/>
              <w:highlight w:val="none"/>
            </w:rPr>
          </w:pPr>
          <w:r>
            <w:rPr>
              <w:rFonts w:ascii="Times New Roman" w:hAnsi="Times New Roman" w:eastAsiaTheme="minorEastAsia"/>
              <w:sz w:val="24"/>
              <w:szCs w:val="24"/>
              <w:highlight w:val="none"/>
            </w:rPr>
            <w:t>第一节地理位置</w:t>
          </w:r>
          <w:r>
            <w:rPr>
              <w:rFonts w:ascii="Times New Roman" w:hAnsi="Times New Roman" w:eastAsiaTheme="minorEastAsia"/>
              <w:sz w:val="24"/>
              <w:szCs w:val="24"/>
              <w:highlight w:val="none"/>
            </w:rPr>
            <w:tab/>
          </w:r>
          <w:r>
            <w:rPr>
              <w:rFonts w:ascii="Times New Roman" w:hAnsi="Times New Roman" w:eastAsiaTheme="minorEastAsia"/>
              <w:sz w:val="24"/>
              <w:szCs w:val="24"/>
              <w:highlight w:val="none"/>
            </w:rPr>
            <w:fldChar w:fldCharType="begin"/>
          </w:r>
          <w:r>
            <w:rPr>
              <w:rFonts w:ascii="Times New Roman" w:hAnsi="Times New Roman" w:eastAsiaTheme="minorEastAsia"/>
              <w:sz w:val="24"/>
              <w:szCs w:val="24"/>
              <w:highlight w:val="none"/>
            </w:rPr>
            <w:instrText xml:space="preserve"> PAGEREF _Toc77781860 \h </w:instrText>
          </w:r>
          <w:r>
            <w:rPr>
              <w:rFonts w:ascii="Times New Roman" w:hAnsi="Times New Roman" w:eastAsiaTheme="minorEastAsia"/>
              <w:sz w:val="24"/>
              <w:szCs w:val="24"/>
              <w:highlight w:val="none"/>
            </w:rPr>
            <w:fldChar w:fldCharType="separate"/>
          </w:r>
          <w:r>
            <w:rPr>
              <w:rFonts w:ascii="Times New Roman" w:hAnsi="Times New Roman" w:eastAsiaTheme="minorEastAsia"/>
              <w:sz w:val="24"/>
              <w:szCs w:val="24"/>
              <w:highlight w:val="none"/>
            </w:rPr>
            <w:t>15</w:t>
          </w:r>
          <w:r>
            <w:rPr>
              <w:rFonts w:ascii="Times New Roman" w:hAnsi="Times New Roman" w:eastAsiaTheme="minorEastAsia"/>
              <w:sz w:val="24"/>
              <w:szCs w:val="24"/>
              <w:highlight w:val="none"/>
            </w:rPr>
            <w:fldChar w:fldCharType="end"/>
          </w:r>
        </w:p>
        <w:p>
          <w:pPr>
            <w:pStyle w:val="28"/>
            <w:tabs>
              <w:tab w:val="right" w:leader="dot" w:pos="9060"/>
            </w:tabs>
            <w:spacing w:line="360" w:lineRule="auto"/>
            <w:rPr>
              <w:rFonts w:ascii="Times New Roman" w:hAnsi="Times New Roman" w:eastAsiaTheme="minorEastAsia"/>
              <w:smallCaps w:val="0"/>
              <w:sz w:val="24"/>
              <w:szCs w:val="24"/>
              <w:highlight w:val="none"/>
            </w:rPr>
          </w:pPr>
          <w:r>
            <w:rPr>
              <w:rFonts w:ascii="Times New Roman" w:hAnsi="Times New Roman" w:eastAsiaTheme="minorEastAsia"/>
              <w:sz w:val="24"/>
              <w:szCs w:val="24"/>
              <w:highlight w:val="none"/>
            </w:rPr>
            <w:t>第二节自然条件</w:t>
          </w:r>
          <w:r>
            <w:rPr>
              <w:rFonts w:ascii="Times New Roman" w:hAnsi="Times New Roman" w:eastAsiaTheme="minorEastAsia"/>
              <w:sz w:val="24"/>
              <w:szCs w:val="24"/>
              <w:highlight w:val="none"/>
            </w:rPr>
            <w:tab/>
          </w:r>
          <w:r>
            <w:rPr>
              <w:rFonts w:ascii="Times New Roman" w:hAnsi="Times New Roman" w:eastAsiaTheme="minorEastAsia"/>
              <w:sz w:val="24"/>
              <w:szCs w:val="24"/>
              <w:highlight w:val="none"/>
            </w:rPr>
            <w:fldChar w:fldCharType="begin"/>
          </w:r>
          <w:r>
            <w:rPr>
              <w:rFonts w:ascii="Times New Roman" w:hAnsi="Times New Roman" w:eastAsiaTheme="minorEastAsia"/>
              <w:sz w:val="24"/>
              <w:szCs w:val="24"/>
              <w:highlight w:val="none"/>
            </w:rPr>
            <w:instrText xml:space="preserve"> PAGEREF _Toc77781863 \h </w:instrText>
          </w:r>
          <w:r>
            <w:rPr>
              <w:rFonts w:ascii="Times New Roman" w:hAnsi="Times New Roman" w:eastAsiaTheme="minorEastAsia"/>
              <w:sz w:val="24"/>
              <w:szCs w:val="24"/>
              <w:highlight w:val="none"/>
            </w:rPr>
            <w:fldChar w:fldCharType="separate"/>
          </w:r>
          <w:r>
            <w:rPr>
              <w:rFonts w:ascii="Times New Roman" w:hAnsi="Times New Roman" w:eastAsiaTheme="minorEastAsia"/>
              <w:sz w:val="24"/>
              <w:szCs w:val="24"/>
              <w:highlight w:val="none"/>
            </w:rPr>
            <w:t>16</w:t>
          </w:r>
          <w:r>
            <w:rPr>
              <w:rFonts w:ascii="Times New Roman" w:hAnsi="Times New Roman" w:eastAsiaTheme="minorEastAsia"/>
              <w:sz w:val="24"/>
              <w:szCs w:val="24"/>
              <w:highlight w:val="none"/>
            </w:rPr>
            <w:fldChar w:fldCharType="end"/>
          </w:r>
        </w:p>
        <w:p>
          <w:pPr>
            <w:pStyle w:val="28"/>
            <w:tabs>
              <w:tab w:val="right" w:leader="dot" w:pos="9060"/>
            </w:tabs>
            <w:spacing w:line="360" w:lineRule="auto"/>
            <w:rPr>
              <w:rFonts w:ascii="Times New Roman" w:hAnsi="Times New Roman" w:eastAsiaTheme="minorEastAsia"/>
              <w:smallCaps w:val="0"/>
              <w:sz w:val="24"/>
              <w:szCs w:val="24"/>
              <w:highlight w:val="none"/>
            </w:rPr>
          </w:pPr>
          <w:r>
            <w:rPr>
              <w:rFonts w:ascii="Times New Roman" w:hAnsi="Times New Roman" w:eastAsiaTheme="minorEastAsia"/>
              <w:sz w:val="24"/>
              <w:szCs w:val="24"/>
              <w:highlight w:val="none"/>
            </w:rPr>
            <w:t>第三节港口基础条件</w:t>
          </w:r>
          <w:r>
            <w:rPr>
              <w:rFonts w:ascii="Times New Roman" w:hAnsi="Times New Roman" w:eastAsiaTheme="minorEastAsia"/>
              <w:sz w:val="24"/>
              <w:szCs w:val="24"/>
              <w:highlight w:val="none"/>
            </w:rPr>
            <w:tab/>
          </w:r>
          <w:r>
            <w:rPr>
              <w:rFonts w:ascii="Times New Roman" w:hAnsi="Times New Roman" w:eastAsiaTheme="minorEastAsia"/>
              <w:sz w:val="24"/>
              <w:szCs w:val="24"/>
              <w:highlight w:val="none"/>
            </w:rPr>
            <w:fldChar w:fldCharType="begin"/>
          </w:r>
          <w:r>
            <w:rPr>
              <w:rFonts w:ascii="Times New Roman" w:hAnsi="Times New Roman" w:eastAsiaTheme="minorEastAsia"/>
              <w:sz w:val="24"/>
              <w:szCs w:val="24"/>
              <w:highlight w:val="none"/>
            </w:rPr>
            <w:instrText xml:space="preserve"> PAGEREF _Toc77781867 \h </w:instrText>
          </w:r>
          <w:r>
            <w:rPr>
              <w:rFonts w:ascii="Times New Roman" w:hAnsi="Times New Roman" w:eastAsiaTheme="minorEastAsia"/>
              <w:sz w:val="24"/>
              <w:szCs w:val="24"/>
              <w:highlight w:val="none"/>
            </w:rPr>
            <w:fldChar w:fldCharType="separate"/>
          </w:r>
          <w:r>
            <w:rPr>
              <w:rFonts w:ascii="Times New Roman" w:hAnsi="Times New Roman" w:eastAsiaTheme="minorEastAsia"/>
              <w:sz w:val="24"/>
              <w:szCs w:val="24"/>
              <w:highlight w:val="none"/>
            </w:rPr>
            <w:t>29</w:t>
          </w:r>
          <w:r>
            <w:rPr>
              <w:rFonts w:ascii="Times New Roman" w:hAnsi="Times New Roman" w:eastAsiaTheme="minorEastAsia"/>
              <w:sz w:val="24"/>
              <w:szCs w:val="24"/>
              <w:highlight w:val="none"/>
            </w:rPr>
            <w:fldChar w:fldCharType="end"/>
          </w:r>
        </w:p>
        <w:p>
          <w:pPr>
            <w:pStyle w:val="28"/>
            <w:tabs>
              <w:tab w:val="right" w:leader="dot" w:pos="9060"/>
            </w:tabs>
            <w:spacing w:line="360" w:lineRule="auto"/>
            <w:rPr>
              <w:rFonts w:ascii="Times New Roman" w:hAnsi="Times New Roman" w:eastAsiaTheme="minorEastAsia"/>
              <w:smallCaps w:val="0"/>
              <w:sz w:val="24"/>
              <w:szCs w:val="24"/>
              <w:highlight w:val="none"/>
            </w:rPr>
          </w:pPr>
          <w:r>
            <w:rPr>
              <w:rFonts w:ascii="Times New Roman" w:hAnsi="Times New Roman" w:eastAsiaTheme="minorEastAsia"/>
              <w:sz w:val="24"/>
              <w:szCs w:val="24"/>
              <w:highlight w:val="none"/>
            </w:rPr>
            <w:t>第四节 原规划内容及实施情况</w:t>
          </w:r>
          <w:r>
            <w:rPr>
              <w:rFonts w:ascii="Times New Roman" w:hAnsi="Times New Roman" w:eastAsiaTheme="minorEastAsia"/>
              <w:sz w:val="24"/>
              <w:szCs w:val="24"/>
              <w:highlight w:val="none"/>
            </w:rPr>
            <w:tab/>
          </w:r>
          <w:r>
            <w:rPr>
              <w:rFonts w:ascii="Times New Roman" w:hAnsi="Times New Roman" w:eastAsiaTheme="minorEastAsia"/>
              <w:sz w:val="24"/>
              <w:szCs w:val="24"/>
              <w:highlight w:val="none"/>
            </w:rPr>
            <w:fldChar w:fldCharType="begin"/>
          </w:r>
          <w:r>
            <w:rPr>
              <w:rFonts w:ascii="Times New Roman" w:hAnsi="Times New Roman" w:eastAsiaTheme="minorEastAsia"/>
              <w:sz w:val="24"/>
              <w:szCs w:val="24"/>
              <w:highlight w:val="none"/>
            </w:rPr>
            <w:instrText xml:space="preserve"> PAGEREF _Toc77781872 \h </w:instrText>
          </w:r>
          <w:r>
            <w:rPr>
              <w:rFonts w:ascii="Times New Roman" w:hAnsi="Times New Roman" w:eastAsiaTheme="minorEastAsia"/>
              <w:sz w:val="24"/>
              <w:szCs w:val="24"/>
              <w:highlight w:val="none"/>
            </w:rPr>
            <w:fldChar w:fldCharType="separate"/>
          </w:r>
          <w:r>
            <w:rPr>
              <w:rFonts w:ascii="Times New Roman" w:hAnsi="Times New Roman" w:eastAsiaTheme="minorEastAsia"/>
              <w:sz w:val="24"/>
              <w:szCs w:val="24"/>
              <w:highlight w:val="none"/>
            </w:rPr>
            <w:t>39</w:t>
          </w:r>
          <w:r>
            <w:rPr>
              <w:rFonts w:ascii="Times New Roman" w:hAnsi="Times New Roman" w:eastAsiaTheme="minorEastAsia"/>
              <w:sz w:val="24"/>
              <w:szCs w:val="24"/>
              <w:highlight w:val="none"/>
            </w:rPr>
            <w:fldChar w:fldCharType="end"/>
          </w:r>
        </w:p>
        <w:p>
          <w:pPr>
            <w:pStyle w:val="28"/>
            <w:tabs>
              <w:tab w:val="right" w:leader="dot" w:pos="9060"/>
            </w:tabs>
            <w:spacing w:line="360" w:lineRule="auto"/>
            <w:rPr>
              <w:rFonts w:ascii="Times New Roman" w:hAnsi="Times New Roman" w:eastAsiaTheme="minorEastAsia"/>
              <w:smallCaps w:val="0"/>
              <w:sz w:val="24"/>
              <w:szCs w:val="24"/>
              <w:highlight w:val="none"/>
            </w:rPr>
          </w:pPr>
          <w:r>
            <w:rPr>
              <w:rFonts w:ascii="Times New Roman" w:hAnsi="Times New Roman" w:eastAsiaTheme="minorEastAsia"/>
              <w:sz w:val="24"/>
              <w:szCs w:val="24"/>
              <w:highlight w:val="none"/>
            </w:rPr>
            <w:t>第五节航道发展需求</w:t>
          </w:r>
          <w:r>
            <w:rPr>
              <w:rFonts w:ascii="Times New Roman" w:hAnsi="Times New Roman" w:eastAsiaTheme="minorEastAsia"/>
              <w:sz w:val="24"/>
              <w:szCs w:val="24"/>
              <w:highlight w:val="none"/>
            </w:rPr>
            <w:tab/>
          </w:r>
          <w:r>
            <w:rPr>
              <w:rFonts w:ascii="Times New Roman" w:hAnsi="Times New Roman" w:eastAsiaTheme="minorEastAsia"/>
              <w:sz w:val="24"/>
              <w:szCs w:val="24"/>
              <w:highlight w:val="none"/>
            </w:rPr>
            <w:fldChar w:fldCharType="begin"/>
          </w:r>
          <w:r>
            <w:rPr>
              <w:rFonts w:ascii="Times New Roman" w:hAnsi="Times New Roman" w:eastAsiaTheme="minorEastAsia"/>
              <w:sz w:val="24"/>
              <w:szCs w:val="24"/>
              <w:highlight w:val="none"/>
            </w:rPr>
            <w:instrText xml:space="preserve"> PAGEREF _Toc77781875 \h </w:instrText>
          </w:r>
          <w:r>
            <w:rPr>
              <w:rFonts w:ascii="Times New Roman" w:hAnsi="Times New Roman" w:eastAsiaTheme="minorEastAsia"/>
              <w:sz w:val="24"/>
              <w:szCs w:val="24"/>
              <w:highlight w:val="none"/>
            </w:rPr>
            <w:fldChar w:fldCharType="separate"/>
          </w:r>
          <w:r>
            <w:rPr>
              <w:rFonts w:ascii="Times New Roman" w:hAnsi="Times New Roman" w:eastAsiaTheme="minorEastAsia"/>
              <w:sz w:val="24"/>
              <w:szCs w:val="24"/>
              <w:highlight w:val="none"/>
            </w:rPr>
            <w:t>43</w:t>
          </w:r>
          <w:r>
            <w:rPr>
              <w:rFonts w:ascii="Times New Roman" w:hAnsi="Times New Roman" w:eastAsiaTheme="minorEastAsia"/>
              <w:sz w:val="24"/>
              <w:szCs w:val="24"/>
              <w:highlight w:val="none"/>
            </w:rPr>
            <w:fldChar w:fldCharType="end"/>
          </w:r>
        </w:p>
        <w:p>
          <w:pPr>
            <w:pStyle w:val="28"/>
            <w:tabs>
              <w:tab w:val="right" w:leader="dot" w:pos="9060"/>
            </w:tabs>
            <w:spacing w:line="360" w:lineRule="auto"/>
            <w:rPr>
              <w:rFonts w:ascii="Times New Roman" w:hAnsi="Times New Roman" w:eastAsiaTheme="minorEastAsia"/>
              <w:smallCaps w:val="0"/>
              <w:sz w:val="24"/>
              <w:szCs w:val="24"/>
              <w:highlight w:val="none"/>
            </w:rPr>
          </w:pPr>
          <w:r>
            <w:rPr>
              <w:rFonts w:ascii="Times New Roman" w:hAnsi="Times New Roman" w:eastAsiaTheme="minorEastAsia"/>
              <w:sz w:val="24"/>
              <w:szCs w:val="24"/>
              <w:highlight w:val="none"/>
            </w:rPr>
            <w:t>第六节综合评价</w:t>
          </w:r>
          <w:r>
            <w:rPr>
              <w:rFonts w:ascii="Times New Roman" w:hAnsi="Times New Roman" w:eastAsiaTheme="minorEastAsia"/>
              <w:sz w:val="24"/>
              <w:szCs w:val="24"/>
              <w:highlight w:val="none"/>
            </w:rPr>
            <w:tab/>
          </w:r>
          <w:r>
            <w:rPr>
              <w:rFonts w:ascii="Times New Roman" w:hAnsi="Times New Roman" w:eastAsiaTheme="minorEastAsia"/>
              <w:sz w:val="24"/>
              <w:szCs w:val="24"/>
              <w:highlight w:val="none"/>
            </w:rPr>
            <w:fldChar w:fldCharType="begin"/>
          </w:r>
          <w:r>
            <w:rPr>
              <w:rFonts w:ascii="Times New Roman" w:hAnsi="Times New Roman" w:eastAsiaTheme="minorEastAsia"/>
              <w:sz w:val="24"/>
              <w:szCs w:val="24"/>
              <w:highlight w:val="none"/>
            </w:rPr>
            <w:instrText xml:space="preserve"> PAGEREF _Toc77781878 \h </w:instrText>
          </w:r>
          <w:r>
            <w:rPr>
              <w:rFonts w:ascii="Times New Roman" w:hAnsi="Times New Roman" w:eastAsiaTheme="minorEastAsia"/>
              <w:sz w:val="24"/>
              <w:szCs w:val="24"/>
              <w:highlight w:val="none"/>
            </w:rPr>
            <w:fldChar w:fldCharType="separate"/>
          </w:r>
          <w:r>
            <w:rPr>
              <w:rFonts w:ascii="Times New Roman" w:hAnsi="Times New Roman" w:eastAsiaTheme="minorEastAsia"/>
              <w:sz w:val="24"/>
              <w:szCs w:val="24"/>
              <w:highlight w:val="none"/>
            </w:rPr>
            <w:t>46</w:t>
          </w:r>
          <w:r>
            <w:rPr>
              <w:rFonts w:ascii="Times New Roman" w:hAnsi="Times New Roman" w:eastAsiaTheme="minorEastAsia"/>
              <w:sz w:val="24"/>
              <w:szCs w:val="24"/>
              <w:highlight w:val="none"/>
            </w:rPr>
            <w:fldChar w:fldCharType="end"/>
          </w:r>
        </w:p>
        <w:p>
          <w:pPr>
            <w:pStyle w:val="24"/>
            <w:tabs>
              <w:tab w:val="right" w:leader="dot" w:pos="9060"/>
            </w:tabs>
            <w:spacing w:before="0" w:after="0" w:line="360" w:lineRule="auto"/>
            <w:rPr>
              <w:rFonts w:ascii="Times New Roman" w:hAnsi="Times New Roman" w:eastAsiaTheme="minorEastAsia"/>
              <w:b w:val="0"/>
              <w:bCs w:val="0"/>
              <w:caps w:val="0"/>
              <w:sz w:val="24"/>
              <w:szCs w:val="24"/>
              <w:highlight w:val="none"/>
            </w:rPr>
          </w:pPr>
          <w:r>
            <w:rPr>
              <w:rFonts w:ascii="Times New Roman" w:hAnsi="Times New Roman" w:eastAsiaTheme="minorEastAsia"/>
              <w:b w:val="0"/>
              <w:sz w:val="24"/>
              <w:szCs w:val="24"/>
              <w:highlight w:val="none"/>
            </w:rPr>
            <w:t>第二章 港口吞吐量及船型发展预测</w:t>
          </w:r>
          <w:r>
            <w:rPr>
              <w:rFonts w:ascii="Times New Roman" w:hAnsi="Times New Roman" w:eastAsiaTheme="minorEastAsia"/>
              <w:b w:val="0"/>
              <w:sz w:val="24"/>
              <w:szCs w:val="24"/>
              <w:highlight w:val="none"/>
            </w:rPr>
            <w:tab/>
          </w:r>
          <w:r>
            <w:rPr>
              <w:rFonts w:ascii="Times New Roman" w:hAnsi="Times New Roman" w:eastAsiaTheme="minorEastAsia"/>
              <w:b w:val="0"/>
              <w:sz w:val="24"/>
              <w:szCs w:val="24"/>
              <w:highlight w:val="none"/>
            </w:rPr>
            <w:fldChar w:fldCharType="begin"/>
          </w:r>
          <w:r>
            <w:rPr>
              <w:rFonts w:ascii="Times New Roman" w:hAnsi="Times New Roman" w:eastAsiaTheme="minorEastAsia"/>
              <w:b w:val="0"/>
              <w:sz w:val="24"/>
              <w:szCs w:val="24"/>
              <w:highlight w:val="none"/>
            </w:rPr>
            <w:instrText xml:space="preserve"> PAGEREF _Toc77781881 \h </w:instrText>
          </w:r>
          <w:r>
            <w:rPr>
              <w:rFonts w:ascii="Times New Roman" w:hAnsi="Times New Roman" w:eastAsiaTheme="minorEastAsia"/>
              <w:b w:val="0"/>
              <w:sz w:val="24"/>
              <w:szCs w:val="24"/>
              <w:highlight w:val="none"/>
            </w:rPr>
            <w:fldChar w:fldCharType="separate"/>
          </w:r>
          <w:r>
            <w:rPr>
              <w:rFonts w:ascii="Times New Roman" w:hAnsi="Times New Roman" w:eastAsiaTheme="minorEastAsia"/>
              <w:b w:val="0"/>
              <w:sz w:val="24"/>
              <w:szCs w:val="24"/>
              <w:highlight w:val="none"/>
            </w:rPr>
            <w:t>51</w:t>
          </w:r>
          <w:r>
            <w:rPr>
              <w:rFonts w:ascii="Times New Roman" w:hAnsi="Times New Roman" w:eastAsiaTheme="minorEastAsia"/>
              <w:b w:val="0"/>
              <w:sz w:val="24"/>
              <w:szCs w:val="24"/>
              <w:highlight w:val="none"/>
            </w:rPr>
            <w:fldChar w:fldCharType="end"/>
          </w:r>
        </w:p>
        <w:p>
          <w:pPr>
            <w:pStyle w:val="28"/>
            <w:tabs>
              <w:tab w:val="right" w:leader="dot" w:pos="9060"/>
            </w:tabs>
            <w:spacing w:line="360" w:lineRule="auto"/>
            <w:rPr>
              <w:rFonts w:ascii="Times New Roman" w:hAnsi="Times New Roman" w:eastAsiaTheme="minorEastAsia"/>
              <w:smallCaps w:val="0"/>
              <w:sz w:val="24"/>
              <w:szCs w:val="24"/>
              <w:highlight w:val="none"/>
            </w:rPr>
          </w:pPr>
          <w:r>
            <w:rPr>
              <w:rFonts w:ascii="Times New Roman" w:hAnsi="Times New Roman" w:eastAsiaTheme="minorEastAsia"/>
              <w:sz w:val="24"/>
              <w:szCs w:val="24"/>
              <w:highlight w:val="none"/>
            </w:rPr>
            <w:t>第一节发展形势及要求</w:t>
          </w:r>
          <w:r>
            <w:rPr>
              <w:rFonts w:ascii="Times New Roman" w:hAnsi="Times New Roman" w:eastAsiaTheme="minorEastAsia"/>
              <w:sz w:val="24"/>
              <w:szCs w:val="24"/>
              <w:highlight w:val="none"/>
            </w:rPr>
            <w:tab/>
          </w:r>
          <w:r>
            <w:rPr>
              <w:rFonts w:ascii="Times New Roman" w:hAnsi="Times New Roman" w:eastAsiaTheme="minorEastAsia"/>
              <w:sz w:val="24"/>
              <w:szCs w:val="24"/>
              <w:highlight w:val="none"/>
            </w:rPr>
            <w:fldChar w:fldCharType="begin"/>
          </w:r>
          <w:r>
            <w:rPr>
              <w:rFonts w:ascii="Times New Roman" w:hAnsi="Times New Roman" w:eastAsiaTheme="minorEastAsia"/>
              <w:sz w:val="24"/>
              <w:szCs w:val="24"/>
              <w:highlight w:val="none"/>
            </w:rPr>
            <w:instrText xml:space="preserve"> PAGEREF _Toc77781882 \h </w:instrText>
          </w:r>
          <w:r>
            <w:rPr>
              <w:rFonts w:ascii="Times New Roman" w:hAnsi="Times New Roman" w:eastAsiaTheme="minorEastAsia"/>
              <w:sz w:val="24"/>
              <w:szCs w:val="24"/>
              <w:highlight w:val="none"/>
            </w:rPr>
            <w:fldChar w:fldCharType="separate"/>
          </w:r>
          <w:r>
            <w:rPr>
              <w:rFonts w:ascii="Times New Roman" w:hAnsi="Times New Roman" w:eastAsiaTheme="minorEastAsia"/>
              <w:sz w:val="24"/>
              <w:szCs w:val="24"/>
              <w:highlight w:val="none"/>
            </w:rPr>
            <w:t>51</w:t>
          </w:r>
          <w:r>
            <w:rPr>
              <w:rFonts w:ascii="Times New Roman" w:hAnsi="Times New Roman" w:eastAsiaTheme="minorEastAsia"/>
              <w:sz w:val="24"/>
              <w:szCs w:val="24"/>
              <w:highlight w:val="none"/>
            </w:rPr>
            <w:fldChar w:fldCharType="end"/>
          </w:r>
        </w:p>
        <w:p>
          <w:pPr>
            <w:pStyle w:val="28"/>
            <w:tabs>
              <w:tab w:val="right" w:leader="dot" w:pos="9060"/>
            </w:tabs>
            <w:spacing w:line="360" w:lineRule="auto"/>
            <w:rPr>
              <w:rFonts w:ascii="Times New Roman" w:hAnsi="Times New Roman" w:eastAsiaTheme="minorEastAsia"/>
              <w:smallCaps w:val="0"/>
              <w:sz w:val="24"/>
              <w:szCs w:val="24"/>
              <w:highlight w:val="none"/>
            </w:rPr>
          </w:pPr>
          <w:r>
            <w:rPr>
              <w:rFonts w:ascii="Times New Roman" w:hAnsi="Times New Roman" w:eastAsiaTheme="minorEastAsia"/>
              <w:sz w:val="24"/>
              <w:szCs w:val="24"/>
              <w:highlight w:val="none"/>
            </w:rPr>
            <w:t>第二节港口经济腹地</w:t>
          </w:r>
          <w:r>
            <w:rPr>
              <w:rFonts w:ascii="Times New Roman" w:hAnsi="Times New Roman" w:eastAsiaTheme="minorEastAsia"/>
              <w:sz w:val="24"/>
              <w:szCs w:val="24"/>
              <w:highlight w:val="none"/>
            </w:rPr>
            <w:tab/>
          </w:r>
          <w:r>
            <w:rPr>
              <w:rFonts w:ascii="Times New Roman" w:hAnsi="Times New Roman" w:eastAsiaTheme="minorEastAsia"/>
              <w:sz w:val="24"/>
              <w:szCs w:val="24"/>
              <w:highlight w:val="none"/>
            </w:rPr>
            <w:fldChar w:fldCharType="begin"/>
          </w:r>
          <w:r>
            <w:rPr>
              <w:rFonts w:ascii="Times New Roman" w:hAnsi="Times New Roman" w:eastAsiaTheme="minorEastAsia"/>
              <w:sz w:val="24"/>
              <w:szCs w:val="24"/>
              <w:highlight w:val="none"/>
            </w:rPr>
            <w:instrText xml:space="preserve"> PAGEREF _Toc77781883 \h </w:instrText>
          </w:r>
          <w:r>
            <w:rPr>
              <w:rFonts w:ascii="Times New Roman" w:hAnsi="Times New Roman" w:eastAsiaTheme="minorEastAsia"/>
              <w:sz w:val="24"/>
              <w:szCs w:val="24"/>
              <w:highlight w:val="none"/>
            </w:rPr>
            <w:fldChar w:fldCharType="separate"/>
          </w:r>
          <w:r>
            <w:rPr>
              <w:rFonts w:ascii="Times New Roman" w:hAnsi="Times New Roman" w:eastAsiaTheme="minorEastAsia"/>
              <w:sz w:val="24"/>
              <w:szCs w:val="24"/>
              <w:highlight w:val="none"/>
            </w:rPr>
            <w:t>55</w:t>
          </w:r>
          <w:r>
            <w:rPr>
              <w:rFonts w:ascii="Times New Roman" w:hAnsi="Times New Roman" w:eastAsiaTheme="minorEastAsia"/>
              <w:sz w:val="24"/>
              <w:szCs w:val="24"/>
              <w:highlight w:val="none"/>
            </w:rPr>
            <w:fldChar w:fldCharType="end"/>
          </w:r>
        </w:p>
        <w:p>
          <w:pPr>
            <w:pStyle w:val="28"/>
            <w:tabs>
              <w:tab w:val="right" w:leader="dot" w:pos="9060"/>
            </w:tabs>
            <w:spacing w:line="360" w:lineRule="auto"/>
            <w:rPr>
              <w:rFonts w:ascii="Times New Roman" w:hAnsi="Times New Roman" w:eastAsiaTheme="minorEastAsia"/>
              <w:smallCaps w:val="0"/>
              <w:sz w:val="24"/>
              <w:szCs w:val="24"/>
              <w:highlight w:val="none"/>
            </w:rPr>
          </w:pPr>
          <w:r>
            <w:rPr>
              <w:rFonts w:ascii="Times New Roman" w:hAnsi="Times New Roman" w:eastAsiaTheme="minorEastAsia"/>
              <w:sz w:val="24"/>
              <w:szCs w:val="24"/>
              <w:highlight w:val="none"/>
            </w:rPr>
            <w:t>第三节腹地经济社会发展现状及趋势</w:t>
          </w:r>
          <w:r>
            <w:rPr>
              <w:rFonts w:ascii="Times New Roman" w:hAnsi="Times New Roman" w:eastAsiaTheme="minorEastAsia"/>
              <w:sz w:val="24"/>
              <w:szCs w:val="24"/>
              <w:highlight w:val="none"/>
            </w:rPr>
            <w:tab/>
          </w:r>
          <w:r>
            <w:rPr>
              <w:rFonts w:ascii="Times New Roman" w:hAnsi="Times New Roman" w:eastAsiaTheme="minorEastAsia"/>
              <w:sz w:val="24"/>
              <w:szCs w:val="24"/>
              <w:highlight w:val="none"/>
            </w:rPr>
            <w:fldChar w:fldCharType="begin"/>
          </w:r>
          <w:r>
            <w:rPr>
              <w:rFonts w:ascii="Times New Roman" w:hAnsi="Times New Roman" w:eastAsiaTheme="minorEastAsia"/>
              <w:sz w:val="24"/>
              <w:szCs w:val="24"/>
              <w:highlight w:val="none"/>
            </w:rPr>
            <w:instrText xml:space="preserve"> PAGEREF _Toc77781888 \h </w:instrText>
          </w:r>
          <w:r>
            <w:rPr>
              <w:rFonts w:ascii="Times New Roman" w:hAnsi="Times New Roman" w:eastAsiaTheme="minorEastAsia"/>
              <w:sz w:val="24"/>
              <w:szCs w:val="24"/>
              <w:highlight w:val="none"/>
            </w:rPr>
            <w:fldChar w:fldCharType="separate"/>
          </w:r>
          <w:r>
            <w:rPr>
              <w:rFonts w:ascii="Times New Roman" w:hAnsi="Times New Roman" w:eastAsiaTheme="minorEastAsia"/>
              <w:sz w:val="24"/>
              <w:szCs w:val="24"/>
              <w:highlight w:val="none"/>
            </w:rPr>
            <w:t>66</w:t>
          </w:r>
          <w:r>
            <w:rPr>
              <w:rFonts w:ascii="Times New Roman" w:hAnsi="Times New Roman" w:eastAsiaTheme="minorEastAsia"/>
              <w:sz w:val="24"/>
              <w:szCs w:val="24"/>
              <w:highlight w:val="none"/>
            </w:rPr>
            <w:fldChar w:fldCharType="end"/>
          </w:r>
        </w:p>
        <w:p>
          <w:pPr>
            <w:pStyle w:val="28"/>
            <w:tabs>
              <w:tab w:val="right" w:leader="dot" w:pos="9060"/>
            </w:tabs>
            <w:spacing w:line="360" w:lineRule="auto"/>
            <w:rPr>
              <w:rFonts w:ascii="Times New Roman" w:hAnsi="Times New Roman" w:eastAsiaTheme="minorEastAsia"/>
              <w:smallCaps w:val="0"/>
              <w:sz w:val="24"/>
              <w:szCs w:val="24"/>
              <w:highlight w:val="none"/>
            </w:rPr>
          </w:pPr>
          <w:r>
            <w:rPr>
              <w:rFonts w:ascii="Times New Roman" w:hAnsi="Times New Roman" w:eastAsiaTheme="minorEastAsia"/>
              <w:sz w:val="24"/>
              <w:szCs w:val="24"/>
              <w:highlight w:val="none"/>
            </w:rPr>
            <w:t>第四节水路运输需求分析</w:t>
          </w:r>
          <w:r>
            <w:rPr>
              <w:rFonts w:ascii="Times New Roman" w:hAnsi="Times New Roman" w:eastAsiaTheme="minorEastAsia"/>
              <w:sz w:val="24"/>
              <w:szCs w:val="24"/>
              <w:highlight w:val="none"/>
            </w:rPr>
            <w:tab/>
          </w:r>
          <w:r>
            <w:rPr>
              <w:rFonts w:ascii="Times New Roman" w:hAnsi="Times New Roman" w:eastAsiaTheme="minorEastAsia"/>
              <w:sz w:val="24"/>
              <w:szCs w:val="24"/>
              <w:highlight w:val="none"/>
            </w:rPr>
            <w:fldChar w:fldCharType="begin"/>
          </w:r>
          <w:r>
            <w:rPr>
              <w:rFonts w:ascii="Times New Roman" w:hAnsi="Times New Roman" w:eastAsiaTheme="minorEastAsia"/>
              <w:sz w:val="24"/>
              <w:szCs w:val="24"/>
              <w:highlight w:val="none"/>
            </w:rPr>
            <w:instrText xml:space="preserve"> PAGEREF _Toc77781891 \h </w:instrText>
          </w:r>
          <w:r>
            <w:rPr>
              <w:rFonts w:ascii="Times New Roman" w:hAnsi="Times New Roman" w:eastAsiaTheme="minorEastAsia"/>
              <w:sz w:val="24"/>
              <w:szCs w:val="24"/>
              <w:highlight w:val="none"/>
            </w:rPr>
            <w:fldChar w:fldCharType="separate"/>
          </w:r>
          <w:r>
            <w:rPr>
              <w:rFonts w:ascii="Times New Roman" w:hAnsi="Times New Roman" w:eastAsiaTheme="minorEastAsia"/>
              <w:sz w:val="24"/>
              <w:szCs w:val="24"/>
              <w:highlight w:val="none"/>
            </w:rPr>
            <w:t>71</w:t>
          </w:r>
          <w:r>
            <w:rPr>
              <w:rFonts w:ascii="Times New Roman" w:hAnsi="Times New Roman" w:eastAsiaTheme="minorEastAsia"/>
              <w:sz w:val="24"/>
              <w:szCs w:val="24"/>
              <w:highlight w:val="none"/>
            </w:rPr>
            <w:fldChar w:fldCharType="end"/>
          </w:r>
        </w:p>
        <w:p>
          <w:pPr>
            <w:pStyle w:val="28"/>
            <w:tabs>
              <w:tab w:val="right" w:leader="dot" w:pos="9060"/>
            </w:tabs>
            <w:spacing w:line="360" w:lineRule="auto"/>
            <w:rPr>
              <w:rFonts w:ascii="Times New Roman" w:hAnsi="Times New Roman" w:eastAsiaTheme="minorEastAsia"/>
              <w:smallCaps w:val="0"/>
              <w:sz w:val="24"/>
              <w:szCs w:val="24"/>
              <w:highlight w:val="none"/>
            </w:rPr>
          </w:pPr>
          <w:r>
            <w:rPr>
              <w:rFonts w:ascii="Times New Roman" w:hAnsi="Times New Roman" w:eastAsiaTheme="minorEastAsia"/>
              <w:sz w:val="24"/>
              <w:szCs w:val="24"/>
              <w:highlight w:val="none"/>
            </w:rPr>
            <w:t>第五节吞吐量预测</w:t>
          </w:r>
          <w:r>
            <w:rPr>
              <w:rFonts w:ascii="Times New Roman" w:hAnsi="Times New Roman" w:eastAsiaTheme="minorEastAsia"/>
              <w:sz w:val="24"/>
              <w:szCs w:val="24"/>
              <w:highlight w:val="none"/>
            </w:rPr>
            <w:tab/>
          </w:r>
          <w:r>
            <w:rPr>
              <w:rFonts w:ascii="Times New Roman" w:hAnsi="Times New Roman" w:eastAsiaTheme="minorEastAsia"/>
              <w:sz w:val="24"/>
              <w:szCs w:val="24"/>
              <w:highlight w:val="none"/>
            </w:rPr>
            <w:fldChar w:fldCharType="begin"/>
          </w:r>
          <w:r>
            <w:rPr>
              <w:rFonts w:ascii="Times New Roman" w:hAnsi="Times New Roman" w:eastAsiaTheme="minorEastAsia"/>
              <w:sz w:val="24"/>
              <w:szCs w:val="24"/>
              <w:highlight w:val="none"/>
            </w:rPr>
            <w:instrText xml:space="preserve"> PAGEREF _Toc77781896 \h </w:instrText>
          </w:r>
          <w:r>
            <w:rPr>
              <w:rFonts w:ascii="Times New Roman" w:hAnsi="Times New Roman" w:eastAsiaTheme="minorEastAsia"/>
              <w:sz w:val="24"/>
              <w:szCs w:val="24"/>
              <w:highlight w:val="none"/>
            </w:rPr>
            <w:fldChar w:fldCharType="separate"/>
          </w:r>
          <w:r>
            <w:rPr>
              <w:rFonts w:ascii="Times New Roman" w:hAnsi="Times New Roman" w:eastAsiaTheme="minorEastAsia"/>
              <w:sz w:val="24"/>
              <w:szCs w:val="24"/>
              <w:highlight w:val="none"/>
            </w:rPr>
            <w:t>74</w:t>
          </w:r>
          <w:r>
            <w:rPr>
              <w:rFonts w:ascii="Times New Roman" w:hAnsi="Times New Roman" w:eastAsiaTheme="minorEastAsia"/>
              <w:sz w:val="24"/>
              <w:szCs w:val="24"/>
              <w:highlight w:val="none"/>
            </w:rPr>
            <w:fldChar w:fldCharType="end"/>
          </w:r>
        </w:p>
        <w:p>
          <w:pPr>
            <w:pStyle w:val="28"/>
            <w:tabs>
              <w:tab w:val="right" w:leader="dot" w:pos="9060"/>
            </w:tabs>
            <w:spacing w:line="360" w:lineRule="auto"/>
            <w:rPr>
              <w:rFonts w:ascii="Times New Roman" w:hAnsi="Times New Roman" w:eastAsiaTheme="minorEastAsia"/>
              <w:smallCaps w:val="0"/>
              <w:sz w:val="24"/>
              <w:szCs w:val="24"/>
              <w:highlight w:val="none"/>
            </w:rPr>
          </w:pPr>
          <w:r>
            <w:rPr>
              <w:rFonts w:ascii="Times New Roman" w:hAnsi="Times New Roman" w:eastAsiaTheme="minorEastAsia"/>
              <w:sz w:val="24"/>
              <w:szCs w:val="24"/>
              <w:highlight w:val="none"/>
            </w:rPr>
            <w:t>第六节船型发展预测</w:t>
          </w:r>
          <w:r>
            <w:rPr>
              <w:rFonts w:ascii="Times New Roman" w:hAnsi="Times New Roman" w:eastAsiaTheme="minorEastAsia"/>
              <w:sz w:val="24"/>
              <w:szCs w:val="24"/>
              <w:highlight w:val="none"/>
            </w:rPr>
            <w:tab/>
          </w:r>
          <w:r>
            <w:rPr>
              <w:rFonts w:ascii="Times New Roman" w:hAnsi="Times New Roman" w:eastAsiaTheme="minorEastAsia"/>
              <w:sz w:val="24"/>
              <w:szCs w:val="24"/>
              <w:highlight w:val="none"/>
            </w:rPr>
            <w:fldChar w:fldCharType="begin"/>
          </w:r>
          <w:r>
            <w:rPr>
              <w:rFonts w:ascii="Times New Roman" w:hAnsi="Times New Roman" w:eastAsiaTheme="minorEastAsia"/>
              <w:sz w:val="24"/>
              <w:szCs w:val="24"/>
              <w:highlight w:val="none"/>
            </w:rPr>
            <w:instrText xml:space="preserve"> PAGEREF _Toc77781902 \h </w:instrText>
          </w:r>
          <w:r>
            <w:rPr>
              <w:rFonts w:ascii="Times New Roman" w:hAnsi="Times New Roman" w:eastAsiaTheme="minorEastAsia"/>
              <w:sz w:val="24"/>
              <w:szCs w:val="24"/>
              <w:highlight w:val="none"/>
            </w:rPr>
            <w:fldChar w:fldCharType="separate"/>
          </w:r>
          <w:r>
            <w:rPr>
              <w:rFonts w:ascii="Times New Roman" w:hAnsi="Times New Roman" w:eastAsiaTheme="minorEastAsia"/>
              <w:sz w:val="24"/>
              <w:szCs w:val="24"/>
              <w:highlight w:val="none"/>
            </w:rPr>
            <w:t>93</w:t>
          </w:r>
          <w:r>
            <w:rPr>
              <w:rFonts w:ascii="Times New Roman" w:hAnsi="Times New Roman" w:eastAsiaTheme="minorEastAsia"/>
              <w:sz w:val="24"/>
              <w:szCs w:val="24"/>
              <w:highlight w:val="none"/>
            </w:rPr>
            <w:fldChar w:fldCharType="end"/>
          </w:r>
        </w:p>
        <w:p>
          <w:pPr>
            <w:pStyle w:val="24"/>
            <w:tabs>
              <w:tab w:val="right" w:leader="dot" w:pos="9060"/>
            </w:tabs>
            <w:spacing w:before="0" w:after="0" w:line="360" w:lineRule="auto"/>
            <w:rPr>
              <w:rFonts w:ascii="Times New Roman" w:hAnsi="Times New Roman" w:eastAsiaTheme="minorEastAsia"/>
              <w:b w:val="0"/>
              <w:bCs w:val="0"/>
              <w:caps w:val="0"/>
              <w:sz w:val="24"/>
              <w:szCs w:val="24"/>
              <w:highlight w:val="none"/>
            </w:rPr>
          </w:pPr>
          <w:r>
            <w:rPr>
              <w:rFonts w:ascii="Times New Roman" w:hAnsi="Times New Roman" w:eastAsiaTheme="minorEastAsia"/>
              <w:b w:val="0"/>
              <w:sz w:val="24"/>
              <w:szCs w:val="24"/>
              <w:highlight w:val="none"/>
            </w:rPr>
            <w:t>第三章 港口性质与功能</w:t>
          </w:r>
          <w:r>
            <w:rPr>
              <w:rFonts w:ascii="Times New Roman" w:hAnsi="Times New Roman" w:eastAsiaTheme="minorEastAsia"/>
              <w:b w:val="0"/>
              <w:sz w:val="24"/>
              <w:szCs w:val="24"/>
              <w:highlight w:val="none"/>
            </w:rPr>
            <w:tab/>
          </w:r>
          <w:r>
            <w:rPr>
              <w:rFonts w:ascii="Times New Roman" w:hAnsi="Times New Roman" w:eastAsiaTheme="minorEastAsia"/>
              <w:b w:val="0"/>
              <w:sz w:val="24"/>
              <w:szCs w:val="24"/>
              <w:highlight w:val="none"/>
            </w:rPr>
            <w:fldChar w:fldCharType="begin"/>
          </w:r>
          <w:r>
            <w:rPr>
              <w:rFonts w:ascii="Times New Roman" w:hAnsi="Times New Roman" w:eastAsiaTheme="minorEastAsia"/>
              <w:b w:val="0"/>
              <w:sz w:val="24"/>
              <w:szCs w:val="24"/>
              <w:highlight w:val="none"/>
            </w:rPr>
            <w:instrText xml:space="preserve"> PAGEREF _Toc77781903 \h </w:instrText>
          </w:r>
          <w:r>
            <w:rPr>
              <w:rFonts w:ascii="Times New Roman" w:hAnsi="Times New Roman" w:eastAsiaTheme="minorEastAsia"/>
              <w:b w:val="0"/>
              <w:sz w:val="24"/>
              <w:szCs w:val="24"/>
              <w:highlight w:val="none"/>
            </w:rPr>
            <w:fldChar w:fldCharType="separate"/>
          </w:r>
          <w:r>
            <w:rPr>
              <w:rFonts w:ascii="Times New Roman" w:hAnsi="Times New Roman" w:eastAsiaTheme="minorEastAsia"/>
              <w:b w:val="0"/>
              <w:sz w:val="24"/>
              <w:szCs w:val="24"/>
              <w:highlight w:val="none"/>
            </w:rPr>
            <w:t>102</w:t>
          </w:r>
          <w:r>
            <w:rPr>
              <w:rFonts w:ascii="Times New Roman" w:hAnsi="Times New Roman" w:eastAsiaTheme="minorEastAsia"/>
              <w:b w:val="0"/>
              <w:sz w:val="24"/>
              <w:szCs w:val="24"/>
              <w:highlight w:val="none"/>
            </w:rPr>
            <w:fldChar w:fldCharType="end"/>
          </w:r>
        </w:p>
        <w:p>
          <w:pPr>
            <w:pStyle w:val="28"/>
            <w:tabs>
              <w:tab w:val="right" w:leader="dot" w:pos="9060"/>
            </w:tabs>
            <w:spacing w:line="360" w:lineRule="auto"/>
            <w:rPr>
              <w:rFonts w:ascii="Times New Roman" w:hAnsi="Times New Roman" w:eastAsiaTheme="minorEastAsia"/>
              <w:smallCaps w:val="0"/>
              <w:sz w:val="24"/>
              <w:szCs w:val="24"/>
              <w:highlight w:val="none"/>
            </w:rPr>
          </w:pPr>
          <w:r>
            <w:rPr>
              <w:rFonts w:ascii="Times New Roman" w:hAnsi="Times New Roman" w:eastAsiaTheme="minorEastAsia"/>
              <w:sz w:val="24"/>
              <w:szCs w:val="24"/>
              <w:highlight w:val="none"/>
            </w:rPr>
            <w:t>第一节 港口的性质</w:t>
          </w:r>
          <w:r>
            <w:rPr>
              <w:rFonts w:ascii="Times New Roman" w:hAnsi="Times New Roman" w:eastAsiaTheme="minorEastAsia"/>
              <w:sz w:val="24"/>
              <w:szCs w:val="24"/>
              <w:highlight w:val="none"/>
            </w:rPr>
            <w:tab/>
          </w:r>
          <w:r>
            <w:rPr>
              <w:rFonts w:ascii="Times New Roman" w:hAnsi="Times New Roman" w:eastAsiaTheme="minorEastAsia"/>
              <w:sz w:val="24"/>
              <w:szCs w:val="24"/>
              <w:highlight w:val="none"/>
            </w:rPr>
            <w:fldChar w:fldCharType="begin"/>
          </w:r>
          <w:r>
            <w:rPr>
              <w:rFonts w:ascii="Times New Roman" w:hAnsi="Times New Roman" w:eastAsiaTheme="minorEastAsia"/>
              <w:sz w:val="24"/>
              <w:szCs w:val="24"/>
              <w:highlight w:val="none"/>
            </w:rPr>
            <w:instrText xml:space="preserve"> PAGEREF _Toc77781904 \h </w:instrText>
          </w:r>
          <w:r>
            <w:rPr>
              <w:rFonts w:ascii="Times New Roman" w:hAnsi="Times New Roman" w:eastAsiaTheme="minorEastAsia"/>
              <w:sz w:val="24"/>
              <w:szCs w:val="24"/>
              <w:highlight w:val="none"/>
            </w:rPr>
            <w:fldChar w:fldCharType="separate"/>
          </w:r>
          <w:r>
            <w:rPr>
              <w:rFonts w:ascii="Times New Roman" w:hAnsi="Times New Roman" w:eastAsiaTheme="minorEastAsia"/>
              <w:sz w:val="24"/>
              <w:szCs w:val="24"/>
              <w:highlight w:val="none"/>
            </w:rPr>
            <w:t>102</w:t>
          </w:r>
          <w:r>
            <w:rPr>
              <w:rFonts w:ascii="Times New Roman" w:hAnsi="Times New Roman" w:eastAsiaTheme="minorEastAsia"/>
              <w:sz w:val="24"/>
              <w:szCs w:val="24"/>
              <w:highlight w:val="none"/>
            </w:rPr>
            <w:fldChar w:fldCharType="end"/>
          </w:r>
        </w:p>
        <w:p>
          <w:pPr>
            <w:pStyle w:val="28"/>
            <w:tabs>
              <w:tab w:val="right" w:leader="dot" w:pos="9060"/>
            </w:tabs>
            <w:spacing w:line="360" w:lineRule="auto"/>
            <w:rPr>
              <w:rFonts w:ascii="Times New Roman" w:hAnsi="Times New Roman" w:eastAsiaTheme="minorEastAsia"/>
              <w:smallCaps w:val="0"/>
              <w:sz w:val="24"/>
              <w:szCs w:val="24"/>
              <w:highlight w:val="none"/>
            </w:rPr>
          </w:pPr>
          <w:r>
            <w:rPr>
              <w:rFonts w:ascii="Times New Roman" w:hAnsi="Times New Roman" w:eastAsiaTheme="minorEastAsia"/>
              <w:sz w:val="24"/>
              <w:szCs w:val="24"/>
              <w:highlight w:val="none"/>
            </w:rPr>
            <w:t>第二节 港口的功能</w:t>
          </w:r>
          <w:r>
            <w:rPr>
              <w:rFonts w:ascii="Times New Roman" w:hAnsi="Times New Roman" w:eastAsiaTheme="minorEastAsia"/>
              <w:sz w:val="24"/>
              <w:szCs w:val="24"/>
              <w:highlight w:val="none"/>
            </w:rPr>
            <w:tab/>
          </w:r>
          <w:r>
            <w:rPr>
              <w:rFonts w:ascii="Times New Roman" w:hAnsi="Times New Roman" w:eastAsiaTheme="minorEastAsia"/>
              <w:sz w:val="24"/>
              <w:szCs w:val="24"/>
              <w:highlight w:val="none"/>
            </w:rPr>
            <w:fldChar w:fldCharType="begin"/>
          </w:r>
          <w:r>
            <w:rPr>
              <w:rFonts w:ascii="Times New Roman" w:hAnsi="Times New Roman" w:eastAsiaTheme="minorEastAsia"/>
              <w:sz w:val="24"/>
              <w:szCs w:val="24"/>
              <w:highlight w:val="none"/>
            </w:rPr>
            <w:instrText xml:space="preserve"> PAGEREF _Toc77781905 \h </w:instrText>
          </w:r>
          <w:r>
            <w:rPr>
              <w:rFonts w:ascii="Times New Roman" w:hAnsi="Times New Roman" w:eastAsiaTheme="minorEastAsia"/>
              <w:sz w:val="24"/>
              <w:szCs w:val="24"/>
              <w:highlight w:val="none"/>
            </w:rPr>
            <w:fldChar w:fldCharType="separate"/>
          </w:r>
          <w:r>
            <w:rPr>
              <w:rFonts w:ascii="Times New Roman" w:hAnsi="Times New Roman" w:eastAsiaTheme="minorEastAsia"/>
              <w:sz w:val="24"/>
              <w:szCs w:val="24"/>
              <w:highlight w:val="none"/>
            </w:rPr>
            <w:t>108</w:t>
          </w:r>
          <w:r>
            <w:rPr>
              <w:rFonts w:ascii="Times New Roman" w:hAnsi="Times New Roman" w:eastAsiaTheme="minorEastAsia"/>
              <w:sz w:val="24"/>
              <w:szCs w:val="24"/>
              <w:highlight w:val="none"/>
            </w:rPr>
            <w:fldChar w:fldCharType="end"/>
          </w:r>
        </w:p>
        <w:p>
          <w:pPr>
            <w:pStyle w:val="24"/>
            <w:tabs>
              <w:tab w:val="right" w:leader="dot" w:pos="9060"/>
            </w:tabs>
            <w:spacing w:before="0" w:after="0" w:line="360" w:lineRule="auto"/>
            <w:rPr>
              <w:rFonts w:ascii="Times New Roman" w:hAnsi="Times New Roman" w:eastAsiaTheme="minorEastAsia"/>
              <w:b w:val="0"/>
              <w:bCs w:val="0"/>
              <w:caps w:val="0"/>
              <w:sz w:val="24"/>
              <w:szCs w:val="24"/>
              <w:highlight w:val="none"/>
            </w:rPr>
          </w:pPr>
          <w:r>
            <w:rPr>
              <w:rFonts w:ascii="Times New Roman" w:hAnsi="Times New Roman" w:eastAsiaTheme="minorEastAsia"/>
              <w:b w:val="0"/>
              <w:sz w:val="24"/>
              <w:szCs w:val="24"/>
              <w:highlight w:val="none"/>
            </w:rPr>
            <w:t>第四章 港口岸线利用规划</w:t>
          </w:r>
          <w:r>
            <w:rPr>
              <w:rFonts w:ascii="Times New Roman" w:hAnsi="Times New Roman" w:eastAsiaTheme="minorEastAsia"/>
              <w:b w:val="0"/>
              <w:sz w:val="24"/>
              <w:szCs w:val="24"/>
              <w:highlight w:val="none"/>
            </w:rPr>
            <w:tab/>
          </w:r>
          <w:r>
            <w:rPr>
              <w:rFonts w:ascii="Times New Roman" w:hAnsi="Times New Roman" w:eastAsiaTheme="minorEastAsia"/>
              <w:b w:val="0"/>
              <w:sz w:val="24"/>
              <w:szCs w:val="24"/>
              <w:highlight w:val="none"/>
            </w:rPr>
            <w:fldChar w:fldCharType="begin"/>
          </w:r>
          <w:r>
            <w:rPr>
              <w:rFonts w:ascii="Times New Roman" w:hAnsi="Times New Roman" w:eastAsiaTheme="minorEastAsia"/>
              <w:b w:val="0"/>
              <w:sz w:val="24"/>
              <w:szCs w:val="24"/>
              <w:highlight w:val="none"/>
            </w:rPr>
            <w:instrText xml:space="preserve"> PAGEREF _Toc77781909 \h </w:instrText>
          </w:r>
          <w:r>
            <w:rPr>
              <w:rFonts w:ascii="Times New Roman" w:hAnsi="Times New Roman" w:eastAsiaTheme="minorEastAsia"/>
              <w:b w:val="0"/>
              <w:sz w:val="24"/>
              <w:szCs w:val="24"/>
              <w:highlight w:val="none"/>
            </w:rPr>
            <w:fldChar w:fldCharType="separate"/>
          </w:r>
          <w:r>
            <w:rPr>
              <w:rFonts w:ascii="Times New Roman" w:hAnsi="Times New Roman" w:eastAsiaTheme="minorEastAsia"/>
              <w:b w:val="0"/>
              <w:sz w:val="24"/>
              <w:szCs w:val="24"/>
              <w:highlight w:val="none"/>
            </w:rPr>
            <w:t>113</w:t>
          </w:r>
          <w:r>
            <w:rPr>
              <w:rFonts w:ascii="Times New Roman" w:hAnsi="Times New Roman" w:eastAsiaTheme="minorEastAsia"/>
              <w:b w:val="0"/>
              <w:sz w:val="24"/>
              <w:szCs w:val="24"/>
              <w:highlight w:val="none"/>
            </w:rPr>
            <w:fldChar w:fldCharType="end"/>
          </w:r>
        </w:p>
        <w:p>
          <w:pPr>
            <w:pStyle w:val="28"/>
            <w:tabs>
              <w:tab w:val="right" w:leader="dot" w:pos="9060"/>
            </w:tabs>
            <w:spacing w:line="360" w:lineRule="auto"/>
            <w:rPr>
              <w:rFonts w:ascii="Times New Roman" w:hAnsi="Times New Roman" w:eastAsiaTheme="minorEastAsia"/>
              <w:smallCaps w:val="0"/>
              <w:sz w:val="24"/>
              <w:szCs w:val="24"/>
              <w:highlight w:val="none"/>
            </w:rPr>
          </w:pPr>
          <w:r>
            <w:rPr>
              <w:rFonts w:ascii="Times New Roman" w:hAnsi="Times New Roman" w:eastAsiaTheme="minorEastAsia"/>
              <w:sz w:val="24"/>
              <w:szCs w:val="24"/>
              <w:highlight w:val="none"/>
            </w:rPr>
            <w:t>第一节 岸线资源评价</w:t>
          </w:r>
          <w:r>
            <w:rPr>
              <w:rFonts w:ascii="Times New Roman" w:hAnsi="Times New Roman" w:eastAsiaTheme="minorEastAsia"/>
              <w:sz w:val="24"/>
              <w:szCs w:val="24"/>
              <w:highlight w:val="none"/>
            </w:rPr>
            <w:tab/>
          </w:r>
          <w:r>
            <w:rPr>
              <w:rFonts w:ascii="Times New Roman" w:hAnsi="Times New Roman" w:eastAsiaTheme="minorEastAsia"/>
              <w:sz w:val="24"/>
              <w:szCs w:val="24"/>
              <w:highlight w:val="none"/>
            </w:rPr>
            <w:fldChar w:fldCharType="begin"/>
          </w:r>
          <w:r>
            <w:rPr>
              <w:rFonts w:ascii="Times New Roman" w:hAnsi="Times New Roman" w:eastAsiaTheme="minorEastAsia"/>
              <w:sz w:val="24"/>
              <w:szCs w:val="24"/>
              <w:highlight w:val="none"/>
            </w:rPr>
            <w:instrText xml:space="preserve"> PAGEREF _Toc77781910 \h </w:instrText>
          </w:r>
          <w:r>
            <w:rPr>
              <w:rFonts w:ascii="Times New Roman" w:hAnsi="Times New Roman" w:eastAsiaTheme="minorEastAsia"/>
              <w:sz w:val="24"/>
              <w:szCs w:val="24"/>
              <w:highlight w:val="none"/>
            </w:rPr>
            <w:fldChar w:fldCharType="separate"/>
          </w:r>
          <w:r>
            <w:rPr>
              <w:rFonts w:ascii="Times New Roman" w:hAnsi="Times New Roman" w:eastAsiaTheme="minorEastAsia"/>
              <w:sz w:val="24"/>
              <w:szCs w:val="24"/>
              <w:highlight w:val="none"/>
            </w:rPr>
            <w:t>113</w:t>
          </w:r>
          <w:r>
            <w:rPr>
              <w:rFonts w:ascii="Times New Roman" w:hAnsi="Times New Roman" w:eastAsiaTheme="minorEastAsia"/>
              <w:sz w:val="24"/>
              <w:szCs w:val="24"/>
              <w:highlight w:val="none"/>
            </w:rPr>
            <w:fldChar w:fldCharType="end"/>
          </w:r>
        </w:p>
        <w:p>
          <w:pPr>
            <w:pStyle w:val="28"/>
            <w:tabs>
              <w:tab w:val="right" w:leader="dot" w:pos="9060"/>
            </w:tabs>
            <w:spacing w:line="360" w:lineRule="auto"/>
            <w:rPr>
              <w:rFonts w:ascii="Times New Roman" w:hAnsi="Times New Roman" w:eastAsiaTheme="minorEastAsia"/>
              <w:smallCaps w:val="0"/>
              <w:sz w:val="24"/>
              <w:szCs w:val="24"/>
              <w:highlight w:val="none"/>
            </w:rPr>
          </w:pPr>
          <w:r>
            <w:rPr>
              <w:rFonts w:ascii="Times New Roman" w:hAnsi="Times New Roman" w:eastAsiaTheme="minorEastAsia"/>
              <w:sz w:val="24"/>
              <w:szCs w:val="24"/>
              <w:highlight w:val="none"/>
            </w:rPr>
            <w:t>第二节 港口岸线利用规划</w:t>
          </w:r>
          <w:r>
            <w:rPr>
              <w:rFonts w:ascii="Times New Roman" w:hAnsi="Times New Roman" w:eastAsiaTheme="minorEastAsia"/>
              <w:sz w:val="24"/>
              <w:szCs w:val="24"/>
              <w:highlight w:val="none"/>
            </w:rPr>
            <w:tab/>
          </w:r>
          <w:r>
            <w:rPr>
              <w:rFonts w:ascii="Times New Roman" w:hAnsi="Times New Roman" w:eastAsiaTheme="minorEastAsia"/>
              <w:sz w:val="24"/>
              <w:szCs w:val="24"/>
              <w:highlight w:val="none"/>
            </w:rPr>
            <w:fldChar w:fldCharType="begin"/>
          </w:r>
          <w:r>
            <w:rPr>
              <w:rFonts w:ascii="Times New Roman" w:hAnsi="Times New Roman" w:eastAsiaTheme="minorEastAsia"/>
              <w:sz w:val="24"/>
              <w:szCs w:val="24"/>
              <w:highlight w:val="none"/>
            </w:rPr>
            <w:instrText xml:space="preserve"> PAGEREF _Toc77781914 \h </w:instrText>
          </w:r>
          <w:r>
            <w:rPr>
              <w:rFonts w:ascii="Times New Roman" w:hAnsi="Times New Roman" w:eastAsiaTheme="minorEastAsia"/>
              <w:sz w:val="24"/>
              <w:szCs w:val="24"/>
              <w:highlight w:val="none"/>
            </w:rPr>
            <w:fldChar w:fldCharType="separate"/>
          </w:r>
          <w:r>
            <w:rPr>
              <w:rFonts w:ascii="Times New Roman" w:hAnsi="Times New Roman" w:eastAsiaTheme="minorEastAsia"/>
              <w:sz w:val="24"/>
              <w:szCs w:val="24"/>
              <w:highlight w:val="none"/>
            </w:rPr>
            <w:t>125</w:t>
          </w:r>
          <w:r>
            <w:rPr>
              <w:rFonts w:ascii="Times New Roman" w:hAnsi="Times New Roman" w:eastAsiaTheme="minorEastAsia"/>
              <w:sz w:val="24"/>
              <w:szCs w:val="24"/>
              <w:highlight w:val="none"/>
            </w:rPr>
            <w:fldChar w:fldCharType="end"/>
          </w:r>
        </w:p>
        <w:p>
          <w:pPr>
            <w:pStyle w:val="24"/>
            <w:tabs>
              <w:tab w:val="right" w:leader="dot" w:pos="9060"/>
            </w:tabs>
            <w:spacing w:before="0" w:after="0" w:line="360" w:lineRule="auto"/>
            <w:rPr>
              <w:rFonts w:ascii="Times New Roman" w:hAnsi="Times New Roman" w:eastAsiaTheme="minorEastAsia"/>
              <w:b w:val="0"/>
              <w:bCs w:val="0"/>
              <w:caps w:val="0"/>
              <w:sz w:val="24"/>
              <w:szCs w:val="24"/>
              <w:highlight w:val="none"/>
            </w:rPr>
          </w:pPr>
          <w:r>
            <w:rPr>
              <w:rFonts w:ascii="Times New Roman" w:hAnsi="Times New Roman" w:eastAsiaTheme="minorEastAsia"/>
              <w:b w:val="0"/>
              <w:sz w:val="24"/>
              <w:szCs w:val="24"/>
              <w:highlight w:val="none"/>
            </w:rPr>
            <w:t>第五章 港口总体布置规划</w:t>
          </w:r>
          <w:r>
            <w:rPr>
              <w:rFonts w:ascii="Times New Roman" w:hAnsi="Times New Roman" w:eastAsiaTheme="minorEastAsia"/>
              <w:b w:val="0"/>
              <w:sz w:val="24"/>
              <w:szCs w:val="24"/>
              <w:highlight w:val="none"/>
            </w:rPr>
            <w:tab/>
          </w:r>
          <w:r>
            <w:rPr>
              <w:rFonts w:ascii="Times New Roman" w:hAnsi="Times New Roman" w:eastAsiaTheme="minorEastAsia"/>
              <w:b w:val="0"/>
              <w:sz w:val="24"/>
              <w:szCs w:val="24"/>
              <w:highlight w:val="none"/>
            </w:rPr>
            <w:fldChar w:fldCharType="begin"/>
          </w:r>
          <w:r>
            <w:rPr>
              <w:rFonts w:ascii="Times New Roman" w:hAnsi="Times New Roman" w:eastAsiaTheme="minorEastAsia"/>
              <w:b w:val="0"/>
              <w:sz w:val="24"/>
              <w:szCs w:val="24"/>
              <w:highlight w:val="none"/>
            </w:rPr>
            <w:instrText xml:space="preserve"> PAGEREF _Toc77781917 \h </w:instrText>
          </w:r>
          <w:r>
            <w:rPr>
              <w:rFonts w:ascii="Times New Roman" w:hAnsi="Times New Roman" w:eastAsiaTheme="minorEastAsia"/>
              <w:b w:val="0"/>
              <w:sz w:val="24"/>
              <w:szCs w:val="24"/>
              <w:highlight w:val="none"/>
            </w:rPr>
            <w:fldChar w:fldCharType="separate"/>
          </w:r>
          <w:r>
            <w:rPr>
              <w:rFonts w:ascii="Times New Roman" w:hAnsi="Times New Roman" w:eastAsiaTheme="minorEastAsia"/>
              <w:b w:val="0"/>
              <w:sz w:val="24"/>
              <w:szCs w:val="24"/>
              <w:highlight w:val="none"/>
            </w:rPr>
            <w:t>151</w:t>
          </w:r>
          <w:r>
            <w:rPr>
              <w:rFonts w:ascii="Times New Roman" w:hAnsi="Times New Roman" w:eastAsiaTheme="minorEastAsia"/>
              <w:b w:val="0"/>
              <w:sz w:val="24"/>
              <w:szCs w:val="24"/>
              <w:highlight w:val="none"/>
            </w:rPr>
            <w:fldChar w:fldCharType="end"/>
          </w:r>
        </w:p>
        <w:p>
          <w:pPr>
            <w:pStyle w:val="28"/>
            <w:tabs>
              <w:tab w:val="right" w:leader="dot" w:pos="9060"/>
            </w:tabs>
            <w:spacing w:line="360" w:lineRule="auto"/>
            <w:rPr>
              <w:rFonts w:ascii="Times New Roman" w:hAnsi="Times New Roman" w:eastAsiaTheme="minorEastAsia"/>
              <w:smallCaps w:val="0"/>
              <w:sz w:val="24"/>
              <w:szCs w:val="24"/>
              <w:highlight w:val="none"/>
            </w:rPr>
          </w:pPr>
          <w:r>
            <w:rPr>
              <w:rFonts w:ascii="Times New Roman" w:hAnsi="Times New Roman" w:eastAsiaTheme="minorEastAsia"/>
              <w:sz w:val="24"/>
              <w:szCs w:val="24"/>
              <w:highlight w:val="none"/>
            </w:rPr>
            <w:t>第一节 规划原则</w:t>
          </w:r>
          <w:r>
            <w:rPr>
              <w:rFonts w:ascii="Times New Roman" w:hAnsi="Times New Roman" w:eastAsiaTheme="minorEastAsia"/>
              <w:sz w:val="24"/>
              <w:szCs w:val="24"/>
              <w:highlight w:val="none"/>
            </w:rPr>
            <w:tab/>
          </w:r>
          <w:r>
            <w:rPr>
              <w:rFonts w:ascii="Times New Roman" w:hAnsi="Times New Roman" w:eastAsiaTheme="minorEastAsia"/>
              <w:sz w:val="24"/>
              <w:szCs w:val="24"/>
              <w:highlight w:val="none"/>
            </w:rPr>
            <w:fldChar w:fldCharType="begin"/>
          </w:r>
          <w:r>
            <w:rPr>
              <w:rFonts w:ascii="Times New Roman" w:hAnsi="Times New Roman" w:eastAsiaTheme="minorEastAsia"/>
              <w:sz w:val="24"/>
              <w:szCs w:val="24"/>
              <w:highlight w:val="none"/>
            </w:rPr>
            <w:instrText xml:space="preserve"> PAGEREF _Toc77781918 \h </w:instrText>
          </w:r>
          <w:r>
            <w:rPr>
              <w:rFonts w:ascii="Times New Roman" w:hAnsi="Times New Roman" w:eastAsiaTheme="minorEastAsia"/>
              <w:sz w:val="24"/>
              <w:szCs w:val="24"/>
              <w:highlight w:val="none"/>
            </w:rPr>
            <w:fldChar w:fldCharType="separate"/>
          </w:r>
          <w:r>
            <w:rPr>
              <w:rFonts w:ascii="Times New Roman" w:hAnsi="Times New Roman" w:eastAsiaTheme="minorEastAsia"/>
              <w:sz w:val="24"/>
              <w:szCs w:val="24"/>
              <w:highlight w:val="none"/>
            </w:rPr>
            <w:t>156</w:t>
          </w:r>
          <w:r>
            <w:rPr>
              <w:rFonts w:ascii="Times New Roman" w:hAnsi="Times New Roman" w:eastAsiaTheme="minorEastAsia"/>
              <w:sz w:val="24"/>
              <w:szCs w:val="24"/>
              <w:highlight w:val="none"/>
            </w:rPr>
            <w:fldChar w:fldCharType="end"/>
          </w:r>
        </w:p>
        <w:p>
          <w:pPr>
            <w:pStyle w:val="28"/>
            <w:tabs>
              <w:tab w:val="right" w:leader="dot" w:pos="9060"/>
            </w:tabs>
            <w:spacing w:line="360" w:lineRule="auto"/>
            <w:rPr>
              <w:rFonts w:ascii="Times New Roman" w:hAnsi="Times New Roman" w:eastAsiaTheme="minorEastAsia"/>
              <w:smallCaps w:val="0"/>
              <w:sz w:val="24"/>
              <w:szCs w:val="24"/>
              <w:highlight w:val="none"/>
            </w:rPr>
          </w:pPr>
          <w:r>
            <w:rPr>
              <w:rFonts w:ascii="Times New Roman" w:hAnsi="Times New Roman" w:eastAsiaTheme="minorEastAsia"/>
              <w:sz w:val="24"/>
              <w:szCs w:val="24"/>
              <w:highlight w:val="none"/>
            </w:rPr>
            <w:t>第二节 港区划分</w:t>
          </w:r>
          <w:r>
            <w:rPr>
              <w:rFonts w:ascii="Times New Roman" w:hAnsi="Times New Roman" w:eastAsiaTheme="minorEastAsia"/>
              <w:sz w:val="24"/>
              <w:szCs w:val="24"/>
              <w:highlight w:val="none"/>
            </w:rPr>
            <w:tab/>
          </w:r>
          <w:r>
            <w:rPr>
              <w:rFonts w:ascii="Times New Roman" w:hAnsi="Times New Roman" w:eastAsiaTheme="minorEastAsia"/>
              <w:sz w:val="24"/>
              <w:szCs w:val="24"/>
              <w:highlight w:val="none"/>
            </w:rPr>
            <w:fldChar w:fldCharType="begin"/>
          </w:r>
          <w:r>
            <w:rPr>
              <w:rFonts w:ascii="Times New Roman" w:hAnsi="Times New Roman" w:eastAsiaTheme="minorEastAsia"/>
              <w:sz w:val="24"/>
              <w:szCs w:val="24"/>
              <w:highlight w:val="none"/>
            </w:rPr>
            <w:instrText xml:space="preserve"> PAGEREF _Toc77781919 \h </w:instrText>
          </w:r>
          <w:r>
            <w:rPr>
              <w:rFonts w:ascii="Times New Roman" w:hAnsi="Times New Roman" w:eastAsiaTheme="minorEastAsia"/>
              <w:sz w:val="24"/>
              <w:szCs w:val="24"/>
              <w:highlight w:val="none"/>
            </w:rPr>
            <w:fldChar w:fldCharType="separate"/>
          </w:r>
          <w:r>
            <w:rPr>
              <w:rFonts w:ascii="Times New Roman" w:hAnsi="Times New Roman" w:eastAsiaTheme="minorEastAsia"/>
              <w:sz w:val="24"/>
              <w:szCs w:val="24"/>
              <w:highlight w:val="none"/>
            </w:rPr>
            <w:t>156</w:t>
          </w:r>
          <w:r>
            <w:rPr>
              <w:rFonts w:ascii="Times New Roman" w:hAnsi="Times New Roman" w:eastAsiaTheme="minorEastAsia"/>
              <w:sz w:val="24"/>
              <w:szCs w:val="24"/>
              <w:highlight w:val="none"/>
            </w:rPr>
            <w:fldChar w:fldCharType="end"/>
          </w:r>
        </w:p>
        <w:p>
          <w:pPr>
            <w:pStyle w:val="28"/>
            <w:tabs>
              <w:tab w:val="right" w:leader="dot" w:pos="9060"/>
            </w:tabs>
            <w:spacing w:line="360" w:lineRule="auto"/>
            <w:rPr>
              <w:rFonts w:ascii="Times New Roman" w:hAnsi="Times New Roman" w:eastAsiaTheme="minorEastAsia"/>
              <w:smallCaps w:val="0"/>
              <w:sz w:val="24"/>
              <w:szCs w:val="24"/>
              <w:highlight w:val="none"/>
            </w:rPr>
          </w:pPr>
          <w:r>
            <w:rPr>
              <w:rFonts w:ascii="Times New Roman" w:hAnsi="Times New Roman" w:eastAsiaTheme="minorEastAsia"/>
              <w:sz w:val="24"/>
              <w:szCs w:val="24"/>
              <w:highlight w:val="none"/>
            </w:rPr>
            <w:t>第三节港区布置规划</w:t>
          </w:r>
          <w:r>
            <w:rPr>
              <w:rFonts w:ascii="Times New Roman" w:hAnsi="Times New Roman" w:eastAsiaTheme="minorEastAsia"/>
              <w:sz w:val="24"/>
              <w:szCs w:val="24"/>
              <w:highlight w:val="none"/>
            </w:rPr>
            <w:tab/>
          </w:r>
          <w:r>
            <w:rPr>
              <w:rFonts w:ascii="Times New Roman" w:hAnsi="Times New Roman" w:eastAsiaTheme="minorEastAsia"/>
              <w:sz w:val="24"/>
              <w:szCs w:val="24"/>
              <w:highlight w:val="none"/>
            </w:rPr>
            <w:fldChar w:fldCharType="begin"/>
          </w:r>
          <w:r>
            <w:rPr>
              <w:rFonts w:ascii="Times New Roman" w:hAnsi="Times New Roman" w:eastAsiaTheme="minorEastAsia"/>
              <w:sz w:val="24"/>
              <w:szCs w:val="24"/>
              <w:highlight w:val="none"/>
            </w:rPr>
            <w:instrText xml:space="preserve"> PAGEREF _Toc77781920 \h </w:instrText>
          </w:r>
          <w:r>
            <w:rPr>
              <w:rFonts w:ascii="Times New Roman" w:hAnsi="Times New Roman" w:eastAsiaTheme="minorEastAsia"/>
              <w:sz w:val="24"/>
              <w:szCs w:val="24"/>
              <w:highlight w:val="none"/>
            </w:rPr>
            <w:fldChar w:fldCharType="separate"/>
          </w:r>
          <w:r>
            <w:rPr>
              <w:rFonts w:ascii="Times New Roman" w:hAnsi="Times New Roman" w:eastAsiaTheme="minorEastAsia"/>
              <w:sz w:val="24"/>
              <w:szCs w:val="24"/>
              <w:highlight w:val="none"/>
            </w:rPr>
            <w:t>161</w:t>
          </w:r>
          <w:r>
            <w:rPr>
              <w:rFonts w:ascii="Times New Roman" w:hAnsi="Times New Roman" w:eastAsiaTheme="minorEastAsia"/>
              <w:sz w:val="24"/>
              <w:szCs w:val="24"/>
              <w:highlight w:val="none"/>
            </w:rPr>
            <w:fldChar w:fldCharType="end"/>
          </w:r>
        </w:p>
        <w:p>
          <w:pPr>
            <w:pStyle w:val="28"/>
            <w:tabs>
              <w:tab w:val="right" w:leader="dot" w:pos="9060"/>
            </w:tabs>
            <w:spacing w:line="360" w:lineRule="auto"/>
            <w:rPr>
              <w:rFonts w:ascii="Times New Roman" w:hAnsi="Times New Roman" w:eastAsiaTheme="minorEastAsia"/>
              <w:smallCaps w:val="0"/>
              <w:sz w:val="24"/>
              <w:szCs w:val="24"/>
              <w:highlight w:val="none"/>
            </w:rPr>
          </w:pPr>
          <w:r>
            <w:rPr>
              <w:rFonts w:ascii="Times New Roman" w:hAnsi="Times New Roman" w:eastAsiaTheme="minorEastAsia"/>
              <w:sz w:val="24"/>
              <w:szCs w:val="24"/>
              <w:highlight w:val="none"/>
            </w:rPr>
            <w:t>第四节水域布置规划</w:t>
          </w:r>
          <w:r>
            <w:rPr>
              <w:rFonts w:ascii="Times New Roman" w:hAnsi="Times New Roman" w:eastAsiaTheme="minorEastAsia"/>
              <w:sz w:val="24"/>
              <w:szCs w:val="24"/>
              <w:highlight w:val="none"/>
            </w:rPr>
            <w:tab/>
          </w:r>
          <w:r>
            <w:rPr>
              <w:rFonts w:ascii="Times New Roman" w:hAnsi="Times New Roman" w:eastAsiaTheme="minorEastAsia"/>
              <w:sz w:val="24"/>
              <w:szCs w:val="24"/>
              <w:highlight w:val="none"/>
            </w:rPr>
            <w:fldChar w:fldCharType="begin"/>
          </w:r>
          <w:r>
            <w:rPr>
              <w:rFonts w:ascii="Times New Roman" w:hAnsi="Times New Roman" w:eastAsiaTheme="minorEastAsia"/>
              <w:sz w:val="24"/>
              <w:szCs w:val="24"/>
              <w:highlight w:val="none"/>
            </w:rPr>
            <w:instrText xml:space="preserve"> PAGEREF _Toc77781924 \h </w:instrText>
          </w:r>
          <w:r>
            <w:rPr>
              <w:rFonts w:ascii="Times New Roman" w:hAnsi="Times New Roman" w:eastAsiaTheme="minorEastAsia"/>
              <w:sz w:val="24"/>
              <w:szCs w:val="24"/>
              <w:highlight w:val="none"/>
            </w:rPr>
            <w:fldChar w:fldCharType="separate"/>
          </w:r>
          <w:r>
            <w:rPr>
              <w:rFonts w:ascii="Times New Roman" w:hAnsi="Times New Roman" w:eastAsiaTheme="minorEastAsia"/>
              <w:sz w:val="24"/>
              <w:szCs w:val="24"/>
              <w:highlight w:val="none"/>
            </w:rPr>
            <w:t>174</w:t>
          </w:r>
          <w:r>
            <w:rPr>
              <w:rFonts w:ascii="Times New Roman" w:hAnsi="Times New Roman" w:eastAsiaTheme="minorEastAsia"/>
              <w:sz w:val="24"/>
              <w:szCs w:val="24"/>
              <w:highlight w:val="none"/>
            </w:rPr>
            <w:fldChar w:fldCharType="end"/>
          </w:r>
        </w:p>
        <w:p>
          <w:pPr>
            <w:pStyle w:val="28"/>
            <w:tabs>
              <w:tab w:val="right" w:leader="dot" w:pos="9060"/>
            </w:tabs>
            <w:spacing w:line="360" w:lineRule="auto"/>
            <w:rPr>
              <w:rFonts w:ascii="Times New Roman" w:hAnsi="Times New Roman" w:eastAsiaTheme="minorEastAsia"/>
              <w:smallCaps w:val="0"/>
              <w:sz w:val="24"/>
              <w:szCs w:val="24"/>
              <w:highlight w:val="none"/>
            </w:rPr>
          </w:pPr>
          <w:r>
            <w:rPr>
              <w:rFonts w:ascii="Times New Roman" w:hAnsi="Times New Roman" w:eastAsiaTheme="minorEastAsia"/>
              <w:sz w:val="24"/>
              <w:szCs w:val="24"/>
              <w:highlight w:val="none"/>
            </w:rPr>
            <w:t>第五节港界</w:t>
          </w:r>
          <w:r>
            <w:rPr>
              <w:rFonts w:ascii="Times New Roman" w:hAnsi="Times New Roman" w:eastAsiaTheme="minorEastAsia"/>
              <w:sz w:val="24"/>
              <w:szCs w:val="24"/>
              <w:highlight w:val="none"/>
            </w:rPr>
            <w:tab/>
          </w:r>
          <w:r>
            <w:rPr>
              <w:rFonts w:ascii="Times New Roman" w:hAnsi="Times New Roman" w:eastAsiaTheme="minorEastAsia"/>
              <w:sz w:val="24"/>
              <w:szCs w:val="24"/>
              <w:highlight w:val="none"/>
            </w:rPr>
            <w:fldChar w:fldCharType="begin"/>
          </w:r>
          <w:r>
            <w:rPr>
              <w:rFonts w:ascii="Times New Roman" w:hAnsi="Times New Roman" w:eastAsiaTheme="minorEastAsia"/>
              <w:sz w:val="24"/>
              <w:szCs w:val="24"/>
              <w:highlight w:val="none"/>
            </w:rPr>
            <w:instrText xml:space="preserve"> PAGEREF _Toc77781925 \h </w:instrText>
          </w:r>
          <w:r>
            <w:rPr>
              <w:rFonts w:ascii="Times New Roman" w:hAnsi="Times New Roman" w:eastAsiaTheme="minorEastAsia"/>
              <w:sz w:val="24"/>
              <w:szCs w:val="24"/>
              <w:highlight w:val="none"/>
            </w:rPr>
            <w:fldChar w:fldCharType="separate"/>
          </w:r>
          <w:r>
            <w:rPr>
              <w:rFonts w:ascii="Times New Roman" w:hAnsi="Times New Roman" w:eastAsiaTheme="minorEastAsia"/>
              <w:sz w:val="24"/>
              <w:szCs w:val="24"/>
              <w:highlight w:val="none"/>
            </w:rPr>
            <w:t>166</w:t>
          </w:r>
          <w:r>
            <w:rPr>
              <w:rFonts w:ascii="Times New Roman" w:hAnsi="Times New Roman" w:eastAsiaTheme="minorEastAsia"/>
              <w:sz w:val="24"/>
              <w:szCs w:val="24"/>
              <w:highlight w:val="none"/>
            </w:rPr>
            <w:fldChar w:fldCharType="end"/>
          </w:r>
        </w:p>
        <w:p>
          <w:pPr>
            <w:pStyle w:val="24"/>
            <w:tabs>
              <w:tab w:val="right" w:leader="dot" w:pos="9060"/>
            </w:tabs>
            <w:spacing w:before="0" w:after="0" w:line="360" w:lineRule="auto"/>
            <w:rPr>
              <w:rFonts w:ascii="Times New Roman" w:hAnsi="Times New Roman" w:eastAsiaTheme="minorEastAsia"/>
              <w:b w:val="0"/>
              <w:bCs w:val="0"/>
              <w:caps w:val="0"/>
              <w:sz w:val="24"/>
              <w:szCs w:val="24"/>
              <w:highlight w:val="none"/>
            </w:rPr>
          </w:pPr>
          <w:r>
            <w:rPr>
              <w:rFonts w:ascii="Times New Roman" w:hAnsi="Times New Roman" w:eastAsiaTheme="minorEastAsia"/>
              <w:b w:val="0"/>
              <w:sz w:val="24"/>
              <w:szCs w:val="24"/>
              <w:highlight w:val="none"/>
            </w:rPr>
            <w:t>第六章 港口配套设施规划</w:t>
          </w:r>
          <w:r>
            <w:rPr>
              <w:rFonts w:ascii="Times New Roman" w:hAnsi="Times New Roman" w:eastAsiaTheme="minorEastAsia"/>
              <w:b w:val="0"/>
              <w:sz w:val="24"/>
              <w:szCs w:val="24"/>
              <w:highlight w:val="none"/>
            </w:rPr>
            <w:tab/>
          </w:r>
          <w:r>
            <w:rPr>
              <w:rFonts w:ascii="Times New Roman" w:hAnsi="Times New Roman" w:eastAsiaTheme="minorEastAsia"/>
              <w:b w:val="0"/>
              <w:sz w:val="24"/>
              <w:szCs w:val="24"/>
              <w:highlight w:val="none"/>
            </w:rPr>
            <w:fldChar w:fldCharType="begin"/>
          </w:r>
          <w:r>
            <w:rPr>
              <w:rFonts w:ascii="Times New Roman" w:hAnsi="Times New Roman" w:eastAsiaTheme="minorEastAsia"/>
              <w:b w:val="0"/>
              <w:sz w:val="24"/>
              <w:szCs w:val="24"/>
              <w:highlight w:val="none"/>
            </w:rPr>
            <w:instrText xml:space="preserve"> PAGEREF _Toc77781926 \h </w:instrText>
          </w:r>
          <w:r>
            <w:rPr>
              <w:rFonts w:ascii="Times New Roman" w:hAnsi="Times New Roman" w:eastAsiaTheme="minorEastAsia"/>
              <w:b w:val="0"/>
              <w:sz w:val="24"/>
              <w:szCs w:val="24"/>
              <w:highlight w:val="none"/>
            </w:rPr>
            <w:fldChar w:fldCharType="separate"/>
          </w:r>
          <w:r>
            <w:rPr>
              <w:rFonts w:ascii="Times New Roman" w:hAnsi="Times New Roman" w:eastAsiaTheme="minorEastAsia"/>
              <w:b w:val="0"/>
              <w:sz w:val="24"/>
              <w:szCs w:val="24"/>
              <w:highlight w:val="none"/>
            </w:rPr>
            <w:t>179</w:t>
          </w:r>
          <w:r>
            <w:rPr>
              <w:rFonts w:ascii="Times New Roman" w:hAnsi="Times New Roman" w:eastAsiaTheme="minorEastAsia"/>
              <w:b w:val="0"/>
              <w:sz w:val="24"/>
              <w:szCs w:val="24"/>
              <w:highlight w:val="none"/>
            </w:rPr>
            <w:fldChar w:fldCharType="end"/>
          </w:r>
        </w:p>
        <w:p>
          <w:pPr>
            <w:pStyle w:val="28"/>
            <w:tabs>
              <w:tab w:val="right" w:leader="dot" w:pos="9060"/>
            </w:tabs>
            <w:spacing w:line="360" w:lineRule="auto"/>
            <w:rPr>
              <w:rFonts w:ascii="Times New Roman" w:hAnsi="Times New Roman" w:eastAsiaTheme="minorEastAsia"/>
              <w:smallCaps w:val="0"/>
              <w:sz w:val="24"/>
              <w:szCs w:val="24"/>
              <w:highlight w:val="none"/>
            </w:rPr>
          </w:pPr>
          <w:r>
            <w:rPr>
              <w:rFonts w:ascii="Times New Roman" w:hAnsi="Times New Roman" w:eastAsiaTheme="minorEastAsia"/>
              <w:sz w:val="24"/>
              <w:szCs w:val="24"/>
              <w:highlight w:val="none"/>
            </w:rPr>
            <w:t>第一节 集疏运规划</w:t>
          </w:r>
          <w:r>
            <w:rPr>
              <w:rFonts w:ascii="Times New Roman" w:hAnsi="Times New Roman" w:eastAsiaTheme="minorEastAsia"/>
              <w:sz w:val="24"/>
              <w:szCs w:val="24"/>
              <w:highlight w:val="none"/>
            </w:rPr>
            <w:tab/>
          </w:r>
          <w:r>
            <w:rPr>
              <w:rFonts w:ascii="Times New Roman" w:hAnsi="Times New Roman" w:eastAsiaTheme="minorEastAsia"/>
              <w:sz w:val="24"/>
              <w:szCs w:val="24"/>
              <w:highlight w:val="none"/>
            </w:rPr>
            <w:fldChar w:fldCharType="begin"/>
          </w:r>
          <w:r>
            <w:rPr>
              <w:rFonts w:ascii="Times New Roman" w:hAnsi="Times New Roman" w:eastAsiaTheme="minorEastAsia"/>
              <w:sz w:val="24"/>
              <w:szCs w:val="24"/>
              <w:highlight w:val="none"/>
            </w:rPr>
            <w:instrText xml:space="preserve"> PAGEREF _Toc77781927 \h </w:instrText>
          </w:r>
          <w:r>
            <w:rPr>
              <w:rFonts w:ascii="Times New Roman" w:hAnsi="Times New Roman" w:eastAsiaTheme="minorEastAsia"/>
              <w:sz w:val="24"/>
              <w:szCs w:val="24"/>
              <w:highlight w:val="none"/>
            </w:rPr>
            <w:fldChar w:fldCharType="separate"/>
          </w:r>
          <w:r>
            <w:rPr>
              <w:rFonts w:ascii="Times New Roman" w:hAnsi="Times New Roman" w:eastAsiaTheme="minorEastAsia"/>
              <w:sz w:val="24"/>
              <w:szCs w:val="24"/>
              <w:highlight w:val="none"/>
            </w:rPr>
            <w:t>179</w:t>
          </w:r>
          <w:r>
            <w:rPr>
              <w:rFonts w:ascii="Times New Roman" w:hAnsi="Times New Roman" w:eastAsiaTheme="minorEastAsia"/>
              <w:sz w:val="24"/>
              <w:szCs w:val="24"/>
              <w:highlight w:val="none"/>
            </w:rPr>
            <w:fldChar w:fldCharType="end"/>
          </w:r>
        </w:p>
        <w:p>
          <w:pPr>
            <w:pStyle w:val="28"/>
            <w:tabs>
              <w:tab w:val="right" w:leader="dot" w:pos="9060"/>
            </w:tabs>
            <w:spacing w:line="360" w:lineRule="auto"/>
            <w:rPr>
              <w:rFonts w:ascii="Times New Roman" w:hAnsi="Times New Roman" w:eastAsiaTheme="minorEastAsia"/>
              <w:smallCaps w:val="0"/>
              <w:sz w:val="24"/>
              <w:szCs w:val="24"/>
              <w:highlight w:val="none"/>
            </w:rPr>
          </w:pPr>
          <w:r>
            <w:rPr>
              <w:rFonts w:ascii="Times New Roman" w:hAnsi="Times New Roman" w:eastAsiaTheme="minorEastAsia"/>
              <w:sz w:val="24"/>
              <w:szCs w:val="24"/>
              <w:highlight w:val="none"/>
            </w:rPr>
            <w:t>第二节供电规划</w:t>
          </w:r>
          <w:r>
            <w:rPr>
              <w:rFonts w:ascii="Times New Roman" w:hAnsi="Times New Roman" w:eastAsiaTheme="minorEastAsia"/>
              <w:sz w:val="24"/>
              <w:szCs w:val="24"/>
              <w:highlight w:val="none"/>
            </w:rPr>
            <w:tab/>
          </w:r>
          <w:r>
            <w:rPr>
              <w:rFonts w:ascii="Times New Roman" w:hAnsi="Times New Roman" w:eastAsiaTheme="minorEastAsia"/>
              <w:sz w:val="24"/>
              <w:szCs w:val="24"/>
              <w:highlight w:val="none"/>
            </w:rPr>
            <w:fldChar w:fldCharType="begin"/>
          </w:r>
          <w:r>
            <w:rPr>
              <w:rFonts w:ascii="Times New Roman" w:hAnsi="Times New Roman" w:eastAsiaTheme="minorEastAsia"/>
              <w:sz w:val="24"/>
              <w:szCs w:val="24"/>
              <w:highlight w:val="none"/>
            </w:rPr>
            <w:instrText xml:space="preserve"> PAGEREF _Toc77781928 \h </w:instrText>
          </w:r>
          <w:r>
            <w:rPr>
              <w:rFonts w:ascii="Times New Roman" w:hAnsi="Times New Roman" w:eastAsiaTheme="minorEastAsia"/>
              <w:sz w:val="24"/>
              <w:szCs w:val="24"/>
              <w:highlight w:val="none"/>
            </w:rPr>
            <w:fldChar w:fldCharType="separate"/>
          </w:r>
          <w:r>
            <w:rPr>
              <w:rFonts w:ascii="Times New Roman" w:hAnsi="Times New Roman" w:eastAsiaTheme="minorEastAsia"/>
              <w:sz w:val="24"/>
              <w:szCs w:val="24"/>
              <w:highlight w:val="none"/>
            </w:rPr>
            <w:t>188</w:t>
          </w:r>
          <w:r>
            <w:rPr>
              <w:rFonts w:ascii="Times New Roman" w:hAnsi="Times New Roman" w:eastAsiaTheme="minorEastAsia"/>
              <w:sz w:val="24"/>
              <w:szCs w:val="24"/>
              <w:highlight w:val="none"/>
            </w:rPr>
            <w:fldChar w:fldCharType="end"/>
          </w:r>
        </w:p>
        <w:p>
          <w:pPr>
            <w:pStyle w:val="28"/>
            <w:tabs>
              <w:tab w:val="right" w:leader="dot" w:pos="9060"/>
            </w:tabs>
            <w:spacing w:line="360" w:lineRule="auto"/>
            <w:rPr>
              <w:rFonts w:ascii="Times New Roman" w:hAnsi="Times New Roman" w:eastAsiaTheme="minorEastAsia"/>
              <w:smallCaps w:val="0"/>
              <w:sz w:val="24"/>
              <w:szCs w:val="24"/>
              <w:highlight w:val="none"/>
            </w:rPr>
          </w:pPr>
          <w:r>
            <w:rPr>
              <w:rFonts w:ascii="Times New Roman" w:hAnsi="Times New Roman" w:eastAsiaTheme="minorEastAsia"/>
              <w:sz w:val="24"/>
              <w:szCs w:val="24"/>
              <w:highlight w:val="none"/>
            </w:rPr>
            <w:t>第三节给排水规划</w:t>
          </w:r>
          <w:r>
            <w:rPr>
              <w:rFonts w:ascii="Times New Roman" w:hAnsi="Times New Roman" w:eastAsiaTheme="minorEastAsia"/>
              <w:sz w:val="24"/>
              <w:szCs w:val="24"/>
              <w:highlight w:val="none"/>
            </w:rPr>
            <w:tab/>
          </w:r>
          <w:r>
            <w:rPr>
              <w:rFonts w:ascii="Times New Roman" w:hAnsi="Times New Roman" w:eastAsiaTheme="minorEastAsia"/>
              <w:sz w:val="24"/>
              <w:szCs w:val="24"/>
              <w:highlight w:val="none"/>
            </w:rPr>
            <w:fldChar w:fldCharType="begin"/>
          </w:r>
          <w:r>
            <w:rPr>
              <w:rFonts w:ascii="Times New Roman" w:hAnsi="Times New Roman" w:eastAsiaTheme="minorEastAsia"/>
              <w:sz w:val="24"/>
              <w:szCs w:val="24"/>
              <w:highlight w:val="none"/>
            </w:rPr>
            <w:instrText xml:space="preserve"> PAGEREF _Toc77781929 \h </w:instrText>
          </w:r>
          <w:r>
            <w:rPr>
              <w:rFonts w:ascii="Times New Roman" w:hAnsi="Times New Roman" w:eastAsiaTheme="minorEastAsia"/>
              <w:sz w:val="24"/>
              <w:szCs w:val="24"/>
              <w:highlight w:val="none"/>
            </w:rPr>
            <w:fldChar w:fldCharType="separate"/>
          </w:r>
          <w:r>
            <w:rPr>
              <w:rFonts w:ascii="Times New Roman" w:hAnsi="Times New Roman" w:eastAsiaTheme="minorEastAsia"/>
              <w:sz w:val="24"/>
              <w:szCs w:val="24"/>
              <w:highlight w:val="none"/>
            </w:rPr>
            <w:t>189</w:t>
          </w:r>
          <w:r>
            <w:rPr>
              <w:rFonts w:ascii="Times New Roman" w:hAnsi="Times New Roman" w:eastAsiaTheme="minorEastAsia"/>
              <w:sz w:val="24"/>
              <w:szCs w:val="24"/>
              <w:highlight w:val="none"/>
            </w:rPr>
            <w:fldChar w:fldCharType="end"/>
          </w:r>
        </w:p>
        <w:p>
          <w:pPr>
            <w:pStyle w:val="28"/>
            <w:tabs>
              <w:tab w:val="right" w:leader="dot" w:pos="9060"/>
            </w:tabs>
            <w:spacing w:line="360" w:lineRule="auto"/>
            <w:rPr>
              <w:rFonts w:ascii="Times New Roman" w:hAnsi="Times New Roman" w:eastAsiaTheme="minorEastAsia"/>
              <w:smallCaps w:val="0"/>
              <w:sz w:val="24"/>
              <w:szCs w:val="24"/>
              <w:highlight w:val="none"/>
            </w:rPr>
          </w:pPr>
          <w:r>
            <w:rPr>
              <w:rFonts w:ascii="Times New Roman" w:hAnsi="Times New Roman" w:eastAsiaTheme="minorEastAsia"/>
              <w:sz w:val="24"/>
              <w:szCs w:val="24"/>
              <w:highlight w:val="none"/>
            </w:rPr>
            <w:t>第四节 通信信息规划</w:t>
          </w:r>
          <w:r>
            <w:rPr>
              <w:rFonts w:ascii="Times New Roman" w:hAnsi="Times New Roman" w:eastAsiaTheme="minorEastAsia"/>
              <w:sz w:val="24"/>
              <w:szCs w:val="24"/>
              <w:highlight w:val="none"/>
            </w:rPr>
            <w:tab/>
          </w:r>
          <w:r>
            <w:rPr>
              <w:rFonts w:ascii="Times New Roman" w:hAnsi="Times New Roman" w:eastAsiaTheme="minorEastAsia"/>
              <w:sz w:val="24"/>
              <w:szCs w:val="24"/>
              <w:highlight w:val="none"/>
            </w:rPr>
            <w:fldChar w:fldCharType="begin"/>
          </w:r>
          <w:r>
            <w:rPr>
              <w:rFonts w:ascii="Times New Roman" w:hAnsi="Times New Roman" w:eastAsiaTheme="minorEastAsia"/>
              <w:sz w:val="24"/>
              <w:szCs w:val="24"/>
              <w:highlight w:val="none"/>
            </w:rPr>
            <w:instrText xml:space="preserve"> PAGEREF _Toc77781930 \h </w:instrText>
          </w:r>
          <w:r>
            <w:rPr>
              <w:rFonts w:ascii="Times New Roman" w:hAnsi="Times New Roman" w:eastAsiaTheme="minorEastAsia"/>
              <w:sz w:val="24"/>
              <w:szCs w:val="24"/>
              <w:highlight w:val="none"/>
            </w:rPr>
            <w:fldChar w:fldCharType="separate"/>
          </w:r>
          <w:r>
            <w:rPr>
              <w:rFonts w:ascii="Times New Roman" w:hAnsi="Times New Roman" w:eastAsiaTheme="minorEastAsia"/>
              <w:sz w:val="24"/>
              <w:szCs w:val="24"/>
              <w:highlight w:val="none"/>
            </w:rPr>
            <w:t>191</w:t>
          </w:r>
          <w:r>
            <w:rPr>
              <w:rFonts w:ascii="Times New Roman" w:hAnsi="Times New Roman" w:eastAsiaTheme="minorEastAsia"/>
              <w:sz w:val="24"/>
              <w:szCs w:val="24"/>
              <w:highlight w:val="none"/>
            </w:rPr>
            <w:fldChar w:fldCharType="end"/>
          </w:r>
        </w:p>
        <w:p>
          <w:pPr>
            <w:pStyle w:val="28"/>
            <w:tabs>
              <w:tab w:val="right" w:leader="dot" w:pos="9060"/>
            </w:tabs>
            <w:spacing w:line="360" w:lineRule="auto"/>
            <w:rPr>
              <w:rFonts w:ascii="Times New Roman" w:hAnsi="Times New Roman" w:eastAsiaTheme="minorEastAsia"/>
              <w:smallCaps w:val="0"/>
              <w:sz w:val="24"/>
              <w:szCs w:val="24"/>
              <w:highlight w:val="none"/>
            </w:rPr>
          </w:pPr>
          <w:r>
            <w:rPr>
              <w:rFonts w:ascii="Times New Roman" w:hAnsi="Times New Roman" w:eastAsiaTheme="minorEastAsia"/>
              <w:sz w:val="24"/>
              <w:szCs w:val="24"/>
              <w:highlight w:val="none"/>
            </w:rPr>
            <w:t>第五节 港口支持系统规划</w:t>
          </w:r>
          <w:r>
            <w:rPr>
              <w:rFonts w:ascii="Times New Roman" w:hAnsi="Times New Roman" w:eastAsiaTheme="minorEastAsia"/>
              <w:sz w:val="24"/>
              <w:szCs w:val="24"/>
              <w:highlight w:val="none"/>
            </w:rPr>
            <w:tab/>
          </w:r>
          <w:r>
            <w:rPr>
              <w:rFonts w:ascii="Times New Roman" w:hAnsi="Times New Roman" w:eastAsiaTheme="minorEastAsia"/>
              <w:sz w:val="24"/>
              <w:szCs w:val="24"/>
              <w:highlight w:val="none"/>
            </w:rPr>
            <w:fldChar w:fldCharType="begin"/>
          </w:r>
          <w:r>
            <w:rPr>
              <w:rFonts w:ascii="Times New Roman" w:hAnsi="Times New Roman" w:eastAsiaTheme="minorEastAsia"/>
              <w:sz w:val="24"/>
              <w:szCs w:val="24"/>
              <w:highlight w:val="none"/>
            </w:rPr>
            <w:instrText xml:space="preserve"> PAGEREF _Toc77781931 \h </w:instrText>
          </w:r>
          <w:r>
            <w:rPr>
              <w:rFonts w:ascii="Times New Roman" w:hAnsi="Times New Roman" w:eastAsiaTheme="minorEastAsia"/>
              <w:sz w:val="24"/>
              <w:szCs w:val="24"/>
              <w:highlight w:val="none"/>
            </w:rPr>
            <w:fldChar w:fldCharType="separate"/>
          </w:r>
          <w:r>
            <w:rPr>
              <w:rFonts w:ascii="Times New Roman" w:hAnsi="Times New Roman" w:eastAsiaTheme="minorEastAsia"/>
              <w:sz w:val="24"/>
              <w:szCs w:val="24"/>
              <w:highlight w:val="none"/>
            </w:rPr>
            <w:t>194</w:t>
          </w:r>
          <w:r>
            <w:rPr>
              <w:rFonts w:ascii="Times New Roman" w:hAnsi="Times New Roman" w:eastAsiaTheme="minorEastAsia"/>
              <w:sz w:val="24"/>
              <w:szCs w:val="24"/>
              <w:highlight w:val="none"/>
            </w:rPr>
            <w:fldChar w:fldCharType="end"/>
          </w:r>
        </w:p>
        <w:p>
          <w:pPr>
            <w:pStyle w:val="28"/>
            <w:tabs>
              <w:tab w:val="right" w:leader="dot" w:pos="9060"/>
            </w:tabs>
            <w:spacing w:line="360" w:lineRule="auto"/>
            <w:rPr>
              <w:rFonts w:ascii="Times New Roman" w:hAnsi="Times New Roman" w:eastAsiaTheme="minorEastAsia"/>
              <w:smallCaps w:val="0"/>
              <w:sz w:val="24"/>
              <w:szCs w:val="24"/>
              <w:highlight w:val="none"/>
            </w:rPr>
          </w:pPr>
          <w:r>
            <w:rPr>
              <w:rFonts w:ascii="Times New Roman" w:hAnsi="Times New Roman" w:eastAsiaTheme="minorEastAsia"/>
              <w:sz w:val="24"/>
              <w:szCs w:val="24"/>
              <w:highlight w:val="none"/>
            </w:rPr>
            <w:t>第六节 物流园区规划</w:t>
          </w:r>
          <w:r>
            <w:rPr>
              <w:rFonts w:ascii="Times New Roman" w:hAnsi="Times New Roman" w:eastAsiaTheme="minorEastAsia"/>
              <w:sz w:val="24"/>
              <w:szCs w:val="24"/>
              <w:highlight w:val="none"/>
            </w:rPr>
            <w:tab/>
          </w:r>
          <w:r>
            <w:rPr>
              <w:rFonts w:ascii="Times New Roman" w:hAnsi="Times New Roman" w:eastAsiaTheme="minorEastAsia"/>
              <w:sz w:val="24"/>
              <w:szCs w:val="24"/>
              <w:highlight w:val="none"/>
            </w:rPr>
            <w:fldChar w:fldCharType="begin"/>
          </w:r>
          <w:r>
            <w:rPr>
              <w:rFonts w:ascii="Times New Roman" w:hAnsi="Times New Roman" w:eastAsiaTheme="minorEastAsia"/>
              <w:sz w:val="24"/>
              <w:szCs w:val="24"/>
              <w:highlight w:val="none"/>
            </w:rPr>
            <w:instrText xml:space="preserve"> PAGEREF _Toc77781932 \h </w:instrText>
          </w:r>
          <w:r>
            <w:rPr>
              <w:rFonts w:ascii="Times New Roman" w:hAnsi="Times New Roman" w:eastAsiaTheme="minorEastAsia"/>
              <w:sz w:val="24"/>
              <w:szCs w:val="24"/>
              <w:highlight w:val="none"/>
            </w:rPr>
            <w:fldChar w:fldCharType="separate"/>
          </w:r>
          <w:r>
            <w:rPr>
              <w:rFonts w:ascii="Times New Roman" w:hAnsi="Times New Roman" w:eastAsiaTheme="minorEastAsia"/>
              <w:sz w:val="24"/>
              <w:szCs w:val="24"/>
              <w:highlight w:val="none"/>
            </w:rPr>
            <w:t>197</w:t>
          </w:r>
          <w:r>
            <w:rPr>
              <w:rFonts w:ascii="Times New Roman" w:hAnsi="Times New Roman" w:eastAsiaTheme="minorEastAsia"/>
              <w:sz w:val="24"/>
              <w:szCs w:val="24"/>
              <w:highlight w:val="none"/>
            </w:rPr>
            <w:fldChar w:fldCharType="end"/>
          </w:r>
        </w:p>
        <w:p>
          <w:pPr>
            <w:pStyle w:val="28"/>
            <w:tabs>
              <w:tab w:val="right" w:leader="dot" w:pos="9060"/>
            </w:tabs>
            <w:spacing w:line="360" w:lineRule="auto"/>
            <w:rPr>
              <w:rFonts w:ascii="Times New Roman" w:hAnsi="Times New Roman" w:eastAsiaTheme="minorEastAsia"/>
              <w:smallCaps w:val="0"/>
              <w:sz w:val="24"/>
              <w:szCs w:val="24"/>
              <w:highlight w:val="none"/>
            </w:rPr>
          </w:pPr>
          <w:r>
            <w:rPr>
              <w:rFonts w:ascii="Times New Roman" w:hAnsi="Times New Roman" w:eastAsiaTheme="minorEastAsia"/>
              <w:sz w:val="24"/>
              <w:szCs w:val="24"/>
              <w:highlight w:val="none"/>
            </w:rPr>
            <w:t>第七节 临港工业规划</w:t>
          </w:r>
          <w:r>
            <w:rPr>
              <w:rFonts w:ascii="Times New Roman" w:hAnsi="Times New Roman" w:eastAsiaTheme="minorEastAsia"/>
              <w:sz w:val="24"/>
              <w:szCs w:val="24"/>
              <w:highlight w:val="none"/>
            </w:rPr>
            <w:tab/>
          </w:r>
          <w:r>
            <w:rPr>
              <w:rFonts w:ascii="Times New Roman" w:hAnsi="Times New Roman" w:eastAsiaTheme="minorEastAsia"/>
              <w:sz w:val="24"/>
              <w:szCs w:val="24"/>
              <w:highlight w:val="none"/>
            </w:rPr>
            <w:fldChar w:fldCharType="begin"/>
          </w:r>
          <w:r>
            <w:rPr>
              <w:rFonts w:ascii="Times New Roman" w:hAnsi="Times New Roman" w:eastAsiaTheme="minorEastAsia"/>
              <w:sz w:val="24"/>
              <w:szCs w:val="24"/>
              <w:highlight w:val="none"/>
            </w:rPr>
            <w:instrText xml:space="preserve"> PAGEREF _Toc77781935 \h </w:instrText>
          </w:r>
          <w:r>
            <w:rPr>
              <w:rFonts w:ascii="Times New Roman" w:hAnsi="Times New Roman" w:eastAsiaTheme="minorEastAsia"/>
              <w:sz w:val="24"/>
              <w:szCs w:val="24"/>
              <w:highlight w:val="none"/>
            </w:rPr>
            <w:fldChar w:fldCharType="separate"/>
          </w:r>
          <w:r>
            <w:rPr>
              <w:rFonts w:ascii="Times New Roman" w:hAnsi="Times New Roman" w:eastAsiaTheme="minorEastAsia"/>
              <w:sz w:val="24"/>
              <w:szCs w:val="24"/>
              <w:highlight w:val="none"/>
            </w:rPr>
            <w:t>201</w:t>
          </w:r>
          <w:r>
            <w:rPr>
              <w:rFonts w:ascii="Times New Roman" w:hAnsi="Times New Roman" w:eastAsiaTheme="minorEastAsia"/>
              <w:sz w:val="24"/>
              <w:szCs w:val="24"/>
              <w:highlight w:val="none"/>
            </w:rPr>
            <w:fldChar w:fldCharType="end"/>
          </w:r>
        </w:p>
        <w:p>
          <w:pPr>
            <w:pStyle w:val="24"/>
            <w:tabs>
              <w:tab w:val="right" w:leader="dot" w:pos="9060"/>
            </w:tabs>
            <w:spacing w:before="0" w:after="0" w:line="360" w:lineRule="auto"/>
            <w:rPr>
              <w:rFonts w:ascii="Times New Roman" w:hAnsi="Times New Roman" w:eastAsiaTheme="minorEastAsia"/>
              <w:b w:val="0"/>
              <w:bCs w:val="0"/>
              <w:caps w:val="0"/>
              <w:sz w:val="24"/>
              <w:szCs w:val="24"/>
              <w:highlight w:val="none"/>
            </w:rPr>
          </w:pPr>
          <w:r>
            <w:rPr>
              <w:rFonts w:ascii="Times New Roman" w:hAnsi="Times New Roman" w:eastAsiaTheme="minorEastAsia"/>
              <w:b w:val="0"/>
              <w:sz w:val="24"/>
              <w:szCs w:val="24"/>
              <w:highlight w:val="none"/>
            </w:rPr>
            <w:t>第七章 环境保护规划</w:t>
          </w:r>
          <w:r>
            <w:rPr>
              <w:rFonts w:ascii="Times New Roman" w:hAnsi="Times New Roman" w:eastAsiaTheme="minorEastAsia"/>
              <w:b w:val="0"/>
              <w:sz w:val="24"/>
              <w:szCs w:val="24"/>
              <w:highlight w:val="none"/>
            </w:rPr>
            <w:tab/>
          </w:r>
          <w:r>
            <w:rPr>
              <w:rFonts w:ascii="Times New Roman" w:hAnsi="Times New Roman" w:eastAsiaTheme="minorEastAsia"/>
              <w:b w:val="0"/>
              <w:sz w:val="24"/>
              <w:szCs w:val="24"/>
              <w:highlight w:val="none"/>
            </w:rPr>
            <w:fldChar w:fldCharType="begin"/>
          </w:r>
          <w:r>
            <w:rPr>
              <w:rFonts w:ascii="Times New Roman" w:hAnsi="Times New Roman" w:eastAsiaTheme="minorEastAsia"/>
              <w:b w:val="0"/>
              <w:sz w:val="24"/>
              <w:szCs w:val="24"/>
              <w:highlight w:val="none"/>
            </w:rPr>
            <w:instrText xml:space="preserve"> PAGEREF _Toc77781936 \h </w:instrText>
          </w:r>
          <w:r>
            <w:rPr>
              <w:rFonts w:ascii="Times New Roman" w:hAnsi="Times New Roman" w:eastAsiaTheme="minorEastAsia"/>
              <w:b w:val="0"/>
              <w:sz w:val="24"/>
              <w:szCs w:val="24"/>
              <w:highlight w:val="none"/>
            </w:rPr>
            <w:fldChar w:fldCharType="separate"/>
          </w:r>
          <w:r>
            <w:rPr>
              <w:rFonts w:ascii="Times New Roman" w:hAnsi="Times New Roman" w:eastAsiaTheme="minorEastAsia"/>
              <w:b w:val="0"/>
              <w:sz w:val="24"/>
              <w:szCs w:val="24"/>
              <w:highlight w:val="none"/>
            </w:rPr>
            <w:t>204</w:t>
          </w:r>
          <w:r>
            <w:rPr>
              <w:rFonts w:ascii="Times New Roman" w:hAnsi="Times New Roman" w:eastAsiaTheme="minorEastAsia"/>
              <w:b w:val="0"/>
              <w:sz w:val="24"/>
              <w:szCs w:val="24"/>
              <w:highlight w:val="none"/>
            </w:rPr>
            <w:fldChar w:fldCharType="end"/>
          </w:r>
        </w:p>
        <w:p>
          <w:pPr>
            <w:pStyle w:val="28"/>
            <w:tabs>
              <w:tab w:val="right" w:leader="dot" w:pos="9060"/>
            </w:tabs>
            <w:spacing w:line="360" w:lineRule="auto"/>
            <w:rPr>
              <w:rFonts w:ascii="Times New Roman" w:hAnsi="Times New Roman" w:eastAsiaTheme="minorEastAsia"/>
              <w:smallCaps w:val="0"/>
              <w:sz w:val="24"/>
              <w:szCs w:val="24"/>
              <w:highlight w:val="none"/>
            </w:rPr>
          </w:pPr>
          <w:r>
            <w:rPr>
              <w:rFonts w:ascii="Times New Roman" w:hAnsi="Times New Roman" w:eastAsiaTheme="minorEastAsia"/>
              <w:sz w:val="24"/>
              <w:szCs w:val="24"/>
              <w:highlight w:val="none"/>
            </w:rPr>
            <w:t>第一节港口环境现状</w:t>
          </w:r>
          <w:r>
            <w:rPr>
              <w:rFonts w:ascii="Times New Roman" w:hAnsi="Times New Roman" w:eastAsiaTheme="minorEastAsia"/>
              <w:sz w:val="24"/>
              <w:szCs w:val="24"/>
              <w:highlight w:val="none"/>
            </w:rPr>
            <w:tab/>
          </w:r>
          <w:r>
            <w:rPr>
              <w:rFonts w:ascii="Times New Roman" w:hAnsi="Times New Roman" w:eastAsiaTheme="minorEastAsia"/>
              <w:sz w:val="24"/>
              <w:szCs w:val="24"/>
              <w:highlight w:val="none"/>
            </w:rPr>
            <w:fldChar w:fldCharType="begin"/>
          </w:r>
          <w:r>
            <w:rPr>
              <w:rFonts w:ascii="Times New Roman" w:hAnsi="Times New Roman" w:eastAsiaTheme="minorEastAsia"/>
              <w:sz w:val="24"/>
              <w:szCs w:val="24"/>
              <w:highlight w:val="none"/>
            </w:rPr>
            <w:instrText xml:space="preserve"> PAGEREF _Toc77781937 \h </w:instrText>
          </w:r>
          <w:r>
            <w:rPr>
              <w:rFonts w:ascii="Times New Roman" w:hAnsi="Times New Roman" w:eastAsiaTheme="minorEastAsia"/>
              <w:sz w:val="24"/>
              <w:szCs w:val="24"/>
              <w:highlight w:val="none"/>
            </w:rPr>
            <w:fldChar w:fldCharType="separate"/>
          </w:r>
          <w:r>
            <w:rPr>
              <w:rFonts w:ascii="Times New Roman" w:hAnsi="Times New Roman" w:eastAsiaTheme="minorEastAsia"/>
              <w:sz w:val="24"/>
              <w:szCs w:val="24"/>
              <w:highlight w:val="none"/>
            </w:rPr>
            <w:t>204</w:t>
          </w:r>
          <w:r>
            <w:rPr>
              <w:rFonts w:ascii="Times New Roman" w:hAnsi="Times New Roman" w:eastAsiaTheme="minorEastAsia"/>
              <w:sz w:val="24"/>
              <w:szCs w:val="24"/>
              <w:highlight w:val="none"/>
            </w:rPr>
            <w:fldChar w:fldCharType="end"/>
          </w:r>
        </w:p>
        <w:p>
          <w:pPr>
            <w:pStyle w:val="28"/>
            <w:tabs>
              <w:tab w:val="right" w:leader="dot" w:pos="9060"/>
            </w:tabs>
            <w:spacing w:line="360" w:lineRule="auto"/>
            <w:rPr>
              <w:rFonts w:ascii="Times New Roman" w:hAnsi="Times New Roman" w:eastAsiaTheme="minorEastAsia"/>
              <w:smallCaps w:val="0"/>
              <w:sz w:val="24"/>
              <w:szCs w:val="24"/>
              <w:highlight w:val="none"/>
            </w:rPr>
          </w:pPr>
          <w:r>
            <w:rPr>
              <w:rFonts w:ascii="Times New Roman" w:hAnsi="Times New Roman" w:eastAsiaTheme="minorEastAsia"/>
              <w:sz w:val="24"/>
              <w:szCs w:val="24"/>
              <w:highlight w:val="none"/>
            </w:rPr>
            <w:t>第二节对环境可能造成的影响分析</w:t>
          </w:r>
          <w:r>
            <w:rPr>
              <w:rFonts w:ascii="Times New Roman" w:hAnsi="Times New Roman" w:eastAsiaTheme="minorEastAsia"/>
              <w:sz w:val="24"/>
              <w:szCs w:val="24"/>
              <w:highlight w:val="none"/>
            </w:rPr>
            <w:tab/>
          </w:r>
          <w:r>
            <w:rPr>
              <w:rFonts w:ascii="Times New Roman" w:hAnsi="Times New Roman" w:eastAsiaTheme="minorEastAsia"/>
              <w:sz w:val="24"/>
              <w:szCs w:val="24"/>
              <w:highlight w:val="none"/>
            </w:rPr>
            <w:fldChar w:fldCharType="begin"/>
          </w:r>
          <w:r>
            <w:rPr>
              <w:rFonts w:ascii="Times New Roman" w:hAnsi="Times New Roman" w:eastAsiaTheme="minorEastAsia"/>
              <w:sz w:val="24"/>
              <w:szCs w:val="24"/>
              <w:highlight w:val="none"/>
            </w:rPr>
            <w:instrText xml:space="preserve"> PAGEREF _Toc77781938 \h </w:instrText>
          </w:r>
          <w:r>
            <w:rPr>
              <w:rFonts w:ascii="Times New Roman" w:hAnsi="Times New Roman" w:eastAsiaTheme="minorEastAsia"/>
              <w:sz w:val="24"/>
              <w:szCs w:val="24"/>
              <w:highlight w:val="none"/>
            </w:rPr>
            <w:fldChar w:fldCharType="separate"/>
          </w:r>
          <w:r>
            <w:rPr>
              <w:rFonts w:ascii="Times New Roman" w:hAnsi="Times New Roman" w:eastAsiaTheme="minorEastAsia"/>
              <w:sz w:val="24"/>
              <w:szCs w:val="24"/>
              <w:highlight w:val="none"/>
            </w:rPr>
            <w:t>205</w:t>
          </w:r>
          <w:r>
            <w:rPr>
              <w:rFonts w:ascii="Times New Roman" w:hAnsi="Times New Roman" w:eastAsiaTheme="minorEastAsia"/>
              <w:sz w:val="24"/>
              <w:szCs w:val="24"/>
              <w:highlight w:val="none"/>
            </w:rPr>
            <w:fldChar w:fldCharType="end"/>
          </w:r>
        </w:p>
        <w:p>
          <w:pPr>
            <w:pStyle w:val="28"/>
            <w:tabs>
              <w:tab w:val="right" w:leader="dot" w:pos="9060"/>
            </w:tabs>
            <w:spacing w:line="360" w:lineRule="auto"/>
            <w:rPr>
              <w:rFonts w:ascii="Times New Roman" w:hAnsi="Times New Roman" w:eastAsiaTheme="minorEastAsia"/>
              <w:smallCaps w:val="0"/>
              <w:sz w:val="24"/>
              <w:szCs w:val="24"/>
              <w:highlight w:val="none"/>
            </w:rPr>
          </w:pPr>
          <w:r>
            <w:rPr>
              <w:rFonts w:ascii="Times New Roman" w:hAnsi="Times New Roman" w:eastAsiaTheme="minorEastAsia"/>
              <w:sz w:val="24"/>
              <w:szCs w:val="24"/>
              <w:highlight w:val="none"/>
            </w:rPr>
            <w:t>第三节环境保护规划</w:t>
          </w:r>
          <w:r>
            <w:rPr>
              <w:rFonts w:ascii="Times New Roman" w:hAnsi="Times New Roman" w:eastAsiaTheme="minorEastAsia"/>
              <w:sz w:val="24"/>
              <w:szCs w:val="24"/>
              <w:highlight w:val="none"/>
            </w:rPr>
            <w:tab/>
          </w:r>
          <w:r>
            <w:rPr>
              <w:rFonts w:ascii="Times New Roman" w:hAnsi="Times New Roman" w:eastAsiaTheme="minorEastAsia"/>
              <w:sz w:val="24"/>
              <w:szCs w:val="24"/>
              <w:highlight w:val="none"/>
            </w:rPr>
            <w:fldChar w:fldCharType="begin"/>
          </w:r>
          <w:r>
            <w:rPr>
              <w:rFonts w:ascii="Times New Roman" w:hAnsi="Times New Roman" w:eastAsiaTheme="minorEastAsia"/>
              <w:sz w:val="24"/>
              <w:szCs w:val="24"/>
              <w:highlight w:val="none"/>
            </w:rPr>
            <w:instrText xml:space="preserve"> PAGEREF _Toc77781939 \h </w:instrText>
          </w:r>
          <w:r>
            <w:rPr>
              <w:rFonts w:ascii="Times New Roman" w:hAnsi="Times New Roman" w:eastAsiaTheme="minorEastAsia"/>
              <w:sz w:val="24"/>
              <w:szCs w:val="24"/>
              <w:highlight w:val="none"/>
            </w:rPr>
            <w:fldChar w:fldCharType="separate"/>
          </w:r>
          <w:r>
            <w:rPr>
              <w:rFonts w:ascii="Times New Roman" w:hAnsi="Times New Roman" w:eastAsiaTheme="minorEastAsia"/>
              <w:sz w:val="24"/>
              <w:szCs w:val="24"/>
              <w:highlight w:val="none"/>
            </w:rPr>
            <w:t>209</w:t>
          </w:r>
          <w:r>
            <w:rPr>
              <w:rFonts w:ascii="Times New Roman" w:hAnsi="Times New Roman" w:eastAsiaTheme="minorEastAsia"/>
              <w:sz w:val="24"/>
              <w:szCs w:val="24"/>
              <w:highlight w:val="none"/>
            </w:rPr>
            <w:fldChar w:fldCharType="end"/>
          </w:r>
        </w:p>
        <w:p>
          <w:pPr>
            <w:pStyle w:val="28"/>
            <w:tabs>
              <w:tab w:val="right" w:leader="dot" w:pos="9060"/>
            </w:tabs>
            <w:spacing w:line="360" w:lineRule="auto"/>
            <w:rPr>
              <w:rFonts w:ascii="Times New Roman" w:hAnsi="Times New Roman" w:eastAsiaTheme="minorEastAsia"/>
              <w:smallCaps w:val="0"/>
              <w:sz w:val="24"/>
              <w:szCs w:val="24"/>
              <w:highlight w:val="none"/>
            </w:rPr>
          </w:pPr>
          <w:r>
            <w:rPr>
              <w:rFonts w:ascii="Times New Roman" w:hAnsi="Times New Roman" w:eastAsiaTheme="minorEastAsia"/>
              <w:sz w:val="24"/>
              <w:szCs w:val="24"/>
              <w:highlight w:val="none"/>
            </w:rPr>
            <w:t>第四节环境影响评价</w:t>
          </w:r>
          <w:r>
            <w:rPr>
              <w:rFonts w:ascii="Times New Roman" w:hAnsi="Times New Roman" w:eastAsiaTheme="minorEastAsia"/>
              <w:sz w:val="24"/>
              <w:szCs w:val="24"/>
              <w:highlight w:val="none"/>
            </w:rPr>
            <w:tab/>
          </w:r>
          <w:r>
            <w:rPr>
              <w:rFonts w:ascii="Times New Roman" w:hAnsi="Times New Roman" w:eastAsiaTheme="minorEastAsia"/>
              <w:sz w:val="24"/>
              <w:szCs w:val="24"/>
              <w:highlight w:val="none"/>
            </w:rPr>
            <w:fldChar w:fldCharType="begin"/>
          </w:r>
          <w:r>
            <w:rPr>
              <w:rFonts w:ascii="Times New Roman" w:hAnsi="Times New Roman" w:eastAsiaTheme="minorEastAsia"/>
              <w:sz w:val="24"/>
              <w:szCs w:val="24"/>
              <w:highlight w:val="none"/>
            </w:rPr>
            <w:instrText xml:space="preserve"> PAGEREF _Toc77781940 \h </w:instrText>
          </w:r>
          <w:r>
            <w:rPr>
              <w:rFonts w:ascii="Times New Roman" w:hAnsi="Times New Roman" w:eastAsiaTheme="minorEastAsia"/>
              <w:sz w:val="24"/>
              <w:szCs w:val="24"/>
              <w:highlight w:val="none"/>
            </w:rPr>
            <w:fldChar w:fldCharType="separate"/>
          </w:r>
          <w:r>
            <w:rPr>
              <w:rFonts w:ascii="Times New Roman" w:hAnsi="Times New Roman" w:eastAsiaTheme="minorEastAsia"/>
              <w:sz w:val="24"/>
              <w:szCs w:val="24"/>
              <w:highlight w:val="none"/>
            </w:rPr>
            <w:t>213</w:t>
          </w:r>
          <w:r>
            <w:rPr>
              <w:rFonts w:ascii="Times New Roman" w:hAnsi="Times New Roman" w:eastAsiaTheme="minorEastAsia"/>
              <w:sz w:val="24"/>
              <w:szCs w:val="24"/>
              <w:highlight w:val="none"/>
            </w:rPr>
            <w:fldChar w:fldCharType="end"/>
          </w:r>
        </w:p>
        <w:p>
          <w:pPr>
            <w:pStyle w:val="24"/>
            <w:tabs>
              <w:tab w:val="right" w:leader="dot" w:pos="9060"/>
            </w:tabs>
            <w:spacing w:before="0" w:after="0" w:line="360" w:lineRule="auto"/>
            <w:rPr>
              <w:rFonts w:ascii="Times New Roman" w:hAnsi="Times New Roman" w:eastAsiaTheme="minorEastAsia"/>
              <w:b w:val="0"/>
              <w:bCs w:val="0"/>
              <w:caps w:val="0"/>
              <w:sz w:val="24"/>
              <w:szCs w:val="24"/>
              <w:highlight w:val="none"/>
            </w:rPr>
          </w:pPr>
          <w:r>
            <w:rPr>
              <w:rFonts w:ascii="Times New Roman" w:hAnsi="Times New Roman" w:eastAsiaTheme="minorEastAsia"/>
              <w:b w:val="0"/>
              <w:sz w:val="24"/>
              <w:szCs w:val="24"/>
              <w:highlight w:val="none"/>
            </w:rPr>
            <w:t>第八章 资金需求及实施效果</w:t>
          </w:r>
          <w:r>
            <w:rPr>
              <w:rFonts w:ascii="Times New Roman" w:hAnsi="Times New Roman" w:eastAsiaTheme="minorEastAsia"/>
              <w:b w:val="0"/>
              <w:sz w:val="24"/>
              <w:szCs w:val="24"/>
              <w:highlight w:val="none"/>
            </w:rPr>
            <w:tab/>
          </w:r>
          <w:r>
            <w:rPr>
              <w:rFonts w:ascii="Times New Roman" w:hAnsi="Times New Roman" w:eastAsiaTheme="minorEastAsia"/>
              <w:b w:val="0"/>
              <w:sz w:val="24"/>
              <w:szCs w:val="24"/>
              <w:highlight w:val="none"/>
            </w:rPr>
            <w:fldChar w:fldCharType="begin"/>
          </w:r>
          <w:r>
            <w:rPr>
              <w:rFonts w:ascii="Times New Roman" w:hAnsi="Times New Roman" w:eastAsiaTheme="minorEastAsia"/>
              <w:b w:val="0"/>
              <w:sz w:val="24"/>
              <w:szCs w:val="24"/>
              <w:highlight w:val="none"/>
            </w:rPr>
            <w:instrText xml:space="preserve"> PAGEREF _Toc77781941 \h </w:instrText>
          </w:r>
          <w:r>
            <w:rPr>
              <w:rFonts w:ascii="Times New Roman" w:hAnsi="Times New Roman" w:eastAsiaTheme="minorEastAsia"/>
              <w:b w:val="0"/>
              <w:sz w:val="24"/>
              <w:szCs w:val="24"/>
              <w:highlight w:val="none"/>
            </w:rPr>
            <w:fldChar w:fldCharType="separate"/>
          </w:r>
          <w:r>
            <w:rPr>
              <w:rFonts w:ascii="Times New Roman" w:hAnsi="Times New Roman" w:eastAsiaTheme="minorEastAsia"/>
              <w:b w:val="0"/>
              <w:sz w:val="24"/>
              <w:szCs w:val="24"/>
              <w:highlight w:val="none"/>
            </w:rPr>
            <w:t>219</w:t>
          </w:r>
          <w:r>
            <w:rPr>
              <w:rFonts w:ascii="Times New Roman" w:hAnsi="Times New Roman" w:eastAsiaTheme="minorEastAsia"/>
              <w:b w:val="0"/>
              <w:sz w:val="24"/>
              <w:szCs w:val="24"/>
              <w:highlight w:val="none"/>
            </w:rPr>
            <w:fldChar w:fldCharType="end"/>
          </w:r>
        </w:p>
        <w:p>
          <w:pPr>
            <w:pStyle w:val="28"/>
            <w:tabs>
              <w:tab w:val="right" w:leader="dot" w:pos="9060"/>
            </w:tabs>
            <w:spacing w:line="360" w:lineRule="auto"/>
            <w:rPr>
              <w:rFonts w:ascii="Times New Roman" w:hAnsi="Times New Roman" w:eastAsiaTheme="minorEastAsia"/>
              <w:smallCaps w:val="0"/>
              <w:sz w:val="24"/>
              <w:szCs w:val="24"/>
              <w:highlight w:val="none"/>
            </w:rPr>
          </w:pPr>
          <w:r>
            <w:rPr>
              <w:rFonts w:ascii="Times New Roman" w:hAnsi="Times New Roman" w:eastAsiaTheme="minorEastAsia"/>
              <w:sz w:val="24"/>
              <w:szCs w:val="24"/>
              <w:highlight w:val="none"/>
            </w:rPr>
            <w:t>第一节实施建议</w:t>
          </w:r>
          <w:r>
            <w:rPr>
              <w:rFonts w:ascii="Times New Roman" w:hAnsi="Times New Roman" w:eastAsiaTheme="minorEastAsia"/>
              <w:sz w:val="24"/>
              <w:szCs w:val="24"/>
              <w:highlight w:val="none"/>
            </w:rPr>
            <w:tab/>
          </w:r>
          <w:r>
            <w:rPr>
              <w:rFonts w:ascii="Times New Roman" w:hAnsi="Times New Roman" w:eastAsiaTheme="minorEastAsia"/>
              <w:sz w:val="24"/>
              <w:szCs w:val="24"/>
              <w:highlight w:val="none"/>
            </w:rPr>
            <w:fldChar w:fldCharType="begin"/>
          </w:r>
          <w:r>
            <w:rPr>
              <w:rFonts w:ascii="Times New Roman" w:hAnsi="Times New Roman" w:eastAsiaTheme="minorEastAsia"/>
              <w:sz w:val="24"/>
              <w:szCs w:val="24"/>
              <w:highlight w:val="none"/>
            </w:rPr>
            <w:instrText xml:space="preserve"> PAGEREF _Toc77781942 \h </w:instrText>
          </w:r>
          <w:r>
            <w:rPr>
              <w:rFonts w:ascii="Times New Roman" w:hAnsi="Times New Roman" w:eastAsiaTheme="minorEastAsia"/>
              <w:sz w:val="24"/>
              <w:szCs w:val="24"/>
              <w:highlight w:val="none"/>
            </w:rPr>
            <w:fldChar w:fldCharType="separate"/>
          </w:r>
          <w:r>
            <w:rPr>
              <w:rFonts w:ascii="Times New Roman" w:hAnsi="Times New Roman" w:eastAsiaTheme="minorEastAsia"/>
              <w:sz w:val="24"/>
              <w:szCs w:val="24"/>
              <w:highlight w:val="none"/>
            </w:rPr>
            <w:t>219</w:t>
          </w:r>
          <w:r>
            <w:rPr>
              <w:rFonts w:ascii="Times New Roman" w:hAnsi="Times New Roman" w:eastAsiaTheme="minorEastAsia"/>
              <w:sz w:val="24"/>
              <w:szCs w:val="24"/>
              <w:highlight w:val="none"/>
            </w:rPr>
            <w:fldChar w:fldCharType="end"/>
          </w:r>
        </w:p>
        <w:p>
          <w:pPr>
            <w:pStyle w:val="28"/>
            <w:tabs>
              <w:tab w:val="right" w:leader="dot" w:pos="9060"/>
            </w:tabs>
            <w:spacing w:line="360" w:lineRule="auto"/>
            <w:rPr>
              <w:rFonts w:ascii="Times New Roman" w:hAnsi="Times New Roman" w:eastAsiaTheme="minorEastAsia"/>
              <w:smallCaps w:val="0"/>
              <w:sz w:val="24"/>
              <w:szCs w:val="24"/>
              <w:highlight w:val="none"/>
            </w:rPr>
          </w:pPr>
          <w:r>
            <w:rPr>
              <w:rFonts w:ascii="Times New Roman" w:hAnsi="Times New Roman" w:eastAsiaTheme="minorEastAsia"/>
              <w:sz w:val="24"/>
              <w:szCs w:val="24"/>
              <w:highlight w:val="none"/>
            </w:rPr>
            <w:t>第二节资金需求</w:t>
          </w:r>
          <w:r>
            <w:rPr>
              <w:rFonts w:ascii="Times New Roman" w:hAnsi="Times New Roman" w:eastAsiaTheme="minorEastAsia"/>
              <w:sz w:val="24"/>
              <w:szCs w:val="24"/>
              <w:highlight w:val="none"/>
            </w:rPr>
            <w:tab/>
          </w:r>
          <w:r>
            <w:rPr>
              <w:rFonts w:ascii="Times New Roman" w:hAnsi="Times New Roman" w:eastAsiaTheme="minorEastAsia"/>
              <w:sz w:val="24"/>
              <w:szCs w:val="24"/>
              <w:highlight w:val="none"/>
            </w:rPr>
            <w:fldChar w:fldCharType="begin"/>
          </w:r>
          <w:r>
            <w:rPr>
              <w:rFonts w:ascii="Times New Roman" w:hAnsi="Times New Roman" w:eastAsiaTheme="minorEastAsia"/>
              <w:sz w:val="24"/>
              <w:szCs w:val="24"/>
              <w:highlight w:val="none"/>
            </w:rPr>
            <w:instrText xml:space="preserve"> PAGEREF _Toc77781943 \h </w:instrText>
          </w:r>
          <w:r>
            <w:rPr>
              <w:rFonts w:ascii="Times New Roman" w:hAnsi="Times New Roman" w:eastAsiaTheme="minorEastAsia"/>
              <w:sz w:val="24"/>
              <w:szCs w:val="24"/>
              <w:highlight w:val="none"/>
            </w:rPr>
            <w:fldChar w:fldCharType="separate"/>
          </w:r>
          <w:r>
            <w:rPr>
              <w:rFonts w:ascii="Times New Roman" w:hAnsi="Times New Roman" w:eastAsiaTheme="minorEastAsia"/>
              <w:sz w:val="24"/>
              <w:szCs w:val="24"/>
              <w:highlight w:val="none"/>
            </w:rPr>
            <w:t>220</w:t>
          </w:r>
          <w:r>
            <w:rPr>
              <w:rFonts w:ascii="Times New Roman" w:hAnsi="Times New Roman" w:eastAsiaTheme="minorEastAsia"/>
              <w:sz w:val="24"/>
              <w:szCs w:val="24"/>
              <w:highlight w:val="none"/>
            </w:rPr>
            <w:fldChar w:fldCharType="end"/>
          </w:r>
        </w:p>
        <w:p>
          <w:pPr>
            <w:pStyle w:val="28"/>
            <w:tabs>
              <w:tab w:val="right" w:leader="dot" w:pos="9060"/>
            </w:tabs>
            <w:spacing w:line="360" w:lineRule="auto"/>
            <w:rPr>
              <w:rFonts w:ascii="Times New Roman" w:hAnsi="Times New Roman" w:eastAsiaTheme="minorEastAsia"/>
              <w:smallCaps w:val="0"/>
              <w:sz w:val="24"/>
              <w:szCs w:val="24"/>
              <w:highlight w:val="none"/>
            </w:rPr>
          </w:pPr>
          <w:r>
            <w:rPr>
              <w:rFonts w:ascii="Times New Roman" w:hAnsi="Times New Roman" w:eastAsiaTheme="minorEastAsia"/>
              <w:sz w:val="24"/>
              <w:szCs w:val="24"/>
              <w:highlight w:val="none"/>
            </w:rPr>
            <w:t>第三节效果展望</w:t>
          </w:r>
          <w:r>
            <w:rPr>
              <w:rFonts w:ascii="Times New Roman" w:hAnsi="Times New Roman" w:eastAsiaTheme="minorEastAsia"/>
              <w:sz w:val="24"/>
              <w:szCs w:val="24"/>
              <w:highlight w:val="none"/>
            </w:rPr>
            <w:tab/>
          </w:r>
          <w:r>
            <w:rPr>
              <w:rFonts w:ascii="Times New Roman" w:hAnsi="Times New Roman" w:eastAsiaTheme="minorEastAsia"/>
              <w:sz w:val="24"/>
              <w:szCs w:val="24"/>
              <w:highlight w:val="none"/>
            </w:rPr>
            <w:fldChar w:fldCharType="begin"/>
          </w:r>
          <w:r>
            <w:rPr>
              <w:rFonts w:ascii="Times New Roman" w:hAnsi="Times New Roman" w:eastAsiaTheme="minorEastAsia"/>
              <w:sz w:val="24"/>
              <w:szCs w:val="24"/>
              <w:highlight w:val="none"/>
            </w:rPr>
            <w:instrText xml:space="preserve"> PAGEREF _Toc77781944 \h </w:instrText>
          </w:r>
          <w:r>
            <w:rPr>
              <w:rFonts w:ascii="Times New Roman" w:hAnsi="Times New Roman" w:eastAsiaTheme="minorEastAsia"/>
              <w:sz w:val="24"/>
              <w:szCs w:val="24"/>
              <w:highlight w:val="none"/>
            </w:rPr>
            <w:fldChar w:fldCharType="separate"/>
          </w:r>
          <w:r>
            <w:rPr>
              <w:rFonts w:ascii="Times New Roman" w:hAnsi="Times New Roman" w:eastAsiaTheme="minorEastAsia"/>
              <w:sz w:val="24"/>
              <w:szCs w:val="24"/>
              <w:highlight w:val="none"/>
            </w:rPr>
            <w:t>220</w:t>
          </w:r>
          <w:r>
            <w:rPr>
              <w:rFonts w:ascii="Times New Roman" w:hAnsi="Times New Roman" w:eastAsiaTheme="minorEastAsia"/>
              <w:sz w:val="24"/>
              <w:szCs w:val="24"/>
              <w:highlight w:val="none"/>
            </w:rPr>
            <w:fldChar w:fldCharType="end"/>
          </w:r>
        </w:p>
        <w:p>
          <w:pPr>
            <w:pStyle w:val="24"/>
            <w:tabs>
              <w:tab w:val="right" w:leader="dot" w:pos="9060"/>
            </w:tabs>
            <w:spacing w:before="0" w:after="0" w:line="360" w:lineRule="auto"/>
            <w:rPr>
              <w:rFonts w:ascii="Times New Roman" w:hAnsi="Times New Roman" w:eastAsiaTheme="minorEastAsia"/>
              <w:b w:val="0"/>
              <w:bCs w:val="0"/>
              <w:caps w:val="0"/>
              <w:sz w:val="24"/>
              <w:szCs w:val="24"/>
              <w:highlight w:val="none"/>
            </w:rPr>
          </w:pPr>
          <w:r>
            <w:rPr>
              <w:rFonts w:ascii="Times New Roman" w:hAnsi="Times New Roman" w:eastAsiaTheme="minorEastAsia"/>
              <w:b w:val="0"/>
              <w:sz w:val="24"/>
              <w:szCs w:val="24"/>
              <w:highlight w:val="none"/>
            </w:rPr>
            <w:t>第九章 港口总体规划与相关规划关系</w:t>
          </w:r>
          <w:r>
            <w:rPr>
              <w:rFonts w:ascii="Times New Roman" w:hAnsi="Times New Roman" w:eastAsiaTheme="minorEastAsia"/>
              <w:b w:val="0"/>
              <w:sz w:val="24"/>
              <w:szCs w:val="24"/>
              <w:highlight w:val="none"/>
            </w:rPr>
            <w:tab/>
          </w:r>
          <w:r>
            <w:rPr>
              <w:rFonts w:ascii="Times New Roman" w:hAnsi="Times New Roman" w:eastAsiaTheme="minorEastAsia"/>
              <w:b w:val="0"/>
              <w:sz w:val="24"/>
              <w:szCs w:val="24"/>
              <w:highlight w:val="none"/>
            </w:rPr>
            <w:fldChar w:fldCharType="begin"/>
          </w:r>
          <w:r>
            <w:rPr>
              <w:rFonts w:ascii="Times New Roman" w:hAnsi="Times New Roman" w:eastAsiaTheme="minorEastAsia"/>
              <w:b w:val="0"/>
              <w:sz w:val="24"/>
              <w:szCs w:val="24"/>
              <w:highlight w:val="none"/>
            </w:rPr>
            <w:instrText xml:space="preserve"> PAGEREF _Toc77781945 \h </w:instrText>
          </w:r>
          <w:r>
            <w:rPr>
              <w:rFonts w:ascii="Times New Roman" w:hAnsi="Times New Roman" w:eastAsiaTheme="minorEastAsia"/>
              <w:b w:val="0"/>
              <w:sz w:val="24"/>
              <w:szCs w:val="24"/>
              <w:highlight w:val="none"/>
            </w:rPr>
            <w:fldChar w:fldCharType="separate"/>
          </w:r>
          <w:r>
            <w:rPr>
              <w:rFonts w:ascii="Times New Roman" w:hAnsi="Times New Roman" w:eastAsiaTheme="minorEastAsia"/>
              <w:b w:val="0"/>
              <w:sz w:val="24"/>
              <w:szCs w:val="24"/>
              <w:highlight w:val="none"/>
            </w:rPr>
            <w:t>227</w:t>
          </w:r>
          <w:r>
            <w:rPr>
              <w:rFonts w:ascii="Times New Roman" w:hAnsi="Times New Roman" w:eastAsiaTheme="minorEastAsia"/>
              <w:b w:val="0"/>
              <w:sz w:val="24"/>
              <w:szCs w:val="24"/>
              <w:highlight w:val="none"/>
            </w:rPr>
            <w:fldChar w:fldCharType="end"/>
          </w:r>
        </w:p>
        <w:p>
          <w:pPr>
            <w:pStyle w:val="24"/>
            <w:tabs>
              <w:tab w:val="right" w:leader="dot" w:pos="9060"/>
            </w:tabs>
            <w:spacing w:before="0" w:after="0" w:line="360" w:lineRule="auto"/>
            <w:rPr>
              <w:rFonts w:ascii="Times New Roman" w:hAnsi="Times New Roman" w:eastAsiaTheme="minorEastAsia"/>
              <w:b w:val="0"/>
              <w:bCs w:val="0"/>
              <w:caps w:val="0"/>
              <w:sz w:val="24"/>
              <w:szCs w:val="24"/>
              <w:highlight w:val="none"/>
            </w:rPr>
          </w:pPr>
          <w:r>
            <w:rPr>
              <w:rFonts w:ascii="Times New Roman" w:hAnsi="Times New Roman" w:eastAsiaTheme="minorEastAsia"/>
              <w:b w:val="0"/>
              <w:sz w:val="24"/>
              <w:szCs w:val="24"/>
              <w:highlight w:val="none"/>
            </w:rPr>
            <w:t>第十章 问题与建议</w:t>
          </w:r>
          <w:r>
            <w:rPr>
              <w:rFonts w:ascii="Times New Roman" w:hAnsi="Times New Roman" w:eastAsiaTheme="minorEastAsia"/>
              <w:b w:val="0"/>
              <w:sz w:val="24"/>
              <w:szCs w:val="24"/>
              <w:highlight w:val="none"/>
            </w:rPr>
            <w:tab/>
          </w:r>
          <w:r>
            <w:rPr>
              <w:rFonts w:ascii="Times New Roman" w:hAnsi="Times New Roman" w:eastAsiaTheme="minorEastAsia"/>
              <w:b w:val="0"/>
              <w:sz w:val="24"/>
              <w:szCs w:val="24"/>
              <w:highlight w:val="none"/>
            </w:rPr>
            <w:fldChar w:fldCharType="begin"/>
          </w:r>
          <w:r>
            <w:rPr>
              <w:rFonts w:ascii="Times New Roman" w:hAnsi="Times New Roman" w:eastAsiaTheme="minorEastAsia"/>
              <w:b w:val="0"/>
              <w:sz w:val="24"/>
              <w:szCs w:val="24"/>
              <w:highlight w:val="none"/>
            </w:rPr>
            <w:instrText xml:space="preserve"> PAGEREF _Toc77781946 \h </w:instrText>
          </w:r>
          <w:r>
            <w:rPr>
              <w:rFonts w:ascii="Times New Roman" w:hAnsi="Times New Roman" w:eastAsiaTheme="minorEastAsia"/>
              <w:b w:val="0"/>
              <w:sz w:val="24"/>
              <w:szCs w:val="24"/>
              <w:highlight w:val="none"/>
            </w:rPr>
            <w:fldChar w:fldCharType="separate"/>
          </w:r>
          <w:r>
            <w:rPr>
              <w:rFonts w:ascii="Times New Roman" w:hAnsi="Times New Roman" w:eastAsiaTheme="minorEastAsia"/>
              <w:b w:val="0"/>
              <w:sz w:val="24"/>
              <w:szCs w:val="24"/>
              <w:highlight w:val="none"/>
            </w:rPr>
            <w:t>231</w:t>
          </w:r>
          <w:r>
            <w:rPr>
              <w:rFonts w:ascii="Times New Roman" w:hAnsi="Times New Roman" w:eastAsiaTheme="minorEastAsia"/>
              <w:b w:val="0"/>
              <w:sz w:val="24"/>
              <w:szCs w:val="24"/>
              <w:highlight w:val="none"/>
            </w:rPr>
            <w:fldChar w:fldCharType="end"/>
          </w:r>
        </w:p>
        <w:p>
          <w:pPr>
            <w:pStyle w:val="24"/>
            <w:tabs>
              <w:tab w:val="right" w:leader="dot" w:pos="9060"/>
            </w:tabs>
            <w:spacing w:before="0" w:after="0" w:line="360" w:lineRule="auto"/>
            <w:rPr>
              <w:rFonts w:ascii="Times New Roman" w:hAnsi="Times New Roman"/>
              <w:highlight w:val="none"/>
            </w:rPr>
          </w:pPr>
          <w:r>
            <w:rPr>
              <w:rFonts w:asciiTheme="minorEastAsia" w:hAnsiTheme="minorEastAsia" w:eastAsiaTheme="minorEastAsia"/>
              <w:b w:val="0"/>
              <w:bCs w:val="0"/>
              <w:caps w:val="0"/>
              <w:sz w:val="24"/>
              <w:szCs w:val="24"/>
              <w:highlight w:val="none"/>
            </w:rPr>
            <w:fldChar w:fldCharType="end"/>
          </w:r>
        </w:p>
      </w:sdtContent>
    </w:sdt>
    <w:p>
      <w:pPr>
        <w:pStyle w:val="14"/>
        <w:spacing w:before="156" w:beforeLines="50" w:line="520" w:lineRule="exact"/>
        <w:jc w:val="center"/>
        <w:outlineLvl w:val="0"/>
        <w:rPr>
          <w:rFonts w:ascii="Times New Roman" w:hAnsi="Times New Roman" w:eastAsia="黑体" w:cs="Times New Roman"/>
          <w:b/>
          <w:bCs/>
          <w:sz w:val="32"/>
          <w:highlight w:val="none"/>
        </w:rPr>
      </w:pPr>
    </w:p>
    <w:p>
      <w:pPr>
        <w:widowControl/>
        <w:jc w:val="left"/>
        <w:rPr>
          <w:rFonts w:eastAsia="黑体"/>
          <w:b/>
          <w:bCs/>
          <w:sz w:val="32"/>
          <w:highlight w:val="none"/>
        </w:rPr>
        <w:sectPr>
          <w:footerReference r:id="rId5" w:type="default"/>
          <w:pgSz w:w="11906" w:h="16838"/>
          <w:pgMar w:top="1440" w:right="1418" w:bottom="1440" w:left="1418" w:header="851" w:footer="992" w:gutter="0"/>
          <w:pgNumType w:start="1"/>
          <w:cols w:space="425" w:num="1"/>
          <w:docGrid w:type="lines" w:linePitch="312" w:charSpace="0"/>
        </w:sectPr>
      </w:pPr>
    </w:p>
    <w:p>
      <w:pPr>
        <w:pStyle w:val="14"/>
        <w:spacing w:before="156" w:beforeLines="50" w:line="520" w:lineRule="exact"/>
        <w:jc w:val="center"/>
        <w:outlineLvl w:val="0"/>
        <w:rPr>
          <w:rFonts w:ascii="Times New Roman" w:hAnsi="Times New Roman" w:eastAsia="黑体" w:cs="Times New Roman"/>
          <w:b/>
          <w:bCs/>
          <w:sz w:val="32"/>
          <w:highlight w:val="none"/>
        </w:rPr>
      </w:pPr>
      <w:bookmarkStart w:id="1" w:name="_Toc39688263"/>
      <w:bookmarkStart w:id="2" w:name="_Toc77781858"/>
      <w:bookmarkStart w:id="3" w:name="_Toc67908198"/>
      <w:r>
        <w:rPr>
          <w:rFonts w:ascii="Times New Roman" w:hAnsi="Times New Roman" w:eastAsia="黑体" w:cs="Times New Roman"/>
          <w:b/>
          <w:bCs/>
          <w:sz w:val="32"/>
          <w:highlight w:val="none"/>
        </w:rPr>
        <w:t>前 言</w:t>
      </w:r>
      <w:bookmarkEnd w:id="1"/>
      <w:bookmarkEnd w:id="2"/>
      <w:bookmarkEnd w:id="3"/>
    </w:p>
    <w:p>
      <w:pPr>
        <w:spacing w:line="360" w:lineRule="auto"/>
        <w:ind w:firstLine="562" w:firstLineChars="200"/>
        <w:rPr>
          <w:rFonts w:eastAsia="黑体"/>
          <w:b/>
          <w:sz w:val="28"/>
          <w:szCs w:val="28"/>
          <w:highlight w:val="none"/>
        </w:rPr>
      </w:pPr>
      <w:r>
        <w:rPr>
          <w:rFonts w:eastAsia="黑体"/>
          <w:b/>
          <w:sz w:val="28"/>
          <w:szCs w:val="28"/>
          <w:highlight w:val="none"/>
        </w:rPr>
        <w:t>一、规划背景</w:t>
      </w:r>
    </w:p>
    <w:p>
      <w:pPr>
        <w:pStyle w:val="14"/>
        <w:spacing w:after="0" w:line="360" w:lineRule="auto"/>
        <w:ind w:firstLine="560" w:firstLineChars="200"/>
        <w:rPr>
          <w:rFonts w:ascii="Times New Roman" w:hAnsi="Times New Roman" w:eastAsia="宋体" w:cs="Times New Roman"/>
          <w:sz w:val="28"/>
          <w:szCs w:val="28"/>
          <w:highlight w:val="none"/>
        </w:rPr>
      </w:pPr>
      <w:r>
        <w:rPr>
          <w:rFonts w:hint="eastAsia" w:ascii="Times New Roman" w:hAnsi="Times New Roman" w:eastAsia="宋体" w:cs="Times New Roman"/>
          <w:color w:val="000000" w:themeColor="text1"/>
          <w:sz w:val="28"/>
          <w:szCs w:val="28"/>
          <w:highlight w:val="none"/>
          <w14:textFill>
            <w14:solidFill>
              <w14:schemeClr w14:val="tx1"/>
            </w14:solidFill>
          </w14:textFill>
        </w:rPr>
        <w:t>乐山位于“一带一路”和长江经济带交汇处，是四川省“四向八廊”综合交通运输大通道中川滇走廊的重要节点，是成都平原经济区通江达海的重要门户和南向开发开放的“桥头堡”，是成渝地区双城经济圈区域性综合交通枢纽。乐山市北与眉山市接壤，</w:t>
      </w:r>
      <w:r>
        <w:rPr>
          <w:rFonts w:ascii="Times New Roman" w:hAnsi="Times New Roman" w:eastAsia="宋体" w:cs="Times New Roman"/>
          <w:sz w:val="28"/>
          <w:szCs w:val="28"/>
          <w:highlight w:val="none"/>
        </w:rPr>
        <w:t>东与自贡、宜宾毗邻，南与凉山相接，西与雅安连界，地处南丝绸之路、长江经济带交汇点，成都、川南、攀西经济区结合部。</w:t>
      </w:r>
      <w:r>
        <w:rPr>
          <w:rFonts w:ascii="Times New Roman" w:hAnsi="Times New Roman" w:cs="Times New Roman"/>
          <w:sz w:val="28"/>
          <w:szCs w:val="28"/>
          <w:highlight w:val="none"/>
        </w:rPr>
        <w:t>乐山市位于国家高等级航道岷江下游，距成都市约120公里，</w:t>
      </w:r>
      <w:r>
        <w:rPr>
          <w:rFonts w:ascii="Times New Roman" w:hAnsi="Times New Roman" w:eastAsia="宋体" w:cs="Times New Roman"/>
          <w:sz w:val="28"/>
          <w:szCs w:val="28"/>
          <w:highlight w:val="none"/>
        </w:rPr>
        <w:t>是成渝地区双城经济圈重要交通节点和港口城市，是成都平原经济区唯一的铁公水综合枢纽，是四川省大件运输通道上的重要节点，依托岷江，乐山港成为我省重装企业重大件进出川的重要门户，是我省内河水运“</w:t>
      </w:r>
      <w:r>
        <w:rPr>
          <w:rFonts w:hint="eastAsia" w:ascii="Times New Roman" w:hAnsi="Times New Roman" w:eastAsia="宋体" w:cs="Times New Roman"/>
          <w:sz w:val="28"/>
          <w:szCs w:val="28"/>
          <w:highlight w:val="none"/>
        </w:rPr>
        <w:t>一横五纵 两核四翼</w:t>
      </w:r>
      <w:r>
        <w:rPr>
          <w:rFonts w:ascii="Times New Roman" w:hAnsi="Times New Roman" w:eastAsia="宋体" w:cs="Times New Roman"/>
          <w:sz w:val="28"/>
          <w:szCs w:val="28"/>
          <w:highlight w:val="none"/>
        </w:rPr>
        <w:t>”体系的重要港口。</w:t>
      </w:r>
    </w:p>
    <w:p>
      <w:pPr>
        <w:pStyle w:val="14"/>
        <w:spacing w:after="0" w:line="360" w:lineRule="auto"/>
        <w:ind w:firstLine="560" w:firstLineChars="200"/>
        <w:rPr>
          <w:rFonts w:ascii="Times New Roman" w:hAnsi="Times New Roman" w:eastAsia="宋体" w:cs="Times New Roman"/>
          <w:sz w:val="28"/>
          <w:szCs w:val="28"/>
          <w:highlight w:val="none"/>
        </w:rPr>
      </w:pPr>
      <w:r>
        <w:rPr>
          <w:rFonts w:hint="eastAsia" w:ascii="Times New Roman" w:hAnsi="Times New Roman" w:eastAsia="宋体" w:cs="Times New Roman"/>
          <w:color w:val="000000" w:themeColor="text1"/>
          <w:sz w:val="28"/>
          <w:szCs w:val="28"/>
          <w:highlight w:val="none"/>
          <w14:textFill>
            <w14:solidFill>
              <w14:schemeClr w14:val="tx1"/>
            </w14:solidFill>
          </w14:textFill>
        </w:rPr>
        <w:t>原《乐山港总体规划》于2010年由省政府批复实施。</w:t>
      </w:r>
      <w:r>
        <w:rPr>
          <w:rFonts w:ascii="Times New Roman" w:hAnsi="Times New Roman" w:eastAsia="宋体" w:cs="Times New Roman"/>
          <w:sz w:val="28"/>
          <w:szCs w:val="28"/>
          <w:highlight w:val="none"/>
        </w:rPr>
        <w:t>规划范围为乐山市辖区内岷江、大渡河（沙湾以下）宜港岸线，包括嘉州、五通桥、犍为和沙湾4个港区，主要规划老江坝、桥沟、下渡、河口、沫东等5个货运作业区，新增泊位50个、通过能力2465万t（含集装箱）；规划重点是建设老江坝作业区，近期形成50万TEU的港口通过能力。</w:t>
      </w:r>
    </w:p>
    <w:p>
      <w:pPr>
        <w:pStyle w:val="14"/>
        <w:spacing w:after="0" w:line="360" w:lineRule="auto"/>
        <w:ind w:firstLine="560" w:firstLineChars="200"/>
        <w:rPr>
          <w:rFonts w:ascii="Times New Roman" w:cs="Times New Roman"/>
          <w:sz w:val="28"/>
          <w:szCs w:val="28"/>
          <w:highlight w:val="none"/>
        </w:rPr>
      </w:pPr>
      <w:r>
        <w:rPr>
          <w:rFonts w:ascii="Times New Roman" w:cs="Times New Roman"/>
          <w:sz w:val="28"/>
          <w:szCs w:val="28"/>
          <w:highlight w:val="none"/>
        </w:rPr>
        <w:t>规划实施以来，乐山水运在保障四川省重装产业的对外运输、促进“交通+旅游”融合发展新业态等方面发挥了重要作用。</w:t>
      </w:r>
      <w:r>
        <w:rPr>
          <w:rFonts w:ascii="Times New Roman" w:hAnsi="Times New Roman" w:eastAsia="宋体" w:cs="Times New Roman"/>
          <w:sz w:val="28"/>
          <w:szCs w:val="28"/>
          <w:highlight w:val="none"/>
        </w:rPr>
        <w:t>2011年，四川省人民政府办公厅印发了《加快推进岷江港航电综合开发工作方案》，根据该工作方案岷江港航电综合开发工程包括两项建设内容：一是建设老木孔、东风</w:t>
      </w:r>
      <w:r>
        <w:rPr>
          <w:rFonts w:hint="eastAsia" w:ascii="Times New Roman" w:hAnsi="Times New Roman" w:eastAsia="宋体" w:cs="Times New Roman"/>
          <w:sz w:val="28"/>
          <w:szCs w:val="28"/>
          <w:highlight w:val="none"/>
        </w:rPr>
        <w:t>岩</w:t>
      </w:r>
      <w:r>
        <w:rPr>
          <w:rFonts w:ascii="Times New Roman" w:hAnsi="Times New Roman" w:eastAsia="宋体" w:cs="Times New Roman"/>
          <w:sz w:val="28"/>
          <w:szCs w:val="28"/>
          <w:highlight w:val="none"/>
        </w:rPr>
        <w:t>、犍为、龙溪口</w:t>
      </w:r>
      <w:r>
        <w:rPr>
          <w:rFonts w:hint="eastAsia" w:ascii="Times New Roman" w:hAnsi="Times New Roman" w:eastAsia="宋体" w:cs="Times New Roman"/>
          <w:sz w:val="28"/>
          <w:szCs w:val="28"/>
          <w:highlight w:val="none"/>
        </w:rPr>
        <w:t>4个航电枢纽，渠化航道8</w:t>
      </w:r>
      <w:r>
        <w:rPr>
          <w:rFonts w:ascii="Times New Roman" w:hAnsi="Times New Roman" w:eastAsia="宋体" w:cs="Times New Roman"/>
          <w:sz w:val="28"/>
          <w:szCs w:val="28"/>
          <w:highlight w:val="none"/>
        </w:rPr>
        <w:t>1公里及龙溪口以下</w:t>
      </w:r>
      <w:r>
        <w:rPr>
          <w:rFonts w:hint="eastAsia" w:ascii="Times New Roman" w:hAnsi="Times New Roman" w:eastAsia="宋体" w:cs="Times New Roman"/>
          <w:sz w:val="28"/>
          <w:szCs w:val="28"/>
          <w:highlight w:val="none"/>
        </w:rPr>
        <w:t>8</w:t>
      </w:r>
      <w:r>
        <w:rPr>
          <w:rFonts w:ascii="Times New Roman" w:hAnsi="Times New Roman" w:eastAsia="宋体" w:cs="Times New Roman"/>
          <w:sz w:val="28"/>
          <w:szCs w:val="28"/>
          <w:highlight w:val="none"/>
        </w:rPr>
        <w:t>1公里航道整治；二是乐山港建设。2010年</w:t>
      </w:r>
      <w:r>
        <w:rPr>
          <w:rFonts w:hint="eastAsia" w:ascii="Times New Roman" w:hAnsi="Times New Roman" w:eastAsia="宋体" w:cs="Times New Roman"/>
          <w:sz w:val="28"/>
          <w:szCs w:val="28"/>
          <w:highlight w:val="none"/>
        </w:rPr>
        <w:t>1</w:t>
      </w:r>
      <w:r>
        <w:rPr>
          <w:rFonts w:ascii="Times New Roman" w:hAnsi="Times New Roman" w:eastAsia="宋体" w:cs="Times New Roman"/>
          <w:sz w:val="28"/>
          <w:szCs w:val="28"/>
          <w:highlight w:val="none"/>
        </w:rPr>
        <w:t>2月，交通运输部批复了乐山港老江坝作业区一期工程使用港口岸线；</w:t>
      </w:r>
      <w:r>
        <w:rPr>
          <w:rFonts w:hint="eastAsia" w:ascii="Times New Roman" w:hAnsi="Times New Roman" w:eastAsia="宋体" w:cs="Times New Roman"/>
          <w:sz w:val="28"/>
          <w:szCs w:val="28"/>
          <w:highlight w:val="none"/>
        </w:rPr>
        <w:t>2</w:t>
      </w:r>
      <w:r>
        <w:rPr>
          <w:rFonts w:ascii="Times New Roman" w:hAnsi="Times New Roman" w:eastAsia="宋体" w:cs="Times New Roman"/>
          <w:sz w:val="28"/>
          <w:szCs w:val="28"/>
          <w:highlight w:val="none"/>
        </w:rPr>
        <w:t>012年，国家发改委批复了四川岷江（乐山至龙溪口）航电枢纽工程项目建议书。目前，岷江港航电综合开发工程</w:t>
      </w:r>
      <w:r>
        <w:rPr>
          <w:rFonts w:ascii="Times New Roman" w:cs="Times New Roman"/>
          <w:sz w:val="28"/>
          <w:szCs w:val="28"/>
          <w:highlight w:val="none"/>
        </w:rPr>
        <w:t>取得了较大进展，犍为枢纽已于2019年实现船闸通航，龙溪口、老木孔枢纽、东风岩枢纽及下段航道整治也已动工建设，岷江高等级航道建成指日可待，为乐山港建设现代化大型综合港口提供了良好的发展基础。规划实施以来，乐山市启动了老江坝作业区的前期工作，但由于受岷江航电开发进程、乐山市城市发展定位及工业布局调整等因素影响，老江坝作业区、桥沟作业区等乐山港规划的重点作业区一直未能启动建设。</w:t>
      </w:r>
    </w:p>
    <w:p>
      <w:pPr>
        <w:pStyle w:val="14"/>
        <w:spacing w:after="0" w:line="360" w:lineRule="auto"/>
        <w:ind w:firstLine="560" w:firstLineChars="200"/>
        <w:rPr>
          <w:rFonts w:ascii="Times New Roman" w:hAnsi="Times New Roman" w:eastAsia="宋体" w:cs="Times New Roman"/>
          <w:sz w:val="28"/>
          <w:szCs w:val="28"/>
          <w:highlight w:val="none"/>
        </w:rPr>
      </w:pPr>
      <w:r>
        <w:rPr>
          <w:rFonts w:ascii="Times New Roman" w:hAnsi="Times New Roman" w:eastAsia="宋体" w:cs="Times New Roman"/>
          <w:sz w:val="28"/>
          <w:szCs w:val="28"/>
          <w:highlight w:val="none"/>
        </w:rPr>
        <w:t>与此同时，乐山港发展的内外部环境发生了深刻的变化。“一带一路”建设、长江经济带发展、交通强国、新时代推进西部大开发形成新格局、成渝地区双城经济圈建设以及我省“</w:t>
      </w:r>
      <w:r>
        <w:rPr>
          <w:rFonts w:hint="eastAsia" w:ascii="Times New Roman" w:hAnsi="Times New Roman" w:eastAsia="宋体" w:cs="Times New Roman"/>
          <w:sz w:val="28"/>
          <w:szCs w:val="28"/>
          <w:highlight w:val="none"/>
        </w:rPr>
        <w:t>四化同步、城乡融合、五区共兴</w:t>
      </w:r>
      <w:r>
        <w:rPr>
          <w:rFonts w:ascii="Times New Roman" w:hAnsi="Times New Roman" w:eastAsia="宋体" w:cs="Times New Roman"/>
          <w:sz w:val="28"/>
          <w:szCs w:val="28"/>
          <w:highlight w:val="none"/>
        </w:rPr>
        <w:t>”、全省港口整合等一系列国省战略部署和发展举措的出台，脱贫攻坚、民族地区等方面的支持政策交汇叠加，特别是碳达峰碳中和</w:t>
      </w:r>
      <w:r>
        <w:rPr>
          <w:rFonts w:hint="eastAsia" w:ascii="Times New Roman" w:hAnsi="Times New Roman" w:eastAsia="宋体" w:cs="Times New Roman"/>
          <w:sz w:val="28"/>
          <w:szCs w:val="28"/>
          <w:highlight w:val="none"/>
        </w:rPr>
        <w:t>目标实现</w:t>
      </w:r>
      <w:r>
        <w:rPr>
          <w:rFonts w:ascii="Times New Roman" w:hAnsi="Times New Roman" w:eastAsia="宋体" w:cs="Times New Roman"/>
          <w:sz w:val="28"/>
          <w:szCs w:val="28"/>
          <w:highlight w:val="none"/>
        </w:rPr>
        <w:t>、运输结构调整给乐山水运带来了全新的机遇，在此背景下，乐山市提出了坚持“</w:t>
      </w:r>
      <w:r>
        <w:rPr>
          <w:rFonts w:hint="eastAsia" w:ascii="Times New Roman" w:hAnsi="Times New Roman" w:eastAsia="宋体" w:cs="Times New Roman"/>
          <w:sz w:val="28"/>
          <w:szCs w:val="28"/>
          <w:highlight w:val="none"/>
        </w:rPr>
        <w:t>产业强市、旅游兴市</w:t>
      </w:r>
      <w:r>
        <w:rPr>
          <w:rFonts w:ascii="Times New Roman" w:hAnsi="Times New Roman" w:eastAsia="宋体" w:cs="Times New Roman"/>
          <w:sz w:val="28"/>
          <w:szCs w:val="28"/>
          <w:highlight w:val="none"/>
        </w:rPr>
        <w:t>”，在加快成渝地区双城经济圈建设的大背景下，乐山市又积极推动乐山港升级为成都港，</w:t>
      </w:r>
      <w:r>
        <w:rPr>
          <w:rFonts w:hint="eastAsia" w:ascii="Times New Roman" w:hAnsi="Times New Roman" w:eastAsia="宋体" w:cs="Times New Roman"/>
          <w:color w:val="000000" w:themeColor="text1"/>
          <w:sz w:val="28"/>
          <w:szCs w:val="28"/>
          <w:highlight w:val="none"/>
          <w14:textFill>
            <w14:solidFill>
              <w14:schemeClr w14:val="tx1"/>
            </w14:solidFill>
          </w14:textFill>
        </w:rPr>
        <w:t>并获得了省委、省政府的支持，省委十一届七次全会正式提出并确定了“支持乐山港升级打造为成都港”的战略定位。在此基础上，2023年，《省委</w:t>
      </w:r>
      <w:r>
        <w:rPr>
          <w:rFonts w:ascii="Times New Roman" w:hAnsi="Times New Roman" w:eastAsia="宋体" w:cs="Times New Roman"/>
          <w:color w:val="000000" w:themeColor="text1"/>
          <w:sz w:val="28"/>
          <w:szCs w:val="28"/>
          <w:highlight w:val="none"/>
          <w14:textFill>
            <w14:solidFill>
              <w14:schemeClr w14:val="tx1"/>
            </w14:solidFill>
          </w14:textFill>
        </w:rPr>
        <w:t xml:space="preserve"> </w:t>
      </w:r>
      <w:r>
        <w:rPr>
          <w:rFonts w:hint="eastAsia" w:ascii="Times New Roman" w:hAnsi="Times New Roman" w:eastAsia="宋体" w:cs="Times New Roman"/>
          <w:color w:val="000000" w:themeColor="text1"/>
          <w:sz w:val="28"/>
          <w:szCs w:val="28"/>
          <w:highlight w:val="none"/>
          <w14:textFill>
            <w14:solidFill>
              <w14:schemeClr w14:val="tx1"/>
            </w14:solidFill>
          </w14:textFill>
        </w:rPr>
        <w:t>省政府关于支持乐山高质量发展加快提升区域中心城市能级的意见》进一步提出“支持乐山港打造成都平原经济区‘天府港’”</w:t>
      </w:r>
      <w:r>
        <w:rPr>
          <w:rFonts w:ascii="Times New Roman" w:hAnsi="Times New Roman" w:eastAsia="宋体" w:cs="Times New Roman"/>
          <w:sz w:val="28"/>
          <w:szCs w:val="28"/>
          <w:highlight w:val="none"/>
        </w:rPr>
        <w:t>。</w:t>
      </w:r>
    </w:p>
    <w:p>
      <w:pPr>
        <w:pStyle w:val="14"/>
        <w:spacing w:after="0" w:line="360" w:lineRule="auto"/>
        <w:ind w:firstLine="560" w:firstLineChars="200"/>
        <w:rPr>
          <w:rFonts w:ascii="Times New Roman" w:hAnsi="Times New Roman" w:cs="Times New Roman"/>
          <w:sz w:val="28"/>
          <w:szCs w:val="28"/>
          <w:highlight w:val="none"/>
        </w:rPr>
      </w:pPr>
      <w:r>
        <w:rPr>
          <w:rFonts w:ascii="Times New Roman" w:hAnsi="Times New Roman" w:eastAsia="宋体" w:cs="Times New Roman"/>
          <w:sz w:val="28"/>
          <w:szCs w:val="28"/>
          <w:highlight w:val="none"/>
        </w:rPr>
        <w:t>港口发展所需的土地、环境等要素也在进一步趋紧。党的十八大</w:t>
      </w:r>
      <w:r>
        <w:rPr>
          <w:rFonts w:hint="eastAsia" w:ascii="Times New Roman" w:hAnsi="Times New Roman" w:eastAsia="宋体" w:cs="Times New Roman"/>
          <w:sz w:val="28"/>
          <w:szCs w:val="28"/>
          <w:highlight w:val="none"/>
        </w:rPr>
        <w:t>以来国家高度重视</w:t>
      </w:r>
      <w:r>
        <w:rPr>
          <w:rFonts w:ascii="Times New Roman" w:hAnsi="Times New Roman" w:eastAsia="宋体" w:cs="Times New Roman"/>
          <w:sz w:val="28"/>
          <w:szCs w:val="28"/>
          <w:highlight w:val="none"/>
        </w:rPr>
        <w:t>的生态文明建设，《中华人民共和国长江保护法》的出台，标志着我国对科学发展赋予了新的理念，国土空间规划提出的“三线一单”“三区三线”等管控要求更加科学高效集约利用港口资源。</w:t>
      </w:r>
      <w:r>
        <w:rPr>
          <w:rFonts w:ascii="Times New Roman" w:hAnsi="Times New Roman" w:cs="Times New Roman"/>
          <w:sz w:val="28"/>
          <w:szCs w:val="28"/>
          <w:highlight w:val="none"/>
        </w:rPr>
        <w:t>受内外部环境变化的影响，原规划的</w:t>
      </w:r>
      <w:r>
        <w:rPr>
          <w:rFonts w:hint="eastAsia" w:ascii="Times New Roman" w:hAnsi="Times New Roman" w:cs="Times New Roman"/>
          <w:sz w:val="28"/>
          <w:szCs w:val="28"/>
          <w:highlight w:val="none"/>
        </w:rPr>
        <w:t>老江坝作业区、桥沟作业区、河口作业区以及沫东作业区都</w:t>
      </w:r>
      <w:r>
        <w:rPr>
          <w:rFonts w:ascii="Times New Roman" w:hAnsi="Times New Roman" w:cs="Times New Roman"/>
          <w:sz w:val="28"/>
          <w:szCs w:val="28"/>
          <w:highlight w:val="none"/>
        </w:rPr>
        <w:t>需要进行调整。</w:t>
      </w:r>
      <w:r>
        <w:rPr>
          <w:rFonts w:hint="eastAsia" w:ascii="Times New Roman" w:hAnsi="Times New Roman" w:cs="Times New Roman"/>
          <w:sz w:val="28"/>
          <w:szCs w:val="28"/>
          <w:highlight w:val="none"/>
        </w:rPr>
        <w:t>另外，随着腹地基础设施建设对砂石需求的急剧增加，亟需对岷江、大渡河的临时砂石码头以及非法码头进行规范整理。</w:t>
      </w:r>
    </w:p>
    <w:p>
      <w:pPr>
        <w:pStyle w:val="14"/>
        <w:spacing w:after="0" w:line="360" w:lineRule="auto"/>
        <w:ind w:firstLine="560" w:firstLineChars="200"/>
        <w:rPr>
          <w:rFonts w:ascii="Times New Roman" w:hAnsi="Times New Roman" w:eastAsia="宋体" w:cs="Times New Roman"/>
          <w:sz w:val="28"/>
          <w:szCs w:val="28"/>
          <w:highlight w:val="none"/>
        </w:rPr>
      </w:pPr>
      <w:r>
        <w:rPr>
          <w:rFonts w:ascii="Times New Roman" w:hAnsi="Times New Roman" w:eastAsia="宋体" w:cs="Times New Roman"/>
          <w:sz w:val="28"/>
          <w:szCs w:val="28"/>
          <w:highlight w:val="none"/>
        </w:rPr>
        <w:t>按照新时代、新要求来看，原规划的发展理念、功能定位、总体布局等均已不适应乐山市新形势和乐山水运实现高质量发展的要求，因此对乐山市港口总体规划进行重新修编是极为必要的。</w:t>
      </w:r>
      <w:r>
        <w:rPr>
          <w:rFonts w:hint="eastAsia" w:ascii="Times New Roman" w:hAnsi="Times New Roman" w:eastAsia="宋体" w:cs="Times New Roman"/>
          <w:sz w:val="28"/>
          <w:szCs w:val="28"/>
          <w:highlight w:val="none"/>
        </w:rPr>
        <w:t>根据上一版乐山港总体规划实施过程中存在的问题以及新的形势及要求，拟对乐山港的规划范围、港口的性质与功能、港口岸线利用规划、港区布置规划、重点作业区规划进行调整修订。</w:t>
      </w:r>
      <w:r>
        <w:rPr>
          <w:rFonts w:ascii="Times New Roman" w:hAnsi="Times New Roman" w:eastAsia="宋体" w:cs="Times New Roman"/>
          <w:sz w:val="28"/>
          <w:szCs w:val="28"/>
          <w:highlight w:val="none"/>
        </w:rPr>
        <w:t>本次规划将根据新形势新要求新理念重新确定乐山港的功能定位、发展目标和总体布局，以港口高质量发展</w:t>
      </w:r>
      <w:r>
        <w:rPr>
          <w:rFonts w:hint="eastAsia" w:ascii="Times New Roman" w:hAnsi="Times New Roman" w:eastAsia="宋体" w:cs="Times New Roman"/>
          <w:sz w:val="28"/>
          <w:szCs w:val="28"/>
          <w:highlight w:val="none"/>
        </w:rPr>
        <w:t>完善乐山市综合交通运输体系，推动乐山市早日建成世界重要旅游目的地，促进乐山实现高质量发展</w:t>
      </w:r>
      <w:r>
        <w:rPr>
          <w:rFonts w:ascii="Times New Roman" w:hAnsi="Times New Roman" w:eastAsia="宋体" w:cs="Times New Roman"/>
          <w:sz w:val="28"/>
          <w:szCs w:val="28"/>
          <w:highlight w:val="none"/>
        </w:rPr>
        <w:t>。</w:t>
      </w:r>
    </w:p>
    <w:p>
      <w:pPr>
        <w:spacing w:line="360" w:lineRule="auto"/>
        <w:ind w:firstLine="562" w:firstLineChars="200"/>
        <w:rPr>
          <w:rFonts w:eastAsia="黑体"/>
          <w:b/>
          <w:sz w:val="28"/>
          <w:szCs w:val="28"/>
          <w:highlight w:val="none"/>
        </w:rPr>
      </w:pPr>
      <w:r>
        <w:rPr>
          <w:rFonts w:eastAsia="黑体"/>
          <w:b/>
          <w:sz w:val="28"/>
          <w:szCs w:val="28"/>
          <w:highlight w:val="none"/>
        </w:rPr>
        <w:t>二、规划编制的主要依据及有关资料</w:t>
      </w:r>
    </w:p>
    <w:p>
      <w:pPr>
        <w:pStyle w:val="14"/>
        <w:spacing w:after="0" w:line="360" w:lineRule="auto"/>
        <w:ind w:firstLine="562" w:firstLineChars="200"/>
        <w:rPr>
          <w:rFonts w:ascii="Times New Roman" w:hAnsi="Times New Roman" w:cs="Times New Roman" w:eastAsiaTheme="majorEastAsia"/>
          <w:b/>
          <w:bCs/>
          <w:sz w:val="28"/>
          <w:szCs w:val="28"/>
          <w:highlight w:val="none"/>
        </w:rPr>
      </w:pPr>
      <w:r>
        <w:rPr>
          <w:rFonts w:ascii="Times New Roman" w:hAnsi="Times New Roman" w:cs="Times New Roman" w:eastAsiaTheme="majorEastAsia"/>
          <w:b/>
          <w:bCs/>
          <w:sz w:val="28"/>
          <w:szCs w:val="28"/>
          <w:highlight w:val="none"/>
        </w:rPr>
        <w:t>（一）法律法规</w:t>
      </w:r>
    </w:p>
    <w:p>
      <w:pPr>
        <w:pStyle w:val="14"/>
        <w:spacing w:after="0" w:line="360" w:lineRule="auto"/>
        <w:ind w:firstLine="560" w:firstLineChars="200"/>
        <w:rPr>
          <w:rFonts w:ascii="Times New Roman" w:hAnsi="Times New Roman" w:eastAsia="宋体" w:cs="Times New Roman"/>
          <w:sz w:val="28"/>
          <w:szCs w:val="28"/>
          <w:highlight w:val="none"/>
        </w:rPr>
      </w:pPr>
      <w:r>
        <w:rPr>
          <w:rFonts w:ascii="Times New Roman" w:hAnsi="Times New Roman" w:eastAsia="宋体" w:cs="Times New Roman"/>
          <w:sz w:val="28"/>
          <w:szCs w:val="28"/>
          <w:highlight w:val="none"/>
        </w:rPr>
        <w:t>（1）《中华人民共和国长江保护法》（2021年）；</w:t>
      </w:r>
    </w:p>
    <w:p>
      <w:pPr>
        <w:pStyle w:val="14"/>
        <w:spacing w:after="0" w:line="360" w:lineRule="auto"/>
        <w:ind w:firstLine="560" w:firstLineChars="200"/>
        <w:rPr>
          <w:rFonts w:ascii="Times New Roman" w:hAnsi="Times New Roman" w:eastAsia="宋体" w:cs="Times New Roman"/>
          <w:sz w:val="28"/>
          <w:szCs w:val="28"/>
          <w:highlight w:val="none"/>
        </w:rPr>
      </w:pPr>
      <w:r>
        <w:rPr>
          <w:rFonts w:ascii="Times New Roman" w:hAnsi="Times New Roman" w:eastAsia="宋体" w:cs="Times New Roman"/>
          <w:sz w:val="28"/>
          <w:szCs w:val="28"/>
          <w:highlight w:val="none"/>
        </w:rPr>
        <w:t>（2）《中华人民共和国港口法》（2003年）；</w:t>
      </w:r>
    </w:p>
    <w:p>
      <w:pPr>
        <w:pStyle w:val="14"/>
        <w:spacing w:after="0" w:line="360" w:lineRule="auto"/>
        <w:ind w:firstLine="560" w:firstLineChars="200"/>
        <w:rPr>
          <w:rFonts w:ascii="Times New Roman" w:hAnsi="Times New Roman" w:eastAsia="宋体" w:cs="Times New Roman"/>
          <w:sz w:val="28"/>
          <w:szCs w:val="28"/>
          <w:highlight w:val="none"/>
        </w:rPr>
      </w:pPr>
      <w:r>
        <w:rPr>
          <w:rFonts w:ascii="Times New Roman" w:hAnsi="Times New Roman" w:eastAsia="宋体" w:cs="Times New Roman"/>
          <w:sz w:val="28"/>
          <w:szCs w:val="28"/>
          <w:highlight w:val="none"/>
        </w:rPr>
        <w:t>（3）《港口规划管理规定》（2008年交通部）；</w:t>
      </w:r>
    </w:p>
    <w:p>
      <w:pPr>
        <w:pStyle w:val="14"/>
        <w:spacing w:after="0" w:line="360" w:lineRule="auto"/>
        <w:ind w:firstLine="560" w:firstLineChars="200"/>
        <w:rPr>
          <w:rFonts w:ascii="Times New Roman" w:hAnsi="Times New Roman" w:eastAsia="宋体" w:cs="Times New Roman"/>
          <w:sz w:val="28"/>
          <w:szCs w:val="28"/>
          <w:highlight w:val="none"/>
        </w:rPr>
      </w:pPr>
      <w:r>
        <w:rPr>
          <w:rFonts w:ascii="Times New Roman" w:hAnsi="Times New Roman" w:eastAsia="宋体" w:cs="Times New Roman"/>
          <w:sz w:val="28"/>
          <w:szCs w:val="28"/>
          <w:highlight w:val="none"/>
        </w:rPr>
        <w:t>（4）《四川省港口管理条例》</w:t>
      </w:r>
      <w:r>
        <w:rPr>
          <w:rFonts w:hint="eastAsia" w:ascii="Times New Roman" w:hAnsi="Times New Roman" w:eastAsia="宋体" w:cs="Times New Roman"/>
          <w:color w:val="000000" w:themeColor="text1"/>
          <w:sz w:val="28"/>
          <w:szCs w:val="28"/>
          <w:highlight w:val="none"/>
          <w14:textFill>
            <w14:solidFill>
              <w14:schemeClr w14:val="tx1"/>
            </w14:solidFill>
          </w14:textFill>
        </w:rPr>
        <w:t>（200</w:t>
      </w:r>
      <w:r>
        <w:rPr>
          <w:rFonts w:ascii="Times New Roman" w:hAnsi="Times New Roman" w:eastAsia="宋体" w:cs="Times New Roman"/>
          <w:color w:val="000000" w:themeColor="text1"/>
          <w:sz w:val="28"/>
          <w:szCs w:val="28"/>
          <w:highlight w:val="none"/>
          <w14:textFill>
            <w14:solidFill>
              <w14:schemeClr w14:val="tx1"/>
            </w14:solidFill>
          </w14:textFill>
        </w:rPr>
        <w:t>9</w:t>
      </w:r>
      <w:r>
        <w:rPr>
          <w:rFonts w:hint="eastAsia" w:ascii="Times New Roman" w:hAnsi="Times New Roman" w:eastAsia="宋体" w:cs="Times New Roman"/>
          <w:color w:val="000000" w:themeColor="text1"/>
          <w:sz w:val="28"/>
          <w:szCs w:val="28"/>
          <w:highlight w:val="none"/>
          <w14:textFill>
            <w14:solidFill>
              <w14:schemeClr w14:val="tx1"/>
            </w14:solidFill>
          </w14:textFill>
        </w:rPr>
        <w:t>年）</w:t>
      </w:r>
      <w:r>
        <w:rPr>
          <w:rFonts w:ascii="Times New Roman" w:hAnsi="Times New Roman" w:eastAsia="宋体" w:cs="Times New Roman"/>
          <w:sz w:val="28"/>
          <w:szCs w:val="28"/>
          <w:highlight w:val="none"/>
        </w:rPr>
        <w:t>；</w:t>
      </w:r>
    </w:p>
    <w:p>
      <w:pPr>
        <w:pStyle w:val="14"/>
        <w:spacing w:after="0" w:line="360" w:lineRule="auto"/>
        <w:ind w:firstLine="560" w:firstLineChars="200"/>
        <w:rPr>
          <w:rFonts w:ascii="Times New Roman" w:hAnsi="Times New Roman" w:eastAsia="宋体" w:cs="Times New Roman"/>
          <w:sz w:val="28"/>
          <w:szCs w:val="28"/>
          <w:highlight w:val="none"/>
        </w:rPr>
      </w:pPr>
      <w:r>
        <w:rPr>
          <w:rFonts w:ascii="Times New Roman" w:hAnsi="Times New Roman" w:eastAsia="宋体" w:cs="Times New Roman"/>
          <w:sz w:val="28"/>
          <w:szCs w:val="28"/>
          <w:highlight w:val="none"/>
        </w:rPr>
        <w:t>（5）其他有关规定。</w:t>
      </w:r>
    </w:p>
    <w:p>
      <w:pPr>
        <w:pStyle w:val="14"/>
        <w:spacing w:after="0" w:line="360" w:lineRule="auto"/>
        <w:ind w:firstLine="562" w:firstLineChars="200"/>
        <w:rPr>
          <w:rFonts w:ascii="Times New Roman" w:hAnsi="Times New Roman" w:cs="Times New Roman" w:eastAsiaTheme="majorEastAsia"/>
          <w:b/>
          <w:bCs/>
          <w:sz w:val="28"/>
          <w:szCs w:val="28"/>
          <w:highlight w:val="none"/>
        </w:rPr>
      </w:pPr>
      <w:r>
        <w:rPr>
          <w:rFonts w:ascii="Times New Roman" w:hAnsi="Times New Roman" w:cs="Times New Roman" w:eastAsiaTheme="majorEastAsia"/>
          <w:b/>
          <w:bCs/>
          <w:sz w:val="28"/>
          <w:szCs w:val="28"/>
          <w:highlight w:val="none"/>
        </w:rPr>
        <w:t>（二）相关政策文件及会议精神</w:t>
      </w:r>
    </w:p>
    <w:p>
      <w:pPr>
        <w:pStyle w:val="14"/>
        <w:spacing w:after="0" w:line="360" w:lineRule="auto"/>
        <w:ind w:firstLine="560" w:firstLineChars="200"/>
        <w:rPr>
          <w:rFonts w:ascii="Times New Roman" w:hAnsi="Times New Roman" w:eastAsia="宋体" w:cs="Times New Roman"/>
          <w:sz w:val="28"/>
          <w:szCs w:val="28"/>
          <w:highlight w:val="none"/>
        </w:rPr>
      </w:pPr>
      <w:r>
        <w:rPr>
          <w:rFonts w:ascii="Times New Roman" w:hAnsi="Times New Roman" w:eastAsia="宋体" w:cs="Times New Roman"/>
          <w:sz w:val="28"/>
          <w:szCs w:val="28"/>
          <w:highlight w:val="none"/>
        </w:rPr>
        <w:t>（1）</w:t>
      </w:r>
      <w:r>
        <w:rPr>
          <w:rFonts w:hint="eastAsia" w:ascii="Times New Roman" w:hAnsi="Times New Roman" w:eastAsia="宋体" w:cs="Times New Roman"/>
          <w:sz w:val="28"/>
          <w:szCs w:val="28"/>
          <w:highlight w:val="none"/>
        </w:rPr>
        <w:t>中国共产党第十九次代表大会、第二十次代表大会及历次全会精神</w:t>
      </w:r>
      <w:r>
        <w:rPr>
          <w:rFonts w:ascii="Times New Roman" w:hAnsi="Times New Roman" w:eastAsia="宋体" w:cs="Times New Roman"/>
          <w:sz w:val="28"/>
          <w:szCs w:val="28"/>
          <w:highlight w:val="none"/>
        </w:rPr>
        <w:t>；</w:t>
      </w:r>
    </w:p>
    <w:p>
      <w:pPr>
        <w:pStyle w:val="14"/>
        <w:spacing w:after="0" w:line="360" w:lineRule="auto"/>
        <w:ind w:firstLine="560" w:firstLineChars="200"/>
        <w:rPr>
          <w:rFonts w:ascii="Times New Roman" w:hAnsi="Times New Roman" w:eastAsia="宋体" w:cs="Times New Roman"/>
          <w:sz w:val="28"/>
          <w:szCs w:val="28"/>
          <w:highlight w:val="none"/>
        </w:rPr>
      </w:pPr>
      <w:r>
        <w:rPr>
          <w:rFonts w:ascii="Times New Roman" w:hAnsi="Times New Roman" w:eastAsia="宋体" w:cs="Times New Roman"/>
          <w:sz w:val="28"/>
          <w:szCs w:val="28"/>
          <w:highlight w:val="none"/>
        </w:rPr>
        <w:t>（2）《中共中央、国务院关于新时代推进西部大开发形成新格局的指导意见》（2020年5月）；</w:t>
      </w:r>
    </w:p>
    <w:p>
      <w:pPr>
        <w:pStyle w:val="14"/>
        <w:spacing w:after="0" w:line="360" w:lineRule="auto"/>
        <w:ind w:firstLine="560" w:firstLineChars="200"/>
        <w:rPr>
          <w:rFonts w:ascii="Times New Roman" w:hAnsi="Times New Roman" w:eastAsia="宋体" w:cs="Times New Roman"/>
          <w:sz w:val="28"/>
          <w:szCs w:val="28"/>
          <w:highlight w:val="none"/>
        </w:rPr>
      </w:pPr>
      <w:r>
        <w:rPr>
          <w:rFonts w:ascii="Times New Roman" w:hAnsi="Times New Roman" w:eastAsia="宋体" w:cs="Times New Roman"/>
          <w:sz w:val="28"/>
          <w:szCs w:val="28"/>
          <w:highlight w:val="none"/>
        </w:rPr>
        <w:t>（3）《交通强国建设纲要》（2019年9月）；</w:t>
      </w:r>
    </w:p>
    <w:p>
      <w:pPr>
        <w:pStyle w:val="14"/>
        <w:spacing w:after="0" w:line="360" w:lineRule="auto"/>
        <w:ind w:firstLine="560" w:firstLineChars="200"/>
        <w:rPr>
          <w:rFonts w:ascii="Times New Roman" w:hAnsi="Times New Roman" w:eastAsia="宋体" w:cs="Times New Roman"/>
          <w:sz w:val="28"/>
          <w:szCs w:val="28"/>
          <w:highlight w:val="none"/>
        </w:rPr>
      </w:pPr>
      <w:r>
        <w:rPr>
          <w:rFonts w:ascii="Times New Roman" w:hAnsi="Times New Roman" w:eastAsia="宋体" w:cs="Times New Roman"/>
          <w:sz w:val="28"/>
          <w:szCs w:val="28"/>
          <w:highlight w:val="none"/>
        </w:rPr>
        <w:t>（4）《国家综合立体交通网规划纲要》（2021年3月）；</w:t>
      </w:r>
    </w:p>
    <w:p>
      <w:pPr>
        <w:pStyle w:val="111"/>
        <w:ind w:firstLine="560"/>
        <w:rPr>
          <w:rFonts w:eastAsia="宋体"/>
          <w:sz w:val="28"/>
          <w:szCs w:val="28"/>
          <w:highlight w:val="none"/>
        </w:rPr>
      </w:pPr>
      <w:r>
        <w:rPr>
          <w:rFonts w:eastAsia="宋体"/>
          <w:sz w:val="28"/>
          <w:szCs w:val="28"/>
          <w:highlight w:val="none"/>
        </w:rPr>
        <w:t>（5）《交通运输部关于印发</w:t>
      </w:r>
      <w:r>
        <w:rPr>
          <w:rFonts w:hint="eastAsia" w:eastAsia="宋体"/>
          <w:sz w:val="28"/>
          <w:szCs w:val="28"/>
          <w:highlight w:val="none"/>
        </w:rPr>
        <w:t>〈</w:t>
      </w:r>
      <w:r>
        <w:rPr>
          <w:rFonts w:eastAsia="宋体"/>
          <w:sz w:val="28"/>
          <w:szCs w:val="28"/>
          <w:highlight w:val="none"/>
        </w:rPr>
        <w:t>内河航运发展纲要</w:t>
      </w:r>
      <w:r>
        <w:rPr>
          <w:rFonts w:hint="eastAsia" w:eastAsia="宋体"/>
          <w:sz w:val="28"/>
          <w:szCs w:val="28"/>
          <w:highlight w:val="none"/>
        </w:rPr>
        <w:t>〉</w:t>
      </w:r>
      <w:r>
        <w:rPr>
          <w:rFonts w:eastAsia="宋体"/>
          <w:sz w:val="28"/>
          <w:szCs w:val="28"/>
          <w:highlight w:val="none"/>
        </w:rPr>
        <w:t>的通知》（交规划发〔2020〕54号）</w:t>
      </w:r>
      <w:r>
        <w:rPr>
          <w:rFonts w:hint="eastAsia" w:eastAsia="宋体"/>
          <w:sz w:val="28"/>
          <w:szCs w:val="28"/>
          <w:highlight w:val="none"/>
        </w:rPr>
        <w:t>；</w:t>
      </w:r>
    </w:p>
    <w:p>
      <w:pPr>
        <w:pStyle w:val="14"/>
        <w:spacing w:after="0" w:line="360" w:lineRule="auto"/>
        <w:ind w:firstLine="560" w:firstLineChars="200"/>
        <w:rPr>
          <w:rFonts w:ascii="Times New Roman" w:hAnsi="Times New Roman" w:eastAsia="宋体" w:cs="Times New Roman"/>
          <w:sz w:val="28"/>
          <w:szCs w:val="28"/>
          <w:highlight w:val="none"/>
        </w:rPr>
      </w:pPr>
      <w:r>
        <w:rPr>
          <w:rFonts w:ascii="Times New Roman" w:hAnsi="Times New Roman" w:eastAsia="宋体" w:cs="Times New Roman"/>
          <w:sz w:val="28"/>
          <w:szCs w:val="28"/>
          <w:highlight w:val="none"/>
        </w:rPr>
        <w:t>（6）</w:t>
      </w:r>
      <w:r>
        <w:rPr>
          <w:rFonts w:hint="eastAsia" w:ascii="Times New Roman" w:hAnsi="Times New Roman" w:eastAsia="宋体" w:cs="Times New Roman"/>
          <w:sz w:val="28"/>
          <w:szCs w:val="28"/>
          <w:highlight w:val="none"/>
        </w:rPr>
        <w:t>中国共产党四川</w:t>
      </w:r>
      <w:r>
        <w:rPr>
          <w:rFonts w:ascii="Times New Roman" w:hAnsi="Times New Roman" w:eastAsia="宋体" w:cs="Times New Roman"/>
          <w:sz w:val="28"/>
          <w:szCs w:val="28"/>
          <w:highlight w:val="none"/>
        </w:rPr>
        <w:t>省委十一届、十二届历次全会精神；</w:t>
      </w:r>
    </w:p>
    <w:p>
      <w:pPr>
        <w:pStyle w:val="14"/>
        <w:spacing w:after="0" w:line="360" w:lineRule="auto"/>
        <w:ind w:firstLine="560" w:firstLineChars="200"/>
        <w:rPr>
          <w:rFonts w:ascii="Times New Roman" w:hAnsi="Times New Roman" w:eastAsia="宋体" w:cs="Times New Roman"/>
          <w:sz w:val="28"/>
          <w:szCs w:val="28"/>
          <w:highlight w:val="none"/>
        </w:rPr>
      </w:pPr>
      <w:r>
        <w:rPr>
          <w:rFonts w:ascii="Times New Roman" w:hAnsi="Times New Roman" w:eastAsia="宋体" w:cs="Times New Roman"/>
          <w:sz w:val="28"/>
          <w:szCs w:val="28"/>
          <w:highlight w:val="none"/>
        </w:rPr>
        <w:t>（7）《中共四川省委关于制定四川省国民经济和社会发展第十四个五年规划和二〇三五年远景目标纲要》</w:t>
      </w:r>
      <w:r>
        <w:rPr>
          <w:rFonts w:hint="eastAsia" w:ascii="Times New Roman" w:hAnsi="Times New Roman" w:eastAsia="宋体" w:cs="Times New Roman"/>
          <w:sz w:val="28"/>
          <w:szCs w:val="28"/>
          <w:highlight w:val="none"/>
        </w:rPr>
        <w:t>；</w:t>
      </w:r>
    </w:p>
    <w:p>
      <w:pPr>
        <w:pStyle w:val="14"/>
        <w:spacing w:after="0" w:line="360" w:lineRule="auto"/>
        <w:ind w:firstLine="560" w:firstLineChars="200"/>
        <w:rPr>
          <w:rFonts w:ascii="Times New Roman" w:hAnsi="Times New Roman" w:eastAsia="宋体" w:cs="Times New Roman"/>
          <w:sz w:val="28"/>
          <w:szCs w:val="28"/>
          <w:highlight w:val="none"/>
        </w:rPr>
      </w:pPr>
      <w:r>
        <w:rPr>
          <w:rFonts w:ascii="Times New Roman" w:hAnsi="Times New Roman" w:eastAsia="宋体" w:cs="Times New Roman"/>
          <w:sz w:val="28"/>
          <w:szCs w:val="28"/>
          <w:highlight w:val="none"/>
        </w:rPr>
        <w:t>（8）《关于加快推进成都平原经济区协同发展的实施意见》（2019年01月）；</w:t>
      </w:r>
    </w:p>
    <w:p>
      <w:pPr>
        <w:pStyle w:val="14"/>
        <w:spacing w:after="0" w:line="360" w:lineRule="auto"/>
        <w:ind w:firstLine="560" w:firstLineChars="200"/>
        <w:rPr>
          <w:rFonts w:ascii="Times New Roman" w:hAnsi="Times New Roman" w:eastAsia="宋体" w:cs="Times New Roman"/>
          <w:color w:val="000000" w:themeColor="text1"/>
          <w:sz w:val="28"/>
          <w:szCs w:val="28"/>
          <w:highlight w:val="none"/>
          <w14:textFill>
            <w14:solidFill>
              <w14:schemeClr w14:val="tx1"/>
            </w14:solidFill>
          </w14:textFill>
        </w:rPr>
      </w:pPr>
      <w:r>
        <w:rPr>
          <w:rFonts w:hint="eastAsia" w:ascii="Times New Roman" w:hAnsi="Times New Roman" w:eastAsia="宋体" w:cs="Times New Roman"/>
          <w:color w:val="000000" w:themeColor="text1"/>
          <w:sz w:val="28"/>
          <w:szCs w:val="28"/>
          <w:highlight w:val="none"/>
          <w14:textFill>
            <w14:solidFill>
              <w14:schemeClr w14:val="tx1"/>
            </w14:solidFill>
          </w14:textFill>
        </w:rPr>
        <w:t>（</w:t>
      </w:r>
      <w:r>
        <w:rPr>
          <w:rFonts w:ascii="Times New Roman" w:hAnsi="Times New Roman" w:eastAsia="宋体" w:cs="Times New Roman"/>
          <w:color w:val="000000" w:themeColor="text1"/>
          <w:sz w:val="28"/>
          <w:szCs w:val="28"/>
          <w:highlight w:val="none"/>
          <w14:textFill>
            <w14:solidFill>
              <w14:schemeClr w14:val="tx1"/>
            </w14:solidFill>
          </w14:textFill>
        </w:rPr>
        <w:t>9</w:t>
      </w:r>
      <w:r>
        <w:rPr>
          <w:rFonts w:hint="eastAsia" w:ascii="Times New Roman" w:hAnsi="Times New Roman" w:eastAsia="宋体" w:cs="Times New Roman"/>
          <w:color w:val="000000" w:themeColor="text1"/>
          <w:sz w:val="28"/>
          <w:szCs w:val="28"/>
          <w:highlight w:val="none"/>
          <w14:textFill>
            <w14:solidFill>
              <w14:schemeClr w14:val="tx1"/>
            </w14:solidFill>
          </w14:textFill>
        </w:rPr>
        <w:t>）《中共四川省委</w:t>
      </w:r>
      <w:r>
        <w:rPr>
          <w:rFonts w:ascii="Times New Roman" w:hAnsi="Times New Roman" w:eastAsia="宋体" w:cs="Times New Roman"/>
          <w:color w:val="000000" w:themeColor="text1"/>
          <w:sz w:val="28"/>
          <w:szCs w:val="28"/>
          <w:highlight w:val="none"/>
          <w14:textFill>
            <w14:solidFill>
              <w14:schemeClr w14:val="tx1"/>
            </w14:solidFill>
          </w14:textFill>
        </w:rPr>
        <w:t xml:space="preserve"> </w:t>
      </w:r>
      <w:r>
        <w:rPr>
          <w:rFonts w:hint="eastAsia" w:ascii="Times New Roman" w:hAnsi="Times New Roman" w:eastAsia="宋体" w:cs="Times New Roman"/>
          <w:color w:val="000000" w:themeColor="text1"/>
          <w:sz w:val="28"/>
          <w:szCs w:val="28"/>
          <w:highlight w:val="none"/>
          <w14:textFill>
            <w14:solidFill>
              <w14:schemeClr w14:val="tx1"/>
            </w14:solidFill>
          </w14:textFill>
        </w:rPr>
        <w:t>四川省人民政府关于支持乐山高质量发展加快提升区域中心城市能级的意见》（2023年12月）</w:t>
      </w:r>
    </w:p>
    <w:p>
      <w:pPr>
        <w:pStyle w:val="14"/>
        <w:spacing w:after="0" w:line="360" w:lineRule="auto"/>
        <w:ind w:firstLine="560" w:firstLineChars="200"/>
        <w:rPr>
          <w:rFonts w:ascii="Times New Roman" w:hAnsi="Times New Roman" w:eastAsia="宋体" w:cs="Times New Roman"/>
          <w:sz w:val="28"/>
          <w:szCs w:val="28"/>
          <w:highlight w:val="none"/>
        </w:rPr>
      </w:pPr>
      <w:r>
        <w:rPr>
          <w:rFonts w:ascii="Times New Roman" w:hAnsi="Times New Roman" w:eastAsia="宋体" w:cs="Times New Roman"/>
          <w:sz w:val="28"/>
          <w:szCs w:val="28"/>
          <w:highlight w:val="none"/>
        </w:rPr>
        <w:t>（10）</w:t>
      </w:r>
      <w:r>
        <w:rPr>
          <w:rFonts w:hint="eastAsia" w:ascii="Times New Roman" w:hAnsi="Times New Roman" w:eastAsia="宋体" w:cs="Times New Roman"/>
          <w:sz w:val="28"/>
          <w:szCs w:val="28"/>
          <w:highlight w:val="none"/>
        </w:rPr>
        <w:t>中国共产党</w:t>
      </w:r>
      <w:r>
        <w:rPr>
          <w:rFonts w:ascii="Times New Roman" w:hAnsi="Times New Roman" w:eastAsia="宋体" w:cs="Times New Roman"/>
          <w:sz w:val="28"/>
          <w:szCs w:val="28"/>
          <w:highlight w:val="none"/>
        </w:rPr>
        <w:t>乐山市</w:t>
      </w:r>
      <w:r>
        <w:rPr>
          <w:rFonts w:hint="eastAsia" w:ascii="Times New Roman" w:hAnsi="Times New Roman" w:eastAsia="宋体" w:cs="Times New Roman"/>
          <w:sz w:val="28"/>
          <w:szCs w:val="28"/>
          <w:highlight w:val="none"/>
        </w:rPr>
        <w:t>委</w:t>
      </w:r>
      <w:r>
        <w:rPr>
          <w:rFonts w:ascii="Times New Roman" w:hAnsi="Times New Roman" w:eastAsia="宋体" w:cs="Times New Roman"/>
          <w:sz w:val="28"/>
          <w:szCs w:val="28"/>
          <w:highlight w:val="none"/>
        </w:rPr>
        <w:t>七届</w:t>
      </w:r>
      <w:r>
        <w:rPr>
          <w:rFonts w:hint="eastAsia" w:ascii="Times New Roman" w:hAnsi="Times New Roman" w:eastAsia="宋体" w:cs="Times New Roman"/>
          <w:sz w:val="28"/>
          <w:szCs w:val="28"/>
          <w:highlight w:val="none"/>
        </w:rPr>
        <w:t>、</w:t>
      </w:r>
      <w:r>
        <w:rPr>
          <w:rFonts w:ascii="Times New Roman" w:hAnsi="Times New Roman" w:eastAsia="宋体" w:cs="Times New Roman"/>
          <w:sz w:val="28"/>
          <w:szCs w:val="28"/>
          <w:highlight w:val="none"/>
        </w:rPr>
        <w:t>八届历次全会精神</w:t>
      </w:r>
      <w:r>
        <w:rPr>
          <w:rFonts w:hint="eastAsia" w:ascii="Times New Roman" w:hAnsi="Times New Roman" w:eastAsia="宋体" w:cs="Times New Roman"/>
          <w:sz w:val="28"/>
          <w:szCs w:val="28"/>
          <w:highlight w:val="none"/>
        </w:rPr>
        <w:t>。</w:t>
      </w:r>
    </w:p>
    <w:p>
      <w:pPr>
        <w:pStyle w:val="14"/>
        <w:spacing w:after="0" w:line="360" w:lineRule="auto"/>
        <w:ind w:firstLine="562" w:firstLineChars="200"/>
        <w:rPr>
          <w:rFonts w:ascii="Times New Roman" w:hAnsi="Times New Roman" w:cs="Times New Roman" w:eastAsiaTheme="majorEastAsia"/>
          <w:b/>
          <w:bCs/>
          <w:sz w:val="28"/>
          <w:szCs w:val="28"/>
          <w:highlight w:val="none"/>
        </w:rPr>
      </w:pPr>
      <w:r>
        <w:rPr>
          <w:rFonts w:ascii="Times New Roman" w:hAnsi="Times New Roman" w:cs="Times New Roman" w:eastAsiaTheme="majorEastAsia"/>
          <w:b/>
          <w:bCs/>
          <w:sz w:val="28"/>
          <w:szCs w:val="28"/>
          <w:highlight w:val="none"/>
        </w:rPr>
        <w:t>（三）相关规划及资料</w:t>
      </w:r>
    </w:p>
    <w:p>
      <w:pPr>
        <w:pStyle w:val="14"/>
        <w:spacing w:after="0" w:line="360" w:lineRule="auto"/>
        <w:ind w:firstLine="560" w:firstLineChars="200"/>
        <w:rPr>
          <w:rFonts w:ascii="Times New Roman" w:hAnsi="Times New Roman" w:eastAsia="宋体" w:cs="Times New Roman"/>
          <w:sz w:val="28"/>
          <w:szCs w:val="28"/>
          <w:highlight w:val="none"/>
        </w:rPr>
      </w:pPr>
      <w:r>
        <w:rPr>
          <w:rFonts w:ascii="Times New Roman" w:hAnsi="Times New Roman" w:eastAsia="宋体" w:cs="Times New Roman"/>
          <w:sz w:val="28"/>
          <w:szCs w:val="28"/>
          <w:highlight w:val="none"/>
        </w:rPr>
        <w:t>（1）《四川省内河水运发展规划（</w:t>
      </w:r>
      <w:r>
        <w:rPr>
          <w:rFonts w:hint="eastAsia" w:ascii="Times New Roman" w:hAnsi="Times New Roman" w:eastAsia="宋体" w:cs="Times New Roman"/>
          <w:sz w:val="28"/>
          <w:szCs w:val="28"/>
          <w:highlight w:val="none"/>
        </w:rPr>
        <w:t>2</w:t>
      </w:r>
      <w:r>
        <w:rPr>
          <w:rFonts w:ascii="Times New Roman" w:hAnsi="Times New Roman" w:eastAsia="宋体" w:cs="Times New Roman"/>
          <w:sz w:val="28"/>
          <w:szCs w:val="28"/>
          <w:highlight w:val="none"/>
        </w:rPr>
        <w:t>023~2035年）》</w:t>
      </w:r>
    </w:p>
    <w:p>
      <w:pPr>
        <w:pStyle w:val="14"/>
        <w:spacing w:after="0" w:line="360" w:lineRule="auto"/>
        <w:ind w:firstLine="560" w:firstLineChars="200"/>
        <w:rPr>
          <w:rFonts w:ascii="Times New Roman" w:hAnsi="Times New Roman" w:eastAsia="宋体" w:cs="Times New Roman"/>
          <w:sz w:val="28"/>
          <w:szCs w:val="28"/>
          <w:highlight w:val="none"/>
        </w:rPr>
      </w:pPr>
      <w:r>
        <w:rPr>
          <w:rFonts w:ascii="Times New Roman" w:hAnsi="Times New Roman" w:eastAsia="宋体" w:cs="Times New Roman"/>
          <w:sz w:val="28"/>
          <w:szCs w:val="28"/>
          <w:highlight w:val="none"/>
        </w:rPr>
        <w:t>（2）《岷江（乐山—宜宾）航电发展规划》（2009年3月）；</w:t>
      </w:r>
    </w:p>
    <w:p>
      <w:pPr>
        <w:pStyle w:val="14"/>
        <w:spacing w:after="0" w:line="360" w:lineRule="auto"/>
        <w:ind w:firstLine="560" w:firstLineChars="200"/>
        <w:rPr>
          <w:rFonts w:ascii="Times New Roman" w:hAnsi="Times New Roman" w:eastAsia="宋体" w:cs="Times New Roman"/>
          <w:sz w:val="28"/>
          <w:szCs w:val="28"/>
          <w:highlight w:val="none"/>
        </w:rPr>
      </w:pPr>
      <w:r>
        <w:rPr>
          <w:rFonts w:ascii="Times New Roman" w:hAnsi="Times New Roman" w:eastAsia="宋体" w:cs="Times New Roman"/>
          <w:sz w:val="28"/>
          <w:szCs w:val="28"/>
          <w:highlight w:val="none"/>
        </w:rPr>
        <w:t>（3）《</w:t>
      </w:r>
      <w:r>
        <w:rPr>
          <w:rFonts w:hint="eastAsia" w:ascii="Times New Roman" w:hAnsi="Times New Roman" w:eastAsia="宋体" w:cs="Times New Roman"/>
          <w:sz w:val="28"/>
          <w:szCs w:val="28"/>
          <w:highlight w:val="none"/>
        </w:rPr>
        <w:t>岷江成都至乐山段航运发展规划</w:t>
      </w:r>
      <w:r>
        <w:rPr>
          <w:rFonts w:ascii="Times New Roman" w:hAnsi="Times New Roman" w:eastAsia="宋体" w:cs="Times New Roman"/>
          <w:sz w:val="28"/>
          <w:szCs w:val="28"/>
          <w:highlight w:val="none"/>
        </w:rPr>
        <w:t>》；</w:t>
      </w:r>
    </w:p>
    <w:p>
      <w:pPr>
        <w:pStyle w:val="14"/>
        <w:spacing w:after="0" w:line="360" w:lineRule="auto"/>
        <w:ind w:firstLine="560" w:firstLineChars="200"/>
        <w:rPr>
          <w:rFonts w:ascii="Times New Roman" w:hAnsi="Times New Roman" w:eastAsia="宋体" w:cs="Times New Roman"/>
          <w:sz w:val="28"/>
          <w:szCs w:val="28"/>
          <w:highlight w:val="none"/>
        </w:rPr>
      </w:pPr>
      <w:r>
        <w:rPr>
          <w:rFonts w:ascii="Times New Roman" w:hAnsi="Times New Roman" w:eastAsia="宋体" w:cs="Times New Roman"/>
          <w:sz w:val="28"/>
          <w:szCs w:val="28"/>
          <w:highlight w:val="none"/>
        </w:rPr>
        <w:t>（4）《岷江流域综合规划》；</w:t>
      </w:r>
    </w:p>
    <w:p>
      <w:pPr>
        <w:pStyle w:val="14"/>
        <w:spacing w:after="0" w:line="360" w:lineRule="auto"/>
        <w:ind w:firstLine="560" w:firstLineChars="200"/>
        <w:rPr>
          <w:rFonts w:ascii="Times New Roman" w:hAnsi="Times New Roman" w:eastAsia="宋体" w:cs="Times New Roman"/>
          <w:sz w:val="28"/>
          <w:szCs w:val="28"/>
          <w:highlight w:val="none"/>
        </w:rPr>
      </w:pPr>
      <w:r>
        <w:rPr>
          <w:rFonts w:ascii="Times New Roman" w:hAnsi="Times New Roman" w:eastAsia="宋体" w:cs="Times New Roman"/>
          <w:sz w:val="28"/>
          <w:szCs w:val="28"/>
          <w:highlight w:val="none"/>
        </w:rPr>
        <w:t>（5）《岷江中下游（乐山段）防洪规划修编报告（2012年5月）》；</w:t>
      </w:r>
    </w:p>
    <w:p>
      <w:pPr>
        <w:pStyle w:val="14"/>
        <w:spacing w:after="0" w:line="360" w:lineRule="auto"/>
        <w:ind w:firstLine="560" w:firstLineChars="200"/>
        <w:rPr>
          <w:rFonts w:ascii="Times New Roman" w:hAnsi="Times New Roman" w:eastAsia="宋体" w:cs="Times New Roman"/>
          <w:sz w:val="28"/>
          <w:szCs w:val="28"/>
          <w:highlight w:val="none"/>
        </w:rPr>
      </w:pPr>
      <w:r>
        <w:rPr>
          <w:rFonts w:ascii="Times New Roman" w:hAnsi="Times New Roman" w:eastAsia="宋体" w:cs="Times New Roman"/>
          <w:sz w:val="28"/>
          <w:szCs w:val="28"/>
          <w:highlight w:val="none"/>
        </w:rPr>
        <w:t>（6）《乐山港总体规划》（2010年2月）；</w:t>
      </w:r>
    </w:p>
    <w:p>
      <w:pPr>
        <w:pStyle w:val="14"/>
        <w:spacing w:after="0" w:line="360" w:lineRule="auto"/>
        <w:ind w:firstLine="560" w:firstLineChars="200"/>
        <w:rPr>
          <w:rFonts w:ascii="Times New Roman" w:hAnsi="Times New Roman" w:eastAsia="宋体" w:cs="Times New Roman"/>
          <w:sz w:val="28"/>
          <w:szCs w:val="28"/>
          <w:highlight w:val="none"/>
        </w:rPr>
      </w:pPr>
      <w:r>
        <w:rPr>
          <w:rFonts w:ascii="Times New Roman" w:hAnsi="Times New Roman" w:eastAsia="宋体" w:cs="Times New Roman"/>
          <w:sz w:val="28"/>
          <w:szCs w:val="28"/>
          <w:highlight w:val="none"/>
        </w:rPr>
        <w:t>（7）</w:t>
      </w:r>
      <w:r>
        <w:rPr>
          <w:rFonts w:hint="eastAsia" w:ascii="Times New Roman" w:hAnsi="Times New Roman" w:eastAsia="宋体" w:cs="Times New Roman"/>
          <w:sz w:val="28"/>
          <w:szCs w:val="28"/>
          <w:highlight w:val="none"/>
        </w:rPr>
        <w:t>《乐山市国民经济和社会发展第十四个五年规划和二〇三五年远景目标纲要》</w:t>
      </w:r>
      <w:r>
        <w:rPr>
          <w:rFonts w:ascii="Times New Roman" w:hAnsi="Times New Roman" w:eastAsia="宋体" w:cs="Times New Roman"/>
          <w:sz w:val="28"/>
          <w:szCs w:val="28"/>
          <w:highlight w:val="none"/>
        </w:rPr>
        <w:t>；</w:t>
      </w:r>
    </w:p>
    <w:p>
      <w:pPr>
        <w:pStyle w:val="14"/>
        <w:spacing w:after="0" w:line="360" w:lineRule="auto"/>
        <w:ind w:firstLine="560" w:firstLineChars="200"/>
        <w:rPr>
          <w:rFonts w:ascii="Times New Roman" w:hAnsi="Times New Roman" w:eastAsia="宋体" w:cs="Times New Roman"/>
          <w:sz w:val="28"/>
          <w:szCs w:val="28"/>
          <w:highlight w:val="none"/>
        </w:rPr>
      </w:pPr>
      <w:r>
        <w:rPr>
          <w:rFonts w:ascii="Times New Roman" w:hAnsi="Times New Roman" w:eastAsia="宋体" w:cs="Times New Roman"/>
          <w:sz w:val="28"/>
          <w:szCs w:val="28"/>
          <w:highlight w:val="none"/>
        </w:rPr>
        <w:t>（8）乐山市</w:t>
      </w:r>
      <w:r>
        <w:rPr>
          <w:rFonts w:hint="eastAsia" w:ascii="Times New Roman" w:hAnsi="Times New Roman" w:eastAsia="宋体" w:cs="Times New Roman"/>
          <w:sz w:val="28"/>
          <w:szCs w:val="28"/>
          <w:highlight w:val="none"/>
        </w:rPr>
        <w:t>发展改革</w:t>
      </w:r>
      <w:r>
        <w:rPr>
          <w:rFonts w:ascii="Times New Roman" w:hAnsi="Times New Roman" w:eastAsia="宋体" w:cs="Times New Roman"/>
          <w:sz w:val="28"/>
          <w:szCs w:val="28"/>
          <w:highlight w:val="none"/>
        </w:rPr>
        <w:t>、自然资源、</w:t>
      </w:r>
      <w:r>
        <w:rPr>
          <w:rFonts w:hint="eastAsia" w:ascii="Times New Roman" w:hAnsi="Times New Roman" w:eastAsia="宋体" w:cs="Times New Roman"/>
          <w:sz w:val="28"/>
          <w:szCs w:val="28"/>
          <w:highlight w:val="none"/>
        </w:rPr>
        <w:t>经信</w:t>
      </w:r>
      <w:r>
        <w:rPr>
          <w:rFonts w:ascii="Times New Roman" w:hAnsi="Times New Roman" w:eastAsia="宋体" w:cs="Times New Roman"/>
          <w:sz w:val="28"/>
          <w:szCs w:val="28"/>
          <w:highlight w:val="none"/>
        </w:rPr>
        <w:t>、文旅、交通、水</w:t>
      </w:r>
      <w:r>
        <w:rPr>
          <w:rFonts w:hint="eastAsia" w:ascii="Times New Roman" w:hAnsi="Times New Roman" w:eastAsia="宋体" w:cs="Times New Roman"/>
          <w:sz w:val="28"/>
          <w:szCs w:val="28"/>
          <w:highlight w:val="none"/>
        </w:rPr>
        <w:t>务</w:t>
      </w:r>
      <w:r>
        <w:rPr>
          <w:rFonts w:ascii="Times New Roman" w:hAnsi="Times New Roman" w:eastAsia="宋体" w:cs="Times New Roman"/>
          <w:sz w:val="28"/>
          <w:szCs w:val="28"/>
          <w:highlight w:val="none"/>
        </w:rPr>
        <w:t>、商务等相关行业规划及资料</w:t>
      </w:r>
      <w:r>
        <w:rPr>
          <w:rFonts w:hint="eastAsia" w:ascii="Times New Roman" w:hAnsi="Times New Roman" w:eastAsia="宋体" w:cs="Times New Roman"/>
          <w:sz w:val="28"/>
          <w:szCs w:val="28"/>
          <w:highlight w:val="none"/>
        </w:rPr>
        <w:t>。</w:t>
      </w:r>
    </w:p>
    <w:p>
      <w:pPr>
        <w:pStyle w:val="14"/>
        <w:spacing w:after="0" w:line="360" w:lineRule="auto"/>
        <w:ind w:firstLine="562" w:firstLineChars="200"/>
        <w:rPr>
          <w:rFonts w:ascii="Times New Roman" w:hAnsi="Times New Roman" w:eastAsia="宋体" w:cs="Times New Roman"/>
          <w:sz w:val="28"/>
          <w:szCs w:val="28"/>
          <w:highlight w:val="none"/>
        </w:rPr>
      </w:pPr>
      <w:r>
        <w:rPr>
          <w:rFonts w:ascii="Times New Roman" w:hAnsi="Times New Roman" w:cs="Times New Roman" w:eastAsiaTheme="majorEastAsia"/>
          <w:b/>
          <w:bCs/>
          <w:sz w:val="28"/>
          <w:szCs w:val="28"/>
          <w:highlight w:val="none"/>
        </w:rPr>
        <w:t>（四）行业标准及规范</w:t>
      </w:r>
    </w:p>
    <w:p>
      <w:pPr>
        <w:pStyle w:val="14"/>
        <w:spacing w:after="0" w:line="360" w:lineRule="auto"/>
        <w:ind w:firstLine="560" w:firstLineChars="200"/>
        <w:rPr>
          <w:rFonts w:ascii="Times New Roman" w:hAnsi="Times New Roman" w:eastAsia="宋体" w:cs="Times New Roman"/>
          <w:sz w:val="28"/>
          <w:szCs w:val="28"/>
          <w:highlight w:val="none"/>
        </w:rPr>
      </w:pPr>
      <w:r>
        <w:rPr>
          <w:rFonts w:ascii="Times New Roman" w:hAnsi="Times New Roman" w:eastAsia="宋体" w:cs="Times New Roman"/>
          <w:sz w:val="28"/>
          <w:szCs w:val="28"/>
          <w:highlight w:val="none"/>
        </w:rPr>
        <w:t>（1）交通运输部颁发的《港口总体规划编制内容及文本格式》（交规划发〔2006〕469号）；</w:t>
      </w:r>
    </w:p>
    <w:p>
      <w:pPr>
        <w:pStyle w:val="14"/>
        <w:spacing w:after="0" w:line="360" w:lineRule="auto"/>
        <w:ind w:firstLine="560" w:firstLineChars="200"/>
        <w:rPr>
          <w:rFonts w:ascii="Times New Roman" w:hAnsi="Times New Roman" w:eastAsia="宋体" w:cs="Times New Roman"/>
          <w:sz w:val="28"/>
          <w:szCs w:val="28"/>
          <w:highlight w:val="none"/>
        </w:rPr>
      </w:pPr>
      <w:r>
        <w:rPr>
          <w:rFonts w:ascii="Times New Roman" w:hAnsi="Times New Roman" w:eastAsia="宋体" w:cs="Times New Roman"/>
          <w:sz w:val="28"/>
          <w:szCs w:val="28"/>
          <w:highlight w:val="none"/>
        </w:rPr>
        <w:t>（2）《河港工程总体设计规范》（JTS166—2020）；</w:t>
      </w:r>
    </w:p>
    <w:p>
      <w:pPr>
        <w:pStyle w:val="14"/>
        <w:spacing w:after="0" w:line="360" w:lineRule="auto"/>
        <w:ind w:firstLine="560" w:firstLineChars="200"/>
        <w:rPr>
          <w:rFonts w:ascii="Times New Roman" w:hAnsi="Times New Roman" w:eastAsia="宋体" w:cs="Times New Roman"/>
          <w:sz w:val="28"/>
          <w:szCs w:val="28"/>
          <w:highlight w:val="none"/>
        </w:rPr>
      </w:pPr>
      <w:r>
        <w:rPr>
          <w:rFonts w:ascii="Times New Roman" w:hAnsi="Times New Roman" w:eastAsia="宋体" w:cs="Times New Roman"/>
          <w:sz w:val="28"/>
          <w:szCs w:val="28"/>
          <w:highlight w:val="none"/>
        </w:rPr>
        <w:t>（3）《港口与航道水文规范》（JTS145-1-2015）；</w:t>
      </w:r>
    </w:p>
    <w:p>
      <w:pPr>
        <w:pStyle w:val="14"/>
        <w:spacing w:after="0" w:line="360" w:lineRule="auto"/>
        <w:ind w:firstLine="560" w:firstLineChars="200"/>
        <w:rPr>
          <w:rFonts w:ascii="Times New Roman" w:hAnsi="Times New Roman" w:eastAsia="宋体" w:cs="Times New Roman"/>
          <w:sz w:val="28"/>
          <w:szCs w:val="28"/>
          <w:highlight w:val="none"/>
        </w:rPr>
      </w:pPr>
      <w:r>
        <w:rPr>
          <w:rFonts w:ascii="Times New Roman" w:hAnsi="Times New Roman" w:eastAsia="宋体" w:cs="Times New Roman"/>
          <w:sz w:val="28"/>
          <w:szCs w:val="28"/>
          <w:highlight w:val="none"/>
        </w:rPr>
        <w:t>（4）《内河通航标准》(GB50139-2014)等现行有关规范、规程。</w:t>
      </w:r>
    </w:p>
    <w:p>
      <w:pPr>
        <w:spacing w:line="360" w:lineRule="auto"/>
        <w:ind w:firstLine="562" w:firstLineChars="200"/>
        <w:rPr>
          <w:rFonts w:eastAsia="黑体"/>
          <w:b/>
          <w:sz w:val="28"/>
          <w:szCs w:val="28"/>
          <w:highlight w:val="none"/>
        </w:rPr>
      </w:pPr>
      <w:r>
        <w:rPr>
          <w:rFonts w:eastAsia="黑体"/>
          <w:b/>
          <w:sz w:val="28"/>
          <w:szCs w:val="28"/>
          <w:highlight w:val="none"/>
        </w:rPr>
        <w:t>三、规划范围及水平年</w:t>
      </w:r>
    </w:p>
    <w:p>
      <w:pPr>
        <w:pStyle w:val="14"/>
        <w:spacing w:after="0" w:line="360" w:lineRule="auto"/>
        <w:ind w:firstLine="562" w:firstLineChars="200"/>
        <w:rPr>
          <w:rFonts w:ascii="Times New Roman" w:hAnsi="Times New Roman" w:eastAsia="宋体" w:cs="Times New Roman"/>
          <w:b/>
          <w:sz w:val="28"/>
          <w:szCs w:val="28"/>
          <w:highlight w:val="none"/>
        </w:rPr>
      </w:pPr>
      <w:r>
        <w:rPr>
          <w:rFonts w:ascii="Times New Roman" w:hAnsi="Times New Roman" w:eastAsia="宋体" w:cs="Times New Roman"/>
          <w:b/>
          <w:sz w:val="28"/>
          <w:szCs w:val="28"/>
          <w:highlight w:val="none"/>
        </w:rPr>
        <w:t>（一）规划范围</w:t>
      </w:r>
    </w:p>
    <w:p>
      <w:pPr>
        <w:pStyle w:val="14"/>
        <w:spacing w:after="0" w:line="360" w:lineRule="auto"/>
        <w:ind w:firstLine="560" w:firstLineChars="200"/>
        <w:rPr>
          <w:rFonts w:ascii="Times New Roman" w:hAnsi="Times New Roman" w:eastAsia="宋体" w:cs="Times New Roman"/>
          <w:sz w:val="28"/>
          <w:szCs w:val="28"/>
          <w:highlight w:val="none"/>
        </w:rPr>
      </w:pPr>
      <w:r>
        <w:rPr>
          <w:rFonts w:ascii="Times New Roman" w:hAnsi="Times New Roman" w:eastAsia="宋体" w:cs="Times New Roman"/>
          <w:sz w:val="28"/>
          <w:szCs w:val="28"/>
          <w:highlight w:val="none"/>
        </w:rPr>
        <w:t>本次规划范围涵盖乐山市所有通航水域，包括岷江、大渡河、青衣江、沐溪河、马边河、箭板河（龙溪河）、茫溪河、月波河等乐山市境内所有通航河流以及大佛水库、红星水库等通航湖库的航道、港口、公益性渡口等设施，行政区域涵盖市中区、五通桥区、沙湾</w:t>
      </w:r>
      <w:r>
        <w:rPr>
          <w:rFonts w:hint="eastAsia" w:ascii="Times New Roman" w:hAnsi="Times New Roman" w:eastAsia="宋体" w:cs="Times New Roman"/>
          <w:sz w:val="28"/>
          <w:szCs w:val="28"/>
          <w:highlight w:val="none"/>
        </w:rPr>
        <w:t>区</w:t>
      </w:r>
      <w:r>
        <w:rPr>
          <w:rFonts w:ascii="Times New Roman" w:hAnsi="Times New Roman" w:eastAsia="宋体" w:cs="Times New Roman"/>
          <w:sz w:val="28"/>
          <w:szCs w:val="28"/>
          <w:highlight w:val="none"/>
        </w:rPr>
        <w:t>、金口河区、犍为县、沐川县、夹江县、峨眉山市、</w:t>
      </w:r>
      <w:r>
        <w:rPr>
          <w:rFonts w:hint="eastAsia" w:ascii="Times New Roman" w:hAnsi="Times New Roman" w:eastAsia="宋体" w:cs="Times New Roman"/>
          <w:sz w:val="28"/>
          <w:szCs w:val="28"/>
          <w:highlight w:val="none"/>
        </w:rPr>
        <w:t>峨边彝族自治县</w:t>
      </w:r>
      <w:r>
        <w:rPr>
          <w:rFonts w:ascii="Times New Roman" w:hAnsi="Times New Roman" w:eastAsia="宋体" w:cs="Times New Roman"/>
          <w:sz w:val="28"/>
          <w:szCs w:val="28"/>
          <w:highlight w:val="none"/>
        </w:rPr>
        <w:t>、马边</w:t>
      </w:r>
      <w:r>
        <w:rPr>
          <w:rFonts w:hint="eastAsia" w:ascii="Times New Roman" w:hAnsi="Times New Roman" w:eastAsia="宋体" w:cs="Times New Roman"/>
          <w:sz w:val="28"/>
          <w:szCs w:val="28"/>
          <w:highlight w:val="none"/>
        </w:rPr>
        <w:t>彝族自治县</w:t>
      </w:r>
      <w:r>
        <w:rPr>
          <w:rFonts w:ascii="Times New Roman" w:hAnsi="Times New Roman" w:eastAsia="宋体" w:cs="Times New Roman"/>
          <w:sz w:val="28"/>
          <w:szCs w:val="28"/>
          <w:highlight w:val="none"/>
        </w:rPr>
        <w:t>等区市县。</w:t>
      </w:r>
    </w:p>
    <w:p>
      <w:pPr>
        <w:pStyle w:val="14"/>
        <w:spacing w:after="0" w:line="360" w:lineRule="auto"/>
        <w:ind w:firstLine="562" w:firstLineChars="200"/>
        <w:rPr>
          <w:rFonts w:ascii="Times New Roman" w:hAnsi="Times New Roman" w:eastAsia="宋体" w:cs="Times New Roman"/>
          <w:b/>
          <w:sz w:val="28"/>
          <w:szCs w:val="28"/>
          <w:highlight w:val="none"/>
        </w:rPr>
      </w:pPr>
      <w:r>
        <w:rPr>
          <w:rFonts w:ascii="Times New Roman" w:hAnsi="Times New Roman" w:eastAsia="宋体" w:cs="Times New Roman"/>
          <w:b/>
          <w:sz w:val="28"/>
          <w:szCs w:val="28"/>
          <w:highlight w:val="none"/>
        </w:rPr>
        <w:t>（二）规划水平年</w:t>
      </w:r>
    </w:p>
    <w:p>
      <w:pPr>
        <w:pStyle w:val="14"/>
        <w:spacing w:after="0" w:line="360" w:lineRule="auto"/>
        <w:ind w:firstLine="560" w:firstLineChars="200"/>
        <w:rPr>
          <w:rFonts w:ascii="Times New Roman" w:hAnsi="Times New Roman" w:eastAsia="宋体" w:cs="Times New Roman"/>
          <w:sz w:val="28"/>
          <w:szCs w:val="28"/>
          <w:highlight w:val="none"/>
        </w:rPr>
      </w:pPr>
      <w:r>
        <w:rPr>
          <w:rFonts w:ascii="Times New Roman" w:hAnsi="Times New Roman" w:eastAsia="宋体" w:cs="Times New Roman"/>
          <w:sz w:val="28"/>
          <w:szCs w:val="28"/>
          <w:highlight w:val="none"/>
        </w:rPr>
        <w:t>规划基础年为2020年，规划水平年为2025年、2035年，远景展望至2050年。</w:t>
      </w:r>
    </w:p>
    <w:p>
      <w:pPr>
        <w:spacing w:line="360" w:lineRule="auto"/>
        <w:ind w:firstLine="562" w:firstLineChars="200"/>
        <w:rPr>
          <w:rFonts w:eastAsia="黑体"/>
          <w:b/>
          <w:sz w:val="28"/>
          <w:szCs w:val="28"/>
          <w:highlight w:val="none"/>
        </w:rPr>
      </w:pPr>
      <w:r>
        <w:rPr>
          <w:rFonts w:eastAsia="黑体"/>
          <w:b/>
          <w:sz w:val="28"/>
          <w:szCs w:val="28"/>
          <w:highlight w:val="none"/>
        </w:rPr>
        <w:t>四、</w:t>
      </w:r>
      <w:r>
        <w:rPr>
          <w:rFonts w:hint="eastAsia" w:eastAsia="黑体"/>
          <w:b/>
          <w:sz w:val="28"/>
          <w:szCs w:val="28"/>
          <w:highlight w:val="none"/>
        </w:rPr>
        <w:t>指导思想、基本原则及</w:t>
      </w:r>
      <w:r>
        <w:rPr>
          <w:rFonts w:eastAsia="黑体"/>
          <w:b/>
          <w:sz w:val="28"/>
          <w:szCs w:val="28"/>
          <w:highlight w:val="none"/>
        </w:rPr>
        <w:t>规划思路</w:t>
      </w:r>
    </w:p>
    <w:p>
      <w:pPr>
        <w:spacing w:line="360" w:lineRule="auto"/>
        <w:ind w:firstLine="562" w:firstLineChars="200"/>
        <w:rPr>
          <w:rFonts w:eastAsia="黑体"/>
          <w:b/>
          <w:sz w:val="28"/>
          <w:szCs w:val="28"/>
          <w:highlight w:val="none"/>
        </w:rPr>
      </w:pPr>
      <w:r>
        <w:rPr>
          <w:rFonts w:hint="eastAsia" w:eastAsia="黑体"/>
          <w:b/>
          <w:sz w:val="28"/>
          <w:szCs w:val="28"/>
          <w:highlight w:val="none"/>
        </w:rPr>
        <w:t>（</w:t>
      </w:r>
      <w:r>
        <w:rPr>
          <w:rFonts w:eastAsia="黑体"/>
          <w:b/>
          <w:sz w:val="28"/>
          <w:szCs w:val="28"/>
          <w:highlight w:val="none"/>
        </w:rPr>
        <w:t>一</w:t>
      </w:r>
      <w:r>
        <w:rPr>
          <w:rFonts w:hint="eastAsia" w:eastAsia="黑体"/>
          <w:b/>
          <w:sz w:val="28"/>
          <w:szCs w:val="28"/>
          <w:highlight w:val="none"/>
        </w:rPr>
        <w:t>）</w:t>
      </w:r>
      <w:r>
        <w:rPr>
          <w:rFonts w:eastAsia="黑体"/>
          <w:b/>
          <w:sz w:val="28"/>
          <w:szCs w:val="28"/>
          <w:highlight w:val="none"/>
        </w:rPr>
        <w:t>指导思想</w:t>
      </w:r>
    </w:p>
    <w:p>
      <w:pPr>
        <w:spacing w:line="360" w:lineRule="auto"/>
        <w:ind w:firstLine="560" w:firstLineChars="200"/>
        <w:rPr>
          <w:sz w:val="28"/>
          <w:szCs w:val="28"/>
          <w:highlight w:val="none"/>
        </w:rPr>
      </w:pPr>
      <w:r>
        <w:rPr>
          <w:sz w:val="28"/>
          <w:szCs w:val="28"/>
          <w:highlight w:val="none"/>
        </w:rPr>
        <w:t>深入</w:t>
      </w:r>
      <w:r>
        <w:rPr>
          <w:rFonts w:hint="eastAsia"/>
          <w:sz w:val="28"/>
          <w:szCs w:val="28"/>
          <w:highlight w:val="none"/>
        </w:rPr>
        <w:t>学习</w:t>
      </w:r>
      <w:r>
        <w:rPr>
          <w:sz w:val="28"/>
          <w:szCs w:val="28"/>
          <w:highlight w:val="none"/>
        </w:rPr>
        <w:t>贯彻党的</w:t>
      </w:r>
      <w:r>
        <w:rPr>
          <w:rFonts w:hint="eastAsia"/>
          <w:sz w:val="28"/>
          <w:szCs w:val="28"/>
          <w:highlight w:val="none"/>
        </w:rPr>
        <w:t>二十大</w:t>
      </w:r>
      <w:r>
        <w:rPr>
          <w:sz w:val="28"/>
          <w:szCs w:val="28"/>
          <w:highlight w:val="none"/>
        </w:rPr>
        <w:t>精神，坚持以习近平新时代中国特色社会主义思想以及习近平总书记对四川工作系列重要指示精神为指导，按照省委十</w:t>
      </w:r>
      <w:r>
        <w:rPr>
          <w:rFonts w:hint="eastAsia"/>
          <w:sz w:val="28"/>
          <w:szCs w:val="28"/>
          <w:highlight w:val="none"/>
        </w:rPr>
        <w:t>二</w:t>
      </w:r>
      <w:r>
        <w:rPr>
          <w:sz w:val="28"/>
          <w:szCs w:val="28"/>
          <w:highlight w:val="none"/>
        </w:rPr>
        <w:t>届历次全会重大部署和市委</w:t>
      </w:r>
      <w:r>
        <w:rPr>
          <w:rFonts w:hint="eastAsia"/>
          <w:sz w:val="28"/>
          <w:szCs w:val="28"/>
          <w:highlight w:val="none"/>
        </w:rPr>
        <w:t>八</w:t>
      </w:r>
      <w:r>
        <w:rPr>
          <w:sz w:val="28"/>
          <w:szCs w:val="28"/>
          <w:highlight w:val="none"/>
        </w:rPr>
        <w:t>届</w:t>
      </w:r>
      <w:r>
        <w:rPr>
          <w:rFonts w:hint="eastAsia"/>
          <w:sz w:val="28"/>
          <w:szCs w:val="28"/>
          <w:highlight w:val="none"/>
        </w:rPr>
        <w:t>历次</w:t>
      </w:r>
      <w:r>
        <w:rPr>
          <w:sz w:val="28"/>
          <w:szCs w:val="28"/>
          <w:highlight w:val="none"/>
        </w:rPr>
        <w:t>会议精神，以推动高质量发展为主题，以深化供给侧结构性改革为主线，以满足人民日益增长的美好生活需要为根本目的，紧紧围绕“产业强市、旅游兴市’”和建成区域综合交通枢纽目标，准确把握乐山水运在综合交通运输体系中的定位，</w:t>
      </w:r>
      <w:r>
        <w:rPr>
          <w:b/>
          <w:sz w:val="28"/>
          <w:szCs w:val="28"/>
          <w:highlight w:val="none"/>
        </w:rPr>
        <w:t>以扩容增效“航运中心”、建设成渝黄金水道</w:t>
      </w:r>
      <w:r>
        <w:rPr>
          <w:rFonts w:hint="eastAsia"/>
          <w:b/>
          <w:sz w:val="28"/>
          <w:szCs w:val="28"/>
          <w:highlight w:val="none"/>
        </w:rPr>
        <w:t>始发港、打造成都平原经济区“天府港”</w:t>
      </w:r>
      <w:r>
        <w:rPr>
          <w:sz w:val="28"/>
          <w:szCs w:val="28"/>
          <w:highlight w:val="none"/>
        </w:rPr>
        <w:t>为主线，转变发展模式、转换发展动能、升级发展业态，注重港口与腹地尤其是成都平原经济区铁路、公路等其他运输方式的衔接，着力强化乐山港的枢纽作用，强化乐山港在沿江资源开发产业布局中的先导性作用，强化乐山港在交旅融合发展中的基础性作用，从而实现乐山港高质量发展。</w:t>
      </w:r>
    </w:p>
    <w:p>
      <w:pPr>
        <w:spacing w:line="360" w:lineRule="auto"/>
        <w:ind w:firstLine="562" w:firstLineChars="200"/>
        <w:rPr>
          <w:rFonts w:eastAsia="黑体"/>
          <w:b/>
          <w:sz w:val="28"/>
          <w:szCs w:val="28"/>
          <w:highlight w:val="none"/>
        </w:rPr>
      </w:pPr>
      <w:r>
        <w:rPr>
          <w:rFonts w:hint="eastAsia" w:eastAsia="黑体"/>
          <w:b/>
          <w:sz w:val="28"/>
          <w:szCs w:val="28"/>
          <w:highlight w:val="none"/>
        </w:rPr>
        <w:t>（</w:t>
      </w:r>
      <w:r>
        <w:rPr>
          <w:rFonts w:eastAsia="黑体"/>
          <w:b/>
          <w:sz w:val="28"/>
          <w:szCs w:val="28"/>
          <w:highlight w:val="none"/>
        </w:rPr>
        <w:t>二</w:t>
      </w:r>
      <w:r>
        <w:rPr>
          <w:rFonts w:hint="eastAsia" w:eastAsia="黑体"/>
          <w:b/>
          <w:sz w:val="28"/>
          <w:szCs w:val="28"/>
          <w:highlight w:val="none"/>
        </w:rPr>
        <w:t>）</w:t>
      </w:r>
      <w:r>
        <w:rPr>
          <w:rFonts w:eastAsia="黑体"/>
          <w:b/>
          <w:sz w:val="28"/>
          <w:szCs w:val="28"/>
          <w:highlight w:val="none"/>
        </w:rPr>
        <w:t>基本原则</w:t>
      </w:r>
    </w:p>
    <w:p>
      <w:pPr>
        <w:pStyle w:val="14"/>
        <w:spacing w:after="0" w:line="360" w:lineRule="auto"/>
        <w:ind w:firstLine="562" w:firstLineChars="200"/>
        <w:rPr>
          <w:rFonts w:ascii="Times New Roman" w:hAnsi="Times New Roman" w:eastAsia="宋体" w:cs="Times New Roman"/>
          <w:b/>
          <w:sz w:val="28"/>
          <w:szCs w:val="28"/>
          <w:highlight w:val="none"/>
        </w:rPr>
      </w:pPr>
      <w:r>
        <w:rPr>
          <w:rFonts w:hint="eastAsia" w:ascii="Times New Roman" w:hAnsi="Times New Roman" w:eastAsia="宋体" w:cs="Times New Roman"/>
          <w:b/>
          <w:sz w:val="28"/>
          <w:szCs w:val="28"/>
          <w:highlight w:val="none"/>
        </w:rPr>
        <w:t>1</w:t>
      </w:r>
      <w:r>
        <w:rPr>
          <w:rFonts w:ascii="Times New Roman" w:hAnsi="Times New Roman" w:eastAsia="宋体" w:cs="Times New Roman"/>
          <w:b/>
          <w:sz w:val="28"/>
          <w:szCs w:val="28"/>
          <w:highlight w:val="none"/>
        </w:rPr>
        <w:t>.服务战略，引领发展</w:t>
      </w:r>
    </w:p>
    <w:p>
      <w:pPr>
        <w:pStyle w:val="2"/>
        <w:spacing w:line="360" w:lineRule="auto"/>
        <w:ind w:firstLine="560" w:firstLineChars="200"/>
        <w:rPr>
          <w:rFonts w:ascii="Times New Roman" w:cs="Times New Roman"/>
          <w:color w:val="auto"/>
          <w:kern w:val="2"/>
          <w:sz w:val="28"/>
          <w:szCs w:val="28"/>
          <w:highlight w:val="none"/>
        </w:rPr>
      </w:pPr>
      <w:r>
        <w:rPr>
          <w:rFonts w:ascii="Times New Roman" w:cs="Times New Roman"/>
          <w:color w:val="auto"/>
          <w:kern w:val="2"/>
          <w:sz w:val="28"/>
          <w:szCs w:val="28"/>
          <w:highlight w:val="none"/>
        </w:rPr>
        <w:t>牢牢把握我省多个国家战略叠加机遇，服务于”一带一路”建设、长江经济带发展、交通强国、新时代推进西部大开发形成新格局、成渝地区双城经济圈建设、碳达峰碳中和等国家战略和四川省“</w:t>
      </w:r>
      <w:r>
        <w:rPr>
          <w:rFonts w:hint="eastAsia" w:ascii="Times New Roman" w:cs="Times New Roman"/>
          <w:color w:val="auto"/>
          <w:kern w:val="2"/>
          <w:sz w:val="28"/>
          <w:szCs w:val="28"/>
          <w:highlight w:val="none"/>
        </w:rPr>
        <w:t>四化同步、城乡融合、五区共兴</w:t>
      </w:r>
      <w:r>
        <w:rPr>
          <w:rFonts w:ascii="Times New Roman" w:cs="Times New Roman"/>
          <w:color w:val="auto"/>
          <w:kern w:val="2"/>
          <w:sz w:val="28"/>
          <w:szCs w:val="28"/>
          <w:highlight w:val="none"/>
        </w:rPr>
        <w:t>”发展战略，围绕乐山</w:t>
      </w:r>
      <w:r>
        <w:rPr>
          <w:rFonts w:ascii="Times New Roman" w:cs="Times New Roman"/>
          <w:color w:val="auto"/>
          <w:sz w:val="28"/>
          <w:szCs w:val="28"/>
          <w:highlight w:val="none"/>
        </w:rPr>
        <w:t>“</w:t>
      </w:r>
      <w:r>
        <w:rPr>
          <w:color w:val="auto"/>
          <w:sz w:val="28"/>
          <w:szCs w:val="28"/>
          <w:highlight w:val="none"/>
        </w:rPr>
        <w:t>产业强市、旅游兴市</w:t>
      </w:r>
      <w:r>
        <w:rPr>
          <w:rFonts w:ascii="Times New Roman" w:cs="Times New Roman"/>
          <w:color w:val="auto"/>
          <w:kern w:val="2"/>
          <w:sz w:val="28"/>
          <w:szCs w:val="28"/>
          <w:highlight w:val="none"/>
        </w:rPr>
        <w:t>’</w:t>
      </w:r>
      <w:r>
        <w:rPr>
          <w:rFonts w:ascii="Times New Roman" w:cs="Times New Roman"/>
          <w:color w:val="auto"/>
          <w:sz w:val="28"/>
          <w:szCs w:val="28"/>
          <w:highlight w:val="none"/>
        </w:rPr>
        <w:t>”目标</w:t>
      </w:r>
      <w:r>
        <w:rPr>
          <w:rFonts w:ascii="Times New Roman" w:cs="Times New Roman"/>
          <w:color w:val="auto"/>
          <w:kern w:val="2"/>
          <w:sz w:val="28"/>
          <w:szCs w:val="28"/>
          <w:highlight w:val="none"/>
        </w:rPr>
        <w:t>和省委十</w:t>
      </w:r>
      <w:r>
        <w:rPr>
          <w:rFonts w:hint="eastAsia" w:ascii="Times New Roman" w:cs="Times New Roman"/>
          <w:color w:val="auto"/>
          <w:kern w:val="2"/>
          <w:sz w:val="28"/>
          <w:szCs w:val="28"/>
          <w:highlight w:val="none"/>
        </w:rPr>
        <w:t>二</w:t>
      </w:r>
      <w:r>
        <w:rPr>
          <w:rFonts w:ascii="Times New Roman" w:cs="Times New Roman"/>
          <w:color w:val="auto"/>
          <w:kern w:val="2"/>
          <w:sz w:val="28"/>
          <w:szCs w:val="28"/>
          <w:highlight w:val="none"/>
        </w:rPr>
        <w:t>届</w:t>
      </w:r>
      <w:r>
        <w:rPr>
          <w:rFonts w:hint="eastAsia" w:ascii="Times New Roman" w:cs="Times New Roman"/>
          <w:color w:val="auto"/>
          <w:kern w:val="2"/>
          <w:sz w:val="28"/>
          <w:szCs w:val="28"/>
          <w:highlight w:val="none"/>
        </w:rPr>
        <w:t>历次</w:t>
      </w:r>
      <w:r>
        <w:rPr>
          <w:rFonts w:ascii="Times New Roman" w:cs="Times New Roman"/>
          <w:color w:val="auto"/>
          <w:kern w:val="2"/>
          <w:sz w:val="28"/>
          <w:szCs w:val="28"/>
          <w:highlight w:val="none"/>
        </w:rPr>
        <w:t>全会提出的“乐山港升级打造为成都港”</w:t>
      </w:r>
      <w:r>
        <w:rPr>
          <w:rFonts w:hint="eastAsia"/>
          <w:color w:val="000000" w:themeColor="text1"/>
          <w:sz w:val="28"/>
          <w:szCs w:val="28"/>
          <w:highlight w:val="none"/>
          <w14:textFill>
            <w14:solidFill>
              <w14:schemeClr w14:val="tx1"/>
            </w14:solidFill>
          </w14:textFill>
        </w:rPr>
        <w:t xml:space="preserve"> 和《省委</w:t>
      </w:r>
      <w:r>
        <w:rPr>
          <w:color w:val="000000" w:themeColor="text1"/>
          <w:sz w:val="28"/>
          <w:szCs w:val="28"/>
          <w:highlight w:val="none"/>
          <w14:textFill>
            <w14:solidFill>
              <w14:schemeClr w14:val="tx1"/>
            </w14:solidFill>
          </w14:textFill>
        </w:rPr>
        <w:t xml:space="preserve"> </w:t>
      </w:r>
      <w:r>
        <w:rPr>
          <w:rFonts w:hint="eastAsia"/>
          <w:color w:val="000000" w:themeColor="text1"/>
          <w:sz w:val="28"/>
          <w:szCs w:val="28"/>
          <w:highlight w:val="none"/>
          <w14:textFill>
            <w14:solidFill>
              <w14:schemeClr w14:val="tx1"/>
            </w14:solidFill>
          </w14:textFill>
        </w:rPr>
        <w:t>省政府关于支持乐山高质量发展加快提升区域中心城市能级的意见》提出的“支持乐山港打造成都平原经济区‘天府港’”等战略目标</w:t>
      </w:r>
      <w:r>
        <w:rPr>
          <w:rFonts w:ascii="Times New Roman" w:cs="Times New Roman"/>
          <w:color w:val="auto"/>
          <w:kern w:val="2"/>
          <w:sz w:val="28"/>
          <w:szCs w:val="28"/>
          <w:highlight w:val="none"/>
        </w:rPr>
        <w:t>，优化乐山市水运基础设施功能和布局，加强乐山与成都平原经济区等周边腹地的交通连接，依托岷江水运主通道，强化乐山港枢纽功能，进一步发挥乐山港在区域对外开放、沿江资源开发和产业布局中的引领作用。</w:t>
      </w:r>
    </w:p>
    <w:p>
      <w:pPr>
        <w:pStyle w:val="14"/>
        <w:spacing w:after="0" w:line="360" w:lineRule="auto"/>
        <w:ind w:firstLine="562" w:firstLineChars="200"/>
        <w:rPr>
          <w:rFonts w:ascii="Times New Roman" w:hAnsi="Times New Roman" w:eastAsia="宋体" w:cs="Times New Roman"/>
          <w:b/>
          <w:sz w:val="28"/>
          <w:szCs w:val="28"/>
          <w:highlight w:val="none"/>
        </w:rPr>
      </w:pPr>
      <w:r>
        <w:rPr>
          <w:rFonts w:hint="eastAsia" w:ascii="Times New Roman" w:hAnsi="Times New Roman" w:eastAsia="宋体" w:cs="Times New Roman"/>
          <w:b/>
          <w:sz w:val="28"/>
          <w:szCs w:val="28"/>
          <w:highlight w:val="none"/>
        </w:rPr>
        <w:t>2</w:t>
      </w:r>
      <w:r>
        <w:rPr>
          <w:rFonts w:ascii="Times New Roman" w:hAnsi="Times New Roman" w:eastAsia="宋体" w:cs="Times New Roman"/>
          <w:b/>
          <w:sz w:val="28"/>
          <w:szCs w:val="28"/>
          <w:highlight w:val="none"/>
        </w:rPr>
        <w:t>.服务人民，共享发展</w:t>
      </w:r>
    </w:p>
    <w:p>
      <w:pPr>
        <w:pStyle w:val="2"/>
        <w:spacing w:line="360" w:lineRule="auto"/>
        <w:ind w:firstLine="560" w:firstLineChars="200"/>
        <w:rPr>
          <w:rFonts w:ascii="Times New Roman" w:cs="Times New Roman"/>
          <w:color w:val="auto"/>
          <w:kern w:val="2"/>
          <w:sz w:val="28"/>
          <w:szCs w:val="28"/>
          <w:highlight w:val="none"/>
        </w:rPr>
      </w:pPr>
      <w:r>
        <w:rPr>
          <w:rFonts w:ascii="Times New Roman" w:cs="Times New Roman"/>
          <w:color w:val="auto"/>
          <w:kern w:val="2"/>
          <w:sz w:val="28"/>
          <w:szCs w:val="28"/>
          <w:highlight w:val="none"/>
        </w:rPr>
        <w:t>服务人民的出发点就是建设“人民满意”的交通，做到人民交通为人民，人民交通让人民满意，不断提高人民群众的获得感、幸福感、安全感。乐山水运在满足大宗物资运输需求的同时，还应满足人民群众水上出行的多层次、多样化、个性化需求，满足边远地区沿江沿河人民群众水上出行需求，促进公共服务均等共享，让广大人民群众共享改革发展成果。</w:t>
      </w:r>
    </w:p>
    <w:p>
      <w:pPr>
        <w:pStyle w:val="14"/>
        <w:spacing w:after="0" w:line="360" w:lineRule="auto"/>
        <w:ind w:firstLine="562" w:firstLineChars="200"/>
        <w:rPr>
          <w:rFonts w:ascii="Times New Roman" w:hAnsi="Times New Roman" w:eastAsia="宋体" w:cs="Times New Roman"/>
          <w:b/>
          <w:sz w:val="28"/>
          <w:szCs w:val="28"/>
          <w:highlight w:val="none"/>
        </w:rPr>
      </w:pPr>
      <w:r>
        <w:rPr>
          <w:rFonts w:hint="eastAsia" w:ascii="Times New Roman" w:hAnsi="Times New Roman" w:eastAsia="宋体" w:cs="Times New Roman"/>
          <w:b/>
          <w:sz w:val="28"/>
          <w:szCs w:val="28"/>
          <w:highlight w:val="none"/>
        </w:rPr>
        <w:t>3</w:t>
      </w:r>
      <w:r>
        <w:rPr>
          <w:rFonts w:ascii="Times New Roman" w:hAnsi="Times New Roman" w:eastAsia="宋体" w:cs="Times New Roman"/>
          <w:b/>
          <w:sz w:val="28"/>
          <w:szCs w:val="28"/>
          <w:highlight w:val="none"/>
        </w:rPr>
        <w:t>.统筹一体，融合发展</w:t>
      </w:r>
    </w:p>
    <w:p>
      <w:pPr>
        <w:pStyle w:val="2"/>
        <w:spacing w:line="360" w:lineRule="auto"/>
        <w:ind w:firstLine="560" w:firstLineChars="200"/>
        <w:rPr>
          <w:rFonts w:ascii="Times New Roman" w:cs="Times New Roman"/>
          <w:color w:val="auto"/>
          <w:kern w:val="2"/>
          <w:sz w:val="28"/>
          <w:szCs w:val="28"/>
          <w:highlight w:val="none"/>
        </w:rPr>
      </w:pPr>
      <w:r>
        <w:rPr>
          <w:rFonts w:ascii="Times New Roman" w:cs="Times New Roman"/>
          <w:color w:val="auto"/>
          <w:kern w:val="2"/>
          <w:sz w:val="28"/>
          <w:szCs w:val="28"/>
          <w:highlight w:val="none"/>
        </w:rPr>
        <w:t>立足于构建现代综合交通运输体系，进一步完善港口集疏运体系，加快与其他运输方式的一体化衔接，实现水运与铁路、公路等运输方式合理分工，实现综合运输“宜水则水、宜陆则陆”。加强水运与国土空间开发、城镇体系、产业布局及旅游资源开发深度融合，协调发展。统筹港口与区域经济、产业、城市等融合发展。加强水资源综合利用，将内河水运发展与流域综合开发治理相结合，形成联合开发、共同建设、多方受益的局面。</w:t>
      </w:r>
    </w:p>
    <w:p>
      <w:pPr>
        <w:pStyle w:val="2"/>
        <w:spacing w:line="360" w:lineRule="auto"/>
        <w:ind w:firstLine="562" w:firstLineChars="200"/>
        <w:rPr>
          <w:rFonts w:ascii="Times New Roman" w:cs="Times New Roman"/>
          <w:b/>
          <w:color w:val="auto"/>
          <w:kern w:val="2"/>
          <w:sz w:val="28"/>
          <w:szCs w:val="28"/>
          <w:highlight w:val="none"/>
        </w:rPr>
      </w:pPr>
      <w:r>
        <w:rPr>
          <w:rFonts w:hint="eastAsia" w:ascii="Times New Roman" w:cs="Times New Roman"/>
          <w:b/>
          <w:color w:val="auto"/>
          <w:kern w:val="2"/>
          <w:sz w:val="28"/>
          <w:szCs w:val="28"/>
          <w:highlight w:val="none"/>
        </w:rPr>
        <w:t>4</w:t>
      </w:r>
      <w:r>
        <w:rPr>
          <w:rFonts w:ascii="Times New Roman" w:cs="Times New Roman"/>
          <w:b/>
          <w:color w:val="auto"/>
          <w:kern w:val="2"/>
          <w:sz w:val="28"/>
          <w:szCs w:val="28"/>
          <w:highlight w:val="none"/>
        </w:rPr>
        <w:t>.生态优先，绿色发展</w:t>
      </w:r>
    </w:p>
    <w:p>
      <w:pPr>
        <w:pStyle w:val="2"/>
        <w:spacing w:line="360" w:lineRule="auto"/>
        <w:ind w:firstLine="560" w:firstLineChars="200"/>
        <w:rPr>
          <w:rFonts w:ascii="Times New Roman" w:cs="Times New Roman"/>
          <w:color w:val="auto"/>
          <w:kern w:val="2"/>
          <w:sz w:val="28"/>
          <w:szCs w:val="28"/>
          <w:highlight w:val="none"/>
        </w:rPr>
      </w:pPr>
      <w:r>
        <w:rPr>
          <w:rFonts w:ascii="Times New Roman" w:cs="Times New Roman"/>
          <w:color w:val="auto"/>
          <w:kern w:val="2"/>
          <w:sz w:val="28"/>
          <w:szCs w:val="28"/>
          <w:highlight w:val="none"/>
        </w:rPr>
        <w:t>抢抓碳达峰碳中和带来的机遇，完善水运基础设施，提升水运服务水平，引导大宗货物运输“公转水”，促进交通运输结构调整。根据资源禀赋条件及环境承载能力，将生态文明理念融入水运基础设施规划建设运营管理全过程，全面节约和高效利用岸线、土地等资源，严守生态保护红线，强化资源节约集约利用、环境保护、节能减排和污染防治，充分发挥内河航运节能环保优势，努力推动形成绿色发展方式。</w:t>
      </w:r>
    </w:p>
    <w:p>
      <w:pPr>
        <w:pStyle w:val="2"/>
        <w:spacing w:line="360" w:lineRule="auto"/>
        <w:ind w:firstLine="562" w:firstLineChars="200"/>
        <w:rPr>
          <w:rFonts w:ascii="Times New Roman" w:cs="Times New Roman"/>
          <w:b/>
          <w:color w:val="auto"/>
          <w:kern w:val="2"/>
          <w:sz w:val="28"/>
          <w:szCs w:val="28"/>
          <w:highlight w:val="none"/>
        </w:rPr>
      </w:pPr>
      <w:r>
        <w:rPr>
          <w:rFonts w:hint="eastAsia" w:ascii="Times New Roman" w:cs="Times New Roman"/>
          <w:b/>
          <w:color w:val="auto"/>
          <w:kern w:val="2"/>
          <w:sz w:val="28"/>
          <w:szCs w:val="28"/>
          <w:highlight w:val="none"/>
        </w:rPr>
        <w:t>5</w:t>
      </w:r>
      <w:r>
        <w:rPr>
          <w:rFonts w:ascii="Times New Roman" w:cs="Times New Roman"/>
          <w:b/>
          <w:color w:val="auto"/>
          <w:kern w:val="2"/>
          <w:sz w:val="28"/>
          <w:szCs w:val="28"/>
          <w:highlight w:val="none"/>
        </w:rPr>
        <w:t>.因地制宜，科学发展</w:t>
      </w:r>
    </w:p>
    <w:p>
      <w:pPr>
        <w:pStyle w:val="2"/>
        <w:spacing w:line="360" w:lineRule="auto"/>
        <w:ind w:firstLine="560" w:firstLineChars="200"/>
        <w:rPr>
          <w:rFonts w:ascii="Times New Roman" w:cs="Times New Roman"/>
          <w:color w:val="auto"/>
          <w:kern w:val="2"/>
          <w:sz w:val="28"/>
          <w:szCs w:val="28"/>
          <w:highlight w:val="none"/>
        </w:rPr>
      </w:pPr>
      <w:r>
        <w:rPr>
          <w:rFonts w:ascii="Times New Roman" w:cs="Times New Roman"/>
          <w:color w:val="auto"/>
          <w:kern w:val="2"/>
          <w:sz w:val="28"/>
          <w:szCs w:val="28"/>
          <w:highlight w:val="none"/>
        </w:rPr>
        <w:t>立足乐山市各区域的区域特点及发展定位，结合各航道及岸线地理位置、自然条件、综合交通等相关因素，因地制宜，合理确定各港区的功能定位及规模。根据腹地经济社会发展需要及各港区的建设条件，先易后难，逐步推进。</w:t>
      </w:r>
    </w:p>
    <w:p>
      <w:pPr>
        <w:spacing w:line="360" w:lineRule="auto"/>
        <w:ind w:firstLine="562" w:firstLineChars="200"/>
        <w:rPr>
          <w:sz w:val="28"/>
          <w:szCs w:val="28"/>
          <w:highlight w:val="none"/>
        </w:rPr>
      </w:pPr>
      <w:r>
        <w:rPr>
          <w:rFonts w:hint="eastAsia" w:eastAsia="黑体"/>
          <w:b/>
          <w:sz w:val="28"/>
          <w:szCs w:val="28"/>
          <w:highlight w:val="none"/>
        </w:rPr>
        <w:t>（三）规划思路</w:t>
      </w:r>
    </w:p>
    <w:p>
      <w:pPr>
        <w:pStyle w:val="14"/>
        <w:spacing w:after="0" w:line="360" w:lineRule="auto"/>
        <w:ind w:firstLine="562" w:firstLineChars="200"/>
        <w:rPr>
          <w:rFonts w:ascii="Times New Roman" w:hAnsi="Times New Roman" w:eastAsia="宋体" w:cs="Times New Roman"/>
          <w:b/>
          <w:sz w:val="28"/>
          <w:szCs w:val="28"/>
          <w:highlight w:val="none"/>
        </w:rPr>
      </w:pPr>
      <w:r>
        <w:rPr>
          <w:rFonts w:ascii="Times New Roman" w:hAnsi="Times New Roman" w:eastAsia="宋体" w:cs="Times New Roman"/>
          <w:b/>
          <w:sz w:val="28"/>
          <w:szCs w:val="28"/>
          <w:highlight w:val="none"/>
        </w:rPr>
        <w:t>1.将注重规划的“顶天立地”</w:t>
      </w:r>
    </w:p>
    <w:p>
      <w:pPr>
        <w:spacing w:line="360" w:lineRule="auto"/>
        <w:ind w:firstLine="560" w:firstLineChars="200"/>
        <w:rPr>
          <w:kern w:val="0"/>
          <w:sz w:val="28"/>
          <w:szCs w:val="28"/>
          <w:highlight w:val="none"/>
        </w:rPr>
      </w:pPr>
      <w:r>
        <w:rPr>
          <w:kern w:val="0"/>
          <w:sz w:val="28"/>
          <w:szCs w:val="28"/>
          <w:highlight w:val="none"/>
        </w:rPr>
        <w:t>本次港口规划修订在谋划乐山港自身航道、港口等基础设施发展的同时，着重考虑与国、省、市等重大发展战略、发展思路、发展目标的对接和响应，乐山港将在“一带一路”建设、长江经济带发展、新时代推进西部大开发形成新格局、成渝地区双城经济圈建设等国省重大战略背景下，重新审视乐山区位优势、定位及港口的需求，谋划港口的功能定位。</w:t>
      </w:r>
    </w:p>
    <w:p>
      <w:pPr>
        <w:pStyle w:val="14"/>
        <w:spacing w:after="0" w:line="360" w:lineRule="auto"/>
        <w:ind w:firstLine="562" w:firstLineChars="200"/>
        <w:rPr>
          <w:rFonts w:ascii="Times New Roman" w:hAnsi="Times New Roman" w:eastAsia="宋体" w:cs="Times New Roman"/>
          <w:b/>
          <w:sz w:val="28"/>
          <w:szCs w:val="28"/>
          <w:highlight w:val="none"/>
        </w:rPr>
      </w:pPr>
      <w:r>
        <w:rPr>
          <w:rFonts w:hint="eastAsia" w:ascii="Times New Roman" w:hAnsi="Times New Roman" w:eastAsia="宋体" w:cs="Times New Roman"/>
          <w:b/>
          <w:sz w:val="28"/>
          <w:szCs w:val="28"/>
          <w:highlight w:val="none"/>
        </w:rPr>
        <w:t>2</w:t>
      </w:r>
      <w:r>
        <w:rPr>
          <w:rFonts w:ascii="Times New Roman" w:hAnsi="Times New Roman" w:eastAsia="宋体" w:cs="Times New Roman"/>
          <w:b/>
          <w:sz w:val="28"/>
          <w:szCs w:val="28"/>
          <w:highlight w:val="none"/>
        </w:rPr>
        <w:t>.将注重生态优先、绿色发展</w:t>
      </w:r>
    </w:p>
    <w:p>
      <w:pPr>
        <w:spacing w:line="360" w:lineRule="auto"/>
        <w:ind w:firstLine="560" w:firstLineChars="200"/>
        <w:rPr>
          <w:kern w:val="0"/>
          <w:sz w:val="28"/>
          <w:szCs w:val="28"/>
          <w:highlight w:val="none"/>
        </w:rPr>
      </w:pPr>
      <w:r>
        <w:rPr>
          <w:kern w:val="0"/>
          <w:sz w:val="28"/>
          <w:szCs w:val="28"/>
          <w:highlight w:val="none"/>
        </w:rPr>
        <w:t>本次规划修编将在资源环境承载能力和国土空间开发允许的条件下，牢固树立生态优先的绿色发展理念，严格按照地区“三线一单”和永久基本农田土地控制要求开展规划建设工作，在开展港口规划时，按照建设绿色港口的理念，处理好船舶、港口、航道、企业等各要素与生态环境的关系，以绿色航道、绿色港口、绿色船舶、绿色运输组织方式为抓手，做好港口和船舶污染防治、新能源和清洁能源推广应用、资源集约利用等工作，提升绿色发展水平，做到港口与社会、环境的和谐发展。</w:t>
      </w:r>
    </w:p>
    <w:p>
      <w:pPr>
        <w:pStyle w:val="14"/>
        <w:spacing w:after="0" w:line="360" w:lineRule="auto"/>
        <w:ind w:firstLine="562" w:firstLineChars="200"/>
        <w:rPr>
          <w:rFonts w:ascii="Times New Roman" w:hAnsi="Times New Roman" w:eastAsia="宋体" w:cs="Times New Roman"/>
          <w:b/>
          <w:sz w:val="28"/>
          <w:szCs w:val="28"/>
          <w:highlight w:val="none"/>
        </w:rPr>
      </w:pPr>
      <w:r>
        <w:rPr>
          <w:rFonts w:hint="eastAsia" w:ascii="Times New Roman" w:hAnsi="Times New Roman" w:eastAsia="宋体" w:cs="Times New Roman"/>
          <w:b/>
          <w:sz w:val="28"/>
          <w:szCs w:val="28"/>
          <w:highlight w:val="none"/>
        </w:rPr>
        <w:t>3</w:t>
      </w:r>
      <w:r>
        <w:rPr>
          <w:rFonts w:ascii="Times New Roman" w:hAnsi="Times New Roman" w:eastAsia="宋体" w:cs="Times New Roman"/>
          <w:b/>
          <w:sz w:val="28"/>
          <w:szCs w:val="28"/>
          <w:highlight w:val="none"/>
        </w:rPr>
        <w:t>.将注重港口规划在国土空间规划的“落地”</w:t>
      </w:r>
    </w:p>
    <w:p>
      <w:pPr>
        <w:spacing w:line="360" w:lineRule="auto"/>
        <w:ind w:firstLine="560" w:firstLineChars="200"/>
        <w:rPr>
          <w:kern w:val="0"/>
          <w:sz w:val="28"/>
          <w:szCs w:val="28"/>
          <w:highlight w:val="none"/>
        </w:rPr>
      </w:pPr>
      <w:r>
        <w:rPr>
          <w:kern w:val="0"/>
          <w:sz w:val="28"/>
          <w:szCs w:val="28"/>
          <w:highlight w:val="none"/>
        </w:rPr>
        <w:t>港口规划修编时将着重加强国土空间规划及城市总体规划、土地利用规划等相关规划的对接，切实保障港口岸线及后方陆域在国土空间规划中的“落地”，强化对岸线及后方陆域的有效保护和管理。</w:t>
      </w:r>
    </w:p>
    <w:p>
      <w:pPr>
        <w:pStyle w:val="14"/>
        <w:spacing w:after="0" w:line="360" w:lineRule="auto"/>
        <w:ind w:firstLine="562" w:firstLineChars="200"/>
        <w:rPr>
          <w:rFonts w:ascii="Times New Roman" w:hAnsi="Times New Roman" w:eastAsia="宋体" w:cs="Times New Roman"/>
          <w:b/>
          <w:sz w:val="28"/>
          <w:szCs w:val="28"/>
          <w:highlight w:val="none"/>
        </w:rPr>
      </w:pPr>
      <w:r>
        <w:rPr>
          <w:rFonts w:hint="eastAsia" w:ascii="Times New Roman" w:hAnsi="Times New Roman" w:eastAsia="宋体" w:cs="Times New Roman"/>
          <w:b/>
          <w:sz w:val="28"/>
          <w:szCs w:val="28"/>
          <w:highlight w:val="none"/>
        </w:rPr>
        <w:t>4</w:t>
      </w:r>
      <w:r>
        <w:rPr>
          <w:rFonts w:ascii="Times New Roman" w:hAnsi="Times New Roman" w:eastAsia="宋体" w:cs="Times New Roman"/>
          <w:b/>
          <w:sz w:val="28"/>
          <w:szCs w:val="28"/>
          <w:highlight w:val="none"/>
        </w:rPr>
        <w:t>.将着重考虑港口与综合交通、产城统筹协调，融合发展</w:t>
      </w:r>
    </w:p>
    <w:p>
      <w:pPr>
        <w:spacing w:line="360" w:lineRule="auto"/>
        <w:ind w:firstLine="560" w:firstLineChars="200"/>
        <w:rPr>
          <w:kern w:val="0"/>
          <w:sz w:val="28"/>
          <w:szCs w:val="28"/>
          <w:highlight w:val="none"/>
        </w:rPr>
      </w:pPr>
      <w:r>
        <w:rPr>
          <w:kern w:val="0"/>
          <w:sz w:val="28"/>
          <w:szCs w:val="28"/>
          <w:highlight w:val="none"/>
        </w:rPr>
        <w:t>规划将注重港口与后方集疏运体系的衔接，更加注重水运网络、运输服务与综合立体交通的融合，形成立体互联畅通高效的综合交通运输体系，真正做到“宜水则水、宜陆则陆”。规划将注重统筹港口与区域经济、产业、城市等融合发展，同时注意加强水资源综合利用，将内河水运发展与流域综合开发治理相结合。</w:t>
      </w:r>
    </w:p>
    <w:p>
      <w:pPr>
        <w:pStyle w:val="2"/>
        <w:spacing w:line="360" w:lineRule="auto"/>
        <w:ind w:firstLine="562" w:firstLineChars="200"/>
        <w:rPr>
          <w:rFonts w:ascii="Times New Roman" w:cs="Times New Roman"/>
          <w:b/>
          <w:color w:val="auto"/>
          <w:kern w:val="2"/>
          <w:sz w:val="28"/>
          <w:szCs w:val="28"/>
          <w:highlight w:val="none"/>
        </w:rPr>
      </w:pPr>
      <w:r>
        <w:rPr>
          <w:rFonts w:hint="eastAsia" w:ascii="Times New Roman" w:cs="Times New Roman"/>
          <w:b/>
          <w:color w:val="auto"/>
          <w:kern w:val="2"/>
          <w:sz w:val="28"/>
          <w:szCs w:val="28"/>
          <w:highlight w:val="none"/>
        </w:rPr>
        <w:t>5</w:t>
      </w:r>
      <w:r>
        <w:rPr>
          <w:rFonts w:ascii="Times New Roman" w:cs="Times New Roman"/>
          <w:b/>
          <w:color w:val="auto"/>
          <w:kern w:val="2"/>
          <w:sz w:val="28"/>
          <w:szCs w:val="28"/>
          <w:highlight w:val="none"/>
        </w:rPr>
        <w:t>.将服务于乐山市新发展目标和工业布局调整需要</w:t>
      </w:r>
    </w:p>
    <w:p>
      <w:pPr>
        <w:spacing w:line="360" w:lineRule="auto"/>
        <w:ind w:firstLine="560" w:firstLineChars="200"/>
        <w:rPr>
          <w:kern w:val="0"/>
          <w:sz w:val="28"/>
          <w:szCs w:val="28"/>
          <w:highlight w:val="none"/>
        </w:rPr>
      </w:pPr>
      <w:r>
        <w:rPr>
          <w:kern w:val="0"/>
          <w:sz w:val="28"/>
          <w:szCs w:val="28"/>
          <w:highlight w:val="none"/>
        </w:rPr>
        <w:t>乐山市委</w:t>
      </w:r>
      <w:r>
        <w:rPr>
          <w:rFonts w:hint="eastAsia"/>
          <w:kern w:val="0"/>
          <w:sz w:val="28"/>
          <w:szCs w:val="28"/>
          <w:highlight w:val="none"/>
        </w:rPr>
        <w:t>八</w:t>
      </w:r>
      <w:r>
        <w:rPr>
          <w:kern w:val="0"/>
          <w:sz w:val="28"/>
          <w:szCs w:val="28"/>
          <w:highlight w:val="none"/>
        </w:rPr>
        <w:t>届</w:t>
      </w:r>
      <w:r>
        <w:rPr>
          <w:rFonts w:hint="eastAsia"/>
          <w:kern w:val="0"/>
          <w:sz w:val="28"/>
          <w:szCs w:val="28"/>
          <w:highlight w:val="none"/>
        </w:rPr>
        <w:t>六</w:t>
      </w:r>
      <w:r>
        <w:rPr>
          <w:kern w:val="0"/>
          <w:sz w:val="28"/>
          <w:szCs w:val="28"/>
          <w:highlight w:val="none"/>
        </w:rPr>
        <w:t>次全会明确“产业强市、旅游兴市”的新发展战略。</w:t>
      </w:r>
      <w:r>
        <w:rPr>
          <w:rFonts w:hint="eastAsia"/>
          <w:kern w:val="0"/>
          <w:sz w:val="28"/>
          <w:szCs w:val="28"/>
          <w:highlight w:val="none"/>
        </w:rPr>
        <w:t>乐山将以建设中国绿色硅谷为重点推进新型工业化，深入实施晶硅光伏产业“头号工程”，培育核技术应用产业集群，打造全球最大医用同位素供应基地、全国核技术应用产业发展新高地，推动化工、建材、食品饮料等传统优势产业向链条化、精细化、数字化、品牌化转型升级。</w:t>
      </w:r>
      <w:r>
        <w:rPr>
          <w:kern w:val="0"/>
          <w:sz w:val="28"/>
          <w:szCs w:val="28"/>
          <w:highlight w:val="none"/>
        </w:rPr>
        <w:t>规划修编将结合乐山新发展目标和工业布局调整与城市发展定位和要求不一致的原规划的老江坝作业区、河口作业区</w:t>
      </w:r>
      <w:r>
        <w:rPr>
          <w:rFonts w:hint="eastAsia"/>
          <w:kern w:val="0"/>
          <w:sz w:val="28"/>
          <w:szCs w:val="28"/>
          <w:highlight w:val="none"/>
        </w:rPr>
        <w:t>，并围绕新的工业布局开展港口规划</w:t>
      </w:r>
      <w:r>
        <w:rPr>
          <w:kern w:val="0"/>
          <w:sz w:val="28"/>
          <w:szCs w:val="28"/>
          <w:highlight w:val="none"/>
        </w:rPr>
        <w:t>。</w:t>
      </w:r>
    </w:p>
    <w:p>
      <w:pPr>
        <w:pStyle w:val="2"/>
        <w:spacing w:line="360" w:lineRule="auto"/>
        <w:ind w:firstLine="562" w:firstLineChars="200"/>
        <w:rPr>
          <w:rFonts w:ascii="Times New Roman" w:cs="Times New Roman"/>
          <w:b/>
          <w:color w:val="auto"/>
          <w:kern w:val="2"/>
          <w:sz w:val="28"/>
          <w:szCs w:val="28"/>
          <w:highlight w:val="none"/>
        </w:rPr>
      </w:pPr>
      <w:r>
        <w:rPr>
          <w:rFonts w:hint="eastAsia" w:ascii="Times New Roman" w:cs="Times New Roman"/>
          <w:b/>
          <w:color w:val="auto"/>
          <w:kern w:val="2"/>
          <w:sz w:val="28"/>
          <w:szCs w:val="28"/>
          <w:highlight w:val="none"/>
        </w:rPr>
        <w:t>6</w:t>
      </w:r>
      <w:r>
        <w:rPr>
          <w:rFonts w:ascii="Times New Roman" w:cs="Times New Roman"/>
          <w:b/>
          <w:color w:val="auto"/>
          <w:kern w:val="2"/>
          <w:sz w:val="28"/>
          <w:szCs w:val="28"/>
          <w:highlight w:val="none"/>
        </w:rPr>
        <w:t>.将注重港口资源整合和岸线资源合理利用</w:t>
      </w:r>
    </w:p>
    <w:p>
      <w:pPr>
        <w:spacing w:line="360" w:lineRule="auto"/>
        <w:ind w:firstLine="560" w:firstLineChars="200"/>
        <w:rPr>
          <w:kern w:val="0"/>
          <w:sz w:val="28"/>
          <w:szCs w:val="28"/>
          <w:highlight w:val="none"/>
        </w:rPr>
      </w:pPr>
      <w:r>
        <w:rPr>
          <w:kern w:val="0"/>
          <w:sz w:val="28"/>
          <w:szCs w:val="28"/>
          <w:highlight w:val="none"/>
        </w:rPr>
        <w:t>本次港口规划将加强与上位规划的对接，按照港口资源整合发展的思路，重新确定乐山港的功能定位，优化港口货运作业区布局。本次修编将根据《四川省交通运输厅关于加快推进全省通航河流非法码头专项整治工作的通知》要求，将规划工作与非法码头专项整治有机结合，根据当地社会经济发展需求，以规划为引领，合理布置适量砂石码头。</w:t>
      </w:r>
    </w:p>
    <w:p>
      <w:pPr>
        <w:pStyle w:val="2"/>
        <w:spacing w:line="360" w:lineRule="auto"/>
        <w:ind w:firstLine="562" w:firstLineChars="200"/>
        <w:rPr>
          <w:rFonts w:ascii="Times New Roman" w:cs="Times New Roman"/>
          <w:b/>
          <w:color w:val="auto"/>
          <w:kern w:val="2"/>
          <w:sz w:val="28"/>
          <w:szCs w:val="28"/>
          <w:highlight w:val="none"/>
        </w:rPr>
      </w:pPr>
      <w:r>
        <w:rPr>
          <w:rFonts w:hint="eastAsia" w:ascii="Times New Roman" w:cs="Times New Roman"/>
          <w:b/>
          <w:color w:val="auto"/>
          <w:kern w:val="2"/>
          <w:sz w:val="28"/>
          <w:szCs w:val="28"/>
          <w:highlight w:val="none"/>
        </w:rPr>
        <w:t>7</w:t>
      </w:r>
      <w:r>
        <w:rPr>
          <w:rFonts w:ascii="Times New Roman" w:cs="Times New Roman"/>
          <w:b/>
          <w:color w:val="auto"/>
          <w:kern w:val="2"/>
          <w:sz w:val="28"/>
          <w:szCs w:val="28"/>
          <w:highlight w:val="none"/>
        </w:rPr>
        <w:t>.将注重交旅融合新业态发展</w:t>
      </w:r>
    </w:p>
    <w:p>
      <w:pPr>
        <w:spacing w:line="360" w:lineRule="auto"/>
        <w:ind w:firstLine="560" w:firstLineChars="200"/>
        <w:rPr>
          <w:kern w:val="0"/>
          <w:sz w:val="28"/>
          <w:szCs w:val="28"/>
          <w:highlight w:val="none"/>
        </w:rPr>
      </w:pPr>
      <w:r>
        <w:rPr>
          <w:rFonts w:hint="eastAsia"/>
          <w:kern w:val="0"/>
          <w:sz w:val="28"/>
          <w:szCs w:val="28"/>
          <w:highlight w:val="none"/>
        </w:rPr>
        <w:t>近年来，</w:t>
      </w:r>
      <w:r>
        <w:rPr>
          <w:kern w:val="0"/>
          <w:sz w:val="28"/>
          <w:szCs w:val="28"/>
          <w:highlight w:val="none"/>
        </w:rPr>
        <w:t>国</w:t>
      </w:r>
      <w:r>
        <w:rPr>
          <w:rFonts w:hint="eastAsia"/>
          <w:kern w:val="0"/>
          <w:sz w:val="28"/>
          <w:szCs w:val="28"/>
          <w:highlight w:val="none"/>
        </w:rPr>
        <w:t>家</w:t>
      </w:r>
      <w:r>
        <w:rPr>
          <w:kern w:val="0"/>
          <w:sz w:val="28"/>
          <w:szCs w:val="28"/>
          <w:highlight w:val="none"/>
        </w:rPr>
        <w:t>大力发展海洋及滨水旅游，支持长江流域等有条件的江河、湖泊有序发展内河游轮旅游及中小型游艇。乐山市拥有得天独厚的水上旅游资源，随着岷江下游梯级的建成蓄水，乐山市水上旅游资源将更加丰富，将有条件满足广大人民群众个性化、多样化出行需求，因此本次规划将根据乐山旅游发展规划及水上旅游资源分布，合理规划布局旅游作业区、旅游码头，支撑乐山建设世界重要旅游目的地。</w:t>
      </w:r>
    </w:p>
    <w:p>
      <w:pPr>
        <w:pStyle w:val="2"/>
        <w:spacing w:line="360" w:lineRule="auto"/>
        <w:ind w:firstLine="562" w:firstLineChars="200"/>
        <w:rPr>
          <w:rFonts w:ascii="Times New Roman" w:cs="Times New Roman"/>
          <w:b/>
          <w:color w:val="auto"/>
          <w:kern w:val="2"/>
          <w:sz w:val="28"/>
          <w:szCs w:val="28"/>
          <w:highlight w:val="none"/>
        </w:rPr>
      </w:pPr>
      <w:r>
        <w:rPr>
          <w:rFonts w:hint="eastAsia" w:ascii="Times New Roman" w:cs="Times New Roman"/>
          <w:b/>
          <w:color w:val="auto"/>
          <w:kern w:val="2"/>
          <w:sz w:val="28"/>
          <w:szCs w:val="28"/>
          <w:highlight w:val="none"/>
        </w:rPr>
        <w:t>8</w:t>
      </w:r>
      <w:r>
        <w:rPr>
          <w:rFonts w:ascii="Times New Roman" w:cs="Times New Roman"/>
          <w:b/>
          <w:color w:val="auto"/>
          <w:kern w:val="2"/>
          <w:sz w:val="28"/>
          <w:szCs w:val="28"/>
          <w:highlight w:val="none"/>
        </w:rPr>
        <w:t>.将注重提升服务水平</w:t>
      </w:r>
    </w:p>
    <w:p>
      <w:pPr>
        <w:spacing w:line="360" w:lineRule="auto"/>
        <w:ind w:firstLine="560" w:firstLineChars="200"/>
        <w:rPr>
          <w:kern w:val="0"/>
          <w:sz w:val="28"/>
          <w:szCs w:val="28"/>
          <w:highlight w:val="none"/>
        </w:rPr>
      </w:pPr>
      <w:r>
        <w:rPr>
          <w:kern w:val="0"/>
          <w:sz w:val="28"/>
          <w:szCs w:val="28"/>
          <w:highlight w:val="none"/>
        </w:rPr>
        <w:t>本次规划将注重港航管理、应急救援等配套码头的规划建设，注重公共锚地和水上综合服务区、船舶修造等配套服务设施的规划建设。</w:t>
      </w:r>
    </w:p>
    <w:p>
      <w:pPr>
        <w:spacing w:line="360" w:lineRule="auto"/>
        <w:ind w:firstLine="562" w:firstLineChars="200"/>
        <w:rPr>
          <w:rFonts w:eastAsia="黑体"/>
          <w:b/>
          <w:sz w:val="28"/>
          <w:szCs w:val="28"/>
          <w:highlight w:val="none"/>
        </w:rPr>
      </w:pPr>
      <w:r>
        <w:rPr>
          <w:rFonts w:eastAsia="黑体"/>
          <w:b/>
          <w:sz w:val="28"/>
          <w:szCs w:val="28"/>
          <w:highlight w:val="none"/>
        </w:rPr>
        <w:t>五、规划主要结论</w:t>
      </w:r>
    </w:p>
    <w:p>
      <w:pPr>
        <w:pStyle w:val="2"/>
        <w:ind w:firstLine="560" w:firstLineChars="200"/>
        <w:rPr>
          <w:rFonts w:ascii="Times New Roman" w:cs="Times New Roman"/>
          <w:color w:val="auto"/>
          <w:kern w:val="2"/>
          <w:sz w:val="28"/>
          <w:szCs w:val="28"/>
          <w:highlight w:val="none"/>
        </w:rPr>
      </w:pPr>
      <w:r>
        <w:rPr>
          <w:rFonts w:ascii="Times New Roman" w:cs="Times New Roman"/>
          <w:color w:val="auto"/>
          <w:kern w:val="2"/>
          <w:sz w:val="28"/>
          <w:szCs w:val="28"/>
          <w:highlight w:val="none"/>
        </w:rPr>
        <w:t>1.虽然乐山港在保障四川重大件对外运输、促进地方旅游发展等方面取得了显著的成绩，但与打造为</w:t>
      </w:r>
      <w:r>
        <w:rPr>
          <w:rFonts w:hint="eastAsia" w:ascii="Times New Roman" w:cs="Times New Roman"/>
          <w:color w:val="auto"/>
          <w:kern w:val="2"/>
          <w:sz w:val="28"/>
          <w:szCs w:val="28"/>
          <w:highlight w:val="none"/>
        </w:rPr>
        <w:t>天府</w:t>
      </w:r>
      <w:r>
        <w:rPr>
          <w:rFonts w:ascii="Times New Roman" w:cs="Times New Roman"/>
          <w:color w:val="auto"/>
          <w:kern w:val="2"/>
          <w:sz w:val="28"/>
          <w:szCs w:val="28"/>
          <w:highlight w:val="none"/>
        </w:rPr>
        <w:t>港、打造“</w:t>
      </w:r>
      <w:r>
        <w:rPr>
          <w:rFonts w:hint="eastAsia" w:ascii="Times New Roman" w:cs="Times New Roman"/>
          <w:color w:val="auto"/>
          <w:kern w:val="2"/>
          <w:sz w:val="28"/>
          <w:szCs w:val="28"/>
          <w:highlight w:val="none"/>
        </w:rPr>
        <w:t>产业强市、旅游兴市</w:t>
      </w:r>
      <w:r>
        <w:rPr>
          <w:rFonts w:ascii="Times New Roman" w:cs="Times New Roman"/>
          <w:color w:val="auto"/>
          <w:kern w:val="2"/>
          <w:sz w:val="28"/>
          <w:szCs w:val="28"/>
          <w:highlight w:val="none"/>
        </w:rPr>
        <w:t>”等新要求相比，港口发展仍有较大差距，根据新时代新要求，乐山港存在顶层设计有待加强、航道及港口等水运基础设施建设滞后、部分码头对城市干扰较为严重、港口岸线保护不足、水路运输要素缺乏、公共服务及应急救援能力有待加强等问题。</w:t>
      </w:r>
    </w:p>
    <w:p>
      <w:pPr>
        <w:spacing w:line="360" w:lineRule="auto"/>
        <w:ind w:firstLine="560" w:firstLineChars="200"/>
        <w:rPr>
          <w:rFonts w:eastAsiaTheme="minorEastAsia"/>
          <w:kern w:val="0"/>
          <w:sz w:val="28"/>
          <w:szCs w:val="28"/>
          <w:highlight w:val="none"/>
        </w:rPr>
      </w:pPr>
      <w:r>
        <w:rPr>
          <w:rFonts w:eastAsiaTheme="minorEastAsia"/>
          <w:kern w:val="0"/>
          <w:sz w:val="28"/>
          <w:szCs w:val="28"/>
          <w:highlight w:val="none"/>
        </w:rPr>
        <w:t>2.货物运输经济性比较：规划对乐山本地及周边地区（主要为成都、眉山、雅安、德阳、凉山东北部毗邻地区）适水货源通过公水、铁水联运以及乐山港下水进行了货物运输经济性比较，通过分析可知，</w:t>
      </w:r>
      <w:r>
        <w:rPr>
          <w:rFonts w:hint="eastAsia" w:eastAsiaTheme="minorEastAsia"/>
          <w:kern w:val="0"/>
          <w:sz w:val="28"/>
          <w:szCs w:val="28"/>
          <w:highlight w:val="none"/>
        </w:rPr>
        <w:t>对于成都平原经济区的眉山、雅安以及凉山州东北部毗邻地区的货物，通过乐山港下水至上海的运费最低，优势明显；而对于成都平原经济区的成都、德阳的货源，通过铁水联运经重庆港万州下水与从乐山港下水相比运费相差不大，优势不明显，</w:t>
      </w:r>
      <w:r>
        <w:rPr>
          <w:rFonts w:hint="eastAsia"/>
          <w:sz w:val="28"/>
          <w:szCs w:val="28"/>
          <w:highlight w:val="none"/>
        </w:rPr>
        <w:t>但受铁路运能的限制，部分成都、德阳的适水货源将从乐山港下水运输，承担部分运量</w:t>
      </w:r>
      <w:r>
        <w:rPr>
          <w:rFonts w:hint="eastAsia" w:eastAsiaTheme="minorEastAsia"/>
          <w:kern w:val="0"/>
          <w:sz w:val="28"/>
          <w:szCs w:val="28"/>
          <w:highlight w:val="none"/>
        </w:rPr>
        <w:t>。对于马边磷矿，在改建现有的建老路后，矿场至沐川港区罗家坝作业区公路里程小于马边至宜宾新市镇港口的距离，磷矿通过公水联运经罗家坝作业区下水具有明显的运费优势。</w:t>
      </w:r>
    </w:p>
    <w:p>
      <w:pPr>
        <w:pStyle w:val="2"/>
        <w:spacing w:line="360" w:lineRule="auto"/>
        <w:ind w:firstLine="560" w:firstLineChars="200"/>
        <w:rPr>
          <w:rFonts w:ascii="Times New Roman" w:cs="Times New Roman" w:eastAsiaTheme="minorEastAsia"/>
          <w:color w:val="auto"/>
          <w:sz w:val="28"/>
          <w:szCs w:val="28"/>
          <w:highlight w:val="none"/>
        </w:rPr>
      </w:pPr>
      <w:r>
        <w:rPr>
          <w:rFonts w:ascii="Times New Roman" w:cs="Times New Roman" w:eastAsiaTheme="minorEastAsia"/>
          <w:color w:val="auto"/>
          <w:sz w:val="28"/>
          <w:szCs w:val="28"/>
          <w:highlight w:val="none"/>
        </w:rPr>
        <w:t>吞吐量预测：根据腹地范围内交通运输网络格局，结合货物运输经济性比较，确定乐山港的直接经济腹地为乐山市以及成都平原经济区的成都市、德阳市、眉山市、雅安市，间接经济腹地为攀西经济区的大小凉山地区。远期，随着川藏铁路的建成，腹地范围将</w:t>
      </w:r>
      <w:r>
        <w:rPr>
          <w:rFonts w:hint="eastAsia" w:ascii="Times New Roman" w:cs="Times New Roman" w:eastAsiaTheme="minorEastAsia"/>
          <w:color w:val="auto"/>
          <w:sz w:val="28"/>
          <w:szCs w:val="28"/>
          <w:highlight w:val="none"/>
        </w:rPr>
        <w:t>延伸至川西北经济区及西藏自治区</w:t>
      </w:r>
      <w:r>
        <w:rPr>
          <w:rFonts w:ascii="Times New Roman" w:cs="Times New Roman" w:eastAsiaTheme="minorEastAsia"/>
          <w:color w:val="auto"/>
          <w:sz w:val="28"/>
          <w:szCs w:val="28"/>
          <w:highlight w:val="none"/>
        </w:rPr>
        <w:t>。预计随着岷江下游航道全线达标，乐山港的港口吞吐量将呈现较快增长，预测乐山港2025年、2035年的货物吞吐量分别为500万t和1650万t，其中2035</w:t>
      </w:r>
      <w:r>
        <w:rPr>
          <w:rFonts w:hint="eastAsia" w:ascii="Times New Roman" w:cs="Times New Roman" w:eastAsiaTheme="minorEastAsia"/>
          <w:color w:val="auto"/>
          <w:sz w:val="28"/>
          <w:szCs w:val="28"/>
          <w:highlight w:val="none"/>
        </w:rPr>
        <w:t>年</w:t>
      </w:r>
      <w:r>
        <w:rPr>
          <w:rFonts w:ascii="Times New Roman" w:cs="Times New Roman" w:eastAsiaTheme="minorEastAsia"/>
          <w:color w:val="auto"/>
          <w:sz w:val="28"/>
          <w:szCs w:val="28"/>
          <w:highlight w:val="none"/>
        </w:rPr>
        <w:t>集装箱吞吐量为20万TEU；2025年、2035年客运吞吐量分别为400万人次和1200万人次。</w:t>
      </w:r>
    </w:p>
    <w:p>
      <w:pPr>
        <w:ind w:firstLine="560" w:firstLineChars="200"/>
        <w:rPr>
          <w:rFonts w:eastAsiaTheme="minorEastAsia"/>
          <w:kern w:val="0"/>
          <w:sz w:val="28"/>
          <w:szCs w:val="28"/>
          <w:highlight w:val="none"/>
        </w:rPr>
      </w:pPr>
      <w:bookmarkStart w:id="4" w:name="_Toc39688264"/>
      <w:r>
        <w:rPr>
          <w:rFonts w:eastAsiaTheme="minorEastAsia"/>
          <w:kern w:val="0"/>
          <w:sz w:val="28"/>
          <w:szCs w:val="28"/>
          <w:highlight w:val="none"/>
        </w:rPr>
        <w:t>3.乐山港性质与功能：乐山市位于岷江国家高等级航道下游，距成都市约120km，有十多条交通干道与成都平原经济区交织成网，乐山港岸线资源丰富、建港条件优越，是成都平原经济区最便捷的出海口，乐山港建成后，能与</w:t>
      </w:r>
      <w:r>
        <w:rPr>
          <w:rFonts w:hint="eastAsia" w:eastAsiaTheme="minorEastAsia"/>
          <w:kern w:val="0"/>
          <w:sz w:val="28"/>
          <w:szCs w:val="28"/>
          <w:highlight w:val="none"/>
        </w:rPr>
        <w:t>上</w:t>
      </w:r>
      <w:r>
        <w:rPr>
          <w:rFonts w:eastAsiaTheme="minorEastAsia"/>
          <w:kern w:val="0"/>
          <w:sz w:val="28"/>
          <w:szCs w:val="28"/>
          <w:highlight w:val="none"/>
        </w:rPr>
        <w:t>游重庆港、乃至中游武汉港、下游上海港首尾呼应。</w:t>
      </w:r>
      <w:r>
        <w:rPr>
          <w:rFonts w:hint="eastAsia"/>
          <w:kern w:val="0"/>
          <w:sz w:val="28"/>
          <w:szCs w:val="28"/>
          <w:highlight w:val="none"/>
        </w:rPr>
        <w:t>乐山港作为我省的地区重要港口，是</w:t>
      </w:r>
      <w:r>
        <w:rPr>
          <w:rFonts w:hint="eastAsia"/>
          <w:sz w:val="28"/>
          <w:szCs w:val="28"/>
          <w:highlight w:val="none"/>
        </w:rPr>
        <w:t>四川重大装备运输的核心组成、乐山港国际旅游中心、“产业强市、旅游兴市”重要支撑、成都平原南向开放门户、长江上游航运中心的重要组成</w:t>
      </w:r>
      <w:r>
        <w:rPr>
          <w:b/>
          <w:sz w:val="28"/>
          <w:szCs w:val="28"/>
          <w:highlight w:val="none"/>
        </w:rPr>
        <w:t>。</w:t>
      </w:r>
    </w:p>
    <w:p>
      <w:pPr>
        <w:spacing w:line="360" w:lineRule="auto"/>
        <w:ind w:firstLine="560" w:firstLineChars="200"/>
        <w:rPr>
          <w:rFonts w:eastAsiaTheme="minorEastAsia"/>
          <w:kern w:val="0"/>
          <w:sz w:val="28"/>
          <w:szCs w:val="28"/>
          <w:highlight w:val="none"/>
        </w:rPr>
      </w:pPr>
      <w:r>
        <w:rPr>
          <w:rFonts w:eastAsiaTheme="minorEastAsia"/>
          <w:kern w:val="0"/>
          <w:sz w:val="28"/>
          <w:szCs w:val="28"/>
          <w:highlight w:val="none"/>
        </w:rPr>
        <w:t>乐山港将以集装箱、散货、重大件运输和旅游客运为重点，通过巩固和强化乐山港装卸储存、中转换装等传统功能，完善航运金融、船舶交易、游艇旅游等现代航运服务功能，拓展现代物流、临港工业、保税仓储、综合服务等功能，发展成为布局合理、能力充分、功能完善、安全绿色、智慧创新、港城协调的成都平原经济区现代化综合性港口。</w:t>
      </w:r>
    </w:p>
    <w:p>
      <w:pPr>
        <w:spacing w:line="360" w:lineRule="auto"/>
        <w:ind w:firstLine="560" w:firstLineChars="200"/>
        <w:rPr>
          <w:rFonts w:eastAsiaTheme="minorEastAsia"/>
          <w:kern w:val="0"/>
          <w:sz w:val="28"/>
          <w:szCs w:val="28"/>
          <w:highlight w:val="none"/>
        </w:rPr>
      </w:pPr>
      <w:r>
        <w:rPr>
          <w:rFonts w:eastAsiaTheme="minorEastAsia"/>
          <w:kern w:val="0"/>
          <w:sz w:val="28"/>
          <w:szCs w:val="28"/>
          <w:highlight w:val="none"/>
        </w:rPr>
        <w:t>4.岸线利用规划：根据规划范围内岸线的水陆域条件、开发利用现状及发展需求等，并与城市、交通、水利、土地利用、生态保护环保、综合交通等相关规划的衔接协调后，共规划岸线16.075km，已开发利用3.155km，未开发利用岸线12.92km。其中，岷江共规划16段9.54km港口岸线、大渡河共规划17段3.835km港口岸线、沐溪河共规划3段1.6km港口岸线、马边河共规划3段0.3km港口岸线、青衣江共规划3段0.5km港口岸线、茫溪河共规划2段0.1km港口岸线，金王寺水库共规划1段0.2km港口岸线，</w:t>
      </w:r>
      <w:r>
        <w:rPr>
          <w:rFonts w:hint="eastAsia" w:eastAsiaTheme="minorEastAsia"/>
          <w:kern w:val="0"/>
          <w:sz w:val="28"/>
          <w:szCs w:val="28"/>
          <w:highlight w:val="none"/>
        </w:rPr>
        <w:t>减小了货运岸线规模，</w:t>
      </w:r>
      <w:r>
        <w:rPr>
          <w:rFonts w:eastAsiaTheme="minorEastAsia"/>
          <w:kern w:val="0"/>
          <w:sz w:val="28"/>
          <w:szCs w:val="28"/>
          <w:highlight w:val="none"/>
        </w:rPr>
        <w:t>增加了客运、</w:t>
      </w:r>
      <w:r>
        <w:rPr>
          <w:rFonts w:hint="eastAsia" w:eastAsiaTheme="minorEastAsia"/>
          <w:kern w:val="0"/>
          <w:sz w:val="28"/>
          <w:szCs w:val="28"/>
          <w:highlight w:val="none"/>
        </w:rPr>
        <w:t>支持保障</w:t>
      </w:r>
      <w:r>
        <w:rPr>
          <w:rFonts w:eastAsiaTheme="minorEastAsia"/>
          <w:kern w:val="0"/>
          <w:sz w:val="28"/>
          <w:szCs w:val="28"/>
          <w:highlight w:val="none"/>
        </w:rPr>
        <w:t>等港口岸线，进一步优化了岸线功能结构。</w:t>
      </w:r>
    </w:p>
    <w:p>
      <w:pPr>
        <w:spacing w:line="360" w:lineRule="auto"/>
        <w:ind w:firstLine="560" w:firstLineChars="200"/>
        <w:rPr>
          <w:sz w:val="28"/>
          <w:szCs w:val="28"/>
          <w:highlight w:val="none"/>
        </w:rPr>
      </w:pPr>
      <w:r>
        <w:rPr>
          <w:rFonts w:eastAsiaTheme="minorEastAsia"/>
          <w:kern w:val="0"/>
          <w:sz w:val="28"/>
          <w:szCs w:val="28"/>
          <w:highlight w:val="none"/>
        </w:rPr>
        <w:t>5.港口空间布局规划：根据码头所处的地理位置、行政区划、开发利用现状，结合港口交通条件、城市总体规划、产业布局、经济需求等特点将乐山港划分为嘉州港区、五通桥港区、犍为港区、沐川港区、沙湾港区、峨边港区、金口河港区、夹江港区共8个港区。乐山港将</w:t>
      </w:r>
      <w:r>
        <w:rPr>
          <w:sz w:val="28"/>
          <w:szCs w:val="28"/>
          <w:highlight w:val="none"/>
        </w:rPr>
        <w:t>形成</w:t>
      </w:r>
      <w:r>
        <w:rPr>
          <w:rFonts w:hint="eastAsia"/>
          <w:sz w:val="28"/>
          <w:szCs w:val="28"/>
          <w:highlight w:val="none"/>
        </w:rPr>
        <w:t>以</w:t>
      </w:r>
      <w:r>
        <w:rPr>
          <w:sz w:val="28"/>
          <w:szCs w:val="28"/>
          <w:highlight w:val="none"/>
        </w:rPr>
        <w:t>嘉州港区</w:t>
      </w:r>
      <w:r>
        <w:rPr>
          <w:rFonts w:hint="eastAsia"/>
          <w:sz w:val="28"/>
          <w:szCs w:val="28"/>
          <w:highlight w:val="none"/>
        </w:rPr>
        <w:t>为客运核心港区，以</w:t>
      </w:r>
      <w:r>
        <w:rPr>
          <w:sz w:val="28"/>
          <w:szCs w:val="28"/>
          <w:highlight w:val="none"/>
        </w:rPr>
        <w:t>犍为港区为</w:t>
      </w:r>
      <w:r>
        <w:rPr>
          <w:rFonts w:hint="eastAsia"/>
          <w:sz w:val="28"/>
          <w:szCs w:val="28"/>
          <w:highlight w:val="none"/>
        </w:rPr>
        <w:t>货运</w:t>
      </w:r>
      <w:r>
        <w:rPr>
          <w:sz w:val="28"/>
          <w:szCs w:val="28"/>
          <w:highlight w:val="none"/>
        </w:rPr>
        <w:t>核心港区，以</w:t>
      </w:r>
      <w:r>
        <w:rPr>
          <w:rFonts w:hint="eastAsia"/>
          <w:sz w:val="28"/>
          <w:szCs w:val="28"/>
          <w:highlight w:val="none"/>
        </w:rPr>
        <w:t>岷江、大渡河为两带，五通桥港区、</w:t>
      </w:r>
      <w:r>
        <w:rPr>
          <w:sz w:val="28"/>
          <w:szCs w:val="28"/>
          <w:highlight w:val="none"/>
        </w:rPr>
        <w:t>沐川港区、沙湾港区</w:t>
      </w:r>
      <w:r>
        <w:rPr>
          <w:rFonts w:hint="eastAsia"/>
          <w:sz w:val="28"/>
          <w:szCs w:val="28"/>
          <w:highlight w:val="none"/>
        </w:rPr>
        <w:t>、</w:t>
      </w:r>
      <w:r>
        <w:rPr>
          <w:sz w:val="28"/>
          <w:szCs w:val="28"/>
          <w:highlight w:val="none"/>
        </w:rPr>
        <w:t>峨边港区、金口河港区、夹江港区</w:t>
      </w:r>
      <w:r>
        <w:rPr>
          <w:rFonts w:hint="eastAsia"/>
          <w:sz w:val="28"/>
          <w:szCs w:val="28"/>
          <w:highlight w:val="none"/>
        </w:rPr>
        <w:t>为多点形成</w:t>
      </w:r>
      <w:r>
        <w:rPr>
          <w:sz w:val="28"/>
          <w:szCs w:val="28"/>
          <w:highlight w:val="none"/>
        </w:rPr>
        <w:t>的</w:t>
      </w:r>
      <w:r>
        <w:rPr>
          <w:rFonts w:hint="eastAsia"/>
          <w:sz w:val="28"/>
          <w:szCs w:val="28"/>
          <w:highlight w:val="none"/>
        </w:rPr>
        <w:t>“双核两带多点”</w:t>
      </w:r>
      <w:r>
        <w:rPr>
          <w:sz w:val="28"/>
          <w:szCs w:val="28"/>
          <w:highlight w:val="none"/>
        </w:rPr>
        <w:t>总体空间格局。</w:t>
      </w:r>
    </w:p>
    <w:p>
      <w:pPr>
        <w:spacing w:line="360" w:lineRule="auto"/>
        <w:ind w:firstLine="560" w:firstLineChars="200"/>
        <w:rPr>
          <w:rFonts w:eastAsiaTheme="minorEastAsia"/>
          <w:kern w:val="0"/>
          <w:sz w:val="28"/>
          <w:szCs w:val="28"/>
          <w:highlight w:val="none"/>
        </w:rPr>
      </w:pPr>
      <w:r>
        <w:rPr>
          <w:rFonts w:hint="eastAsia" w:eastAsiaTheme="minorEastAsia"/>
          <w:kern w:val="0"/>
          <w:sz w:val="28"/>
          <w:szCs w:val="28"/>
          <w:highlight w:val="none"/>
        </w:rPr>
        <w:t>6</w:t>
      </w:r>
      <w:r>
        <w:rPr>
          <w:rFonts w:eastAsiaTheme="minorEastAsia"/>
          <w:kern w:val="0"/>
          <w:sz w:val="28"/>
          <w:szCs w:val="28"/>
          <w:highlight w:val="none"/>
        </w:rPr>
        <w:t>.港口总体布置</w:t>
      </w:r>
    </w:p>
    <w:p>
      <w:pPr>
        <w:spacing w:line="360" w:lineRule="auto"/>
        <w:ind w:firstLine="560" w:firstLineChars="200"/>
        <w:rPr>
          <w:rFonts w:eastAsiaTheme="minorEastAsia"/>
          <w:kern w:val="0"/>
          <w:sz w:val="28"/>
          <w:szCs w:val="28"/>
          <w:highlight w:val="none"/>
        </w:rPr>
      </w:pPr>
      <w:r>
        <w:rPr>
          <w:rFonts w:hint="eastAsia" w:eastAsiaTheme="minorEastAsia"/>
          <w:kern w:val="0"/>
          <w:sz w:val="28"/>
          <w:szCs w:val="28"/>
          <w:highlight w:val="none"/>
        </w:rPr>
        <w:t>规划集装箱、重大件、件杂货、散货、客运5大运输系统，详见表0</w:t>
      </w:r>
      <w:r>
        <w:rPr>
          <w:rFonts w:eastAsiaTheme="minorEastAsia"/>
          <w:kern w:val="0"/>
          <w:sz w:val="28"/>
          <w:szCs w:val="28"/>
          <w:highlight w:val="none"/>
        </w:rPr>
        <w:t>.5-1</w:t>
      </w:r>
      <w:r>
        <w:rPr>
          <w:rFonts w:hint="eastAsia" w:eastAsiaTheme="minorEastAsia"/>
          <w:kern w:val="0"/>
          <w:sz w:val="28"/>
          <w:szCs w:val="28"/>
          <w:highlight w:val="none"/>
        </w:rPr>
        <w:t>，规划的重点作业区及码头技术指标见表0</w:t>
      </w:r>
      <w:r>
        <w:rPr>
          <w:rFonts w:eastAsiaTheme="minorEastAsia"/>
          <w:kern w:val="0"/>
          <w:sz w:val="28"/>
          <w:szCs w:val="28"/>
          <w:highlight w:val="none"/>
        </w:rPr>
        <w:t>.5-2。共规划</w:t>
      </w:r>
      <w:r>
        <w:rPr>
          <w:rFonts w:hint="eastAsia" w:eastAsiaTheme="minorEastAsia"/>
          <w:kern w:val="0"/>
          <w:sz w:val="28"/>
          <w:szCs w:val="28"/>
          <w:highlight w:val="none"/>
        </w:rPr>
        <w:t>2</w:t>
      </w:r>
      <w:r>
        <w:rPr>
          <w:rFonts w:eastAsiaTheme="minorEastAsia"/>
          <w:kern w:val="0"/>
          <w:sz w:val="28"/>
          <w:szCs w:val="28"/>
          <w:highlight w:val="none"/>
        </w:rPr>
        <w:t>1个作业区及码头</w:t>
      </w:r>
      <w:r>
        <w:rPr>
          <w:rFonts w:hint="eastAsia" w:eastAsiaTheme="minorEastAsia"/>
          <w:kern w:val="0"/>
          <w:sz w:val="28"/>
          <w:szCs w:val="28"/>
          <w:highlight w:val="none"/>
        </w:rPr>
        <w:t>，1</w:t>
      </w:r>
      <w:r>
        <w:rPr>
          <w:rFonts w:eastAsiaTheme="minorEastAsia"/>
          <w:kern w:val="0"/>
          <w:sz w:val="28"/>
          <w:szCs w:val="28"/>
          <w:highlight w:val="none"/>
        </w:rPr>
        <w:t>26个泊位</w:t>
      </w:r>
      <w:r>
        <w:rPr>
          <w:rFonts w:hint="eastAsia" w:eastAsiaTheme="minorEastAsia"/>
          <w:kern w:val="0"/>
          <w:sz w:val="28"/>
          <w:szCs w:val="28"/>
          <w:highlight w:val="none"/>
        </w:rPr>
        <w:t>，规划新增年通过能力2</w:t>
      </w:r>
      <w:r>
        <w:rPr>
          <w:rFonts w:eastAsiaTheme="minorEastAsia"/>
          <w:kern w:val="0"/>
          <w:sz w:val="28"/>
          <w:szCs w:val="28"/>
          <w:highlight w:val="none"/>
        </w:rPr>
        <w:t>385万t、1300万人次。</w:t>
      </w:r>
    </w:p>
    <w:p>
      <w:pPr>
        <w:overflowPunct w:val="0"/>
        <w:spacing w:line="520" w:lineRule="exact"/>
        <w:ind w:firstLine="560" w:firstLineChars="200"/>
        <w:jc w:val="center"/>
        <w:rPr>
          <w:rFonts w:eastAsia="仿宋_GB2312"/>
          <w:sz w:val="28"/>
          <w:szCs w:val="28"/>
          <w:highlight w:val="none"/>
        </w:rPr>
      </w:pPr>
      <w:r>
        <w:rPr>
          <w:rFonts w:hint="eastAsia" w:eastAsia="黑体"/>
          <w:sz w:val="28"/>
          <w:szCs w:val="28"/>
          <w:highlight w:val="none"/>
        </w:rPr>
        <w:t>表</w:t>
      </w:r>
      <w:r>
        <w:rPr>
          <w:rFonts w:eastAsia="黑体"/>
          <w:sz w:val="28"/>
          <w:szCs w:val="28"/>
          <w:highlight w:val="none"/>
        </w:rPr>
        <w:t>0.5-1</w:t>
      </w:r>
      <w:r>
        <w:rPr>
          <w:rFonts w:hint="eastAsia" w:eastAsia="黑体"/>
          <w:sz w:val="28"/>
          <w:szCs w:val="28"/>
          <w:highlight w:val="none"/>
        </w:rPr>
        <w:t>乐山港运输系统布局方案</w:t>
      </w:r>
    </w:p>
    <w:tbl>
      <w:tblPr>
        <w:tblStyle w:val="33"/>
        <w:tblW w:w="5000" w:type="pct"/>
        <w:jc w:val="center"/>
        <w:tblBorders>
          <w:top w:val="thinThickSmallGap" w:color="000000" w:themeColor="text1" w:sz="12" w:space="0"/>
          <w:left w:val="none" w:color="auto" w:sz="0" w:space="0"/>
          <w:bottom w:val="thickThinSmallGap" w:color="000000" w:themeColor="text1" w:sz="18" w:space="0"/>
          <w:right w:val="none" w:color="auto" w:sz="0"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867"/>
        <w:gridCol w:w="1385"/>
        <w:gridCol w:w="7034"/>
      </w:tblGrid>
      <w:tr>
        <w:tblPrEx>
          <w:tblBorders>
            <w:top w:val="thinThickSmallGap" w:color="000000" w:themeColor="text1" w:sz="12" w:space="0"/>
            <w:left w:val="none" w:color="auto" w:sz="0" w:space="0"/>
            <w:bottom w:val="thickThinSmallGap" w:color="000000" w:themeColor="text1"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blHeader/>
          <w:jc w:val="center"/>
        </w:trPr>
        <w:tc>
          <w:tcPr>
            <w:tcW w:w="467" w:type="pct"/>
            <w:vAlign w:val="center"/>
          </w:tcPr>
          <w:p>
            <w:pPr>
              <w:jc w:val="center"/>
              <w:rPr>
                <w:sz w:val="24"/>
                <w:highlight w:val="none"/>
              </w:rPr>
            </w:pPr>
            <w:r>
              <w:rPr>
                <w:rFonts w:hint="eastAsia"/>
                <w:sz w:val="24"/>
                <w:highlight w:val="none"/>
              </w:rPr>
              <w:t>序号</w:t>
            </w:r>
          </w:p>
        </w:tc>
        <w:tc>
          <w:tcPr>
            <w:tcW w:w="746" w:type="pct"/>
            <w:vAlign w:val="center"/>
          </w:tcPr>
          <w:p>
            <w:pPr>
              <w:jc w:val="center"/>
              <w:rPr>
                <w:sz w:val="24"/>
                <w:highlight w:val="none"/>
              </w:rPr>
            </w:pPr>
            <w:r>
              <w:rPr>
                <w:rFonts w:hint="eastAsia"/>
                <w:sz w:val="24"/>
                <w:highlight w:val="none"/>
              </w:rPr>
              <w:t>运输类型</w:t>
            </w:r>
          </w:p>
        </w:tc>
        <w:tc>
          <w:tcPr>
            <w:tcW w:w="3787" w:type="pct"/>
            <w:vAlign w:val="center"/>
          </w:tcPr>
          <w:p>
            <w:pPr>
              <w:jc w:val="center"/>
              <w:rPr>
                <w:sz w:val="24"/>
                <w:highlight w:val="none"/>
              </w:rPr>
            </w:pPr>
            <w:r>
              <w:rPr>
                <w:rFonts w:hint="eastAsia"/>
                <w:sz w:val="24"/>
                <w:highlight w:val="none"/>
              </w:rPr>
              <w:t>作业区及码头</w:t>
            </w:r>
          </w:p>
        </w:tc>
      </w:tr>
      <w:tr>
        <w:tblPrEx>
          <w:tblBorders>
            <w:top w:val="thinThickSmallGap" w:color="000000" w:themeColor="text1" w:sz="12" w:space="0"/>
            <w:left w:val="none" w:color="auto" w:sz="0" w:space="0"/>
            <w:bottom w:val="thickThinSmallGap" w:color="000000" w:themeColor="text1"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467" w:type="pct"/>
            <w:vAlign w:val="center"/>
          </w:tcPr>
          <w:p>
            <w:pPr>
              <w:overflowPunct w:val="0"/>
              <w:spacing w:line="300" w:lineRule="exact"/>
              <w:rPr>
                <w:rFonts w:eastAsia="仿宋_GB2312"/>
                <w:sz w:val="24"/>
                <w:highlight w:val="none"/>
              </w:rPr>
            </w:pPr>
            <w:r>
              <w:rPr>
                <w:rFonts w:eastAsia="仿宋_GB2312"/>
                <w:sz w:val="24"/>
                <w:highlight w:val="none"/>
              </w:rPr>
              <w:t>1</w:t>
            </w:r>
          </w:p>
        </w:tc>
        <w:tc>
          <w:tcPr>
            <w:tcW w:w="746" w:type="pct"/>
            <w:vAlign w:val="center"/>
          </w:tcPr>
          <w:p>
            <w:pPr>
              <w:overflowPunct w:val="0"/>
              <w:spacing w:line="300" w:lineRule="exact"/>
              <w:rPr>
                <w:rFonts w:eastAsia="仿宋_GB2312"/>
                <w:sz w:val="24"/>
                <w:highlight w:val="none"/>
              </w:rPr>
            </w:pPr>
            <w:r>
              <w:rPr>
                <w:rFonts w:hint="eastAsia" w:eastAsia="仿宋_GB2312"/>
                <w:sz w:val="24"/>
                <w:highlight w:val="none"/>
              </w:rPr>
              <w:t>集装箱</w:t>
            </w:r>
          </w:p>
        </w:tc>
        <w:tc>
          <w:tcPr>
            <w:tcW w:w="3787" w:type="pct"/>
            <w:vAlign w:val="center"/>
          </w:tcPr>
          <w:p>
            <w:pPr>
              <w:overflowPunct w:val="0"/>
              <w:spacing w:line="300" w:lineRule="exact"/>
              <w:rPr>
                <w:rFonts w:eastAsia="仿宋_GB2312"/>
                <w:sz w:val="24"/>
                <w:highlight w:val="none"/>
              </w:rPr>
            </w:pPr>
            <w:r>
              <w:rPr>
                <w:rFonts w:hint="eastAsia" w:eastAsia="仿宋_GB2312"/>
                <w:sz w:val="24"/>
                <w:highlight w:val="none"/>
              </w:rPr>
              <w:t>嘉州港区老江坝作业区、犍为港区高石坝作业区</w:t>
            </w:r>
          </w:p>
        </w:tc>
      </w:tr>
      <w:tr>
        <w:tblPrEx>
          <w:tblBorders>
            <w:top w:val="thinThickSmallGap" w:color="000000" w:themeColor="text1" w:sz="12" w:space="0"/>
            <w:left w:val="none" w:color="auto" w:sz="0" w:space="0"/>
            <w:bottom w:val="thickThinSmallGap" w:color="000000" w:themeColor="text1"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467" w:type="pct"/>
            <w:vAlign w:val="center"/>
          </w:tcPr>
          <w:p>
            <w:pPr>
              <w:overflowPunct w:val="0"/>
              <w:spacing w:line="300" w:lineRule="exact"/>
              <w:rPr>
                <w:rFonts w:eastAsia="仿宋_GB2312"/>
                <w:sz w:val="24"/>
                <w:highlight w:val="none"/>
              </w:rPr>
            </w:pPr>
            <w:r>
              <w:rPr>
                <w:rFonts w:hint="eastAsia" w:eastAsia="仿宋_GB2312"/>
                <w:sz w:val="24"/>
                <w:highlight w:val="none"/>
              </w:rPr>
              <w:t>2</w:t>
            </w:r>
          </w:p>
        </w:tc>
        <w:tc>
          <w:tcPr>
            <w:tcW w:w="746" w:type="pct"/>
            <w:vAlign w:val="center"/>
          </w:tcPr>
          <w:p>
            <w:pPr>
              <w:overflowPunct w:val="0"/>
              <w:spacing w:line="300" w:lineRule="exact"/>
              <w:rPr>
                <w:rFonts w:eastAsia="仿宋_GB2312"/>
                <w:sz w:val="24"/>
                <w:highlight w:val="none"/>
              </w:rPr>
            </w:pPr>
            <w:r>
              <w:rPr>
                <w:rFonts w:eastAsia="仿宋_GB2312"/>
                <w:sz w:val="24"/>
                <w:highlight w:val="none"/>
              </w:rPr>
              <w:t>重大件</w:t>
            </w:r>
          </w:p>
        </w:tc>
        <w:tc>
          <w:tcPr>
            <w:tcW w:w="3787" w:type="pct"/>
            <w:vAlign w:val="center"/>
          </w:tcPr>
          <w:p>
            <w:pPr>
              <w:overflowPunct w:val="0"/>
              <w:spacing w:line="300" w:lineRule="exact"/>
              <w:rPr>
                <w:rFonts w:eastAsia="仿宋_GB2312"/>
                <w:sz w:val="24"/>
                <w:highlight w:val="none"/>
              </w:rPr>
            </w:pPr>
            <w:r>
              <w:rPr>
                <w:rFonts w:hint="eastAsia" w:eastAsia="仿宋_GB2312"/>
                <w:sz w:val="24"/>
                <w:highlight w:val="none"/>
              </w:rPr>
              <w:t>嘉州港区老江坝作业区</w:t>
            </w:r>
          </w:p>
        </w:tc>
      </w:tr>
      <w:tr>
        <w:tblPrEx>
          <w:tblBorders>
            <w:top w:val="thinThickSmallGap" w:color="000000" w:themeColor="text1" w:sz="12" w:space="0"/>
            <w:left w:val="none" w:color="auto" w:sz="0" w:space="0"/>
            <w:bottom w:val="thickThinSmallGap" w:color="000000" w:themeColor="text1"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467" w:type="pct"/>
            <w:vAlign w:val="center"/>
          </w:tcPr>
          <w:p>
            <w:pPr>
              <w:overflowPunct w:val="0"/>
              <w:spacing w:line="300" w:lineRule="exact"/>
              <w:rPr>
                <w:rFonts w:eastAsia="仿宋_GB2312"/>
                <w:sz w:val="24"/>
                <w:highlight w:val="none"/>
              </w:rPr>
            </w:pPr>
            <w:r>
              <w:rPr>
                <w:rFonts w:eastAsia="仿宋_GB2312"/>
                <w:sz w:val="24"/>
                <w:highlight w:val="none"/>
              </w:rPr>
              <w:t>3</w:t>
            </w:r>
          </w:p>
        </w:tc>
        <w:tc>
          <w:tcPr>
            <w:tcW w:w="746" w:type="pct"/>
            <w:vAlign w:val="center"/>
          </w:tcPr>
          <w:p>
            <w:pPr>
              <w:overflowPunct w:val="0"/>
              <w:spacing w:line="300" w:lineRule="exact"/>
              <w:rPr>
                <w:rFonts w:eastAsia="仿宋_GB2312"/>
                <w:sz w:val="24"/>
                <w:highlight w:val="none"/>
              </w:rPr>
            </w:pPr>
            <w:r>
              <w:rPr>
                <w:rFonts w:eastAsia="仿宋_GB2312"/>
                <w:sz w:val="24"/>
                <w:highlight w:val="none"/>
              </w:rPr>
              <w:t>件杂货</w:t>
            </w:r>
          </w:p>
        </w:tc>
        <w:tc>
          <w:tcPr>
            <w:tcW w:w="3787" w:type="pct"/>
            <w:vAlign w:val="center"/>
          </w:tcPr>
          <w:p>
            <w:pPr>
              <w:overflowPunct w:val="0"/>
              <w:spacing w:line="300" w:lineRule="exact"/>
              <w:rPr>
                <w:rFonts w:eastAsia="仿宋_GB2312"/>
                <w:sz w:val="24"/>
                <w:highlight w:val="none"/>
              </w:rPr>
            </w:pPr>
            <w:r>
              <w:rPr>
                <w:rFonts w:hint="eastAsia" w:eastAsia="仿宋_GB2312"/>
                <w:sz w:val="24"/>
                <w:highlight w:val="none"/>
              </w:rPr>
              <w:t>嘉州港区老江坝作业区、五通桥港区桥沟作业区、犍为港区高石坝作业区、沐川港区罗家坝作业区</w:t>
            </w:r>
          </w:p>
        </w:tc>
      </w:tr>
      <w:tr>
        <w:tblPrEx>
          <w:tblBorders>
            <w:top w:val="thinThickSmallGap" w:color="000000" w:themeColor="text1" w:sz="12" w:space="0"/>
            <w:left w:val="none" w:color="auto" w:sz="0" w:space="0"/>
            <w:bottom w:val="thickThinSmallGap" w:color="000000" w:themeColor="text1"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467" w:type="pct"/>
            <w:vAlign w:val="center"/>
          </w:tcPr>
          <w:p>
            <w:pPr>
              <w:overflowPunct w:val="0"/>
              <w:spacing w:line="300" w:lineRule="exact"/>
              <w:rPr>
                <w:rFonts w:eastAsia="仿宋_GB2312"/>
                <w:sz w:val="24"/>
                <w:highlight w:val="none"/>
              </w:rPr>
            </w:pPr>
            <w:r>
              <w:rPr>
                <w:rFonts w:hint="eastAsia" w:eastAsia="仿宋_GB2312"/>
                <w:sz w:val="24"/>
                <w:highlight w:val="none"/>
              </w:rPr>
              <w:t>4</w:t>
            </w:r>
          </w:p>
        </w:tc>
        <w:tc>
          <w:tcPr>
            <w:tcW w:w="746" w:type="pct"/>
            <w:vAlign w:val="center"/>
          </w:tcPr>
          <w:p>
            <w:pPr>
              <w:overflowPunct w:val="0"/>
              <w:spacing w:line="300" w:lineRule="exact"/>
              <w:rPr>
                <w:rFonts w:eastAsia="仿宋_GB2312"/>
                <w:sz w:val="24"/>
                <w:highlight w:val="none"/>
              </w:rPr>
            </w:pPr>
            <w:r>
              <w:rPr>
                <w:rFonts w:eastAsia="仿宋_GB2312"/>
                <w:sz w:val="24"/>
                <w:highlight w:val="none"/>
              </w:rPr>
              <w:t>散货</w:t>
            </w:r>
          </w:p>
        </w:tc>
        <w:tc>
          <w:tcPr>
            <w:tcW w:w="3787" w:type="pct"/>
            <w:vAlign w:val="center"/>
          </w:tcPr>
          <w:p>
            <w:pPr>
              <w:overflowPunct w:val="0"/>
              <w:spacing w:line="300" w:lineRule="exact"/>
              <w:rPr>
                <w:rFonts w:eastAsia="仿宋_GB2312"/>
                <w:sz w:val="24"/>
                <w:highlight w:val="none"/>
              </w:rPr>
            </w:pPr>
            <w:r>
              <w:rPr>
                <w:rFonts w:eastAsia="仿宋_GB2312"/>
                <w:sz w:val="24"/>
                <w:highlight w:val="none"/>
              </w:rPr>
              <w:t>犍为港区高石坝作业区、沐川港区罗家坝作业区、沐川港区茨竹坪散货码头、峨边港区白果散货码头、峨边港区五渡货运码头</w:t>
            </w:r>
          </w:p>
        </w:tc>
      </w:tr>
      <w:tr>
        <w:tblPrEx>
          <w:tblBorders>
            <w:top w:val="thinThickSmallGap" w:color="000000" w:themeColor="text1" w:sz="12" w:space="0"/>
            <w:left w:val="none" w:color="auto" w:sz="0" w:space="0"/>
            <w:bottom w:val="thickThinSmallGap" w:color="000000" w:themeColor="text1"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23" w:hRule="atLeast"/>
          <w:jc w:val="center"/>
        </w:trPr>
        <w:tc>
          <w:tcPr>
            <w:tcW w:w="467" w:type="pct"/>
            <w:vMerge w:val="restart"/>
            <w:vAlign w:val="center"/>
          </w:tcPr>
          <w:p>
            <w:pPr>
              <w:overflowPunct w:val="0"/>
              <w:spacing w:line="300" w:lineRule="exact"/>
              <w:rPr>
                <w:rFonts w:eastAsia="仿宋_GB2312"/>
                <w:sz w:val="24"/>
                <w:highlight w:val="none"/>
              </w:rPr>
            </w:pPr>
            <w:r>
              <w:rPr>
                <w:rFonts w:eastAsia="仿宋_GB2312"/>
                <w:sz w:val="24"/>
                <w:highlight w:val="none"/>
              </w:rPr>
              <w:t>5</w:t>
            </w:r>
          </w:p>
        </w:tc>
        <w:tc>
          <w:tcPr>
            <w:tcW w:w="746" w:type="pct"/>
            <w:vMerge w:val="restart"/>
            <w:vAlign w:val="center"/>
          </w:tcPr>
          <w:p>
            <w:pPr>
              <w:overflowPunct w:val="0"/>
              <w:spacing w:line="300" w:lineRule="exact"/>
              <w:rPr>
                <w:rFonts w:eastAsia="仿宋_GB2312"/>
                <w:sz w:val="24"/>
                <w:highlight w:val="none"/>
              </w:rPr>
            </w:pPr>
            <w:r>
              <w:rPr>
                <w:rFonts w:hint="eastAsia" w:eastAsia="仿宋_GB2312"/>
                <w:sz w:val="24"/>
                <w:highlight w:val="none"/>
              </w:rPr>
              <w:t>客运</w:t>
            </w:r>
          </w:p>
        </w:tc>
        <w:tc>
          <w:tcPr>
            <w:tcW w:w="3787" w:type="pct"/>
            <w:vAlign w:val="center"/>
          </w:tcPr>
          <w:p>
            <w:pPr>
              <w:overflowPunct w:val="0"/>
              <w:spacing w:line="300" w:lineRule="exact"/>
              <w:rPr>
                <w:rFonts w:eastAsia="仿宋_GB2312"/>
                <w:sz w:val="24"/>
                <w:highlight w:val="none"/>
              </w:rPr>
            </w:pPr>
            <w:r>
              <w:rPr>
                <w:rFonts w:eastAsia="仿宋_GB2312"/>
                <w:sz w:val="24"/>
                <w:highlight w:val="none"/>
              </w:rPr>
              <w:t>水上旅游集散中心：嘉州港区老江坝作业区游轮码头</w:t>
            </w:r>
          </w:p>
        </w:tc>
      </w:tr>
      <w:tr>
        <w:tblPrEx>
          <w:tblBorders>
            <w:top w:val="thinThickSmallGap" w:color="000000" w:themeColor="text1" w:sz="12" w:space="0"/>
            <w:left w:val="none" w:color="auto" w:sz="0" w:space="0"/>
            <w:bottom w:val="thickThinSmallGap" w:color="000000" w:themeColor="text1"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62" w:hRule="atLeast"/>
          <w:jc w:val="center"/>
        </w:trPr>
        <w:tc>
          <w:tcPr>
            <w:tcW w:w="467" w:type="pct"/>
            <w:vMerge w:val="continue"/>
            <w:vAlign w:val="center"/>
          </w:tcPr>
          <w:p>
            <w:pPr>
              <w:overflowPunct w:val="0"/>
              <w:spacing w:line="300" w:lineRule="exact"/>
              <w:rPr>
                <w:rFonts w:eastAsia="仿宋_GB2312"/>
                <w:sz w:val="24"/>
                <w:highlight w:val="none"/>
              </w:rPr>
            </w:pPr>
          </w:p>
        </w:tc>
        <w:tc>
          <w:tcPr>
            <w:tcW w:w="746" w:type="pct"/>
            <w:vMerge w:val="continue"/>
            <w:vAlign w:val="center"/>
          </w:tcPr>
          <w:p>
            <w:pPr>
              <w:overflowPunct w:val="0"/>
              <w:spacing w:line="300" w:lineRule="exact"/>
              <w:rPr>
                <w:rFonts w:eastAsia="仿宋_GB2312"/>
                <w:sz w:val="24"/>
                <w:highlight w:val="none"/>
              </w:rPr>
            </w:pPr>
          </w:p>
        </w:tc>
        <w:tc>
          <w:tcPr>
            <w:tcW w:w="3787" w:type="pct"/>
            <w:vAlign w:val="center"/>
          </w:tcPr>
          <w:p>
            <w:pPr>
              <w:overflowPunct w:val="0"/>
              <w:spacing w:line="300" w:lineRule="exact"/>
              <w:rPr>
                <w:rFonts w:eastAsia="仿宋_GB2312"/>
                <w:sz w:val="24"/>
                <w:highlight w:val="none"/>
              </w:rPr>
            </w:pPr>
            <w:r>
              <w:rPr>
                <w:rFonts w:hint="eastAsia" w:eastAsia="仿宋_GB2312"/>
                <w:sz w:val="24"/>
                <w:highlight w:val="none"/>
              </w:rPr>
              <w:t>水上门户码头：嘉州港区大佛客运作业区、峨边港区</w:t>
            </w:r>
            <w:r>
              <w:rPr>
                <w:rFonts w:eastAsia="仿宋_GB2312"/>
                <w:sz w:val="24"/>
                <w:highlight w:val="none"/>
              </w:rPr>
              <w:t>龚嘴旅游客运作业区、夹江港区</w:t>
            </w:r>
            <w:r>
              <w:rPr>
                <w:rFonts w:hint="eastAsia" w:eastAsia="仿宋_GB2312"/>
                <w:sz w:val="24"/>
                <w:highlight w:val="none"/>
              </w:rPr>
              <w:t>千佛岩旅游客运作业区、金口河港区</w:t>
            </w:r>
            <w:r>
              <w:rPr>
                <w:rFonts w:eastAsia="仿宋_GB2312"/>
                <w:sz w:val="24"/>
                <w:highlight w:val="none"/>
              </w:rPr>
              <w:t>大峡谷旅游客运码头</w:t>
            </w:r>
          </w:p>
        </w:tc>
      </w:tr>
      <w:tr>
        <w:tblPrEx>
          <w:tblBorders>
            <w:top w:val="thinThickSmallGap" w:color="000000" w:themeColor="text1" w:sz="12" w:space="0"/>
            <w:left w:val="none" w:color="auto" w:sz="0" w:space="0"/>
            <w:bottom w:val="thickThinSmallGap" w:color="000000" w:themeColor="text1"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8" w:hRule="atLeast"/>
          <w:jc w:val="center"/>
        </w:trPr>
        <w:tc>
          <w:tcPr>
            <w:tcW w:w="467" w:type="pct"/>
            <w:vMerge w:val="continue"/>
            <w:vAlign w:val="center"/>
          </w:tcPr>
          <w:p>
            <w:pPr>
              <w:overflowPunct w:val="0"/>
              <w:spacing w:line="300" w:lineRule="exact"/>
              <w:rPr>
                <w:rFonts w:eastAsia="仿宋_GB2312"/>
                <w:sz w:val="24"/>
                <w:highlight w:val="none"/>
              </w:rPr>
            </w:pPr>
          </w:p>
        </w:tc>
        <w:tc>
          <w:tcPr>
            <w:tcW w:w="746" w:type="pct"/>
            <w:vMerge w:val="continue"/>
            <w:vAlign w:val="center"/>
          </w:tcPr>
          <w:p>
            <w:pPr>
              <w:overflowPunct w:val="0"/>
              <w:spacing w:line="300" w:lineRule="exact"/>
              <w:rPr>
                <w:rFonts w:eastAsia="仿宋_GB2312"/>
                <w:sz w:val="24"/>
                <w:highlight w:val="none"/>
              </w:rPr>
            </w:pPr>
          </w:p>
        </w:tc>
        <w:tc>
          <w:tcPr>
            <w:tcW w:w="3787" w:type="pct"/>
            <w:vAlign w:val="center"/>
          </w:tcPr>
          <w:p>
            <w:pPr>
              <w:overflowPunct w:val="0"/>
              <w:spacing w:line="300" w:lineRule="exact"/>
              <w:rPr>
                <w:rFonts w:eastAsia="仿宋_GB2312"/>
                <w:sz w:val="24"/>
                <w:highlight w:val="none"/>
              </w:rPr>
            </w:pPr>
            <w:r>
              <w:rPr>
                <w:rFonts w:hint="eastAsia" w:eastAsia="仿宋_GB2312"/>
                <w:sz w:val="24"/>
                <w:highlight w:val="none"/>
              </w:rPr>
              <w:t>旅游集散码头：嘉州港区高新区旅游客运码头、沐川港区炭库古镇旅游客运码头、沙湾港区月亮湾客运码头、峨边港区五渡客运码头</w:t>
            </w:r>
          </w:p>
        </w:tc>
      </w:tr>
    </w:tbl>
    <w:p>
      <w:pPr>
        <w:overflowPunct w:val="0"/>
        <w:spacing w:line="520" w:lineRule="exact"/>
        <w:ind w:firstLine="560" w:firstLineChars="200"/>
        <w:jc w:val="center"/>
        <w:rPr>
          <w:rFonts w:eastAsia="黑体"/>
          <w:sz w:val="28"/>
          <w:szCs w:val="28"/>
          <w:highlight w:val="none"/>
        </w:rPr>
      </w:pPr>
      <w:r>
        <w:rPr>
          <w:rFonts w:eastAsia="黑体"/>
          <w:sz w:val="28"/>
          <w:szCs w:val="28"/>
          <w:highlight w:val="none"/>
        </w:rPr>
        <w:t>表</w:t>
      </w:r>
      <w:r>
        <w:rPr>
          <w:rFonts w:hint="eastAsia" w:eastAsia="黑体"/>
          <w:sz w:val="28"/>
          <w:szCs w:val="28"/>
          <w:highlight w:val="none"/>
        </w:rPr>
        <w:t>0</w:t>
      </w:r>
      <w:r>
        <w:rPr>
          <w:rFonts w:eastAsia="黑体"/>
          <w:sz w:val="28"/>
          <w:szCs w:val="28"/>
          <w:highlight w:val="none"/>
        </w:rPr>
        <w:t>.5-2乐山港规划重点作业区及码头技术指标表</w:t>
      </w:r>
    </w:p>
    <w:tbl>
      <w:tblPr>
        <w:tblStyle w:val="33"/>
        <w:tblW w:w="0" w:type="auto"/>
        <w:tblInd w:w="0" w:type="dxa"/>
        <w:tblBorders>
          <w:top w:val="thinThickSmallGap" w:color="000000" w:themeColor="text1" w:sz="18" w:space="0"/>
          <w:left w:val="none" w:color="auto" w:sz="0" w:space="0"/>
          <w:bottom w:val="thickThinSmallGap" w:color="000000" w:themeColor="text1" w:sz="18" w:space="0"/>
          <w:right w:val="none" w:color="auto" w:sz="0"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812"/>
        <w:gridCol w:w="1812"/>
        <w:gridCol w:w="1812"/>
        <w:gridCol w:w="1812"/>
        <w:gridCol w:w="1812"/>
      </w:tblGrid>
      <w:tr>
        <w:tblPrEx>
          <w:tblBorders>
            <w:top w:val="thinThickSmallGap" w:color="000000" w:themeColor="text1" w:sz="18" w:space="0"/>
            <w:left w:val="none" w:color="auto" w:sz="0" w:space="0"/>
            <w:bottom w:val="thickThinSmallGap" w:color="000000" w:themeColor="text1"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812" w:type="dxa"/>
          </w:tcPr>
          <w:p>
            <w:pPr>
              <w:jc w:val="center"/>
              <w:rPr>
                <w:sz w:val="24"/>
                <w:highlight w:val="none"/>
              </w:rPr>
            </w:pPr>
            <w:r>
              <w:rPr>
                <w:sz w:val="24"/>
                <w:highlight w:val="none"/>
              </w:rPr>
              <w:t>港区名称</w:t>
            </w:r>
          </w:p>
        </w:tc>
        <w:tc>
          <w:tcPr>
            <w:tcW w:w="1812" w:type="dxa"/>
          </w:tcPr>
          <w:p>
            <w:pPr>
              <w:jc w:val="center"/>
              <w:rPr>
                <w:sz w:val="24"/>
                <w:highlight w:val="none"/>
              </w:rPr>
            </w:pPr>
            <w:r>
              <w:rPr>
                <w:sz w:val="24"/>
                <w:highlight w:val="none"/>
              </w:rPr>
              <w:t>作业区名称</w:t>
            </w:r>
          </w:p>
        </w:tc>
        <w:tc>
          <w:tcPr>
            <w:tcW w:w="1812" w:type="dxa"/>
          </w:tcPr>
          <w:p>
            <w:pPr>
              <w:jc w:val="center"/>
              <w:rPr>
                <w:sz w:val="24"/>
                <w:highlight w:val="none"/>
              </w:rPr>
            </w:pPr>
            <w:r>
              <w:rPr>
                <w:sz w:val="24"/>
                <w:highlight w:val="none"/>
              </w:rPr>
              <w:t>主要功能</w:t>
            </w:r>
          </w:p>
        </w:tc>
        <w:tc>
          <w:tcPr>
            <w:tcW w:w="1812" w:type="dxa"/>
          </w:tcPr>
          <w:p>
            <w:pPr>
              <w:jc w:val="center"/>
              <w:rPr>
                <w:sz w:val="24"/>
                <w:highlight w:val="none"/>
              </w:rPr>
            </w:pPr>
            <w:r>
              <w:rPr>
                <w:sz w:val="24"/>
                <w:highlight w:val="none"/>
              </w:rPr>
              <w:t>规划泊位数</w:t>
            </w:r>
          </w:p>
        </w:tc>
        <w:tc>
          <w:tcPr>
            <w:tcW w:w="1812" w:type="dxa"/>
          </w:tcPr>
          <w:p>
            <w:pPr>
              <w:jc w:val="center"/>
              <w:rPr>
                <w:sz w:val="24"/>
                <w:highlight w:val="none"/>
              </w:rPr>
            </w:pPr>
            <w:r>
              <w:rPr>
                <w:sz w:val="24"/>
                <w:highlight w:val="none"/>
              </w:rPr>
              <w:t>通过能力</w:t>
            </w:r>
          </w:p>
        </w:tc>
      </w:tr>
      <w:tr>
        <w:tblPrEx>
          <w:tblBorders>
            <w:top w:val="thinThickSmallGap" w:color="000000" w:themeColor="text1" w:sz="18" w:space="0"/>
            <w:left w:val="none" w:color="auto" w:sz="0" w:space="0"/>
            <w:bottom w:val="thickThinSmallGap" w:color="000000" w:themeColor="text1"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060" w:type="dxa"/>
            <w:gridSpan w:val="5"/>
          </w:tcPr>
          <w:p>
            <w:pPr>
              <w:jc w:val="left"/>
              <w:rPr>
                <w:sz w:val="24"/>
                <w:highlight w:val="none"/>
              </w:rPr>
            </w:pPr>
            <w:r>
              <w:rPr>
                <w:sz w:val="24"/>
                <w:highlight w:val="none"/>
              </w:rPr>
              <w:t>（一）重点货运作业区及码头</w:t>
            </w:r>
          </w:p>
        </w:tc>
      </w:tr>
      <w:tr>
        <w:tblPrEx>
          <w:tblBorders>
            <w:top w:val="thinThickSmallGap" w:color="000000" w:themeColor="text1" w:sz="18" w:space="0"/>
            <w:left w:val="none" w:color="auto" w:sz="0" w:space="0"/>
            <w:bottom w:val="thickThinSmallGap" w:color="000000" w:themeColor="text1"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812" w:type="dxa"/>
          </w:tcPr>
          <w:p>
            <w:pPr>
              <w:rPr>
                <w:rFonts w:eastAsia="仿宋_GB2312"/>
                <w:sz w:val="24"/>
                <w:highlight w:val="none"/>
              </w:rPr>
            </w:pPr>
            <w:r>
              <w:rPr>
                <w:rFonts w:eastAsia="仿宋_GB2312"/>
                <w:sz w:val="24"/>
                <w:highlight w:val="none"/>
              </w:rPr>
              <w:t>嘉州港区</w:t>
            </w:r>
          </w:p>
        </w:tc>
        <w:tc>
          <w:tcPr>
            <w:tcW w:w="1812" w:type="dxa"/>
          </w:tcPr>
          <w:p>
            <w:pPr>
              <w:rPr>
                <w:rFonts w:eastAsia="仿宋_GB2312"/>
                <w:sz w:val="24"/>
                <w:highlight w:val="none"/>
              </w:rPr>
            </w:pPr>
            <w:r>
              <w:rPr>
                <w:rFonts w:eastAsia="仿宋_GB2312"/>
                <w:sz w:val="24"/>
                <w:highlight w:val="none"/>
              </w:rPr>
              <w:t>老江坝作业区</w:t>
            </w:r>
          </w:p>
        </w:tc>
        <w:tc>
          <w:tcPr>
            <w:tcW w:w="1812" w:type="dxa"/>
          </w:tcPr>
          <w:p>
            <w:pPr>
              <w:overflowPunct w:val="0"/>
              <w:spacing w:line="300" w:lineRule="exact"/>
              <w:rPr>
                <w:rFonts w:eastAsia="仿宋_GB2312"/>
                <w:sz w:val="24"/>
                <w:highlight w:val="none"/>
              </w:rPr>
            </w:pPr>
            <w:r>
              <w:rPr>
                <w:rFonts w:eastAsia="仿宋_GB2312"/>
                <w:sz w:val="24"/>
                <w:highlight w:val="none"/>
              </w:rPr>
              <w:t>综合服务、旅游客运、</w:t>
            </w:r>
            <w:r>
              <w:rPr>
                <w:rFonts w:hint="eastAsia" w:eastAsia="仿宋_GB2312"/>
                <w:sz w:val="24"/>
                <w:highlight w:val="none"/>
              </w:rPr>
              <w:t>重大件、集装箱、件杂</w:t>
            </w:r>
          </w:p>
        </w:tc>
        <w:tc>
          <w:tcPr>
            <w:tcW w:w="1812" w:type="dxa"/>
          </w:tcPr>
          <w:p>
            <w:pPr>
              <w:overflowPunct w:val="0"/>
              <w:spacing w:line="300" w:lineRule="exact"/>
              <w:rPr>
                <w:rFonts w:eastAsia="仿宋_GB2312"/>
                <w:sz w:val="24"/>
                <w:highlight w:val="none"/>
              </w:rPr>
            </w:pPr>
            <w:r>
              <w:rPr>
                <w:rFonts w:eastAsia="仿宋_GB2312"/>
                <w:sz w:val="24"/>
                <w:highlight w:val="none"/>
              </w:rPr>
              <w:t>12个工作船泊位、</w:t>
            </w:r>
            <w:r>
              <w:rPr>
                <w:rFonts w:hint="eastAsia" w:eastAsia="仿宋_GB2312"/>
                <w:sz w:val="24"/>
                <w:highlight w:val="none"/>
              </w:rPr>
              <w:t>2</w:t>
            </w:r>
            <w:r>
              <w:rPr>
                <w:rFonts w:eastAsia="仿宋_GB2312"/>
                <w:sz w:val="24"/>
                <w:highlight w:val="none"/>
              </w:rPr>
              <w:t>0个客运泊位、</w:t>
            </w:r>
            <w:r>
              <w:rPr>
                <w:rFonts w:hint="eastAsia" w:eastAsia="仿宋_GB2312"/>
                <w:sz w:val="24"/>
                <w:highlight w:val="none"/>
              </w:rPr>
              <w:t>5个货运泊位</w:t>
            </w:r>
          </w:p>
        </w:tc>
        <w:tc>
          <w:tcPr>
            <w:tcW w:w="1812" w:type="dxa"/>
          </w:tcPr>
          <w:p>
            <w:pPr>
              <w:overflowPunct w:val="0"/>
              <w:spacing w:line="300" w:lineRule="exact"/>
              <w:rPr>
                <w:rFonts w:eastAsia="仿宋_GB2312"/>
                <w:sz w:val="24"/>
                <w:highlight w:val="none"/>
              </w:rPr>
            </w:pPr>
            <w:r>
              <w:rPr>
                <w:rFonts w:eastAsia="仿宋_GB2312"/>
                <w:sz w:val="24"/>
                <w:highlight w:val="none"/>
              </w:rPr>
              <w:t>600万人次、</w:t>
            </w:r>
            <w:r>
              <w:rPr>
                <w:rFonts w:hint="eastAsia" w:eastAsia="仿宋_GB2312"/>
                <w:sz w:val="24"/>
                <w:highlight w:val="none"/>
              </w:rPr>
              <w:t>15万t重大件、15万TEU、120万t件杂货</w:t>
            </w:r>
          </w:p>
        </w:tc>
      </w:tr>
      <w:tr>
        <w:tblPrEx>
          <w:tblBorders>
            <w:top w:val="thinThickSmallGap" w:color="000000" w:themeColor="text1" w:sz="18" w:space="0"/>
            <w:left w:val="none" w:color="auto" w:sz="0" w:space="0"/>
            <w:bottom w:val="thickThinSmallGap" w:color="000000" w:themeColor="text1"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812" w:type="dxa"/>
          </w:tcPr>
          <w:p>
            <w:pPr>
              <w:rPr>
                <w:rFonts w:eastAsia="仿宋_GB2312"/>
                <w:sz w:val="24"/>
                <w:highlight w:val="none"/>
              </w:rPr>
            </w:pPr>
            <w:r>
              <w:rPr>
                <w:rFonts w:eastAsia="仿宋_GB2312"/>
                <w:sz w:val="24"/>
                <w:highlight w:val="none"/>
              </w:rPr>
              <w:t>五通桥港区</w:t>
            </w:r>
          </w:p>
        </w:tc>
        <w:tc>
          <w:tcPr>
            <w:tcW w:w="1812" w:type="dxa"/>
          </w:tcPr>
          <w:p>
            <w:pPr>
              <w:rPr>
                <w:rFonts w:eastAsia="仿宋_GB2312"/>
                <w:sz w:val="24"/>
                <w:highlight w:val="none"/>
              </w:rPr>
            </w:pPr>
            <w:r>
              <w:rPr>
                <w:rFonts w:eastAsia="仿宋_GB2312"/>
                <w:sz w:val="24"/>
                <w:highlight w:val="none"/>
              </w:rPr>
              <w:t>桥沟作业区</w:t>
            </w:r>
          </w:p>
        </w:tc>
        <w:tc>
          <w:tcPr>
            <w:tcW w:w="1812" w:type="dxa"/>
          </w:tcPr>
          <w:p>
            <w:pPr>
              <w:overflowPunct w:val="0"/>
              <w:spacing w:line="300" w:lineRule="exact"/>
              <w:rPr>
                <w:rFonts w:eastAsia="仿宋_GB2312"/>
                <w:sz w:val="24"/>
                <w:highlight w:val="none"/>
              </w:rPr>
            </w:pPr>
            <w:r>
              <w:rPr>
                <w:rFonts w:eastAsia="仿宋_GB2312"/>
                <w:sz w:val="24"/>
                <w:highlight w:val="none"/>
              </w:rPr>
              <w:t>件杂货、散货</w:t>
            </w:r>
          </w:p>
        </w:tc>
        <w:tc>
          <w:tcPr>
            <w:tcW w:w="1812" w:type="dxa"/>
          </w:tcPr>
          <w:p>
            <w:pPr>
              <w:overflowPunct w:val="0"/>
              <w:spacing w:line="300" w:lineRule="exact"/>
              <w:rPr>
                <w:rFonts w:eastAsia="仿宋_GB2312"/>
                <w:sz w:val="24"/>
                <w:highlight w:val="none"/>
              </w:rPr>
            </w:pPr>
            <w:r>
              <w:rPr>
                <w:rFonts w:hint="eastAsia" w:eastAsia="仿宋_GB2312"/>
                <w:sz w:val="24"/>
                <w:highlight w:val="none"/>
              </w:rPr>
              <w:t>4个货运泊位</w:t>
            </w:r>
          </w:p>
        </w:tc>
        <w:tc>
          <w:tcPr>
            <w:tcW w:w="1812" w:type="dxa"/>
          </w:tcPr>
          <w:p>
            <w:pPr>
              <w:overflowPunct w:val="0"/>
              <w:spacing w:line="300" w:lineRule="exact"/>
              <w:rPr>
                <w:rFonts w:eastAsia="仿宋_GB2312"/>
                <w:sz w:val="24"/>
                <w:highlight w:val="none"/>
              </w:rPr>
            </w:pPr>
            <w:r>
              <w:rPr>
                <w:rFonts w:eastAsia="仿宋_GB2312"/>
                <w:sz w:val="24"/>
                <w:highlight w:val="none"/>
              </w:rPr>
              <w:t>90万t件杂、</w:t>
            </w:r>
            <w:r>
              <w:rPr>
                <w:rFonts w:hint="eastAsia" w:eastAsia="仿宋_GB2312"/>
                <w:sz w:val="24"/>
                <w:highlight w:val="none"/>
              </w:rPr>
              <w:t>1</w:t>
            </w:r>
            <w:r>
              <w:rPr>
                <w:rFonts w:eastAsia="仿宋_GB2312"/>
                <w:sz w:val="24"/>
                <w:highlight w:val="none"/>
              </w:rPr>
              <w:t>00万t散货</w:t>
            </w:r>
          </w:p>
        </w:tc>
      </w:tr>
      <w:tr>
        <w:tblPrEx>
          <w:tblBorders>
            <w:top w:val="thinThickSmallGap" w:color="000000" w:themeColor="text1" w:sz="18" w:space="0"/>
            <w:left w:val="none" w:color="auto" w:sz="0" w:space="0"/>
            <w:bottom w:val="thickThinSmallGap" w:color="000000" w:themeColor="text1"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812" w:type="dxa"/>
          </w:tcPr>
          <w:p>
            <w:pPr>
              <w:rPr>
                <w:rFonts w:eastAsia="仿宋_GB2312"/>
                <w:sz w:val="24"/>
                <w:highlight w:val="none"/>
              </w:rPr>
            </w:pPr>
            <w:r>
              <w:rPr>
                <w:rFonts w:eastAsia="仿宋_GB2312"/>
                <w:sz w:val="24"/>
                <w:highlight w:val="none"/>
              </w:rPr>
              <w:t>犍为港区</w:t>
            </w:r>
          </w:p>
        </w:tc>
        <w:tc>
          <w:tcPr>
            <w:tcW w:w="1812" w:type="dxa"/>
          </w:tcPr>
          <w:p>
            <w:pPr>
              <w:rPr>
                <w:rFonts w:eastAsia="仿宋_GB2312"/>
                <w:sz w:val="24"/>
                <w:highlight w:val="none"/>
              </w:rPr>
            </w:pPr>
            <w:r>
              <w:rPr>
                <w:rFonts w:eastAsia="仿宋_GB2312"/>
                <w:sz w:val="24"/>
                <w:highlight w:val="none"/>
              </w:rPr>
              <w:t>高石坝作业区</w:t>
            </w:r>
          </w:p>
        </w:tc>
        <w:tc>
          <w:tcPr>
            <w:tcW w:w="1812" w:type="dxa"/>
          </w:tcPr>
          <w:p>
            <w:pPr>
              <w:overflowPunct w:val="0"/>
              <w:spacing w:line="300" w:lineRule="exact"/>
              <w:rPr>
                <w:rFonts w:eastAsia="仿宋_GB2312"/>
                <w:sz w:val="24"/>
                <w:highlight w:val="none"/>
              </w:rPr>
            </w:pPr>
            <w:r>
              <w:rPr>
                <w:rFonts w:hint="eastAsia" w:eastAsia="仿宋_GB2312"/>
                <w:sz w:val="24"/>
                <w:highlight w:val="none"/>
              </w:rPr>
              <w:t>集装箱、件杂、散货、加油</w:t>
            </w:r>
          </w:p>
        </w:tc>
        <w:tc>
          <w:tcPr>
            <w:tcW w:w="1812" w:type="dxa"/>
          </w:tcPr>
          <w:p>
            <w:pPr>
              <w:overflowPunct w:val="0"/>
              <w:spacing w:line="300" w:lineRule="exact"/>
              <w:rPr>
                <w:rFonts w:eastAsia="仿宋_GB2312"/>
                <w:sz w:val="24"/>
                <w:highlight w:val="none"/>
              </w:rPr>
            </w:pPr>
            <w:r>
              <w:rPr>
                <w:rFonts w:hint="eastAsia" w:eastAsia="仿宋_GB2312"/>
                <w:sz w:val="24"/>
                <w:highlight w:val="none"/>
              </w:rPr>
              <w:t>2</w:t>
            </w:r>
            <w:r>
              <w:rPr>
                <w:rFonts w:eastAsia="仿宋_GB2312"/>
                <w:sz w:val="24"/>
                <w:highlight w:val="none"/>
              </w:rPr>
              <w:t>3个货运泊位、</w:t>
            </w:r>
            <w:r>
              <w:rPr>
                <w:rFonts w:hint="eastAsia" w:eastAsia="仿宋_GB2312"/>
                <w:sz w:val="24"/>
                <w:highlight w:val="none"/>
              </w:rPr>
              <w:t>1个加油泊位</w:t>
            </w:r>
          </w:p>
        </w:tc>
        <w:tc>
          <w:tcPr>
            <w:tcW w:w="1812" w:type="dxa"/>
          </w:tcPr>
          <w:p>
            <w:pPr>
              <w:overflowPunct w:val="0"/>
              <w:spacing w:line="300" w:lineRule="exact"/>
              <w:rPr>
                <w:rFonts w:eastAsia="仿宋_GB2312"/>
                <w:sz w:val="24"/>
                <w:highlight w:val="none"/>
              </w:rPr>
            </w:pPr>
            <w:r>
              <w:rPr>
                <w:rFonts w:eastAsia="仿宋_GB2312"/>
                <w:sz w:val="24"/>
                <w:highlight w:val="none"/>
              </w:rPr>
              <w:t>35</w:t>
            </w:r>
            <w:r>
              <w:rPr>
                <w:rFonts w:hint="eastAsia" w:eastAsia="仿宋_GB2312"/>
                <w:sz w:val="24"/>
                <w:highlight w:val="none"/>
              </w:rPr>
              <w:t>万TEU、</w:t>
            </w:r>
            <w:r>
              <w:rPr>
                <w:rFonts w:eastAsia="仿宋_GB2312"/>
                <w:sz w:val="24"/>
                <w:highlight w:val="none"/>
              </w:rPr>
              <w:t>300</w:t>
            </w:r>
            <w:r>
              <w:rPr>
                <w:rFonts w:hint="eastAsia" w:eastAsia="仿宋_GB2312"/>
                <w:sz w:val="24"/>
                <w:highlight w:val="none"/>
              </w:rPr>
              <w:t>万t件杂货、7</w:t>
            </w:r>
            <w:r>
              <w:rPr>
                <w:rFonts w:eastAsia="仿宋_GB2312"/>
                <w:sz w:val="24"/>
                <w:highlight w:val="none"/>
              </w:rPr>
              <w:t>20万t散货</w:t>
            </w:r>
          </w:p>
        </w:tc>
      </w:tr>
      <w:tr>
        <w:tblPrEx>
          <w:tblBorders>
            <w:top w:val="thinThickSmallGap" w:color="000000" w:themeColor="text1" w:sz="18" w:space="0"/>
            <w:left w:val="none" w:color="auto" w:sz="0" w:space="0"/>
            <w:bottom w:val="thickThinSmallGap" w:color="000000" w:themeColor="text1"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812" w:type="dxa"/>
          </w:tcPr>
          <w:p>
            <w:pPr>
              <w:rPr>
                <w:rFonts w:eastAsia="仿宋_GB2312"/>
                <w:sz w:val="24"/>
                <w:highlight w:val="none"/>
              </w:rPr>
            </w:pPr>
            <w:r>
              <w:rPr>
                <w:rFonts w:eastAsia="仿宋_GB2312"/>
                <w:sz w:val="24"/>
                <w:highlight w:val="none"/>
              </w:rPr>
              <w:t>沐川港区</w:t>
            </w:r>
          </w:p>
        </w:tc>
        <w:tc>
          <w:tcPr>
            <w:tcW w:w="1812" w:type="dxa"/>
          </w:tcPr>
          <w:p>
            <w:pPr>
              <w:rPr>
                <w:rFonts w:eastAsia="仿宋_GB2312"/>
                <w:sz w:val="24"/>
                <w:highlight w:val="none"/>
              </w:rPr>
            </w:pPr>
            <w:r>
              <w:rPr>
                <w:rFonts w:eastAsia="仿宋_GB2312"/>
                <w:sz w:val="24"/>
                <w:highlight w:val="none"/>
              </w:rPr>
              <w:t>罗家坝作业区</w:t>
            </w:r>
          </w:p>
        </w:tc>
        <w:tc>
          <w:tcPr>
            <w:tcW w:w="1812" w:type="dxa"/>
          </w:tcPr>
          <w:p>
            <w:pPr>
              <w:overflowPunct w:val="0"/>
              <w:spacing w:line="300" w:lineRule="exact"/>
              <w:rPr>
                <w:rFonts w:eastAsia="仿宋_GB2312"/>
                <w:sz w:val="24"/>
                <w:highlight w:val="none"/>
              </w:rPr>
            </w:pPr>
            <w:r>
              <w:rPr>
                <w:rFonts w:eastAsia="仿宋_GB2312"/>
                <w:sz w:val="24"/>
                <w:highlight w:val="none"/>
              </w:rPr>
              <w:t>散货、件杂</w:t>
            </w:r>
          </w:p>
        </w:tc>
        <w:tc>
          <w:tcPr>
            <w:tcW w:w="1812" w:type="dxa"/>
          </w:tcPr>
          <w:p>
            <w:pPr>
              <w:overflowPunct w:val="0"/>
              <w:spacing w:line="300" w:lineRule="exact"/>
              <w:rPr>
                <w:rFonts w:eastAsia="仿宋_GB2312"/>
                <w:sz w:val="24"/>
                <w:highlight w:val="none"/>
              </w:rPr>
            </w:pPr>
            <w:r>
              <w:rPr>
                <w:rFonts w:hint="eastAsia" w:eastAsia="仿宋_GB2312"/>
                <w:sz w:val="24"/>
                <w:highlight w:val="none"/>
              </w:rPr>
              <w:t>6个货运泊位、1个工作船泊位</w:t>
            </w:r>
          </w:p>
        </w:tc>
        <w:tc>
          <w:tcPr>
            <w:tcW w:w="1812" w:type="dxa"/>
          </w:tcPr>
          <w:p>
            <w:pPr>
              <w:overflowPunct w:val="0"/>
              <w:spacing w:line="300" w:lineRule="exact"/>
              <w:rPr>
                <w:rFonts w:eastAsia="仿宋_GB2312"/>
                <w:sz w:val="24"/>
                <w:highlight w:val="none"/>
              </w:rPr>
            </w:pPr>
            <w:r>
              <w:rPr>
                <w:rFonts w:eastAsia="仿宋_GB2312"/>
                <w:sz w:val="24"/>
                <w:highlight w:val="none"/>
              </w:rPr>
              <w:t>240</w:t>
            </w:r>
            <w:r>
              <w:rPr>
                <w:rFonts w:hint="eastAsia" w:eastAsia="仿宋_GB2312"/>
                <w:sz w:val="24"/>
                <w:highlight w:val="none"/>
              </w:rPr>
              <w:t>万t散货、</w:t>
            </w:r>
            <w:r>
              <w:rPr>
                <w:rFonts w:eastAsia="仿宋_GB2312"/>
                <w:sz w:val="24"/>
                <w:highlight w:val="none"/>
              </w:rPr>
              <w:t>30万t</w:t>
            </w:r>
            <w:r>
              <w:rPr>
                <w:rFonts w:hint="eastAsia" w:eastAsia="仿宋_GB2312"/>
                <w:sz w:val="24"/>
                <w:highlight w:val="none"/>
              </w:rPr>
              <w:t>件杂货</w:t>
            </w:r>
          </w:p>
        </w:tc>
      </w:tr>
      <w:tr>
        <w:tblPrEx>
          <w:tblBorders>
            <w:top w:val="thinThickSmallGap" w:color="000000" w:themeColor="text1" w:sz="18" w:space="0"/>
            <w:left w:val="none" w:color="auto" w:sz="0" w:space="0"/>
            <w:bottom w:val="thickThinSmallGap" w:color="000000" w:themeColor="text1"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812" w:type="dxa"/>
            <w:vAlign w:val="center"/>
          </w:tcPr>
          <w:p>
            <w:pPr>
              <w:rPr>
                <w:rFonts w:eastAsia="仿宋_GB2312"/>
                <w:sz w:val="24"/>
                <w:highlight w:val="none"/>
              </w:rPr>
            </w:pPr>
            <w:r>
              <w:rPr>
                <w:rFonts w:eastAsia="仿宋_GB2312"/>
                <w:sz w:val="24"/>
                <w:highlight w:val="none"/>
              </w:rPr>
              <w:t>沐川港区</w:t>
            </w:r>
          </w:p>
        </w:tc>
        <w:tc>
          <w:tcPr>
            <w:tcW w:w="1812" w:type="dxa"/>
            <w:vAlign w:val="center"/>
          </w:tcPr>
          <w:p>
            <w:pPr>
              <w:rPr>
                <w:rFonts w:eastAsia="仿宋_GB2312"/>
                <w:sz w:val="24"/>
                <w:highlight w:val="none"/>
              </w:rPr>
            </w:pPr>
            <w:r>
              <w:rPr>
                <w:rFonts w:hint="eastAsia" w:eastAsia="仿宋_GB2312"/>
                <w:sz w:val="24"/>
                <w:highlight w:val="none"/>
              </w:rPr>
              <w:t>茨竹坪散货码头</w:t>
            </w:r>
          </w:p>
        </w:tc>
        <w:tc>
          <w:tcPr>
            <w:tcW w:w="1812" w:type="dxa"/>
          </w:tcPr>
          <w:p>
            <w:pPr>
              <w:overflowPunct w:val="0"/>
              <w:spacing w:line="300" w:lineRule="exact"/>
              <w:rPr>
                <w:rFonts w:eastAsia="仿宋_GB2312"/>
                <w:sz w:val="24"/>
                <w:highlight w:val="none"/>
              </w:rPr>
            </w:pPr>
            <w:r>
              <w:rPr>
                <w:rFonts w:eastAsia="仿宋_GB2312"/>
                <w:sz w:val="24"/>
                <w:highlight w:val="none"/>
              </w:rPr>
              <w:t>散货</w:t>
            </w:r>
          </w:p>
        </w:tc>
        <w:tc>
          <w:tcPr>
            <w:tcW w:w="1812" w:type="dxa"/>
          </w:tcPr>
          <w:p>
            <w:pPr>
              <w:overflowPunct w:val="0"/>
              <w:spacing w:line="300" w:lineRule="exact"/>
              <w:rPr>
                <w:rFonts w:eastAsia="仿宋_GB2312"/>
                <w:sz w:val="24"/>
                <w:highlight w:val="none"/>
              </w:rPr>
            </w:pPr>
            <w:r>
              <w:rPr>
                <w:rFonts w:eastAsia="仿宋_GB2312"/>
                <w:sz w:val="24"/>
                <w:highlight w:val="none"/>
              </w:rPr>
              <w:t>2</w:t>
            </w:r>
            <w:r>
              <w:rPr>
                <w:rFonts w:hint="eastAsia" w:eastAsia="仿宋_GB2312"/>
                <w:sz w:val="24"/>
                <w:highlight w:val="none"/>
              </w:rPr>
              <w:t>个货运泊位</w:t>
            </w:r>
          </w:p>
        </w:tc>
        <w:tc>
          <w:tcPr>
            <w:tcW w:w="1812" w:type="dxa"/>
          </w:tcPr>
          <w:p>
            <w:pPr>
              <w:overflowPunct w:val="0"/>
              <w:spacing w:line="300" w:lineRule="exact"/>
              <w:rPr>
                <w:rFonts w:eastAsia="仿宋_GB2312"/>
                <w:sz w:val="24"/>
                <w:highlight w:val="none"/>
              </w:rPr>
            </w:pPr>
            <w:r>
              <w:rPr>
                <w:rFonts w:eastAsia="仿宋_GB2312"/>
                <w:sz w:val="24"/>
                <w:highlight w:val="none"/>
              </w:rPr>
              <w:t>60万t散货</w:t>
            </w:r>
          </w:p>
        </w:tc>
      </w:tr>
      <w:tr>
        <w:tblPrEx>
          <w:tblBorders>
            <w:top w:val="thinThickSmallGap" w:color="000000" w:themeColor="text1" w:sz="18" w:space="0"/>
            <w:left w:val="none" w:color="auto" w:sz="0" w:space="0"/>
            <w:bottom w:val="thickThinSmallGap" w:color="000000" w:themeColor="text1"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812" w:type="dxa"/>
          </w:tcPr>
          <w:p>
            <w:pPr>
              <w:rPr>
                <w:rFonts w:eastAsia="仿宋_GB2312"/>
                <w:sz w:val="24"/>
                <w:highlight w:val="none"/>
              </w:rPr>
            </w:pPr>
            <w:r>
              <w:rPr>
                <w:rFonts w:eastAsia="仿宋_GB2312"/>
                <w:sz w:val="24"/>
                <w:highlight w:val="none"/>
              </w:rPr>
              <w:t>峨边港区</w:t>
            </w:r>
          </w:p>
        </w:tc>
        <w:tc>
          <w:tcPr>
            <w:tcW w:w="1812" w:type="dxa"/>
          </w:tcPr>
          <w:p>
            <w:pPr>
              <w:rPr>
                <w:rFonts w:eastAsia="仿宋_GB2312"/>
                <w:sz w:val="24"/>
                <w:highlight w:val="none"/>
              </w:rPr>
            </w:pPr>
            <w:r>
              <w:rPr>
                <w:rFonts w:eastAsia="仿宋_GB2312"/>
                <w:sz w:val="24"/>
                <w:highlight w:val="none"/>
              </w:rPr>
              <w:t>龙眼坝码头</w:t>
            </w:r>
          </w:p>
        </w:tc>
        <w:tc>
          <w:tcPr>
            <w:tcW w:w="1812" w:type="dxa"/>
          </w:tcPr>
          <w:p>
            <w:pPr>
              <w:overflowPunct w:val="0"/>
              <w:spacing w:line="300" w:lineRule="exact"/>
              <w:rPr>
                <w:rFonts w:eastAsia="仿宋_GB2312"/>
                <w:sz w:val="24"/>
                <w:highlight w:val="none"/>
              </w:rPr>
            </w:pPr>
            <w:r>
              <w:rPr>
                <w:rFonts w:eastAsia="仿宋_GB2312"/>
                <w:sz w:val="24"/>
                <w:highlight w:val="none"/>
              </w:rPr>
              <w:t>散货、</w:t>
            </w:r>
            <w:r>
              <w:rPr>
                <w:rFonts w:hint="eastAsia" w:eastAsia="仿宋_GB2312"/>
                <w:sz w:val="24"/>
                <w:highlight w:val="none"/>
              </w:rPr>
              <w:t>港航</w:t>
            </w:r>
            <w:r>
              <w:rPr>
                <w:rFonts w:eastAsia="仿宋_GB2312"/>
                <w:sz w:val="24"/>
                <w:highlight w:val="none"/>
              </w:rPr>
              <w:t>管理</w:t>
            </w:r>
          </w:p>
        </w:tc>
        <w:tc>
          <w:tcPr>
            <w:tcW w:w="1812" w:type="dxa"/>
          </w:tcPr>
          <w:p>
            <w:pPr>
              <w:overflowPunct w:val="0"/>
              <w:spacing w:line="300" w:lineRule="exact"/>
              <w:rPr>
                <w:rFonts w:eastAsia="仿宋_GB2312"/>
                <w:sz w:val="24"/>
                <w:highlight w:val="none"/>
              </w:rPr>
            </w:pPr>
            <w:r>
              <w:rPr>
                <w:rFonts w:hint="eastAsia" w:eastAsia="仿宋_GB2312"/>
                <w:sz w:val="24"/>
                <w:highlight w:val="none"/>
              </w:rPr>
              <w:t>2个货运泊位、2个工作船泊位</w:t>
            </w:r>
          </w:p>
        </w:tc>
        <w:tc>
          <w:tcPr>
            <w:tcW w:w="1812" w:type="dxa"/>
          </w:tcPr>
          <w:p>
            <w:pPr>
              <w:overflowPunct w:val="0"/>
              <w:spacing w:line="300" w:lineRule="exact"/>
              <w:rPr>
                <w:rFonts w:eastAsia="仿宋_GB2312"/>
                <w:sz w:val="24"/>
                <w:highlight w:val="none"/>
              </w:rPr>
            </w:pPr>
            <w:r>
              <w:rPr>
                <w:rFonts w:eastAsia="仿宋_GB2312"/>
                <w:sz w:val="24"/>
                <w:highlight w:val="none"/>
              </w:rPr>
              <w:t>60万t散货</w:t>
            </w:r>
          </w:p>
        </w:tc>
      </w:tr>
      <w:tr>
        <w:tblPrEx>
          <w:tblBorders>
            <w:top w:val="thinThickSmallGap" w:color="000000" w:themeColor="text1" w:sz="18" w:space="0"/>
            <w:left w:val="none" w:color="auto" w:sz="0" w:space="0"/>
            <w:bottom w:val="thickThinSmallGap" w:color="000000" w:themeColor="text1"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812" w:type="dxa"/>
          </w:tcPr>
          <w:p>
            <w:pPr>
              <w:rPr>
                <w:rFonts w:eastAsia="仿宋_GB2312"/>
                <w:sz w:val="24"/>
                <w:highlight w:val="none"/>
              </w:rPr>
            </w:pPr>
            <w:r>
              <w:rPr>
                <w:rFonts w:eastAsia="仿宋_GB2312"/>
                <w:sz w:val="24"/>
                <w:highlight w:val="none"/>
              </w:rPr>
              <w:t>峨边港区</w:t>
            </w:r>
          </w:p>
        </w:tc>
        <w:tc>
          <w:tcPr>
            <w:tcW w:w="1812" w:type="dxa"/>
          </w:tcPr>
          <w:p>
            <w:pPr>
              <w:rPr>
                <w:rFonts w:eastAsia="仿宋_GB2312"/>
                <w:sz w:val="24"/>
                <w:highlight w:val="none"/>
              </w:rPr>
            </w:pPr>
            <w:r>
              <w:rPr>
                <w:rFonts w:eastAsia="仿宋_GB2312"/>
                <w:sz w:val="24"/>
                <w:highlight w:val="none"/>
              </w:rPr>
              <w:t>白果散货码头</w:t>
            </w:r>
          </w:p>
        </w:tc>
        <w:tc>
          <w:tcPr>
            <w:tcW w:w="1812" w:type="dxa"/>
          </w:tcPr>
          <w:p>
            <w:pPr>
              <w:overflowPunct w:val="0"/>
              <w:spacing w:line="300" w:lineRule="exact"/>
              <w:rPr>
                <w:rFonts w:eastAsia="仿宋_GB2312"/>
                <w:sz w:val="24"/>
                <w:highlight w:val="none"/>
              </w:rPr>
            </w:pPr>
            <w:r>
              <w:rPr>
                <w:rFonts w:eastAsia="仿宋_GB2312"/>
                <w:sz w:val="24"/>
                <w:highlight w:val="none"/>
              </w:rPr>
              <w:t>散货</w:t>
            </w:r>
          </w:p>
        </w:tc>
        <w:tc>
          <w:tcPr>
            <w:tcW w:w="1812" w:type="dxa"/>
          </w:tcPr>
          <w:p>
            <w:pPr>
              <w:overflowPunct w:val="0"/>
              <w:spacing w:line="300" w:lineRule="exact"/>
              <w:rPr>
                <w:rFonts w:eastAsia="仿宋_GB2312"/>
                <w:sz w:val="24"/>
                <w:highlight w:val="none"/>
              </w:rPr>
            </w:pPr>
            <w:r>
              <w:rPr>
                <w:rFonts w:hint="eastAsia" w:eastAsia="仿宋_GB2312"/>
                <w:sz w:val="24"/>
                <w:highlight w:val="none"/>
              </w:rPr>
              <w:t>3个货运泊位</w:t>
            </w:r>
          </w:p>
        </w:tc>
        <w:tc>
          <w:tcPr>
            <w:tcW w:w="1812" w:type="dxa"/>
          </w:tcPr>
          <w:p>
            <w:pPr>
              <w:overflowPunct w:val="0"/>
              <w:spacing w:line="300" w:lineRule="exact"/>
              <w:rPr>
                <w:rFonts w:eastAsia="仿宋_GB2312"/>
                <w:sz w:val="24"/>
                <w:highlight w:val="none"/>
              </w:rPr>
            </w:pPr>
            <w:r>
              <w:rPr>
                <w:rFonts w:hint="eastAsia" w:eastAsia="仿宋_GB2312"/>
                <w:sz w:val="24"/>
                <w:highlight w:val="none"/>
              </w:rPr>
              <w:t>9</w:t>
            </w:r>
            <w:r>
              <w:rPr>
                <w:rFonts w:eastAsia="仿宋_GB2312"/>
                <w:sz w:val="24"/>
                <w:highlight w:val="none"/>
              </w:rPr>
              <w:t>0万t散货</w:t>
            </w:r>
          </w:p>
        </w:tc>
      </w:tr>
      <w:tr>
        <w:tblPrEx>
          <w:tblBorders>
            <w:top w:val="thinThickSmallGap" w:color="000000" w:themeColor="text1" w:sz="18" w:space="0"/>
            <w:left w:val="none" w:color="auto" w:sz="0" w:space="0"/>
            <w:bottom w:val="thickThinSmallGap" w:color="000000" w:themeColor="text1"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060" w:type="dxa"/>
            <w:gridSpan w:val="5"/>
          </w:tcPr>
          <w:p>
            <w:pPr>
              <w:overflowPunct w:val="0"/>
              <w:spacing w:line="300" w:lineRule="exact"/>
              <w:rPr>
                <w:rFonts w:eastAsia="仿宋_GB2312"/>
                <w:sz w:val="24"/>
                <w:highlight w:val="none"/>
              </w:rPr>
            </w:pPr>
            <w:r>
              <w:rPr>
                <w:rFonts w:eastAsia="仿宋_GB2312"/>
                <w:sz w:val="24"/>
                <w:highlight w:val="none"/>
              </w:rPr>
              <w:t>（二）重点客运作业区及码头</w:t>
            </w:r>
          </w:p>
        </w:tc>
      </w:tr>
      <w:tr>
        <w:tblPrEx>
          <w:tblBorders>
            <w:top w:val="thinThickSmallGap" w:color="000000" w:themeColor="text1" w:sz="18" w:space="0"/>
            <w:left w:val="none" w:color="auto" w:sz="0" w:space="0"/>
            <w:bottom w:val="thickThinSmallGap" w:color="000000" w:themeColor="text1"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812" w:type="dxa"/>
            <w:vAlign w:val="center"/>
          </w:tcPr>
          <w:p>
            <w:pPr>
              <w:rPr>
                <w:rFonts w:eastAsia="仿宋_GB2312"/>
                <w:sz w:val="24"/>
                <w:highlight w:val="none"/>
              </w:rPr>
            </w:pPr>
            <w:r>
              <w:rPr>
                <w:rFonts w:eastAsia="仿宋_GB2312"/>
                <w:sz w:val="24"/>
                <w:highlight w:val="none"/>
              </w:rPr>
              <w:t>嘉州港区</w:t>
            </w:r>
          </w:p>
        </w:tc>
        <w:tc>
          <w:tcPr>
            <w:tcW w:w="1812" w:type="dxa"/>
            <w:vAlign w:val="center"/>
          </w:tcPr>
          <w:p>
            <w:pPr>
              <w:rPr>
                <w:rFonts w:eastAsia="仿宋_GB2312"/>
                <w:sz w:val="24"/>
                <w:highlight w:val="none"/>
              </w:rPr>
            </w:pPr>
            <w:r>
              <w:rPr>
                <w:rFonts w:hint="eastAsia" w:eastAsia="仿宋_GB2312"/>
                <w:sz w:val="24"/>
                <w:highlight w:val="none"/>
              </w:rPr>
              <w:t>大佛客运作业区</w:t>
            </w:r>
          </w:p>
        </w:tc>
        <w:tc>
          <w:tcPr>
            <w:tcW w:w="1812" w:type="dxa"/>
          </w:tcPr>
          <w:p>
            <w:pPr>
              <w:overflowPunct w:val="0"/>
              <w:spacing w:line="300" w:lineRule="exact"/>
              <w:rPr>
                <w:rFonts w:eastAsia="仿宋_GB2312"/>
                <w:sz w:val="24"/>
                <w:highlight w:val="none"/>
              </w:rPr>
            </w:pPr>
            <w:r>
              <w:rPr>
                <w:rFonts w:eastAsia="仿宋_GB2312"/>
                <w:sz w:val="24"/>
                <w:highlight w:val="none"/>
              </w:rPr>
              <w:t>旅游客运</w:t>
            </w:r>
          </w:p>
        </w:tc>
        <w:tc>
          <w:tcPr>
            <w:tcW w:w="1812" w:type="dxa"/>
          </w:tcPr>
          <w:p>
            <w:pPr>
              <w:overflowPunct w:val="0"/>
              <w:spacing w:line="300" w:lineRule="exact"/>
              <w:rPr>
                <w:rFonts w:eastAsia="仿宋_GB2312"/>
                <w:sz w:val="24"/>
                <w:highlight w:val="none"/>
              </w:rPr>
            </w:pPr>
            <w:r>
              <w:rPr>
                <w:rFonts w:hint="eastAsia" w:eastAsia="仿宋_GB2312"/>
                <w:sz w:val="24"/>
                <w:highlight w:val="none"/>
              </w:rPr>
              <w:t>1</w:t>
            </w:r>
            <w:r>
              <w:rPr>
                <w:rFonts w:eastAsia="仿宋_GB2312"/>
                <w:sz w:val="24"/>
                <w:highlight w:val="none"/>
              </w:rPr>
              <w:t>5个客运泊位</w:t>
            </w:r>
          </w:p>
        </w:tc>
        <w:tc>
          <w:tcPr>
            <w:tcW w:w="1812" w:type="dxa"/>
          </w:tcPr>
          <w:p>
            <w:pPr>
              <w:overflowPunct w:val="0"/>
              <w:spacing w:line="300" w:lineRule="exact"/>
              <w:rPr>
                <w:rFonts w:eastAsia="仿宋_GB2312"/>
                <w:sz w:val="24"/>
                <w:highlight w:val="none"/>
              </w:rPr>
            </w:pPr>
            <w:r>
              <w:rPr>
                <w:rFonts w:eastAsia="仿宋_GB2312"/>
                <w:sz w:val="24"/>
                <w:highlight w:val="none"/>
              </w:rPr>
              <w:t>270万人次</w:t>
            </w:r>
          </w:p>
        </w:tc>
      </w:tr>
      <w:tr>
        <w:tblPrEx>
          <w:tblBorders>
            <w:top w:val="thinThickSmallGap" w:color="000000" w:themeColor="text1" w:sz="18" w:space="0"/>
            <w:left w:val="none" w:color="auto" w:sz="0" w:space="0"/>
            <w:bottom w:val="thickThinSmallGap" w:color="000000" w:themeColor="text1"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812" w:type="dxa"/>
            <w:vAlign w:val="center"/>
          </w:tcPr>
          <w:p>
            <w:pPr>
              <w:rPr>
                <w:rFonts w:eastAsia="仿宋_GB2312"/>
                <w:sz w:val="24"/>
                <w:highlight w:val="none"/>
              </w:rPr>
            </w:pPr>
            <w:r>
              <w:rPr>
                <w:rFonts w:eastAsia="仿宋_GB2312"/>
                <w:sz w:val="24"/>
                <w:highlight w:val="none"/>
              </w:rPr>
              <w:t>沙湾港区</w:t>
            </w:r>
          </w:p>
        </w:tc>
        <w:tc>
          <w:tcPr>
            <w:tcW w:w="1812" w:type="dxa"/>
            <w:vAlign w:val="center"/>
          </w:tcPr>
          <w:p>
            <w:pPr>
              <w:rPr>
                <w:rFonts w:eastAsia="仿宋_GB2312"/>
                <w:sz w:val="24"/>
                <w:highlight w:val="none"/>
              </w:rPr>
            </w:pPr>
            <w:r>
              <w:rPr>
                <w:rFonts w:hint="eastAsia" w:eastAsia="仿宋_GB2312"/>
                <w:sz w:val="24"/>
                <w:highlight w:val="none"/>
              </w:rPr>
              <w:t>月亮湾客运码头</w:t>
            </w:r>
          </w:p>
        </w:tc>
        <w:tc>
          <w:tcPr>
            <w:tcW w:w="1812" w:type="dxa"/>
          </w:tcPr>
          <w:p>
            <w:pPr>
              <w:overflowPunct w:val="0"/>
              <w:spacing w:line="300" w:lineRule="exact"/>
              <w:rPr>
                <w:rFonts w:eastAsia="仿宋_GB2312"/>
                <w:sz w:val="24"/>
                <w:highlight w:val="none"/>
              </w:rPr>
            </w:pPr>
            <w:r>
              <w:rPr>
                <w:rFonts w:eastAsia="仿宋_GB2312"/>
                <w:sz w:val="24"/>
                <w:highlight w:val="none"/>
              </w:rPr>
              <w:t>旅游客运</w:t>
            </w:r>
          </w:p>
        </w:tc>
        <w:tc>
          <w:tcPr>
            <w:tcW w:w="1812" w:type="dxa"/>
          </w:tcPr>
          <w:p>
            <w:pPr>
              <w:overflowPunct w:val="0"/>
              <w:spacing w:line="300" w:lineRule="exact"/>
              <w:rPr>
                <w:rFonts w:eastAsia="仿宋_GB2312"/>
                <w:sz w:val="24"/>
                <w:highlight w:val="none"/>
              </w:rPr>
            </w:pPr>
            <w:r>
              <w:rPr>
                <w:rFonts w:hint="eastAsia" w:eastAsia="仿宋_GB2312"/>
                <w:sz w:val="24"/>
                <w:highlight w:val="none"/>
              </w:rPr>
              <w:t>2</w:t>
            </w:r>
            <w:r>
              <w:rPr>
                <w:rFonts w:eastAsia="仿宋_GB2312"/>
                <w:sz w:val="24"/>
                <w:highlight w:val="none"/>
              </w:rPr>
              <w:t>个客运泊位</w:t>
            </w:r>
          </w:p>
        </w:tc>
        <w:tc>
          <w:tcPr>
            <w:tcW w:w="1812" w:type="dxa"/>
          </w:tcPr>
          <w:p>
            <w:pPr>
              <w:overflowPunct w:val="0"/>
              <w:spacing w:line="300" w:lineRule="exact"/>
              <w:rPr>
                <w:rFonts w:eastAsia="仿宋_GB2312"/>
                <w:sz w:val="24"/>
                <w:highlight w:val="none"/>
              </w:rPr>
            </w:pPr>
            <w:r>
              <w:rPr>
                <w:rFonts w:eastAsia="仿宋_GB2312"/>
                <w:sz w:val="24"/>
                <w:highlight w:val="none"/>
              </w:rPr>
              <w:t>60万人次</w:t>
            </w:r>
          </w:p>
        </w:tc>
      </w:tr>
      <w:tr>
        <w:tblPrEx>
          <w:tblBorders>
            <w:top w:val="thinThickSmallGap" w:color="000000" w:themeColor="text1" w:sz="18" w:space="0"/>
            <w:left w:val="none" w:color="auto" w:sz="0" w:space="0"/>
            <w:bottom w:val="thickThinSmallGap" w:color="000000" w:themeColor="text1"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812" w:type="dxa"/>
            <w:vAlign w:val="center"/>
          </w:tcPr>
          <w:p>
            <w:pPr>
              <w:rPr>
                <w:rFonts w:eastAsia="仿宋_GB2312"/>
                <w:sz w:val="24"/>
                <w:highlight w:val="none"/>
              </w:rPr>
            </w:pPr>
            <w:r>
              <w:rPr>
                <w:rFonts w:hint="eastAsia" w:eastAsia="仿宋_GB2312"/>
                <w:sz w:val="24"/>
                <w:highlight w:val="none"/>
              </w:rPr>
              <w:t>峨边港区</w:t>
            </w:r>
          </w:p>
        </w:tc>
        <w:tc>
          <w:tcPr>
            <w:tcW w:w="1812" w:type="dxa"/>
          </w:tcPr>
          <w:p>
            <w:pPr>
              <w:overflowPunct w:val="0"/>
              <w:spacing w:line="300" w:lineRule="exact"/>
              <w:rPr>
                <w:rFonts w:eastAsia="仿宋_GB2312"/>
                <w:sz w:val="24"/>
                <w:highlight w:val="none"/>
              </w:rPr>
            </w:pPr>
            <w:r>
              <w:rPr>
                <w:rFonts w:eastAsia="仿宋_GB2312"/>
                <w:sz w:val="24"/>
                <w:highlight w:val="none"/>
              </w:rPr>
              <w:t>龚嘴旅游客运作业区</w:t>
            </w:r>
          </w:p>
        </w:tc>
        <w:tc>
          <w:tcPr>
            <w:tcW w:w="1812" w:type="dxa"/>
          </w:tcPr>
          <w:p>
            <w:pPr>
              <w:overflowPunct w:val="0"/>
              <w:spacing w:line="300" w:lineRule="exact"/>
              <w:rPr>
                <w:rFonts w:eastAsia="仿宋_GB2312"/>
                <w:sz w:val="24"/>
                <w:highlight w:val="none"/>
              </w:rPr>
            </w:pPr>
            <w:r>
              <w:rPr>
                <w:rFonts w:eastAsia="仿宋_GB2312"/>
                <w:sz w:val="24"/>
                <w:highlight w:val="none"/>
              </w:rPr>
              <w:t>旅游客运</w:t>
            </w:r>
          </w:p>
        </w:tc>
        <w:tc>
          <w:tcPr>
            <w:tcW w:w="1812" w:type="dxa"/>
          </w:tcPr>
          <w:p>
            <w:pPr>
              <w:overflowPunct w:val="0"/>
              <w:spacing w:line="300" w:lineRule="exact"/>
              <w:rPr>
                <w:rFonts w:eastAsia="仿宋_GB2312"/>
                <w:sz w:val="24"/>
                <w:highlight w:val="none"/>
              </w:rPr>
            </w:pPr>
            <w:r>
              <w:rPr>
                <w:rFonts w:hint="eastAsia" w:eastAsia="仿宋_GB2312"/>
                <w:sz w:val="24"/>
                <w:highlight w:val="none"/>
              </w:rPr>
              <w:t>4</w:t>
            </w:r>
            <w:r>
              <w:rPr>
                <w:rFonts w:eastAsia="仿宋_GB2312"/>
                <w:sz w:val="24"/>
                <w:highlight w:val="none"/>
              </w:rPr>
              <w:t>个客运泊位</w:t>
            </w:r>
          </w:p>
        </w:tc>
        <w:tc>
          <w:tcPr>
            <w:tcW w:w="1812" w:type="dxa"/>
          </w:tcPr>
          <w:p>
            <w:pPr>
              <w:overflowPunct w:val="0"/>
              <w:spacing w:line="300" w:lineRule="exact"/>
              <w:rPr>
                <w:rFonts w:eastAsia="仿宋_GB2312"/>
                <w:sz w:val="24"/>
                <w:highlight w:val="none"/>
              </w:rPr>
            </w:pPr>
            <w:r>
              <w:rPr>
                <w:rFonts w:eastAsia="仿宋_GB2312"/>
                <w:sz w:val="24"/>
                <w:highlight w:val="none"/>
              </w:rPr>
              <w:t>120万人次</w:t>
            </w:r>
          </w:p>
        </w:tc>
      </w:tr>
      <w:tr>
        <w:tblPrEx>
          <w:tblBorders>
            <w:top w:val="thinThickSmallGap" w:color="000000" w:themeColor="text1" w:sz="18" w:space="0"/>
            <w:left w:val="none" w:color="auto" w:sz="0" w:space="0"/>
            <w:bottom w:val="thickThinSmallGap" w:color="000000" w:themeColor="text1"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812" w:type="dxa"/>
            <w:vAlign w:val="center"/>
          </w:tcPr>
          <w:p>
            <w:pPr>
              <w:rPr>
                <w:rFonts w:eastAsia="仿宋_GB2312"/>
                <w:sz w:val="24"/>
                <w:highlight w:val="none"/>
              </w:rPr>
            </w:pPr>
            <w:r>
              <w:rPr>
                <w:rFonts w:hint="eastAsia" w:eastAsia="仿宋_GB2312"/>
                <w:sz w:val="24"/>
                <w:highlight w:val="none"/>
              </w:rPr>
              <w:t>峨边港区</w:t>
            </w:r>
          </w:p>
        </w:tc>
        <w:tc>
          <w:tcPr>
            <w:tcW w:w="1812" w:type="dxa"/>
          </w:tcPr>
          <w:p>
            <w:pPr>
              <w:overflowPunct w:val="0"/>
              <w:spacing w:line="300" w:lineRule="exact"/>
              <w:rPr>
                <w:rFonts w:eastAsia="仿宋_GB2312"/>
                <w:sz w:val="24"/>
                <w:highlight w:val="none"/>
              </w:rPr>
            </w:pPr>
            <w:r>
              <w:rPr>
                <w:rFonts w:eastAsia="仿宋_GB2312"/>
                <w:sz w:val="24"/>
                <w:highlight w:val="none"/>
              </w:rPr>
              <w:t>五渡客运码头</w:t>
            </w:r>
          </w:p>
        </w:tc>
        <w:tc>
          <w:tcPr>
            <w:tcW w:w="1812" w:type="dxa"/>
          </w:tcPr>
          <w:p>
            <w:pPr>
              <w:overflowPunct w:val="0"/>
              <w:spacing w:line="300" w:lineRule="exact"/>
              <w:rPr>
                <w:rFonts w:eastAsia="仿宋_GB2312"/>
                <w:sz w:val="24"/>
                <w:highlight w:val="none"/>
              </w:rPr>
            </w:pPr>
            <w:r>
              <w:rPr>
                <w:rFonts w:eastAsia="仿宋_GB2312"/>
                <w:sz w:val="24"/>
                <w:highlight w:val="none"/>
              </w:rPr>
              <w:t>客运</w:t>
            </w:r>
          </w:p>
        </w:tc>
        <w:tc>
          <w:tcPr>
            <w:tcW w:w="1812" w:type="dxa"/>
          </w:tcPr>
          <w:p>
            <w:pPr>
              <w:overflowPunct w:val="0"/>
              <w:spacing w:line="300" w:lineRule="exact"/>
              <w:rPr>
                <w:rFonts w:eastAsia="仿宋_GB2312"/>
                <w:sz w:val="24"/>
                <w:highlight w:val="none"/>
              </w:rPr>
            </w:pPr>
            <w:r>
              <w:rPr>
                <w:rFonts w:hint="eastAsia" w:eastAsia="仿宋_GB2312"/>
                <w:sz w:val="24"/>
                <w:highlight w:val="none"/>
              </w:rPr>
              <w:t>2</w:t>
            </w:r>
            <w:r>
              <w:rPr>
                <w:rFonts w:eastAsia="仿宋_GB2312"/>
                <w:sz w:val="24"/>
                <w:highlight w:val="none"/>
              </w:rPr>
              <w:t>个客运泊位</w:t>
            </w:r>
          </w:p>
        </w:tc>
        <w:tc>
          <w:tcPr>
            <w:tcW w:w="1812" w:type="dxa"/>
          </w:tcPr>
          <w:p>
            <w:pPr>
              <w:overflowPunct w:val="0"/>
              <w:spacing w:line="300" w:lineRule="exact"/>
              <w:rPr>
                <w:rFonts w:eastAsia="仿宋_GB2312"/>
                <w:sz w:val="24"/>
                <w:highlight w:val="none"/>
              </w:rPr>
            </w:pPr>
            <w:r>
              <w:rPr>
                <w:rFonts w:eastAsia="仿宋_GB2312"/>
                <w:sz w:val="24"/>
                <w:highlight w:val="none"/>
              </w:rPr>
              <w:t>60万人次</w:t>
            </w:r>
          </w:p>
        </w:tc>
      </w:tr>
      <w:tr>
        <w:tblPrEx>
          <w:tblBorders>
            <w:top w:val="thinThickSmallGap" w:color="000000" w:themeColor="text1" w:sz="18" w:space="0"/>
            <w:left w:val="none" w:color="auto" w:sz="0" w:space="0"/>
            <w:bottom w:val="thickThinSmallGap" w:color="000000" w:themeColor="text1"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812" w:type="dxa"/>
            <w:vAlign w:val="center"/>
          </w:tcPr>
          <w:p>
            <w:pPr>
              <w:rPr>
                <w:rFonts w:eastAsia="仿宋_GB2312"/>
                <w:sz w:val="24"/>
                <w:highlight w:val="none"/>
              </w:rPr>
            </w:pPr>
            <w:r>
              <w:rPr>
                <w:rFonts w:hint="eastAsia" w:eastAsia="仿宋_GB2312"/>
                <w:sz w:val="24"/>
                <w:highlight w:val="none"/>
              </w:rPr>
              <w:t>夹江港区</w:t>
            </w:r>
          </w:p>
        </w:tc>
        <w:tc>
          <w:tcPr>
            <w:tcW w:w="1812" w:type="dxa"/>
          </w:tcPr>
          <w:p>
            <w:pPr>
              <w:overflowPunct w:val="0"/>
              <w:spacing w:line="300" w:lineRule="exact"/>
              <w:rPr>
                <w:rFonts w:eastAsia="仿宋_GB2312"/>
                <w:sz w:val="24"/>
                <w:highlight w:val="none"/>
              </w:rPr>
            </w:pPr>
            <w:r>
              <w:rPr>
                <w:rFonts w:eastAsia="仿宋_GB2312"/>
                <w:sz w:val="24"/>
                <w:highlight w:val="none"/>
              </w:rPr>
              <w:t>柏杨湾旅游客运码头</w:t>
            </w:r>
          </w:p>
        </w:tc>
        <w:tc>
          <w:tcPr>
            <w:tcW w:w="1812" w:type="dxa"/>
          </w:tcPr>
          <w:p>
            <w:pPr>
              <w:overflowPunct w:val="0"/>
              <w:spacing w:line="300" w:lineRule="exact"/>
              <w:rPr>
                <w:rFonts w:eastAsia="仿宋_GB2312"/>
                <w:sz w:val="24"/>
                <w:highlight w:val="none"/>
              </w:rPr>
            </w:pPr>
            <w:r>
              <w:rPr>
                <w:rFonts w:eastAsia="仿宋_GB2312"/>
                <w:sz w:val="24"/>
                <w:highlight w:val="none"/>
              </w:rPr>
              <w:t>旅游客运、</w:t>
            </w:r>
            <w:r>
              <w:rPr>
                <w:rFonts w:hint="eastAsia" w:eastAsia="仿宋_GB2312"/>
                <w:sz w:val="24"/>
                <w:highlight w:val="none"/>
              </w:rPr>
              <w:t>港航</w:t>
            </w:r>
            <w:r>
              <w:rPr>
                <w:rFonts w:eastAsia="仿宋_GB2312"/>
                <w:sz w:val="24"/>
                <w:highlight w:val="none"/>
              </w:rPr>
              <w:t>管理</w:t>
            </w:r>
          </w:p>
        </w:tc>
        <w:tc>
          <w:tcPr>
            <w:tcW w:w="1812" w:type="dxa"/>
          </w:tcPr>
          <w:p>
            <w:pPr>
              <w:overflowPunct w:val="0"/>
              <w:spacing w:line="300" w:lineRule="exact"/>
              <w:rPr>
                <w:rFonts w:eastAsia="仿宋_GB2312"/>
                <w:sz w:val="24"/>
                <w:highlight w:val="none"/>
              </w:rPr>
            </w:pPr>
            <w:r>
              <w:rPr>
                <w:rFonts w:hint="eastAsia" w:eastAsia="仿宋_GB2312"/>
                <w:sz w:val="24"/>
                <w:highlight w:val="none"/>
              </w:rPr>
              <w:t>3个客运泊位、3个工作船泊位</w:t>
            </w:r>
          </w:p>
        </w:tc>
        <w:tc>
          <w:tcPr>
            <w:tcW w:w="1812" w:type="dxa"/>
          </w:tcPr>
          <w:p>
            <w:pPr>
              <w:overflowPunct w:val="0"/>
              <w:spacing w:line="300" w:lineRule="exact"/>
              <w:rPr>
                <w:rFonts w:eastAsia="仿宋_GB2312"/>
                <w:sz w:val="24"/>
                <w:highlight w:val="none"/>
              </w:rPr>
            </w:pPr>
            <w:r>
              <w:rPr>
                <w:rFonts w:eastAsia="仿宋_GB2312"/>
                <w:sz w:val="24"/>
                <w:highlight w:val="none"/>
              </w:rPr>
              <w:t>90万人次</w:t>
            </w:r>
          </w:p>
        </w:tc>
      </w:tr>
      <w:tr>
        <w:tblPrEx>
          <w:tblBorders>
            <w:top w:val="thinThickSmallGap" w:color="000000" w:themeColor="text1" w:sz="18" w:space="0"/>
            <w:left w:val="none" w:color="auto" w:sz="0" w:space="0"/>
            <w:bottom w:val="thickThinSmallGap" w:color="000000" w:themeColor="text1"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060" w:type="dxa"/>
            <w:gridSpan w:val="5"/>
            <w:vAlign w:val="center"/>
          </w:tcPr>
          <w:p>
            <w:pPr>
              <w:overflowPunct w:val="0"/>
              <w:spacing w:line="300" w:lineRule="exact"/>
              <w:rPr>
                <w:rFonts w:eastAsia="仿宋_GB2312"/>
                <w:sz w:val="24"/>
                <w:highlight w:val="none"/>
              </w:rPr>
            </w:pPr>
            <w:r>
              <w:rPr>
                <w:rFonts w:hint="eastAsia" w:eastAsia="仿宋_GB2312"/>
                <w:sz w:val="24"/>
                <w:highlight w:val="none"/>
              </w:rPr>
              <w:t>（三）支持保障服务区</w:t>
            </w:r>
          </w:p>
        </w:tc>
      </w:tr>
      <w:tr>
        <w:tblPrEx>
          <w:tblBorders>
            <w:top w:val="thinThickSmallGap" w:color="000000" w:themeColor="text1" w:sz="18" w:space="0"/>
            <w:left w:val="none" w:color="auto" w:sz="0" w:space="0"/>
            <w:bottom w:val="thickThinSmallGap" w:color="000000" w:themeColor="text1"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812" w:type="dxa"/>
            <w:vAlign w:val="center"/>
          </w:tcPr>
          <w:p>
            <w:pPr>
              <w:rPr>
                <w:rFonts w:eastAsia="仿宋_GB2312"/>
                <w:sz w:val="24"/>
                <w:highlight w:val="none"/>
              </w:rPr>
            </w:pPr>
            <w:r>
              <w:rPr>
                <w:rFonts w:hint="eastAsia" w:eastAsia="仿宋_GB2312"/>
                <w:sz w:val="24"/>
                <w:highlight w:val="none"/>
              </w:rPr>
              <w:t>犍为港区</w:t>
            </w:r>
          </w:p>
        </w:tc>
        <w:tc>
          <w:tcPr>
            <w:tcW w:w="1812" w:type="dxa"/>
            <w:vAlign w:val="center"/>
          </w:tcPr>
          <w:p>
            <w:pPr>
              <w:rPr>
                <w:rFonts w:eastAsia="仿宋_GB2312"/>
                <w:sz w:val="24"/>
                <w:highlight w:val="none"/>
              </w:rPr>
            </w:pPr>
            <w:r>
              <w:rPr>
                <w:rFonts w:hint="eastAsia" w:eastAsia="仿宋_GB2312"/>
                <w:sz w:val="24"/>
                <w:highlight w:val="none"/>
              </w:rPr>
              <w:t>新民水上服务中心</w:t>
            </w:r>
          </w:p>
        </w:tc>
        <w:tc>
          <w:tcPr>
            <w:tcW w:w="1812" w:type="dxa"/>
          </w:tcPr>
          <w:p>
            <w:pPr>
              <w:overflowPunct w:val="0"/>
              <w:spacing w:line="300" w:lineRule="exact"/>
              <w:rPr>
                <w:rFonts w:eastAsia="仿宋_GB2312"/>
                <w:sz w:val="24"/>
                <w:highlight w:val="none"/>
              </w:rPr>
            </w:pPr>
            <w:r>
              <w:rPr>
                <w:rFonts w:eastAsia="仿宋_GB2312"/>
                <w:sz w:val="24"/>
                <w:highlight w:val="none"/>
              </w:rPr>
              <w:t>港航管理、综合服务</w:t>
            </w:r>
          </w:p>
        </w:tc>
        <w:tc>
          <w:tcPr>
            <w:tcW w:w="1812" w:type="dxa"/>
          </w:tcPr>
          <w:p>
            <w:pPr>
              <w:overflowPunct w:val="0"/>
              <w:spacing w:line="300" w:lineRule="exact"/>
              <w:rPr>
                <w:rFonts w:eastAsia="仿宋_GB2312"/>
                <w:sz w:val="24"/>
                <w:highlight w:val="none"/>
              </w:rPr>
            </w:pPr>
            <w:r>
              <w:rPr>
                <w:rFonts w:hint="eastAsia" w:eastAsia="仿宋_GB2312"/>
                <w:sz w:val="24"/>
                <w:highlight w:val="none"/>
              </w:rPr>
              <w:t>3个工作船泊位</w:t>
            </w:r>
          </w:p>
        </w:tc>
        <w:tc>
          <w:tcPr>
            <w:tcW w:w="1812" w:type="dxa"/>
          </w:tcPr>
          <w:p>
            <w:pPr>
              <w:overflowPunct w:val="0"/>
              <w:spacing w:line="300" w:lineRule="exact"/>
              <w:rPr>
                <w:rFonts w:eastAsia="仿宋_GB2312"/>
                <w:sz w:val="24"/>
                <w:highlight w:val="none"/>
              </w:rPr>
            </w:pPr>
          </w:p>
        </w:tc>
      </w:tr>
    </w:tbl>
    <w:p>
      <w:pPr>
        <w:pStyle w:val="14"/>
        <w:spacing w:before="156" w:beforeLines="50" w:line="520" w:lineRule="exact"/>
        <w:jc w:val="center"/>
        <w:outlineLvl w:val="0"/>
        <w:rPr>
          <w:rFonts w:ascii="Times New Roman" w:hAnsi="Times New Roman" w:eastAsia="黑体" w:cs="Times New Roman"/>
          <w:b/>
          <w:sz w:val="32"/>
          <w:szCs w:val="32"/>
          <w:highlight w:val="none"/>
        </w:rPr>
        <w:sectPr>
          <w:pgSz w:w="11906" w:h="16838"/>
          <w:pgMar w:top="1440" w:right="1418" w:bottom="1440" w:left="1418" w:header="851" w:footer="992" w:gutter="0"/>
          <w:pgNumType w:start="1"/>
          <w:cols w:space="425" w:num="1"/>
          <w:docGrid w:type="lines" w:linePitch="312" w:charSpace="0"/>
        </w:sectPr>
      </w:pPr>
    </w:p>
    <w:p>
      <w:pPr>
        <w:pStyle w:val="14"/>
        <w:spacing w:before="156" w:beforeLines="50" w:line="520" w:lineRule="exact"/>
        <w:jc w:val="center"/>
        <w:outlineLvl w:val="0"/>
        <w:rPr>
          <w:rFonts w:ascii="Times New Roman" w:hAnsi="Times New Roman" w:eastAsia="黑体" w:cs="Times New Roman"/>
          <w:b/>
          <w:sz w:val="32"/>
          <w:szCs w:val="32"/>
          <w:highlight w:val="none"/>
        </w:rPr>
      </w:pPr>
      <w:bookmarkStart w:id="5" w:name="_Toc77781859"/>
      <w:bookmarkStart w:id="6" w:name="_Toc67908199"/>
      <w:r>
        <w:rPr>
          <w:rFonts w:ascii="Times New Roman" w:hAnsi="Times New Roman" w:eastAsia="黑体" w:cs="Times New Roman"/>
          <w:b/>
          <w:sz w:val="32"/>
          <w:szCs w:val="32"/>
          <w:highlight w:val="none"/>
        </w:rPr>
        <w:t>第一章港口发展的现状</w:t>
      </w:r>
      <w:bookmarkEnd w:id="4"/>
      <w:bookmarkEnd w:id="5"/>
      <w:bookmarkEnd w:id="6"/>
    </w:p>
    <w:p>
      <w:pPr>
        <w:spacing w:before="156" w:beforeLines="50" w:after="156" w:afterLines="50" w:line="520" w:lineRule="exact"/>
        <w:jc w:val="center"/>
        <w:outlineLvl w:val="1"/>
        <w:rPr>
          <w:rFonts w:eastAsia="黑体"/>
          <w:b/>
          <w:sz w:val="30"/>
          <w:highlight w:val="none"/>
        </w:rPr>
      </w:pPr>
      <w:bookmarkStart w:id="7" w:name="_Toc67908200"/>
      <w:bookmarkStart w:id="8" w:name="_Toc39688265"/>
      <w:bookmarkStart w:id="9" w:name="_Toc77781860"/>
      <w:bookmarkStart w:id="10" w:name="_Toc39690678"/>
      <w:r>
        <w:rPr>
          <w:rFonts w:eastAsia="黑体"/>
          <w:b/>
          <w:sz w:val="30"/>
          <w:highlight w:val="none"/>
        </w:rPr>
        <w:t>第一节地理位置</w:t>
      </w:r>
      <w:bookmarkEnd w:id="7"/>
      <w:bookmarkEnd w:id="8"/>
      <w:bookmarkEnd w:id="9"/>
    </w:p>
    <w:p>
      <w:pPr>
        <w:spacing w:line="360" w:lineRule="auto"/>
        <w:ind w:firstLine="562" w:firstLineChars="200"/>
        <w:outlineLvl w:val="2"/>
        <w:rPr>
          <w:rFonts w:eastAsia="黑体"/>
          <w:b/>
          <w:sz w:val="28"/>
          <w:szCs w:val="28"/>
          <w:highlight w:val="none"/>
        </w:rPr>
      </w:pPr>
      <w:bookmarkStart w:id="11" w:name="_Toc53089174"/>
      <w:bookmarkStart w:id="12" w:name="_Toc77781861"/>
      <w:bookmarkStart w:id="13" w:name="_Toc39690674"/>
      <w:bookmarkStart w:id="14" w:name="_Toc67924605"/>
      <w:bookmarkStart w:id="15" w:name="_Toc67908201"/>
      <w:r>
        <w:rPr>
          <w:rFonts w:eastAsia="黑体"/>
          <w:b/>
          <w:sz w:val="28"/>
          <w:szCs w:val="28"/>
          <w:highlight w:val="none"/>
        </w:rPr>
        <w:t>一、港口地理位置</w:t>
      </w:r>
      <w:bookmarkEnd w:id="11"/>
      <w:bookmarkEnd w:id="12"/>
      <w:bookmarkEnd w:id="13"/>
      <w:bookmarkEnd w:id="14"/>
      <w:bookmarkEnd w:id="15"/>
    </w:p>
    <w:p>
      <w:pPr>
        <w:spacing w:line="360" w:lineRule="auto"/>
        <w:ind w:firstLine="560" w:firstLineChars="200"/>
        <w:rPr>
          <w:sz w:val="28"/>
          <w:szCs w:val="28"/>
          <w:highlight w:val="none"/>
        </w:rPr>
      </w:pPr>
      <w:r>
        <w:rPr>
          <w:sz w:val="28"/>
          <w:szCs w:val="28"/>
          <w:highlight w:val="none"/>
        </w:rPr>
        <w:t>乐山市古称嘉州，位于北纬28°24′57″～29°56′14″，东经102°55′08″～104°14′52″之间，坐落在岷江、青衣江、大渡河三江交汇处，北与眉山接壤，东与自贡、宜宾毗邻，南与凉山相接，西与雅安连界，中心城区距成都双流国际机场100km，是南丝绸之路、长江经济带交汇点，是成渝地区双城经济圈的主要城市之一。全市幅员面积12720.03km</w:t>
      </w:r>
      <w:r>
        <w:rPr>
          <w:sz w:val="28"/>
          <w:szCs w:val="28"/>
          <w:highlight w:val="none"/>
          <w:vertAlign w:val="superscript"/>
        </w:rPr>
        <w:t>2</w:t>
      </w:r>
      <w:r>
        <w:rPr>
          <w:sz w:val="28"/>
          <w:szCs w:val="28"/>
          <w:highlight w:val="none"/>
        </w:rPr>
        <w:t>，占四川省幅员面积的2.64%。全市辖4个区（市中区、五通桥、沙湾、金口河）、1个县级市（峨眉山市）、4个县（犍为、井研、夹江、沐川）和2个彝族自治县（峨边、马边）。</w:t>
      </w:r>
    </w:p>
    <w:p>
      <w:pPr>
        <w:spacing w:line="360" w:lineRule="auto"/>
        <w:ind w:firstLine="562" w:firstLineChars="200"/>
        <w:outlineLvl w:val="2"/>
        <w:rPr>
          <w:rFonts w:eastAsia="黑体"/>
          <w:b/>
          <w:sz w:val="28"/>
          <w:szCs w:val="28"/>
          <w:highlight w:val="none"/>
        </w:rPr>
      </w:pPr>
      <w:bookmarkStart w:id="16" w:name="_Toc67924606"/>
      <w:bookmarkStart w:id="17" w:name="_Toc53089175"/>
      <w:bookmarkStart w:id="18" w:name="_Toc39690675"/>
      <w:bookmarkStart w:id="19" w:name="_Toc77781862"/>
      <w:bookmarkStart w:id="20" w:name="_Toc67908202"/>
      <w:r>
        <w:rPr>
          <w:rFonts w:eastAsia="黑体"/>
          <w:b/>
          <w:sz w:val="28"/>
          <w:szCs w:val="28"/>
          <w:highlight w:val="none"/>
        </w:rPr>
        <w:t>二、港口对外交通</w:t>
      </w:r>
      <w:bookmarkEnd w:id="16"/>
      <w:bookmarkEnd w:id="17"/>
      <w:bookmarkEnd w:id="18"/>
      <w:bookmarkEnd w:id="19"/>
      <w:bookmarkEnd w:id="20"/>
    </w:p>
    <w:p>
      <w:pPr>
        <w:pStyle w:val="2"/>
        <w:spacing w:line="360" w:lineRule="auto"/>
        <w:ind w:firstLine="560" w:firstLineChars="200"/>
        <w:jc w:val="both"/>
        <w:rPr>
          <w:rFonts w:ascii="Times New Roman" w:cs="Times New Roman"/>
          <w:color w:val="auto"/>
          <w:kern w:val="2"/>
          <w:sz w:val="28"/>
          <w:szCs w:val="28"/>
          <w:highlight w:val="none"/>
        </w:rPr>
      </w:pPr>
      <w:r>
        <w:rPr>
          <w:rFonts w:ascii="Times New Roman" w:cs="Times New Roman"/>
          <w:color w:val="auto"/>
          <w:kern w:val="2"/>
          <w:sz w:val="28"/>
          <w:szCs w:val="28"/>
          <w:highlight w:val="none"/>
        </w:rPr>
        <w:t>乐山是成都经济区核心圈层的重要枢纽城市、成渝地区双城经济圈重要交通节点和港口城市。</w:t>
      </w:r>
      <w:r>
        <w:rPr>
          <w:rFonts w:ascii="Times New Roman" w:cs="Times New Roman"/>
          <w:b/>
          <w:bCs/>
          <w:color w:val="auto"/>
          <w:kern w:val="2"/>
          <w:sz w:val="28"/>
          <w:szCs w:val="28"/>
          <w:highlight w:val="none"/>
        </w:rPr>
        <w:t>公路：</w:t>
      </w:r>
      <w:r>
        <w:rPr>
          <w:rFonts w:ascii="Times New Roman" w:cs="Times New Roman"/>
          <w:color w:val="auto"/>
          <w:kern w:val="2"/>
          <w:sz w:val="28"/>
          <w:szCs w:val="28"/>
          <w:highlight w:val="none"/>
        </w:rPr>
        <w:t>截止2020年，全市公路总里程16057km，其中高速公路380km、国省干线1258km（国道574km，省道684km）。</w:t>
      </w:r>
      <w:r>
        <w:rPr>
          <w:rFonts w:ascii="Times New Roman" w:cs="Times New Roman"/>
          <w:color w:val="auto"/>
          <w:sz w:val="28"/>
          <w:szCs w:val="28"/>
          <w:highlight w:val="none"/>
        </w:rPr>
        <w:t>基本形成了以</w:t>
      </w:r>
      <w:r>
        <w:rPr>
          <w:rFonts w:ascii="Times New Roman" w:cs="Times New Roman"/>
          <w:color w:val="auto"/>
          <w:kern w:val="2"/>
          <w:sz w:val="28"/>
          <w:szCs w:val="28"/>
          <w:highlight w:val="none"/>
        </w:rPr>
        <w:t>成乐、乐宜、乐雅、乐自、仁沐新</w:t>
      </w:r>
      <w:r>
        <w:rPr>
          <w:rFonts w:ascii="Times New Roman" w:cs="Times New Roman"/>
          <w:color w:val="auto"/>
          <w:sz w:val="28"/>
          <w:szCs w:val="28"/>
          <w:highlight w:val="none"/>
        </w:rPr>
        <w:t>为公路主骨架，以</w:t>
      </w:r>
      <w:r>
        <w:rPr>
          <w:rFonts w:ascii="Times New Roman" w:cs="Times New Roman"/>
          <w:color w:val="auto"/>
          <w:kern w:val="2"/>
          <w:sz w:val="28"/>
          <w:szCs w:val="28"/>
          <w:highlight w:val="none"/>
        </w:rPr>
        <w:t>国道213线、245线、348线和省道103线、213线、215线、307线、308线、309线、310线、311线、401线、428线、429线、430线等15条普通国、省公路</w:t>
      </w:r>
      <w:r>
        <w:rPr>
          <w:rFonts w:ascii="Times New Roman" w:cs="Times New Roman"/>
          <w:color w:val="auto"/>
          <w:sz w:val="28"/>
          <w:szCs w:val="28"/>
          <w:highlight w:val="none"/>
        </w:rPr>
        <w:t>为脉络，以县乡道、农村公路为补充的四通八达的公路网络，乐山与成都以及周边城市（雅安、自贡、宜宾、眉山）的1.5小时交通圈已然成形。</w:t>
      </w:r>
      <w:r>
        <w:rPr>
          <w:rFonts w:ascii="Times New Roman" w:cs="Times New Roman"/>
          <w:b/>
          <w:bCs/>
          <w:color w:val="auto"/>
          <w:kern w:val="2"/>
          <w:sz w:val="28"/>
          <w:szCs w:val="28"/>
          <w:highlight w:val="none"/>
        </w:rPr>
        <w:t>铁路：</w:t>
      </w:r>
      <w:r>
        <w:rPr>
          <w:rFonts w:ascii="Times New Roman" w:cs="Times New Roman"/>
          <w:color w:val="auto"/>
          <w:kern w:val="2"/>
          <w:sz w:val="28"/>
          <w:szCs w:val="28"/>
          <w:highlight w:val="none"/>
        </w:rPr>
        <w:t>成昆铁路贯穿全境，其中乐山市内里程161km，设有站点16个。成昆铁路复线成峨段已建成，成绵乐铁路客运专线乐山段长42.6km，已开通运营。成贵铁路、成昆铁路复线峨米段</w:t>
      </w:r>
      <w:r>
        <w:rPr>
          <w:rFonts w:hint="eastAsia" w:ascii="Times New Roman" w:cs="Times New Roman"/>
          <w:color w:val="auto"/>
          <w:kern w:val="2"/>
          <w:sz w:val="28"/>
          <w:szCs w:val="28"/>
          <w:highlight w:val="none"/>
        </w:rPr>
        <w:t>已</w:t>
      </w:r>
      <w:r>
        <w:rPr>
          <w:rFonts w:ascii="Times New Roman" w:cs="Times New Roman"/>
          <w:color w:val="auto"/>
          <w:kern w:val="2"/>
          <w:sz w:val="28"/>
          <w:szCs w:val="28"/>
          <w:highlight w:val="none"/>
        </w:rPr>
        <w:t>开通运营，连乐铁路正加快建设。</w:t>
      </w:r>
      <w:r>
        <w:rPr>
          <w:rFonts w:ascii="Times New Roman" w:cs="Times New Roman"/>
          <w:b/>
          <w:bCs/>
          <w:color w:val="auto"/>
          <w:kern w:val="2"/>
          <w:sz w:val="28"/>
          <w:szCs w:val="28"/>
          <w:highlight w:val="none"/>
        </w:rPr>
        <w:t>水运：</w:t>
      </w:r>
      <w:r>
        <w:rPr>
          <w:rFonts w:ascii="Times New Roman" w:cs="Times New Roman"/>
          <w:color w:val="auto"/>
          <w:sz w:val="28"/>
          <w:szCs w:val="28"/>
          <w:highlight w:val="none"/>
        </w:rPr>
        <w:t>现有通航航道里程527.65km，其中Ⅳ级航道里程90.5 km，</w:t>
      </w:r>
      <w:r>
        <w:rPr>
          <w:rFonts w:ascii="Times New Roman" w:cs="Times New Roman"/>
          <w:color w:val="auto"/>
          <w:kern w:val="2"/>
          <w:sz w:val="28"/>
          <w:szCs w:val="28"/>
          <w:highlight w:val="none"/>
        </w:rPr>
        <w:t>主要通航河流为岷江、大渡河、青衣江。</w:t>
      </w:r>
      <w:r>
        <w:rPr>
          <w:rFonts w:ascii="Times New Roman" w:cs="Times New Roman"/>
          <w:color w:val="auto"/>
          <w:sz w:val="28"/>
          <w:szCs w:val="28"/>
          <w:highlight w:val="none"/>
        </w:rPr>
        <w:t>乐山港是四川省地区重要港口之一，是四川省大件运输通道上的重要节点，</w:t>
      </w:r>
      <w:r>
        <w:rPr>
          <w:rFonts w:hint="eastAsia" w:ascii="Times New Roman" w:cs="Times New Roman"/>
          <w:color w:val="auto"/>
          <w:sz w:val="28"/>
          <w:szCs w:val="28"/>
          <w:highlight w:val="none"/>
        </w:rPr>
        <w:t>溯</w:t>
      </w:r>
      <w:r>
        <w:rPr>
          <w:rFonts w:ascii="Times New Roman" w:cs="Times New Roman"/>
          <w:color w:val="auto"/>
          <w:sz w:val="28"/>
          <w:szCs w:val="28"/>
          <w:highlight w:val="none"/>
        </w:rPr>
        <w:t>岷江而上可达成都</w:t>
      </w:r>
      <w:r>
        <w:rPr>
          <w:rFonts w:hint="eastAsia" w:ascii="Times New Roman" w:cs="Times New Roman"/>
          <w:color w:val="auto"/>
          <w:sz w:val="28"/>
          <w:szCs w:val="28"/>
          <w:highlight w:val="none"/>
        </w:rPr>
        <w:t>市</w:t>
      </w:r>
      <w:r>
        <w:rPr>
          <w:rFonts w:ascii="Times New Roman" w:cs="Times New Roman"/>
          <w:color w:val="auto"/>
          <w:sz w:val="28"/>
          <w:szCs w:val="28"/>
          <w:highlight w:val="none"/>
        </w:rPr>
        <w:t>，顺岷江向下可达宜宾港进入长江，沟通长三角港口群。</w:t>
      </w:r>
      <w:r>
        <w:rPr>
          <w:rFonts w:ascii="Times New Roman" w:cs="Times New Roman"/>
          <w:b/>
          <w:bCs/>
          <w:color w:val="auto"/>
          <w:kern w:val="2"/>
          <w:sz w:val="28"/>
          <w:szCs w:val="28"/>
          <w:highlight w:val="none"/>
        </w:rPr>
        <w:t>机场：</w:t>
      </w:r>
      <w:r>
        <w:rPr>
          <w:rFonts w:ascii="Times New Roman" w:cs="Times New Roman"/>
          <w:color w:val="auto"/>
          <w:kern w:val="2"/>
          <w:sz w:val="28"/>
          <w:szCs w:val="28"/>
          <w:highlight w:val="none"/>
        </w:rPr>
        <w:t>已开建乐山机场，乐山机场定位为4C级军民共用机场、旅游干线机场，预计</w:t>
      </w:r>
      <w:r>
        <w:rPr>
          <w:rFonts w:hint="eastAsia" w:ascii="Times New Roman" w:cs="Times New Roman"/>
          <w:color w:val="auto"/>
          <w:kern w:val="2"/>
          <w:sz w:val="28"/>
          <w:szCs w:val="28"/>
          <w:highlight w:val="none"/>
        </w:rPr>
        <w:t>“十四五”期内建成投运</w:t>
      </w:r>
      <w:r>
        <w:rPr>
          <w:rFonts w:ascii="Times New Roman" w:cs="Times New Roman"/>
          <w:color w:val="auto"/>
          <w:kern w:val="2"/>
          <w:sz w:val="28"/>
          <w:szCs w:val="28"/>
          <w:highlight w:val="none"/>
        </w:rPr>
        <w:t>。</w:t>
      </w:r>
    </w:p>
    <w:p>
      <w:pPr>
        <w:spacing w:before="156" w:beforeLines="50" w:after="156" w:afterLines="50" w:line="520" w:lineRule="exact"/>
        <w:jc w:val="center"/>
        <w:outlineLvl w:val="1"/>
        <w:rPr>
          <w:rFonts w:eastAsia="黑体"/>
          <w:b/>
          <w:sz w:val="30"/>
          <w:highlight w:val="none"/>
        </w:rPr>
      </w:pPr>
      <w:bookmarkStart w:id="21" w:name="_Toc77781863"/>
      <w:bookmarkStart w:id="22" w:name="_Toc67908203"/>
      <w:bookmarkStart w:id="23" w:name="_Toc39688266"/>
      <w:r>
        <w:rPr>
          <w:rFonts w:eastAsia="黑体"/>
          <w:b/>
          <w:sz w:val="30"/>
          <w:highlight w:val="none"/>
        </w:rPr>
        <w:t>第二节自然条件</w:t>
      </w:r>
      <w:bookmarkEnd w:id="21"/>
      <w:bookmarkEnd w:id="22"/>
      <w:bookmarkEnd w:id="23"/>
    </w:p>
    <w:p>
      <w:pPr>
        <w:spacing w:line="360" w:lineRule="auto"/>
        <w:ind w:firstLine="562" w:firstLineChars="200"/>
        <w:outlineLvl w:val="2"/>
        <w:rPr>
          <w:rFonts w:eastAsia="黑体"/>
          <w:b/>
          <w:sz w:val="28"/>
          <w:szCs w:val="28"/>
          <w:highlight w:val="none"/>
        </w:rPr>
      </w:pPr>
      <w:bookmarkStart w:id="24" w:name="_Toc53089177"/>
      <w:bookmarkStart w:id="25" w:name="_Toc67924608"/>
      <w:bookmarkStart w:id="26" w:name="_Toc39690677"/>
      <w:bookmarkStart w:id="27" w:name="_Toc77781864"/>
      <w:bookmarkStart w:id="28" w:name="_Toc67908204"/>
      <w:r>
        <w:rPr>
          <w:rFonts w:eastAsia="黑体"/>
          <w:b/>
          <w:sz w:val="28"/>
          <w:szCs w:val="28"/>
          <w:highlight w:val="none"/>
        </w:rPr>
        <w:t>一、气象</w:t>
      </w:r>
      <w:bookmarkEnd w:id="24"/>
      <w:bookmarkEnd w:id="25"/>
      <w:bookmarkEnd w:id="26"/>
      <w:bookmarkEnd w:id="27"/>
      <w:bookmarkEnd w:id="28"/>
    </w:p>
    <w:p>
      <w:pPr>
        <w:spacing w:line="360" w:lineRule="auto"/>
        <w:ind w:firstLine="560" w:firstLineChars="200"/>
        <w:rPr>
          <w:sz w:val="28"/>
          <w:szCs w:val="28"/>
          <w:highlight w:val="none"/>
        </w:rPr>
      </w:pPr>
      <w:r>
        <w:rPr>
          <w:sz w:val="28"/>
          <w:szCs w:val="28"/>
          <w:highlight w:val="none"/>
        </w:rPr>
        <w:t>乐山市受地理位置、特殊地形及不同季风环流交替影响，形成气候的多种类型，东北、西南气候分异明显。东北部平坝、丘陵区中亚热带季风气候特征明显，气候温和，雨量丰沛，水热同季，无霜期长。年平均霜日只有5~10天，年平均气温在16.5~18℃之间。年均降水量大部分地区均在1000mm以上。只有西南部峨边、金口河沿大渡河横向河谷，年降水少于1000mm。山地降水大于坝区，海拔2100m左右是山地降水的最大高度。峨眉西部山地年均降水可达2200~2500mm，是有名的“华西雨屏”控制区域。西南山区气候垂直差异性明显，从山麓至山巅依次展布着中亚热带—暖温带—温带—寒温带—亚寒带的完整气候带谱，小气候条件十分复杂。市境地域内，湿度大，云雾多，日照处于全国低值区，一般为1000~1200小时，日照百分率只有25%左右，年总辐射量80~90千卡／平方厘米。</w:t>
      </w:r>
    </w:p>
    <w:p>
      <w:pPr>
        <w:spacing w:line="360" w:lineRule="auto"/>
        <w:ind w:firstLine="480"/>
        <w:rPr>
          <w:sz w:val="28"/>
          <w:szCs w:val="28"/>
          <w:highlight w:val="none"/>
        </w:rPr>
      </w:pPr>
      <w:r>
        <w:rPr>
          <w:sz w:val="28"/>
          <w:szCs w:val="28"/>
          <w:highlight w:val="none"/>
        </w:rPr>
        <w:t>乐山气象站和犍为气象站气象要素特征值见表1.2-1。</w:t>
      </w:r>
    </w:p>
    <w:p>
      <w:pPr>
        <w:pStyle w:val="2"/>
        <w:rPr>
          <w:rFonts w:ascii="Times New Roman" w:cs="Times New Roman"/>
          <w:color w:val="auto"/>
          <w:highlight w:val="none"/>
        </w:rPr>
      </w:pPr>
    </w:p>
    <w:p>
      <w:pPr>
        <w:widowControl/>
        <w:jc w:val="left"/>
        <w:rPr>
          <w:rFonts w:eastAsia="黑体"/>
          <w:kern w:val="0"/>
          <w:sz w:val="28"/>
          <w:szCs w:val="28"/>
          <w:highlight w:val="none"/>
        </w:rPr>
      </w:pPr>
      <w:r>
        <w:rPr>
          <w:rFonts w:eastAsia="黑体"/>
          <w:sz w:val="28"/>
          <w:szCs w:val="28"/>
          <w:highlight w:val="none"/>
        </w:rPr>
        <w:br w:type="page"/>
      </w:r>
    </w:p>
    <w:p>
      <w:pPr>
        <w:pStyle w:val="2"/>
        <w:snapToGrid w:val="0"/>
        <w:jc w:val="center"/>
        <w:rPr>
          <w:rFonts w:ascii="Times New Roman" w:eastAsia="黑体" w:cs="Times New Roman"/>
          <w:color w:val="auto"/>
          <w:sz w:val="28"/>
          <w:szCs w:val="28"/>
          <w:highlight w:val="none"/>
        </w:rPr>
      </w:pPr>
      <w:r>
        <w:rPr>
          <w:rFonts w:ascii="Times New Roman" w:eastAsia="黑体" w:cs="Times New Roman"/>
          <w:color w:val="auto"/>
          <w:sz w:val="28"/>
          <w:szCs w:val="28"/>
          <w:highlight w:val="none"/>
        </w:rPr>
        <w:t>表1.2-1 乐山气象站历年气象要素特征值统计表</w:t>
      </w:r>
    </w:p>
    <w:tbl>
      <w:tblPr>
        <w:tblStyle w:val="32"/>
        <w:tblW w:w="5000" w:type="pct"/>
        <w:tblInd w:w="0" w:type="dxa"/>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876"/>
        <w:gridCol w:w="2165"/>
        <w:gridCol w:w="2622"/>
        <w:gridCol w:w="2623"/>
      </w:tblGrid>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76" w:type="pct"/>
            <w:gridSpan w:val="2"/>
            <w:shd w:val="clear" w:color="auto" w:fill="auto"/>
            <w:vAlign w:val="center"/>
          </w:tcPr>
          <w:p>
            <w:pPr>
              <w:jc w:val="center"/>
              <w:rPr>
                <w:sz w:val="24"/>
                <w:highlight w:val="none"/>
              </w:rPr>
            </w:pPr>
            <w:r>
              <w:rPr>
                <w:sz w:val="24"/>
                <w:highlight w:val="none"/>
              </w:rPr>
              <w:t>项目</w:t>
            </w:r>
          </w:p>
        </w:tc>
        <w:tc>
          <w:tcPr>
            <w:tcW w:w="1412" w:type="pct"/>
            <w:vAlign w:val="center"/>
          </w:tcPr>
          <w:p>
            <w:pPr>
              <w:jc w:val="center"/>
              <w:rPr>
                <w:sz w:val="24"/>
                <w:highlight w:val="none"/>
              </w:rPr>
            </w:pPr>
            <w:r>
              <w:rPr>
                <w:sz w:val="24"/>
                <w:highlight w:val="none"/>
              </w:rPr>
              <w:t>乐山气象站</w:t>
            </w:r>
          </w:p>
        </w:tc>
        <w:tc>
          <w:tcPr>
            <w:tcW w:w="1412" w:type="pct"/>
          </w:tcPr>
          <w:p>
            <w:pPr>
              <w:jc w:val="center"/>
              <w:rPr>
                <w:sz w:val="24"/>
                <w:highlight w:val="none"/>
              </w:rPr>
            </w:pPr>
            <w:r>
              <w:rPr>
                <w:sz w:val="24"/>
                <w:highlight w:val="none"/>
              </w:rPr>
              <w:t>犍为气象站</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10" w:type="pct"/>
            <w:vMerge w:val="restart"/>
            <w:vAlign w:val="center"/>
          </w:tcPr>
          <w:p>
            <w:pPr>
              <w:jc w:val="center"/>
              <w:rPr>
                <w:sz w:val="24"/>
                <w:highlight w:val="none"/>
              </w:rPr>
            </w:pPr>
            <w:r>
              <w:rPr>
                <w:sz w:val="24"/>
                <w:highlight w:val="none"/>
              </w:rPr>
              <w:t>气温（℃）</w:t>
            </w:r>
          </w:p>
        </w:tc>
        <w:tc>
          <w:tcPr>
            <w:tcW w:w="1166" w:type="pct"/>
            <w:vAlign w:val="center"/>
          </w:tcPr>
          <w:p>
            <w:pPr>
              <w:jc w:val="center"/>
              <w:rPr>
                <w:sz w:val="24"/>
                <w:highlight w:val="none"/>
              </w:rPr>
            </w:pPr>
            <w:r>
              <w:rPr>
                <w:sz w:val="24"/>
                <w:highlight w:val="none"/>
              </w:rPr>
              <w:t>多年平均</w:t>
            </w:r>
          </w:p>
        </w:tc>
        <w:tc>
          <w:tcPr>
            <w:tcW w:w="1412" w:type="pct"/>
            <w:vAlign w:val="center"/>
          </w:tcPr>
          <w:p>
            <w:pPr>
              <w:jc w:val="center"/>
              <w:rPr>
                <w:sz w:val="24"/>
                <w:highlight w:val="none"/>
              </w:rPr>
            </w:pPr>
            <w:r>
              <w:rPr>
                <w:sz w:val="24"/>
                <w:highlight w:val="none"/>
              </w:rPr>
              <w:t>17.1</w:t>
            </w:r>
          </w:p>
        </w:tc>
        <w:tc>
          <w:tcPr>
            <w:tcW w:w="1412" w:type="pct"/>
            <w:vAlign w:val="center"/>
          </w:tcPr>
          <w:p>
            <w:pPr>
              <w:jc w:val="center"/>
              <w:rPr>
                <w:sz w:val="24"/>
                <w:highlight w:val="none"/>
              </w:rPr>
            </w:pPr>
            <w:r>
              <w:rPr>
                <w:sz w:val="24"/>
                <w:highlight w:val="none"/>
              </w:rPr>
              <w:t>17.5</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10" w:type="pct"/>
            <w:vMerge w:val="continue"/>
            <w:vAlign w:val="center"/>
          </w:tcPr>
          <w:p>
            <w:pPr>
              <w:jc w:val="center"/>
              <w:rPr>
                <w:sz w:val="24"/>
                <w:highlight w:val="none"/>
              </w:rPr>
            </w:pPr>
          </w:p>
        </w:tc>
        <w:tc>
          <w:tcPr>
            <w:tcW w:w="1166" w:type="pct"/>
            <w:vAlign w:val="center"/>
          </w:tcPr>
          <w:p>
            <w:pPr>
              <w:jc w:val="center"/>
              <w:rPr>
                <w:sz w:val="24"/>
                <w:highlight w:val="none"/>
              </w:rPr>
            </w:pPr>
            <w:r>
              <w:rPr>
                <w:sz w:val="24"/>
                <w:highlight w:val="none"/>
              </w:rPr>
              <w:t>极端最高</w:t>
            </w:r>
          </w:p>
        </w:tc>
        <w:tc>
          <w:tcPr>
            <w:tcW w:w="1412" w:type="pct"/>
            <w:vAlign w:val="center"/>
          </w:tcPr>
          <w:p>
            <w:pPr>
              <w:jc w:val="center"/>
              <w:rPr>
                <w:sz w:val="24"/>
                <w:highlight w:val="none"/>
              </w:rPr>
            </w:pPr>
            <w:r>
              <w:rPr>
                <w:sz w:val="24"/>
                <w:highlight w:val="none"/>
              </w:rPr>
              <w:t>36.8</w:t>
            </w:r>
          </w:p>
        </w:tc>
        <w:tc>
          <w:tcPr>
            <w:tcW w:w="1412" w:type="pct"/>
            <w:vAlign w:val="center"/>
          </w:tcPr>
          <w:p>
            <w:pPr>
              <w:jc w:val="center"/>
              <w:rPr>
                <w:sz w:val="24"/>
                <w:highlight w:val="none"/>
              </w:rPr>
            </w:pPr>
            <w:r>
              <w:rPr>
                <w:sz w:val="24"/>
                <w:highlight w:val="none"/>
              </w:rPr>
              <w:t>38.2</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10" w:type="pct"/>
            <w:vMerge w:val="continue"/>
            <w:vAlign w:val="center"/>
          </w:tcPr>
          <w:p>
            <w:pPr>
              <w:jc w:val="center"/>
              <w:rPr>
                <w:sz w:val="24"/>
                <w:highlight w:val="none"/>
              </w:rPr>
            </w:pPr>
          </w:p>
        </w:tc>
        <w:tc>
          <w:tcPr>
            <w:tcW w:w="1166" w:type="pct"/>
            <w:vAlign w:val="center"/>
          </w:tcPr>
          <w:p>
            <w:pPr>
              <w:jc w:val="center"/>
              <w:rPr>
                <w:sz w:val="24"/>
                <w:highlight w:val="none"/>
              </w:rPr>
            </w:pPr>
            <w:r>
              <w:rPr>
                <w:sz w:val="24"/>
                <w:highlight w:val="none"/>
              </w:rPr>
              <w:t>极端最低</w:t>
            </w:r>
          </w:p>
        </w:tc>
        <w:tc>
          <w:tcPr>
            <w:tcW w:w="1412" w:type="pct"/>
            <w:vAlign w:val="center"/>
          </w:tcPr>
          <w:p>
            <w:pPr>
              <w:jc w:val="center"/>
              <w:rPr>
                <w:sz w:val="24"/>
                <w:highlight w:val="none"/>
              </w:rPr>
            </w:pPr>
            <w:r>
              <w:rPr>
                <w:sz w:val="24"/>
                <w:highlight w:val="none"/>
              </w:rPr>
              <w:t>-2.9</w:t>
            </w:r>
          </w:p>
        </w:tc>
        <w:tc>
          <w:tcPr>
            <w:tcW w:w="1412" w:type="pct"/>
            <w:vAlign w:val="center"/>
          </w:tcPr>
          <w:p>
            <w:pPr>
              <w:jc w:val="center"/>
              <w:rPr>
                <w:sz w:val="24"/>
                <w:highlight w:val="none"/>
              </w:rPr>
            </w:pPr>
            <w:r>
              <w:rPr>
                <w:sz w:val="24"/>
                <w:highlight w:val="none"/>
              </w:rPr>
              <w:t>-2.6</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10" w:type="pct"/>
            <w:vMerge w:val="restart"/>
            <w:vAlign w:val="center"/>
          </w:tcPr>
          <w:p>
            <w:pPr>
              <w:jc w:val="center"/>
              <w:rPr>
                <w:sz w:val="24"/>
                <w:highlight w:val="none"/>
              </w:rPr>
            </w:pPr>
            <w:r>
              <w:rPr>
                <w:sz w:val="24"/>
                <w:highlight w:val="none"/>
              </w:rPr>
              <w:t>降水量（mm）</w:t>
            </w:r>
          </w:p>
        </w:tc>
        <w:tc>
          <w:tcPr>
            <w:tcW w:w="1166" w:type="pct"/>
            <w:vAlign w:val="center"/>
          </w:tcPr>
          <w:p>
            <w:pPr>
              <w:jc w:val="center"/>
              <w:rPr>
                <w:sz w:val="24"/>
                <w:highlight w:val="none"/>
              </w:rPr>
            </w:pPr>
            <w:r>
              <w:rPr>
                <w:sz w:val="24"/>
                <w:highlight w:val="none"/>
              </w:rPr>
              <w:t>多年平均</w:t>
            </w:r>
          </w:p>
        </w:tc>
        <w:tc>
          <w:tcPr>
            <w:tcW w:w="1412" w:type="pct"/>
            <w:vAlign w:val="center"/>
          </w:tcPr>
          <w:p>
            <w:pPr>
              <w:jc w:val="center"/>
              <w:rPr>
                <w:sz w:val="24"/>
                <w:highlight w:val="none"/>
              </w:rPr>
            </w:pPr>
            <w:r>
              <w:rPr>
                <w:sz w:val="24"/>
                <w:highlight w:val="none"/>
              </w:rPr>
              <w:t>1323.2</w:t>
            </w:r>
          </w:p>
        </w:tc>
        <w:tc>
          <w:tcPr>
            <w:tcW w:w="1412" w:type="pct"/>
            <w:vAlign w:val="center"/>
          </w:tcPr>
          <w:p>
            <w:pPr>
              <w:jc w:val="center"/>
              <w:rPr>
                <w:sz w:val="24"/>
                <w:highlight w:val="none"/>
              </w:rPr>
            </w:pPr>
            <w:r>
              <w:rPr>
                <w:sz w:val="24"/>
                <w:highlight w:val="none"/>
              </w:rPr>
              <w:t>1185.7</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10" w:type="pct"/>
            <w:vMerge w:val="continue"/>
            <w:vAlign w:val="center"/>
          </w:tcPr>
          <w:p>
            <w:pPr>
              <w:jc w:val="center"/>
              <w:rPr>
                <w:sz w:val="24"/>
                <w:highlight w:val="none"/>
              </w:rPr>
            </w:pPr>
          </w:p>
        </w:tc>
        <w:tc>
          <w:tcPr>
            <w:tcW w:w="1166" w:type="pct"/>
            <w:vAlign w:val="center"/>
          </w:tcPr>
          <w:p>
            <w:pPr>
              <w:jc w:val="center"/>
              <w:rPr>
                <w:sz w:val="24"/>
                <w:highlight w:val="none"/>
              </w:rPr>
            </w:pPr>
            <w:r>
              <w:rPr>
                <w:sz w:val="24"/>
                <w:highlight w:val="none"/>
              </w:rPr>
              <w:t>历年一日最大</w:t>
            </w:r>
          </w:p>
        </w:tc>
        <w:tc>
          <w:tcPr>
            <w:tcW w:w="1412" w:type="pct"/>
            <w:vAlign w:val="center"/>
          </w:tcPr>
          <w:p>
            <w:pPr>
              <w:jc w:val="center"/>
              <w:rPr>
                <w:sz w:val="24"/>
                <w:highlight w:val="none"/>
              </w:rPr>
            </w:pPr>
            <w:r>
              <w:rPr>
                <w:sz w:val="24"/>
                <w:highlight w:val="none"/>
              </w:rPr>
              <w:t>248.2</w:t>
            </w:r>
          </w:p>
        </w:tc>
        <w:tc>
          <w:tcPr>
            <w:tcW w:w="1412" w:type="pct"/>
            <w:vAlign w:val="center"/>
          </w:tcPr>
          <w:p>
            <w:pPr>
              <w:jc w:val="center"/>
              <w:rPr>
                <w:sz w:val="24"/>
                <w:highlight w:val="none"/>
              </w:rPr>
            </w:pPr>
            <w:r>
              <w:rPr>
                <w:sz w:val="24"/>
                <w:highlight w:val="none"/>
              </w:rPr>
              <w:t>180.0</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10" w:type="pct"/>
            <w:vMerge w:val="restart"/>
            <w:vAlign w:val="center"/>
          </w:tcPr>
          <w:p>
            <w:pPr>
              <w:jc w:val="center"/>
              <w:rPr>
                <w:sz w:val="24"/>
                <w:highlight w:val="none"/>
              </w:rPr>
            </w:pPr>
            <w:r>
              <w:rPr>
                <w:sz w:val="24"/>
                <w:highlight w:val="none"/>
              </w:rPr>
              <w:t>相对湿度（%）</w:t>
            </w:r>
          </w:p>
        </w:tc>
        <w:tc>
          <w:tcPr>
            <w:tcW w:w="1166" w:type="pct"/>
            <w:vAlign w:val="center"/>
          </w:tcPr>
          <w:p>
            <w:pPr>
              <w:jc w:val="center"/>
              <w:rPr>
                <w:sz w:val="24"/>
                <w:highlight w:val="none"/>
              </w:rPr>
            </w:pPr>
            <w:r>
              <w:rPr>
                <w:sz w:val="24"/>
                <w:highlight w:val="none"/>
              </w:rPr>
              <w:t>多年平均</w:t>
            </w:r>
          </w:p>
        </w:tc>
        <w:tc>
          <w:tcPr>
            <w:tcW w:w="1412" w:type="pct"/>
            <w:vAlign w:val="center"/>
          </w:tcPr>
          <w:p>
            <w:pPr>
              <w:jc w:val="center"/>
              <w:rPr>
                <w:sz w:val="24"/>
                <w:highlight w:val="none"/>
              </w:rPr>
            </w:pPr>
            <w:r>
              <w:rPr>
                <w:sz w:val="24"/>
                <w:highlight w:val="none"/>
              </w:rPr>
              <w:t>80</w:t>
            </w:r>
          </w:p>
        </w:tc>
        <w:tc>
          <w:tcPr>
            <w:tcW w:w="1412" w:type="pct"/>
            <w:vAlign w:val="center"/>
          </w:tcPr>
          <w:p>
            <w:pPr>
              <w:jc w:val="center"/>
              <w:rPr>
                <w:sz w:val="24"/>
                <w:highlight w:val="none"/>
              </w:rPr>
            </w:pPr>
            <w:r>
              <w:rPr>
                <w:sz w:val="24"/>
                <w:highlight w:val="none"/>
              </w:rPr>
              <w:t>81</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10" w:type="pct"/>
            <w:vMerge w:val="continue"/>
            <w:vAlign w:val="center"/>
          </w:tcPr>
          <w:p>
            <w:pPr>
              <w:jc w:val="center"/>
              <w:rPr>
                <w:sz w:val="24"/>
                <w:highlight w:val="none"/>
              </w:rPr>
            </w:pPr>
          </w:p>
        </w:tc>
        <w:tc>
          <w:tcPr>
            <w:tcW w:w="1166" w:type="pct"/>
            <w:vAlign w:val="center"/>
          </w:tcPr>
          <w:p>
            <w:pPr>
              <w:jc w:val="center"/>
              <w:rPr>
                <w:sz w:val="24"/>
                <w:highlight w:val="none"/>
              </w:rPr>
            </w:pPr>
            <w:r>
              <w:rPr>
                <w:sz w:val="24"/>
                <w:highlight w:val="none"/>
              </w:rPr>
              <w:t>历年最小</w:t>
            </w:r>
          </w:p>
        </w:tc>
        <w:tc>
          <w:tcPr>
            <w:tcW w:w="1412" w:type="pct"/>
            <w:vAlign w:val="center"/>
          </w:tcPr>
          <w:p>
            <w:pPr>
              <w:jc w:val="center"/>
              <w:rPr>
                <w:sz w:val="24"/>
                <w:highlight w:val="none"/>
              </w:rPr>
            </w:pPr>
            <w:r>
              <w:rPr>
                <w:sz w:val="24"/>
                <w:highlight w:val="none"/>
              </w:rPr>
              <w:t>21</w:t>
            </w:r>
          </w:p>
        </w:tc>
        <w:tc>
          <w:tcPr>
            <w:tcW w:w="1412" w:type="pct"/>
            <w:vAlign w:val="center"/>
          </w:tcPr>
          <w:p>
            <w:pPr>
              <w:jc w:val="center"/>
              <w:rPr>
                <w:sz w:val="24"/>
                <w:highlight w:val="none"/>
              </w:rPr>
            </w:pPr>
            <w:r>
              <w:rPr>
                <w:sz w:val="24"/>
                <w:highlight w:val="none"/>
              </w:rPr>
              <w:t>20</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76" w:type="pct"/>
            <w:gridSpan w:val="2"/>
            <w:vAlign w:val="center"/>
          </w:tcPr>
          <w:p>
            <w:pPr>
              <w:jc w:val="center"/>
              <w:rPr>
                <w:sz w:val="24"/>
                <w:highlight w:val="none"/>
              </w:rPr>
            </w:pPr>
            <w:r>
              <w:rPr>
                <w:sz w:val="24"/>
                <w:highlight w:val="none"/>
              </w:rPr>
              <w:t>多年平均蒸发量</w:t>
            </w:r>
          </w:p>
        </w:tc>
        <w:tc>
          <w:tcPr>
            <w:tcW w:w="1412" w:type="pct"/>
            <w:vAlign w:val="center"/>
          </w:tcPr>
          <w:p>
            <w:pPr>
              <w:jc w:val="center"/>
              <w:rPr>
                <w:sz w:val="24"/>
                <w:highlight w:val="none"/>
              </w:rPr>
            </w:pPr>
            <w:r>
              <w:rPr>
                <w:sz w:val="24"/>
                <w:highlight w:val="none"/>
              </w:rPr>
              <w:t>1071.5</w:t>
            </w:r>
          </w:p>
        </w:tc>
        <w:tc>
          <w:tcPr>
            <w:tcW w:w="1412" w:type="pct"/>
          </w:tcPr>
          <w:p>
            <w:pPr>
              <w:jc w:val="center"/>
              <w:rPr>
                <w:sz w:val="24"/>
                <w:highlight w:val="none"/>
              </w:rPr>
            </w:pPr>
            <w:r>
              <w:rPr>
                <w:sz w:val="24"/>
                <w:highlight w:val="none"/>
              </w:rPr>
              <w:t>1075.6</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10" w:type="pct"/>
            <w:vMerge w:val="restart"/>
            <w:vAlign w:val="center"/>
          </w:tcPr>
          <w:p>
            <w:pPr>
              <w:jc w:val="center"/>
              <w:rPr>
                <w:sz w:val="24"/>
                <w:highlight w:val="none"/>
              </w:rPr>
            </w:pPr>
            <w:r>
              <w:rPr>
                <w:sz w:val="24"/>
                <w:highlight w:val="none"/>
              </w:rPr>
              <w:t>风速（m/s）</w:t>
            </w:r>
          </w:p>
        </w:tc>
        <w:tc>
          <w:tcPr>
            <w:tcW w:w="1166" w:type="pct"/>
            <w:vAlign w:val="center"/>
          </w:tcPr>
          <w:p>
            <w:pPr>
              <w:jc w:val="center"/>
              <w:rPr>
                <w:sz w:val="24"/>
                <w:highlight w:val="none"/>
              </w:rPr>
            </w:pPr>
            <w:r>
              <w:rPr>
                <w:sz w:val="24"/>
                <w:highlight w:val="none"/>
              </w:rPr>
              <w:t>多年平均</w:t>
            </w:r>
          </w:p>
        </w:tc>
        <w:tc>
          <w:tcPr>
            <w:tcW w:w="1412" w:type="pct"/>
            <w:vAlign w:val="center"/>
          </w:tcPr>
          <w:p>
            <w:pPr>
              <w:jc w:val="center"/>
              <w:rPr>
                <w:sz w:val="24"/>
                <w:highlight w:val="none"/>
              </w:rPr>
            </w:pPr>
            <w:r>
              <w:rPr>
                <w:sz w:val="24"/>
                <w:highlight w:val="none"/>
              </w:rPr>
              <w:t>1.3</w:t>
            </w:r>
          </w:p>
        </w:tc>
        <w:tc>
          <w:tcPr>
            <w:tcW w:w="1412" w:type="pct"/>
            <w:vAlign w:val="center"/>
          </w:tcPr>
          <w:p>
            <w:pPr>
              <w:jc w:val="center"/>
              <w:rPr>
                <w:sz w:val="24"/>
                <w:highlight w:val="none"/>
              </w:rPr>
            </w:pPr>
            <w:r>
              <w:rPr>
                <w:sz w:val="24"/>
                <w:highlight w:val="none"/>
              </w:rPr>
              <w:t>1.5</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10" w:type="pct"/>
            <w:vMerge w:val="continue"/>
            <w:vAlign w:val="center"/>
          </w:tcPr>
          <w:p>
            <w:pPr>
              <w:spacing w:line="360" w:lineRule="auto"/>
              <w:jc w:val="center"/>
              <w:rPr>
                <w:sz w:val="24"/>
                <w:highlight w:val="none"/>
              </w:rPr>
            </w:pPr>
          </w:p>
        </w:tc>
        <w:tc>
          <w:tcPr>
            <w:tcW w:w="1166" w:type="pct"/>
            <w:vMerge w:val="restart"/>
            <w:vAlign w:val="center"/>
          </w:tcPr>
          <w:p>
            <w:pPr>
              <w:jc w:val="center"/>
              <w:rPr>
                <w:sz w:val="24"/>
                <w:highlight w:val="none"/>
              </w:rPr>
            </w:pPr>
            <w:r>
              <w:rPr>
                <w:sz w:val="24"/>
                <w:highlight w:val="none"/>
              </w:rPr>
              <w:t>历年最大及</w:t>
            </w:r>
          </w:p>
          <w:p>
            <w:pPr>
              <w:jc w:val="center"/>
              <w:rPr>
                <w:sz w:val="24"/>
                <w:highlight w:val="none"/>
              </w:rPr>
            </w:pPr>
            <w:r>
              <w:rPr>
                <w:sz w:val="24"/>
                <w:highlight w:val="none"/>
              </w:rPr>
              <w:t>相应风向</w:t>
            </w:r>
          </w:p>
        </w:tc>
        <w:tc>
          <w:tcPr>
            <w:tcW w:w="1412" w:type="pct"/>
            <w:vAlign w:val="center"/>
          </w:tcPr>
          <w:p>
            <w:pPr>
              <w:jc w:val="center"/>
              <w:rPr>
                <w:sz w:val="24"/>
                <w:highlight w:val="none"/>
              </w:rPr>
            </w:pPr>
            <w:r>
              <w:rPr>
                <w:sz w:val="24"/>
                <w:highlight w:val="none"/>
              </w:rPr>
              <w:t>17.0</w:t>
            </w:r>
          </w:p>
        </w:tc>
        <w:tc>
          <w:tcPr>
            <w:tcW w:w="1412" w:type="pct"/>
            <w:vAlign w:val="center"/>
          </w:tcPr>
          <w:p>
            <w:pPr>
              <w:jc w:val="center"/>
              <w:rPr>
                <w:sz w:val="24"/>
                <w:highlight w:val="none"/>
              </w:rPr>
            </w:pPr>
            <w:r>
              <w:rPr>
                <w:sz w:val="24"/>
                <w:highlight w:val="none"/>
              </w:rPr>
              <w:t>19.0</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10" w:type="pct"/>
            <w:vMerge w:val="continue"/>
            <w:vAlign w:val="center"/>
          </w:tcPr>
          <w:p>
            <w:pPr>
              <w:spacing w:line="360" w:lineRule="auto"/>
              <w:jc w:val="center"/>
              <w:rPr>
                <w:sz w:val="24"/>
                <w:highlight w:val="none"/>
              </w:rPr>
            </w:pPr>
          </w:p>
        </w:tc>
        <w:tc>
          <w:tcPr>
            <w:tcW w:w="1166" w:type="pct"/>
            <w:vMerge w:val="continue"/>
            <w:vAlign w:val="center"/>
          </w:tcPr>
          <w:p>
            <w:pPr>
              <w:jc w:val="center"/>
              <w:rPr>
                <w:sz w:val="24"/>
                <w:highlight w:val="none"/>
              </w:rPr>
            </w:pPr>
          </w:p>
        </w:tc>
        <w:tc>
          <w:tcPr>
            <w:tcW w:w="1412" w:type="pct"/>
            <w:vAlign w:val="center"/>
          </w:tcPr>
          <w:p>
            <w:pPr>
              <w:jc w:val="center"/>
              <w:rPr>
                <w:sz w:val="24"/>
                <w:highlight w:val="none"/>
              </w:rPr>
            </w:pPr>
            <w:r>
              <w:rPr>
                <w:sz w:val="24"/>
                <w:highlight w:val="none"/>
              </w:rPr>
              <w:t>NNE</w:t>
            </w:r>
          </w:p>
        </w:tc>
        <w:tc>
          <w:tcPr>
            <w:tcW w:w="1412" w:type="pct"/>
            <w:vAlign w:val="center"/>
          </w:tcPr>
          <w:p>
            <w:pPr>
              <w:jc w:val="center"/>
              <w:rPr>
                <w:sz w:val="24"/>
                <w:highlight w:val="none"/>
              </w:rPr>
            </w:pPr>
            <w:r>
              <w:rPr>
                <w:sz w:val="24"/>
                <w:highlight w:val="none"/>
              </w:rPr>
              <w:t>N</w:t>
            </w:r>
          </w:p>
        </w:tc>
      </w:tr>
    </w:tbl>
    <w:p>
      <w:pPr>
        <w:spacing w:before="156" w:beforeLines="50" w:line="360" w:lineRule="auto"/>
        <w:ind w:firstLine="562" w:firstLineChars="200"/>
        <w:outlineLvl w:val="2"/>
        <w:rPr>
          <w:rFonts w:eastAsia="黑体"/>
          <w:b/>
          <w:sz w:val="28"/>
          <w:szCs w:val="28"/>
          <w:highlight w:val="none"/>
        </w:rPr>
      </w:pPr>
      <w:bookmarkStart w:id="29" w:name="_Toc67924609"/>
      <w:bookmarkStart w:id="30" w:name="_Toc53089178"/>
      <w:bookmarkStart w:id="31" w:name="_Toc77781865"/>
      <w:bookmarkStart w:id="32" w:name="_Toc67908205"/>
      <w:r>
        <w:rPr>
          <w:rFonts w:eastAsia="黑体"/>
          <w:b/>
          <w:sz w:val="28"/>
          <w:szCs w:val="28"/>
          <w:highlight w:val="none"/>
        </w:rPr>
        <w:t>二、水文及泥沙</w:t>
      </w:r>
      <w:bookmarkEnd w:id="10"/>
      <w:bookmarkEnd w:id="29"/>
      <w:bookmarkEnd w:id="30"/>
      <w:bookmarkEnd w:id="31"/>
      <w:bookmarkEnd w:id="32"/>
    </w:p>
    <w:p>
      <w:pPr>
        <w:spacing w:line="360" w:lineRule="auto"/>
        <w:ind w:firstLine="562" w:firstLineChars="200"/>
        <w:rPr>
          <w:b/>
          <w:sz w:val="28"/>
          <w:szCs w:val="28"/>
          <w:highlight w:val="none"/>
        </w:rPr>
      </w:pPr>
      <w:r>
        <w:rPr>
          <w:b/>
          <w:sz w:val="28"/>
          <w:szCs w:val="28"/>
          <w:highlight w:val="none"/>
        </w:rPr>
        <w:t>（一）河流概况</w:t>
      </w:r>
    </w:p>
    <w:p>
      <w:pPr>
        <w:spacing w:line="360" w:lineRule="auto"/>
        <w:ind w:firstLine="560" w:firstLineChars="200"/>
        <w:rPr>
          <w:sz w:val="28"/>
          <w:szCs w:val="28"/>
          <w:highlight w:val="none"/>
        </w:rPr>
      </w:pPr>
      <w:r>
        <w:rPr>
          <w:rFonts w:hint="eastAsia"/>
          <w:sz w:val="28"/>
          <w:szCs w:val="28"/>
          <w:highlight w:val="none"/>
        </w:rPr>
        <w:t>岷江是长江上游的一级支流，位于四川盆地腹部区西部边缘，地理位置界于东经99°42′～104°40′和北纬28°20′～33°38′。发源于四川与甘肃接壤的岷山南麓，干流自北向南流经茂县、汶川至都江堰市，由都江堰分水为内、外二江，穿成都平原后在彭山汇合，继续南流，经青神至乐山乌尤寺右岸纳入大渡河、青衣江，转向东南流，经犍为、过宜宾，在宜宾城下汇入长江。干流全长</w:t>
      </w:r>
      <w:r>
        <w:rPr>
          <w:sz w:val="28"/>
          <w:szCs w:val="28"/>
          <w:highlight w:val="none"/>
        </w:rPr>
        <w:t>735km</w:t>
      </w:r>
      <w:r>
        <w:rPr>
          <w:rFonts w:hint="eastAsia"/>
          <w:sz w:val="28"/>
          <w:szCs w:val="28"/>
          <w:highlight w:val="none"/>
        </w:rPr>
        <w:t>，流域面积</w:t>
      </w:r>
      <w:r>
        <w:rPr>
          <w:sz w:val="28"/>
          <w:szCs w:val="28"/>
          <w:highlight w:val="none"/>
        </w:rPr>
        <w:t>135811km</w:t>
      </w:r>
      <w:r>
        <w:rPr>
          <w:sz w:val="28"/>
          <w:szCs w:val="28"/>
          <w:highlight w:val="none"/>
          <w:vertAlign w:val="superscript"/>
        </w:rPr>
        <w:t>2</w:t>
      </w:r>
      <w:r>
        <w:rPr>
          <w:rFonts w:hint="eastAsia"/>
          <w:sz w:val="28"/>
          <w:szCs w:val="28"/>
          <w:highlight w:val="none"/>
        </w:rPr>
        <w:t>，天然落差</w:t>
      </w:r>
      <w:r>
        <w:rPr>
          <w:sz w:val="28"/>
          <w:szCs w:val="28"/>
          <w:highlight w:val="none"/>
        </w:rPr>
        <w:t>3560m</w:t>
      </w:r>
      <w:r>
        <w:rPr>
          <w:rFonts w:hint="eastAsia"/>
          <w:sz w:val="28"/>
          <w:szCs w:val="28"/>
          <w:highlight w:val="none"/>
        </w:rPr>
        <w:t>，平均比降</w:t>
      </w:r>
      <w:r>
        <w:rPr>
          <w:sz w:val="28"/>
          <w:szCs w:val="28"/>
          <w:highlight w:val="none"/>
        </w:rPr>
        <w:t>4.84‰</w:t>
      </w:r>
      <w:r>
        <w:rPr>
          <w:rFonts w:hint="eastAsia"/>
          <w:sz w:val="28"/>
          <w:szCs w:val="28"/>
          <w:highlight w:val="none"/>
        </w:rPr>
        <w:t>。根据自然地理和河道特征划分，都江堰以上为上游，都江堰至乐山为中游，乐山以下为下游。</w:t>
      </w:r>
    </w:p>
    <w:p>
      <w:pPr>
        <w:spacing w:line="360" w:lineRule="auto"/>
        <w:ind w:firstLine="560" w:firstLineChars="200"/>
        <w:rPr>
          <w:sz w:val="28"/>
          <w:szCs w:val="28"/>
          <w:highlight w:val="none"/>
        </w:rPr>
      </w:pPr>
      <w:r>
        <w:rPr>
          <w:rFonts w:hint="eastAsia"/>
          <w:sz w:val="28"/>
          <w:szCs w:val="28"/>
          <w:highlight w:val="none"/>
        </w:rPr>
        <w:t>岷江江口镇以下至乐山，平均比降</w:t>
      </w:r>
      <w:r>
        <w:rPr>
          <w:sz w:val="28"/>
          <w:szCs w:val="28"/>
          <w:highlight w:val="none"/>
        </w:rPr>
        <w:t>0.6‰</w:t>
      </w:r>
      <w:r>
        <w:rPr>
          <w:rFonts w:hint="eastAsia"/>
          <w:sz w:val="28"/>
          <w:szCs w:val="28"/>
          <w:highlight w:val="none"/>
        </w:rPr>
        <w:t>，水流平缓，漫滩发育。青神以下，河床逐步收缩，进入平羌峡（</w:t>
      </w:r>
      <w:r>
        <w:rPr>
          <w:sz w:val="28"/>
          <w:szCs w:val="28"/>
          <w:highlight w:val="none"/>
        </w:rPr>
        <w:t>30km</w:t>
      </w:r>
      <w:r>
        <w:rPr>
          <w:rFonts w:hint="eastAsia"/>
          <w:sz w:val="28"/>
          <w:szCs w:val="28"/>
          <w:highlight w:val="none"/>
        </w:rPr>
        <w:t>），夹岸青山，蜿蜒迂回。流水过峡后，河谷开敞，于乐山肖公嘴与大渡河合流。枯水期航道尺度：</w:t>
      </w:r>
      <w:r>
        <w:rPr>
          <w:sz w:val="28"/>
          <w:szCs w:val="28"/>
          <w:highlight w:val="none"/>
        </w:rPr>
        <w:t>1.0×15×250m</w:t>
      </w:r>
      <w:r>
        <w:rPr>
          <w:rFonts w:hint="eastAsia"/>
          <w:sz w:val="28"/>
          <w:szCs w:val="28"/>
          <w:highlight w:val="none"/>
        </w:rPr>
        <w:t>（水深</w:t>
      </w:r>
      <w:r>
        <w:rPr>
          <w:sz w:val="28"/>
          <w:szCs w:val="28"/>
          <w:highlight w:val="none"/>
        </w:rPr>
        <w:t>×</w:t>
      </w:r>
      <w:r>
        <w:rPr>
          <w:rFonts w:hint="eastAsia"/>
          <w:sz w:val="28"/>
          <w:szCs w:val="28"/>
          <w:highlight w:val="none"/>
        </w:rPr>
        <w:t>槽宽</w:t>
      </w:r>
      <w:r>
        <w:rPr>
          <w:sz w:val="28"/>
          <w:szCs w:val="28"/>
          <w:highlight w:val="none"/>
        </w:rPr>
        <w:t>×</w:t>
      </w:r>
      <w:r>
        <w:rPr>
          <w:rFonts w:hint="eastAsia"/>
          <w:sz w:val="28"/>
          <w:szCs w:val="28"/>
          <w:highlight w:val="none"/>
        </w:rPr>
        <w:t>弯曲半径），弯曲半径</w:t>
      </w:r>
      <w:r>
        <w:rPr>
          <w:sz w:val="28"/>
          <w:szCs w:val="28"/>
          <w:highlight w:val="none"/>
        </w:rPr>
        <w:t>250m</w:t>
      </w:r>
      <w:r>
        <w:rPr>
          <w:rFonts w:hint="eastAsia"/>
          <w:sz w:val="28"/>
          <w:szCs w:val="28"/>
          <w:highlight w:val="none"/>
        </w:rPr>
        <w:t>。通行船舶</w:t>
      </w:r>
      <w:r>
        <w:rPr>
          <w:sz w:val="28"/>
          <w:szCs w:val="28"/>
          <w:highlight w:val="none"/>
        </w:rPr>
        <w:t>10</w:t>
      </w:r>
      <w:r>
        <w:rPr>
          <w:rFonts w:hint="eastAsia"/>
          <w:sz w:val="28"/>
          <w:szCs w:val="28"/>
          <w:highlight w:val="none"/>
        </w:rPr>
        <w:t>～</w:t>
      </w:r>
      <w:r>
        <w:rPr>
          <w:sz w:val="28"/>
          <w:szCs w:val="28"/>
          <w:highlight w:val="none"/>
        </w:rPr>
        <w:t>50t</w:t>
      </w:r>
      <w:r>
        <w:rPr>
          <w:rFonts w:hint="eastAsia"/>
          <w:sz w:val="28"/>
          <w:szCs w:val="28"/>
          <w:highlight w:val="none"/>
        </w:rPr>
        <w:t>机驳船。</w:t>
      </w:r>
    </w:p>
    <w:p>
      <w:pPr>
        <w:spacing w:line="360" w:lineRule="auto"/>
        <w:ind w:firstLine="560" w:firstLineChars="200"/>
        <w:rPr>
          <w:sz w:val="28"/>
          <w:szCs w:val="28"/>
          <w:highlight w:val="none"/>
        </w:rPr>
      </w:pPr>
      <w:r>
        <w:rPr>
          <w:rFonts w:hint="eastAsia"/>
          <w:sz w:val="28"/>
          <w:szCs w:val="28"/>
          <w:highlight w:val="none"/>
        </w:rPr>
        <w:t>岷江下游乐山至宜宾段，天然落差</w:t>
      </w:r>
      <w:r>
        <w:rPr>
          <w:sz w:val="28"/>
          <w:szCs w:val="28"/>
          <w:highlight w:val="none"/>
        </w:rPr>
        <w:t>97m</w:t>
      </w:r>
      <w:r>
        <w:rPr>
          <w:rFonts w:hint="eastAsia"/>
          <w:sz w:val="28"/>
          <w:szCs w:val="28"/>
          <w:highlight w:val="none"/>
        </w:rPr>
        <w:t>，河道平均比降</w:t>
      </w:r>
      <w:r>
        <w:rPr>
          <w:sz w:val="28"/>
          <w:szCs w:val="28"/>
          <w:highlight w:val="none"/>
        </w:rPr>
        <w:t>0.6‰</w:t>
      </w:r>
      <w:r>
        <w:rPr>
          <w:rFonts w:hint="eastAsia"/>
          <w:sz w:val="28"/>
          <w:szCs w:val="28"/>
          <w:highlight w:val="none"/>
        </w:rPr>
        <w:t>，汊流浅滩极为发育。沿河两岸分布有较宽的台地及漫滩，河谷呈箱形，两岸为起伏的丘陵地形。主要支流除大渡河、青衣江、马边河外，尚有沐溪河、龙溪河、越溪河等。</w:t>
      </w:r>
    </w:p>
    <w:p>
      <w:pPr>
        <w:spacing w:line="360" w:lineRule="auto"/>
        <w:ind w:firstLine="562" w:firstLineChars="200"/>
        <w:rPr>
          <w:sz w:val="28"/>
          <w:szCs w:val="28"/>
          <w:highlight w:val="none"/>
        </w:rPr>
      </w:pPr>
      <w:r>
        <w:rPr>
          <w:rFonts w:hint="eastAsia"/>
          <w:b/>
          <w:sz w:val="28"/>
          <w:szCs w:val="28"/>
          <w:highlight w:val="none"/>
        </w:rPr>
        <w:t>大渡河</w:t>
      </w:r>
      <w:r>
        <w:rPr>
          <w:rFonts w:hint="eastAsia"/>
          <w:sz w:val="28"/>
          <w:szCs w:val="28"/>
          <w:highlight w:val="none"/>
        </w:rPr>
        <w:t>是岷江最大支流，占岷江流域面积的</w:t>
      </w:r>
      <w:r>
        <w:rPr>
          <w:sz w:val="28"/>
          <w:szCs w:val="28"/>
          <w:highlight w:val="none"/>
        </w:rPr>
        <w:t>59%</w:t>
      </w:r>
      <w:r>
        <w:rPr>
          <w:rFonts w:hint="eastAsia"/>
          <w:sz w:val="28"/>
          <w:szCs w:val="28"/>
          <w:highlight w:val="none"/>
        </w:rPr>
        <w:t>。发源于青海省境内的果洛山东南麓，自北向南流经金川、丹巴、泸定至石棉折向东流，经汉源、峨边在草鞋渡接纳青衣江后于乐山乌尤寺注入岷江。大渡全长</w:t>
      </w:r>
      <w:r>
        <w:rPr>
          <w:sz w:val="28"/>
          <w:szCs w:val="28"/>
          <w:highlight w:val="none"/>
        </w:rPr>
        <w:t>1062km</w:t>
      </w:r>
      <w:r>
        <w:rPr>
          <w:rFonts w:hint="eastAsia"/>
          <w:sz w:val="28"/>
          <w:szCs w:val="28"/>
          <w:highlight w:val="none"/>
        </w:rPr>
        <w:t>，集水面积</w:t>
      </w:r>
      <w:r>
        <w:rPr>
          <w:sz w:val="28"/>
          <w:szCs w:val="28"/>
          <w:highlight w:val="none"/>
        </w:rPr>
        <w:t>77400km</w:t>
      </w:r>
      <w:r>
        <w:rPr>
          <w:sz w:val="28"/>
          <w:szCs w:val="28"/>
          <w:highlight w:val="none"/>
          <w:vertAlign w:val="superscript"/>
        </w:rPr>
        <w:t>2</w:t>
      </w:r>
      <w:r>
        <w:rPr>
          <w:rFonts w:hint="eastAsia"/>
          <w:sz w:val="28"/>
          <w:szCs w:val="28"/>
          <w:highlight w:val="none"/>
        </w:rPr>
        <w:t>（不含青衣江），大渡河支流较多，流域面积在</w:t>
      </w:r>
      <w:r>
        <w:rPr>
          <w:sz w:val="28"/>
          <w:szCs w:val="28"/>
          <w:highlight w:val="none"/>
        </w:rPr>
        <w:t>1000 km</w:t>
      </w:r>
      <w:r>
        <w:rPr>
          <w:sz w:val="28"/>
          <w:szCs w:val="28"/>
          <w:highlight w:val="none"/>
          <w:vertAlign w:val="superscript"/>
        </w:rPr>
        <w:t>2</w:t>
      </w:r>
      <w:r>
        <w:rPr>
          <w:rFonts w:hint="eastAsia"/>
          <w:sz w:val="28"/>
          <w:szCs w:val="28"/>
          <w:highlight w:val="none"/>
        </w:rPr>
        <w:t>以上的</w:t>
      </w:r>
      <w:r>
        <w:rPr>
          <w:sz w:val="28"/>
          <w:szCs w:val="28"/>
          <w:highlight w:val="none"/>
        </w:rPr>
        <w:t>28</w:t>
      </w:r>
      <w:r>
        <w:rPr>
          <w:rFonts w:hint="eastAsia"/>
          <w:sz w:val="28"/>
          <w:szCs w:val="28"/>
          <w:highlight w:val="none"/>
        </w:rPr>
        <w:t>条，河网密度</w:t>
      </w:r>
      <w:r>
        <w:rPr>
          <w:sz w:val="28"/>
          <w:szCs w:val="28"/>
          <w:highlight w:val="none"/>
        </w:rPr>
        <w:t>0.39</w:t>
      </w:r>
      <w:r>
        <w:rPr>
          <w:rFonts w:hint="eastAsia"/>
          <w:sz w:val="28"/>
          <w:szCs w:val="28"/>
          <w:highlight w:val="none"/>
        </w:rPr>
        <w:t>。</w:t>
      </w:r>
    </w:p>
    <w:p>
      <w:pPr>
        <w:spacing w:line="360" w:lineRule="auto"/>
        <w:ind w:firstLine="562" w:firstLineChars="200"/>
        <w:rPr>
          <w:sz w:val="28"/>
          <w:szCs w:val="28"/>
          <w:highlight w:val="none"/>
        </w:rPr>
      </w:pPr>
      <w:r>
        <w:rPr>
          <w:rFonts w:hint="eastAsia"/>
          <w:b/>
          <w:sz w:val="28"/>
          <w:szCs w:val="28"/>
          <w:highlight w:val="none"/>
        </w:rPr>
        <w:t>青衣江</w:t>
      </w:r>
      <w:r>
        <w:rPr>
          <w:rFonts w:hint="eastAsia"/>
          <w:sz w:val="28"/>
          <w:szCs w:val="28"/>
          <w:highlight w:val="none"/>
        </w:rPr>
        <w:t>位于四川盆地西部边缘，属岷江水系大渡河下游左岸一级支流。青衣江主要支流有宝兴河、天全河、荥经河、玉溪河、周公河及花溪河等，主源宝兴河发源于邛崃山脉巴朗山南麓蜀西官，向西南至两河口纳西河，过宝兴于三江口纳芦山河，至飞仙关纳荥经河及天全河之后，转向东南经多营坪穿雅安城区至城东纳周公河，过姚桥、大兴、梯子岩、水津关、龟都府、止水岩后，入眉山市洪雅县境，经槽渔滩至木城纳花溪河，穿夹江千佛岩至乐山草鞋渡入大渡河。青衣江干全长</w:t>
      </w:r>
      <w:r>
        <w:rPr>
          <w:sz w:val="28"/>
          <w:szCs w:val="28"/>
          <w:highlight w:val="none"/>
        </w:rPr>
        <w:t>284km</w:t>
      </w:r>
      <w:r>
        <w:rPr>
          <w:rFonts w:hint="eastAsia"/>
          <w:sz w:val="28"/>
          <w:szCs w:val="28"/>
          <w:highlight w:val="none"/>
        </w:rPr>
        <w:t>，其中宝兴河长</w:t>
      </w:r>
      <w:r>
        <w:rPr>
          <w:sz w:val="28"/>
          <w:szCs w:val="28"/>
          <w:highlight w:val="none"/>
        </w:rPr>
        <w:t>142km</w:t>
      </w:r>
      <w:r>
        <w:rPr>
          <w:rFonts w:hint="eastAsia"/>
          <w:sz w:val="28"/>
          <w:szCs w:val="28"/>
          <w:highlight w:val="none"/>
        </w:rPr>
        <w:t>，流域面积</w:t>
      </w:r>
      <w:r>
        <w:rPr>
          <w:sz w:val="28"/>
          <w:szCs w:val="28"/>
          <w:highlight w:val="none"/>
        </w:rPr>
        <w:t>13744km</w:t>
      </w:r>
      <w:r>
        <w:rPr>
          <w:sz w:val="28"/>
          <w:szCs w:val="28"/>
          <w:highlight w:val="none"/>
          <w:vertAlign w:val="superscript"/>
        </w:rPr>
        <w:t>2</w:t>
      </w:r>
      <w:r>
        <w:rPr>
          <w:rFonts w:hint="eastAsia"/>
          <w:sz w:val="28"/>
          <w:szCs w:val="28"/>
          <w:highlight w:val="none"/>
        </w:rPr>
        <w:t>。</w:t>
      </w:r>
    </w:p>
    <w:p>
      <w:pPr>
        <w:spacing w:line="360" w:lineRule="auto"/>
        <w:ind w:firstLine="562" w:firstLineChars="200"/>
        <w:rPr>
          <w:sz w:val="28"/>
          <w:szCs w:val="28"/>
          <w:highlight w:val="none"/>
        </w:rPr>
      </w:pPr>
      <w:r>
        <w:rPr>
          <w:rFonts w:hint="eastAsia"/>
          <w:b/>
          <w:sz w:val="28"/>
          <w:szCs w:val="28"/>
          <w:highlight w:val="none"/>
        </w:rPr>
        <w:t>马边河</w:t>
      </w:r>
      <w:r>
        <w:rPr>
          <w:rFonts w:hint="eastAsia"/>
          <w:sz w:val="28"/>
          <w:szCs w:val="28"/>
          <w:highlight w:val="none"/>
        </w:rPr>
        <w:t>原名清水溪，为岷江仅次于大渡河和青衣江的第三大支流，发源于大凉山马边彝族自治县，流经乐山市马边彝族自治县、沐川县、犍为县，于犍为县玉津镇河口街道附近汇入岷江，全长</w:t>
      </w:r>
      <w:r>
        <w:rPr>
          <w:sz w:val="28"/>
          <w:szCs w:val="28"/>
          <w:highlight w:val="none"/>
        </w:rPr>
        <w:t>192km</w:t>
      </w:r>
      <w:r>
        <w:rPr>
          <w:rFonts w:hint="eastAsia"/>
          <w:sz w:val="28"/>
          <w:szCs w:val="28"/>
          <w:highlight w:val="none"/>
        </w:rPr>
        <w:t>，平均比降</w:t>
      </w:r>
      <w:r>
        <w:rPr>
          <w:sz w:val="28"/>
          <w:szCs w:val="28"/>
          <w:highlight w:val="none"/>
        </w:rPr>
        <w:t>9.8‰</w:t>
      </w:r>
      <w:r>
        <w:rPr>
          <w:rFonts w:hint="eastAsia"/>
          <w:sz w:val="28"/>
          <w:szCs w:val="28"/>
          <w:highlight w:val="none"/>
        </w:rPr>
        <w:t>，流域面积</w:t>
      </w:r>
      <w:r>
        <w:rPr>
          <w:sz w:val="28"/>
          <w:szCs w:val="28"/>
          <w:highlight w:val="none"/>
        </w:rPr>
        <w:t>3582km</w:t>
      </w:r>
      <w:r>
        <w:rPr>
          <w:sz w:val="28"/>
          <w:szCs w:val="28"/>
          <w:highlight w:val="none"/>
          <w:vertAlign w:val="superscript"/>
        </w:rPr>
        <w:t>2</w:t>
      </w:r>
      <w:r>
        <w:rPr>
          <w:rFonts w:hint="eastAsia"/>
          <w:sz w:val="28"/>
          <w:szCs w:val="28"/>
          <w:highlight w:val="none"/>
        </w:rPr>
        <w:t>。按河道特性划分，马边以上称上游，河道长</w:t>
      </w:r>
      <w:r>
        <w:rPr>
          <w:sz w:val="28"/>
          <w:szCs w:val="28"/>
          <w:highlight w:val="none"/>
        </w:rPr>
        <w:t>81km</w:t>
      </w:r>
      <w:r>
        <w:rPr>
          <w:rFonts w:hint="eastAsia"/>
          <w:sz w:val="28"/>
          <w:szCs w:val="28"/>
          <w:highlight w:val="none"/>
        </w:rPr>
        <w:t>，河宽</w:t>
      </w:r>
      <w:r>
        <w:rPr>
          <w:sz w:val="28"/>
          <w:szCs w:val="28"/>
          <w:highlight w:val="none"/>
        </w:rPr>
        <w:t>10-30m</w:t>
      </w:r>
      <w:r>
        <w:rPr>
          <w:rFonts w:hint="eastAsia"/>
          <w:sz w:val="28"/>
          <w:szCs w:val="28"/>
          <w:highlight w:val="none"/>
        </w:rPr>
        <w:t>，河中乱石林立，水流紊乱，河道比降为</w:t>
      </w:r>
      <w:r>
        <w:rPr>
          <w:sz w:val="28"/>
          <w:szCs w:val="28"/>
          <w:highlight w:val="none"/>
        </w:rPr>
        <w:t>20-30‰</w:t>
      </w:r>
      <w:r>
        <w:rPr>
          <w:rFonts w:hint="eastAsia"/>
          <w:sz w:val="28"/>
          <w:szCs w:val="28"/>
          <w:highlight w:val="none"/>
        </w:rPr>
        <w:t>，马边至坛罐窑为中游，河道长</w:t>
      </w:r>
      <w:r>
        <w:rPr>
          <w:sz w:val="28"/>
          <w:szCs w:val="28"/>
          <w:highlight w:val="none"/>
        </w:rPr>
        <w:t>92km</w:t>
      </w:r>
      <w:r>
        <w:rPr>
          <w:rFonts w:hint="eastAsia"/>
          <w:sz w:val="28"/>
          <w:szCs w:val="28"/>
          <w:highlight w:val="none"/>
        </w:rPr>
        <w:t>，河道多急滩，特别是舟坝至坛罐窑一段，中游河道比降</w:t>
      </w:r>
      <w:r>
        <w:rPr>
          <w:sz w:val="28"/>
          <w:szCs w:val="28"/>
          <w:highlight w:val="none"/>
        </w:rPr>
        <w:t>2‰</w:t>
      </w:r>
      <w:r>
        <w:rPr>
          <w:rFonts w:hint="eastAsia"/>
          <w:sz w:val="28"/>
          <w:szCs w:val="28"/>
          <w:highlight w:val="none"/>
        </w:rPr>
        <w:t>，坛罐窑以下为下游，为浅丘地形，两岸农田密布。</w:t>
      </w:r>
    </w:p>
    <w:p>
      <w:pPr>
        <w:spacing w:line="360" w:lineRule="auto"/>
        <w:ind w:firstLine="562" w:firstLineChars="200"/>
        <w:rPr>
          <w:sz w:val="28"/>
          <w:szCs w:val="28"/>
          <w:highlight w:val="none"/>
        </w:rPr>
      </w:pPr>
      <w:r>
        <w:rPr>
          <w:rFonts w:hint="eastAsia"/>
          <w:b/>
          <w:sz w:val="28"/>
          <w:szCs w:val="28"/>
          <w:highlight w:val="none"/>
        </w:rPr>
        <w:t>沐溪河</w:t>
      </w:r>
      <w:r>
        <w:rPr>
          <w:rFonts w:hint="eastAsia"/>
          <w:sz w:val="28"/>
          <w:szCs w:val="28"/>
          <w:highlight w:val="none"/>
        </w:rPr>
        <w:t>为岷江右岸一级支流，沐溪河发源于沐川县与屏山县边界五指山北麓老官碉，流经沐川县、犍为县，于岷江下游龙溪口梯级坝址上游约</w:t>
      </w:r>
      <w:r>
        <w:rPr>
          <w:sz w:val="28"/>
          <w:szCs w:val="28"/>
          <w:highlight w:val="none"/>
        </w:rPr>
        <w:t>2.5km</w:t>
      </w:r>
      <w:r>
        <w:rPr>
          <w:rFonts w:hint="eastAsia"/>
          <w:sz w:val="28"/>
          <w:szCs w:val="28"/>
          <w:highlight w:val="none"/>
        </w:rPr>
        <w:t>处刘家场附近汇入岷江，干流长度</w:t>
      </w:r>
      <w:r>
        <w:rPr>
          <w:sz w:val="28"/>
          <w:szCs w:val="28"/>
          <w:highlight w:val="none"/>
        </w:rPr>
        <w:t>56km</w:t>
      </w:r>
      <w:r>
        <w:rPr>
          <w:rFonts w:hint="eastAsia"/>
          <w:sz w:val="28"/>
          <w:szCs w:val="28"/>
          <w:highlight w:val="none"/>
        </w:rPr>
        <w:t>，流域面积</w:t>
      </w:r>
      <w:r>
        <w:rPr>
          <w:sz w:val="28"/>
          <w:szCs w:val="28"/>
          <w:highlight w:val="none"/>
        </w:rPr>
        <w:t>525km</w:t>
      </w:r>
      <w:r>
        <w:rPr>
          <w:sz w:val="28"/>
          <w:szCs w:val="28"/>
          <w:highlight w:val="none"/>
          <w:vertAlign w:val="superscript"/>
        </w:rPr>
        <w:t>2</w:t>
      </w:r>
      <w:r>
        <w:rPr>
          <w:rFonts w:hint="eastAsia"/>
          <w:sz w:val="28"/>
          <w:szCs w:val="28"/>
          <w:highlight w:val="none"/>
        </w:rPr>
        <w:t>。</w:t>
      </w:r>
    </w:p>
    <w:p>
      <w:pPr>
        <w:pStyle w:val="2"/>
        <w:jc w:val="center"/>
        <w:rPr>
          <w:rFonts w:ascii="Times New Roman" w:cs="Times New Roman"/>
          <w:b/>
          <w:color w:val="auto"/>
          <w:highlight w:val="none"/>
        </w:rPr>
      </w:pPr>
      <w:r>
        <w:rPr>
          <w:rFonts w:ascii="Times New Roman" w:cs="Times New Roman"/>
          <w:b/>
          <w:color w:val="auto"/>
          <w:highlight w:val="none"/>
        </w:rPr>
        <w:drawing>
          <wp:inline distT="0" distB="0" distL="0" distR="0">
            <wp:extent cx="5551805" cy="5009515"/>
            <wp:effectExtent l="19050" t="19050" r="10795" b="1968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5552381" cy="5009524"/>
                    </a:xfrm>
                    <a:prstGeom prst="rect">
                      <a:avLst/>
                    </a:prstGeom>
                    <a:ln w="9525">
                      <a:solidFill>
                        <a:schemeClr val="tx1"/>
                      </a:solidFill>
                    </a:ln>
                  </pic:spPr>
                </pic:pic>
              </a:graphicData>
            </a:graphic>
          </wp:inline>
        </w:drawing>
      </w:r>
    </w:p>
    <w:p>
      <w:pPr>
        <w:jc w:val="center"/>
        <w:rPr>
          <w:b/>
          <w:sz w:val="24"/>
          <w:highlight w:val="none"/>
        </w:rPr>
      </w:pPr>
      <w:r>
        <w:rPr>
          <w:b/>
          <w:sz w:val="24"/>
          <w:highlight w:val="none"/>
        </w:rPr>
        <w:t>图1.2-1岷江流域水系示意图</w:t>
      </w:r>
    </w:p>
    <w:p>
      <w:pPr>
        <w:spacing w:line="360" w:lineRule="auto"/>
        <w:ind w:firstLine="562" w:firstLineChars="200"/>
        <w:rPr>
          <w:b/>
          <w:sz w:val="28"/>
          <w:szCs w:val="28"/>
          <w:highlight w:val="none"/>
        </w:rPr>
      </w:pPr>
      <w:r>
        <w:rPr>
          <w:b/>
          <w:sz w:val="28"/>
          <w:szCs w:val="28"/>
          <w:highlight w:val="none"/>
        </w:rPr>
        <w:t>（二）基本特征</w:t>
      </w:r>
    </w:p>
    <w:p>
      <w:pPr>
        <w:spacing w:line="360" w:lineRule="auto"/>
        <w:ind w:firstLine="560" w:firstLineChars="200"/>
        <w:rPr>
          <w:spacing w:val="4"/>
          <w:sz w:val="28"/>
          <w:szCs w:val="28"/>
          <w:highlight w:val="none"/>
        </w:rPr>
      </w:pPr>
      <w:r>
        <w:rPr>
          <w:sz w:val="28"/>
          <w:szCs w:val="28"/>
          <w:highlight w:val="none"/>
        </w:rPr>
        <w:t>1.</w:t>
      </w:r>
      <w:r>
        <w:rPr>
          <w:spacing w:val="4"/>
          <w:sz w:val="28"/>
          <w:szCs w:val="28"/>
          <w:highlight w:val="none"/>
        </w:rPr>
        <w:t>相关水文站</w:t>
      </w:r>
    </w:p>
    <w:p>
      <w:pPr>
        <w:spacing w:line="360" w:lineRule="auto"/>
        <w:ind w:firstLine="560" w:firstLineChars="200"/>
        <w:rPr>
          <w:sz w:val="28"/>
          <w:szCs w:val="28"/>
          <w:highlight w:val="none"/>
        </w:rPr>
      </w:pPr>
      <w:r>
        <w:rPr>
          <w:sz w:val="28"/>
          <w:szCs w:val="28"/>
          <w:highlight w:val="none"/>
        </w:rPr>
        <w:t>岷江干流（江口-宜宾）自1939年开始，先后设立了彭山、乌尤寺、五通桥、高场等水文站，基本控制了岷江中下游干流的水情变化。大渡河下游设立有沙坪、铜街子、福禄镇水文站。青衣江下游设有夹江水文站。马边河下游设有马边、清水溪水文站。各水文站情况见表1.2-2。</w:t>
      </w:r>
    </w:p>
    <w:p>
      <w:pPr>
        <w:snapToGrid w:val="0"/>
        <w:ind w:firstLine="482"/>
        <w:jc w:val="center"/>
        <w:rPr>
          <w:rFonts w:eastAsia="黑体"/>
          <w:sz w:val="28"/>
          <w:szCs w:val="28"/>
          <w:highlight w:val="none"/>
        </w:rPr>
      </w:pPr>
      <w:r>
        <w:rPr>
          <w:rFonts w:eastAsia="黑体"/>
          <w:sz w:val="28"/>
          <w:szCs w:val="28"/>
          <w:highlight w:val="none"/>
        </w:rPr>
        <w:t>表1.2-2  相关水文站点情况一览表</w:t>
      </w:r>
    </w:p>
    <w:tbl>
      <w:tblPr>
        <w:tblStyle w:val="32"/>
        <w:tblW w:w="5000" w:type="pct"/>
        <w:jc w:val="center"/>
        <w:tblBorders>
          <w:top w:val="thinThickSmallGap" w:color="auto" w:sz="18" w:space="0"/>
          <w:left w:val="none" w:color="auto" w:sz="0" w:space="0"/>
          <w:bottom w:val="thickThinSmallGap" w:color="auto" w:sz="18" w:space="0"/>
          <w:right w:val="none" w:color="auto" w:sz="0" w:space="0"/>
          <w:insideH w:val="single" w:color="auto" w:sz="8" w:space="0"/>
          <w:insideV w:val="single" w:color="auto" w:sz="8" w:space="0"/>
        </w:tblBorders>
        <w:tblLayout w:type="autofit"/>
        <w:tblCellMar>
          <w:top w:w="0" w:type="dxa"/>
          <w:left w:w="108" w:type="dxa"/>
          <w:bottom w:w="0" w:type="dxa"/>
          <w:right w:w="108" w:type="dxa"/>
        </w:tblCellMar>
      </w:tblPr>
      <w:tblGrid>
        <w:gridCol w:w="1025"/>
        <w:gridCol w:w="1148"/>
        <w:gridCol w:w="765"/>
        <w:gridCol w:w="1534"/>
        <w:gridCol w:w="1280"/>
        <w:gridCol w:w="2554"/>
        <w:gridCol w:w="980"/>
      </w:tblGrid>
      <w:tr>
        <w:tblPrEx>
          <w:tblBorders>
            <w:top w:val="thinThickSmallGap" w:color="auto" w:sz="18" w:space="0"/>
            <w:left w:val="none" w:color="auto" w:sz="0" w:space="0"/>
            <w:bottom w:val="thickThinSmallGap" w:color="auto" w:sz="1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54" w:hRule="atLeast"/>
          <w:tblHeader/>
          <w:jc w:val="center"/>
        </w:trPr>
        <w:tc>
          <w:tcPr>
            <w:tcW w:w="552" w:type="pct"/>
            <w:vAlign w:val="center"/>
          </w:tcPr>
          <w:p>
            <w:pPr>
              <w:spacing w:line="360" w:lineRule="auto"/>
              <w:jc w:val="center"/>
              <w:rPr>
                <w:szCs w:val="21"/>
                <w:highlight w:val="none"/>
              </w:rPr>
            </w:pPr>
            <w:r>
              <w:rPr>
                <w:szCs w:val="21"/>
                <w:highlight w:val="none"/>
              </w:rPr>
              <w:t>河名</w:t>
            </w:r>
          </w:p>
        </w:tc>
        <w:tc>
          <w:tcPr>
            <w:tcW w:w="618" w:type="pct"/>
            <w:vAlign w:val="center"/>
          </w:tcPr>
          <w:p>
            <w:pPr>
              <w:spacing w:line="360" w:lineRule="auto"/>
              <w:jc w:val="center"/>
              <w:rPr>
                <w:szCs w:val="21"/>
                <w:highlight w:val="none"/>
              </w:rPr>
            </w:pPr>
            <w:r>
              <w:rPr>
                <w:szCs w:val="21"/>
                <w:highlight w:val="none"/>
              </w:rPr>
              <w:t>站名</w:t>
            </w:r>
          </w:p>
        </w:tc>
        <w:tc>
          <w:tcPr>
            <w:tcW w:w="412" w:type="pct"/>
            <w:vAlign w:val="center"/>
          </w:tcPr>
          <w:p>
            <w:pPr>
              <w:spacing w:line="360" w:lineRule="auto"/>
              <w:jc w:val="center"/>
              <w:rPr>
                <w:szCs w:val="21"/>
                <w:highlight w:val="none"/>
              </w:rPr>
            </w:pPr>
            <w:r>
              <w:rPr>
                <w:szCs w:val="21"/>
                <w:highlight w:val="none"/>
              </w:rPr>
              <w:t>站别</w:t>
            </w:r>
          </w:p>
        </w:tc>
        <w:tc>
          <w:tcPr>
            <w:tcW w:w="826" w:type="pct"/>
            <w:vAlign w:val="center"/>
          </w:tcPr>
          <w:p>
            <w:pPr>
              <w:spacing w:line="360" w:lineRule="auto"/>
              <w:jc w:val="center"/>
              <w:rPr>
                <w:szCs w:val="21"/>
                <w:highlight w:val="none"/>
              </w:rPr>
            </w:pPr>
            <w:r>
              <w:rPr>
                <w:szCs w:val="21"/>
                <w:highlight w:val="none"/>
              </w:rPr>
              <w:t>距河口里程</w:t>
            </w:r>
          </w:p>
          <w:p>
            <w:pPr>
              <w:spacing w:line="360" w:lineRule="auto"/>
              <w:jc w:val="center"/>
              <w:rPr>
                <w:szCs w:val="21"/>
                <w:highlight w:val="none"/>
              </w:rPr>
            </w:pPr>
            <w:r>
              <w:rPr>
                <w:szCs w:val="21"/>
                <w:highlight w:val="none"/>
              </w:rPr>
              <w:t>（km）</w:t>
            </w:r>
          </w:p>
        </w:tc>
        <w:tc>
          <w:tcPr>
            <w:tcW w:w="689" w:type="pct"/>
            <w:vAlign w:val="center"/>
          </w:tcPr>
          <w:p>
            <w:pPr>
              <w:spacing w:line="360" w:lineRule="auto"/>
              <w:jc w:val="center"/>
              <w:rPr>
                <w:szCs w:val="21"/>
                <w:highlight w:val="none"/>
              </w:rPr>
            </w:pPr>
            <w:r>
              <w:rPr>
                <w:szCs w:val="21"/>
                <w:highlight w:val="none"/>
              </w:rPr>
              <w:t>控制面积</w:t>
            </w:r>
          </w:p>
          <w:p>
            <w:pPr>
              <w:spacing w:line="360" w:lineRule="auto"/>
              <w:jc w:val="center"/>
              <w:rPr>
                <w:szCs w:val="21"/>
                <w:highlight w:val="none"/>
              </w:rPr>
            </w:pPr>
            <w:r>
              <w:rPr>
                <w:szCs w:val="21"/>
                <w:highlight w:val="none"/>
              </w:rPr>
              <w:t>（km</w:t>
            </w:r>
            <w:r>
              <w:rPr>
                <w:szCs w:val="21"/>
                <w:highlight w:val="none"/>
                <w:vertAlign w:val="superscript"/>
              </w:rPr>
              <w:t>2</w:t>
            </w:r>
            <w:r>
              <w:rPr>
                <w:szCs w:val="21"/>
                <w:highlight w:val="none"/>
              </w:rPr>
              <w:t>）</w:t>
            </w:r>
          </w:p>
        </w:tc>
        <w:tc>
          <w:tcPr>
            <w:tcW w:w="1375" w:type="pct"/>
            <w:vAlign w:val="center"/>
          </w:tcPr>
          <w:p>
            <w:pPr>
              <w:spacing w:line="360" w:lineRule="auto"/>
              <w:jc w:val="center"/>
              <w:rPr>
                <w:szCs w:val="21"/>
                <w:highlight w:val="none"/>
              </w:rPr>
            </w:pPr>
            <w:r>
              <w:rPr>
                <w:szCs w:val="21"/>
                <w:highlight w:val="none"/>
              </w:rPr>
              <w:t>测验项目</w:t>
            </w:r>
          </w:p>
        </w:tc>
        <w:tc>
          <w:tcPr>
            <w:tcW w:w="527" w:type="pct"/>
            <w:vAlign w:val="center"/>
          </w:tcPr>
          <w:p>
            <w:pPr>
              <w:spacing w:line="360" w:lineRule="auto"/>
              <w:jc w:val="center"/>
              <w:rPr>
                <w:szCs w:val="21"/>
                <w:highlight w:val="none"/>
              </w:rPr>
            </w:pPr>
            <w:r>
              <w:rPr>
                <w:szCs w:val="21"/>
                <w:highlight w:val="none"/>
              </w:rPr>
              <w:t>设立</w:t>
            </w:r>
          </w:p>
          <w:p>
            <w:pPr>
              <w:spacing w:line="360" w:lineRule="auto"/>
              <w:jc w:val="center"/>
              <w:rPr>
                <w:szCs w:val="21"/>
                <w:highlight w:val="none"/>
              </w:rPr>
            </w:pPr>
            <w:r>
              <w:rPr>
                <w:szCs w:val="21"/>
                <w:highlight w:val="none"/>
              </w:rPr>
              <w:t>日期</w:t>
            </w:r>
          </w:p>
        </w:tc>
      </w:tr>
      <w:tr>
        <w:tblPrEx>
          <w:tblBorders>
            <w:top w:val="thinThickSmallGap" w:color="auto" w:sz="18" w:space="0"/>
            <w:left w:val="none" w:color="auto" w:sz="0" w:space="0"/>
            <w:bottom w:val="thickThinSmallGap" w:color="auto" w:sz="1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552" w:type="pct"/>
            <w:vAlign w:val="center"/>
          </w:tcPr>
          <w:p>
            <w:pPr>
              <w:spacing w:line="360" w:lineRule="auto"/>
              <w:jc w:val="center"/>
              <w:rPr>
                <w:szCs w:val="21"/>
                <w:highlight w:val="none"/>
              </w:rPr>
            </w:pPr>
            <w:r>
              <w:rPr>
                <w:szCs w:val="21"/>
                <w:highlight w:val="none"/>
              </w:rPr>
              <w:t>岷江</w:t>
            </w:r>
          </w:p>
        </w:tc>
        <w:tc>
          <w:tcPr>
            <w:tcW w:w="618" w:type="pct"/>
            <w:vAlign w:val="center"/>
          </w:tcPr>
          <w:p>
            <w:pPr>
              <w:spacing w:line="360" w:lineRule="auto"/>
              <w:jc w:val="center"/>
              <w:rPr>
                <w:szCs w:val="21"/>
                <w:highlight w:val="none"/>
              </w:rPr>
            </w:pPr>
            <w:r>
              <w:rPr>
                <w:szCs w:val="21"/>
                <w:highlight w:val="none"/>
              </w:rPr>
              <w:t>彭山</w:t>
            </w:r>
          </w:p>
        </w:tc>
        <w:tc>
          <w:tcPr>
            <w:tcW w:w="412" w:type="pct"/>
            <w:vAlign w:val="center"/>
          </w:tcPr>
          <w:p>
            <w:pPr>
              <w:spacing w:line="360" w:lineRule="auto"/>
              <w:jc w:val="center"/>
              <w:rPr>
                <w:szCs w:val="21"/>
                <w:highlight w:val="none"/>
              </w:rPr>
            </w:pPr>
            <w:r>
              <w:rPr>
                <w:szCs w:val="21"/>
                <w:highlight w:val="none"/>
              </w:rPr>
              <w:t>水文</w:t>
            </w:r>
          </w:p>
        </w:tc>
        <w:tc>
          <w:tcPr>
            <w:tcW w:w="826" w:type="pct"/>
            <w:vAlign w:val="center"/>
          </w:tcPr>
          <w:p>
            <w:pPr>
              <w:spacing w:line="360" w:lineRule="auto"/>
              <w:jc w:val="center"/>
              <w:rPr>
                <w:szCs w:val="21"/>
                <w:highlight w:val="none"/>
              </w:rPr>
            </w:pPr>
            <w:r>
              <w:rPr>
                <w:szCs w:val="21"/>
                <w:highlight w:val="none"/>
              </w:rPr>
              <w:t>266</w:t>
            </w:r>
          </w:p>
        </w:tc>
        <w:tc>
          <w:tcPr>
            <w:tcW w:w="689" w:type="pct"/>
            <w:vAlign w:val="center"/>
          </w:tcPr>
          <w:p>
            <w:pPr>
              <w:spacing w:line="360" w:lineRule="auto"/>
              <w:jc w:val="center"/>
              <w:rPr>
                <w:szCs w:val="21"/>
                <w:highlight w:val="none"/>
              </w:rPr>
            </w:pPr>
            <w:r>
              <w:rPr>
                <w:szCs w:val="21"/>
                <w:highlight w:val="none"/>
              </w:rPr>
              <w:t>30661</w:t>
            </w:r>
          </w:p>
        </w:tc>
        <w:tc>
          <w:tcPr>
            <w:tcW w:w="1375" w:type="pct"/>
            <w:vAlign w:val="center"/>
          </w:tcPr>
          <w:p>
            <w:pPr>
              <w:spacing w:line="360" w:lineRule="auto"/>
              <w:jc w:val="center"/>
              <w:rPr>
                <w:szCs w:val="21"/>
                <w:highlight w:val="none"/>
              </w:rPr>
            </w:pPr>
            <w:r>
              <w:rPr>
                <w:szCs w:val="21"/>
                <w:highlight w:val="none"/>
              </w:rPr>
              <w:t>水位、流量、输沙率</w:t>
            </w:r>
          </w:p>
        </w:tc>
        <w:tc>
          <w:tcPr>
            <w:tcW w:w="527" w:type="pct"/>
            <w:vAlign w:val="center"/>
          </w:tcPr>
          <w:p>
            <w:pPr>
              <w:spacing w:line="360" w:lineRule="auto"/>
              <w:jc w:val="center"/>
              <w:rPr>
                <w:szCs w:val="21"/>
                <w:highlight w:val="none"/>
              </w:rPr>
            </w:pPr>
            <w:r>
              <w:rPr>
                <w:szCs w:val="21"/>
                <w:highlight w:val="none"/>
              </w:rPr>
              <w:t>1939.9</w:t>
            </w:r>
          </w:p>
        </w:tc>
      </w:tr>
      <w:tr>
        <w:tblPrEx>
          <w:tblBorders>
            <w:top w:val="thinThickSmallGap" w:color="auto" w:sz="18" w:space="0"/>
            <w:left w:val="none" w:color="auto" w:sz="0" w:space="0"/>
            <w:bottom w:val="thickThinSmallGap" w:color="auto" w:sz="1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552" w:type="pct"/>
            <w:vAlign w:val="center"/>
          </w:tcPr>
          <w:p>
            <w:pPr>
              <w:spacing w:line="360" w:lineRule="auto"/>
              <w:jc w:val="center"/>
              <w:rPr>
                <w:szCs w:val="21"/>
                <w:highlight w:val="none"/>
              </w:rPr>
            </w:pPr>
            <w:r>
              <w:rPr>
                <w:szCs w:val="21"/>
                <w:highlight w:val="none"/>
              </w:rPr>
              <w:t>岷江</w:t>
            </w:r>
          </w:p>
        </w:tc>
        <w:tc>
          <w:tcPr>
            <w:tcW w:w="618" w:type="pct"/>
            <w:vAlign w:val="center"/>
          </w:tcPr>
          <w:p>
            <w:pPr>
              <w:spacing w:line="360" w:lineRule="auto"/>
              <w:jc w:val="center"/>
              <w:rPr>
                <w:szCs w:val="21"/>
                <w:highlight w:val="none"/>
              </w:rPr>
            </w:pPr>
            <w:r>
              <w:rPr>
                <w:szCs w:val="21"/>
                <w:highlight w:val="none"/>
              </w:rPr>
              <w:t>乌尤寺</w:t>
            </w:r>
          </w:p>
        </w:tc>
        <w:tc>
          <w:tcPr>
            <w:tcW w:w="412" w:type="pct"/>
            <w:vAlign w:val="center"/>
          </w:tcPr>
          <w:p>
            <w:pPr>
              <w:spacing w:line="360" w:lineRule="auto"/>
              <w:jc w:val="center"/>
              <w:rPr>
                <w:szCs w:val="21"/>
                <w:highlight w:val="none"/>
              </w:rPr>
            </w:pPr>
            <w:r>
              <w:rPr>
                <w:szCs w:val="21"/>
                <w:highlight w:val="none"/>
              </w:rPr>
              <w:t>水位</w:t>
            </w:r>
          </w:p>
        </w:tc>
        <w:tc>
          <w:tcPr>
            <w:tcW w:w="826" w:type="pct"/>
            <w:vAlign w:val="center"/>
          </w:tcPr>
          <w:p>
            <w:pPr>
              <w:spacing w:line="360" w:lineRule="auto"/>
              <w:jc w:val="center"/>
              <w:rPr>
                <w:szCs w:val="21"/>
                <w:highlight w:val="none"/>
              </w:rPr>
            </w:pPr>
            <w:r>
              <w:rPr>
                <w:szCs w:val="21"/>
                <w:highlight w:val="none"/>
              </w:rPr>
              <w:t>154</w:t>
            </w:r>
          </w:p>
        </w:tc>
        <w:tc>
          <w:tcPr>
            <w:tcW w:w="689" w:type="pct"/>
            <w:vAlign w:val="center"/>
          </w:tcPr>
          <w:p>
            <w:pPr>
              <w:spacing w:line="360" w:lineRule="auto"/>
              <w:jc w:val="center"/>
              <w:rPr>
                <w:szCs w:val="21"/>
                <w:highlight w:val="none"/>
              </w:rPr>
            </w:pPr>
            <w:r>
              <w:rPr>
                <w:szCs w:val="21"/>
                <w:highlight w:val="none"/>
              </w:rPr>
              <w:t>124587</w:t>
            </w:r>
          </w:p>
        </w:tc>
        <w:tc>
          <w:tcPr>
            <w:tcW w:w="1375" w:type="pct"/>
            <w:vAlign w:val="center"/>
          </w:tcPr>
          <w:p>
            <w:pPr>
              <w:spacing w:line="360" w:lineRule="auto"/>
              <w:jc w:val="center"/>
              <w:rPr>
                <w:szCs w:val="21"/>
                <w:highlight w:val="none"/>
              </w:rPr>
            </w:pPr>
            <w:r>
              <w:rPr>
                <w:szCs w:val="21"/>
                <w:highlight w:val="none"/>
              </w:rPr>
              <w:t>水位</w:t>
            </w:r>
          </w:p>
        </w:tc>
        <w:tc>
          <w:tcPr>
            <w:tcW w:w="527" w:type="pct"/>
            <w:vAlign w:val="center"/>
          </w:tcPr>
          <w:p>
            <w:pPr>
              <w:spacing w:line="360" w:lineRule="auto"/>
              <w:jc w:val="center"/>
              <w:rPr>
                <w:szCs w:val="21"/>
                <w:highlight w:val="none"/>
              </w:rPr>
            </w:pPr>
            <w:r>
              <w:rPr>
                <w:szCs w:val="21"/>
                <w:highlight w:val="none"/>
              </w:rPr>
              <w:t>1941.1</w:t>
            </w:r>
          </w:p>
        </w:tc>
      </w:tr>
      <w:tr>
        <w:tblPrEx>
          <w:tblBorders>
            <w:top w:val="thinThickSmallGap" w:color="auto" w:sz="18" w:space="0"/>
            <w:left w:val="none" w:color="auto" w:sz="0" w:space="0"/>
            <w:bottom w:val="thickThinSmallGap" w:color="auto" w:sz="1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552" w:type="pct"/>
            <w:vAlign w:val="center"/>
          </w:tcPr>
          <w:p>
            <w:pPr>
              <w:spacing w:line="360" w:lineRule="auto"/>
              <w:jc w:val="center"/>
              <w:rPr>
                <w:szCs w:val="21"/>
                <w:highlight w:val="none"/>
              </w:rPr>
            </w:pPr>
            <w:r>
              <w:rPr>
                <w:szCs w:val="21"/>
                <w:highlight w:val="none"/>
              </w:rPr>
              <w:t>岷江</w:t>
            </w:r>
          </w:p>
        </w:tc>
        <w:tc>
          <w:tcPr>
            <w:tcW w:w="618" w:type="pct"/>
            <w:vAlign w:val="center"/>
          </w:tcPr>
          <w:p>
            <w:pPr>
              <w:spacing w:line="360" w:lineRule="auto"/>
              <w:jc w:val="center"/>
              <w:rPr>
                <w:szCs w:val="21"/>
                <w:highlight w:val="none"/>
              </w:rPr>
            </w:pPr>
            <w:r>
              <w:rPr>
                <w:szCs w:val="21"/>
                <w:highlight w:val="none"/>
              </w:rPr>
              <w:t>五通桥</w:t>
            </w:r>
          </w:p>
        </w:tc>
        <w:tc>
          <w:tcPr>
            <w:tcW w:w="412" w:type="pct"/>
            <w:vAlign w:val="center"/>
          </w:tcPr>
          <w:p>
            <w:pPr>
              <w:spacing w:line="360" w:lineRule="auto"/>
              <w:jc w:val="center"/>
              <w:rPr>
                <w:szCs w:val="21"/>
                <w:highlight w:val="none"/>
              </w:rPr>
            </w:pPr>
            <w:r>
              <w:rPr>
                <w:szCs w:val="21"/>
                <w:highlight w:val="none"/>
              </w:rPr>
              <w:t>水文</w:t>
            </w:r>
          </w:p>
        </w:tc>
        <w:tc>
          <w:tcPr>
            <w:tcW w:w="826" w:type="pct"/>
            <w:vAlign w:val="center"/>
          </w:tcPr>
          <w:p>
            <w:pPr>
              <w:spacing w:line="360" w:lineRule="auto"/>
              <w:jc w:val="center"/>
              <w:rPr>
                <w:szCs w:val="21"/>
                <w:highlight w:val="none"/>
              </w:rPr>
            </w:pPr>
            <w:r>
              <w:rPr>
                <w:szCs w:val="21"/>
                <w:highlight w:val="none"/>
              </w:rPr>
              <w:t>131</w:t>
            </w:r>
          </w:p>
        </w:tc>
        <w:tc>
          <w:tcPr>
            <w:tcW w:w="689" w:type="pct"/>
            <w:vAlign w:val="center"/>
          </w:tcPr>
          <w:p>
            <w:pPr>
              <w:spacing w:line="360" w:lineRule="auto"/>
              <w:jc w:val="center"/>
              <w:rPr>
                <w:szCs w:val="21"/>
                <w:highlight w:val="none"/>
              </w:rPr>
            </w:pPr>
            <w:r>
              <w:rPr>
                <w:szCs w:val="21"/>
                <w:highlight w:val="none"/>
              </w:rPr>
              <w:t>126478</w:t>
            </w:r>
          </w:p>
        </w:tc>
        <w:tc>
          <w:tcPr>
            <w:tcW w:w="1375" w:type="pct"/>
            <w:vAlign w:val="center"/>
          </w:tcPr>
          <w:p>
            <w:pPr>
              <w:spacing w:line="360" w:lineRule="auto"/>
              <w:jc w:val="center"/>
              <w:rPr>
                <w:szCs w:val="21"/>
                <w:highlight w:val="none"/>
              </w:rPr>
            </w:pPr>
            <w:r>
              <w:rPr>
                <w:szCs w:val="21"/>
                <w:highlight w:val="none"/>
              </w:rPr>
              <w:t>水位、流量、输沙率</w:t>
            </w:r>
          </w:p>
        </w:tc>
        <w:tc>
          <w:tcPr>
            <w:tcW w:w="527" w:type="pct"/>
            <w:vAlign w:val="center"/>
          </w:tcPr>
          <w:p>
            <w:pPr>
              <w:spacing w:line="360" w:lineRule="auto"/>
              <w:jc w:val="center"/>
              <w:rPr>
                <w:szCs w:val="21"/>
                <w:highlight w:val="none"/>
              </w:rPr>
            </w:pPr>
            <w:r>
              <w:rPr>
                <w:szCs w:val="21"/>
                <w:highlight w:val="none"/>
              </w:rPr>
              <w:t>1953.4</w:t>
            </w:r>
          </w:p>
        </w:tc>
      </w:tr>
      <w:tr>
        <w:tblPrEx>
          <w:tblBorders>
            <w:top w:val="thinThickSmallGap" w:color="auto" w:sz="18" w:space="0"/>
            <w:left w:val="none" w:color="auto" w:sz="0" w:space="0"/>
            <w:bottom w:val="thickThinSmallGap" w:color="auto" w:sz="1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552" w:type="pct"/>
            <w:vAlign w:val="center"/>
          </w:tcPr>
          <w:p>
            <w:pPr>
              <w:spacing w:line="360" w:lineRule="auto"/>
              <w:jc w:val="center"/>
              <w:rPr>
                <w:szCs w:val="21"/>
                <w:highlight w:val="none"/>
              </w:rPr>
            </w:pPr>
            <w:r>
              <w:rPr>
                <w:szCs w:val="21"/>
                <w:highlight w:val="none"/>
              </w:rPr>
              <w:t>岷江</w:t>
            </w:r>
          </w:p>
        </w:tc>
        <w:tc>
          <w:tcPr>
            <w:tcW w:w="618" w:type="pct"/>
            <w:vAlign w:val="center"/>
          </w:tcPr>
          <w:p>
            <w:pPr>
              <w:spacing w:line="360" w:lineRule="auto"/>
              <w:jc w:val="center"/>
              <w:rPr>
                <w:szCs w:val="21"/>
                <w:highlight w:val="none"/>
              </w:rPr>
            </w:pPr>
            <w:r>
              <w:rPr>
                <w:szCs w:val="21"/>
                <w:highlight w:val="none"/>
              </w:rPr>
              <w:t>高场</w:t>
            </w:r>
          </w:p>
        </w:tc>
        <w:tc>
          <w:tcPr>
            <w:tcW w:w="412" w:type="pct"/>
            <w:vAlign w:val="center"/>
          </w:tcPr>
          <w:p>
            <w:pPr>
              <w:spacing w:line="360" w:lineRule="auto"/>
              <w:jc w:val="center"/>
              <w:rPr>
                <w:szCs w:val="21"/>
                <w:highlight w:val="none"/>
              </w:rPr>
            </w:pPr>
            <w:r>
              <w:rPr>
                <w:szCs w:val="21"/>
                <w:highlight w:val="none"/>
              </w:rPr>
              <w:t>水文</w:t>
            </w:r>
          </w:p>
        </w:tc>
        <w:tc>
          <w:tcPr>
            <w:tcW w:w="826" w:type="pct"/>
            <w:vAlign w:val="center"/>
          </w:tcPr>
          <w:p>
            <w:pPr>
              <w:spacing w:line="360" w:lineRule="auto"/>
              <w:jc w:val="center"/>
              <w:rPr>
                <w:szCs w:val="21"/>
                <w:highlight w:val="none"/>
              </w:rPr>
            </w:pPr>
            <w:r>
              <w:rPr>
                <w:szCs w:val="21"/>
                <w:highlight w:val="none"/>
              </w:rPr>
              <w:t>27</w:t>
            </w:r>
          </w:p>
        </w:tc>
        <w:tc>
          <w:tcPr>
            <w:tcW w:w="689" w:type="pct"/>
            <w:vAlign w:val="center"/>
          </w:tcPr>
          <w:p>
            <w:pPr>
              <w:spacing w:line="360" w:lineRule="auto"/>
              <w:jc w:val="center"/>
              <w:rPr>
                <w:szCs w:val="21"/>
                <w:highlight w:val="none"/>
              </w:rPr>
            </w:pPr>
            <w:r>
              <w:rPr>
                <w:szCs w:val="21"/>
                <w:highlight w:val="none"/>
              </w:rPr>
              <w:t>135378</w:t>
            </w:r>
          </w:p>
        </w:tc>
        <w:tc>
          <w:tcPr>
            <w:tcW w:w="1375" w:type="pct"/>
            <w:vAlign w:val="center"/>
          </w:tcPr>
          <w:p>
            <w:pPr>
              <w:spacing w:line="360" w:lineRule="auto"/>
              <w:jc w:val="center"/>
              <w:rPr>
                <w:szCs w:val="21"/>
                <w:highlight w:val="none"/>
              </w:rPr>
            </w:pPr>
            <w:r>
              <w:rPr>
                <w:szCs w:val="21"/>
                <w:highlight w:val="none"/>
              </w:rPr>
              <w:t>水位、流量、输沙率</w:t>
            </w:r>
          </w:p>
        </w:tc>
        <w:tc>
          <w:tcPr>
            <w:tcW w:w="527" w:type="pct"/>
            <w:vAlign w:val="center"/>
          </w:tcPr>
          <w:p>
            <w:pPr>
              <w:spacing w:line="360" w:lineRule="auto"/>
              <w:jc w:val="center"/>
              <w:rPr>
                <w:szCs w:val="21"/>
                <w:highlight w:val="none"/>
              </w:rPr>
            </w:pPr>
            <w:r>
              <w:rPr>
                <w:szCs w:val="21"/>
                <w:highlight w:val="none"/>
              </w:rPr>
              <w:t>1939.4</w:t>
            </w:r>
          </w:p>
        </w:tc>
      </w:tr>
      <w:tr>
        <w:tblPrEx>
          <w:tblBorders>
            <w:top w:val="thinThickSmallGap" w:color="auto" w:sz="18" w:space="0"/>
            <w:left w:val="none" w:color="auto" w:sz="0" w:space="0"/>
            <w:bottom w:val="thickThinSmallGap" w:color="auto" w:sz="1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552" w:type="pct"/>
            <w:vAlign w:val="center"/>
          </w:tcPr>
          <w:p>
            <w:pPr>
              <w:spacing w:line="360" w:lineRule="auto"/>
              <w:jc w:val="center"/>
              <w:rPr>
                <w:szCs w:val="21"/>
                <w:highlight w:val="none"/>
              </w:rPr>
            </w:pPr>
            <w:r>
              <w:rPr>
                <w:szCs w:val="21"/>
                <w:highlight w:val="none"/>
              </w:rPr>
              <w:t>大渡河</w:t>
            </w:r>
          </w:p>
        </w:tc>
        <w:tc>
          <w:tcPr>
            <w:tcW w:w="618" w:type="pct"/>
            <w:vAlign w:val="center"/>
          </w:tcPr>
          <w:p>
            <w:pPr>
              <w:spacing w:line="360" w:lineRule="auto"/>
              <w:jc w:val="center"/>
              <w:rPr>
                <w:szCs w:val="21"/>
                <w:highlight w:val="none"/>
              </w:rPr>
            </w:pPr>
            <w:r>
              <w:rPr>
                <w:szCs w:val="21"/>
                <w:highlight w:val="none"/>
              </w:rPr>
              <w:t>沙坪</w:t>
            </w:r>
          </w:p>
        </w:tc>
        <w:tc>
          <w:tcPr>
            <w:tcW w:w="412" w:type="pct"/>
            <w:vAlign w:val="center"/>
          </w:tcPr>
          <w:p>
            <w:pPr>
              <w:spacing w:line="360" w:lineRule="auto"/>
              <w:jc w:val="center"/>
              <w:rPr>
                <w:szCs w:val="21"/>
                <w:highlight w:val="none"/>
              </w:rPr>
            </w:pPr>
            <w:r>
              <w:rPr>
                <w:szCs w:val="21"/>
                <w:highlight w:val="none"/>
              </w:rPr>
              <w:t>水文</w:t>
            </w:r>
          </w:p>
        </w:tc>
        <w:tc>
          <w:tcPr>
            <w:tcW w:w="826" w:type="pct"/>
            <w:vAlign w:val="center"/>
          </w:tcPr>
          <w:p>
            <w:pPr>
              <w:spacing w:line="360" w:lineRule="auto"/>
              <w:jc w:val="center"/>
              <w:rPr>
                <w:szCs w:val="21"/>
                <w:highlight w:val="none"/>
              </w:rPr>
            </w:pPr>
            <w:r>
              <w:rPr>
                <w:szCs w:val="21"/>
                <w:highlight w:val="none"/>
              </w:rPr>
              <w:t>127</w:t>
            </w:r>
          </w:p>
        </w:tc>
        <w:tc>
          <w:tcPr>
            <w:tcW w:w="689" w:type="pct"/>
            <w:vAlign w:val="center"/>
          </w:tcPr>
          <w:p>
            <w:pPr>
              <w:spacing w:line="360" w:lineRule="auto"/>
              <w:jc w:val="center"/>
              <w:rPr>
                <w:szCs w:val="21"/>
                <w:highlight w:val="none"/>
              </w:rPr>
            </w:pPr>
            <w:r>
              <w:rPr>
                <w:szCs w:val="21"/>
                <w:highlight w:val="none"/>
              </w:rPr>
              <w:t>75016</w:t>
            </w:r>
          </w:p>
        </w:tc>
        <w:tc>
          <w:tcPr>
            <w:tcW w:w="1375" w:type="pct"/>
            <w:vAlign w:val="center"/>
          </w:tcPr>
          <w:p>
            <w:pPr>
              <w:spacing w:line="360" w:lineRule="auto"/>
              <w:jc w:val="center"/>
              <w:rPr>
                <w:szCs w:val="21"/>
                <w:highlight w:val="none"/>
              </w:rPr>
            </w:pPr>
            <w:r>
              <w:rPr>
                <w:szCs w:val="21"/>
                <w:highlight w:val="none"/>
              </w:rPr>
              <w:t>水位、流量、输沙率</w:t>
            </w:r>
          </w:p>
        </w:tc>
        <w:tc>
          <w:tcPr>
            <w:tcW w:w="527" w:type="pct"/>
            <w:vAlign w:val="center"/>
          </w:tcPr>
          <w:p>
            <w:pPr>
              <w:spacing w:line="360" w:lineRule="auto"/>
              <w:jc w:val="center"/>
              <w:rPr>
                <w:szCs w:val="21"/>
                <w:highlight w:val="none"/>
              </w:rPr>
            </w:pPr>
            <w:r>
              <w:rPr>
                <w:szCs w:val="21"/>
                <w:highlight w:val="none"/>
              </w:rPr>
              <w:t>1975.4</w:t>
            </w:r>
          </w:p>
        </w:tc>
      </w:tr>
      <w:tr>
        <w:tblPrEx>
          <w:tblBorders>
            <w:top w:val="thinThickSmallGap" w:color="auto" w:sz="18" w:space="0"/>
            <w:left w:val="none" w:color="auto" w:sz="0" w:space="0"/>
            <w:bottom w:val="thickThinSmallGap" w:color="auto" w:sz="1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552" w:type="pct"/>
            <w:vAlign w:val="center"/>
          </w:tcPr>
          <w:p>
            <w:pPr>
              <w:spacing w:line="360" w:lineRule="auto"/>
              <w:jc w:val="center"/>
              <w:rPr>
                <w:szCs w:val="21"/>
                <w:highlight w:val="none"/>
              </w:rPr>
            </w:pPr>
            <w:r>
              <w:rPr>
                <w:szCs w:val="21"/>
                <w:highlight w:val="none"/>
              </w:rPr>
              <w:t>大渡河</w:t>
            </w:r>
          </w:p>
        </w:tc>
        <w:tc>
          <w:tcPr>
            <w:tcW w:w="618" w:type="pct"/>
            <w:vAlign w:val="center"/>
          </w:tcPr>
          <w:p>
            <w:pPr>
              <w:spacing w:line="360" w:lineRule="auto"/>
              <w:jc w:val="center"/>
              <w:rPr>
                <w:szCs w:val="21"/>
                <w:highlight w:val="none"/>
              </w:rPr>
            </w:pPr>
            <w:r>
              <w:rPr>
                <w:szCs w:val="21"/>
                <w:highlight w:val="none"/>
              </w:rPr>
              <w:t>铜街子</w:t>
            </w:r>
          </w:p>
        </w:tc>
        <w:tc>
          <w:tcPr>
            <w:tcW w:w="412" w:type="pct"/>
            <w:vAlign w:val="center"/>
          </w:tcPr>
          <w:p>
            <w:pPr>
              <w:spacing w:line="360" w:lineRule="auto"/>
              <w:jc w:val="center"/>
              <w:rPr>
                <w:szCs w:val="21"/>
                <w:highlight w:val="none"/>
              </w:rPr>
            </w:pPr>
            <w:r>
              <w:rPr>
                <w:szCs w:val="21"/>
                <w:highlight w:val="none"/>
              </w:rPr>
              <w:t>水文</w:t>
            </w:r>
          </w:p>
        </w:tc>
        <w:tc>
          <w:tcPr>
            <w:tcW w:w="826" w:type="pct"/>
            <w:vAlign w:val="center"/>
          </w:tcPr>
          <w:p>
            <w:pPr>
              <w:spacing w:line="360" w:lineRule="auto"/>
              <w:jc w:val="center"/>
              <w:rPr>
                <w:szCs w:val="21"/>
                <w:highlight w:val="none"/>
              </w:rPr>
            </w:pPr>
          </w:p>
        </w:tc>
        <w:tc>
          <w:tcPr>
            <w:tcW w:w="689" w:type="pct"/>
            <w:vAlign w:val="center"/>
          </w:tcPr>
          <w:p>
            <w:pPr>
              <w:spacing w:line="360" w:lineRule="auto"/>
              <w:jc w:val="center"/>
              <w:rPr>
                <w:szCs w:val="21"/>
                <w:highlight w:val="none"/>
              </w:rPr>
            </w:pPr>
            <w:r>
              <w:rPr>
                <w:szCs w:val="21"/>
                <w:highlight w:val="none"/>
              </w:rPr>
              <w:t>76383</w:t>
            </w:r>
          </w:p>
        </w:tc>
        <w:tc>
          <w:tcPr>
            <w:tcW w:w="1375" w:type="pct"/>
            <w:vAlign w:val="center"/>
          </w:tcPr>
          <w:p>
            <w:pPr>
              <w:spacing w:line="360" w:lineRule="auto"/>
              <w:jc w:val="center"/>
              <w:rPr>
                <w:szCs w:val="21"/>
                <w:highlight w:val="none"/>
              </w:rPr>
            </w:pPr>
            <w:r>
              <w:rPr>
                <w:szCs w:val="21"/>
                <w:highlight w:val="none"/>
              </w:rPr>
              <w:t>水位、流量、</w:t>
            </w:r>
          </w:p>
        </w:tc>
        <w:tc>
          <w:tcPr>
            <w:tcW w:w="527" w:type="pct"/>
            <w:vAlign w:val="center"/>
          </w:tcPr>
          <w:p>
            <w:pPr>
              <w:spacing w:line="360" w:lineRule="auto"/>
              <w:jc w:val="center"/>
              <w:rPr>
                <w:szCs w:val="21"/>
                <w:highlight w:val="none"/>
              </w:rPr>
            </w:pPr>
            <w:r>
              <w:rPr>
                <w:szCs w:val="21"/>
                <w:highlight w:val="none"/>
              </w:rPr>
              <w:t>1936.7</w:t>
            </w:r>
          </w:p>
        </w:tc>
      </w:tr>
      <w:tr>
        <w:tblPrEx>
          <w:tblBorders>
            <w:top w:val="thinThickSmallGap" w:color="auto" w:sz="18" w:space="0"/>
            <w:left w:val="none" w:color="auto" w:sz="0" w:space="0"/>
            <w:bottom w:val="thickThinSmallGap" w:color="auto" w:sz="1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552" w:type="pct"/>
            <w:vAlign w:val="center"/>
          </w:tcPr>
          <w:p>
            <w:pPr>
              <w:spacing w:line="360" w:lineRule="auto"/>
              <w:jc w:val="center"/>
              <w:rPr>
                <w:szCs w:val="21"/>
                <w:highlight w:val="none"/>
              </w:rPr>
            </w:pPr>
            <w:r>
              <w:rPr>
                <w:szCs w:val="21"/>
                <w:highlight w:val="none"/>
              </w:rPr>
              <w:t>大渡河</w:t>
            </w:r>
          </w:p>
        </w:tc>
        <w:tc>
          <w:tcPr>
            <w:tcW w:w="618" w:type="pct"/>
            <w:vAlign w:val="center"/>
          </w:tcPr>
          <w:p>
            <w:pPr>
              <w:spacing w:line="360" w:lineRule="auto"/>
              <w:jc w:val="center"/>
              <w:rPr>
                <w:szCs w:val="21"/>
                <w:highlight w:val="none"/>
              </w:rPr>
            </w:pPr>
            <w:r>
              <w:rPr>
                <w:szCs w:val="21"/>
                <w:highlight w:val="none"/>
              </w:rPr>
              <w:t>福禄镇</w:t>
            </w:r>
          </w:p>
        </w:tc>
        <w:tc>
          <w:tcPr>
            <w:tcW w:w="412" w:type="pct"/>
            <w:vAlign w:val="center"/>
          </w:tcPr>
          <w:p>
            <w:pPr>
              <w:spacing w:line="360" w:lineRule="auto"/>
              <w:jc w:val="center"/>
              <w:rPr>
                <w:szCs w:val="21"/>
                <w:highlight w:val="none"/>
              </w:rPr>
            </w:pPr>
            <w:r>
              <w:rPr>
                <w:szCs w:val="21"/>
                <w:highlight w:val="none"/>
              </w:rPr>
              <w:t>水文</w:t>
            </w:r>
          </w:p>
        </w:tc>
        <w:tc>
          <w:tcPr>
            <w:tcW w:w="826" w:type="pct"/>
            <w:vAlign w:val="center"/>
          </w:tcPr>
          <w:p>
            <w:pPr>
              <w:spacing w:line="360" w:lineRule="auto"/>
              <w:jc w:val="center"/>
              <w:rPr>
                <w:szCs w:val="21"/>
                <w:highlight w:val="none"/>
              </w:rPr>
            </w:pPr>
            <w:r>
              <w:rPr>
                <w:szCs w:val="21"/>
                <w:highlight w:val="none"/>
              </w:rPr>
              <w:t>52</w:t>
            </w:r>
          </w:p>
        </w:tc>
        <w:tc>
          <w:tcPr>
            <w:tcW w:w="689" w:type="pct"/>
            <w:vAlign w:val="center"/>
          </w:tcPr>
          <w:p>
            <w:pPr>
              <w:spacing w:line="360" w:lineRule="auto"/>
              <w:jc w:val="center"/>
              <w:rPr>
                <w:szCs w:val="21"/>
                <w:highlight w:val="none"/>
              </w:rPr>
            </w:pPr>
            <w:r>
              <w:rPr>
                <w:szCs w:val="21"/>
                <w:highlight w:val="none"/>
              </w:rPr>
              <w:t>76452</w:t>
            </w:r>
          </w:p>
        </w:tc>
        <w:tc>
          <w:tcPr>
            <w:tcW w:w="1375" w:type="pct"/>
            <w:vAlign w:val="center"/>
          </w:tcPr>
          <w:p>
            <w:pPr>
              <w:spacing w:line="360" w:lineRule="auto"/>
              <w:jc w:val="center"/>
              <w:rPr>
                <w:szCs w:val="21"/>
                <w:highlight w:val="none"/>
              </w:rPr>
            </w:pPr>
            <w:r>
              <w:rPr>
                <w:szCs w:val="21"/>
                <w:highlight w:val="none"/>
              </w:rPr>
              <w:t>水位、流量、输沙率</w:t>
            </w:r>
          </w:p>
        </w:tc>
        <w:tc>
          <w:tcPr>
            <w:tcW w:w="527" w:type="pct"/>
            <w:vAlign w:val="center"/>
          </w:tcPr>
          <w:p>
            <w:pPr>
              <w:spacing w:line="360" w:lineRule="auto"/>
              <w:jc w:val="center"/>
              <w:rPr>
                <w:szCs w:val="21"/>
                <w:highlight w:val="none"/>
              </w:rPr>
            </w:pPr>
            <w:r>
              <w:rPr>
                <w:szCs w:val="21"/>
                <w:highlight w:val="none"/>
              </w:rPr>
              <w:t>1969.6</w:t>
            </w:r>
          </w:p>
        </w:tc>
      </w:tr>
      <w:tr>
        <w:tblPrEx>
          <w:tblBorders>
            <w:top w:val="thinThickSmallGap" w:color="auto" w:sz="18" w:space="0"/>
            <w:left w:val="none" w:color="auto" w:sz="0" w:space="0"/>
            <w:bottom w:val="thickThinSmallGap" w:color="auto" w:sz="1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552" w:type="pct"/>
            <w:vAlign w:val="center"/>
          </w:tcPr>
          <w:p>
            <w:pPr>
              <w:spacing w:line="360" w:lineRule="auto"/>
              <w:jc w:val="center"/>
              <w:rPr>
                <w:szCs w:val="21"/>
                <w:highlight w:val="none"/>
              </w:rPr>
            </w:pPr>
            <w:r>
              <w:rPr>
                <w:szCs w:val="21"/>
                <w:highlight w:val="none"/>
              </w:rPr>
              <w:t>青衣江</w:t>
            </w:r>
          </w:p>
        </w:tc>
        <w:tc>
          <w:tcPr>
            <w:tcW w:w="618" w:type="pct"/>
            <w:vAlign w:val="center"/>
          </w:tcPr>
          <w:p>
            <w:pPr>
              <w:spacing w:line="360" w:lineRule="auto"/>
              <w:jc w:val="center"/>
              <w:rPr>
                <w:szCs w:val="21"/>
                <w:highlight w:val="none"/>
              </w:rPr>
            </w:pPr>
            <w:r>
              <w:rPr>
                <w:szCs w:val="21"/>
                <w:highlight w:val="none"/>
              </w:rPr>
              <w:t>夹江</w:t>
            </w:r>
          </w:p>
        </w:tc>
        <w:tc>
          <w:tcPr>
            <w:tcW w:w="412" w:type="pct"/>
            <w:vAlign w:val="center"/>
          </w:tcPr>
          <w:p>
            <w:pPr>
              <w:spacing w:line="360" w:lineRule="auto"/>
              <w:jc w:val="center"/>
              <w:rPr>
                <w:szCs w:val="21"/>
                <w:highlight w:val="none"/>
              </w:rPr>
            </w:pPr>
            <w:r>
              <w:rPr>
                <w:szCs w:val="21"/>
                <w:highlight w:val="none"/>
              </w:rPr>
              <w:t>水文</w:t>
            </w:r>
          </w:p>
        </w:tc>
        <w:tc>
          <w:tcPr>
            <w:tcW w:w="826" w:type="pct"/>
            <w:vAlign w:val="center"/>
          </w:tcPr>
          <w:p>
            <w:pPr>
              <w:spacing w:line="360" w:lineRule="auto"/>
              <w:jc w:val="center"/>
              <w:rPr>
                <w:szCs w:val="21"/>
                <w:highlight w:val="none"/>
              </w:rPr>
            </w:pPr>
            <w:r>
              <w:rPr>
                <w:szCs w:val="21"/>
                <w:highlight w:val="none"/>
              </w:rPr>
              <w:t>34</w:t>
            </w:r>
          </w:p>
        </w:tc>
        <w:tc>
          <w:tcPr>
            <w:tcW w:w="689" w:type="pct"/>
            <w:vAlign w:val="center"/>
          </w:tcPr>
          <w:p>
            <w:pPr>
              <w:spacing w:line="360" w:lineRule="auto"/>
              <w:jc w:val="center"/>
              <w:rPr>
                <w:szCs w:val="21"/>
                <w:highlight w:val="none"/>
              </w:rPr>
            </w:pPr>
            <w:r>
              <w:rPr>
                <w:szCs w:val="21"/>
                <w:highlight w:val="none"/>
              </w:rPr>
              <w:t>12588</w:t>
            </w:r>
          </w:p>
        </w:tc>
        <w:tc>
          <w:tcPr>
            <w:tcW w:w="1375" w:type="pct"/>
            <w:vAlign w:val="center"/>
          </w:tcPr>
          <w:p>
            <w:pPr>
              <w:spacing w:line="360" w:lineRule="auto"/>
              <w:jc w:val="center"/>
              <w:rPr>
                <w:szCs w:val="21"/>
                <w:highlight w:val="none"/>
              </w:rPr>
            </w:pPr>
            <w:r>
              <w:rPr>
                <w:szCs w:val="21"/>
                <w:highlight w:val="none"/>
              </w:rPr>
              <w:t>水位、流量、输沙率</w:t>
            </w:r>
          </w:p>
        </w:tc>
        <w:tc>
          <w:tcPr>
            <w:tcW w:w="527" w:type="pct"/>
            <w:vAlign w:val="center"/>
          </w:tcPr>
          <w:p>
            <w:pPr>
              <w:spacing w:line="360" w:lineRule="auto"/>
              <w:jc w:val="center"/>
              <w:rPr>
                <w:szCs w:val="21"/>
                <w:highlight w:val="none"/>
              </w:rPr>
            </w:pPr>
            <w:r>
              <w:rPr>
                <w:szCs w:val="21"/>
                <w:highlight w:val="none"/>
              </w:rPr>
              <w:t>1936.6</w:t>
            </w:r>
          </w:p>
        </w:tc>
      </w:tr>
      <w:tr>
        <w:tblPrEx>
          <w:tblBorders>
            <w:top w:val="thinThickSmallGap" w:color="auto" w:sz="18" w:space="0"/>
            <w:left w:val="none" w:color="auto" w:sz="0" w:space="0"/>
            <w:bottom w:val="thickThinSmallGap" w:color="auto" w:sz="1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552" w:type="pct"/>
            <w:vAlign w:val="center"/>
          </w:tcPr>
          <w:p>
            <w:pPr>
              <w:spacing w:line="360" w:lineRule="auto"/>
              <w:jc w:val="center"/>
              <w:rPr>
                <w:szCs w:val="21"/>
                <w:highlight w:val="none"/>
              </w:rPr>
            </w:pPr>
            <w:r>
              <w:rPr>
                <w:szCs w:val="21"/>
                <w:highlight w:val="none"/>
              </w:rPr>
              <w:t>马边河</w:t>
            </w:r>
          </w:p>
        </w:tc>
        <w:tc>
          <w:tcPr>
            <w:tcW w:w="618" w:type="pct"/>
            <w:vAlign w:val="center"/>
          </w:tcPr>
          <w:p>
            <w:pPr>
              <w:spacing w:line="360" w:lineRule="auto"/>
              <w:jc w:val="center"/>
              <w:rPr>
                <w:szCs w:val="21"/>
                <w:highlight w:val="none"/>
              </w:rPr>
            </w:pPr>
            <w:r>
              <w:rPr>
                <w:szCs w:val="21"/>
                <w:highlight w:val="none"/>
              </w:rPr>
              <w:t>马边</w:t>
            </w:r>
          </w:p>
        </w:tc>
        <w:tc>
          <w:tcPr>
            <w:tcW w:w="412" w:type="pct"/>
            <w:vAlign w:val="center"/>
          </w:tcPr>
          <w:p>
            <w:pPr>
              <w:spacing w:line="360" w:lineRule="auto"/>
              <w:jc w:val="center"/>
              <w:rPr>
                <w:szCs w:val="21"/>
                <w:highlight w:val="none"/>
              </w:rPr>
            </w:pPr>
            <w:r>
              <w:rPr>
                <w:szCs w:val="21"/>
                <w:highlight w:val="none"/>
              </w:rPr>
              <w:t>水文</w:t>
            </w:r>
          </w:p>
        </w:tc>
        <w:tc>
          <w:tcPr>
            <w:tcW w:w="826" w:type="pct"/>
            <w:vAlign w:val="center"/>
          </w:tcPr>
          <w:p>
            <w:pPr>
              <w:spacing w:line="360" w:lineRule="auto"/>
              <w:jc w:val="center"/>
              <w:rPr>
                <w:szCs w:val="21"/>
                <w:highlight w:val="none"/>
              </w:rPr>
            </w:pPr>
            <w:r>
              <w:rPr>
                <w:szCs w:val="21"/>
                <w:highlight w:val="none"/>
              </w:rPr>
              <w:t>112</w:t>
            </w:r>
          </w:p>
        </w:tc>
        <w:tc>
          <w:tcPr>
            <w:tcW w:w="689" w:type="pct"/>
            <w:vAlign w:val="center"/>
          </w:tcPr>
          <w:p>
            <w:pPr>
              <w:spacing w:line="360" w:lineRule="auto"/>
              <w:jc w:val="center"/>
              <w:rPr>
                <w:szCs w:val="21"/>
                <w:highlight w:val="none"/>
              </w:rPr>
            </w:pPr>
            <w:r>
              <w:rPr>
                <w:szCs w:val="21"/>
                <w:highlight w:val="none"/>
              </w:rPr>
              <w:t>1831</w:t>
            </w:r>
          </w:p>
        </w:tc>
        <w:tc>
          <w:tcPr>
            <w:tcW w:w="1375" w:type="pct"/>
            <w:vAlign w:val="center"/>
          </w:tcPr>
          <w:p>
            <w:pPr>
              <w:spacing w:line="360" w:lineRule="auto"/>
              <w:jc w:val="center"/>
              <w:rPr>
                <w:szCs w:val="21"/>
                <w:highlight w:val="none"/>
              </w:rPr>
            </w:pPr>
            <w:r>
              <w:rPr>
                <w:szCs w:val="21"/>
                <w:highlight w:val="none"/>
              </w:rPr>
              <w:t>水位、流量、输沙率</w:t>
            </w:r>
          </w:p>
        </w:tc>
        <w:tc>
          <w:tcPr>
            <w:tcW w:w="527" w:type="pct"/>
            <w:vAlign w:val="center"/>
          </w:tcPr>
          <w:p>
            <w:pPr>
              <w:spacing w:line="360" w:lineRule="auto"/>
              <w:jc w:val="center"/>
              <w:rPr>
                <w:szCs w:val="21"/>
                <w:highlight w:val="none"/>
              </w:rPr>
            </w:pPr>
            <w:r>
              <w:rPr>
                <w:szCs w:val="21"/>
                <w:highlight w:val="none"/>
              </w:rPr>
              <w:t>1956.12</w:t>
            </w:r>
          </w:p>
        </w:tc>
      </w:tr>
      <w:tr>
        <w:tblPrEx>
          <w:tblBorders>
            <w:top w:val="thinThickSmallGap" w:color="auto" w:sz="18" w:space="0"/>
            <w:left w:val="none" w:color="auto" w:sz="0" w:space="0"/>
            <w:bottom w:val="thickThinSmallGap" w:color="auto" w:sz="1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552" w:type="pct"/>
            <w:vAlign w:val="center"/>
          </w:tcPr>
          <w:p>
            <w:pPr>
              <w:spacing w:line="360" w:lineRule="auto"/>
              <w:jc w:val="center"/>
              <w:rPr>
                <w:szCs w:val="21"/>
                <w:highlight w:val="none"/>
              </w:rPr>
            </w:pPr>
            <w:r>
              <w:rPr>
                <w:szCs w:val="21"/>
                <w:highlight w:val="none"/>
              </w:rPr>
              <w:t>马边河</w:t>
            </w:r>
          </w:p>
        </w:tc>
        <w:tc>
          <w:tcPr>
            <w:tcW w:w="618" w:type="pct"/>
            <w:vAlign w:val="center"/>
          </w:tcPr>
          <w:p>
            <w:pPr>
              <w:spacing w:line="360" w:lineRule="auto"/>
              <w:jc w:val="center"/>
              <w:rPr>
                <w:szCs w:val="21"/>
                <w:highlight w:val="none"/>
              </w:rPr>
            </w:pPr>
            <w:r>
              <w:rPr>
                <w:szCs w:val="21"/>
                <w:highlight w:val="none"/>
              </w:rPr>
              <w:t>清水溪</w:t>
            </w:r>
          </w:p>
        </w:tc>
        <w:tc>
          <w:tcPr>
            <w:tcW w:w="412" w:type="pct"/>
            <w:vAlign w:val="center"/>
          </w:tcPr>
          <w:p>
            <w:pPr>
              <w:spacing w:line="360" w:lineRule="auto"/>
              <w:jc w:val="center"/>
              <w:rPr>
                <w:szCs w:val="21"/>
                <w:highlight w:val="none"/>
              </w:rPr>
            </w:pPr>
            <w:r>
              <w:rPr>
                <w:szCs w:val="21"/>
                <w:highlight w:val="none"/>
              </w:rPr>
              <w:t>水文</w:t>
            </w:r>
          </w:p>
        </w:tc>
        <w:tc>
          <w:tcPr>
            <w:tcW w:w="826" w:type="pct"/>
            <w:vAlign w:val="center"/>
          </w:tcPr>
          <w:p>
            <w:pPr>
              <w:spacing w:line="360" w:lineRule="auto"/>
              <w:jc w:val="center"/>
              <w:rPr>
                <w:szCs w:val="21"/>
                <w:highlight w:val="none"/>
              </w:rPr>
            </w:pPr>
            <w:r>
              <w:rPr>
                <w:szCs w:val="21"/>
                <w:highlight w:val="none"/>
              </w:rPr>
              <w:t>13</w:t>
            </w:r>
          </w:p>
        </w:tc>
        <w:tc>
          <w:tcPr>
            <w:tcW w:w="689" w:type="pct"/>
            <w:vAlign w:val="center"/>
          </w:tcPr>
          <w:p>
            <w:pPr>
              <w:spacing w:line="360" w:lineRule="auto"/>
              <w:jc w:val="center"/>
              <w:rPr>
                <w:szCs w:val="21"/>
                <w:highlight w:val="none"/>
              </w:rPr>
            </w:pPr>
            <w:r>
              <w:rPr>
                <w:szCs w:val="21"/>
                <w:highlight w:val="none"/>
              </w:rPr>
              <w:t>3330</w:t>
            </w:r>
          </w:p>
        </w:tc>
        <w:tc>
          <w:tcPr>
            <w:tcW w:w="1375" w:type="pct"/>
            <w:vAlign w:val="center"/>
          </w:tcPr>
          <w:p>
            <w:pPr>
              <w:spacing w:line="360" w:lineRule="auto"/>
              <w:jc w:val="center"/>
              <w:rPr>
                <w:szCs w:val="21"/>
                <w:highlight w:val="none"/>
              </w:rPr>
            </w:pPr>
            <w:r>
              <w:rPr>
                <w:szCs w:val="21"/>
                <w:highlight w:val="none"/>
              </w:rPr>
              <w:t>水位、流量、输沙率</w:t>
            </w:r>
          </w:p>
        </w:tc>
        <w:tc>
          <w:tcPr>
            <w:tcW w:w="527" w:type="pct"/>
            <w:vAlign w:val="center"/>
          </w:tcPr>
          <w:p>
            <w:pPr>
              <w:spacing w:line="360" w:lineRule="auto"/>
              <w:jc w:val="center"/>
              <w:rPr>
                <w:szCs w:val="21"/>
                <w:highlight w:val="none"/>
              </w:rPr>
            </w:pPr>
            <w:r>
              <w:rPr>
                <w:szCs w:val="21"/>
                <w:highlight w:val="none"/>
              </w:rPr>
              <w:t>1956.10</w:t>
            </w:r>
          </w:p>
        </w:tc>
      </w:tr>
    </w:tbl>
    <w:p>
      <w:pPr>
        <w:spacing w:line="360" w:lineRule="auto"/>
        <w:ind w:firstLine="560" w:firstLineChars="200"/>
        <w:rPr>
          <w:sz w:val="28"/>
          <w:szCs w:val="28"/>
          <w:highlight w:val="none"/>
        </w:rPr>
      </w:pPr>
      <w:r>
        <w:rPr>
          <w:sz w:val="28"/>
          <w:szCs w:val="28"/>
          <w:highlight w:val="none"/>
        </w:rPr>
        <w:t>2.径流特征</w:t>
      </w:r>
    </w:p>
    <w:p>
      <w:pPr>
        <w:spacing w:line="360" w:lineRule="auto"/>
        <w:ind w:firstLine="560" w:firstLineChars="200"/>
        <w:rPr>
          <w:sz w:val="28"/>
          <w:szCs w:val="28"/>
          <w:highlight w:val="none"/>
        </w:rPr>
      </w:pPr>
      <w:r>
        <w:rPr>
          <w:rFonts w:hint="eastAsia"/>
          <w:sz w:val="28"/>
          <w:szCs w:val="28"/>
          <w:highlight w:val="none"/>
        </w:rPr>
        <w:t>岷江乐山以上控制流域面积</w:t>
      </w:r>
      <w:r>
        <w:rPr>
          <w:sz w:val="28"/>
          <w:szCs w:val="28"/>
          <w:highlight w:val="none"/>
        </w:rPr>
        <w:t>12.5</w:t>
      </w:r>
      <w:r>
        <w:rPr>
          <w:rFonts w:hint="eastAsia"/>
          <w:sz w:val="28"/>
          <w:szCs w:val="28"/>
          <w:highlight w:val="none"/>
        </w:rPr>
        <w:t>万</w:t>
      </w:r>
      <w:r>
        <w:rPr>
          <w:sz w:val="28"/>
          <w:szCs w:val="28"/>
          <w:highlight w:val="none"/>
        </w:rPr>
        <w:t>km</w:t>
      </w:r>
      <w:r>
        <w:rPr>
          <w:sz w:val="28"/>
          <w:szCs w:val="28"/>
          <w:highlight w:val="none"/>
          <w:vertAlign w:val="superscript"/>
        </w:rPr>
        <w:t>2</w:t>
      </w:r>
      <w:r>
        <w:rPr>
          <w:rFonts w:hint="eastAsia"/>
          <w:sz w:val="28"/>
          <w:szCs w:val="28"/>
          <w:highlight w:val="none"/>
        </w:rPr>
        <w:t>，据五通桥水文站</w:t>
      </w:r>
      <w:r>
        <w:rPr>
          <w:sz w:val="28"/>
          <w:szCs w:val="28"/>
          <w:highlight w:val="none"/>
        </w:rPr>
        <w:t>1939</w:t>
      </w:r>
      <w:r>
        <w:rPr>
          <w:rFonts w:hint="eastAsia"/>
          <w:sz w:val="28"/>
          <w:szCs w:val="28"/>
          <w:highlight w:val="none"/>
        </w:rPr>
        <w:t>～</w:t>
      </w:r>
      <w:r>
        <w:rPr>
          <w:sz w:val="28"/>
          <w:szCs w:val="28"/>
          <w:highlight w:val="none"/>
        </w:rPr>
        <w:t>2005</w:t>
      </w:r>
      <w:r>
        <w:rPr>
          <w:rFonts w:hint="eastAsia"/>
          <w:sz w:val="28"/>
          <w:szCs w:val="28"/>
          <w:highlight w:val="none"/>
        </w:rPr>
        <w:t>年径流资料统计，多年平均流量</w:t>
      </w:r>
      <w:r>
        <w:rPr>
          <w:sz w:val="28"/>
          <w:szCs w:val="28"/>
          <w:highlight w:val="none"/>
        </w:rPr>
        <w:t>2510m</w:t>
      </w:r>
      <w:r>
        <w:rPr>
          <w:sz w:val="28"/>
          <w:szCs w:val="28"/>
          <w:highlight w:val="none"/>
          <w:vertAlign w:val="superscript"/>
        </w:rPr>
        <w:t>3</w:t>
      </w:r>
      <w:r>
        <w:rPr>
          <w:sz w:val="28"/>
          <w:szCs w:val="28"/>
          <w:highlight w:val="none"/>
        </w:rPr>
        <w:t>/s</w:t>
      </w:r>
      <w:r>
        <w:rPr>
          <w:rFonts w:hint="eastAsia"/>
          <w:sz w:val="28"/>
          <w:szCs w:val="28"/>
          <w:highlight w:val="none"/>
        </w:rPr>
        <w:t>，多年平均径流深</w:t>
      </w:r>
      <w:r>
        <w:rPr>
          <w:sz w:val="28"/>
          <w:szCs w:val="28"/>
          <w:highlight w:val="none"/>
        </w:rPr>
        <w:t>625.8mm</w:t>
      </w:r>
      <w:r>
        <w:rPr>
          <w:rFonts w:hint="eastAsia"/>
          <w:sz w:val="28"/>
          <w:szCs w:val="28"/>
          <w:highlight w:val="none"/>
        </w:rPr>
        <w:t>，折合年径流量</w:t>
      </w:r>
      <w:r>
        <w:rPr>
          <w:sz w:val="28"/>
          <w:szCs w:val="28"/>
          <w:highlight w:val="none"/>
        </w:rPr>
        <w:t>785</w:t>
      </w:r>
      <w:r>
        <w:rPr>
          <w:rFonts w:hint="eastAsia"/>
          <w:sz w:val="28"/>
          <w:szCs w:val="28"/>
          <w:highlight w:val="none"/>
        </w:rPr>
        <w:t>亿</w:t>
      </w:r>
      <w:r>
        <w:rPr>
          <w:sz w:val="28"/>
          <w:szCs w:val="28"/>
          <w:highlight w:val="none"/>
        </w:rPr>
        <w:t>m</w:t>
      </w:r>
      <w:r>
        <w:rPr>
          <w:sz w:val="28"/>
          <w:szCs w:val="28"/>
          <w:highlight w:val="none"/>
          <w:vertAlign w:val="superscript"/>
        </w:rPr>
        <w:t>3</w:t>
      </w:r>
      <w:r>
        <w:rPr>
          <w:rFonts w:hint="eastAsia"/>
          <w:sz w:val="28"/>
          <w:szCs w:val="28"/>
          <w:highlight w:val="none"/>
        </w:rPr>
        <w:t>。径流的年内分配与降雨的年内分配基本一致。丰水期</w:t>
      </w:r>
      <w:r>
        <w:rPr>
          <w:sz w:val="28"/>
          <w:szCs w:val="28"/>
          <w:highlight w:val="none"/>
        </w:rPr>
        <w:t>5</w:t>
      </w:r>
      <w:r>
        <w:rPr>
          <w:rFonts w:hint="eastAsia"/>
          <w:sz w:val="28"/>
          <w:szCs w:val="28"/>
          <w:highlight w:val="none"/>
        </w:rPr>
        <w:t>～</w:t>
      </w:r>
      <w:r>
        <w:rPr>
          <w:sz w:val="28"/>
          <w:szCs w:val="28"/>
          <w:highlight w:val="none"/>
        </w:rPr>
        <w:t>10</w:t>
      </w:r>
      <w:r>
        <w:rPr>
          <w:rFonts w:hint="eastAsia"/>
          <w:sz w:val="28"/>
          <w:szCs w:val="28"/>
          <w:highlight w:val="none"/>
        </w:rPr>
        <w:t>月，主要为降雨补给；枯水期</w:t>
      </w:r>
      <w:r>
        <w:rPr>
          <w:sz w:val="28"/>
          <w:szCs w:val="28"/>
          <w:highlight w:val="none"/>
        </w:rPr>
        <w:t>11</w:t>
      </w:r>
      <w:r>
        <w:rPr>
          <w:rFonts w:hint="eastAsia"/>
          <w:sz w:val="28"/>
          <w:szCs w:val="28"/>
          <w:highlight w:val="none"/>
        </w:rPr>
        <w:t>月～次年</w:t>
      </w:r>
      <w:r>
        <w:rPr>
          <w:sz w:val="28"/>
          <w:szCs w:val="28"/>
          <w:highlight w:val="none"/>
        </w:rPr>
        <w:t>4</w:t>
      </w:r>
      <w:r>
        <w:rPr>
          <w:rFonts w:hint="eastAsia"/>
          <w:sz w:val="28"/>
          <w:szCs w:val="28"/>
          <w:highlight w:val="none"/>
        </w:rPr>
        <w:t>月，主要由地下水和融雪水补给。径流在年内的分配不均匀，丰水期（</w:t>
      </w:r>
      <w:r>
        <w:rPr>
          <w:sz w:val="28"/>
          <w:szCs w:val="28"/>
          <w:highlight w:val="none"/>
        </w:rPr>
        <w:t>5</w:t>
      </w:r>
      <w:r>
        <w:rPr>
          <w:rFonts w:hint="eastAsia"/>
          <w:sz w:val="28"/>
          <w:szCs w:val="28"/>
          <w:highlight w:val="none"/>
        </w:rPr>
        <w:t>～</w:t>
      </w:r>
      <w:r>
        <w:rPr>
          <w:sz w:val="28"/>
          <w:szCs w:val="28"/>
          <w:highlight w:val="none"/>
        </w:rPr>
        <w:t>10</w:t>
      </w:r>
      <w:r>
        <w:rPr>
          <w:rFonts w:hint="eastAsia"/>
          <w:sz w:val="28"/>
          <w:szCs w:val="28"/>
          <w:highlight w:val="none"/>
        </w:rPr>
        <w:t>月）径流占年径流的</w:t>
      </w:r>
      <w:r>
        <w:rPr>
          <w:sz w:val="28"/>
          <w:szCs w:val="28"/>
          <w:highlight w:val="none"/>
        </w:rPr>
        <w:t>80.4%</w:t>
      </w:r>
      <w:r>
        <w:rPr>
          <w:rFonts w:hint="eastAsia"/>
          <w:sz w:val="28"/>
          <w:szCs w:val="28"/>
          <w:highlight w:val="none"/>
        </w:rPr>
        <w:t>，枯水期</w:t>
      </w:r>
      <w:r>
        <w:rPr>
          <w:sz w:val="28"/>
          <w:szCs w:val="28"/>
          <w:highlight w:val="none"/>
        </w:rPr>
        <w:t>11</w:t>
      </w:r>
      <w:r>
        <w:rPr>
          <w:rFonts w:hint="eastAsia"/>
          <w:sz w:val="28"/>
          <w:szCs w:val="28"/>
          <w:highlight w:val="none"/>
        </w:rPr>
        <w:t>月～翌年</w:t>
      </w:r>
      <w:r>
        <w:rPr>
          <w:sz w:val="28"/>
          <w:szCs w:val="28"/>
          <w:highlight w:val="none"/>
        </w:rPr>
        <w:t>4</w:t>
      </w:r>
      <w:r>
        <w:rPr>
          <w:rFonts w:hint="eastAsia"/>
          <w:sz w:val="28"/>
          <w:szCs w:val="28"/>
          <w:highlight w:val="none"/>
        </w:rPr>
        <w:t>月占年径流的</w:t>
      </w:r>
      <w:r>
        <w:rPr>
          <w:sz w:val="28"/>
          <w:szCs w:val="28"/>
          <w:highlight w:val="none"/>
        </w:rPr>
        <w:t>19.6%</w:t>
      </w:r>
      <w:r>
        <w:rPr>
          <w:rFonts w:hint="eastAsia"/>
          <w:sz w:val="28"/>
          <w:szCs w:val="28"/>
          <w:highlight w:val="none"/>
        </w:rPr>
        <w:t>。根据高场水文站</w:t>
      </w:r>
      <w:r>
        <w:rPr>
          <w:sz w:val="28"/>
          <w:szCs w:val="28"/>
          <w:highlight w:val="none"/>
        </w:rPr>
        <w:t>1939</w:t>
      </w:r>
      <w:r>
        <w:rPr>
          <w:rFonts w:hint="eastAsia"/>
          <w:sz w:val="28"/>
          <w:szCs w:val="28"/>
          <w:highlight w:val="none"/>
        </w:rPr>
        <w:t>～</w:t>
      </w:r>
      <w:r>
        <w:rPr>
          <w:sz w:val="28"/>
          <w:szCs w:val="28"/>
          <w:highlight w:val="none"/>
        </w:rPr>
        <w:t>2005</w:t>
      </w:r>
      <w:r>
        <w:rPr>
          <w:rFonts w:hint="eastAsia"/>
          <w:sz w:val="28"/>
          <w:szCs w:val="28"/>
          <w:highlight w:val="none"/>
        </w:rPr>
        <w:t>年共</w:t>
      </w:r>
      <w:r>
        <w:rPr>
          <w:sz w:val="28"/>
          <w:szCs w:val="28"/>
          <w:highlight w:val="none"/>
        </w:rPr>
        <w:t>63</w:t>
      </w:r>
      <w:r>
        <w:rPr>
          <w:rFonts w:hint="eastAsia"/>
          <w:sz w:val="28"/>
          <w:szCs w:val="28"/>
          <w:highlight w:val="none"/>
        </w:rPr>
        <w:t>年（水文年）资料统计，多年平均流量为</w:t>
      </w:r>
      <w:r>
        <w:rPr>
          <w:sz w:val="28"/>
          <w:szCs w:val="28"/>
          <w:highlight w:val="none"/>
        </w:rPr>
        <w:t>2790m</w:t>
      </w:r>
      <w:r>
        <w:rPr>
          <w:sz w:val="28"/>
          <w:szCs w:val="28"/>
          <w:highlight w:val="none"/>
          <w:vertAlign w:val="superscript"/>
        </w:rPr>
        <w:t>3</w:t>
      </w:r>
      <w:r>
        <w:rPr>
          <w:sz w:val="28"/>
          <w:szCs w:val="28"/>
          <w:highlight w:val="none"/>
        </w:rPr>
        <w:t>/s</w:t>
      </w:r>
      <w:r>
        <w:rPr>
          <w:rFonts w:hint="eastAsia"/>
          <w:sz w:val="28"/>
          <w:szCs w:val="28"/>
          <w:highlight w:val="none"/>
        </w:rPr>
        <w:t>，折合年水量</w:t>
      </w:r>
      <w:r>
        <w:rPr>
          <w:sz w:val="28"/>
          <w:szCs w:val="28"/>
          <w:highlight w:val="none"/>
        </w:rPr>
        <w:t>880</w:t>
      </w:r>
      <w:r>
        <w:rPr>
          <w:rFonts w:hint="eastAsia"/>
          <w:sz w:val="28"/>
          <w:szCs w:val="28"/>
          <w:highlight w:val="none"/>
        </w:rPr>
        <w:t>亿</w:t>
      </w:r>
      <w:r>
        <w:rPr>
          <w:sz w:val="28"/>
          <w:szCs w:val="28"/>
          <w:highlight w:val="none"/>
        </w:rPr>
        <w:t>m</w:t>
      </w:r>
      <w:r>
        <w:rPr>
          <w:sz w:val="28"/>
          <w:szCs w:val="28"/>
          <w:highlight w:val="none"/>
          <w:vertAlign w:val="superscript"/>
        </w:rPr>
        <w:t>3</w:t>
      </w:r>
      <w:r>
        <w:rPr>
          <w:rFonts w:hint="eastAsia"/>
          <w:sz w:val="28"/>
          <w:szCs w:val="28"/>
          <w:highlight w:val="none"/>
        </w:rPr>
        <w:t>，多年平均径流量为</w:t>
      </w:r>
      <w:r>
        <w:rPr>
          <w:sz w:val="28"/>
          <w:szCs w:val="28"/>
          <w:highlight w:val="none"/>
        </w:rPr>
        <w:t>649.9mm</w:t>
      </w:r>
      <w:r>
        <w:rPr>
          <w:rFonts w:hint="eastAsia"/>
          <w:sz w:val="28"/>
          <w:szCs w:val="28"/>
          <w:highlight w:val="none"/>
        </w:rPr>
        <w:t>。</w:t>
      </w:r>
      <w:r>
        <w:rPr>
          <w:sz w:val="28"/>
          <w:szCs w:val="28"/>
          <w:highlight w:val="none"/>
        </w:rPr>
        <w:t>5</w:t>
      </w:r>
      <w:r>
        <w:rPr>
          <w:rFonts w:hint="eastAsia"/>
          <w:sz w:val="28"/>
          <w:szCs w:val="28"/>
          <w:highlight w:val="none"/>
        </w:rPr>
        <w:t>～</w:t>
      </w:r>
      <w:r>
        <w:rPr>
          <w:sz w:val="28"/>
          <w:szCs w:val="28"/>
          <w:highlight w:val="none"/>
        </w:rPr>
        <w:t>10</w:t>
      </w:r>
      <w:r>
        <w:rPr>
          <w:rFonts w:hint="eastAsia"/>
          <w:sz w:val="28"/>
          <w:szCs w:val="28"/>
          <w:highlight w:val="none"/>
        </w:rPr>
        <w:t>月为丰水期，占全年水量的</w:t>
      </w:r>
      <w:r>
        <w:rPr>
          <w:sz w:val="28"/>
          <w:szCs w:val="28"/>
          <w:highlight w:val="none"/>
        </w:rPr>
        <w:t>80.7%</w:t>
      </w:r>
      <w:r>
        <w:rPr>
          <w:rFonts w:hint="eastAsia"/>
          <w:sz w:val="28"/>
          <w:szCs w:val="28"/>
          <w:highlight w:val="none"/>
        </w:rPr>
        <w:t>，尤以</w:t>
      </w:r>
      <w:r>
        <w:rPr>
          <w:sz w:val="28"/>
          <w:szCs w:val="28"/>
          <w:highlight w:val="none"/>
        </w:rPr>
        <w:t>7</w:t>
      </w:r>
      <w:r>
        <w:rPr>
          <w:rFonts w:hint="eastAsia"/>
          <w:sz w:val="28"/>
          <w:szCs w:val="28"/>
          <w:highlight w:val="none"/>
        </w:rPr>
        <w:t>～</w:t>
      </w:r>
      <w:r>
        <w:rPr>
          <w:sz w:val="28"/>
          <w:szCs w:val="28"/>
          <w:highlight w:val="none"/>
        </w:rPr>
        <w:t>9</w:t>
      </w:r>
      <w:r>
        <w:rPr>
          <w:rFonts w:hint="eastAsia"/>
          <w:sz w:val="28"/>
          <w:szCs w:val="28"/>
          <w:highlight w:val="none"/>
        </w:rPr>
        <w:t>月更为集中，占全年水量的</w:t>
      </w:r>
      <w:r>
        <w:rPr>
          <w:sz w:val="28"/>
          <w:szCs w:val="28"/>
          <w:highlight w:val="none"/>
        </w:rPr>
        <w:t>52.2%</w:t>
      </w:r>
      <w:r>
        <w:rPr>
          <w:rFonts w:hint="eastAsia"/>
          <w:sz w:val="28"/>
          <w:szCs w:val="28"/>
          <w:highlight w:val="none"/>
        </w:rPr>
        <w:t>。枯水期</w:t>
      </w:r>
      <w:r>
        <w:rPr>
          <w:sz w:val="28"/>
          <w:szCs w:val="28"/>
          <w:highlight w:val="none"/>
        </w:rPr>
        <w:t>11</w:t>
      </w:r>
      <w:r>
        <w:rPr>
          <w:rFonts w:hint="eastAsia"/>
          <w:sz w:val="28"/>
          <w:szCs w:val="28"/>
          <w:highlight w:val="none"/>
        </w:rPr>
        <w:t>月～翌年</w:t>
      </w:r>
      <w:r>
        <w:rPr>
          <w:sz w:val="28"/>
          <w:szCs w:val="28"/>
          <w:highlight w:val="none"/>
        </w:rPr>
        <w:t>4</w:t>
      </w:r>
      <w:r>
        <w:rPr>
          <w:rFonts w:hint="eastAsia"/>
          <w:sz w:val="28"/>
          <w:szCs w:val="28"/>
          <w:highlight w:val="none"/>
        </w:rPr>
        <w:t>月仅占年水量的</w:t>
      </w:r>
      <w:r>
        <w:rPr>
          <w:sz w:val="28"/>
          <w:szCs w:val="28"/>
          <w:highlight w:val="none"/>
        </w:rPr>
        <w:t>19.3%</w:t>
      </w:r>
      <w:r>
        <w:rPr>
          <w:rFonts w:hint="eastAsia"/>
          <w:sz w:val="28"/>
          <w:szCs w:val="28"/>
          <w:highlight w:val="none"/>
        </w:rPr>
        <w:t>。</w:t>
      </w:r>
    </w:p>
    <w:p>
      <w:pPr>
        <w:spacing w:line="360" w:lineRule="auto"/>
        <w:ind w:firstLine="560" w:firstLineChars="200"/>
        <w:rPr>
          <w:sz w:val="28"/>
          <w:szCs w:val="28"/>
          <w:highlight w:val="none"/>
        </w:rPr>
      </w:pPr>
      <w:r>
        <w:rPr>
          <w:sz w:val="28"/>
          <w:szCs w:val="28"/>
          <w:highlight w:val="none"/>
        </w:rPr>
        <w:t>3.洪水特征</w:t>
      </w:r>
    </w:p>
    <w:p>
      <w:pPr>
        <w:ind w:firstLine="560" w:firstLineChars="200"/>
        <w:rPr>
          <w:sz w:val="28"/>
          <w:szCs w:val="28"/>
          <w:highlight w:val="none"/>
        </w:rPr>
      </w:pPr>
      <w:r>
        <w:rPr>
          <w:rFonts w:hint="eastAsia"/>
          <w:sz w:val="28"/>
          <w:szCs w:val="28"/>
          <w:highlight w:val="none"/>
        </w:rPr>
        <w:t>岷江中、下游汛期洪水，主要由暴雨形成，洪水发生时间与暴雨同步，洪水量级的大小受鹿头山暴雨和青衣江暴雨的影响。历史资料显示，岷江流域暴雨多出现在</w:t>
      </w:r>
      <w:r>
        <w:rPr>
          <w:sz w:val="28"/>
          <w:szCs w:val="28"/>
          <w:highlight w:val="none"/>
        </w:rPr>
        <w:t>5</w:t>
      </w:r>
      <w:r>
        <w:rPr>
          <w:rFonts w:hint="eastAsia"/>
          <w:sz w:val="28"/>
          <w:szCs w:val="28"/>
          <w:highlight w:val="none"/>
        </w:rPr>
        <w:t>～</w:t>
      </w:r>
      <w:r>
        <w:rPr>
          <w:sz w:val="28"/>
          <w:szCs w:val="28"/>
          <w:highlight w:val="none"/>
        </w:rPr>
        <w:t>9</w:t>
      </w:r>
      <w:r>
        <w:rPr>
          <w:rFonts w:hint="eastAsia"/>
          <w:sz w:val="28"/>
          <w:szCs w:val="28"/>
          <w:highlight w:val="none"/>
        </w:rPr>
        <w:t>月，大暴雨出现时间，上游多在</w:t>
      </w:r>
      <w:r>
        <w:rPr>
          <w:sz w:val="28"/>
          <w:szCs w:val="28"/>
          <w:highlight w:val="none"/>
        </w:rPr>
        <w:t>6</w:t>
      </w:r>
      <w:r>
        <w:rPr>
          <w:rFonts w:hint="eastAsia"/>
          <w:sz w:val="28"/>
          <w:szCs w:val="28"/>
          <w:highlight w:val="none"/>
        </w:rPr>
        <w:t>～</w:t>
      </w:r>
      <w:r>
        <w:rPr>
          <w:sz w:val="28"/>
          <w:szCs w:val="28"/>
          <w:highlight w:val="none"/>
        </w:rPr>
        <w:t>7</w:t>
      </w:r>
      <w:r>
        <w:rPr>
          <w:rFonts w:hint="eastAsia"/>
          <w:sz w:val="28"/>
          <w:szCs w:val="28"/>
          <w:highlight w:val="none"/>
        </w:rPr>
        <w:t>月，中下游多在</w:t>
      </w:r>
      <w:r>
        <w:rPr>
          <w:sz w:val="28"/>
          <w:szCs w:val="28"/>
          <w:highlight w:val="none"/>
        </w:rPr>
        <w:t>7</w:t>
      </w:r>
      <w:r>
        <w:rPr>
          <w:rFonts w:hint="eastAsia"/>
          <w:sz w:val="28"/>
          <w:szCs w:val="28"/>
          <w:highlight w:val="none"/>
        </w:rPr>
        <w:t>～</w:t>
      </w:r>
      <w:r>
        <w:rPr>
          <w:sz w:val="28"/>
          <w:szCs w:val="28"/>
          <w:highlight w:val="none"/>
        </w:rPr>
        <w:t>8</w:t>
      </w:r>
      <w:r>
        <w:rPr>
          <w:rFonts w:hint="eastAsia"/>
          <w:sz w:val="28"/>
          <w:szCs w:val="28"/>
          <w:highlight w:val="none"/>
        </w:rPr>
        <w:t>月。岷江干流下游洪峰持续历时为半天左右。岷江流域内一次洪水的历时较长，洪水过程线多复峰。据五通桥站</w:t>
      </w:r>
      <w:r>
        <w:rPr>
          <w:sz w:val="28"/>
          <w:szCs w:val="28"/>
          <w:highlight w:val="none"/>
        </w:rPr>
        <w:t>1966</w:t>
      </w:r>
      <w:r>
        <w:rPr>
          <w:rFonts w:hint="eastAsia"/>
          <w:sz w:val="28"/>
          <w:szCs w:val="28"/>
          <w:highlight w:val="none"/>
        </w:rPr>
        <w:t>、</w:t>
      </w:r>
      <w:r>
        <w:rPr>
          <w:sz w:val="28"/>
          <w:szCs w:val="28"/>
          <w:highlight w:val="none"/>
        </w:rPr>
        <w:t>1975</w:t>
      </w:r>
      <w:r>
        <w:rPr>
          <w:rFonts w:hint="eastAsia"/>
          <w:sz w:val="28"/>
          <w:szCs w:val="28"/>
          <w:highlight w:val="none"/>
        </w:rPr>
        <w:t>、</w:t>
      </w:r>
      <w:r>
        <w:rPr>
          <w:sz w:val="28"/>
          <w:szCs w:val="28"/>
          <w:highlight w:val="none"/>
        </w:rPr>
        <w:t>1981</w:t>
      </w:r>
      <w:r>
        <w:rPr>
          <w:rFonts w:hint="eastAsia"/>
          <w:sz w:val="28"/>
          <w:szCs w:val="28"/>
          <w:highlight w:val="none"/>
        </w:rPr>
        <w:t>等年大洪水资料分析，一次洪水历时一般</w:t>
      </w:r>
      <w:r>
        <w:rPr>
          <w:sz w:val="28"/>
          <w:szCs w:val="28"/>
          <w:highlight w:val="none"/>
        </w:rPr>
        <w:t>6</w:t>
      </w:r>
      <w:r>
        <w:rPr>
          <w:rFonts w:hint="eastAsia"/>
          <w:sz w:val="28"/>
          <w:szCs w:val="28"/>
          <w:highlight w:val="none"/>
        </w:rPr>
        <w:t>～</w:t>
      </w:r>
      <w:r>
        <w:rPr>
          <w:sz w:val="28"/>
          <w:szCs w:val="28"/>
          <w:highlight w:val="none"/>
        </w:rPr>
        <w:t>16</w:t>
      </w:r>
      <w:r>
        <w:rPr>
          <w:rFonts w:hint="eastAsia"/>
          <w:sz w:val="28"/>
          <w:szCs w:val="28"/>
          <w:highlight w:val="none"/>
        </w:rPr>
        <w:t>天，峰顶历时</w:t>
      </w:r>
      <w:r>
        <w:rPr>
          <w:sz w:val="28"/>
          <w:szCs w:val="28"/>
          <w:highlight w:val="none"/>
        </w:rPr>
        <w:t>3</w:t>
      </w:r>
      <w:r>
        <w:rPr>
          <w:rFonts w:hint="eastAsia"/>
          <w:sz w:val="28"/>
          <w:szCs w:val="28"/>
          <w:highlight w:val="none"/>
        </w:rPr>
        <w:t>～</w:t>
      </w:r>
      <w:r>
        <w:rPr>
          <w:sz w:val="28"/>
          <w:szCs w:val="28"/>
          <w:highlight w:val="none"/>
        </w:rPr>
        <w:t>4h</w:t>
      </w:r>
      <w:r>
        <w:rPr>
          <w:rFonts w:hint="eastAsia"/>
          <w:sz w:val="28"/>
          <w:szCs w:val="28"/>
          <w:highlight w:val="none"/>
        </w:rPr>
        <w:t>，其中，流量在</w:t>
      </w:r>
      <w:r>
        <w:rPr>
          <w:sz w:val="28"/>
          <w:szCs w:val="28"/>
          <w:highlight w:val="none"/>
        </w:rPr>
        <w:t>20000m</w:t>
      </w:r>
      <w:r>
        <w:rPr>
          <w:sz w:val="28"/>
          <w:szCs w:val="28"/>
          <w:highlight w:val="none"/>
          <w:vertAlign w:val="superscript"/>
        </w:rPr>
        <w:t>3</w:t>
      </w:r>
      <w:r>
        <w:rPr>
          <w:sz w:val="28"/>
          <w:szCs w:val="28"/>
          <w:highlight w:val="none"/>
        </w:rPr>
        <w:t>/s</w:t>
      </w:r>
      <w:r>
        <w:rPr>
          <w:rFonts w:hint="eastAsia"/>
          <w:sz w:val="28"/>
          <w:szCs w:val="28"/>
          <w:highlight w:val="none"/>
        </w:rPr>
        <w:t>以上的持续时间</w:t>
      </w:r>
      <w:r>
        <w:rPr>
          <w:sz w:val="28"/>
          <w:szCs w:val="28"/>
          <w:highlight w:val="none"/>
        </w:rPr>
        <w:t>11</w:t>
      </w:r>
      <w:r>
        <w:rPr>
          <w:rFonts w:hint="eastAsia"/>
          <w:sz w:val="28"/>
          <w:szCs w:val="28"/>
          <w:highlight w:val="none"/>
        </w:rPr>
        <w:t>～</w:t>
      </w:r>
      <w:r>
        <w:rPr>
          <w:sz w:val="28"/>
          <w:szCs w:val="28"/>
          <w:highlight w:val="none"/>
        </w:rPr>
        <w:t>21h</w:t>
      </w:r>
      <w:r>
        <w:rPr>
          <w:rFonts w:hint="eastAsia"/>
          <w:sz w:val="28"/>
          <w:szCs w:val="28"/>
          <w:highlight w:val="none"/>
        </w:rPr>
        <w:t>；据高场站</w:t>
      </w:r>
      <w:r>
        <w:rPr>
          <w:sz w:val="28"/>
          <w:szCs w:val="28"/>
          <w:highlight w:val="none"/>
        </w:rPr>
        <w:t>1961</w:t>
      </w:r>
      <w:r>
        <w:rPr>
          <w:rFonts w:hint="eastAsia"/>
          <w:sz w:val="28"/>
          <w:szCs w:val="28"/>
          <w:highlight w:val="none"/>
        </w:rPr>
        <w:t>、</w:t>
      </w:r>
      <w:r>
        <w:rPr>
          <w:sz w:val="28"/>
          <w:szCs w:val="28"/>
          <w:highlight w:val="none"/>
        </w:rPr>
        <w:t>1975</w:t>
      </w:r>
      <w:r>
        <w:rPr>
          <w:rFonts w:hint="eastAsia"/>
          <w:sz w:val="28"/>
          <w:szCs w:val="28"/>
          <w:highlight w:val="none"/>
        </w:rPr>
        <w:t>、</w:t>
      </w:r>
      <w:r>
        <w:rPr>
          <w:sz w:val="28"/>
          <w:szCs w:val="28"/>
          <w:highlight w:val="none"/>
        </w:rPr>
        <w:t>1981</w:t>
      </w:r>
      <w:r>
        <w:rPr>
          <w:rFonts w:hint="eastAsia"/>
          <w:sz w:val="28"/>
          <w:szCs w:val="28"/>
          <w:highlight w:val="none"/>
        </w:rPr>
        <w:t>等年大洪水资料分析，一次洪水历时一般</w:t>
      </w:r>
      <w:r>
        <w:rPr>
          <w:sz w:val="28"/>
          <w:szCs w:val="28"/>
          <w:highlight w:val="none"/>
        </w:rPr>
        <w:t>7</w:t>
      </w:r>
      <w:r>
        <w:rPr>
          <w:rFonts w:hint="eastAsia"/>
          <w:sz w:val="28"/>
          <w:szCs w:val="28"/>
          <w:highlight w:val="none"/>
        </w:rPr>
        <w:t>～</w:t>
      </w:r>
      <w:r>
        <w:rPr>
          <w:sz w:val="28"/>
          <w:szCs w:val="28"/>
          <w:highlight w:val="none"/>
        </w:rPr>
        <w:t>21</w:t>
      </w:r>
      <w:r>
        <w:rPr>
          <w:rFonts w:hint="eastAsia"/>
          <w:sz w:val="28"/>
          <w:szCs w:val="28"/>
          <w:highlight w:val="none"/>
        </w:rPr>
        <w:t>天，峰顶历时</w:t>
      </w:r>
      <w:r>
        <w:rPr>
          <w:sz w:val="28"/>
          <w:szCs w:val="28"/>
          <w:highlight w:val="none"/>
        </w:rPr>
        <w:t>5</w:t>
      </w:r>
      <w:r>
        <w:rPr>
          <w:rFonts w:hint="eastAsia"/>
          <w:sz w:val="28"/>
          <w:szCs w:val="28"/>
          <w:highlight w:val="none"/>
        </w:rPr>
        <w:t>～</w:t>
      </w:r>
      <w:r>
        <w:rPr>
          <w:sz w:val="28"/>
          <w:szCs w:val="28"/>
          <w:highlight w:val="none"/>
        </w:rPr>
        <w:t>6h</w:t>
      </w:r>
      <w:r>
        <w:rPr>
          <w:rFonts w:hint="eastAsia"/>
          <w:sz w:val="28"/>
          <w:szCs w:val="28"/>
          <w:highlight w:val="none"/>
        </w:rPr>
        <w:t>。年最大流量的年际变化较大，实测年最大洪峰流量与最小流量之比高达</w:t>
      </w:r>
      <w:r>
        <w:rPr>
          <w:sz w:val="28"/>
          <w:szCs w:val="28"/>
          <w:highlight w:val="none"/>
        </w:rPr>
        <w:t>4.2</w:t>
      </w:r>
      <w:r>
        <w:rPr>
          <w:rFonts w:hint="eastAsia"/>
          <w:sz w:val="28"/>
          <w:szCs w:val="28"/>
          <w:highlight w:val="none"/>
        </w:rPr>
        <w:t>（高场站）。</w:t>
      </w:r>
    </w:p>
    <w:p>
      <w:pPr>
        <w:spacing w:line="360" w:lineRule="auto"/>
        <w:ind w:firstLine="562" w:firstLineChars="200"/>
        <w:rPr>
          <w:b/>
          <w:sz w:val="28"/>
          <w:szCs w:val="28"/>
          <w:highlight w:val="none"/>
        </w:rPr>
      </w:pPr>
      <w:r>
        <w:rPr>
          <w:b/>
          <w:sz w:val="28"/>
          <w:szCs w:val="28"/>
          <w:highlight w:val="none"/>
        </w:rPr>
        <w:t>（三）设计洪水</w:t>
      </w:r>
    </w:p>
    <w:p>
      <w:pPr>
        <w:ind w:firstLine="560"/>
        <w:jc w:val="left"/>
        <w:rPr>
          <w:sz w:val="28"/>
          <w:szCs w:val="28"/>
          <w:highlight w:val="none"/>
        </w:rPr>
      </w:pPr>
      <w:r>
        <w:rPr>
          <w:sz w:val="28"/>
          <w:szCs w:val="28"/>
          <w:highlight w:val="none"/>
        </w:rPr>
        <w:t>流域内相关梯级规划设计时曾对岷江干流及其主要支流上的水文站进行过详细的洪水分析，摘录各相关水文站设计洪水成果见表1.2-3，摘录各相关梯级设计洪水成果见表1.2-4。</w:t>
      </w:r>
    </w:p>
    <w:p>
      <w:pPr>
        <w:snapToGrid w:val="0"/>
        <w:ind w:firstLine="482"/>
        <w:jc w:val="center"/>
        <w:rPr>
          <w:rFonts w:eastAsia="黑体"/>
          <w:sz w:val="28"/>
          <w:szCs w:val="28"/>
          <w:highlight w:val="none"/>
        </w:rPr>
      </w:pPr>
      <w:r>
        <w:rPr>
          <w:rFonts w:eastAsia="黑体"/>
          <w:sz w:val="28"/>
          <w:szCs w:val="28"/>
          <w:highlight w:val="none"/>
        </w:rPr>
        <w:t>表1.2-3 相关水文站设计洪水成果表</w:t>
      </w:r>
    </w:p>
    <w:tbl>
      <w:tblPr>
        <w:tblStyle w:val="32"/>
        <w:tblW w:w="5000" w:type="pct"/>
        <w:tblInd w:w="0" w:type="dxa"/>
        <w:tblBorders>
          <w:top w:val="thinThickSmallGap" w:color="auto" w:sz="18" w:space="0"/>
          <w:left w:val="none" w:color="auto" w:sz="0" w:space="0"/>
          <w:bottom w:val="thickThinSmallGap" w:color="auto" w:sz="18" w:space="0"/>
          <w:right w:val="none" w:color="auto" w:sz="0"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301"/>
        <w:gridCol w:w="1302"/>
        <w:gridCol w:w="1137"/>
        <w:gridCol w:w="1137"/>
        <w:gridCol w:w="1137"/>
        <w:gridCol w:w="969"/>
        <w:gridCol w:w="2303"/>
      </w:tblGrid>
      <w:tr>
        <w:tblPrEx>
          <w:tblBorders>
            <w:top w:val="thinThickSmallGap" w:color="auto" w:sz="18" w:space="0"/>
            <w:left w:val="none" w:color="auto" w:sz="0" w:space="0"/>
            <w:bottom w:val="thickThinSmallGap" w:color="auto"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01" w:type="pct"/>
            <w:vMerge w:val="restart"/>
            <w:vAlign w:val="center"/>
          </w:tcPr>
          <w:p>
            <w:pPr>
              <w:pStyle w:val="2"/>
              <w:jc w:val="center"/>
              <w:rPr>
                <w:rFonts w:ascii="Times New Roman" w:cs="Times New Roman"/>
                <w:color w:val="auto"/>
                <w:highlight w:val="none"/>
              </w:rPr>
            </w:pPr>
            <w:r>
              <w:rPr>
                <w:rFonts w:ascii="Times New Roman" w:cs="Times New Roman"/>
                <w:color w:val="auto"/>
                <w:highlight w:val="none"/>
              </w:rPr>
              <w:t>河流</w:t>
            </w:r>
          </w:p>
        </w:tc>
        <w:tc>
          <w:tcPr>
            <w:tcW w:w="701" w:type="pct"/>
            <w:vMerge w:val="restart"/>
            <w:vAlign w:val="center"/>
          </w:tcPr>
          <w:p>
            <w:pPr>
              <w:pStyle w:val="2"/>
              <w:jc w:val="center"/>
              <w:rPr>
                <w:rFonts w:ascii="Times New Roman" w:cs="Times New Roman"/>
                <w:color w:val="auto"/>
                <w:highlight w:val="none"/>
              </w:rPr>
            </w:pPr>
            <w:r>
              <w:rPr>
                <w:rFonts w:ascii="Times New Roman" w:cs="Times New Roman"/>
                <w:color w:val="auto"/>
                <w:highlight w:val="none"/>
              </w:rPr>
              <w:t>水文站</w:t>
            </w:r>
          </w:p>
        </w:tc>
        <w:tc>
          <w:tcPr>
            <w:tcW w:w="2358" w:type="pct"/>
            <w:gridSpan w:val="4"/>
            <w:vAlign w:val="center"/>
          </w:tcPr>
          <w:p>
            <w:pPr>
              <w:pStyle w:val="2"/>
              <w:jc w:val="center"/>
              <w:rPr>
                <w:rFonts w:ascii="Times New Roman" w:cs="Times New Roman"/>
                <w:color w:val="auto"/>
                <w:highlight w:val="none"/>
              </w:rPr>
            </w:pPr>
            <w:r>
              <w:rPr>
                <w:rFonts w:ascii="Times New Roman" w:cs="Times New Roman"/>
                <w:color w:val="auto"/>
                <w:highlight w:val="none"/>
              </w:rPr>
              <w:t>设计流量（m</w:t>
            </w:r>
            <w:r>
              <w:rPr>
                <w:rFonts w:ascii="Times New Roman" w:cs="Times New Roman"/>
                <w:color w:val="auto"/>
                <w:highlight w:val="none"/>
                <w:vertAlign w:val="superscript"/>
              </w:rPr>
              <w:t>3</w:t>
            </w:r>
            <w:r>
              <w:rPr>
                <w:rFonts w:ascii="Times New Roman" w:cs="Times New Roman"/>
                <w:color w:val="auto"/>
                <w:highlight w:val="none"/>
              </w:rPr>
              <w:t>/s）</w:t>
            </w:r>
          </w:p>
        </w:tc>
        <w:tc>
          <w:tcPr>
            <w:tcW w:w="1240" w:type="pct"/>
            <w:vMerge w:val="restart"/>
          </w:tcPr>
          <w:p>
            <w:pPr>
              <w:pStyle w:val="2"/>
              <w:jc w:val="center"/>
              <w:rPr>
                <w:rFonts w:ascii="Times New Roman" w:cs="Times New Roman"/>
                <w:color w:val="auto"/>
                <w:highlight w:val="none"/>
              </w:rPr>
            </w:pPr>
            <w:r>
              <w:rPr>
                <w:rFonts w:ascii="Times New Roman" w:cs="Times New Roman"/>
                <w:color w:val="auto"/>
                <w:highlight w:val="none"/>
              </w:rPr>
              <w:t>成果来源</w:t>
            </w:r>
          </w:p>
        </w:tc>
      </w:tr>
      <w:tr>
        <w:tblPrEx>
          <w:tblBorders>
            <w:top w:val="thinThickSmallGap" w:color="auto" w:sz="18" w:space="0"/>
            <w:left w:val="none" w:color="auto" w:sz="0" w:space="0"/>
            <w:bottom w:val="thickThinSmallGap" w:color="auto"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01" w:type="pct"/>
            <w:vMerge w:val="continue"/>
            <w:vAlign w:val="center"/>
          </w:tcPr>
          <w:p>
            <w:pPr>
              <w:pStyle w:val="2"/>
              <w:jc w:val="center"/>
              <w:rPr>
                <w:rFonts w:ascii="Times New Roman" w:cs="Times New Roman"/>
                <w:color w:val="auto"/>
                <w:highlight w:val="none"/>
              </w:rPr>
            </w:pPr>
          </w:p>
        </w:tc>
        <w:tc>
          <w:tcPr>
            <w:tcW w:w="701" w:type="pct"/>
            <w:vMerge w:val="continue"/>
            <w:vAlign w:val="center"/>
          </w:tcPr>
          <w:p>
            <w:pPr>
              <w:pStyle w:val="2"/>
              <w:jc w:val="center"/>
              <w:rPr>
                <w:rFonts w:ascii="Times New Roman" w:cs="Times New Roman"/>
                <w:color w:val="auto"/>
                <w:highlight w:val="none"/>
              </w:rPr>
            </w:pPr>
          </w:p>
        </w:tc>
        <w:tc>
          <w:tcPr>
            <w:tcW w:w="612" w:type="pct"/>
            <w:vAlign w:val="center"/>
          </w:tcPr>
          <w:p>
            <w:pPr>
              <w:pStyle w:val="2"/>
              <w:jc w:val="center"/>
              <w:rPr>
                <w:rFonts w:ascii="Times New Roman" w:cs="Times New Roman"/>
                <w:color w:val="auto"/>
                <w:highlight w:val="none"/>
              </w:rPr>
            </w:pPr>
            <w:r>
              <w:rPr>
                <w:rFonts w:ascii="Times New Roman" w:cs="Times New Roman"/>
                <w:color w:val="auto"/>
                <w:highlight w:val="none"/>
              </w:rPr>
              <w:t>5%</w:t>
            </w:r>
          </w:p>
        </w:tc>
        <w:tc>
          <w:tcPr>
            <w:tcW w:w="612" w:type="pct"/>
            <w:vAlign w:val="center"/>
          </w:tcPr>
          <w:p>
            <w:pPr>
              <w:pStyle w:val="2"/>
              <w:jc w:val="center"/>
              <w:rPr>
                <w:rFonts w:ascii="Times New Roman" w:cs="Times New Roman"/>
                <w:color w:val="auto"/>
                <w:highlight w:val="none"/>
              </w:rPr>
            </w:pPr>
            <w:r>
              <w:rPr>
                <w:rFonts w:ascii="Times New Roman" w:cs="Times New Roman"/>
                <w:color w:val="auto"/>
                <w:highlight w:val="none"/>
              </w:rPr>
              <w:t>10%</w:t>
            </w:r>
          </w:p>
        </w:tc>
        <w:tc>
          <w:tcPr>
            <w:tcW w:w="612" w:type="pct"/>
            <w:vAlign w:val="center"/>
          </w:tcPr>
          <w:p>
            <w:pPr>
              <w:pStyle w:val="2"/>
              <w:jc w:val="center"/>
              <w:rPr>
                <w:rFonts w:ascii="Times New Roman" w:cs="Times New Roman"/>
                <w:color w:val="auto"/>
                <w:highlight w:val="none"/>
              </w:rPr>
            </w:pPr>
            <w:r>
              <w:rPr>
                <w:rFonts w:ascii="Times New Roman" w:cs="Times New Roman"/>
                <w:color w:val="auto"/>
                <w:highlight w:val="none"/>
              </w:rPr>
              <w:t>20%</w:t>
            </w:r>
          </w:p>
        </w:tc>
        <w:tc>
          <w:tcPr>
            <w:tcW w:w="522" w:type="pct"/>
            <w:vAlign w:val="center"/>
          </w:tcPr>
          <w:p>
            <w:pPr>
              <w:pStyle w:val="2"/>
              <w:jc w:val="center"/>
              <w:rPr>
                <w:rFonts w:ascii="Times New Roman" w:cs="Times New Roman"/>
                <w:color w:val="auto"/>
                <w:highlight w:val="none"/>
              </w:rPr>
            </w:pPr>
            <w:r>
              <w:rPr>
                <w:rFonts w:ascii="Times New Roman" w:cs="Times New Roman"/>
                <w:color w:val="auto"/>
                <w:highlight w:val="none"/>
              </w:rPr>
              <w:t>50%</w:t>
            </w:r>
          </w:p>
        </w:tc>
        <w:tc>
          <w:tcPr>
            <w:tcW w:w="1240" w:type="pct"/>
            <w:vMerge w:val="continue"/>
          </w:tcPr>
          <w:p>
            <w:pPr>
              <w:pStyle w:val="2"/>
              <w:jc w:val="center"/>
              <w:rPr>
                <w:rFonts w:ascii="Times New Roman" w:cs="Times New Roman"/>
                <w:color w:val="auto"/>
                <w:highlight w:val="none"/>
              </w:rPr>
            </w:pPr>
          </w:p>
        </w:tc>
      </w:tr>
      <w:tr>
        <w:tblPrEx>
          <w:tblBorders>
            <w:top w:val="thinThickSmallGap" w:color="auto" w:sz="18" w:space="0"/>
            <w:left w:val="none" w:color="auto" w:sz="0" w:space="0"/>
            <w:bottom w:val="thickThinSmallGap" w:color="auto"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01" w:type="pct"/>
            <w:vAlign w:val="center"/>
          </w:tcPr>
          <w:p>
            <w:pPr>
              <w:pStyle w:val="2"/>
              <w:jc w:val="center"/>
              <w:rPr>
                <w:rFonts w:ascii="Times New Roman" w:cs="Times New Roman"/>
                <w:color w:val="auto"/>
                <w:highlight w:val="none"/>
              </w:rPr>
            </w:pPr>
            <w:r>
              <w:rPr>
                <w:rFonts w:ascii="Times New Roman" w:cs="Times New Roman"/>
                <w:color w:val="auto"/>
                <w:highlight w:val="none"/>
              </w:rPr>
              <w:t>岷江</w:t>
            </w:r>
          </w:p>
        </w:tc>
        <w:tc>
          <w:tcPr>
            <w:tcW w:w="701" w:type="pct"/>
            <w:vAlign w:val="center"/>
          </w:tcPr>
          <w:p>
            <w:pPr>
              <w:pStyle w:val="2"/>
              <w:jc w:val="center"/>
              <w:rPr>
                <w:rFonts w:ascii="Times New Roman" w:cs="Times New Roman"/>
                <w:color w:val="auto"/>
                <w:highlight w:val="none"/>
              </w:rPr>
            </w:pPr>
            <w:r>
              <w:rPr>
                <w:rFonts w:ascii="Times New Roman" w:cs="Times New Roman"/>
                <w:color w:val="auto"/>
                <w:highlight w:val="none"/>
              </w:rPr>
              <w:t>彭山</w:t>
            </w:r>
          </w:p>
        </w:tc>
        <w:tc>
          <w:tcPr>
            <w:tcW w:w="612" w:type="pct"/>
            <w:vAlign w:val="center"/>
          </w:tcPr>
          <w:p>
            <w:pPr>
              <w:pStyle w:val="2"/>
              <w:jc w:val="center"/>
              <w:rPr>
                <w:rFonts w:ascii="Times New Roman" w:cs="Times New Roman"/>
                <w:color w:val="auto"/>
                <w:highlight w:val="none"/>
              </w:rPr>
            </w:pPr>
            <w:r>
              <w:rPr>
                <w:rFonts w:ascii="Times New Roman" w:cs="Times New Roman"/>
                <w:color w:val="auto"/>
                <w:highlight w:val="none"/>
              </w:rPr>
              <w:t>11800</w:t>
            </w:r>
          </w:p>
        </w:tc>
        <w:tc>
          <w:tcPr>
            <w:tcW w:w="612" w:type="pct"/>
            <w:vAlign w:val="center"/>
          </w:tcPr>
          <w:p>
            <w:pPr>
              <w:pStyle w:val="2"/>
              <w:jc w:val="center"/>
              <w:rPr>
                <w:rFonts w:ascii="Times New Roman" w:cs="Times New Roman"/>
                <w:color w:val="auto"/>
                <w:highlight w:val="none"/>
              </w:rPr>
            </w:pPr>
            <w:r>
              <w:rPr>
                <w:rFonts w:ascii="Times New Roman" w:cs="Times New Roman"/>
                <w:color w:val="auto"/>
                <w:highlight w:val="none"/>
              </w:rPr>
              <w:t>10400</w:t>
            </w:r>
          </w:p>
        </w:tc>
        <w:tc>
          <w:tcPr>
            <w:tcW w:w="612" w:type="pct"/>
            <w:vAlign w:val="center"/>
          </w:tcPr>
          <w:p>
            <w:pPr>
              <w:snapToGrid w:val="0"/>
              <w:ind w:left="-84" w:leftChars="-40" w:right="-97" w:rightChars="-46"/>
              <w:jc w:val="center"/>
              <w:rPr>
                <w:sz w:val="24"/>
                <w:szCs w:val="21"/>
                <w:highlight w:val="none"/>
              </w:rPr>
            </w:pPr>
            <w:r>
              <w:rPr>
                <w:sz w:val="24"/>
                <w:szCs w:val="21"/>
                <w:highlight w:val="none"/>
              </w:rPr>
              <w:t>8840</w:t>
            </w:r>
          </w:p>
        </w:tc>
        <w:tc>
          <w:tcPr>
            <w:tcW w:w="522" w:type="pct"/>
            <w:vAlign w:val="center"/>
          </w:tcPr>
          <w:p>
            <w:pPr>
              <w:snapToGrid w:val="0"/>
              <w:ind w:left="-84" w:leftChars="-40" w:right="-97" w:rightChars="-46"/>
              <w:jc w:val="center"/>
              <w:rPr>
                <w:sz w:val="24"/>
                <w:szCs w:val="21"/>
                <w:highlight w:val="none"/>
              </w:rPr>
            </w:pPr>
            <w:r>
              <w:rPr>
                <w:sz w:val="24"/>
                <w:szCs w:val="21"/>
                <w:highlight w:val="none"/>
              </w:rPr>
              <w:t>6470</w:t>
            </w:r>
          </w:p>
        </w:tc>
        <w:tc>
          <w:tcPr>
            <w:tcW w:w="1240" w:type="pct"/>
          </w:tcPr>
          <w:p>
            <w:pPr>
              <w:pStyle w:val="2"/>
              <w:jc w:val="center"/>
              <w:rPr>
                <w:rFonts w:ascii="Times New Roman" w:cs="Times New Roman"/>
                <w:color w:val="auto"/>
                <w:highlight w:val="none"/>
              </w:rPr>
            </w:pPr>
            <w:r>
              <w:rPr>
                <w:rFonts w:ascii="Times New Roman" w:cs="Times New Roman"/>
                <w:color w:val="auto"/>
                <w:highlight w:val="none"/>
              </w:rPr>
              <w:t>岷江干流（江口至乐山）规划报告</w:t>
            </w:r>
          </w:p>
        </w:tc>
      </w:tr>
      <w:tr>
        <w:tblPrEx>
          <w:tblBorders>
            <w:top w:val="thinThickSmallGap" w:color="auto" w:sz="18" w:space="0"/>
            <w:left w:val="none" w:color="auto" w:sz="0" w:space="0"/>
            <w:bottom w:val="thickThinSmallGap" w:color="auto"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01" w:type="pct"/>
            <w:vAlign w:val="center"/>
          </w:tcPr>
          <w:p>
            <w:pPr>
              <w:pStyle w:val="2"/>
              <w:jc w:val="center"/>
              <w:rPr>
                <w:rFonts w:ascii="Times New Roman" w:cs="Times New Roman"/>
                <w:color w:val="auto"/>
                <w:highlight w:val="none"/>
              </w:rPr>
            </w:pPr>
            <w:r>
              <w:rPr>
                <w:rFonts w:ascii="Times New Roman" w:cs="Times New Roman"/>
                <w:color w:val="auto"/>
                <w:highlight w:val="none"/>
              </w:rPr>
              <w:t>岷江</w:t>
            </w:r>
          </w:p>
        </w:tc>
        <w:tc>
          <w:tcPr>
            <w:tcW w:w="701" w:type="pct"/>
            <w:vAlign w:val="center"/>
          </w:tcPr>
          <w:p>
            <w:pPr>
              <w:pStyle w:val="2"/>
              <w:jc w:val="center"/>
              <w:rPr>
                <w:rFonts w:ascii="Times New Roman" w:cs="Times New Roman"/>
                <w:color w:val="auto"/>
                <w:highlight w:val="none"/>
              </w:rPr>
            </w:pPr>
            <w:r>
              <w:rPr>
                <w:rFonts w:ascii="Times New Roman" w:cs="Times New Roman"/>
                <w:color w:val="auto"/>
                <w:highlight w:val="none"/>
              </w:rPr>
              <w:t>五通桥</w:t>
            </w:r>
          </w:p>
        </w:tc>
        <w:tc>
          <w:tcPr>
            <w:tcW w:w="612" w:type="pct"/>
            <w:vAlign w:val="center"/>
          </w:tcPr>
          <w:p>
            <w:pPr>
              <w:snapToGrid w:val="0"/>
              <w:ind w:left="-84" w:leftChars="-40" w:right="-97" w:rightChars="-46"/>
              <w:jc w:val="center"/>
              <w:rPr>
                <w:sz w:val="24"/>
                <w:szCs w:val="21"/>
                <w:highlight w:val="none"/>
              </w:rPr>
            </w:pPr>
            <w:r>
              <w:rPr>
                <w:sz w:val="24"/>
                <w:szCs w:val="21"/>
                <w:highlight w:val="none"/>
              </w:rPr>
              <w:t>34600</w:t>
            </w:r>
          </w:p>
        </w:tc>
        <w:tc>
          <w:tcPr>
            <w:tcW w:w="612" w:type="pct"/>
          </w:tcPr>
          <w:p>
            <w:pPr>
              <w:snapToGrid w:val="0"/>
              <w:ind w:left="-84" w:leftChars="-40" w:right="-97" w:rightChars="-46"/>
              <w:jc w:val="center"/>
              <w:rPr>
                <w:sz w:val="24"/>
                <w:szCs w:val="21"/>
                <w:highlight w:val="none"/>
              </w:rPr>
            </w:pPr>
            <w:r>
              <w:rPr>
                <w:sz w:val="24"/>
                <w:szCs w:val="21"/>
                <w:highlight w:val="none"/>
              </w:rPr>
              <w:t>28800</w:t>
            </w:r>
          </w:p>
        </w:tc>
        <w:tc>
          <w:tcPr>
            <w:tcW w:w="612" w:type="pct"/>
          </w:tcPr>
          <w:p>
            <w:pPr>
              <w:snapToGrid w:val="0"/>
              <w:ind w:left="-84" w:leftChars="-40" w:right="-97" w:rightChars="-46"/>
              <w:jc w:val="center"/>
              <w:rPr>
                <w:sz w:val="24"/>
                <w:szCs w:val="21"/>
                <w:highlight w:val="none"/>
              </w:rPr>
            </w:pPr>
            <w:r>
              <w:rPr>
                <w:sz w:val="24"/>
                <w:szCs w:val="21"/>
                <w:highlight w:val="none"/>
              </w:rPr>
              <w:t>23000</w:t>
            </w:r>
          </w:p>
        </w:tc>
        <w:tc>
          <w:tcPr>
            <w:tcW w:w="522" w:type="pct"/>
          </w:tcPr>
          <w:p>
            <w:pPr>
              <w:snapToGrid w:val="0"/>
              <w:ind w:left="-84" w:leftChars="-40" w:right="-97" w:rightChars="-46"/>
              <w:jc w:val="center"/>
              <w:rPr>
                <w:sz w:val="24"/>
                <w:szCs w:val="21"/>
                <w:highlight w:val="none"/>
              </w:rPr>
            </w:pPr>
            <w:r>
              <w:rPr>
                <w:sz w:val="24"/>
                <w:szCs w:val="21"/>
                <w:highlight w:val="none"/>
              </w:rPr>
              <w:t>15700</w:t>
            </w:r>
          </w:p>
        </w:tc>
        <w:tc>
          <w:tcPr>
            <w:tcW w:w="1240" w:type="pct"/>
          </w:tcPr>
          <w:p>
            <w:pPr>
              <w:snapToGrid w:val="0"/>
              <w:ind w:left="-84" w:leftChars="-40" w:right="-97" w:rightChars="-46"/>
              <w:jc w:val="center"/>
              <w:rPr>
                <w:sz w:val="24"/>
                <w:szCs w:val="21"/>
                <w:highlight w:val="none"/>
              </w:rPr>
            </w:pPr>
            <w:r>
              <w:rPr>
                <w:sz w:val="24"/>
                <w:szCs w:val="21"/>
                <w:highlight w:val="none"/>
              </w:rPr>
              <w:t>东风岩工可报告</w:t>
            </w:r>
          </w:p>
        </w:tc>
      </w:tr>
      <w:tr>
        <w:tblPrEx>
          <w:tblBorders>
            <w:top w:val="thinThickSmallGap" w:color="auto" w:sz="18" w:space="0"/>
            <w:left w:val="none" w:color="auto" w:sz="0" w:space="0"/>
            <w:bottom w:val="thickThinSmallGap" w:color="auto"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01" w:type="pct"/>
            <w:vAlign w:val="center"/>
          </w:tcPr>
          <w:p>
            <w:pPr>
              <w:pStyle w:val="2"/>
              <w:jc w:val="center"/>
              <w:rPr>
                <w:rFonts w:ascii="Times New Roman" w:cs="Times New Roman"/>
                <w:color w:val="auto"/>
                <w:highlight w:val="none"/>
              </w:rPr>
            </w:pPr>
            <w:r>
              <w:rPr>
                <w:rFonts w:ascii="Times New Roman" w:cs="Times New Roman"/>
                <w:color w:val="auto"/>
                <w:highlight w:val="none"/>
              </w:rPr>
              <w:t>岷江</w:t>
            </w:r>
          </w:p>
        </w:tc>
        <w:tc>
          <w:tcPr>
            <w:tcW w:w="701" w:type="pct"/>
            <w:vAlign w:val="center"/>
          </w:tcPr>
          <w:p>
            <w:pPr>
              <w:pStyle w:val="2"/>
              <w:jc w:val="center"/>
              <w:rPr>
                <w:rFonts w:ascii="Times New Roman" w:cs="Times New Roman"/>
                <w:color w:val="auto"/>
                <w:highlight w:val="none"/>
              </w:rPr>
            </w:pPr>
            <w:r>
              <w:rPr>
                <w:rFonts w:ascii="Times New Roman" w:cs="Times New Roman"/>
                <w:color w:val="auto"/>
                <w:highlight w:val="none"/>
              </w:rPr>
              <w:t>高场</w:t>
            </w:r>
          </w:p>
        </w:tc>
        <w:tc>
          <w:tcPr>
            <w:tcW w:w="612" w:type="pct"/>
            <w:vAlign w:val="center"/>
          </w:tcPr>
          <w:p>
            <w:pPr>
              <w:snapToGrid w:val="0"/>
              <w:ind w:left="-84" w:leftChars="-40" w:right="-97" w:rightChars="-46"/>
              <w:jc w:val="center"/>
              <w:rPr>
                <w:sz w:val="24"/>
                <w:szCs w:val="21"/>
                <w:highlight w:val="none"/>
              </w:rPr>
            </w:pPr>
            <w:r>
              <w:rPr>
                <w:sz w:val="24"/>
                <w:szCs w:val="21"/>
                <w:highlight w:val="none"/>
              </w:rPr>
              <w:t>36200</w:t>
            </w:r>
          </w:p>
        </w:tc>
        <w:tc>
          <w:tcPr>
            <w:tcW w:w="612" w:type="pct"/>
            <w:vAlign w:val="center"/>
          </w:tcPr>
          <w:p>
            <w:pPr>
              <w:snapToGrid w:val="0"/>
              <w:ind w:left="-84" w:leftChars="-40" w:right="-97" w:rightChars="-46"/>
              <w:jc w:val="center"/>
              <w:rPr>
                <w:sz w:val="24"/>
                <w:szCs w:val="21"/>
                <w:highlight w:val="none"/>
              </w:rPr>
            </w:pPr>
            <w:r>
              <w:rPr>
                <w:sz w:val="24"/>
                <w:szCs w:val="21"/>
                <w:highlight w:val="none"/>
              </w:rPr>
              <w:t>30500</w:t>
            </w:r>
          </w:p>
        </w:tc>
        <w:tc>
          <w:tcPr>
            <w:tcW w:w="612" w:type="pct"/>
          </w:tcPr>
          <w:p>
            <w:pPr>
              <w:snapToGrid w:val="0"/>
              <w:ind w:left="-84" w:leftChars="-40" w:right="-97" w:rightChars="-46"/>
              <w:jc w:val="center"/>
              <w:rPr>
                <w:sz w:val="24"/>
                <w:szCs w:val="21"/>
                <w:highlight w:val="none"/>
              </w:rPr>
            </w:pPr>
            <w:r>
              <w:rPr>
                <w:sz w:val="24"/>
                <w:szCs w:val="21"/>
                <w:highlight w:val="none"/>
              </w:rPr>
              <w:t>24800</w:t>
            </w:r>
          </w:p>
        </w:tc>
        <w:tc>
          <w:tcPr>
            <w:tcW w:w="522" w:type="pct"/>
          </w:tcPr>
          <w:p>
            <w:pPr>
              <w:snapToGrid w:val="0"/>
              <w:ind w:left="-84" w:leftChars="-40" w:right="-97" w:rightChars="-46"/>
              <w:jc w:val="center"/>
              <w:rPr>
                <w:sz w:val="24"/>
                <w:szCs w:val="21"/>
                <w:highlight w:val="none"/>
              </w:rPr>
            </w:pPr>
            <w:r>
              <w:rPr>
                <w:sz w:val="24"/>
                <w:szCs w:val="21"/>
                <w:highlight w:val="none"/>
              </w:rPr>
              <w:t>17300</w:t>
            </w:r>
          </w:p>
        </w:tc>
        <w:tc>
          <w:tcPr>
            <w:tcW w:w="1240" w:type="pct"/>
          </w:tcPr>
          <w:p>
            <w:pPr>
              <w:snapToGrid w:val="0"/>
              <w:ind w:left="-84" w:leftChars="-40" w:right="-97" w:rightChars="-46"/>
              <w:jc w:val="center"/>
              <w:rPr>
                <w:sz w:val="24"/>
                <w:szCs w:val="21"/>
                <w:highlight w:val="none"/>
              </w:rPr>
            </w:pPr>
            <w:r>
              <w:rPr>
                <w:sz w:val="24"/>
                <w:szCs w:val="21"/>
                <w:highlight w:val="none"/>
              </w:rPr>
              <w:t>龙溪口工可报告</w:t>
            </w:r>
          </w:p>
        </w:tc>
      </w:tr>
      <w:tr>
        <w:tblPrEx>
          <w:tblBorders>
            <w:top w:val="thinThickSmallGap" w:color="auto" w:sz="18" w:space="0"/>
            <w:left w:val="none" w:color="auto" w:sz="0" w:space="0"/>
            <w:bottom w:val="thickThinSmallGap" w:color="auto"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01" w:type="pct"/>
            <w:vAlign w:val="center"/>
          </w:tcPr>
          <w:p>
            <w:pPr>
              <w:pStyle w:val="2"/>
              <w:jc w:val="center"/>
              <w:rPr>
                <w:rFonts w:ascii="Times New Roman" w:cs="Times New Roman"/>
                <w:color w:val="auto"/>
                <w:highlight w:val="none"/>
              </w:rPr>
            </w:pPr>
            <w:r>
              <w:rPr>
                <w:rFonts w:ascii="Times New Roman" w:cs="Times New Roman"/>
                <w:color w:val="auto"/>
                <w:highlight w:val="none"/>
              </w:rPr>
              <w:t>大渡河</w:t>
            </w:r>
          </w:p>
        </w:tc>
        <w:tc>
          <w:tcPr>
            <w:tcW w:w="701" w:type="pct"/>
            <w:vAlign w:val="center"/>
          </w:tcPr>
          <w:p>
            <w:pPr>
              <w:pStyle w:val="2"/>
              <w:jc w:val="center"/>
              <w:rPr>
                <w:rFonts w:ascii="Times New Roman" w:cs="Times New Roman"/>
                <w:color w:val="auto"/>
                <w:highlight w:val="none"/>
              </w:rPr>
            </w:pPr>
            <w:r>
              <w:rPr>
                <w:rFonts w:ascii="Times New Roman" w:cs="Times New Roman"/>
                <w:color w:val="auto"/>
                <w:highlight w:val="none"/>
              </w:rPr>
              <w:t>铜街子</w:t>
            </w:r>
          </w:p>
        </w:tc>
        <w:tc>
          <w:tcPr>
            <w:tcW w:w="612" w:type="pct"/>
            <w:vAlign w:val="center"/>
          </w:tcPr>
          <w:p>
            <w:pPr>
              <w:snapToGrid w:val="0"/>
              <w:ind w:left="-84" w:leftChars="-40" w:right="-97" w:rightChars="-46"/>
              <w:jc w:val="center"/>
              <w:rPr>
                <w:sz w:val="24"/>
                <w:szCs w:val="21"/>
                <w:highlight w:val="none"/>
              </w:rPr>
            </w:pPr>
            <w:r>
              <w:rPr>
                <w:sz w:val="24"/>
                <w:szCs w:val="21"/>
                <w:highlight w:val="none"/>
              </w:rPr>
              <w:t>9070</w:t>
            </w:r>
          </w:p>
        </w:tc>
        <w:tc>
          <w:tcPr>
            <w:tcW w:w="612" w:type="pct"/>
            <w:vAlign w:val="center"/>
          </w:tcPr>
          <w:p>
            <w:pPr>
              <w:snapToGrid w:val="0"/>
              <w:ind w:left="-84" w:leftChars="-40" w:right="-97" w:rightChars="-46"/>
              <w:jc w:val="center"/>
              <w:rPr>
                <w:sz w:val="24"/>
                <w:szCs w:val="21"/>
                <w:highlight w:val="none"/>
              </w:rPr>
            </w:pPr>
            <w:r>
              <w:rPr>
                <w:sz w:val="24"/>
                <w:szCs w:val="21"/>
                <w:highlight w:val="none"/>
              </w:rPr>
              <w:t>8220</w:t>
            </w:r>
          </w:p>
        </w:tc>
        <w:tc>
          <w:tcPr>
            <w:tcW w:w="612" w:type="pct"/>
            <w:vAlign w:val="center"/>
          </w:tcPr>
          <w:p>
            <w:pPr>
              <w:snapToGrid w:val="0"/>
              <w:ind w:left="-84" w:leftChars="-40" w:right="-97" w:rightChars="-46"/>
              <w:jc w:val="center"/>
              <w:rPr>
                <w:sz w:val="24"/>
                <w:szCs w:val="21"/>
                <w:highlight w:val="none"/>
              </w:rPr>
            </w:pPr>
            <w:r>
              <w:rPr>
                <w:sz w:val="24"/>
                <w:szCs w:val="21"/>
                <w:highlight w:val="none"/>
              </w:rPr>
              <w:t>7310</w:t>
            </w:r>
          </w:p>
        </w:tc>
        <w:tc>
          <w:tcPr>
            <w:tcW w:w="522" w:type="pct"/>
            <w:vAlign w:val="center"/>
          </w:tcPr>
          <w:p>
            <w:pPr>
              <w:snapToGrid w:val="0"/>
              <w:ind w:left="-84" w:leftChars="-40" w:right="-97" w:rightChars="-46"/>
              <w:jc w:val="center"/>
              <w:rPr>
                <w:sz w:val="24"/>
                <w:szCs w:val="21"/>
                <w:highlight w:val="none"/>
              </w:rPr>
            </w:pPr>
            <w:r>
              <w:rPr>
                <w:sz w:val="24"/>
                <w:szCs w:val="21"/>
                <w:highlight w:val="none"/>
              </w:rPr>
              <w:t>5930</w:t>
            </w:r>
          </w:p>
        </w:tc>
        <w:tc>
          <w:tcPr>
            <w:tcW w:w="1240" w:type="pct"/>
          </w:tcPr>
          <w:p>
            <w:pPr>
              <w:pStyle w:val="2"/>
              <w:jc w:val="center"/>
              <w:rPr>
                <w:rFonts w:ascii="Times New Roman" w:cs="Times New Roman"/>
                <w:color w:val="auto"/>
                <w:highlight w:val="none"/>
              </w:rPr>
            </w:pPr>
            <w:r>
              <w:rPr>
                <w:rFonts w:ascii="Times New Roman" w:cs="Times New Roman"/>
                <w:color w:val="auto"/>
                <w:highlight w:val="none"/>
              </w:rPr>
              <w:t>老木孔工可报告</w:t>
            </w:r>
          </w:p>
        </w:tc>
      </w:tr>
      <w:tr>
        <w:tblPrEx>
          <w:tblBorders>
            <w:top w:val="thinThickSmallGap" w:color="auto" w:sz="18" w:space="0"/>
            <w:left w:val="none" w:color="auto" w:sz="0" w:space="0"/>
            <w:bottom w:val="thickThinSmallGap" w:color="auto"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01" w:type="pct"/>
            <w:vAlign w:val="center"/>
          </w:tcPr>
          <w:p>
            <w:pPr>
              <w:pStyle w:val="2"/>
              <w:jc w:val="center"/>
              <w:rPr>
                <w:rFonts w:ascii="Times New Roman" w:cs="Times New Roman"/>
                <w:color w:val="auto"/>
                <w:highlight w:val="none"/>
              </w:rPr>
            </w:pPr>
            <w:r>
              <w:rPr>
                <w:rFonts w:ascii="Times New Roman" w:cs="Times New Roman"/>
                <w:color w:val="auto"/>
                <w:highlight w:val="none"/>
              </w:rPr>
              <w:t>青衣江</w:t>
            </w:r>
          </w:p>
        </w:tc>
        <w:tc>
          <w:tcPr>
            <w:tcW w:w="701" w:type="pct"/>
            <w:vAlign w:val="center"/>
          </w:tcPr>
          <w:p>
            <w:pPr>
              <w:pStyle w:val="2"/>
              <w:jc w:val="center"/>
              <w:rPr>
                <w:rFonts w:ascii="Times New Roman" w:cs="Times New Roman"/>
                <w:color w:val="auto"/>
                <w:highlight w:val="none"/>
              </w:rPr>
            </w:pPr>
            <w:r>
              <w:rPr>
                <w:rFonts w:ascii="Times New Roman" w:cs="Times New Roman"/>
                <w:color w:val="auto"/>
                <w:highlight w:val="none"/>
              </w:rPr>
              <w:t>夹江</w:t>
            </w:r>
          </w:p>
        </w:tc>
        <w:tc>
          <w:tcPr>
            <w:tcW w:w="612" w:type="pct"/>
            <w:vAlign w:val="center"/>
          </w:tcPr>
          <w:p>
            <w:pPr>
              <w:snapToGrid w:val="0"/>
              <w:ind w:left="-84" w:leftChars="-40" w:right="-97" w:rightChars="-46"/>
              <w:jc w:val="center"/>
              <w:rPr>
                <w:sz w:val="24"/>
                <w:szCs w:val="21"/>
                <w:highlight w:val="none"/>
              </w:rPr>
            </w:pPr>
            <w:r>
              <w:rPr>
                <w:sz w:val="24"/>
                <w:szCs w:val="21"/>
                <w:highlight w:val="none"/>
              </w:rPr>
              <w:t>14900</w:t>
            </w:r>
          </w:p>
        </w:tc>
        <w:tc>
          <w:tcPr>
            <w:tcW w:w="612" w:type="pct"/>
            <w:vAlign w:val="center"/>
          </w:tcPr>
          <w:p>
            <w:pPr>
              <w:snapToGrid w:val="0"/>
              <w:ind w:left="-84" w:leftChars="-40" w:right="-97" w:rightChars="-46"/>
              <w:jc w:val="center"/>
              <w:rPr>
                <w:sz w:val="24"/>
                <w:szCs w:val="21"/>
                <w:highlight w:val="none"/>
              </w:rPr>
            </w:pPr>
            <w:r>
              <w:rPr>
                <w:sz w:val="24"/>
                <w:szCs w:val="21"/>
                <w:highlight w:val="none"/>
              </w:rPr>
              <w:t>13200</w:t>
            </w:r>
          </w:p>
        </w:tc>
        <w:tc>
          <w:tcPr>
            <w:tcW w:w="612" w:type="pct"/>
            <w:vAlign w:val="center"/>
          </w:tcPr>
          <w:p>
            <w:pPr>
              <w:snapToGrid w:val="0"/>
              <w:ind w:left="-84" w:leftChars="-40" w:right="-97" w:rightChars="-46"/>
              <w:jc w:val="center"/>
              <w:rPr>
                <w:sz w:val="24"/>
                <w:szCs w:val="21"/>
                <w:highlight w:val="none"/>
              </w:rPr>
            </w:pPr>
            <w:r>
              <w:rPr>
                <w:sz w:val="24"/>
                <w:szCs w:val="21"/>
                <w:highlight w:val="none"/>
              </w:rPr>
              <w:t>11400</w:t>
            </w:r>
          </w:p>
        </w:tc>
        <w:tc>
          <w:tcPr>
            <w:tcW w:w="522" w:type="pct"/>
            <w:vAlign w:val="center"/>
          </w:tcPr>
          <w:p>
            <w:pPr>
              <w:snapToGrid w:val="0"/>
              <w:ind w:left="-84" w:leftChars="-40" w:right="-97" w:rightChars="-46"/>
              <w:jc w:val="center"/>
              <w:rPr>
                <w:sz w:val="24"/>
                <w:szCs w:val="21"/>
                <w:highlight w:val="none"/>
              </w:rPr>
            </w:pPr>
            <w:r>
              <w:rPr>
                <w:sz w:val="24"/>
                <w:szCs w:val="21"/>
                <w:highlight w:val="none"/>
              </w:rPr>
              <w:t>8460</w:t>
            </w:r>
          </w:p>
        </w:tc>
        <w:tc>
          <w:tcPr>
            <w:tcW w:w="1240" w:type="pct"/>
          </w:tcPr>
          <w:p>
            <w:pPr>
              <w:pStyle w:val="2"/>
              <w:jc w:val="center"/>
              <w:rPr>
                <w:rFonts w:ascii="Times New Roman" w:cs="Times New Roman"/>
                <w:color w:val="auto"/>
                <w:highlight w:val="none"/>
              </w:rPr>
            </w:pPr>
            <w:r>
              <w:rPr>
                <w:rFonts w:ascii="Times New Roman" w:cs="Times New Roman"/>
                <w:color w:val="auto"/>
                <w:highlight w:val="none"/>
              </w:rPr>
              <w:t>老木孔工可报告</w:t>
            </w:r>
          </w:p>
        </w:tc>
      </w:tr>
      <w:tr>
        <w:tblPrEx>
          <w:tblBorders>
            <w:top w:val="thinThickSmallGap" w:color="auto" w:sz="18" w:space="0"/>
            <w:left w:val="none" w:color="auto" w:sz="0" w:space="0"/>
            <w:bottom w:val="thickThinSmallGap" w:color="auto"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01" w:type="pct"/>
            <w:vAlign w:val="center"/>
          </w:tcPr>
          <w:p>
            <w:pPr>
              <w:pStyle w:val="2"/>
              <w:jc w:val="center"/>
              <w:rPr>
                <w:rFonts w:ascii="Times New Roman" w:cs="Times New Roman"/>
                <w:color w:val="auto"/>
                <w:highlight w:val="none"/>
              </w:rPr>
            </w:pPr>
            <w:r>
              <w:rPr>
                <w:rFonts w:ascii="Times New Roman" w:cs="Times New Roman"/>
                <w:color w:val="auto"/>
                <w:highlight w:val="none"/>
              </w:rPr>
              <w:t>马边河</w:t>
            </w:r>
          </w:p>
        </w:tc>
        <w:tc>
          <w:tcPr>
            <w:tcW w:w="701" w:type="pct"/>
            <w:vAlign w:val="center"/>
          </w:tcPr>
          <w:p>
            <w:pPr>
              <w:pStyle w:val="2"/>
              <w:jc w:val="center"/>
              <w:rPr>
                <w:rFonts w:ascii="Times New Roman" w:cs="Times New Roman"/>
                <w:color w:val="auto"/>
                <w:highlight w:val="none"/>
              </w:rPr>
            </w:pPr>
            <w:r>
              <w:rPr>
                <w:rFonts w:ascii="Times New Roman" w:cs="Times New Roman"/>
                <w:color w:val="auto"/>
                <w:highlight w:val="none"/>
              </w:rPr>
              <w:t>清水溪</w:t>
            </w:r>
          </w:p>
        </w:tc>
        <w:tc>
          <w:tcPr>
            <w:tcW w:w="612" w:type="pct"/>
            <w:vAlign w:val="center"/>
          </w:tcPr>
          <w:p>
            <w:pPr>
              <w:snapToGrid w:val="0"/>
              <w:ind w:left="-84" w:leftChars="-40" w:right="-97" w:rightChars="-46"/>
              <w:jc w:val="center"/>
              <w:rPr>
                <w:sz w:val="24"/>
                <w:szCs w:val="21"/>
                <w:highlight w:val="none"/>
              </w:rPr>
            </w:pPr>
            <w:r>
              <w:rPr>
                <w:sz w:val="24"/>
                <w:szCs w:val="21"/>
                <w:highlight w:val="none"/>
              </w:rPr>
              <w:t>5870</w:t>
            </w:r>
          </w:p>
        </w:tc>
        <w:tc>
          <w:tcPr>
            <w:tcW w:w="612" w:type="pct"/>
            <w:vAlign w:val="center"/>
          </w:tcPr>
          <w:p>
            <w:pPr>
              <w:snapToGrid w:val="0"/>
              <w:ind w:left="-84" w:leftChars="-40" w:right="-97" w:rightChars="-46"/>
              <w:jc w:val="center"/>
              <w:rPr>
                <w:sz w:val="24"/>
                <w:szCs w:val="21"/>
                <w:highlight w:val="none"/>
              </w:rPr>
            </w:pPr>
            <w:r>
              <w:rPr>
                <w:sz w:val="24"/>
                <w:szCs w:val="21"/>
                <w:highlight w:val="none"/>
              </w:rPr>
              <w:t>4660</w:t>
            </w:r>
          </w:p>
        </w:tc>
        <w:tc>
          <w:tcPr>
            <w:tcW w:w="612" w:type="pct"/>
            <w:vAlign w:val="center"/>
          </w:tcPr>
          <w:p>
            <w:pPr>
              <w:snapToGrid w:val="0"/>
              <w:ind w:left="-84" w:leftChars="-40" w:right="-97" w:rightChars="-46"/>
              <w:jc w:val="center"/>
              <w:rPr>
                <w:sz w:val="24"/>
                <w:szCs w:val="21"/>
                <w:highlight w:val="none"/>
              </w:rPr>
            </w:pPr>
            <w:r>
              <w:rPr>
                <w:sz w:val="24"/>
                <w:szCs w:val="21"/>
                <w:highlight w:val="none"/>
              </w:rPr>
              <w:t>3470</w:t>
            </w:r>
          </w:p>
        </w:tc>
        <w:tc>
          <w:tcPr>
            <w:tcW w:w="522" w:type="pct"/>
            <w:vAlign w:val="center"/>
          </w:tcPr>
          <w:p>
            <w:pPr>
              <w:snapToGrid w:val="0"/>
              <w:ind w:left="-84" w:leftChars="-40" w:right="-97" w:rightChars="-46"/>
              <w:jc w:val="center"/>
              <w:rPr>
                <w:sz w:val="24"/>
                <w:szCs w:val="21"/>
                <w:highlight w:val="none"/>
              </w:rPr>
            </w:pPr>
            <w:r>
              <w:rPr>
                <w:sz w:val="24"/>
                <w:szCs w:val="21"/>
                <w:highlight w:val="none"/>
              </w:rPr>
              <w:t>1990</w:t>
            </w:r>
          </w:p>
        </w:tc>
        <w:tc>
          <w:tcPr>
            <w:tcW w:w="1240" w:type="pct"/>
          </w:tcPr>
          <w:p>
            <w:pPr>
              <w:pStyle w:val="2"/>
              <w:jc w:val="center"/>
              <w:rPr>
                <w:rFonts w:ascii="Times New Roman" w:cs="Times New Roman"/>
                <w:color w:val="auto"/>
                <w:highlight w:val="none"/>
              </w:rPr>
            </w:pPr>
            <w:r>
              <w:rPr>
                <w:rFonts w:ascii="Times New Roman" w:cs="Times New Roman"/>
                <w:color w:val="auto"/>
                <w:szCs w:val="21"/>
                <w:highlight w:val="none"/>
              </w:rPr>
              <w:t>东风岩工可报告</w:t>
            </w:r>
          </w:p>
        </w:tc>
      </w:tr>
    </w:tbl>
    <w:p>
      <w:pPr>
        <w:snapToGrid w:val="0"/>
        <w:spacing w:before="312" w:beforeLines="100"/>
        <w:ind w:firstLine="482"/>
        <w:jc w:val="center"/>
        <w:rPr>
          <w:sz w:val="24"/>
          <w:highlight w:val="none"/>
        </w:rPr>
      </w:pPr>
      <w:r>
        <w:rPr>
          <w:highlight w:val="none"/>
        </w:rPr>
        <w:br w:type="page"/>
      </w:r>
      <w:r>
        <w:rPr>
          <w:rFonts w:eastAsia="黑体"/>
          <w:sz w:val="28"/>
          <w:szCs w:val="28"/>
          <w:highlight w:val="none"/>
        </w:rPr>
        <w:t>表1.2-4相关梯级设计洪水成果表</w:t>
      </w:r>
    </w:p>
    <w:tbl>
      <w:tblPr>
        <w:tblStyle w:val="32"/>
        <w:tblW w:w="5000" w:type="pct"/>
        <w:tblInd w:w="0" w:type="dxa"/>
        <w:tblBorders>
          <w:top w:val="thinThickSmallGap" w:color="auto" w:sz="18" w:space="0"/>
          <w:left w:val="none" w:color="auto" w:sz="0" w:space="0"/>
          <w:bottom w:val="thickThinSmallGap" w:color="auto" w:sz="18" w:space="0"/>
          <w:right w:val="none" w:color="auto" w:sz="0"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233"/>
        <w:gridCol w:w="1235"/>
        <w:gridCol w:w="1077"/>
        <w:gridCol w:w="1077"/>
        <w:gridCol w:w="1077"/>
        <w:gridCol w:w="1085"/>
        <w:gridCol w:w="2502"/>
      </w:tblGrid>
      <w:tr>
        <w:tblPrEx>
          <w:tblBorders>
            <w:top w:val="thinThickSmallGap" w:color="auto" w:sz="18" w:space="0"/>
            <w:left w:val="none" w:color="auto" w:sz="0" w:space="0"/>
            <w:bottom w:val="thickThinSmallGap" w:color="auto"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4" w:type="pct"/>
            <w:vMerge w:val="restart"/>
            <w:vAlign w:val="center"/>
          </w:tcPr>
          <w:p>
            <w:pPr>
              <w:pStyle w:val="2"/>
              <w:jc w:val="center"/>
              <w:rPr>
                <w:rFonts w:ascii="Times New Roman" w:cs="Times New Roman"/>
                <w:color w:val="auto"/>
                <w:highlight w:val="none"/>
              </w:rPr>
            </w:pPr>
            <w:r>
              <w:rPr>
                <w:rFonts w:ascii="Times New Roman" w:cs="Times New Roman"/>
                <w:color w:val="auto"/>
                <w:highlight w:val="none"/>
              </w:rPr>
              <w:t>河流</w:t>
            </w:r>
          </w:p>
        </w:tc>
        <w:tc>
          <w:tcPr>
            <w:tcW w:w="665" w:type="pct"/>
            <w:vMerge w:val="restart"/>
            <w:vAlign w:val="center"/>
          </w:tcPr>
          <w:p>
            <w:pPr>
              <w:pStyle w:val="2"/>
              <w:jc w:val="center"/>
              <w:rPr>
                <w:rFonts w:ascii="Times New Roman" w:cs="Times New Roman"/>
                <w:color w:val="auto"/>
                <w:highlight w:val="none"/>
              </w:rPr>
            </w:pPr>
            <w:r>
              <w:rPr>
                <w:rFonts w:ascii="Times New Roman" w:cs="Times New Roman"/>
                <w:color w:val="auto"/>
                <w:highlight w:val="none"/>
              </w:rPr>
              <w:t>梯级</w:t>
            </w:r>
          </w:p>
        </w:tc>
        <w:tc>
          <w:tcPr>
            <w:tcW w:w="2324" w:type="pct"/>
            <w:gridSpan w:val="4"/>
            <w:vAlign w:val="center"/>
          </w:tcPr>
          <w:p>
            <w:pPr>
              <w:pStyle w:val="2"/>
              <w:jc w:val="center"/>
              <w:rPr>
                <w:rFonts w:ascii="Times New Roman" w:cs="Times New Roman"/>
                <w:color w:val="auto"/>
                <w:highlight w:val="none"/>
              </w:rPr>
            </w:pPr>
            <w:r>
              <w:rPr>
                <w:rFonts w:ascii="Times New Roman" w:cs="Times New Roman"/>
                <w:color w:val="auto"/>
                <w:highlight w:val="none"/>
              </w:rPr>
              <w:t>设计流量（m</w:t>
            </w:r>
            <w:r>
              <w:rPr>
                <w:rFonts w:ascii="Times New Roman" w:cs="Times New Roman"/>
                <w:color w:val="auto"/>
                <w:highlight w:val="none"/>
                <w:vertAlign w:val="superscript"/>
              </w:rPr>
              <w:t>3</w:t>
            </w:r>
            <w:r>
              <w:rPr>
                <w:rFonts w:ascii="Times New Roman" w:cs="Times New Roman"/>
                <w:color w:val="auto"/>
                <w:highlight w:val="none"/>
              </w:rPr>
              <w:t>/s）</w:t>
            </w:r>
          </w:p>
        </w:tc>
        <w:tc>
          <w:tcPr>
            <w:tcW w:w="1347" w:type="pct"/>
            <w:vMerge w:val="restart"/>
          </w:tcPr>
          <w:p>
            <w:pPr>
              <w:pStyle w:val="2"/>
              <w:jc w:val="center"/>
              <w:rPr>
                <w:rFonts w:ascii="Times New Roman" w:cs="Times New Roman"/>
                <w:color w:val="auto"/>
                <w:highlight w:val="none"/>
              </w:rPr>
            </w:pPr>
            <w:r>
              <w:rPr>
                <w:rFonts w:ascii="Times New Roman" w:cs="Times New Roman"/>
                <w:color w:val="auto"/>
                <w:highlight w:val="none"/>
              </w:rPr>
              <w:t>成果来源</w:t>
            </w:r>
          </w:p>
        </w:tc>
      </w:tr>
      <w:tr>
        <w:tblPrEx>
          <w:tblBorders>
            <w:top w:val="thinThickSmallGap" w:color="auto" w:sz="18" w:space="0"/>
            <w:left w:val="none" w:color="auto" w:sz="0" w:space="0"/>
            <w:bottom w:val="thickThinSmallGap" w:color="auto"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4" w:type="pct"/>
            <w:vMerge w:val="continue"/>
            <w:vAlign w:val="center"/>
          </w:tcPr>
          <w:p>
            <w:pPr>
              <w:pStyle w:val="2"/>
              <w:jc w:val="center"/>
              <w:rPr>
                <w:rFonts w:ascii="Times New Roman" w:cs="Times New Roman"/>
                <w:color w:val="auto"/>
                <w:highlight w:val="none"/>
              </w:rPr>
            </w:pPr>
          </w:p>
        </w:tc>
        <w:tc>
          <w:tcPr>
            <w:tcW w:w="665" w:type="pct"/>
            <w:vMerge w:val="continue"/>
            <w:vAlign w:val="center"/>
          </w:tcPr>
          <w:p>
            <w:pPr>
              <w:pStyle w:val="2"/>
              <w:jc w:val="center"/>
              <w:rPr>
                <w:rFonts w:ascii="Times New Roman" w:cs="Times New Roman"/>
                <w:color w:val="auto"/>
                <w:highlight w:val="none"/>
              </w:rPr>
            </w:pPr>
          </w:p>
        </w:tc>
        <w:tc>
          <w:tcPr>
            <w:tcW w:w="580" w:type="pct"/>
            <w:vAlign w:val="center"/>
          </w:tcPr>
          <w:p>
            <w:pPr>
              <w:pStyle w:val="2"/>
              <w:jc w:val="center"/>
              <w:rPr>
                <w:rFonts w:ascii="Times New Roman" w:cs="Times New Roman"/>
                <w:color w:val="auto"/>
                <w:highlight w:val="none"/>
              </w:rPr>
            </w:pPr>
            <w:r>
              <w:rPr>
                <w:rFonts w:ascii="Times New Roman" w:cs="Times New Roman"/>
                <w:color w:val="auto"/>
                <w:highlight w:val="none"/>
              </w:rPr>
              <w:t>5%</w:t>
            </w:r>
          </w:p>
        </w:tc>
        <w:tc>
          <w:tcPr>
            <w:tcW w:w="580" w:type="pct"/>
            <w:vAlign w:val="center"/>
          </w:tcPr>
          <w:p>
            <w:pPr>
              <w:pStyle w:val="2"/>
              <w:jc w:val="center"/>
              <w:rPr>
                <w:rFonts w:ascii="Times New Roman" w:cs="Times New Roman"/>
                <w:color w:val="auto"/>
                <w:highlight w:val="none"/>
              </w:rPr>
            </w:pPr>
            <w:r>
              <w:rPr>
                <w:rFonts w:ascii="Times New Roman" w:cs="Times New Roman"/>
                <w:color w:val="auto"/>
                <w:highlight w:val="none"/>
              </w:rPr>
              <w:t>10%</w:t>
            </w:r>
          </w:p>
        </w:tc>
        <w:tc>
          <w:tcPr>
            <w:tcW w:w="580" w:type="pct"/>
            <w:vAlign w:val="center"/>
          </w:tcPr>
          <w:p>
            <w:pPr>
              <w:pStyle w:val="2"/>
              <w:jc w:val="center"/>
              <w:rPr>
                <w:rFonts w:ascii="Times New Roman" w:cs="Times New Roman"/>
                <w:color w:val="auto"/>
                <w:highlight w:val="none"/>
              </w:rPr>
            </w:pPr>
            <w:r>
              <w:rPr>
                <w:rFonts w:ascii="Times New Roman" w:cs="Times New Roman"/>
                <w:color w:val="auto"/>
                <w:highlight w:val="none"/>
              </w:rPr>
              <w:t>20%</w:t>
            </w:r>
          </w:p>
        </w:tc>
        <w:tc>
          <w:tcPr>
            <w:tcW w:w="584" w:type="pct"/>
            <w:vAlign w:val="center"/>
          </w:tcPr>
          <w:p>
            <w:pPr>
              <w:pStyle w:val="2"/>
              <w:jc w:val="center"/>
              <w:rPr>
                <w:rFonts w:ascii="Times New Roman" w:cs="Times New Roman"/>
                <w:color w:val="auto"/>
                <w:highlight w:val="none"/>
              </w:rPr>
            </w:pPr>
            <w:r>
              <w:rPr>
                <w:rFonts w:ascii="Times New Roman" w:cs="Times New Roman"/>
                <w:color w:val="auto"/>
                <w:highlight w:val="none"/>
              </w:rPr>
              <w:t>50%</w:t>
            </w:r>
          </w:p>
        </w:tc>
        <w:tc>
          <w:tcPr>
            <w:tcW w:w="1347" w:type="pct"/>
            <w:vMerge w:val="continue"/>
          </w:tcPr>
          <w:p>
            <w:pPr>
              <w:pStyle w:val="2"/>
              <w:jc w:val="center"/>
              <w:rPr>
                <w:rFonts w:ascii="Times New Roman" w:cs="Times New Roman"/>
                <w:color w:val="auto"/>
                <w:highlight w:val="none"/>
              </w:rPr>
            </w:pPr>
          </w:p>
        </w:tc>
      </w:tr>
      <w:tr>
        <w:tblPrEx>
          <w:tblBorders>
            <w:top w:val="thinThickSmallGap" w:color="auto" w:sz="18" w:space="0"/>
            <w:left w:val="none" w:color="auto" w:sz="0" w:space="0"/>
            <w:bottom w:val="thickThinSmallGap" w:color="auto"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4" w:type="pct"/>
            <w:vAlign w:val="center"/>
          </w:tcPr>
          <w:p>
            <w:pPr>
              <w:pStyle w:val="2"/>
              <w:jc w:val="center"/>
              <w:rPr>
                <w:rFonts w:ascii="Times New Roman" w:cs="Times New Roman"/>
                <w:color w:val="auto"/>
                <w:highlight w:val="none"/>
              </w:rPr>
            </w:pPr>
            <w:r>
              <w:rPr>
                <w:rFonts w:ascii="Times New Roman" w:cs="Times New Roman"/>
                <w:color w:val="auto"/>
                <w:highlight w:val="none"/>
              </w:rPr>
              <w:t>岷江</w:t>
            </w:r>
          </w:p>
        </w:tc>
        <w:tc>
          <w:tcPr>
            <w:tcW w:w="665" w:type="pct"/>
            <w:vAlign w:val="center"/>
          </w:tcPr>
          <w:p>
            <w:pPr>
              <w:pStyle w:val="2"/>
              <w:jc w:val="center"/>
              <w:rPr>
                <w:rFonts w:ascii="Times New Roman" w:cs="Times New Roman"/>
                <w:color w:val="auto"/>
                <w:highlight w:val="none"/>
              </w:rPr>
            </w:pPr>
            <w:r>
              <w:rPr>
                <w:rFonts w:ascii="Times New Roman" w:cs="Times New Roman"/>
                <w:color w:val="auto"/>
                <w:highlight w:val="none"/>
              </w:rPr>
              <w:t>老木孔</w:t>
            </w:r>
          </w:p>
        </w:tc>
        <w:tc>
          <w:tcPr>
            <w:tcW w:w="580" w:type="pct"/>
            <w:vAlign w:val="center"/>
          </w:tcPr>
          <w:p>
            <w:pPr>
              <w:jc w:val="right"/>
              <w:rPr>
                <w:sz w:val="24"/>
                <w:highlight w:val="none"/>
              </w:rPr>
            </w:pPr>
            <w:r>
              <w:rPr>
                <w:sz w:val="24"/>
                <w:highlight w:val="none"/>
              </w:rPr>
              <w:t>35600</w:t>
            </w:r>
          </w:p>
        </w:tc>
        <w:tc>
          <w:tcPr>
            <w:tcW w:w="580" w:type="pct"/>
            <w:vAlign w:val="center"/>
          </w:tcPr>
          <w:p>
            <w:pPr>
              <w:jc w:val="right"/>
              <w:rPr>
                <w:sz w:val="24"/>
                <w:highlight w:val="none"/>
              </w:rPr>
            </w:pPr>
            <w:r>
              <w:rPr>
                <w:sz w:val="24"/>
                <w:highlight w:val="none"/>
              </w:rPr>
              <w:t>29800</w:t>
            </w:r>
          </w:p>
        </w:tc>
        <w:tc>
          <w:tcPr>
            <w:tcW w:w="580" w:type="pct"/>
            <w:vAlign w:val="center"/>
          </w:tcPr>
          <w:p>
            <w:pPr>
              <w:jc w:val="right"/>
              <w:rPr>
                <w:sz w:val="24"/>
                <w:highlight w:val="none"/>
              </w:rPr>
            </w:pPr>
            <w:r>
              <w:rPr>
                <w:sz w:val="24"/>
                <w:highlight w:val="none"/>
              </w:rPr>
              <w:t>24100</w:t>
            </w:r>
          </w:p>
        </w:tc>
        <w:tc>
          <w:tcPr>
            <w:tcW w:w="584" w:type="pct"/>
            <w:vAlign w:val="center"/>
          </w:tcPr>
          <w:p>
            <w:pPr>
              <w:jc w:val="right"/>
              <w:rPr>
                <w:sz w:val="24"/>
                <w:highlight w:val="none"/>
              </w:rPr>
            </w:pPr>
            <w:r>
              <w:rPr>
                <w:sz w:val="24"/>
                <w:highlight w:val="none"/>
              </w:rPr>
              <w:t>16700</w:t>
            </w:r>
          </w:p>
        </w:tc>
        <w:tc>
          <w:tcPr>
            <w:tcW w:w="1347" w:type="pct"/>
          </w:tcPr>
          <w:p>
            <w:pPr>
              <w:pStyle w:val="2"/>
              <w:jc w:val="center"/>
              <w:rPr>
                <w:rFonts w:ascii="Times New Roman" w:cs="Times New Roman"/>
                <w:color w:val="auto"/>
                <w:highlight w:val="none"/>
              </w:rPr>
            </w:pPr>
            <w:r>
              <w:rPr>
                <w:rFonts w:ascii="Times New Roman" w:cs="Times New Roman"/>
                <w:color w:val="auto"/>
                <w:highlight w:val="none"/>
              </w:rPr>
              <w:t>老木孔工可报告</w:t>
            </w:r>
          </w:p>
        </w:tc>
      </w:tr>
      <w:tr>
        <w:tblPrEx>
          <w:tblBorders>
            <w:top w:val="thinThickSmallGap" w:color="auto" w:sz="18" w:space="0"/>
            <w:left w:val="none" w:color="auto" w:sz="0" w:space="0"/>
            <w:bottom w:val="thickThinSmallGap" w:color="auto"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4" w:type="pct"/>
            <w:vAlign w:val="center"/>
          </w:tcPr>
          <w:p>
            <w:pPr>
              <w:pStyle w:val="2"/>
              <w:jc w:val="center"/>
              <w:rPr>
                <w:rFonts w:ascii="Times New Roman" w:cs="Times New Roman"/>
                <w:color w:val="auto"/>
                <w:highlight w:val="none"/>
              </w:rPr>
            </w:pPr>
            <w:r>
              <w:rPr>
                <w:rFonts w:ascii="Times New Roman" w:cs="Times New Roman"/>
                <w:color w:val="auto"/>
                <w:highlight w:val="none"/>
              </w:rPr>
              <w:t>岷江</w:t>
            </w:r>
          </w:p>
        </w:tc>
        <w:tc>
          <w:tcPr>
            <w:tcW w:w="665" w:type="pct"/>
            <w:vAlign w:val="center"/>
          </w:tcPr>
          <w:p>
            <w:pPr>
              <w:pStyle w:val="2"/>
              <w:jc w:val="center"/>
              <w:rPr>
                <w:rFonts w:ascii="Times New Roman" w:cs="Times New Roman"/>
                <w:color w:val="auto"/>
                <w:highlight w:val="none"/>
              </w:rPr>
            </w:pPr>
            <w:r>
              <w:rPr>
                <w:rFonts w:ascii="Times New Roman" w:cs="Times New Roman"/>
                <w:color w:val="auto"/>
                <w:highlight w:val="none"/>
              </w:rPr>
              <w:t>东风岩</w:t>
            </w:r>
          </w:p>
        </w:tc>
        <w:tc>
          <w:tcPr>
            <w:tcW w:w="580" w:type="pct"/>
            <w:vAlign w:val="center"/>
          </w:tcPr>
          <w:p>
            <w:pPr>
              <w:jc w:val="right"/>
              <w:rPr>
                <w:sz w:val="24"/>
                <w:highlight w:val="none"/>
              </w:rPr>
            </w:pPr>
            <w:r>
              <w:rPr>
                <w:sz w:val="24"/>
                <w:highlight w:val="none"/>
              </w:rPr>
              <w:t>34600</w:t>
            </w:r>
          </w:p>
        </w:tc>
        <w:tc>
          <w:tcPr>
            <w:tcW w:w="580" w:type="pct"/>
            <w:vAlign w:val="center"/>
          </w:tcPr>
          <w:p>
            <w:pPr>
              <w:jc w:val="right"/>
              <w:rPr>
                <w:sz w:val="24"/>
                <w:highlight w:val="none"/>
              </w:rPr>
            </w:pPr>
            <w:r>
              <w:rPr>
                <w:sz w:val="24"/>
                <w:highlight w:val="none"/>
              </w:rPr>
              <w:t>28800</w:t>
            </w:r>
          </w:p>
        </w:tc>
        <w:tc>
          <w:tcPr>
            <w:tcW w:w="580" w:type="pct"/>
            <w:vAlign w:val="center"/>
          </w:tcPr>
          <w:p>
            <w:pPr>
              <w:jc w:val="right"/>
              <w:rPr>
                <w:sz w:val="24"/>
                <w:highlight w:val="none"/>
              </w:rPr>
            </w:pPr>
            <w:r>
              <w:rPr>
                <w:sz w:val="24"/>
                <w:highlight w:val="none"/>
              </w:rPr>
              <w:t>23000</w:t>
            </w:r>
          </w:p>
        </w:tc>
        <w:tc>
          <w:tcPr>
            <w:tcW w:w="584" w:type="pct"/>
            <w:vAlign w:val="center"/>
          </w:tcPr>
          <w:p>
            <w:pPr>
              <w:jc w:val="right"/>
              <w:rPr>
                <w:sz w:val="24"/>
                <w:highlight w:val="none"/>
              </w:rPr>
            </w:pPr>
            <w:r>
              <w:rPr>
                <w:sz w:val="24"/>
                <w:highlight w:val="none"/>
              </w:rPr>
              <w:t>15700</w:t>
            </w:r>
          </w:p>
        </w:tc>
        <w:tc>
          <w:tcPr>
            <w:tcW w:w="1347" w:type="pct"/>
          </w:tcPr>
          <w:p>
            <w:pPr>
              <w:pStyle w:val="2"/>
              <w:jc w:val="center"/>
              <w:rPr>
                <w:rFonts w:ascii="Times New Roman" w:cs="Times New Roman"/>
                <w:color w:val="auto"/>
                <w:highlight w:val="none"/>
              </w:rPr>
            </w:pPr>
            <w:r>
              <w:rPr>
                <w:rFonts w:ascii="Times New Roman" w:cs="Times New Roman"/>
                <w:color w:val="auto"/>
                <w:highlight w:val="none"/>
              </w:rPr>
              <w:t>东风岩工可报告</w:t>
            </w:r>
          </w:p>
        </w:tc>
      </w:tr>
      <w:tr>
        <w:tblPrEx>
          <w:tblBorders>
            <w:top w:val="thinThickSmallGap" w:color="auto" w:sz="18" w:space="0"/>
            <w:left w:val="none" w:color="auto" w:sz="0" w:space="0"/>
            <w:bottom w:val="thickThinSmallGap" w:color="auto"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4" w:type="pct"/>
            <w:vAlign w:val="center"/>
          </w:tcPr>
          <w:p>
            <w:pPr>
              <w:pStyle w:val="2"/>
              <w:jc w:val="center"/>
              <w:rPr>
                <w:rFonts w:ascii="Times New Roman" w:cs="Times New Roman"/>
                <w:color w:val="auto"/>
                <w:highlight w:val="none"/>
              </w:rPr>
            </w:pPr>
            <w:r>
              <w:rPr>
                <w:rFonts w:ascii="Times New Roman" w:cs="Times New Roman"/>
                <w:color w:val="auto"/>
                <w:highlight w:val="none"/>
              </w:rPr>
              <w:t>岷江</w:t>
            </w:r>
          </w:p>
        </w:tc>
        <w:tc>
          <w:tcPr>
            <w:tcW w:w="665" w:type="pct"/>
            <w:vAlign w:val="center"/>
          </w:tcPr>
          <w:p>
            <w:pPr>
              <w:pStyle w:val="2"/>
              <w:jc w:val="center"/>
              <w:rPr>
                <w:rFonts w:ascii="Times New Roman" w:cs="Times New Roman"/>
                <w:color w:val="auto"/>
                <w:highlight w:val="none"/>
              </w:rPr>
            </w:pPr>
            <w:r>
              <w:rPr>
                <w:rFonts w:ascii="Times New Roman" w:cs="Times New Roman"/>
                <w:color w:val="auto"/>
                <w:highlight w:val="none"/>
              </w:rPr>
              <w:t>犍为</w:t>
            </w:r>
          </w:p>
        </w:tc>
        <w:tc>
          <w:tcPr>
            <w:tcW w:w="580" w:type="pct"/>
            <w:vAlign w:val="center"/>
          </w:tcPr>
          <w:p>
            <w:pPr>
              <w:jc w:val="right"/>
              <w:rPr>
                <w:sz w:val="24"/>
                <w:highlight w:val="none"/>
              </w:rPr>
            </w:pPr>
            <w:r>
              <w:rPr>
                <w:sz w:val="24"/>
                <w:highlight w:val="none"/>
              </w:rPr>
              <w:t>36100</w:t>
            </w:r>
          </w:p>
        </w:tc>
        <w:tc>
          <w:tcPr>
            <w:tcW w:w="580" w:type="pct"/>
            <w:vAlign w:val="center"/>
          </w:tcPr>
          <w:p>
            <w:pPr>
              <w:jc w:val="right"/>
              <w:rPr>
                <w:sz w:val="24"/>
                <w:highlight w:val="none"/>
              </w:rPr>
            </w:pPr>
          </w:p>
        </w:tc>
        <w:tc>
          <w:tcPr>
            <w:tcW w:w="580" w:type="pct"/>
            <w:vAlign w:val="center"/>
          </w:tcPr>
          <w:p>
            <w:pPr>
              <w:jc w:val="right"/>
              <w:rPr>
                <w:sz w:val="24"/>
                <w:highlight w:val="none"/>
              </w:rPr>
            </w:pPr>
            <w:r>
              <w:rPr>
                <w:sz w:val="24"/>
                <w:highlight w:val="none"/>
              </w:rPr>
              <w:t>24400</w:t>
            </w:r>
          </w:p>
        </w:tc>
        <w:tc>
          <w:tcPr>
            <w:tcW w:w="584" w:type="pct"/>
            <w:vAlign w:val="center"/>
          </w:tcPr>
          <w:p>
            <w:pPr>
              <w:jc w:val="right"/>
              <w:rPr>
                <w:sz w:val="24"/>
                <w:highlight w:val="none"/>
              </w:rPr>
            </w:pPr>
          </w:p>
        </w:tc>
        <w:tc>
          <w:tcPr>
            <w:tcW w:w="1347" w:type="pct"/>
          </w:tcPr>
          <w:p>
            <w:pPr>
              <w:pStyle w:val="2"/>
              <w:jc w:val="center"/>
              <w:rPr>
                <w:rFonts w:ascii="Times New Roman" w:cs="Times New Roman"/>
                <w:color w:val="auto"/>
                <w:highlight w:val="none"/>
              </w:rPr>
            </w:pPr>
            <w:r>
              <w:rPr>
                <w:rFonts w:ascii="Times New Roman" w:cs="Times New Roman"/>
                <w:color w:val="auto"/>
                <w:highlight w:val="none"/>
              </w:rPr>
              <w:t>犍为工可报告</w:t>
            </w:r>
          </w:p>
        </w:tc>
      </w:tr>
      <w:tr>
        <w:tblPrEx>
          <w:tblBorders>
            <w:top w:val="thinThickSmallGap" w:color="auto" w:sz="18" w:space="0"/>
            <w:left w:val="none" w:color="auto" w:sz="0" w:space="0"/>
            <w:bottom w:val="thickThinSmallGap" w:color="auto"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4" w:type="pct"/>
            <w:vAlign w:val="center"/>
          </w:tcPr>
          <w:p>
            <w:pPr>
              <w:pStyle w:val="2"/>
              <w:jc w:val="center"/>
              <w:rPr>
                <w:rFonts w:ascii="Times New Roman" w:cs="Times New Roman"/>
                <w:color w:val="auto"/>
                <w:highlight w:val="none"/>
              </w:rPr>
            </w:pPr>
            <w:r>
              <w:rPr>
                <w:rFonts w:ascii="Times New Roman" w:cs="Times New Roman"/>
                <w:color w:val="auto"/>
                <w:highlight w:val="none"/>
              </w:rPr>
              <w:t>岷江</w:t>
            </w:r>
          </w:p>
        </w:tc>
        <w:tc>
          <w:tcPr>
            <w:tcW w:w="665" w:type="pct"/>
            <w:vAlign w:val="center"/>
          </w:tcPr>
          <w:p>
            <w:pPr>
              <w:pStyle w:val="2"/>
              <w:jc w:val="center"/>
              <w:rPr>
                <w:rFonts w:ascii="Times New Roman" w:cs="Times New Roman"/>
                <w:color w:val="auto"/>
                <w:highlight w:val="none"/>
              </w:rPr>
            </w:pPr>
            <w:r>
              <w:rPr>
                <w:rFonts w:ascii="Times New Roman" w:cs="Times New Roman"/>
                <w:color w:val="auto"/>
                <w:highlight w:val="none"/>
              </w:rPr>
              <w:t>龙溪口</w:t>
            </w:r>
          </w:p>
        </w:tc>
        <w:tc>
          <w:tcPr>
            <w:tcW w:w="580" w:type="pct"/>
            <w:vAlign w:val="center"/>
          </w:tcPr>
          <w:p>
            <w:pPr>
              <w:jc w:val="right"/>
              <w:rPr>
                <w:sz w:val="24"/>
                <w:highlight w:val="none"/>
              </w:rPr>
            </w:pPr>
            <w:r>
              <w:rPr>
                <w:sz w:val="24"/>
                <w:highlight w:val="none"/>
              </w:rPr>
              <w:t>38300</w:t>
            </w:r>
          </w:p>
        </w:tc>
        <w:tc>
          <w:tcPr>
            <w:tcW w:w="580" w:type="pct"/>
            <w:vAlign w:val="center"/>
          </w:tcPr>
          <w:p>
            <w:pPr>
              <w:jc w:val="right"/>
              <w:rPr>
                <w:sz w:val="24"/>
                <w:highlight w:val="none"/>
              </w:rPr>
            </w:pPr>
            <w:r>
              <w:rPr>
                <w:sz w:val="24"/>
                <w:highlight w:val="none"/>
              </w:rPr>
              <w:t>32100</w:t>
            </w:r>
          </w:p>
        </w:tc>
        <w:tc>
          <w:tcPr>
            <w:tcW w:w="580" w:type="pct"/>
            <w:vAlign w:val="center"/>
          </w:tcPr>
          <w:p>
            <w:pPr>
              <w:jc w:val="right"/>
              <w:rPr>
                <w:sz w:val="24"/>
                <w:highlight w:val="none"/>
              </w:rPr>
            </w:pPr>
            <w:r>
              <w:rPr>
                <w:sz w:val="24"/>
                <w:highlight w:val="none"/>
              </w:rPr>
              <w:t>25900</w:t>
            </w:r>
          </w:p>
        </w:tc>
        <w:tc>
          <w:tcPr>
            <w:tcW w:w="584" w:type="pct"/>
            <w:vAlign w:val="center"/>
          </w:tcPr>
          <w:p>
            <w:pPr>
              <w:jc w:val="right"/>
              <w:rPr>
                <w:sz w:val="24"/>
                <w:highlight w:val="none"/>
              </w:rPr>
            </w:pPr>
            <w:r>
              <w:rPr>
                <w:sz w:val="24"/>
                <w:highlight w:val="none"/>
              </w:rPr>
              <w:t>18000</w:t>
            </w:r>
          </w:p>
        </w:tc>
        <w:tc>
          <w:tcPr>
            <w:tcW w:w="1347" w:type="pct"/>
          </w:tcPr>
          <w:p>
            <w:pPr>
              <w:pStyle w:val="2"/>
              <w:jc w:val="center"/>
              <w:rPr>
                <w:rFonts w:ascii="Times New Roman" w:cs="Times New Roman"/>
                <w:color w:val="auto"/>
                <w:highlight w:val="none"/>
              </w:rPr>
            </w:pPr>
            <w:r>
              <w:rPr>
                <w:rFonts w:ascii="Times New Roman" w:cs="Times New Roman"/>
                <w:color w:val="auto"/>
                <w:highlight w:val="none"/>
              </w:rPr>
              <w:t>龙溪口工可报告</w:t>
            </w:r>
          </w:p>
        </w:tc>
      </w:tr>
      <w:tr>
        <w:tblPrEx>
          <w:tblBorders>
            <w:top w:val="thinThickSmallGap" w:color="auto" w:sz="18" w:space="0"/>
            <w:left w:val="none" w:color="auto" w:sz="0" w:space="0"/>
            <w:bottom w:val="thickThinSmallGap" w:color="auto"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4" w:type="pct"/>
            <w:vAlign w:val="center"/>
          </w:tcPr>
          <w:p>
            <w:pPr>
              <w:pStyle w:val="2"/>
              <w:jc w:val="center"/>
              <w:rPr>
                <w:rFonts w:ascii="Times New Roman" w:cs="Times New Roman"/>
                <w:color w:val="auto"/>
                <w:highlight w:val="none"/>
              </w:rPr>
            </w:pPr>
            <w:r>
              <w:rPr>
                <w:rFonts w:ascii="Times New Roman" w:cs="Times New Roman"/>
                <w:color w:val="auto"/>
                <w:highlight w:val="none"/>
              </w:rPr>
              <w:t>大渡河</w:t>
            </w:r>
          </w:p>
        </w:tc>
        <w:tc>
          <w:tcPr>
            <w:tcW w:w="665" w:type="pct"/>
            <w:vAlign w:val="center"/>
          </w:tcPr>
          <w:p>
            <w:pPr>
              <w:pStyle w:val="2"/>
              <w:jc w:val="center"/>
              <w:rPr>
                <w:rFonts w:ascii="Times New Roman" w:cs="Times New Roman"/>
                <w:color w:val="auto"/>
                <w:highlight w:val="none"/>
              </w:rPr>
            </w:pPr>
            <w:r>
              <w:rPr>
                <w:rFonts w:ascii="Times New Roman" w:cs="Times New Roman"/>
                <w:color w:val="auto"/>
                <w:highlight w:val="none"/>
              </w:rPr>
              <w:t>龚嘴</w:t>
            </w:r>
          </w:p>
        </w:tc>
        <w:tc>
          <w:tcPr>
            <w:tcW w:w="580" w:type="pct"/>
            <w:vAlign w:val="center"/>
          </w:tcPr>
          <w:p>
            <w:pPr>
              <w:snapToGrid w:val="0"/>
              <w:ind w:left="-84" w:leftChars="-40" w:right="-97" w:rightChars="-46"/>
              <w:jc w:val="center"/>
              <w:rPr>
                <w:sz w:val="24"/>
                <w:highlight w:val="none"/>
              </w:rPr>
            </w:pPr>
          </w:p>
        </w:tc>
        <w:tc>
          <w:tcPr>
            <w:tcW w:w="580" w:type="pct"/>
            <w:vAlign w:val="center"/>
          </w:tcPr>
          <w:p>
            <w:pPr>
              <w:snapToGrid w:val="0"/>
              <w:ind w:left="-84" w:leftChars="-40" w:right="-97" w:rightChars="-46"/>
              <w:jc w:val="center"/>
              <w:rPr>
                <w:sz w:val="24"/>
                <w:highlight w:val="none"/>
              </w:rPr>
            </w:pPr>
          </w:p>
        </w:tc>
        <w:tc>
          <w:tcPr>
            <w:tcW w:w="580" w:type="pct"/>
            <w:vAlign w:val="center"/>
          </w:tcPr>
          <w:p>
            <w:pPr>
              <w:snapToGrid w:val="0"/>
              <w:ind w:left="-84" w:leftChars="-40" w:right="-97" w:rightChars="-46"/>
              <w:jc w:val="center"/>
              <w:rPr>
                <w:sz w:val="24"/>
                <w:highlight w:val="none"/>
              </w:rPr>
            </w:pPr>
            <w:r>
              <w:rPr>
                <w:sz w:val="24"/>
                <w:highlight w:val="none"/>
              </w:rPr>
              <w:t>7800</w:t>
            </w:r>
          </w:p>
        </w:tc>
        <w:tc>
          <w:tcPr>
            <w:tcW w:w="584" w:type="pct"/>
            <w:vAlign w:val="center"/>
          </w:tcPr>
          <w:p>
            <w:pPr>
              <w:snapToGrid w:val="0"/>
              <w:ind w:left="-84" w:leftChars="-40" w:right="-97" w:rightChars="-46"/>
              <w:jc w:val="center"/>
              <w:rPr>
                <w:sz w:val="24"/>
                <w:highlight w:val="none"/>
              </w:rPr>
            </w:pPr>
          </w:p>
        </w:tc>
        <w:tc>
          <w:tcPr>
            <w:tcW w:w="1347" w:type="pct"/>
          </w:tcPr>
          <w:p>
            <w:pPr>
              <w:pStyle w:val="2"/>
              <w:jc w:val="center"/>
              <w:rPr>
                <w:rFonts w:ascii="Times New Roman" w:cs="Times New Roman"/>
                <w:color w:val="auto"/>
                <w:highlight w:val="none"/>
              </w:rPr>
            </w:pPr>
          </w:p>
        </w:tc>
      </w:tr>
      <w:tr>
        <w:tblPrEx>
          <w:tblBorders>
            <w:top w:val="thinThickSmallGap" w:color="auto" w:sz="18" w:space="0"/>
            <w:left w:val="none" w:color="auto" w:sz="0" w:space="0"/>
            <w:bottom w:val="thickThinSmallGap" w:color="auto"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4" w:type="pct"/>
            <w:vAlign w:val="center"/>
          </w:tcPr>
          <w:p>
            <w:pPr>
              <w:pStyle w:val="2"/>
              <w:jc w:val="center"/>
              <w:rPr>
                <w:rFonts w:ascii="Times New Roman" w:cs="Times New Roman"/>
                <w:color w:val="auto"/>
                <w:highlight w:val="none"/>
              </w:rPr>
            </w:pPr>
            <w:r>
              <w:rPr>
                <w:rFonts w:ascii="Times New Roman" w:cs="Times New Roman"/>
                <w:color w:val="auto"/>
                <w:highlight w:val="none"/>
              </w:rPr>
              <w:t>大渡河</w:t>
            </w:r>
          </w:p>
        </w:tc>
        <w:tc>
          <w:tcPr>
            <w:tcW w:w="665" w:type="pct"/>
            <w:vAlign w:val="center"/>
          </w:tcPr>
          <w:p>
            <w:pPr>
              <w:pStyle w:val="2"/>
              <w:jc w:val="center"/>
              <w:rPr>
                <w:rFonts w:ascii="Times New Roman" w:cs="Times New Roman"/>
                <w:color w:val="auto"/>
                <w:highlight w:val="none"/>
              </w:rPr>
            </w:pPr>
            <w:r>
              <w:rPr>
                <w:rFonts w:ascii="Times New Roman" w:cs="Times New Roman"/>
                <w:color w:val="auto"/>
                <w:highlight w:val="none"/>
              </w:rPr>
              <w:t>铜街子</w:t>
            </w:r>
          </w:p>
        </w:tc>
        <w:tc>
          <w:tcPr>
            <w:tcW w:w="580" w:type="pct"/>
            <w:vAlign w:val="center"/>
          </w:tcPr>
          <w:p>
            <w:pPr>
              <w:snapToGrid w:val="0"/>
              <w:ind w:left="-84" w:leftChars="-40" w:right="-97" w:rightChars="-46"/>
              <w:jc w:val="center"/>
              <w:rPr>
                <w:sz w:val="24"/>
                <w:highlight w:val="none"/>
              </w:rPr>
            </w:pPr>
            <w:r>
              <w:rPr>
                <w:sz w:val="24"/>
                <w:highlight w:val="none"/>
              </w:rPr>
              <w:t>9040</w:t>
            </w:r>
          </w:p>
        </w:tc>
        <w:tc>
          <w:tcPr>
            <w:tcW w:w="580" w:type="pct"/>
            <w:vAlign w:val="center"/>
          </w:tcPr>
          <w:p>
            <w:pPr>
              <w:snapToGrid w:val="0"/>
              <w:ind w:left="-84" w:leftChars="-40" w:right="-97" w:rightChars="-46"/>
              <w:jc w:val="center"/>
              <w:rPr>
                <w:sz w:val="24"/>
                <w:highlight w:val="none"/>
              </w:rPr>
            </w:pPr>
            <w:r>
              <w:rPr>
                <w:sz w:val="24"/>
                <w:highlight w:val="none"/>
              </w:rPr>
              <w:t>8190</w:t>
            </w:r>
          </w:p>
        </w:tc>
        <w:tc>
          <w:tcPr>
            <w:tcW w:w="580" w:type="pct"/>
            <w:vAlign w:val="center"/>
          </w:tcPr>
          <w:p>
            <w:pPr>
              <w:snapToGrid w:val="0"/>
              <w:ind w:left="-84" w:leftChars="-40" w:right="-97" w:rightChars="-46"/>
              <w:jc w:val="center"/>
              <w:rPr>
                <w:sz w:val="24"/>
                <w:highlight w:val="none"/>
              </w:rPr>
            </w:pPr>
            <w:r>
              <w:rPr>
                <w:sz w:val="24"/>
                <w:highlight w:val="none"/>
              </w:rPr>
              <w:t>7290</w:t>
            </w:r>
          </w:p>
        </w:tc>
        <w:tc>
          <w:tcPr>
            <w:tcW w:w="584" w:type="pct"/>
            <w:vAlign w:val="center"/>
          </w:tcPr>
          <w:p>
            <w:pPr>
              <w:snapToGrid w:val="0"/>
              <w:ind w:left="-84" w:leftChars="-40" w:right="-97" w:rightChars="-46"/>
              <w:jc w:val="center"/>
              <w:rPr>
                <w:sz w:val="24"/>
                <w:highlight w:val="none"/>
              </w:rPr>
            </w:pPr>
            <w:r>
              <w:rPr>
                <w:sz w:val="24"/>
                <w:highlight w:val="none"/>
              </w:rPr>
              <w:t>5920</w:t>
            </w:r>
          </w:p>
        </w:tc>
        <w:tc>
          <w:tcPr>
            <w:tcW w:w="1347" w:type="pct"/>
          </w:tcPr>
          <w:p>
            <w:pPr>
              <w:pStyle w:val="2"/>
              <w:jc w:val="center"/>
              <w:rPr>
                <w:rFonts w:ascii="Times New Roman" w:cs="Times New Roman"/>
                <w:color w:val="auto"/>
                <w:highlight w:val="none"/>
              </w:rPr>
            </w:pPr>
            <w:r>
              <w:rPr>
                <w:rFonts w:ascii="Times New Roman" w:cs="Times New Roman"/>
                <w:color w:val="auto"/>
                <w:highlight w:val="none"/>
              </w:rPr>
              <w:t>铜街子水电站技施设计说明书</w:t>
            </w:r>
          </w:p>
        </w:tc>
      </w:tr>
      <w:tr>
        <w:tblPrEx>
          <w:tblBorders>
            <w:top w:val="thinThickSmallGap" w:color="auto" w:sz="18" w:space="0"/>
            <w:left w:val="none" w:color="auto" w:sz="0" w:space="0"/>
            <w:bottom w:val="thickThinSmallGap" w:color="auto"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4" w:type="pct"/>
            <w:vAlign w:val="center"/>
          </w:tcPr>
          <w:p>
            <w:pPr>
              <w:pStyle w:val="2"/>
              <w:jc w:val="center"/>
              <w:rPr>
                <w:rFonts w:ascii="Times New Roman" w:cs="Times New Roman"/>
                <w:color w:val="auto"/>
                <w:highlight w:val="none"/>
              </w:rPr>
            </w:pPr>
            <w:r>
              <w:rPr>
                <w:rFonts w:ascii="Times New Roman" w:cs="Times New Roman"/>
                <w:color w:val="auto"/>
                <w:highlight w:val="none"/>
              </w:rPr>
              <w:t>大渡河</w:t>
            </w:r>
          </w:p>
        </w:tc>
        <w:tc>
          <w:tcPr>
            <w:tcW w:w="665" w:type="pct"/>
            <w:vAlign w:val="center"/>
          </w:tcPr>
          <w:p>
            <w:pPr>
              <w:pStyle w:val="2"/>
              <w:jc w:val="center"/>
              <w:rPr>
                <w:rFonts w:ascii="Times New Roman" w:cs="Times New Roman"/>
                <w:color w:val="auto"/>
                <w:highlight w:val="none"/>
              </w:rPr>
            </w:pPr>
            <w:r>
              <w:rPr>
                <w:rFonts w:ascii="Times New Roman" w:cs="Times New Roman"/>
                <w:color w:val="auto"/>
                <w:highlight w:val="none"/>
              </w:rPr>
              <w:t>安谷</w:t>
            </w:r>
          </w:p>
        </w:tc>
        <w:tc>
          <w:tcPr>
            <w:tcW w:w="580" w:type="pct"/>
            <w:vAlign w:val="center"/>
          </w:tcPr>
          <w:p>
            <w:pPr>
              <w:snapToGrid w:val="0"/>
              <w:ind w:left="-84" w:leftChars="-40" w:right="-97" w:rightChars="-46"/>
              <w:jc w:val="center"/>
              <w:rPr>
                <w:sz w:val="24"/>
                <w:highlight w:val="none"/>
              </w:rPr>
            </w:pPr>
            <w:r>
              <w:rPr>
                <w:sz w:val="24"/>
                <w:highlight w:val="none"/>
              </w:rPr>
              <w:t>8940</w:t>
            </w:r>
          </w:p>
        </w:tc>
        <w:tc>
          <w:tcPr>
            <w:tcW w:w="580" w:type="pct"/>
            <w:vAlign w:val="center"/>
          </w:tcPr>
          <w:p>
            <w:pPr>
              <w:snapToGrid w:val="0"/>
              <w:ind w:left="-84" w:leftChars="-40" w:right="-97" w:rightChars="-46"/>
              <w:jc w:val="center"/>
              <w:rPr>
                <w:sz w:val="24"/>
                <w:highlight w:val="none"/>
              </w:rPr>
            </w:pPr>
            <w:r>
              <w:rPr>
                <w:sz w:val="24"/>
                <w:highlight w:val="none"/>
              </w:rPr>
              <w:t>8090</w:t>
            </w:r>
          </w:p>
        </w:tc>
        <w:tc>
          <w:tcPr>
            <w:tcW w:w="580" w:type="pct"/>
            <w:vAlign w:val="center"/>
          </w:tcPr>
          <w:p>
            <w:pPr>
              <w:snapToGrid w:val="0"/>
              <w:ind w:left="-84" w:leftChars="-40" w:right="-97" w:rightChars="-46"/>
              <w:jc w:val="center"/>
              <w:rPr>
                <w:sz w:val="24"/>
                <w:highlight w:val="none"/>
              </w:rPr>
            </w:pPr>
            <w:r>
              <w:rPr>
                <w:sz w:val="24"/>
                <w:highlight w:val="none"/>
              </w:rPr>
              <w:t>7190</w:t>
            </w:r>
          </w:p>
        </w:tc>
        <w:tc>
          <w:tcPr>
            <w:tcW w:w="584" w:type="pct"/>
            <w:vAlign w:val="center"/>
          </w:tcPr>
          <w:p>
            <w:pPr>
              <w:snapToGrid w:val="0"/>
              <w:ind w:left="-84" w:leftChars="-40" w:right="-97" w:rightChars="-46"/>
              <w:jc w:val="center"/>
              <w:rPr>
                <w:sz w:val="24"/>
                <w:highlight w:val="none"/>
              </w:rPr>
            </w:pPr>
            <w:r>
              <w:rPr>
                <w:sz w:val="24"/>
                <w:highlight w:val="none"/>
              </w:rPr>
              <w:t>5820</w:t>
            </w:r>
          </w:p>
        </w:tc>
        <w:tc>
          <w:tcPr>
            <w:tcW w:w="1347" w:type="pct"/>
          </w:tcPr>
          <w:p>
            <w:pPr>
              <w:pStyle w:val="2"/>
              <w:jc w:val="center"/>
              <w:rPr>
                <w:rFonts w:ascii="Times New Roman" w:cs="Times New Roman"/>
                <w:color w:val="auto"/>
                <w:highlight w:val="none"/>
              </w:rPr>
            </w:pPr>
            <w:r>
              <w:rPr>
                <w:rFonts w:ascii="Times New Roman" w:cs="Times New Roman"/>
                <w:color w:val="auto"/>
                <w:highlight w:val="none"/>
              </w:rPr>
              <w:t>安谷工可报告</w:t>
            </w:r>
          </w:p>
        </w:tc>
      </w:tr>
      <w:tr>
        <w:tblPrEx>
          <w:tblBorders>
            <w:top w:val="thinThickSmallGap" w:color="auto" w:sz="18" w:space="0"/>
            <w:left w:val="none" w:color="auto" w:sz="0" w:space="0"/>
            <w:bottom w:val="thickThinSmallGap" w:color="auto"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4" w:type="pct"/>
            <w:vAlign w:val="center"/>
          </w:tcPr>
          <w:p>
            <w:pPr>
              <w:pStyle w:val="2"/>
              <w:jc w:val="center"/>
              <w:rPr>
                <w:rFonts w:ascii="Times New Roman" w:cs="Times New Roman"/>
                <w:color w:val="auto"/>
                <w:highlight w:val="none"/>
              </w:rPr>
            </w:pPr>
            <w:r>
              <w:rPr>
                <w:rFonts w:ascii="Times New Roman" w:cs="Times New Roman"/>
                <w:color w:val="auto"/>
                <w:highlight w:val="none"/>
              </w:rPr>
              <w:t>青衣江</w:t>
            </w:r>
          </w:p>
        </w:tc>
        <w:tc>
          <w:tcPr>
            <w:tcW w:w="665" w:type="pct"/>
            <w:vAlign w:val="center"/>
          </w:tcPr>
          <w:p>
            <w:pPr>
              <w:pStyle w:val="2"/>
              <w:jc w:val="center"/>
              <w:rPr>
                <w:rFonts w:ascii="Times New Roman" w:cs="Times New Roman"/>
                <w:color w:val="auto"/>
                <w:highlight w:val="none"/>
              </w:rPr>
            </w:pPr>
            <w:r>
              <w:rPr>
                <w:rFonts w:ascii="Times New Roman" w:cs="Times New Roman"/>
                <w:color w:val="auto"/>
                <w:highlight w:val="none"/>
              </w:rPr>
              <w:t>毛滩</w:t>
            </w:r>
          </w:p>
        </w:tc>
        <w:tc>
          <w:tcPr>
            <w:tcW w:w="580" w:type="pct"/>
            <w:vAlign w:val="center"/>
          </w:tcPr>
          <w:p>
            <w:pPr>
              <w:snapToGrid w:val="0"/>
              <w:ind w:left="-84" w:leftChars="-40" w:right="-97" w:rightChars="-46"/>
              <w:jc w:val="center"/>
              <w:rPr>
                <w:sz w:val="24"/>
                <w:highlight w:val="none"/>
              </w:rPr>
            </w:pPr>
            <w:r>
              <w:rPr>
                <w:sz w:val="24"/>
                <w:highlight w:val="none"/>
              </w:rPr>
              <w:t>15000</w:t>
            </w:r>
          </w:p>
        </w:tc>
        <w:tc>
          <w:tcPr>
            <w:tcW w:w="580" w:type="pct"/>
            <w:vAlign w:val="center"/>
          </w:tcPr>
          <w:p>
            <w:pPr>
              <w:snapToGrid w:val="0"/>
              <w:ind w:left="-84" w:leftChars="-40" w:right="-97" w:rightChars="-46"/>
              <w:jc w:val="center"/>
              <w:rPr>
                <w:sz w:val="24"/>
                <w:highlight w:val="none"/>
              </w:rPr>
            </w:pPr>
            <w:r>
              <w:rPr>
                <w:sz w:val="24"/>
                <w:highlight w:val="none"/>
              </w:rPr>
              <w:t>13300</w:t>
            </w:r>
          </w:p>
        </w:tc>
        <w:tc>
          <w:tcPr>
            <w:tcW w:w="580" w:type="pct"/>
            <w:vAlign w:val="center"/>
          </w:tcPr>
          <w:p>
            <w:pPr>
              <w:snapToGrid w:val="0"/>
              <w:ind w:left="-84" w:leftChars="-40" w:right="-97" w:rightChars="-46"/>
              <w:jc w:val="center"/>
              <w:rPr>
                <w:sz w:val="24"/>
                <w:highlight w:val="none"/>
              </w:rPr>
            </w:pPr>
            <w:r>
              <w:rPr>
                <w:sz w:val="24"/>
                <w:highlight w:val="none"/>
              </w:rPr>
              <w:t>11500</w:t>
            </w:r>
          </w:p>
        </w:tc>
        <w:tc>
          <w:tcPr>
            <w:tcW w:w="584" w:type="pct"/>
            <w:vAlign w:val="center"/>
          </w:tcPr>
          <w:p>
            <w:pPr>
              <w:snapToGrid w:val="0"/>
              <w:ind w:left="-84" w:leftChars="-40" w:right="-97" w:rightChars="-46"/>
              <w:jc w:val="center"/>
              <w:rPr>
                <w:sz w:val="24"/>
                <w:highlight w:val="none"/>
              </w:rPr>
            </w:pPr>
            <w:r>
              <w:rPr>
                <w:sz w:val="24"/>
                <w:highlight w:val="none"/>
              </w:rPr>
              <w:t>8600</w:t>
            </w:r>
          </w:p>
        </w:tc>
        <w:tc>
          <w:tcPr>
            <w:tcW w:w="1347" w:type="pct"/>
          </w:tcPr>
          <w:p>
            <w:pPr>
              <w:pStyle w:val="2"/>
              <w:jc w:val="center"/>
              <w:rPr>
                <w:rFonts w:ascii="Times New Roman" w:cs="Times New Roman"/>
                <w:color w:val="auto"/>
                <w:highlight w:val="none"/>
              </w:rPr>
            </w:pPr>
            <w:r>
              <w:rPr>
                <w:rFonts w:ascii="Times New Roman" w:cs="Times New Roman"/>
                <w:color w:val="auto"/>
                <w:highlight w:val="none"/>
              </w:rPr>
              <w:t>毛滩工可</w:t>
            </w:r>
          </w:p>
        </w:tc>
      </w:tr>
    </w:tbl>
    <w:p>
      <w:pPr>
        <w:spacing w:before="312" w:beforeLines="100" w:line="360" w:lineRule="auto"/>
        <w:ind w:firstLine="562" w:firstLineChars="200"/>
        <w:rPr>
          <w:b/>
          <w:sz w:val="28"/>
          <w:szCs w:val="28"/>
          <w:highlight w:val="none"/>
        </w:rPr>
      </w:pPr>
      <w:r>
        <w:rPr>
          <w:b/>
          <w:sz w:val="28"/>
          <w:szCs w:val="28"/>
          <w:highlight w:val="none"/>
        </w:rPr>
        <w:t>（四）设计水位</w:t>
      </w:r>
    </w:p>
    <w:p>
      <w:pPr>
        <w:ind w:firstLine="560" w:firstLineChars="200"/>
        <w:rPr>
          <w:sz w:val="28"/>
          <w:szCs w:val="28"/>
          <w:highlight w:val="none"/>
        </w:rPr>
      </w:pPr>
      <w:r>
        <w:rPr>
          <w:sz w:val="28"/>
          <w:szCs w:val="28"/>
          <w:highlight w:val="none"/>
        </w:rPr>
        <w:t>本次规划的重点作业区或码头均位于规划的各梯级库区内，属于库区码头。根据《港口与航道水文规范》（JTS145-2015），枢纽上游河段一类（二类）码头设计高水位可根据枢纽坝前正常蓄水位时的沿程回水曲线确定，并应计入河床可能淤积引起的水位抬高值，该值低于20年一遇（10年一遇）水位时，应按20年一遇（10年一遇）水位确定；枢纽上游河段码头设计低水可采用规定保证率的入库流量与相应的坝前消落水位组合，并采用坝前死水位或最低运行水位与相应各级入库流量组合，得出多组回水曲线，取其下包线作为沿程各点的设计低水位。</w:t>
      </w:r>
    </w:p>
    <w:p>
      <w:pPr>
        <w:ind w:firstLine="560" w:firstLineChars="200"/>
        <w:rPr>
          <w:sz w:val="28"/>
          <w:szCs w:val="28"/>
          <w:highlight w:val="none"/>
        </w:rPr>
      </w:pPr>
      <w:r>
        <w:rPr>
          <w:sz w:val="28"/>
          <w:szCs w:val="28"/>
          <w:highlight w:val="none"/>
        </w:rPr>
        <w:t>本次规划收集了各相关枢纽的设计洪水、特征水位、运行方式、回水曲线等资料以及《岷江中下游（乐山段）防洪规划修编报告》（2012</w:t>
      </w:r>
      <w:r>
        <w:rPr>
          <w:rFonts w:hint="eastAsia"/>
          <w:sz w:val="28"/>
          <w:szCs w:val="28"/>
          <w:highlight w:val="none"/>
        </w:rPr>
        <w:t>年</w:t>
      </w:r>
      <w:r>
        <w:rPr>
          <w:sz w:val="28"/>
          <w:szCs w:val="28"/>
          <w:highlight w:val="none"/>
        </w:rPr>
        <w:t>），根据上述资料采用内插法或比降法初步推求各重点作业区或码头设计水位如表1.2-5所示。由于未收集到龚嘴电站10年一遇回水曲线，龙眼坝、白果货运岸线设计高水位采用5年一遇水位。</w:t>
      </w:r>
    </w:p>
    <w:p>
      <w:pPr>
        <w:pStyle w:val="2"/>
        <w:rPr>
          <w:rFonts w:ascii="Times New Roman" w:cs="Times New Roman"/>
          <w:color w:val="auto"/>
          <w:kern w:val="2"/>
          <w:sz w:val="28"/>
          <w:szCs w:val="28"/>
          <w:highlight w:val="none"/>
        </w:rPr>
        <w:sectPr>
          <w:pgSz w:w="11906" w:h="16838"/>
          <w:pgMar w:top="1440" w:right="1418" w:bottom="1440" w:left="1418" w:header="851" w:footer="992" w:gutter="0"/>
          <w:cols w:space="425" w:num="1"/>
          <w:docGrid w:type="lines" w:linePitch="312" w:charSpace="0"/>
        </w:sectPr>
      </w:pPr>
    </w:p>
    <w:p>
      <w:pPr>
        <w:spacing w:line="360" w:lineRule="auto"/>
        <w:ind w:firstLine="562" w:firstLineChars="200"/>
        <w:rPr>
          <w:b/>
          <w:sz w:val="28"/>
          <w:szCs w:val="28"/>
          <w:highlight w:val="none"/>
        </w:rPr>
      </w:pPr>
      <w:r>
        <w:rPr>
          <w:b/>
          <w:sz w:val="28"/>
          <w:szCs w:val="28"/>
          <w:highlight w:val="none"/>
        </w:rPr>
        <w:t>（五）泥沙</w:t>
      </w:r>
    </w:p>
    <w:p>
      <w:pPr>
        <w:ind w:firstLine="560" w:firstLineChars="200"/>
        <w:rPr>
          <w:sz w:val="28"/>
          <w:szCs w:val="28"/>
          <w:highlight w:val="none"/>
        </w:rPr>
      </w:pPr>
      <w:r>
        <w:rPr>
          <w:sz w:val="28"/>
          <w:szCs w:val="28"/>
          <w:highlight w:val="none"/>
        </w:rPr>
        <w:t>岷江河流穿行于四川盆地，地势大部分为丘陵区。上游来沙由于都江堰水利工程的引水分流，部分悬移质泥沙被引走。该岷江干流中下游产沙区地势较平坦，产沙主要来源于降雨对地表的侵蚀，但侵蚀强度不大。</w:t>
      </w:r>
    </w:p>
    <w:p>
      <w:pPr>
        <w:ind w:firstLine="560" w:firstLineChars="200"/>
        <w:rPr>
          <w:sz w:val="28"/>
          <w:szCs w:val="28"/>
          <w:highlight w:val="none"/>
        </w:rPr>
      </w:pPr>
      <w:r>
        <w:rPr>
          <w:sz w:val="28"/>
          <w:szCs w:val="28"/>
          <w:highlight w:val="none"/>
        </w:rPr>
        <w:t>大渡河乐山段地形由低山向丘陵宽谷过渡，干流段地质构造现代活动性不强，岩体完整性好，植被条件良好，水土流失不甚严重，据沙坪水文站悬移质实测资料统计，多年平均输沙模数为509t/km</w:t>
      </w:r>
      <w:r>
        <w:rPr>
          <w:sz w:val="28"/>
          <w:szCs w:val="28"/>
          <w:highlight w:val="none"/>
          <w:vertAlign w:val="superscript"/>
        </w:rPr>
        <w:t>2</w:t>
      </w:r>
      <w:r>
        <w:rPr>
          <w:sz w:val="28"/>
          <w:szCs w:val="28"/>
          <w:highlight w:val="none"/>
        </w:rPr>
        <w:t>，多年平均含沙量为0.846kg/m</w:t>
      </w:r>
      <w:r>
        <w:rPr>
          <w:sz w:val="28"/>
          <w:szCs w:val="28"/>
          <w:highlight w:val="none"/>
          <w:vertAlign w:val="superscript"/>
        </w:rPr>
        <w:t>3</w:t>
      </w:r>
      <w:r>
        <w:rPr>
          <w:sz w:val="28"/>
          <w:szCs w:val="28"/>
          <w:highlight w:val="none"/>
        </w:rPr>
        <w:t>。青衣江流域泥沙主要来自多营坪以上，整个流域水土流失较严重，据统计，青衣江流域多年平均输沙模数806t/km</w:t>
      </w:r>
      <w:r>
        <w:rPr>
          <w:sz w:val="28"/>
          <w:szCs w:val="28"/>
          <w:highlight w:val="none"/>
          <w:vertAlign w:val="superscript"/>
        </w:rPr>
        <w:t>2</w:t>
      </w:r>
      <w:r>
        <w:rPr>
          <w:sz w:val="28"/>
          <w:szCs w:val="28"/>
          <w:highlight w:val="none"/>
        </w:rPr>
        <w:t>。</w:t>
      </w:r>
    </w:p>
    <w:p>
      <w:pPr>
        <w:spacing w:line="360" w:lineRule="auto"/>
        <w:ind w:firstLine="562" w:firstLineChars="200"/>
        <w:outlineLvl w:val="2"/>
        <w:rPr>
          <w:rFonts w:eastAsia="黑体"/>
          <w:b/>
          <w:sz w:val="28"/>
          <w:szCs w:val="28"/>
          <w:highlight w:val="none"/>
        </w:rPr>
      </w:pPr>
      <w:bookmarkStart w:id="33" w:name="_Toc53089179"/>
      <w:bookmarkStart w:id="34" w:name="_Toc67908206"/>
      <w:bookmarkStart w:id="35" w:name="_Toc39690679"/>
      <w:bookmarkStart w:id="36" w:name="_Toc67924610"/>
      <w:bookmarkStart w:id="37" w:name="_Toc77781866"/>
      <w:r>
        <w:rPr>
          <w:rFonts w:eastAsia="黑体"/>
          <w:b/>
          <w:sz w:val="28"/>
          <w:szCs w:val="28"/>
          <w:highlight w:val="none"/>
        </w:rPr>
        <w:t>三、地形、地貌、地质</w:t>
      </w:r>
      <w:bookmarkEnd w:id="33"/>
      <w:bookmarkEnd w:id="34"/>
      <w:bookmarkEnd w:id="35"/>
      <w:bookmarkEnd w:id="36"/>
      <w:bookmarkEnd w:id="37"/>
    </w:p>
    <w:p>
      <w:pPr>
        <w:spacing w:line="360" w:lineRule="auto"/>
        <w:ind w:firstLine="562" w:firstLineChars="200"/>
        <w:rPr>
          <w:b/>
          <w:kern w:val="0"/>
          <w:sz w:val="28"/>
          <w:szCs w:val="28"/>
          <w:highlight w:val="none"/>
        </w:rPr>
      </w:pPr>
      <w:r>
        <w:rPr>
          <w:b/>
          <w:kern w:val="0"/>
          <w:sz w:val="28"/>
          <w:szCs w:val="28"/>
          <w:highlight w:val="none"/>
        </w:rPr>
        <w:t>（一）地形地貌</w:t>
      </w:r>
    </w:p>
    <w:p>
      <w:pPr>
        <w:spacing w:line="360" w:lineRule="auto"/>
        <w:ind w:firstLine="560" w:firstLineChars="200"/>
        <w:rPr>
          <w:sz w:val="28"/>
          <w:szCs w:val="28"/>
          <w:highlight w:val="none"/>
        </w:rPr>
      </w:pPr>
      <w:r>
        <w:rPr>
          <w:sz w:val="28"/>
          <w:szCs w:val="28"/>
          <w:highlight w:val="none"/>
        </w:rPr>
        <w:t>规划区地势总体为北低南高，夹江、乐山、五通桥一带为浅丘～深丘的丘陵地貌，沙湾、犍为一带属深丘～低山区，金口河～峨边属低山～中山区。</w:t>
      </w:r>
    </w:p>
    <w:p>
      <w:pPr>
        <w:spacing w:line="360" w:lineRule="auto"/>
        <w:ind w:firstLine="560" w:firstLineChars="200"/>
        <w:rPr>
          <w:sz w:val="28"/>
          <w:szCs w:val="28"/>
          <w:highlight w:val="none"/>
        </w:rPr>
      </w:pPr>
      <w:r>
        <w:rPr>
          <w:sz w:val="28"/>
          <w:szCs w:val="28"/>
          <w:highlight w:val="none"/>
        </w:rPr>
        <w:t>岷江河谷开阔、弯曲，断面呈“U”型，且有宽阔的漫滩与阶地，河道比降较上游平缓，两岸支流发育。岷江中游平羌峡～乐山大渡河口段长为23km，平均比降1. 8‰；岷江干流下游乐山大渡河口～五通桥段长23km，平均比降0.21‰，犍为～高场段长72km，平均比降为0.70‰，高场～宜宾段长27km，平均比降约0.50‰；青衣江系岷江二级支流，河长284km，下游槽渔滩～河口段长92.4km，全河平均比降12. 9‰；上游山区森林密布，植被良好；以东属低山丘陵区，地势平缓。海拔高度约400～1000m，一般河谷开阔宽敞，断面呈“U”型，且有宽阔的漫滩与阶地，河道比降较上游平缓，约在1～2%之间，植被较差，人口密集，城镇集中。支流大渡河中下游在乐山境内河长172km，落差253m，平均比降1.31‰。大渡河干流在铜街子以上，河水行进在高山峡谷之间，河道弯曲，坡陡，流急。铜街子以下河宽逐渐增大。特别是沙湾至乐山段，长约35km，河谷开阔，水流散乱；汊濠纵横，洲岛遍布，是典型的多汊滩险河道。</w:t>
      </w:r>
    </w:p>
    <w:p>
      <w:pPr>
        <w:spacing w:line="360" w:lineRule="auto"/>
        <w:ind w:firstLine="560" w:firstLineChars="200"/>
        <w:rPr>
          <w:sz w:val="28"/>
          <w:szCs w:val="28"/>
          <w:highlight w:val="none"/>
        </w:rPr>
      </w:pPr>
      <w:r>
        <w:rPr>
          <w:sz w:val="28"/>
          <w:szCs w:val="28"/>
          <w:highlight w:val="none"/>
        </w:rPr>
        <w:t>区内以侵蚀堆积地貌单元为主，次为构造剥蚀地貌。河流两岸不对称发育有Ⅰ～Ⅳ级阶地，其中河漫滩和Ⅰ级阶地尤为发育。Ⅰ级阶地沿河两岸呈长条状分布，宽度数十米至数千米不等，阶面高出河水面5～10m，阶面平坦，微向河流倾斜。Ⅱ级阶地高出河水面10～20m，宽度数十米至上百米。Ⅲ、Ⅳ级阶地残存于两岸斜坡及山顶一带。构造剥蚀地貌主要分布于工程外围丘陵及山区，主要表现为馒头山、桌状山、不规则条形山脊等侵蚀洼地相间分布的地貌形态。</w:t>
      </w:r>
    </w:p>
    <w:p>
      <w:pPr>
        <w:spacing w:line="360" w:lineRule="auto"/>
        <w:ind w:firstLine="482"/>
        <w:rPr>
          <w:b/>
          <w:kern w:val="0"/>
          <w:sz w:val="28"/>
          <w:szCs w:val="28"/>
          <w:highlight w:val="none"/>
        </w:rPr>
      </w:pPr>
      <w:r>
        <w:rPr>
          <w:b/>
          <w:kern w:val="0"/>
          <w:sz w:val="28"/>
          <w:szCs w:val="28"/>
          <w:highlight w:val="none"/>
        </w:rPr>
        <w:t>（二）地层岩性</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除沿河两岸广泛分布第四系地层外，岷江中下游及支流青衣江中下游一带，出露基岩主要为侏罗系、白垩系及第三系地层，而支流大渡河中游金口河与峨边一带为前震旦系峨边群与奥陶系、二迭系地层，大渡河下游沙湾一带主要出露三迭系地层。现将各地层的岩性特征由老至新简述如下。</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1.前震旦系峨边群（P</w:t>
      </w:r>
      <w:r>
        <w:rPr>
          <w:rFonts w:ascii="Times New Roman" w:cs="Times New Roman"/>
          <w:color w:val="auto"/>
          <w:sz w:val="28"/>
          <w:szCs w:val="28"/>
          <w:highlight w:val="none"/>
          <w:vertAlign w:val="subscript"/>
        </w:rPr>
        <w:t>teb</w:t>
      </w:r>
      <w:r>
        <w:rPr>
          <w:rFonts w:ascii="Times New Roman" w:cs="Times New Roman"/>
          <w:color w:val="auto"/>
          <w:sz w:val="28"/>
          <w:szCs w:val="28"/>
          <w:highlight w:val="none"/>
        </w:rPr>
        <w:t>）</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灰黑色、灰绿色变质砂岩、碳质板岩及千枚岩，下部为灰白、灰绿色大理岩。厚度&gt;3000m，分布于大渡河中游金口河区右岸一带。</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2.奥陶系下统红石崖组（O</w:t>
      </w:r>
      <w:r>
        <w:rPr>
          <w:rFonts w:ascii="Times New Roman" w:cs="Times New Roman"/>
          <w:color w:val="auto"/>
          <w:sz w:val="28"/>
          <w:szCs w:val="28"/>
          <w:highlight w:val="none"/>
          <w:vertAlign w:val="subscript"/>
        </w:rPr>
        <w:t>1h</w:t>
      </w:r>
      <w:r>
        <w:rPr>
          <w:rFonts w:ascii="Times New Roman" w:cs="Times New Roman"/>
          <w:color w:val="auto"/>
          <w:sz w:val="28"/>
          <w:szCs w:val="28"/>
          <w:highlight w:val="none"/>
        </w:rPr>
        <w:t>）</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灰色砂岩、粉砂岩与页岩不等厚互层，下部为泥质砂岩夹灰岩。厚度130~500m，分布于大渡河中游峨边县城左岸河边一带。</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3.下巧家组（O</w:t>
      </w:r>
      <w:r>
        <w:rPr>
          <w:rFonts w:ascii="Times New Roman" w:cs="Times New Roman"/>
          <w:color w:val="auto"/>
          <w:sz w:val="28"/>
          <w:szCs w:val="28"/>
          <w:highlight w:val="none"/>
          <w:vertAlign w:val="subscript"/>
        </w:rPr>
        <w:t>1</w:t>
      </w:r>
      <w:r>
        <w:rPr>
          <w:rFonts w:ascii="Times New Roman" w:cs="Times New Roman"/>
          <w:color w:val="auto"/>
          <w:sz w:val="28"/>
          <w:szCs w:val="28"/>
          <w:highlight w:val="none"/>
        </w:rPr>
        <w:t>q）：下部为灰黄、深灰色、灰岩和泥岩互层，间夹砂岩及页岩、上部为浅灰色泥质灰岩夹砂岩。厚21-89m。分布于大渡河中游峨边县城左岸河边一带。</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4.上巧家组（O</w:t>
      </w:r>
      <w:r>
        <w:rPr>
          <w:rFonts w:ascii="Times New Roman" w:cs="Times New Roman"/>
          <w:color w:val="auto"/>
          <w:sz w:val="28"/>
          <w:szCs w:val="28"/>
          <w:highlight w:val="none"/>
          <w:vertAlign w:val="subscript"/>
        </w:rPr>
        <w:t>2q</w:t>
      </w:r>
      <w:r>
        <w:rPr>
          <w:rFonts w:ascii="Times New Roman" w:cs="Times New Roman"/>
          <w:color w:val="auto"/>
          <w:sz w:val="28"/>
          <w:szCs w:val="28"/>
          <w:highlight w:val="none"/>
        </w:rPr>
        <w:t>）：下部为紫红或浅肉红色中至厚层状泥质灰岩，上部为深灰色厚至块状泥质灰岩，风化后具虎皮纹状构造。厚54-83m。分布于大渡河中游峨边县城左岸河边一带</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5.二迭系上统峨眉山玄武岩（P</w:t>
      </w:r>
      <w:r>
        <w:rPr>
          <w:rFonts w:ascii="Times New Roman" w:cs="Times New Roman"/>
          <w:color w:val="auto"/>
          <w:sz w:val="28"/>
          <w:szCs w:val="28"/>
          <w:highlight w:val="none"/>
          <w:vertAlign w:val="subscript"/>
        </w:rPr>
        <w:t>2β</w:t>
      </w:r>
      <w:r>
        <w:rPr>
          <w:rFonts w:ascii="Times New Roman" w:cs="Times New Roman"/>
          <w:color w:val="auto"/>
          <w:sz w:val="28"/>
          <w:szCs w:val="28"/>
          <w:highlight w:val="none"/>
        </w:rPr>
        <w:t>）</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灰绿色、灰黑色玄武岩火山角砾岩，致密斑状、杏仁状、气孔状玄武岩。厚度286~3000m，分布于大渡河中游峨边县城两岸。</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6.三迭系下统飞仙关组（T</w:t>
      </w:r>
      <w:r>
        <w:rPr>
          <w:rFonts w:ascii="Times New Roman" w:cs="Times New Roman"/>
          <w:color w:val="auto"/>
          <w:sz w:val="28"/>
          <w:szCs w:val="28"/>
          <w:highlight w:val="none"/>
          <w:vertAlign w:val="subscript"/>
        </w:rPr>
        <w:t>1f</w:t>
      </w:r>
      <w:r>
        <w:rPr>
          <w:rFonts w:ascii="Times New Roman" w:cs="Times New Roman"/>
          <w:color w:val="auto"/>
          <w:sz w:val="28"/>
          <w:szCs w:val="28"/>
          <w:highlight w:val="none"/>
        </w:rPr>
        <w:t>）</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暗紫红色细粒岩屑砂岩、粉砂岩夹砂质泥岩及泥灰岩等。厚度238~550m，与下伏地层呈整合接触，分布于大渡河下游沙湾一带。</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7.三迭系下统嘉陵江组（T</w:t>
      </w:r>
      <w:r>
        <w:rPr>
          <w:rFonts w:ascii="Times New Roman" w:cs="Times New Roman"/>
          <w:color w:val="auto"/>
          <w:sz w:val="28"/>
          <w:szCs w:val="28"/>
          <w:highlight w:val="none"/>
          <w:vertAlign w:val="subscript"/>
        </w:rPr>
        <w:t>1j</w:t>
      </w:r>
      <w:r>
        <w:rPr>
          <w:rFonts w:ascii="Times New Roman" w:cs="Times New Roman"/>
          <w:color w:val="auto"/>
          <w:sz w:val="28"/>
          <w:szCs w:val="28"/>
          <w:highlight w:val="none"/>
        </w:rPr>
        <w:t>）灰色泥质灰岩、泥质白云质灰岩为主，夹角砾状灰岩。厚93-193m。与下伏地层呈整合接触，分布于大渡河下游沙湾一带。</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8.雷口坡组（T</w:t>
      </w:r>
      <w:r>
        <w:rPr>
          <w:rFonts w:ascii="Times New Roman" w:cs="Times New Roman"/>
          <w:color w:val="auto"/>
          <w:sz w:val="28"/>
          <w:szCs w:val="28"/>
          <w:highlight w:val="none"/>
          <w:vertAlign w:val="subscript"/>
        </w:rPr>
        <w:t>2L</w:t>
      </w:r>
      <w:r>
        <w:rPr>
          <w:rFonts w:ascii="Times New Roman" w:cs="Times New Roman"/>
          <w:color w:val="auto"/>
          <w:sz w:val="28"/>
          <w:szCs w:val="28"/>
          <w:highlight w:val="none"/>
        </w:rPr>
        <w:t>）：灰色白云岩、白云质灰岩，夹角砾状灰岩，底部为灰绿色水云母粘土岩。厚147-473m。与下伏地层呈整合接触，分布于大渡河下游沙湾一带。</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9.侏罗系下统自流井组（J</w:t>
      </w:r>
      <w:r>
        <w:rPr>
          <w:rFonts w:ascii="Times New Roman" w:cs="Times New Roman"/>
          <w:color w:val="auto"/>
          <w:sz w:val="28"/>
          <w:szCs w:val="28"/>
          <w:highlight w:val="none"/>
          <w:vertAlign w:val="subscript"/>
        </w:rPr>
        <w:t>1z</w:t>
      </w:r>
      <w:r>
        <w:rPr>
          <w:rFonts w:ascii="Times New Roman" w:cs="Times New Roman"/>
          <w:color w:val="auto"/>
          <w:sz w:val="28"/>
          <w:szCs w:val="28"/>
          <w:highlight w:val="none"/>
        </w:rPr>
        <w:t>）</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浅紫色泥岩、粉砂质泥岩、砂岩夹介壳灰岩。厚度170~930m，分布于五通桥区一带。</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10.侏罗系中统沙溪庙组（J</w:t>
      </w:r>
      <w:r>
        <w:rPr>
          <w:rFonts w:ascii="Times New Roman" w:cs="Times New Roman"/>
          <w:color w:val="auto"/>
          <w:sz w:val="28"/>
          <w:szCs w:val="28"/>
          <w:highlight w:val="none"/>
          <w:vertAlign w:val="subscript"/>
        </w:rPr>
        <w:t>2s</w:t>
      </w:r>
      <w:r>
        <w:rPr>
          <w:rFonts w:ascii="Times New Roman" w:cs="Times New Roman"/>
          <w:color w:val="auto"/>
          <w:sz w:val="28"/>
          <w:szCs w:val="28"/>
          <w:highlight w:val="none"/>
        </w:rPr>
        <w:t>）</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上部为紫红色砂质泥岩与粉砂岩互层，下部为泥岩夹长石石英砂岩。厚度550~2300m，与下伏地层呈假整合接触，分布于岷江犍为一带。</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11.侏罗系中统遂宁组（J</w:t>
      </w:r>
      <w:r>
        <w:rPr>
          <w:rFonts w:ascii="Times New Roman" w:cs="Times New Roman"/>
          <w:color w:val="auto"/>
          <w:sz w:val="28"/>
          <w:szCs w:val="28"/>
          <w:highlight w:val="none"/>
          <w:vertAlign w:val="subscript"/>
        </w:rPr>
        <w:t>2sn</w:t>
      </w:r>
      <w:r>
        <w:rPr>
          <w:rFonts w:ascii="Times New Roman" w:cs="Times New Roman"/>
          <w:color w:val="auto"/>
          <w:sz w:val="28"/>
          <w:szCs w:val="28"/>
          <w:highlight w:val="none"/>
        </w:rPr>
        <w:t>）</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棕红色、砖红色泥岩夹粉砂岩及长石石英砂岩。厚度470~610m，与下伏地层整合接触，分布于乐山~五通之间。</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12.侏罗系上统蓬莱镇组（J</w:t>
      </w:r>
      <w:r>
        <w:rPr>
          <w:rFonts w:ascii="Times New Roman" w:cs="Times New Roman"/>
          <w:color w:val="auto"/>
          <w:sz w:val="28"/>
          <w:szCs w:val="28"/>
          <w:highlight w:val="none"/>
          <w:vertAlign w:val="subscript"/>
        </w:rPr>
        <w:t>3p</w:t>
      </w:r>
      <w:r>
        <w:rPr>
          <w:rFonts w:ascii="Times New Roman" w:cs="Times New Roman"/>
          <w:color w:val="auto"/>
          <w:sz w:val="28"/>
          <w:szCs w:val="28"/>
          <w:highlight w:val="none"/>
        </w:rPr>
        <w:t>）</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上部为紫红、棕红色泥岩和泥质砂岩，夹有薄层灰岩；下部为棕红色泥岩夹灰白色长石石英砂岩。厚度140~1000m，与下伏地层呈假整合接触，分布于乐山、犍为一带。</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13.白垩系下统夹关组（K</w:t>
      </w:r>
      <w:r>
        <w:rPr>
          <w:rFonts w:ascii="Times New Roman" w:cs="Times New Roman"/>
          <w:color w:val="auto"/>
          <w:sz w:val="28"/>
          <w:szCs w:val="28"/>
          <w:highlight w:val="none"/>
          <w:vertAlign w:val="subscript"/>
        </w:rPr>
        <w:t>1j</w:t>
      </w:r>
      <w:r>
        <w:rPr>
          <w:rFonts w:ascii="Times New Roman" w:cs="Times New Roman"/>
          <w:color w:val="auto"/>
          <w:sz w:val="28"/>
          <w:szCs w:val="28"/>
          <w:highlight w:val="none"/>
        </w:rPr>
        <w:t>）</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以砖红色、棕红色细料粒长石石英砂岩为主，夹薄层泥岩，底部为厚层块状砾岩。本组地层在夹江一带为粉砂岩及细砂岩，钙质胶结，致密较坚硬；在乐山~宜宾一带则为巨厚层块状长石砂岩，多为泥质胶结，强度较低。厚度187~901m，与下伏地层呈假整合接触。</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14.白垩系上统灌口组（K</w:t>
      </w:r>
      <w:r>
        <w:rPr>
          <w:rFonts w:ascii="Times New Roman" w:cs="Times New Roman"/>
          <w:color w:val="auto"/>
          <w:sz w:val="28"/>
          <w:szCs w:val="28"/>
          <w:highlight w:val="none"/>
          <w:vertAlign w:val="subscript"/>
        </w:rPr>
        <w:t>2g</w:t>
      </w:r>
      <w:r>
        <w:rPr>
          <w:rFonts w:ascii="Times New Roman" w:cs="Times New Roman"/>
          <w:color w:val="auto"/>
          <w:sz w:val="28"/>
          <w:szCs w:val="28"/>
          <w:highlight w:val="none"/>
        </w:rPr>
        <w:t>）</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主要为砖红色泥岩、粉砂岩，间夹杂色泥岩、泥灰岩及页岩。厚度423~1600m，与下伏地层呈整合接触，分布于乐山~夹江一带。</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15.第四系堆积层（Q）</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（1）中更新统冰水堆积层（Q</w:t>
      </w:r>
      <w:r>
        <w:rPr>
          <w:rFonts w:ascii="Times New Roman" w:cs="Times New Roman"/>
          <w:color w:val="auto"/>
          <w:sz w:val="28"/>
          <w:szCs w:val="28"/>
          <w:highlight w:val="none"/>
          <w:vertAlign w:val="subscript"/>
        </w:rPr>
        <w:t>2fgl</w:t>
      </w:r>
      <w:r>
        <w:rPr>
          <w:rFonts w:ascii="Times New Roman" w:cs="Times New Roman"/>
          <w:color w:val="auto"/>
          <w:sz w:val="28"/>
          <w:szCs w:val="28"/>
          <w:highlight w:val="none"/>
        </w:rPr>
        <w:t>）：残存于江河两岸的III、IV级阶地上，阶地具明显二元结构，上部为橙黄色粘土、粉土，下部为砾卵石夹土。阶面一般高出河水位30~100m，厚度13~30m。</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（2）上更新统冰水堆积层（Q</w:t>
      </w:r>
      <w:r>
        <w:rPr>
          <w:rFonts w:ascii="Times New Roman" w:cs="Times New Roman"/>
          <w:color w:val="auto"/>
          <w:sz w:val="28"/>
          <w:szCs w:val="28"/>
          <w:highlight w:val="none"/>
          <w:vertAlign w:val="subscript"/>
        </w:rPr>
        <w:t>3fgl</w:t>
      </w:r>
      <w:r>
        <w:rPr>
          <w:rFonts w:ascii="Times New Roman" w:cs="Times New Roman"/>
          <w:color w:val="auto"/>
          <w:sz w:val="28"/>
          <w:szCs w:val="28"/>
          <w:highlight w:val="none"/>
        </w:rPr>
        <w:t>）：分布于岷江及支流的II级阶地上，其上部为厚度1~3m的黄褐色粉土，下部为砾卵石夹砂层，厚度8~15m，阶面高出河水面10~20m。</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（3）全新统近代河流冲积堆积层（Q</w:t>
      </w:r>
      <w:r>
        <w:rPr>
          <w:rFonts w:ascii="Times New Roman" w:cs="Times New Roman"/>
          <w:color w:val="auto"/>
          <w:sz w:val="28"/>
          <w:szCs w:val="28"/>
          <w:highlight w:val="none"/>
          <w:vertAlign w:val="subscript"/>
        </w:rPr>
        <w:t>4-1aL+pL</w:t>
      </w:r>
      <w:r>
        <w:rPr>
          <w:rFonts w:ascii="Times New Roman" w:cs="Times New Roman"/>
          <w:color w:val="auto"/>
          <w:sz w:val="28"/>
          <w:szCs w:val="28"/>
          <w:highlight w:val="none"/>
        </w:rPr>
        <w:t>）：分布于河流两岸的I级阶地，具二元结构，上部为粉土，厚度1~4m，下部为砾卵石夹砂，厚度6~18m，阶面高出河水面5~10m。</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（4）全新统现代河流冲积堆积层（Q</w:t>
      </w:r>
      <w:r>
        <w:rPr>
          <w:rFonts w:ascii="Times New Roman" w:cs="Times New Roman"/>
          <w:color w:val="auto"/>
          <w:sz w:val="28"/>
          <w:szCs w:val="28"/>
          <w:highlight w:val="none"/>
          <w:vertAlign w:val="subscript"/>
        </w:rPr>
        <w:t>4-2aL+pL</w:t>
      </w:r>
      <w:r>
        <w:rPr>
          <w:rFonts w:ascii="Times New Roman" w:cs="Times New Roman"/>
          <w:color w:val="auto"/>
          <w:sz w:val="28"/>
          <w:szCs w:val="28"/>
          <w:highlight w:val="none"/>
        </w:rPr>
        <w:t>）：分布于河床及漫滩，主要由砾卵石夹砂或漂卵砾石夹砂组成，厚度8~20m。</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（5）全新统坡残积堆积层（Q</w:t>
      </w:r>
      <w:r>
        <w:rPr>
          <w:rFonts w:ascii="Times New Roman" w:cs="Times New Roman"/>
          <w:color w:val="auto"/>
          <w:sz w:val="28"/>
          <w:szCs w:val="28"/>
          <w:highlight w:val="none"/>
          <w:vertAlign w:val="subscript"/>
        </w:rPr>
        <w:t>4dl+el</w:t>
      </w:r>
      <w:r>
        <w:rPr>
          <w:rFonts w:ascii="Times New Roman" w:cs="Times New Roman"/>
          <w:color w:val="auto"/>
          <w:sz w:val="28"/>
          <w:szCs w:val="28"/>
          <w:highlight w:val="none"/>
        </w:rPr>
        <w:t>）：及崩坡积堆积层（Q4col+dl）：主要为粘土、粉土夹块碎石或块碎石夹土等松散堆积体，分布于山间洼地、河谷两岸及山麓坡脚地带，厚度0~15m。</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（5）人工堆积层（Q</w:t>
      </w:r>
      <w:r>
        <w:rPr>
          <w:rFonts w:ascii="Times New Roman" w:cs="Times New Roman"/>
          <w:color w:val="auto"/>
          <w:sz w:val="28"/>
          <w:szCs w:val="28"/>
          <w:highlight w:val="none"/>
          <w:vertAlign w:val="subscript"/>
        </w:rPr>
        <w:t>4ml</w:t>
      </w:r>
      <w:r>
        <w:rPr>
          <w:rFonts w:ascii="Times New Roman" w:cs="Times New Roman"/>
          <w:color w:val="auto"/>
          <w:sz w:val="28"/>
          <w:szCs w:val="28"/>
          <w:highlight w:val="none"/>
        </w:rPr>
        <w:t>）：主要为砾卵石夹砂、条石组成，主要为河堤回填土及河堤条石，最大厚20.0m。</w:t>
      </w:r>
    </w:p>
    <w:p>
      <w:pPr>
        <w:spacing w:line="360" w:lineRule="auto"/>
        <w:ind w:firstLine="482"/>
        <w:rPr>
          <w:b/>
          <w:kern w:val="0"/>
          <w:sz w:val="28"/>
          <w:szCs w:val="28"/>
          <w:highlight w:val="none"/>
        </w:rPr>
      </w:pPr>
      <w:r>
        <w:rPr>
          <w:b/>
          <w:kern w:val="0"/>
          <w:sz w:val="28"/>
          <w:szCs w:val="28"/>
          <w:highlight w:val="none"/>
        </w:rPr>
        <w:t>（三）地质构造及地震</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bCs/>
          <w:color w:val="auto"/>
          <w:kern w:val="2"/>
          <w:sz w:val="28"/>
          <w:szCs w:val="28"/>
          <w:highlight w:val="none"/>
        </w:rPr>
        <w:t>工程区内河段在大地构造上位于扬子准地台的西部，除大渡河中游金口河~峨边一带地处经向构造体系川滇南北向构造带内外，岷江及青衣江中下游大都位于新华夏构造体系四川沉降带川西褶带内，均属四川盆地弱活动断裂区。新构</w:t>
      </w:r>
      <w:r>
        <w:rPr>
          <w:rFonts w:ascii="Times New Roman" w:cs="Times New Roman"/>
          <w:color w:val="auto"/>
          <w:sz w:val="28"/>
          <w:szCs w:val="28"/>
          <w:highlight w:val="none"/>
        </w:rPr>
        <w:t>造运动以间歇的抬升为主，本区明显特点是第四纪以来区域地壳运动比较微弱，仅受西部活动断块推挤作用的影响，因而断裂活动性和地震活动也比较微弱。四川盆地第四纪以来表现为缓慢抬升，现存三期夷平面，高程分别为300—500m、600—900m和1100—1600m（盆周区），第四纪以来的抬升幅度在500m至1500m的范围内，区内差异运动不明显。整体性较好，构造较简单，断裂规模小，活动性弱。仅有一些零星的5级左右中强地震记载。区内第四纪活动断裂主要有北东向的蒲江——新津断裂、龙泉山断裂及南北向的峨边——烟峰断裂、五渡——利店断裂。</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相关资料表明，规划区受蒲江——新津与龙泉山西坡断裂及位于西南部的峨边——烟峰断裂、五渡——利店断裂影响，但断裂的活动性和地震活动性均较微弱。据1/400万《中国地震动参数区划图》（GB18306-2001）及《中国地震动参数区划图》（GB18306-2001）国家标准第1号修改单，即2008年6月出台的四川、甘肃、陕西部分地区地震动参数区划图，规划工程区50年超越概率10%的地震动水平峰值加速度为0.10g，动反应谱特征周期为0.40s——0.45s，对应的地震基本烈度为Ⅶ度，区域构造稳定性较差。犍为一带地震动水平峰值加速度为0.05g，动反应谱特征周期为0.45s，对应的地震基本烈度为Ⅵ度，区域构造稳定性较好。</w:t>
      </w:r>
    </w:p>
    <w:p>
      <w:pPr>
        <w:spacing w:before="156" w:beforeLines="50" w:after="156" w:afterLines="50" w:line="520" w:lineRule="exact"/>
        <w:jc w:val="center"/>
        <w:outlineLvl w:val="1"/>
        <w:rPr>
          <w:rFonts w:eastAsia="黑体"/>
          <w:b/>
          <w:sz w:val="30"/>
          <w:highlight w:val="none"/>
        </w:rPr>
      </w:pPr>
      <w:bookmarkStart w:id="38" w:name="_Toc39688271"/>
      <w:bookmarkStart w:id="39" w:name="_Toc67908207"/>
      <w:bookmarkStart w:id="40" w:name="_Toc77781867"/>
      <w:r>
        <w:rPr>
          <w:rFonts w:eastAsia="黑体"/>
          <w:b/>
          <w:sz w:val="30"/>
          <w:highlight w:val="none"/>
        </w:rPr>
        <w:t>第三节</w:t>
      </w:r>
      <w:r>
        <w:rPr>
          <w:rFonts w:hint="eastAsia" w:eastAsia="黑体"/>
          <w:b/>
          <w:sz w:val="30"/>
          <w:highlight w:val="none"/>
        </w:rPr>
        <w:t xml:space="preserve"> </w:t>
      </w:r>
      <w:r>
        <w:rPr>
          <w:rFonts w:eastAsia="黑体"/>
          <w:b/>
          <w:sz w:val="30"/>
          <w:highlight w:val="none"/>
        </w:rPr>
        <w:t>港口</w:t>
      </w:r>
      <w:bookmarkEnd w:id="38"/>
      <w:r>
        <w:rPr>
          <w:rFonts w:eastAsia="黑体"/>
          <w:b/>
          <w:sz w:val="30"/>
          <w:highlight w:val="none"/>
        </w:rPr>
        <w:t>基础条件</w:t>
      </w:r>
      <w:bookmarkEnd w:id="39"/>
      <w:bookmarkEnd w:id="40"/>
    </w:p>
    <w:p>
      <w:pPr>
        <w:spacing w:line="360" w:lineRule="auto"/>
        <w:ind w:firstLine="562" w:firstLineChars="200"/>
        <w:outlineLvl w:val="2"/>
        <w:rPr>
          <w:rFonts w:eastAsia="黑体"/>
          <w:b/>
          <w:sz w:val="28"/>
          <w:szCs w:val="28"/>
          <w:highlight w:val="none"/>
        </w:rPr>
      </w:pPr>
      <w:bookmarkStart w:id="41" w:name="_Toc67924612"/>
      <w:bookmarkStart w:id="42" w:name="_Toc67908208"/>
      <w:bookmarkStart w:id="43" w:name="_Toc53089182"/>
      <w:bookmarkStart w:id="44" w:name="_Toc77781868"/>
      <w:bookmarkStart w:id="45" w:name="_Toc39690681"/>
      <w:r>
        <w:rPr>
          <w:rFonts w:eastAsia="黑体"/>
          <w:b/>
          <w:sz w:val="28"/>
          <w:szCs w:val="28"/>
          <w:highlight w:val="none"/>
        </w:rPr>
        <w:t>一、</w:t>
      </w:r>
      <w:bookmarkEnd w:id="41"/>
      <w:bookmarkEnd w:id="42"/>
      <w:bookmarkEnd w:id="43"/>
      <w:r>
        <w:rPr>
          <w:rFonts w:eastAsia="黑体"/>
          <w:b/>
          <w:sz w:val="28"/>
          <w:szCs w:val="28"/>
          <w:highlight w:val="none"/>
        </w:rPr>
        <w:t>港口的发展历程</w:t>
      </w:r>
      <w:bookmarkEnd w:id="44"/>
    </w:p>
    <w:bookmarkEnd w:id="45"/>
    <w:p>
      <w:pPr>
        <w:ind w:firstLine="560" w:firstLineChars="200"/>
        <w:rPr>
          <w:sz w:val="28"/>
          <w:szCs w:val="28"/>
          <w:highlight w:val="none"/>
        </w:rPr>
      </w:pPr>
      <w:r>
        <w:rPr>
          <w:bCs/>
          <w:sz w:val="28"/>
          <w:szCs w:val="28"/>
          <w:highlight w:val="none"/>
        </w:rPr>
        <w:t>根据《乐山县志》，乐山红十字会于1927年（民国16年），用会员捐款2000元修建了4处沿江码头（迎春门、福全门、大码头和刘公堤）。</w:t>
      </w:r>
      <w:r>
        <w:rPr>
          <w:sz w:val="28"/>
          <w:szCs w:val="28"/>
          <w:highlight w:val="none"/>
        </w:rPr>
        <w:t>在此期间乐山港的运输业务主要以区间客运为主，并辅以利用自然岸坡开展少量的货运业务。改革开放后，特别是“九五”以来，乐山港先后建成了乐山大件码头、乐山肖坝客运码头、桥沟、下渡等专业化码头，乐山港的运输能力和服务水平得到了一定的提升，特别是乐山大件码头运营以来平均每年运送大件超过70批次、1.5万t，通过大件码头下水然后经岷江至长江曾是我省重大技术装备出川的唯一通道，乐山港成为我省重装企业重大件进出川的重要门户。</w:t>
      </w:r>
    </w:p>
    <w:p>
      <w:pPr>
        <w:spacing w:line="360" w:lineRule="auto"/>
        <w:ind w:firstLine="562" w:firstLineChars="200"/>
        <w:outlineLvl w:val="2"/>
        <w:rPr>
          <w:rFonts w:eastAsia="黑体"/>
          <w:b/>
          <w:sz w:val="28"/>
          <w:szCs w:val="28"/>
          <w:highlight w:val="none"/>
        </w:rPr>
      </w:pPr>
      <w:bookmarkStart w:id="46" w:name="_Toc77781869"/>
      <w:r>
        <w:rPr>
          <w:rFonts w:hint="eastAsia" w:eastAsia="黑体"/>
          <w:b/>
          <w:sz w:val="28"/>
          <w:szCs w:val="28"/>
          <w:highlight w:val="none"/>
        </w:rPr>
        <w:t>二</w:t>
      </w:r>
      <w:r>
        <w:rPr>
          <w:rFonts w:eastAsia="黑体"/>
          <w:b/>
          <w:sz w:val="28"/>
          <w:szCs w:val="28"/>
          <w:highlight w:val="none"/>
        </w:rPr>
        <w:t>、港口设施状况</w:t>
      </w:r>
      <w:bookmarkEnd w:id="46"/>
    </w:p>
    <w:p>
      <w:pPr>
        <w:spacing w:line="360" w:lineRule="auto"/>
        <w:ind w:firstLine="562" w:firstLineChars="200"/>
        <w:rPr>
          <w:b/>
          <w:kern w:val="0"/>
          <w:sz w:val="28"/>
          <w:szCs w:val="28"/>
          <w:highlight w:val="none"/>
        </w:rPr>
      </w:pPr>
      <w:r>
        <w:rPr>
          <w:b/>
          <w:kern w:val="0"/>
          <w:sz w:val="28"/>
          <w:szCs w:val="28"/>
          <w:highlight w:val="none"/>
        </w:rPr>
        <w:t>（一）港区分布及码头泊位</w:t>
      </w:r>
    </w:p>
    <w:p>
      <w:pPr>
        <w:pStyle w:val="2"/>
        <w:adjustRightInd/>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乐山市的码头泊位主要分布于岷江干线两岸，大渡河除大件码头和肖坝客运码头</w:t>
      </w:r>
      <w:r>
        <w:rPr>
          <w:rFonts w:hint="eastAsia" w:ascii="Times New Roman" w:cs="Times New Roman"/>
          <w:color w:val="auto"/>
          <w:sz w:val="28"/>
          <w:szCs w:val="28"/>
          <w:highlight w:val="none"/>
          <w:lang w:eastAsia="zh-CN"/>
        </w:rPr>
        <w:t>等码头</w:t>
      </w:r>
      <w:r>
        <w:rPr>
          <w:rFonts w:ascii="Times New Roman" w:cs="Times New Roman"/>
          <w:color w:val="auto"/>
          <w:sz w:val="28"/>
          <w:szCs w:val="28"/>
          <w:highlight w:val="none"/>
        </w:rPr>
        <w:t>外仅有少量短途客运码头和渡口。目前，乐山港共有生产性泊位57个，年综合通过能力367万t和300万人次。总体来看，目前乐山市码头货运下降明显，客运稳步增长，而在客运量中，旅游客运占了绝大多数。</w:t>
      </w:r>
    </w:p>
    <w:p>
      <w:pPr>
        <w:pStyle w:val="2"/>
        <w:adjustRightInd/>
        <w:spacing w:line="360" w:lineRule="auto"/>
        <w:ind w:firstLine="560" w:firstLineChars="200"/>
        <w:rPr>
          <w:rFonts w:ascii="Times New Roman" w:cs="Times New Roman"/>
          <w:color w:val="auto"/>
          <w:highlight w:val="none"/>
        </w:rPr>
      </w:pPr>
      <w:r>
        <w:rPr>
          <w:rFonts w:ascii="Times New Roman" w:cs="Times New Roman"/>
          <w:color w:val="auto"/>
          <w:sz w:val="28"/>
          <w:szCs w:val="28"/>
          <w:highlight w:val="none"/>
        </w:rPr>
        <w:t>乐山港现有嘉州、犍为、五通桥、沙湾四个港区，各港区具体情况如下：</w:t>
      </w:r>
    </w:p>
    <w:p>
      <w:pPr>
        <w:spacing w:line="360" w:lineRule="auto"/>
        <w:ind w:firstLine="480"/>
        <w:rPr>
          <w:sz w:val="28"/>
          <w:szCs w:val="28"/>
          <w:highlight w:val="none"/>
        </w:rPr>
      </w:pPr>
      <w:r>
        <w:rPr>
          <w:rFonts w:hint="eastAsia"/>
          <w:sz w:val="28"/>
          <w:szCs w:val="28"/>
          <w:highlight w:val="none"/>
        </w:rPr>
        <w:t>1</w:t>
      </w:r>
      <w:r>
        <w:rPr>
          <w:sz w:val="28"/>
          <w:szCs w:val="28"/>
          <w:highlight w:val="none"/>
        </w:rPr>
        <w:t>.嘉州港区</w:t>
      </w:r>
    </w:p>
    <w:p>
      <w:pPr>
        <w:spacing w:line="360" w:lineRule="auto"/>
        <w:ind w:firstLine="480"/>
        <w:rPr>
          <w:sz w:val="28"/>
          <w:szCs w:val="28"/>
          <w:highlight w:val="none"/>
        </w:rPr>
      </w:pPr>
      <w:r>
        <w:rPr>
          <w:sz w:val="28"/>
          <w:szCs w:val="28"/>
          <w:highlight w:val="none"/>
        </w:rPr>
        <w:t>嘉州港区目前以旅游客运、重大件运输为主，现有迎春门、肖坝、芭蕉林等客运码头以及大件货运码头。该港区共有泊位28个，码头岸线长约1545m，年综合通过能力10万t</w:t>
      </w:r>
      <w:r>
        <w:rPr>
          <w:rFonts w:hint="eastAsia"/>
          <w:sz w:val="28"/>
          <w:szCs w:val="28"/>
          <w:highlight w:val="none"/>
        </w:rPr>
        <w:t>、</w:t>
      </w:r>
      <w:r>
        <w:rPr>
          <w:sz w:val="28"/>
          <w:szCs w:val="28"/>
          <w:highlight w:val="none"/>
        </w:rPr>
        <w:t>210万人次，靠泊能力为100~500吨级船舶，客运码头多为梯步斜坡码头。</w:t>
      </w:r>
    </w:p>
    <w:p>
      <w:pPr>
        <w:spacing w:line="360" w:lineRule="auto"/>
        <w:ind w:firstLine="480"/>
        <w:rPr>
          <w:sz w:val="28"/>
          <w:szCs w:val="28"/>
          <w:highlight w:val="none"/>
        </w:rPr>
      </w:pPr>
      <w:r>
        <w:rPr>
          <w:rFonts w:hint="eastAsia"/>
          <w:sz w:val="28"/>
          <w:szCs w:val="28"/>
          <w:highlight w:val="none"/>
        </w:rPr>
        <w:t>2</w:t>
      </w:r>
      <w:r>
        <w:rPr>
          <w:sz w:val="28"/>
          <w:szCs w:val="28"/>
          <w:highlight w:val="none"/>
        </w:rPr>
        <w:t>.五通桥港区</w:t>
      </w:r>
    </w:p>
    <w:p>
      <w:pPr>
        <w:spacing w:line="360" w:lineRule="auto"/>
        <w:ind w:firstLine="480"/>
        <w:rPr>
          <w:sz w:val="28"/>
          <w:szCs w:val="28"/>
          <w:highlight w:val="none"/>
        </w:rPr>
      </w:pPr>
      <w:r>
        <w:rPr>
          <w:sz w:val="28"/>
          <w:szCs w:val="28"/>
          <w:highlight w:val="none"/>
        </w:rPr>
        <w:t>五通桥港区现有桥沟码头、</w:t>
      </w:r>
      <w:r>
        <w:rPr>
          <w:rFonts w:hint="eastAsia"/>
          <w:sz w:val="28"/>
          <w:szCs w:val="28"/>
          <w:highlight w:val="none"/>
        </w:rPr>
        <w:t>西坝</w:t>
      </w:r>
      <w:r>
        <w:rPr>
          <w:sz w:val="28"/>
          <w:szCs w:val="28"/>
          <w:highlight w:val="none"/>
        </w:rPr>
        <w:t>码头等2个货运码头，共有生产性泊位9个，占用岸线557m，年综合通过能力100万t，靠泊能力为500吨级船舶，主要转运眉山等地的元明粉等件杂货。</w:t>
      </w:r>
    </w:p>
    <w:p>
      <w:pPr>
        <w:spacing w:line="360" w:lineRule="auto"/>
        <w:ind w:firstLine="480"/>
        <w:rPr>
          <w:sz w:val="28"/>
          <w:szCs w:val="28"/>
          <w:highlight w:val="none"/>
        </w:rPr>
      </w:pPr>
      <w:r>
        <w:rPr>
          <w:sz w:val="28"/>
          <w:szCs w:val="28"/>
          <w:highlight w:val="none"/>
        </w:rPr>
        <w:t>3.犍为港区</w:t>
      </w:r>
    </w:p>
    <w:p>
      <w:pPr>
        <w:spacing w:line="360" w:lineRule="auto"/>
        <w:ind w:firstLine="480"/>
        <w:rPr>
          <w:sz w:val="28"/>
          <w:szCs w:val="28"/>
          <w:highlight w:val="none"/>
        </w:rPr>
      </w:pPr>
      <w:r>
        <w:rPr>
          <w:sz w:val="28"/>
          <w:szCs w:val="28"/>
          <w:highlight w:val="none"/>
        </w:rPr>
        <w:t>犍为港区现有下渡、和邦盐业货运码头及盐关休闲旅游码头等客运码头。该港区共有泊位13个，占用岸线1000m，年综合通过能力247万t</w:t>
      </w:r>
      <w:r>
        <w:rPr>
          <w:rFonts w:hint="eastAsia"/>
          <w:sz w:val="28"/>
          <w:szCs w:val="28"/>
          <w:highlight w:val="none"/>
        </w:rPr>
        <w:t>、</w:t>
      </w:r>
      <w:r>
        <w:rPr>
          <w:sz w:val="28"/>
          <w:szCs w:val="28"/>
          <w:highlight w:val="none"/>
        </w:rPr>
        <w:t>20万人次，靠泊能力为100~500吨级船舶。货运码头主要转运当地的矿建材料、煤炭，夹江等地的瓷砖和眉山等地的元明粉。</w:t>
      </w:r>
    </w:p>
    <w:p>
      <w:pPr>
        <w:spacing w:line="360" w:lineRule="auto"/>
        <w:ind w:firstLine="480"/>
        <w:rPr>
          <w:sz w:val="28"/>
          <w:szCs w:val="28"/>
          <w:highlight w:val="none"/>
        </w:rPr>
      </w:pPr>
      <w:r>
        <w:rPr>
          <w:rFonts w:hint="eastAsia"/>
          <w:sz w:val="28"/>
          <w:szCs w:val="28"/>
          <w:highlight w:val="none"/>
        </w:rPr>
        <w:t>4</w:t>
      </w:r>
      <w:r>
        <w:rPr>
          <w:sz w:val="28"/>
          <w:szCs w:val="28"/>
          <w:highlight w:val="none"/>
        </w:rPr>
        <w:t>.沙湾港区</w:t>
      </w:r>
    </w:p>
    <w:p>
      <w:pPr>
        <w:spacing w:line="360" w:lineRule="auto"/>
        <w:ind w:firstLine="480"/>
        <w:rPr>
          <w:sz w:val="28"/>
          <w:szCs w:val="28"/>
          <w:highlight w:val="none"/>
        </w:rPr>
      </w:pPr>
      <w:r>
        <w:rPr>
          <w:sz w:val="28"/>
          <w:szCs w:val="28"/>
          <w:highlight w:val="none"/>
        </w:rPr>
        <w:t>沙湾港区现有货运泊位2个，年通过能力约10万t。此外，沙湾港区还有易坝、龙岩码头等短途客运码头。</w:t>
      </w:r>
    </w:p>
    <w:p>
      <w:pPr>
        <w:spacing w:before="312" w:beforeLines="100" w:line="360" w:lineRule="auto"/>
        <w:ind w:firstLine="562" w:firstLineChars="200"/>
        <w:rPr>
          <w:b/>
          <w:kern w:val="0"/>
          <w:sz w:val="28"/>
          <w:szCs w:val="28"/>
          <w:highlight w:val="none"/>
        </w:rPr>
      </w:pPr>
      <w:r>
        <w:rPr>
          <w:b/>
          <w:kern w:val="0"/>
          <w:sz w:val="28"/>
          <w:szCs w:val="28"/>
          <w:highlight w:val="none"/>
        </w:rPr>
        <w:t>（</w:t>
      </w:r>
      <w:r>
        <w:rPr>
          <w:rFonts w:hint="eastAsia"/>
          <w:b/>
          <w:kern w:val="0"/>
          <w:sz w:val="28"/>
          <w:szCs w:val="28"/>
          <w:highlight w:val="none"/>
        </w:rPr>
        <w:t>二</w:t>
      </w:r>
      <w:r>
        <w:rPr>
          <w:b/>
          <w:kern w:val="0"/>
          <w:sz w:val="28"/>
          <w:szCs w:val="28"/>
          <w:highlight w:val="none"/>
        </w:rPr>
        <w:t>）</w:t>
      </w:r>
      <w:r>
        <w:rPr>
          <w:rFonts w:hint="eastAsia"/>
          <w:b/>
          <w:kern w:val="0"/>
          <w:sz w:val="28"/>
          <w:szCs w:val="28"/>
          <w:highlight w:val="none"/>
        </w:rPr>
        <w:t>基地及锚地现状</w:t>
      </w:r>
    </w:p>
    <w:p>
      <w:pPr>
        <w:spacing w:line="360" w:lineRule="auto"/>
        <w:ind w:firstLine="560" w:firstLineChars="200"/>
        <w:rPr>
          <w:kern w:val="0"/>
          <w:sz w:val="28"/>
          <w:szCs w:val="28"/>
          <w:highlight w:val="none"/>
        </w:rPr>
      </w:pPr>
      <w:r>
        <w:rPr>
          <w:rFonts w:hint="eastAsia"/>
          <w:kern w:val="0"/>
          <w:sz w:val="28"/>
          <w:szCs w:val="28"/>
          <w:highlight w:val="none"/>
        </w:rPr>
        <w:t>乐山港目前因货运吞吐量较小，公共锚地较少，仅在嘉州港区杜家场、美人坡以及犍为港区罗泥溪、沙湾港区铜街子设置了</w:t>
      </w:r>
      <w:r>
        <w:rPr>
          <w:kern w:val="0"/>
          <w:sz w:val="28"/>
          <w:szCs w:val="28"/>
          <w:highlight w:val="none"/>
        </w:rPr>
        <w:t>3</w:t>
      </w:r>
      <w:r>
        <w:rPr>
          <w:rFonts w:hint="eastAsia"/>
          <w:kern w:val="0"/>
          <w:sz w:val="28"/>
          <w:szCs w:val="28"/>
          <w:highlight w:val="none"/>
        </w:rPr>
        <w:t>处锚地及基地。</w:t>
      </w:r>
    </w:p>
    <w:p>
      <w:pPr>
        <w:spacing w:line="360" w:lineRule="auto"/>
        <w:ind w:firstLine="562" w:firstLineChars="200"/>
        <w:rPr>
          <w:b/>
          <w:kern w:val="0"/>
          <w:sz w:val="28"/>
          <w:szCs w:val="28"/>
          <w:highlight w:val="none"/>
        </w:rPr>
      </w:pPr>
      <w:r>
        <w:rPr>
          <w:b/>
          <w:kern w:val="0"/>
          <w:sz w:val="28"/>
          <w:szCs w:val="28"/>
          <w:highlight w:val="none"/>
        </w:rPr>
        <w:t>（</w:t>
      </w:r>
      <w:r>
        <w:rPr>
          <w:rFonts w:hint="eastAsia"/>
          <w:b/>
          <w:kern w:val="0"/>
          <w:sz w:val="28"/>
          <w:szCs w:val="28"/>
          <w:highlight w:val="none"/>
        </w:rPr>
        <w:t>三</w:t>
      </w:r>
      <w:r>
        <w:rPr>
          <w:b/>
          <w:kern w:val="0"/>
          <w:sz w:val="28"/>
          <w:szCs w:val="28"/>
          <w:highlight w:val="none"/>
        </w:rPr>
        <w:t>）短途客运码头</w:t>
      </w:r>
    </w:p>
    <w:p>
      <w:pPr>
        <w:pStyle w:val="2"/>
        <w:ind w:firstLine="560" w:firstLineChars="200"/>
        <w:rPr>
          <w:rFonts w:eastAsia="黑体"/>
          <w:color w:val="auto"/>
          <w:sz w:val="28"/>
          <w:szCs w:val="28"/>
          <w:highlight w:val="none"/>
        </w:rPr>
      </w:pPr>
      <w:r>
        <w:rPr>
          <w:rFonts w:ascii="Times New Roman" w:cs="Times New Roman"/>
          <w:color w:val="auto"/>
          <w:sz w:val="28"/>
          <w:szCs w:val="28"/>
          <w:highlight w:val="none"/>
        </w:rPr>
        <w:t>乐山市现有短途客运、渡运码头51座。其中，乐山市市中区范围内9座，犍为县范围内6座，沙湾区范围内10座，夹江县范围内4座，沐川辖区范围内14座，</w:t>
      </w:r>
      <w:bookmarkStart w:id="47" w:name="_Hlk36904182"/>
      <w:r>
        <w:rPr>
          <w:rFonts w:ascii="Times New Roman" w:cs="Times New Roman"/>
          <w:color w:val="auto"/>
          <w:sz w:val="28"/>
          <w:szCs w:val="28"/>
          <w:highlight w:val="none"/>
        </w:rPr>
        <w:t>峨边县辖区范围内3座，</w:t>
      </w:r>
      <w:bookmarkEnd w:id="47"/>
      <w:r>
        <w:rPr>
          <w:rFonts w:ascii="Times New Roman" w:cs="Times New Roman"/>
          <w:color w:val="auto"/>
          <w:sz w:val="28"/>
          <w:szCs w:val="28"/>
          <w:highlight w:val="none"/>
        </w:rPr>
        <w:t>峨眉山市辖区范围内5座，这些短途客运码头基本均采用斜坡梯步结构，主要服务于两岸居民短途出行需求。</w:t>
      </w:r>
      <w:r>
        <w:rPr>
          <w:rFonts w:eastAsia="黑体"/>
          <w:color w:val="auto"/>
          <w:sz w:val="28"/>
          <w:szCs w:val="28"/>
          <w:highlight w:val="none"/>
        </w:rPr>
        <w:br w:type="page"/>
      </w:r>
    </w:p>
    <w:p>
      <w:pPr>
        <w:spacing w:line="360" w:lineRule="auto"/>
        <w:ind w:firstLine="562" w:firstLineChars="200"/>
        <w:rPr>
          <w:b/>
          <w:kern w:val="0"/>
          <w:sz w:val="28"/>
          <w:szCs w:val="28"/>
          <w:highlight w:val="none"/>
        </w:rPr>
      </w:pPr>
      <w:r>
        <w:rPr>
          <w:b/>
          <w:kern w:val="0"/>
          <w:sz w:val="28"/>
          <w:szCs w:val="28"/>
          <w:highlight w:val="none"/>
        </w:rPr>
        <w:t>（</w:t>
      </w:r>
      <w:r>
        <w:rPr>
          <w:rFonts w:hint="eastAsia"/>
          <w:b/>
          <w:kern w:val="0"/>
          <w:sz w:val="28"/>
          <w:szCs w:val="28"/>
          <w:highlight w:val="none"/>
        </w:rPr>
        <w:t>四</w:t>
      </w:r>
      <w:r>
        <w:rPr>
          <w:b/>
          <w:kern w:val="0"/>
          <w:sz w:val="28"/>
          <w:szCs w:val="28"/>
          <w:highlight w:val="none"/>
        </w:rPr>
        <w:t>）航道概况</w:t>
      </w:r>
    </w:p>
    <w:p>
      <w:pPr>
        <w:spacing w:line="360" w:lineRule="auto"/>
        <w:ind w:firstLine="560" w:firstLineChars="200"/>
        <w:rPr>
          <w:sz w:val="28"/>
          <w:szCs w:val="28"/>
          <w:highlight w:val="none"/>
        </w:rPr>
      </w:pPr>
      <w:r>
        <w:rPr>
          <w:sz w:val="28"/>
          <w:szCs w:val="28"/>
          <w:highlight w:val="none"/>
        </w:rPr>
        <w:t>目前，乐山已初步形成以岷江乐宜段高等级航道为主骨架的“Y”形航道网络，全市可利用航道资源里程1124.18km，现有通航航道里程556.9km。</w:t>
      </w:r>
    </w:p>
    <w:p>
      <w:pPr>
        <w:spacing w:line="360" w:lineRule="auto"/>
        <w:ind w:firstLine="560" w:firstLineChars="200"/>
        <w:rPr>
          <w:sz w:val="28"/>
          <w:szCs w:val="28"/>
          <w:highlight w:val="none"/>
        </w:rPr>
      </w:pPr>
      <w:r>
        <w:rPr>
          <w:rFonts w:hint="eastAsia"/>
          <w:sz w:val="28"/>
          <w:szCs w:val="28"/>
          <w:highlight w:val="none"/>
        </w:rPr>
        <w:t>1</w:t>
      </w:r>
      <w:r>
        <w:rPr>
          <w:sz w:val="28"/>
          <w:szCs w:val="28"/>
          <w:highlight w:val="none"/>
        </w:rPr>
        <w:t>.岷江</w:t>
      </w:r>
    </w:p>
    <w:p>
      <w:pPr>
        <w:pStyle w:val="2"/>
        <w:adjustRightInd/>
        <w:spacing w:line="360" w:lineRule="auto"/>
        <w:ind w:firstLine="560" w:firstLineChars="200"/>
        <w:jc w:val="both"/>
        <w:rPr>
          <w:rFonts w:ascii="Times New Roman" w:cs="Times New Roman"/>
          <w:color w:val="auto"/>
          <w:kern w:val="2"/>
          <w:sz w:val="28"/>
          <w:szCs w:val="28"/>
          <w:highlight w:val="none"/>
        </w:rPr>
      </w:pPr>
      <w:r>
        <w:rPr>
          <w:rFonts w:ascii="Times New Roman" w:cs="Times New Roman"/>
          <w:color w:val="auto"/>
          <w:kern w:val="2"/>
          <w:sz w:val="28"/>
          <w:szCs w:val="28"/>
          <w:highlight w:val="none"/>
        </w:rPr>
        <w:t>岷江乐山境内悦来乡~乐山航道里程36.3km，为Ⅵ级航道，枯水期航道尺度：1.0×1.5×250m（水深×槽宽×弯曲半径），最大可通行100t船舶。</w:t>
      </w:r>
    </w:p>
    <w:p>
      <w:pPr>
        <w:pStyle w:val="2"/>
        <w:adjustRightInd/>
        <w:spacing w:line="360" w:lineRule="auto"/>
        <w:ind w:firstLine="560" w:firstLineChars="200"/>
        <w:jc w:val="both"/>
        <w:rPr>
          <w:rFonts w:ascii="Times New Roman" w:cs="Times New Roman"/>
          <w:color w:val="auto"/>
          <w:kern w:val="2"/>
          <w:sz w:val="28"/>
          <w:szCs w:val="28"/>
          <w:highlight w:val="none"/>
        </w:rPr>
      </w:pPr>
      <w:r>
        <w:rPr>
          <w:rFonts w:ascii="Times New Roman" w:cs="Times New Roman"/>
          <w:color w:val="auto"/>
          <w:kern w:val="2"/>
          <w:sz w:val="28"/>
          <w:szCs w:val="28"/>
          <w:highlight w:val="none"/>
        </w:rPr>
        <w:t>岷江乐山~宜宾段航道里程162km（其中乐山境内乐山~龙溪河口87.8km），航道等级为Ⅳ级。通航保证率95%水位时（相应流量：五通574m</w:t>
      </w:r>
      <w:r>
        <w:rPr>
          <w:rFonts w:ascii="Times New Roman" w:cs="Times New Roman"/>
          <w:color w:val="auto"/>
          <w:kern w:val="2"/>
          <w:sz w:val="28"/>
          <w:szCs w:val="28"/>
          <w:highlight w:val="none"/>
          <w:vertAlign w:val="superscript"/>
        </w:rPr>
        <w:t>3</w:t>
      </w:r>
      <w:r>
        <w:rPr>
          <w:rFonts w:ascii="Times New Roman" w:cs="Times New Roman"/>
          <w:color w:val="auto"/>
          <w:kern w:val="2"/>
          <w:sz w:val="28"/>
          <w:szCs w:val="28"/>
          <w:highlight w:val="none"/>
        </w:rPr>
        <w:t>/s，高场652 m</w:t>
      </w:r>
      <w:r>
        <w:rPr>
          <w:rFonts w:ascii="Times New Roman" w:cs="Times New Roman"/>
          <w:color w:val="auto"/>
          <w:kern w:val="2"/>
          <w:sz w:val="28"/>
          <w:szCs w:val="28"/>
          <w:highlight w:val="none"/>
          <w:vertAlign w:val="superscript"/>
        </w:rPr>
        <w:t xml:space="preserve"> 3</w:t>
      </w:r>
      <w:r>
        <w:rPr>
          <w:rFonts w:ascii="Times New Roman" w:cs="Times New Roman"/>
          <w:color w:val="auto"/>
          <w:kern w:val="2"/>
          <w:sz w:val="28"/>
          <w:szCs w:val="28"/>
          <w:highlight w:val="none"/>
        </w:rPr>
        <w:t>/s）航道尺度为1.5×45×500 m（水深×槽宽×弯曲半径），常年可通行500吨级船舶；通航保证率70%时（相应流量：五通890 m</w:t>
      </w:r>
      <w:r>
        <w:rPr>
          <w:rFonts w:ascii="Times New Roman" w:cs="Times New Roman"/>
          <w:color w:val="auto"/>
          <w:kern w:val="2"/>
          <w:sz w:val="28"/>
          <w:szCs w:val="28"/>
          <w:highlight w:val="none"/>
          <w:vertAlign w:val="superscript"/>
        </w:rPr>
        <w:t>3</w:t>
      </w:r>
      <w:r>
        <w:rPr>
          <w:rFonts w:ascii="Times New Roman" w:cs="Times New Roman"/>
          <w:color w:val="auto"/>
          <w:kern w:val="2"/>
          <w:sz w:val="28"/>
          <w:szCs w:val="28"/>
          <w:highlight w:val="none"/>
        </w:rPr>
        <w:t>/s，高场1020 m</w:t>
      </w:r>
      <w:r>
        <w:rPr>
          <w:rFonts w:ascii="Times New Roman" w:cs="Times New Roman"/>
          <w:color w:val="auto"/>
          <w:kern w:val="2"/>
          <w:sz w:val="28"/>
          <w:szCs w:val="28"/>
          <w:highlight w:val="none"/>
          <w:vertAlign w:val="superscript"/>
        </w:rPr>
        <w:t>3</w:t>
      </w:r>
      <w:r>
        <w:rPr>
          <w:rFonts w:ascii="Times New Roman" w:cs="Times New Roman"/>
          <w:color w:val="auto"/>
          <w:kern w:val="2"/>
          <w:sz w:val="28"/>
          <w:szCs w:val="28"/>
          <w:highlight w:val="none"/>
        </w:rPr>
        <w:t>/s），航道尺度为1.8×50×750m，可通行365kW拖轮和750吨级重型专用驳船所组成的大件专用船队。随着大渡河、青衣江等上游支流水电站相继建成并网发电，下泄流量时大时小，致使下游河道水位时涨时落，时高时低，航道水位不稳定，致使船舶营运受到影响。按照《岷江（乐山~宜宾段）航电规划》，岷江下段由上至下共规划了老木孔、东风岩、犍为和龙溪口四级枢纽，建成后该段航道等级可提升至Ⅲ级。目前，岷江乐山段共有跨河桥梁14座，已全部建成。</w:t>
      </w:r>
    </w:p>
    <w:p>
      <w:pPr>
        <w:pStyle w:val="2"/>
        <w:adjustRightInd/>
        <w:spacing w:line="360" w:lineRule="auto"/>
        <w:ind w:firstLine="560" w:firstLineChars="200"/>
        <w:jc w:val="both"/>
        <w:rPr>
          <w:rFonts w:ascii="Times New Roman" w:cs="Times New Roman"/>
          <w:color w:val="auto"/>
          <w:kern w:val="2"/>
          <w:sz w:val="28"/>
          <w:szCs w:val="28"/>
          <w:highlight w:val="none"/>
        </w:rPr>
      </w:pPr>
      <w:r>
        <w:rPr>
          <w:rFonts w:hint="eastAsia" w:ascii="Times New Roman" w:cs="Times New Roman"/>
          <w:color w:val="auto"/>
          <w:kern w:val="2"/>
          <w:sz w:val="28"/>
          <w:szCs w:val="28"/>
          <w:highlight w:val="none"/>
        </w:rPr>
        <w:t>2</w:t>
      </w:r>
      <w:r>
        <w:rPr>
          <w:rFonts w:ascii="Times New Roman" w:cs="Times New Roman"/>
          <w:color w:val="auto"/>
          <w:kern w:val="2"/>
          <w:sz w:val="28"/>
          <w:szCs w:val="28"/>
          <w:highlight w:val="none"/>
        </w:rPr>
        <w:t>.大渡河</w:t>
      </w:r>
    </w:p>
    <w:p>
      <w:pPr>
        <w:pStyle w:val="2"/>
        <w:adjustRightInd/>
        <w:spacing w:line="360" w:lineRule="auto"/>
        <w:ind w:firstLine="560" w:firstLineChars="200"/>
        <w:jc w:val="both"/>
        <w:rPr>
          <w:rFonts w:ascii="Times New Roman" w:cs="Times New Roman"/>
          <w:color w:val="auto"/>
          <w:sz w:val="28"/>
          <w:szCs w:val="28"/>
          <w:highlight w:val="none"/>
        </w:rPr>
      </w:pPr>
      <w:r>
        <w:rPr>
          <w:rFonts w:ascii="Times New Roman" w:cs="Times New Roman"/>
          <w:color w:val="auto"/>
          <w:sz w:val="28"/>
          <w:szCs w:val="28"/>
          <w:highlight w:val="none"/>
        </w:rPr>
        <w:t>沙湾至乐山35km航道曾于1985～1988年进行过基建性整治，属Ⅴ级航道（其中乐山大件码头至岷江河口的2.7km提高为Ⅳ级航道），航道尺度为1.3×30×300m（水深×槽宽×弯曲半径），通行300吨级驳船。</w:t>
      </w:r>
      <w:r>
        <w:rPr>
          <w:rFonts w:hint="eastAsia" w:ascii="Times New Roman" w:cs="Times New Roman"/>
          <w:color w:val="auto"/>
          <w:sz w:val="28"/>
          <w:szCs w:val="28"/>
          <w:highlight w:val="none"/>
        </w:rPr>
        <w:t>峨边沙坪镇码头～沙湾玉溪河口1</w:t>
      </w:r>
      <w:r>
        <w:rPr>
          <w:rFonts w:ascii="Times New Roman" w:cs="Times New Roman"/>
          <w:color w:val="auto"/>
          <w:sz w:val="28"/>
          <w:szCs w:val="28"/>
          <w:highlight w:val="none"/>
        </w:rPr>
        <w:t>15.5km，属Ⅶ级航道，为库区航道。目前，大渡河乐山段共有跨河桥梁14座，已全部建成，具体情况见表1.3-5。</w:t>
      </w:r>
    </w:p>
    <w:p>
      <w:pPr>
        <w:pStyle w:val="2"/>
        <w:adjustRightInd/>
        <w:spacing w:line="360" w:lineRule="auto"/>
        <w:ind w:firstLine="560" w:firstLineChars="200"/>
        <w:rPr>
          <w:rFonts w:ascii="Times New Roman" w:cs="Times New Roman"/>
          <w:color w:val="auto"/>
          <w:kern w:val="2"/>
          <w:sz w:val="28"/>
          <w:szCs w:val="28"/>
          <w:highlight w:val="none"/>
        </w:rPr>
      </w:pPr>
      <w:r>
        <w:rPr>
          <w:rFonts w:hint="eastAsia" w:ascii="Times New Roman" w:cs="Times New Roman"/>
          <w:color w:val="auto"/>
          <w:kern w:val="2"/>
          <w:sz w:val="28"/>
          <w:szCs w:val="28"/>
          <w:highlight w:val="none"/>
        </w:rPr>
        <w:t>3</w:t>
      </w:r>
      <w:r>
        <w:rPr>
          <w:rFonts w:ascii="Times New Roman" w:cs="Times New Roman"/>
          <w:color w:val="auto"/>
          <w:kern w:val="2"/>
          <w:sz w:val="28"/>
          <w:szCs w:val="28"/>
          <w:highlight w:val="none"/>
        </w:rPr>
        <w:t>.青衣江</w:t>
      </w:r>
    </w:p>
    <w:p>
      <w:pPr>
        <w:spacing w:line="360" w:lineRule="auto"/>
        <w:ind w:firstLine="560" w:firstLineChars="200"/>
        <w:rPr>
          <w:sz w:val="28"/>
          <w:szCs w:val="28"/>
          <w:highlight w:val="none"/>
        </w:rPr>
      </w:pPr>
      <w:r>
        <w:rPr>
          <w:sz w:val="28"/>
          <w:szCs w:val="28"/>
          <w:highlight w:val="none"/>
        </w:rPr>
        <w:t>青衣江石棉渡口~乐山大渡河大桥共54.5km，其中毛滩电站~大渡河河口23.5km，属Ⅶ级航道；千佛岩电站~毛滩电站25km，石棉渡口~千佛岩电站6km，均属Ⅶ级航道，为库区航道。目前，青衣江乐山段共有跨河桥梁15座，已全部建成，</w:t>
      </w:r>
      <w:r>
        <w:rPr>
          <w:rFonts w:hint="eastAsia"/>
          <w:sz w:val="28"/>
          <w:szCs w:val="28"/>
          <w:highlight w:val="none"/>
        </w:rPr>
        <w:t>其中市中区有</w:t>
      </w:r>
      <w:r>
        <w:rPr>
          <w:sz w:val="28"/>
          <w:szCs w:val="28"/>
          <w:highlight w:val="none"/>
        </w:rPr>
        <w:t>8</w:t>
      </w:r>
      <w:r>
        <w:rPr>
          <w:rFonts w:hint="eastAsia"/>
          <w:sz w:val="28"/>
          <w:szCs w:val="28"/>
          <w:highlight w:val="none"/>
        </w:rPr>
        <w:t>座，夹江县有7座。</w:t>
      </w:r>
    </w:p>
    <w:p>
      <w:pPr>
        <w:spacing w:line="360" w:lineRule="auto"/>
        <w:ind w:firstLine="560" w:firstLineChars="200"/>
        <w:rPr>
          <w:sz w:val="28"/>
          <w:szCs w:val="28"/>
          <w:highlight w:val="none"/>
        </w:rPr>
      </w:pPr>
      <w:r>
        <w:rPr>
          <w:rFonts w:hint="eastAsia"/>
          <w:sz w:val="28"/>
          <w:szCs w:val="28"/>
          <w:highlight w:val="none"/>
        </w:rPr>
        <w:t>4</w:t>
      </w:r>
      <w:r>
        <w:rPr>
          <w:sz w:val="28"/>
          <w:szCs w:val="28"/>
          <w:highlight w:val="none"/>
        </w:rPr>
        <w:t>.马边河</w:t>
      </w:r>
    </w:p>
    <w:p>
      <w:pPr>
        <w:pStyle w:val="2"/>
        <w:adjustRightInd/>
        <w:spacing w:line="360" w:lineRule="auto"/>
        <w:ind w:firstLine="560" w:firstLineChars="200"/>
        <w:rPr>
          <w:rFonts w:eastAsia="黑体"/>
          <w:color w:val="auto"/>
          <w:sz w:val="28"/>
          <w:szCs w:val="28"/>
          <w:highlight w:val="none"/>
        </w:rPr>
      </w:pPr>
      <w:r>
        <w:rPr>
          <w:rFonts w:ascii="Times New Roman" w:cs="Times New Roman"/>
          <w:color w:val="auto"/>
          <w:kern w:val="2"/>
          <w:sz w:val="28"/>
          <w:szCs w:val="28"/>
          <w:highlight w:val="none"/>
        </w:rPr>
        <w:t>目前，马边河坛罐窑库区航道21km，属Ⅶ级航道，</w:t>
      </w:r>
      <w:r>
        <w:rPr>
          <w:rFonts w:ascii="Times New Roman" w:cs="Times New Roman"/>
          <w:color w:val="auto"/>
          <w:sz w:val="28"/>
          <w:szCs w:val="28"/>
          <w:highlight w:val="none"/>
        </w:rPr>
        <w:t>为库区航道</w:t>
      </w:r>
      <w:r>
        <w:rPr>
          <w:rFonts w:ascii="Times New Roman" w:cs="Times New Roman"/>
          <w:color w:val="auto"/>
          <w:kern w:val="2"/>
          <w:sz w:val="28"/>
          <w:szCs w:val="28"/>
          <w:highlight w:val="none"/>
        </w:rPr>
        <w:t>；黄丹库区14.1km，属Ⅶ级航道，</w:t>
      </w:r>
      <w:r>
        <w:rPr>
          <w:rFonts w:ascii="Times New Roman" w:cs="Times New Roman"/>
          <w:color w:val="auto"/>
          <w:sz w:val="28"/>
          <w:szCs w:val="28"/>
          <w:highlight w:val="none"/>
        </w:rPr>
        <w:t>为库区航道；舟坝库区23km,</w:t>
      </w:r>
      <w:r>
        <w:rPr>
          <w:rFonts w:ascii="Times New Roman" w:cs="Times New Roman"/>
          <w:color w:val="auto"/>
          <w:kern w:val="2"/>
          <w:sz w:val="28"/>
          <w:szCs w:val="28"/>
          <w:highlight w:val="none"/>
        </w:rPr>
        <w:t>属Ⅶ级航道，</w:t>
      </w:r>
      <w:r>
        <w:rPr>
          <w:rFonts w:ascii="Times New Roman" w:cs="Times New Roman"/>
          <w:color w:val="auto"/>
          <w:sz w:val="28"/>
          <w:szCs w:val="28"/>
          <w:highlight w:val="none"/>
        </w:rPr>
        <w:t>为库区航道。</w:t>
      </w:r>
      <w:r>
        <w:rPr>
          <w:rFonts w:ascii="Times New Roman" w:cs="Times New Roman"/>
          <w:color w:val="auto"/>
          <w:kern w:val="2"/>
          <w:sz w:val="28"/>
          <w:szCs w:val="28"/>
          <w:highlight w:val="none"/>
        </w:rPr>
        <w:t>目前，马边河乐山段共有跨河桥梁5座，已全部建成，</w:t>
      </w:r>
      <w:r>
        <w:rPr>
          <w:rFonts w:hint="eastAsia" w:ascii="Times New Roman" w:cs="Times New Roman"/>
          <w:color w:val="auto"/>
          <w:kern w:val="2"/>
          <w:sz w:val="28"/>
          <w:szCs w:val="28"/>
          <w:highlight w:val="none"/>
        </w:rPr>
        <w:t>沐川境内有3座，犍为境内有2座。</w:t>
      </w:r>
    </w:p>
    <w:p>
      <w:pPr>
        <w:pStyle w:val="2"/>
        <w:adjustRightInd/>
        <w:spacing w:line="360" w:lineRule="auto"/>
        <w:ind w:firstLine="560" w:firstLineChars="200"/>
        <w:rPr>
          <w:rFonts w:ascii="Times New Roman" w:cs="Times New Roman"/>
          <w:color w:val="auto"/>
          <w:kern w:val="2"/>
          <w:sz w:val="28"/>
          <w:szCs w:val="28"/>
          <w:highlight w:val="none"/>
        </w:rPr>
      </w:pPr>
      <w:r>
        <w:rPr>
          <w:rFonts w:hint="eastAsia" w:ascii="Times New Roman" w:cs="Times New Roman"/>
          <w:color w:val="auto"/>
          <w:kern w:val="2"/>
          <w:sz w:val="28"/>
          <w:szCs w:val="28"/>
          <w:highlight w:val="none"/>
        </w:rPr>
        <w:t>5</w:t>
      </w:r>
      <w:r>
        <w:rPr>
          <w:rFonts w:ascii="Times New Roman" w:cs="Times New Roman"/>
          <w:color w:val="auto"/>
          <w:kern w:val="2"/>
          <w:sz w:val="28"/>
          <w:szCs w:val="28"/>
          <w:highlight w:val="none"/>
        </w:rPr>
        <w:t>.沐溪河</w:t>
      </w:r>
    </w:p>
    <w:p>
      <w:pPr>
        <w:pStyle w:val="59"/>
        <w:adjustRightInd/>
        <w:snapToGrid/>
        <w:spacing w:beforeLines="0"/>
        <w:ind w:firstLine="560"/>
        <w:rPr>
          <w:szCs w:val="28"/>
          <w:highlight w:val="none"/>
        </w:rPr>
      </w:pPr>
      <w:r>
        <w:rPr>
          <w:highlight w:val="none"/>
        </w:rPr>
        <w:t>目前，沐溪河</w:t>
      </w:r>
      <w:r>
        <w:rPr>
          <w:szCs w:val="21"/>
          <w:highlight w:val="none"/>
        </w:rPr>
        <w:t>老炭库乡</w:t>
      </w:r>
      <w:r>
        <w:rPr>
          <w:highlight w:val="none"/>
        </w:rPr>
        <w:t>~</w:t>
      </w:r>
      <w:r>
        <w:rPr>
          <w:szCs w:val="21"/>
          <w:highlight w:val="none"/>
        </w:rPr>
        <w:t>大沐溪口</w:t>
      </w:r>
      <w:r>
        <w:rPr>
          <w:highlight w:val="none"/>
        </w:rPr>
        <w:t>17.7km为等外级航道，船舶主要为短途区间运输，无大宗物资长途运输。</w:t>
      </w:r>
      <w:r>
        <w:rPr>
          <w:szCs w:val="28"/>
          <w:highlight w:val="none"/>
        </w:rPr>
        <w:t>目前，沐溪河共有跨河桥梁6座，已全部建成，</w:t>
      </w:r>
      <w:r>
        <w:rPr>
          <w:rFonts w:hint="eastAsia"/>
          <w:szCs w:val="28"/>
          <w:highlight w:val="none"/>
        </w:rPr>
        <w:t>基本上都不满足规划航道等级要求</w:t>
      </w:r>
      <w:r>
        <w:rPr>
          <w:szCs w:val="28"/>
          <w:highlight w:val="none"/>
        </w:rPr>
        <w:t>。</w:t>
      </w:r>
    </w:p>
    <w:p>
      <w:pPr>
        <w:spacing w:before="312" w:beforeLines="100" w:line="360" w:lineRule="auto"/>
        <w:ind w:firstLine="562" w:firstLineChars="200"/>
        <w:outlineLvl w:val="2"/>
        <w:rPr>
          <w:rFonts w:eastAsia="黑体"/>
          <w:b/>
          <w:sz w:val="28"/>
          <w:szCs w:val="28"/>
          <w:highlight w:val="none"/>
        </w:rPr>
      </w:pPr>
      <w:bookmarkStart w:id="48" w:name="_Toc77781870"/>
      <w:bookmarkStart w:id="49" w:name="_Toc39690683"/>
      <w:r>
        <w:rPr>
          <w:rFonts w:hint="eastAsia" w:eastAsia="黑体"/>
          <w:b/>
          <w:sz w:val="28"/>
          <w:szCs w:val="28"/>
          <w:highlight w:val="none"/>
        </w:rPr>
        <w:t>三、</w:t>
      </w:r>
      <w:r>
        <w:rPr>
          <w:rFonts w:eastAsia="黑体"/>
          <w:b/>
          <w:sz w:val="28"/>
          <w:szCs w:val="28"/>
          <w:highlight w:val="none"/>
        </w:rPr>
        <w:t>港口生产运营状况</w:t>
      </w:r>
      <w:bookmarkEnd w:id="48"/>
      <w:bookmarkEnd w:id="49"/>
    </w:p>
    <w:p>
      <w:pPr>
        <w:spacing w:line="360" w:lineRule="auto"/>
        <w:ind w:firstLine="562" w:firstLineChars="200"/>
        <w:rPr>
          <w:b/>
          <w:kern w:val="0"/>
          <w:sz w:val="28"/>
          <w:szCs w:val="28"/>
          <w:highlight w:val="none"/>
        </w:rPr>
      </w:pPr>
      <w:r>
        <w:rPr>
          <w:rFonts w:hint="eastAsia"/>
          <w:b/>
          <w:kern w:val="0"/>
          <w:sz w:val="28"/>
          <w:szCs w:val="28"/>
          <w:highlight w:val="none"/>
        </w:rPr>
        <w:t>（一）</w:t>
      </w:r>
      <w:r>
        <w:rPr>
          <w:b/>
          <w:kern w:val="0"/>
          <w:sz w:val="28"/>
          <w:szCs w:val="28"/>
          <w:highlight w:val="none"/>
        </w:rPr>
        <w:t>港口吞吐量现状</w:t>
      </w:r>
    </w:p>
    <w:p>
      <w:pPr>
        <w:spacing w:line="360" w:lineRule="auto"/>
        <w:ind w:firstLine="480"/>
        <w:rPr>
          <w:sz w:val="28"/>
          <w:szCs w:val="28"/>
          <w:highlight w:val="none"/>
        </w:rPr>
      </w:pPr>
      <w:r>
        <w:rPr>
          <w:sz w:val="28"/>
          <w:szCs w:val="28"/>
          <w:highlight w:val="none"/>
        </w:rPr>
        <w:t>近年来，受岷江下段航道条件及港口基础设施制约，乐山港货运吞吐量下降明显，而随着区域经济快速发展、民众旅游需求的释放，客运量则稳步增长。</w:t>
      </w:r>
    </w:p>
    <w:p>
      <w:pPr>
        <w:spacing w:before="156" w:beforeLines="50" w:line="360" w:lineRule="auto"/>
        <w:ind w:firstLine="562" w:firstLineChars="200"/>
        <w:rPr>
          <w:b/>
          <w:kern w:val="0"/>
          <w:sz w:val="28"/>
          <w:szCs w:val="28"/>
          <w:highlight w:val="none"/>
        </w:rPr>
      </w:pPr>
      <w:r>
        <w:rPr>
          <w:rFonts w:hint="eastAsia"/>
          <w:b/>
          <w:kern w:val="0"/>
          <w:sz w:val="28"/>
          <w:szCs w:val="28"/>
          <w:highlight w:val="none"/>
        </w:rPr>
        <w:t>（二）</w:t>
      </w:r>
      <w:r>
        <w:rPr>
          <w:b/>
          <w:kern w:val="0"/>
          <w:sz w:val="28"/>
          <w:szCs w:val="28"/>
          <w:highlight w:val="none"/>
        </w:rPr>
        <w:t>到港船舶现状</w:t>
      </w:r>
    </w:p>
    <w:p>
      <w:pPr>
        <w:spacing w:line="360" w:lineRule="auto"/>
        <w:ind w:firstLine="560" w:firstLineChars="200"/>
        <w:rPr>
          <w:sz w:val="28"/>
          <w:szCs w:val="28"/>
          <w:highlight w:val="none"/>
        </w:rPr>
      </w:pPr>
      <w:r>
        <w:rPr>
          <w:sz w:val="28"/>
          <w:szCs w:val="28"/>
          <w:highlight w:val="none"/>
        </w:rPr>
        <w:t>乐山港到港船舶除大件船外，其他船舶具有吨位小、同吨级下船舶主尺度大、吃水浅、空船自重轻、主机功率大、上滩能力强等特点。到港货运船舶以中长途运输为主，主要为机动驳单船，船队运输基本绝迹。受航道条件限制，岷江货船普遍吨位较小，一般为300～800吨级，中洪水期最大货船为1200吨级。目前岷江段主要为干散货运输，还没有集装箱船、液货船（含油船、化学品船）运输。</w:t>
      </w:r>
    </w:p>
    <w:p>
      <w:pPr>
        <w:spacing w:line="360" w:lineRule="auto"/>
        <w:ind w:firstLine="562" w:firstLineChars="200"/>
        <w:outlineLvl w:val="2"/>
        <w:rPr>
          <w:rFonts w:eastAsia="黑体"/>
          <w:b/>
          <w:sz w:val="28"/>
          <w:szCs w:val="28"/>
          <w:highlight w:val="none"/>
        </w:rPr>
      </w:pPr>
      <w:bookmarkStart w:id="50" w:name="_Toc77781871"/>
      <w:bookmarkStart w:id="51" w:name="_Toc39690684"/>
      <w:r>
        <w:rPr>
          <w:rFonts w:hint="eastAsia" w:eastAsia="黑体"/>
          <w:b/>
          <w:sz w:val="28"/>
          <w:szCs w:val="28"/>
          <w:highlight w:val="none"/>
        </w:rPr>
        <w:t>四、</w:t>
      </w:r>
      <w:r>
        <w:rPr>
          <w:rFonts w:eastAsia="黑体"/>
          <w:b/>
          <w:sz w:val="28"/>
          <w:szCs w:val="28"/>
          <w:highlight w:val="none"/>
        </w:rPr>
        <w:t>港口体制及政策状况</w:t>
      </w:r>
      <w:bookmarkEnd w:id="50"/>
      <w:bookmarkEnd w:id="51"/>
    </w:p>
    <w:p>
      <w:pPr>
        <w:pStyle w:val="30"/>
        <w:shd w:val="clear" w:color="auto" w:fill="FFFFFF"/>
        <w:spacing w:before="0" w:beforeAutospacing="0" w:after="0" w:afterAutospacing="0" w:line="360" w:lineRule="auto"/>
        <w:ind w:firstLine="560" w:firstLineChars="200"/>
        <w:jc w:val="both"/>
        <w:rPr>
          <w:rFonts w:ascii="Times New Roman" w:hAnsi="Times New Roman" w:cs="Times New Roman"/>
          <w:sz w:val="28"/>
          <w:szCs w:val="28"/>
          <w:highlight w:val="none"/>
        </w:rPr>
      </w:pPr>
      <w:r>
        <w:rPr>
          <w:rFonts w:ascii="Times New Roman" w:hAnsi="Times New Roman" w:cs="Times New Roman"/>
          <w:bCs/>
          <w:sz w:val="28"/>
          <w:szCs w:val="28"/>
          <w:highlight w:val="none"/>
        </w:rPr>
        <w:t>1950年，川南行署交通厅为加强航运管理，在五通桥盐务局设五通桥区航运管理所。1954年，四川省交通厅决定将各专署（市）所在地的航管站改为中心站，乐山中心航管站成立，</w:t>
      </w:r>
      <w:r>
        <w:rPr>
          <w:rFonts w:ascii="Times New Roman" w:hAnsi="Times New Roman" w:cs="Times New Roman"/>
          <w:sz w:val="28"/>
          <w:szCs w:val="28"/>
          <w:highlight w:val="none"/>
        </w:rPr>
        <w:t>1986年更名为乐山市航务管理处；1997年，为加强乐山市的水路交通建设和管理，原乐山市航务处、港监处合署办公，对乐山港的港政、航政、海事监管行使统一的行业管理职责，2002年更名为乐山市航务管理局。2019年10月，乐山市航务管理局机构改革完成，正式更名为乐山市港航中心，成为我省第一个水运管理部门完成机构改革的市州。新组建的港航中心，在将市海事管理局、市渔船检验处的执法职能和行政职能剥离后，主要承担全市港口与航道管理、水路运输市场管理、交通运输船舶和渔业船舶检验管理的行政辅助职能，为交通主管部门提供技术支撑、事务保障和对外的公共服务工作。对优化交通运输管理资源配置、构建全新的行政管理和公共服务机制、推动交通运输高质量发展具有重要的现实意义，也标志着乐山市交通运输行业治理体系和治理能力现代化建设进程向前迈进了一大步。</w:t>
      </w:r>
    </w:p>
    <w:p>
      <w:pPr>
        <w:spacing w:before="156" w:beforeLines="50" w:after="156" w:afterLines="50" w:line="520" w:lineRule="exact"/>
        <w:jc w:val="center"/>
        <w:outlineLvl w:val="1"/>
        <w:rPr>
          <w:rFonts w:eastAsia="黑体"/>
          <w:b/>
          <w:sz w:val="30"/>
          <w:highlight w:val="none"/>
        </w:rPr>
      </w:pPr>
      <w:bookmarkStart w:id="52" w:name="_Toc39690685"/>
      <w:bookmarkStart w:id="53" w:name="_Toc77781872"/>
      <w:r>
        <w:rPr>
          <w:rFonts w:eastAsia="黑体"/>
          <w:b/>
          <w:sz w:val="30"/>
          <w:highlight w:val="none"/>
        </w:rPr>
        <w:t>第四节</w:t>
      </w:r>
      <w:r>
        <w:rPr>
          <w:rFonts w:hint="eastAsia" w:eastAsia="黑体"/>
          <w:b/>
          <w:sz w:val="30"/>
          <w:highlight w:val="none"/>
        </w:rPr>
        <w:t xml:space="preserve"> </w:t>
      </w:r>
      <w:r>
        <w:rPr>
          <w:rFonts w:eastAsia="黑体"/>
          <w:b/>
          <w:sz w:val="30"/>
          <w:highlight w:val="none"/>
        </w:rPr>
        <w:t>原规划内容及实施情况</w:t>
      </w:r>
      <w:bookmarkEnd w:id="52"/>
      <w:bookmarkEnd w:id="53"/>
    </w:p>
    <w:p>
      <w:pPr>
        <w:pStyle w:val="14"/>
        <w:spacing w:after="0" w:line="360" w:lineRule="auto"/>
        <w:ind w:firstLine="560" w:firstLineChars="200"/>
        <w:rPr>
          <w:rFonts w:ascii="Times New Roman" w:hAnsi="Times New Roman" w:eastAsia="宋体" w:cs="Times New Roman"/>
          <w:sz w:val="28"/>
          <w:szCs w:val="28"/>
          <w:highlight w:val="none"/>
        </w:rPr>
      </w:pPr>
      <w:r>
        <w:rPr>
          <w:rFonts w:ascii="Times New Roman" w:hAnsi="Times New Roman" w:eastAsia="宋体" w:cs="Times New Roman"/>
          <w:sz w:val="28"/>
          <w:szCs w:val="28"/>
          <w:highlight w:val="none"/>
        </w:rPr>
        <w:t>原《乐山港总体规划》于2010年编制完成并由省政府批复实施。规划范围为乐山市辖区内岷江、大渡河（沙湾以下）宜港岸线，包括嘉州、五通桥、犍为和沙湾4个港区，主要规划老江坝、桥沟、下渡、河口、沫东等5个货运作业区，新增泊位50个、通过能力2465万t（含集装箱）；规划重点是建设老江坝作业区，近期形成50万TEU的港口通过能力。</w:t>
      </w:r>
    </w:p>
    <w:p>
      <w:pPr>
        <w:spacing w:line="360" w:lineRule="auto"/>
        <w:ind w:firstLine="562" w:firstLineChars="200"/>
        <w:outlineLvl w:val="2"/>
        <w:rPr>
          <w:rFonts w:eastAsia="黑体"/>
          <w:b/>
          <w:sz w:val="28"/>
          <w:szCs w:val="28"/>
          <w:highlight w:val="none"/>
        </w:rPr>
      </w:pPr>
      <w:bookmarkStart w:id="54" w:name="_Toc77781873"/>
      <w:r>
        <w:rPr>
          <w:rFonts w:eastAsia="黑体"/>
          <w:b/>
          <w:sz w:val="28"/>
          <w:szCs w:val="28"/>
          <w:highlight w:val="none"/>
        </w:rPr>
        <w:t>一、</w:t>
      </w:r>
      <w:r>
        <w:rPr>
          <w:rFonts w:hint="eastAsia" w:eastAsia="黑体"/>
          <w:b/>
          <w:sz w:val="28"/>
          <w:szCs w:val="28"/>
          <w:highlight w:val="none"/>
        </w:rPr>
        <w:t>原规划实施情况</w:t>
      </w:r>
      <w:bookmarkEnd w:id="54"/>
    </w:p>
    <w:p>
      <w:pPr>
        <w:pStyle w:val="14"/>
        <w:spacing w:after="0" w:line="360" w:lineRule="auto"/>
        <w:ind w:firstLine="560" w:firstLineChars="200"/>
        <w:rPr>
          <w:rFonts w:ascii="Times New Roman" w:hAnsi="Times New Roman" w:cs="Times New Roman"/>
          <w:sz w:val="28"/>
          <w:szCs w:val="28"/>
          <w:highlight w:val="none"/>
        </w:rPr>
      </w:pPr>
      <w:r>
        <w:rPr>
          <w:rFonts w:hint="eastAsia" w:ascii="Times New Roman" w:hAnsi="Times New Roman" w:cs="Times New Roman"/>
          <w:sz w:val="28"/>
          <w:szCs w:val="28"/>
          <w:highlight w:val="none"/>
        </w:rPr>
        <w:t>规划批复实施以来，乐山市启动了老江坝作业区的前期工作，但由于受岷江航电开发进程、乐山市城市发展定位及工业布局调整等因素影响，老江坝作业区未启动建设。此外，在规划实施过程中，由于受内外部环境变化的影响，原规划的多处重点作业区需要进行调整：</w:t>
      </w:r>
      <w:r>
        <w:rPr>
          <w:rFonts w:hint="eastAsia" w:ascii="Times New Roman" w:hAnsi="Times New Roman" w:cs="Times New Roman"/>
          <w:b/>
          <w:bCs/>
          <w:sz w:val="28"/>
          <w:szCs w:val="28"/>
          <w:highlight w:val="none"/>
        </w:rPr>
        <w:t>一是</w:t>
      </w:r>
      <w:r>
        <w:rPr>
          <w:rFonts w:hint="eastAsia" w:ascii="Times New Roman" w:hAnsi="Times New Roman" w:cs="Times New Roman"/>
          <w:sz w:val="28"/>
          <w:szCs w:val="28"/>
          <w:highlight w:val="none"/>
        </w:rPr>
        <w:t>受老木孔枢纽防洪堤方案调整后老江坝右岸汊河水流条件影响，导致原规划利用的老江坝作业区5.4km岸线大幅减少。此外，根据</w:t>
      </w:r>
      <w:r>
        <w:rPr>
          <w:rFonts w:ascii="Times New Roman" w:hAnsi="Times New Roman" w:cs="Times New Roman"/>
          <w:sz w:val="28"/>
          <w:szCs w:val="28"/>
          <w:highlight w:val="none"/>
        </w:rPr>
        <w:t>乐山市城市功能的调整，原规划的老江坝作业区后方依托的工业园区已经调整到五通桥区、犍为县，目前冠英所在片区将定位为会展商务用地</w:t>
      </w:r>
      <w:r>
        <w:rPr>
          <w:rFonts w:hint="eastAsia" w:ascii="Times New Roman" w:hAnsi="Times New Roman" w:cs="Times New Roman"/>
          <w:sz w:val="28"/>
          <w:szCs w:val="28"/>
          <w:highlight w:val="none"/>
        </w:rPr>
        <w:t>；</w:t>
      </w:r>
      <w:r>
        <w:rPr>
          <w:rFonts w:hint="eastAsia" w:ascii="Times New Roman" w:hAnsi="Times New Roman" w:cs="Times New Roman"/>
          <w:b/>
          <w:bCs/>
          <w:sz w:val="28"/>
          <w:szCs w:val="28"/>
          <w:highlight w:val="none"/>
        </w:rPr>
        <w:t>二是</w:t>
      </w:r>
      <w:r>
        <w:rPr>
          <w:rFonts w:hint="eastAsia" w:ascii="Times New Roman" w:hAnsi="Times New Roman" w:cs="Times New Roman"/>
          <w:sz w:val="28"/>
          <w:szCs w:val="28"/>
          <w:highlight w:val="none"/>
        </w:rPr>
        <w:t>由于东风岩枢纽坝址下移，原规划的五通桥港区桥沟作业区位置由东风岩坝下变为坝</w:t>
      </w:r>
      <w:r>
        <w:rPr>
          <w:rFonts w:hint="eastAsia" w:ascii="Tahoma" w:hAnsi="Tahoma" w:cs="Tahoma"/>
          <w:sz w:val="28"/>
          <w:szCs w:val="28"/>
          <w:highlight w:val="none"/>
        </w:rPr>
        <w:t>上</w:t>
      </w:r>
      <w:r>
        <w:rPr>
          <w:rFonts w:hint="eastAsia" w:ascii="Times New Roman" w:hAnsi="Times New Roman" w:cs="Times New Roman"/>
          <w:sz w:val="28"/>
          <w:szCs w:val="28"/>
          <w:highlight w:val="none"/>
        </w:rPr>
        <w:t>，作业区大部分陆域将处于淹没区，需要调整位置及规模；</w:t>
      </w:r>
      <w:r>
        <w:rPr>
          <w:rFonts w:hint="eastAsia" w:ascii="Times New Roman" w:hAnsi="Times New Roman" w:cs="Times New Roman"/>
          <w:b/>
          <w:bCs/>
          <w:sz w:val="28"/>
          <w:szCs w:val="28"/>
          <w:highlight w:val="none"/>
        </w:rPr>
        <w:t>三是</w:t>
      </w:r>
      <w:r>
        <w:rPr>
          <w:rFonts w:hint="eastAsia" w:ascii="Times New Roman" w:hAnsi="Times New Roman" w:cs="Times New Roman"/>
          <w:sz w:val="28"/>
          <w:szCs w:val="28"/>
          <w:highlight w:val="none"/>
        </w:rPr>
        <w:t>随着犍为城区的发展，原规划的河口作业区及后方南岸工业集中区都已纳入犍为县城区发展范畴，河口作业区已不适合发展货运，需要根据工业园区的搬迁相应调整，地方上已于</w:t>
      </w:r>
      <w:r>
        <w:rPr>
          <w:rFonts w:ascii="Times New Roman" w:hAnsi="Times New Roman" w:cs="Times New Roman"/>
          <w:sz w:val="28"/>
          <w:szCs w:val="28"/>
          <w:highlight w:val="none"/>
        </w:rPr>
        <w:t>2017</w:t>
      </w:r>
      <w:r>
        <w:rPr>
          <w:rFonts w:hint="eastAsia" w:ascii="Times New Roman" w:hAnsi="Times New Roman" w:cs="Times New Roman"/>
          <w:sz w:val="28"/>
          <w:szCs w:val="28"/>
          <w:highlight w:val="none"/>
        </w:rPr>
        <w:t>年开展了河口作业区调整至高石坝作业区的研究工作；</w:t>
      </w:r>
      <w:r>
        <w:rPr>
          <w:rFonts w:hint="eastAsia" w:ascii="Times New Roman" w:hAnsi="Times New Roman" w:cs="Times New Roman"/>
          <w:b/>
          <w:bCs/>
          <w:sz w:val="28"/>
          <w:szCs w:val="28"/>
          <w:highlight w:val="none"/>
        </w:rPr>
        <w:t>四是</w:t>
      </w:r>
      <w:r>
        <w:rPr>
          <w:rFonts w:hint="eastAsia" w:ascii="Times New Roman" w:hAnsi="Times New Roman" w:cs="Times New Roman"/>
          <w:sz w:val="28"/>
          <w:szCs w:val="28"/>
          <w:highlight w:val="none"/>
        </w:rPr>
        <w:t>乐沙大道开工建设，该路沿大渡河左岸联通乐山市区和沙湾，占用了原规划的沙湾港区沫东作业区陆域，原规划的沫东作业区需重新选址。</w:t>
      </w:r>
    </w:p>
    <w:p>
      <w:pPr>
        <w:spacing w:line="360" w:lineRule="auto"/>
        <w:ind w:firstLine="562" w:firstLineChars="200"/>
        <w:outlineLvl w:val="2"/>
        <w:rPr>
          <w:rFonts w:eastAsia="黑体"/>
          <w:b/>
          <w:sz w:val="28"/>
          <w:szCs w:val="28"/>
          <w:highlight w:val="none"/>
        </w:rPr>
      </w:pPr>
      <w:bookmarkStart w:id="55" w:name="_Toc77781874"/>
      <w:r>
        <w:rPr>
          <w:rFonts w:hint="eastAsia" w:eastAsia="黑体"/>
          <w:b/>
          <w:sz w:val="28"/>
          <w:szCs w:val="28"/>
          <w:highlight w:val="none"/>
        </w:rPr>
        <w:t>二</w:t>
      </w:r>
      <w:r>
        <w:rPr>
          <w:rFonts w:eastAsia="黑体"/>
          <w:b/>
          <w:sz w:val="28"/>
          <w:szCs w:val="28"/>
          <w:highlight w:val="none"/>
        </w:rPr>
        <w:t>、</w:t>
      </w:r>
      <w:r>
        <w:rPr>
          <w:rFonts w:hint="eastAsia" w:eastAsia="黑体"/>
          <w:b/>
          <w:sz w:val="28"/>
          <w:szCs w:val="28"/>
          <w:highlight w:val="none"/>
        </w:rPr>
        <w:t>规划修订的必要性</w:t>
      </w:r>
      <w:bookmarkEnd w:id="55"/>
    </w:p>
    <w:p>
      <w:pPr>
        <w:pStyle w:val="2"/>
        <w:spacing w:line="360" w:lineRule="auto"/>
        <w:ind w:firstLine="560" w:firstLineChars="200"/>
        <w:jc w:val="both"/>
        <w:rPr>
          <w:rFonts w:ascii="Times New Roman" w:cs="Times New Roman" w:eastAsiaTheme="minorEastAsia"/>
          <w:color w:val="auto"/>
          <w:kern w:val="2"/>
          <w:sz w:val="28"/>
          <w:szCs w:val="28"/>
          <w:highlight w:val="none"/>
        </w:rPr>
      </w:pPr>
      <w:r>
        <w:rPr>
          <w:rFonts w:hint="eastAsia" w:ascii="Times New Roman" w:cs="Times New Roman" w:eastAsiaTheme="minorEastAsia"/>
          <w:color w:val="auto"/>
          <w:kern w:val="2"/>
          <w:sz w:val="28"/>
          <w:szCs w:val="28"/>
          <w:highlight w:val="none"/>
        </w:rPr>
        <w:t>2</w:t>
      </w:r>
      <w:r>
        <w:rPr>
          <w:rFonts w:ascii="Times New Roman" w:cs="Times New Roman" w:eastAsiaTheme="minorEastAsia"/>
          <w:color w:val="auto"/>
          <w:kern w:val="2"/>
          <w:sz w:val="28"/>
          <w:szCs w:val="28"/>
          <w:highlight w:val="none"/>
        </w:rPr>
        <w:t>010</w:t>
      </w:r>
      <w:r>
        <w:rPr>
          <w:rFonts w:hint="eastAsia" w:ascii="Times New Roman" w:cs="Times New Roman" w:eastAsiaTheme="minorEastAsia"/>
          <w:color w:val="auto"/>
          <w:kern w:val="2"/>
          <w:sz w:val="28"/>
          <w:szCs w:val="28"/>
          <w:highlight w:val="none"/>
        </w:rPr>
        <w:t>版规划定位乐山港是四川省重要港口之一，是泸州-宜宾-乐山港口群重要组成部分，是成都经济区最便捷的“通江达海”水运口岸，是西部综合交通枢纽的重要组成，是国家重型装备和战略资源开发的重要保障。原规划的实施有效地巩固了乐山港作为全省主要港口的地位，加速了岷江航电开发和龙溪口~宜宾航道整治的进程，促进了进港大道等集疏运道路的建设，为乐山港口建设打下了坚实的基础。但由于乐山市经济社会形势发展迅猛，原规划在发展模式、功能定位、布局形态、服务功能等方面已无法适应如今乐山城市的发展需求。</w:t>
      </w:r>
    </w:p>
    <w:p>
      <w:pPr>
        <w:spacing w:line="360" w:lineRule="auto"/>
        <w:ind w:firstLine="562" w:firstLineChars="200"/>
        <w:rPr>
          <w:rFonts w:eastAsiaTheme="majorEastAsia"/>
          <w:b/>
          <w:bCs/>
          <w:sz w:val="28"/>
          <w:szCs w:val="28"/>
          <w:highlight w:val="none"/>
        </w:rPr>
      </w:pPr>
      <w:r>
        <w:rPr>
          <w:rFonts w:hint="eastAsia" w:eastAsiaTheme="majorEastAsia"/>
          <w:b/>
          <w:bCs/>
          <w:sz w:val="28"/>
          <w:szCs w:val="28"/>
          <w:highlight w:val="none"/>
        </w:rPr>
        <w:t>（一）新发展理念要求乐山港转变</w:t>
      </w:r>
      <w:r>
        <w:rPr>
          <w:rFonts w:eastAsiaTheme="majorEastAsia"/>
          <w:b/>
          <w:bCs/>
          <w:sz w:val="28"/>
          <w:szCs w:val="28"/>
          <w:highlight w:val="none"/>
        </w:rPr>
        <w:t>发展</w:t>
      </w:r>
      <w:r>
        <w:rPr>
          <w:rFonts w:hint="eastAsia" w:eastAsiaTheme="majorEastAsia"/>
          <w:b/>
          <w:bCs/>
          <w:sz w:val="28"/>
          <w:szCs w:val="28"/>
          <w:highlight w:val="none"/>
        </w:rPr>
        <w:t>模式</w:t>
      </w:r>
    </w:p>
    <w:p>
      <w:pPr>
        <w:spacing w:line="360" w:lineRule="auto"/>
        <w:ind w:firstLine="560" w:firstLineChars="200"/>
        <w:rPr>
          <w:rFonts w:eastAsiaTheme="minorEastAsia"/>
          <w:sz w:val="28"/>
          <w:szCs w:val="28"/>
          <w:highlight w:val="none"/>
        </w:rPr>
      </w:pPr>
      <w:r>
        <w:rPr>
          <w:rFonts w:hint="eastAsia" w:eastAsiaTheme="minorEastAsia"/>
          <w:sz w:val="28"/>
          <w:szCs w:val="28"/>
          <w:highlight w:val="none"/>
        </w:rPr>
        <w:t>由于所处时代的局限性，原规划主要规划大型货运作业区且未注重客运、运输服务等要素对港口建设的促进作用，发展思路</w:t>
      </w:r>
      <w:r>
        <w:rPr>
          <w:rFonts w:eastAsiaTheme="minorEastAsia"/>
          <w:sz w:val="28"/>
          <w:szCs w:val="28"/>
          <w:highlight w:val="none"/>
        </w:rPr>
        <w:t>主要依靠建设投入和规模扩张</w:t>
      </w:r>
      <w:r>
        <w:rPr>
          <w:rFonts w:hint="eastAsia" w:eastAsiaTheme="minorEastAsia"/>
          <w:sz w:val="28"/>
          <w:szCs w:val="28"/>
          <w:highlight w:val="none"/>
        </w:rPr>
        <w:t>。新时代，随着新发展理念引领发展模式的深层变革，要求乐山港顺应时代发展潮流，</w:t>
      </w:r>
      <w:r>
        <w:rPr>
          <w:rFonts w:eastAsiaTheme="minorEastAsia"/>
          <w:sz w:val="28"/>
          <w:szCs w:val="28"/>
          <w:highlight w:val="none"/>
        </w:rPr>
        <w:t>由过去</w:t>
      </w:r>
      <w:r>
        <w:rPr>
          <w:rFonts w:hint="eastAsia" w:eastAsiaTheme="minorEastAsia"/>
          <w:sz w:val="28"/>
          <w:szCs w:val="28"/>
          <w:highlight w:val="none"/>
        </w:rPr>
        <w:t>的</w:t>
      </w:r>
      <w:r>
        <w:rPr>
          <w:rFonts w:eastAsiaTheme="minorEastAsia"/>
          <w:sz w:val="28"/>
          <w:szCs w:val="28"/>
          <w:highlight w:val="none"/>
        </w:rPr>
        <w:t>“数量规模”型外延式发展向“提质增效”型内涵式发展跨越，以创新驱动发展，以供给侧结构性改革转换动能，</w:t>
      </w:r>
      <w:r>
        <w:rPr>
          <w:rFonts w:hint="eastAsia" w:eastAsiaTheme="minorEastAsia"/>
          <w:sz w:val="28"/>
          <w:szCs w:val="28"/>
          <w:highlight w:val="none"/>
        </w:rPr>
        <w:t>围绕“乐山乐水”做好交旅融合，围绕“乐城”做好港口与城市发展和产业融合，</w:t>
      </w:r>
      <w:r>
        <w:rPr>
          <w:rFonts w:eastAsiaTheme="minorEastAsia"/>
          <w:sz w:val="28"/>
          <w:szCs w:val="28"/>
          <w:highlight w:val="none"/>
        </w:rPr>
        <w:t>大力推进</w:t>
      </w:r>
      <w:r>
        <w:rPr>
          <w:rFonts w:hint="eastAsia" w:eastAsiaTheme="minorEastAsia"/>
          <w:sz w:val="28"/>
          <w:szCs w:val="28"/>
          <w:highlight w:val="none"/>
        </w:rPr>
        <w:t>乐山港抓创新、</w:t>
      </w:r>
      <w:r>
        <w:rPr>
          <w:rFonts w:eastAsiaTheme="minorEastAsia"/>
          <w:sz w:val="28"/>
          <w:szCs w:val="28"/>
          <w:highlight w:val="none"/>
        </w:rPr>
        <w:t>调结构、优运输、强服务，</w:t>
      </w:r>
      <w:r>
        <w:rPr>
          <w:rFonts w:hint="eastAsia" w:eastAsiaTheme="minorEastAsia"/>
          <w:sz w:val="28"/>
          <w:szCs w:val="28"/>
          <w:highlight w:val="none"/>
        </w:rPr>
        <w:t>促进 “水运+城市+产业+旅游”的深度融合发展，</w:t>
      </w:r>
      <w:r>
        <w:rPr>
          <w:rFonts w:eastAsiaTheme="minorEastAsia"/>
          <w:sz w:val="28"/>
          <w:szCs w:val="28"/>
          <w:highlight w:val="none"/>
        </w:rPr>
        <w:t>构建创新、运输、服务、建设多轮驱动新局面。</w:t>
      </w:r>
    </w:p>
    <w:p>
      <w:pPr>
        <w:spacing w:line="360" w:lineRule="auto"/>
        <w:ind w:firstLine="562" w:firstLineChars="200"/>
        <w:rPr>
          <w:rFonts w:eastAsiaTheme="majorEastAsia"/>
          <w:b/>
          <w:bCs/>
          <w:sz w:val="28"/>
          <w:szCs w:val="28"/>
          <w:highlight w:val="none"/>
        </w:rPr>
      </w:pPr>
      <w:r>
        <w:rPr>
          <w:rFonts w:hint="eastAsia" w:eastAsiaTheme="majorEastAsia"/>
          <w:b/>
          <w:bCs/>
          <w:sz w:val="28"/>
          <w:szCs w:val="28"/>
          <w:highlight w:val="none"/>
        </w:rPr>
        <w:t>（二）重大战略叠加要求乐山港调整功能定位</w:t>
      </w:r>
    </w:p>
    <w:p>
      <w:pPr>
        <w:pStyle w:val="2"/>
        <w:spacing w:line="360" w:lineRule="auto"/>
        <w:ind w:firstLine="560" w:firstLineChars="200"/>
        <w:jc w:val="both"/>
        <w:rPr>
          <w:rFonts w:eastAsiaTheme="minorEastAsia"/>
          <w:color w:val="auto"/>
          <w:sz w:val="28"/>
          <w:szCs w:val="28"/>
          <w:highlight w:val="none"/>
        </w:rPr>
      </w:pPr>
      <w:r>
        <w:rPr>
          <w:rFonts w:hint="eastAsia" w:eastAsiaTheme="minorEastAsia"/>
          <w:color w:val="auto"/>
          <w:sz w:val="28"/>
          <w:szCs w:val="28"/>
          <w:highlight w:val="none"/>
        </w:rPr>
        <w:t>随着近期</w:t>
      </w:r>
      <w:r>
        <w:rPr>
          <w:rFonts w:eastAsiaTheme="minorEastAsia"/>
          <w:color w:val="auto"/>
          <w:sz w:val="28"/>
          <w:szCs w:val="28"/>
          <w:highlight w:val="none"/>
        </w:rPr>
        <w:t>交通强国建设、</w:t>
      </w:r>
      <w:r>
        <w:rPr>
          <w:rFonts w:hint="eastAsia" w:eastAsiaTheme="minorEastAsia"/>
          <w:color w:val="auto"/>
          <w:sz w:val="28"/>
          <w:szCs w:val="28"/>
          <w:highlight w:val="none"/>
        </w:rPr>
        <w:t>内河航运发展纲要、</w:t>
      </w:r>
      <w:r>
        <w:rPr>
          <w:rFonts w:eastAsiaTheme="minorEastAsia"/>
          <w:color w:val="auto"/>
          <w:sz w:val="28"/>
          <w:szCs w:val="28"/>
          <w:highlight w:val="none"/>
        </w:rPr>
        <w:t>成渝地区双城经济圈建设、</w:t>
      </w:r>
      <w:r>
        <w:rPr>
          <w:rFonts w:hint="eastAsia" w:eastAsiaTheme="minorEastAsia"/>
          <w:color w:val="auto"/>
          <w:sz w:val="28"/>
          <w:szCs w:val="28"/>
          <w:highlight w:val="none"/>
        </w:rPr>
        <w:t>西部陆海新通道、</w:t>
      </w:r>
      <w:r>
        <w:rPr>
          <w:rFonts w:eastAsiaTheme="minorEastAsia"/>
          <w:color w:val="auto"/>
          <w:sz w:val="28"/>
          <w:szCs w:val="28"/>
          <w:highlight w:val="none"/>
        </w:rPr>
        <w:t>“</w:t>
      </w:r>
      <w:r>
        <w:rPr>
          <w:rFonts w:hint="eastAsia" w:eastAsiaTheme="minorEastAsia"/>
          <w:color w:val="auto"/>
          <w:sz w:val="28"/>
          <w:szCs w:val="28"/>
          <w:highlight w:val="none"/>
        </w:rPr>
        <w:t>四化同步、城乡融合、五区共兴</w:t>
      </w:r>
      <w:r>
        <w:rPr>
          <w:rFonts w:eastAsiaTheme="minorEastAsia"/>
          <w:color w:val="auto"/>
          <w:sz w:val="28"/>
          <w:szCs w:val="28"/>
          <w:highlight w:val="none"/>
        </w:rPr>
        <w:t>”</w:t>
      </w:r>
      <w:r>
        <w:rPr>
          <w:rFonts w:hint="eastAsia" w:eastAsiaTheme="minorEastAsia"/>
          <w:color w:val="auto"/>
          <w:sz w:val="28"/>
          <w:szCs w:val="28"/>
          <w:highlight w:val="none"/>
        </w:rPr>
        <w:t>、全省港口整合</w:t>
      </w:r>
      <w:r>
        <w:rPr>
          <w:rFonts w:eastAsiaTheme="minorEastAsia"/>
          <w:color w:val="auto"/>
          <w:sz w:val="28"/>
          <w:szCs w:val="28"/>
          <w:highlight w:val="none"/>
        </w:rPr>
        <w:t>等一系列国、省战略</w:t>
      </w:r>
      <w:r>
        <w:rPr>
          <w:rFonts w:hint="eastAsia" w:eastAsiaTheme="minorEastAsia"/>
          <w:color w:val="auto"/>
          <w:sz w:val="28"/>
          <w:szCs w:val="28"/>
          <w:highlight w:val="none"/>
        </w:rPr>
        <w:t>的实施，迫切要求乐山港以此为契机，在谋划港口自身发展的同时，着重考虑与国、省、市等重大发展战略、发展思路、发展目标的对接和响应，重新审视乐山区位优势及港口需求，准确把握自身对成都经济区实现通江达海的重要作用，重新谋划港口的功能定位，以期更好发挥自身优势，助力成渝地区双城经济圈和交通强省建设。</w:t>
      </w:r>
    </w:p>
    <w:p>
      <w:pPr>
        <w:spacing w:line="610" w:lineRule="exact"/>
        <w:ind w:firstLine="562" w:firstLineChars="200"/>
        <w:rPr>
          <w:rFonts w:eastAsiaTheme="majorEastAsia"/>
          <w:b/>
          <w:bCs/>
          <w:sz w:val="28"/>
          <w:szCs w:val="28"/>
          <w:highlight w:val="none"/>
        </w:rPr>
      </w:pPr>
      <w:r>
        <w:rPr>
          <w:rFonts w:hint="eastAsia" w:eastAsiaTheme="majorEastAsia"/>
          <w:b/>
          <w:bCs/>
          <w:sz w:val="28"/>
          <w:szCs w:val="28"/>
          <w:highlight w:val="none"/>
        </w:rPr>
        <w:t>（三）经济社会发展要求乐山港优化规模布局</w:t>
      </w:r>
    </w:p>
    <w:p>
      <w:pPr>
        <w:pStyle w:val="14"/>
        <w:spacing w:after="0" w:line="360" w:lineRule="auto"/>
        <w:ind w:firstLine="560" w:firstLineChars="200"/>
        <w:rPr>
          <w:rFonts w:ascii="Times New Roman" w:hAnsi="Times New Roman" w:cs="Times New Roman"/>
          <w:sz w:val="28"/>
          <w:szCs w:val="28"/>
          <w:highlight w:val="none"/>
        </w:rPr>
      </w:pPr>
      <w:r>
        <w:rPr>
          <w:rFonts w:hint="eastAsia" w:ascii="Times New Roman" w:hAnsi="Times New Roman" w:cs="Times New Roman"/>
          <w:sz w:val="28"/>
          <w:szCs w:val="28"/>
          <w:highlight w:val="none"/>
        </w:rPr>
        <w:t>近年来，乐山市经济社会快速发展、城市规模迅速扩张，原规划的老江坝、下渡、桥沟、沫东、河口等主要作业区因城市规划、枢纽坝址调整、市政道路建设等原因已无法实施，大件码头也由城市边缘逐步变为城市中心位置，与乐山城市交通存在冲突。此外，随着乐山“产业强市、旅游兴市”战略实施</w:t>
      </w:r>
      <w:r>
        <w:rPr>
          <w:rFonts w:hint="eastAsia" w:ascii="Times New Roman" w:cs="Times New Roman"/>
          <w:sz w:val="28"/>
          <w:szCs w:val="28"/>
          <w:highlight w:val="none"/>
        </w:rPr>
        <w:t>以及</w:t>
      </w:r>
      <w:r>
        <w:rPr>
          <w:rFonts w:hint="eastAsia" w:ascii="Times New Roman" w:hAnsi="Times New Roman" w:cs="Times New Roman"/>
          <w:sz w:val="28"/>
          <w:szCs w:val="28"/>
          <w:highlight w:val="none"/>
        </w:rPr>
        <w:t>岷江、大渡河梯级的规划建设，港口建设基础条件已发生重大变化。亟需乐山港由以发展岷江下段两岸货运为主向乐山全域客货运发展转变，调整原重点货运作业区位置，布局新的客货运作业区以满足地方经济社会发展需要。</w:t>
      </w:r>
    </w:p>
    <w:p>
      <w:pPr>
        <w:spacing w:line="610" w:lineRule="exact"/>
        <w:ind w:firstLine="562" w:firstLineChars="200"/>
        <w:rPr>
          <w:rFonts w:eastAsiaTheme="majorEastAsia"/>
          <w:b/>
          <w:bCs/>
          <w:sz w:val="28"/>
          <w:szCs w:val="28"/>
          <w:highlight w:val="none"/>
        </w:rPr>
      </w:pPr>
      <w:r>
        <w:rPr>
          <w:rFonts w:hint="eastAsia" w:eastAsiaTheme="majorEastAsia"/>
          <w:b/>
          <w:bCs/>
          <w:sz w:val="28"/>
          <w:szCs w:val="28"/>
          <w:highlight w:val="none"/>
        </w:rPr>
        <w:t>（四）人民美好生活需要要求乐山港完善服务功能</w:t>
      </w:r>
    </w:p>
    <w:p>
      <w:pPr>
        <w:spacing w:line="360" w:lineRule="auto"/>
        <w:ind w:firstLine="560" w:firstLineChars="200"/>
        <w:rPr>
          <w:rFonts w:ascii="仿宋" w:hAnsi="仿宋" w:eastAsia="仿宋"/>
          <w:sz w:val="32"/>
          <w:szCs w:val="32"/>
          <w:highlight w:val="none"/>
        </w:rPr>
      </w:pPr>
      <w:r>
        <w:rPr>
          <w:rFonts w:hint="eastAsia" w:eastAsiaTheme="minorEastAsia"/>
          <w:sz w:val="28"/>
          <w:szCs w:val="28"/>
          <w:highlight w:val="none"/>
        </w:rPr>
        <w:t>原乐山港依据港口的传统功能主要着眼于满足腹地范围内适水货物的运输需求，升级打造成都港则需在乐山港的基础上根据新时代腹地广大人民群众对美好生活需要，着重考虑水上旅游客运，特别是游轮码头等高端需求。服务功能也需要在传统的货运和客运功能基础上，注重海事管理、应急救援等配套码头的规划建设，注重公共锚地和水上综合服务区等配套服务设施的规划建设，注重交通不便区大型通航湖库区公益性渡口或便民码头的规划建设。</w:t>
      </w:r>
    </w:p>
    <w:p>
      <w:pPr>
        <w:spacing w:line="610" w:lineRule="exact"/>
        <w:ind w:firstLine="562" w:firstLineChars="200"/>
        <w:rPr>
          <w:rFonts w:eastAsiaTheme="majorEastAsia"/>
          <w:b/>
          <w:bCs/>
          <w:sz w:val="28"/>
          <w:szCs w:val="28"/>
          <w:highlight w:val="none"/>
        </w:rPr>
      </w:pPr>
      <w:r>
        <w:rPr>
          <w:rFonts w:hint="eastAsia" w:eastAsiaTheme="majorEastAsia"/>
          <w:b/>
          <w:bCs/>
          <w:sz w:val="28"/>
          <w:szCs w:val="28"/>
          <w:highlight w:val="none"/>
        </w:rPr>
        <w:t>（五）交通建设趋紧要求乐山港适应要素挑战</w:t>
      </w:r>
    </w:p>
    <w:p>
      <w:pPr>
        <w:pStyle w:val="2"/>
        <w:spacing w:line="360" w:lineRule="auto"/>
        <w:ind w:firstLine="560" w:firstLineChars="200"/>
        <w:rPr>
          <w:rFonts w:ascii="Times New Roman" w:cs="Times New Roman" w:eastAsiaTheme="minorEastAsia"/>
          <w:color w:val="auto"/>
          <w:kern w:val="2"/>
          <w:sz w:val="28"/>
          <w:szCs w:val="28"/>
          <w:highlight w:val="none"/>
        </w:rPr>
      </w:pPr>
      <w:r>
        <w:rPr>
          <w:rFonts w:hint="eastAsia" w:ascii="Times New Roman" w:cs="Times New Roman" w:eastAsiaTheme="minorEastAsia"/>
          <w:color w:val="auto"/>
          <w:kern w:val="2"/>
          <w:sz w:val="28"/>
          <w:szCs w:val="28"/>
          <w:highlight w:val="none"/>
        </w:rPr>
        <w:t>新时代，随着</w:t>
      </w:r>
      <w:r>
        <w:rPr>
          <w:rFonts w:ascii="Times New Roman" w:cs="Times New Roman" w:eastAsiaTheme="minorEastAsia"/>
          <w:color w:val="auto"/>
          <w:kern w:val="2"/>
          <w:sz w:val="28"/>
          <w:szCs w:val="28"/>
          <w:highlight w:val="none"/>
        </w:rPr>
        <w:t>国家协调发展、绿色发展等理念的提出， “三线一单”、永久基本农田、城镇开发边界等生态、国土空间控制因素日趋严格</w:t>
      </w:r>
      <w:r>
        <w:rPr>
          <w:rFonts w:hint="eastAsia" w:ascii="Times New Roman" w:cs="Times New Roman" w:eastAsiaTheme="minorEastAsia"/>
          <w:color w:val="auto"/>
          <w:kern w:val="2"/>
          <w:sz w:val="28"/>
          <w:szCs w:val="28"/>
          <w:highlight w:val="none"/>
        </w:rPr>
        <w:t>以及非法砂石码头整治的深入推进，交通项目土地、岸线等要素挑战更加严峻。用地难度大幅提高，岸线使用更加规范。因此，借全省国土空间规划编制和非法码头整治的契机，通过修订乐山港总体规划预留必要的港口发展用地和推进港口岸线规范化管理显得尤为必要。</w:t>
      </w:r>
    </w:p>
    <w:p>
      <w:pPr>
        <w:spacing w:before="156" w:beforeLines="50" w:after="156" w:afterLines="50" w:line="520" w:lineRule="exact"/>
        <w:jc w:val="center"/>
        <w:outlineLvl w:val="1"/>
        <w:rPr>
          <w:rFonts w:eastAsia="黑体"/>
          <w:b/>
          <w:sz w:val="30"/>
          <w:highlight w:val="none"/>
        </w:rPr>
      </w:pPr>
      <w:bookmarkStart w:id="56" w:name="_Toc67908210"/>
      <w:bookmarkStart w:id="57" w:name="_Toc77781875"/>
      <w:bookmarkStart w:id="58" w:name="_Toc39688272"/>
      <w:r>
        <w:rPr>
          <w:rFonts w:eastAsia="黑体"/>
          <w:b/>
          <w:sz w:val="30"/>
          <w:highlight w:val="none"/>
        </w:rPr>
        <w:t>第</w:t>
      </w:r>
      <w:r>
        <w:rPr>
          <w:rFonts w:hint="eastAsia" w:eastAsia="黑体"/>
          <w:b/>
          <w:sz w:val="30"/>
          <w:highlight w:val="none"/>
        </w:rPr>
        <w:t>五</w:t>
      </w:r>
      <w:r>
        <w:rPr>
          <w:rFonts w:eastAsia="黑体"/>
          <w:b/>
          <w:sz w:val="30"/>
          <w:highlight w:val="none"/>
        </w:rPr>
        <w:t>节航道发展需求</w:t>
      </w:r>
      <w:bookmarkEnd w:id="56"/>
      <w:bookmarkEnd w:id="57"/>
    </w:p>
    <w:p>
      <w:pPr>
        <w:spacing w:line="360" w:lineRule="auto"/>
        <w:ind w:firstLine="562" w:firstLineChars="200"/>
        <w:outlineLvl w:val="2"/>
        <w:rPr>
          <w:rFonts w:eastAsia="黑体"/>
          <w:highlight w:val="none"/>
        </w:rPr>
      </w:pPr>
      <w:bookmarkStart w:id="59" w:name="_Toc53089185"/>
      <w:bookmarkStart w:id="60" w:name="_Toc67908211"/>
      <w:bookmarkStart w:id="61" w:name="_Toc67924615"/>
      <w:bookmarkStart w:id="62" w:name="_Toc77781876"/>
      <w:r>
        <w:rPr>
          <w:rFonts w:eastAsia="黑体"/>
          <w:b/>
          <w:sz w:val="28"/>
          <w:szCs w:val="28"/>
          <w:highlight w:val="none"/>
        </w:rPr>
        <w:t>一、布局方案建议</w:t>
      </w:r>
      <w:bookmarkEnd w:id="59"/>
      <w:bookmarkEnd w:id="60"/>
      <w:bookmarkEnd w:id="61"/>
      <w:bookmarkEnd w:id="62"/>
    </w:p>
    <w:p>
      <w:pPr>
        <w:pStyle w:val="20"/>
        <w:spacing w:after="0" w:line="360" w:lineRule="auto"/>
        <w:ind w:left="0" w:leftChars="0" w:firstLine="560" w:firstLineChars="200"/>
        <w:rPr>
          <w:rFonts w:ascii="Times New Roman" w:hAnsi="Times New Roman" w:cs="Times New Roman"/>
          <w:sz w:val="28"/>
          <w:szCs w:val="28"/>
          <w:highlight w:val="none"/>
        </w:rPr>
      </w:pPr>
      <w:r>
        <w:rPr>
          <w:rFonts w:ascii="Times New Roman" w:hAnsi="Times New Roman" w:cs="Times New Roman"/>
          <w:sz w:val="28"/>
          <w:szCs w:val="28"/>
          <w:highlight w:val="none"/>
        </w:rPr>
        <w:t>乐山市内河航道布局为“一干三支多线”，即以岷江高等级航道为骨干，以大渡河、青衣江、沐溪河等支线航道为支撑，以茫溪河、马边河、龙溪河、月波河、洋溪河、黄钵河、小河等一般航道和大佛水库、红星水库等通航湖库区为补充，共同组成乐山市内河航道网络体系，实现对乐山市主要区县、矿产能源基地和水上旅游资源的有效沟通。</w:t>
      </w:r>
    </w:p>
    <w:p>
      <w:pPr>
        <w:pStyle w:val="20"/>
        <w:spacing w:after="0" w:line="360" w:lineRule="auto"/>
        <w:ind w:left="0" w:leftChars="0" w:firstLine="560" w:firstLineChars="200"/>
        <w:rPr>
          <w:rFonts w:ascii="Times New Roman" w:hAnsi="Times New Roman" w:cs="Times New Roman"/>
          <w:sz w:val="28"/>
          <w:szCs w:val="28"/>
          <w:highlight w:val="none"/>
        </w:rPr>
      </w:pPr>
      <w:r>
        <w:rPr>
          <w:rFonts w:ascii="Times New Roman" w:hAnsi="Times New Roman" w:cs="Times New Roman"/>
          <w:sz w:val="28"/>
          <w:szCs w:val="28"/>
          <w:highlight w:val="none"/>
        </w:rPr>
        <w:t>根据腹地经济发展需求及相关规划，岷江干线124.1km规划为Ⅲ级航道，建议规划Ⅳ级航道49.5km，主要为沐溪河14.5km、玉溪河口~大渡河河口段35km；规划Ⅴ级航道共115.5km，主要为</w:t>
      </w:r>
      <w:r>
        <w:rPr>
          <w:rFonts w:hint="eastAsia" w:ascii="Times New Roman" w:hAnsi="Times New Roman" w:cs="Times New Roman"/>
          <w:sz w:val="28"/>
          <w:szCs w:val="28"/>
          <w:highlight w:val="none"/>
        </w:rPr>
        <w:t>峨边沙坪镇码头～沙湾玉溪河口</w:t>
      </w:r>
      <w:r>
        <w:rPr>
          <w:rFonts w:ascii="Times New Roman" w:hAnsi="Times New Roman" w:cs="Times New Roman"/>
          <w:sz w:val="28"/>
          <w:szCs w:val="28"/>
          <w:highlight w:val="none"/>
        </w:rPr>
        <w:t>段；规划一般航道190.4km为Ⅶ级航道，166.1km为等外级航道。此外，马边河官帽舟电站、竹公溪、峨眉河、官料河根据</w:t>
      </w:r>
      <w:r>
        <w:rPr>
          <w:rFonts w:hint="eastAsia" w:ascii="Times New Roman" w:hAnsi="Times New Roman" w:cs="Times New Roman"/>
          <w:sz w:val="28"/>
          <w:szCs w:val="28"/>
          <w:highlight w:val="none"/>
        </w:rPr>
        <w:t>经济</w:t>
      </w:r>
      <w:r>
        <w:rPr>
          <w:rFonts w:ascii="Times New Roman" w:hAnsi="Times New Roman" w:cs="Times New Roman"/>
          <w:sz w:val="28"/>
          <w:szCs w:val="28"/>
          <w:highlight w:val="none"/>
        </w:rPr>
        <w:t>社会发展需要在局部治理并认定通航水域后可作为区间通航的旅游航道。</w:t>
      </w:r>
    </w:p>
    <w:p>
      <w:pPr>
        <w:spacing w:line="360" w:lineRule="auto"/>
        <w:ind w:firstLine="562" w:firstLineChars="200"/>
        <w:outlineLvl w:val="2"/>
        <w:rPr>
          <w:rFonts w:eastAsia="黑体"/>
          <w:highlight w:val="none"/>
        </w:rPr>
      </w:pPr>
      <w:bookmarkStart w:id="63" w:name="_Toc53089186"/>
      <w:bookmarkStart w:id="64" w:name="_Toc67908212"/>
      <w:bookmarkStart w:id="65" w:name="_Toc67924616"/>
      <w:bookmarkStart w:id="66" w:name="_Toc77781877"/>
      <w:r>
        <w:rPr>
          <w:rFonts w:eastAsia="黑体"/>
          <w:b/>
          <w:sz w:val="28"/>
          <w:szCs w:val="28"/>
          <w:highlight w:val="none"/>
        </w:rPr>
        <w:t>二、主要航道规划方案建议</w:t>
      </w:r>
      <w:bookmarkEnd w:id="63"/>
      <w:bookmarkEnd w:id="64"/>
      <w:bookmarkEnd w:id="65"/>
      <w:bookmarkEnd w:id="66"/>
    </w:p>
    <w:p>
      <w:pPr>
        <w:pStyle w:val="2"/>
        <w:spacing w:line="360" w:lineRule="auto"/>
        <w:ind w:firstLine="562" w:firstLineChars="200"/>
        <w:rPr>
          <w:rFonts w:ascii="Times New Roman" w:eastAsia="黑体" w:cs="Times New Roman"/>
          <w:b/>
          <w:color w:val="auto"/>
          <w:kern w:val="2"/>
          <w:sz w:val="28"/>
          <w:szCs w:val="28"/>
          <w:highlight w:val="none"/>
        </w:rPr>
      </w:pPr>
      <w:r>
        <w:rPr>
          <w:rFonts w:ascii="Times New Roman" w:eastAsia="黑体" w:cs="Times New Roman"/>
          <w:b/>
          <w:color w:val="auto"/>
          <w:kern w:val="2"/>
          <w:sz w:val="28"/>
          <w:szCs w:val="28"/>
          <w:highlight w:val="none"/>
        </w:rPr>
        <w:t>1.岷江</w:t>
      </w:r>
    </w:p>
    <w:p>
      <w:pPr>
        <w:spacing w:line="360" w:lineRule="auto"/>
        <w:ind w:firstLine="560" w:firstLineChars="200"/>
        <w:rPr>
          <w:rFonts w:eastAsiaTheme="minorEastAsia"/>
          <w:sz w:val="28"/>
          <w:szCs w:val="28"/>
          <w:highlight w:val="none"/>
        </w:rPr>
      </w:pPr>
      <w:r>
        <w:rPr>
          <w:rFonts w:eastAsiaTheme="minorEastAsia"/>
          <w:sz w:val="28"/>
          <w:szCs w:val="28"/>
          <w:highlight w:val="none"/>
        </w:rPr>
        <w:t>岷江（</w:t>
      </w:r>
      <w:r>
        <w:rPr>
          <w:sz w:val="28"/>
          <w:szCs w:val="28"/>
          <w:highlight w:val="none"/>
        </w:rPr>
        <w:t>悦来断颈佛</w:t>
      </w:r>
      <w:r>
        <w:rPr>
          <w:rFonts w:eastAsiaTheme="minorEastAsia"/>
          <w:sz w:val="28"/>
          <w:szCs w:val="28"/>
          <w:highlight w:val="none"/>
        </w:rPr>
        <w:t>～</w:t>
      </w:r>
      <w:r>
        <w:rPr>
          <w:sz w:val="28"/>
          <w:szCs w:val="28"/>
          <w:highlight w:val="none"/>
        </w:rPr>
        <w:t>龙溪河口段</w:t>
      </w:r>
      <w:r>
        <w:rPr>
          <w:rFonts w:eastAsiaTheme="minorEastAsia"/>
          <w:sz w:val="28"/>
          <w:szCs w:val="28"/>
          <w:highlight w:val="none"/>
        </w:rPr>
        <w:t>）承担着重装设备运输的重要任务，目前是四川重大件装备产品进出川的重要通道，在四川乃至中国西部具有重要的战略地位。岷江向内连接成都、川南等城市群，向外经长江直通上海，是四川联系周边省市和长江中下游地区的重要纽带，是构建国家高等级水运网的重要组成部分。目前已开通“水上看大佛”旅游线路，是乐山市水上旅游的重要载体。岷江航道等级的提高对完善综合交通体系、发展外向型经济具有重要作用，将弥补成都主枢纽缺乏水运的缺陷，是大力发展重型装备制造产业集群的重要保障，对全省的经济发展意义重大。</w:t>
      </w:r>
    </w:p>
    <w:p>
      <w:pPr>
        <w:spacing w:line="360" w:lineRule="auto"/>
        <w:ind w:firstLine="560" w:firstLineChars="200"/>
        <w:rPr>
          <w:sz w:val="28"/>
          <w:szCs w:val="28"/>
          <w:highlight w:val="none"/>
        </w:rPr>
      </w:pPr>
      <w:r>
        <w:rPr>
          <w:rFonts w:eastAsiaTheme="minorEastAsia"/>
          <w:sz w:val="28"/>
          <w:szCs w:val="28"/>
          <w:highlight w:val="none"/>
        </w:rPr>
        <w:t>岷江（</w:t>
      </w:r>
      <w:r>
        <w:rPr>
          <w:sz w:val="28"/>
          <w:szCs w:val="28"/>
          <w:highlight w:val="none"/>
        </w:rPr>
        <w:t>悦来断颈佛</w:t>
      </w:r>
      <w:r>
        <w:rPr>
          <w:rFonts w:eastAsiaTheme="minorEastAsia"/>
          <w:sz w:val="28"/>
          <w:szCs w:val="28"/>
          <w:highlight w:val="none"/>
        </w:rPr>
        <w:t>～</w:t>
      </w:r>
      <w:r>
        <w:rPr>
          <w:sz w:val="28"/>
          <w:szCs w:val="28"/>
          <w:highlight w:val="none"/>
        </w:rPr>
        <w:t>龙溪河口段</w:t>
      </w:r>
      <w:r>
        <w:rPr>
          <w:rFonts w:eastAsiaTheme="minorEastAsia"/>
          <w:sz w:val="28"/>
          <w:szCs w:val="28"/>
          <w:highlight w:val="none"/>
        </w:rPr>
        <w:t>）以航运为主，按</w:t>
      </w:r>
      <w:r>
        <w:rPr>
          <w:sz w:val="28"/>
          <w:szCs w:val="28"/>
          <w:highlight w:val="none"/>
        </w:rPr>
        <w:t>Ⅲ</w:t>
      </w:r>
      <w:r>
        <w:rPr>
          <w:rFonts w:eastAsiaTheme="minorEastAsia"/>
          <w:sz w:val="28"/>
          <w:szCs w:val="28"/>
          <w:highlight w:val="none"/>
        </w:rPr>
        <w:t>级航道标准，采用梯级渠化与航道整治相结合的开发方式。根据《岷江成都~乐山航运发展规划》和《岷江（乐山~宜宾）航电规划》，悦来</w:t>
      </w:r>
      <w:r>
        <w:rPr>
          <w:sz w:val="28"/>
          <w:szCs w:val="28"/>
          <w:highlight w:val="none"/>
        </w:rPr>
        <w:t>断颈佛大渡河汇合口36.3km规划了板桥梯级，</w:t>
      </w:r>
      <w:r>
        <w:rPr>
          <w:rFonts w:eastAsiaTheme="minorEastAsia"/>
          <w:sz w:val="28"/>
          <w:szCs w:val="28"/>
          <w:highlight w:val="none"/>
        </w:rPr>
        <w:t>乐山~宜宾162km自上而下布置老木孔、东风岩、犍为、龙溪口</w:t>
      </w:r>
      <w:r>
        <w:rPr>
          <w:sz w:val="28"/>
          <w:szCs w:val="28"/>
          <w:highlight w:val="none"/>
        </w:rPr>
        <w:t>4</w:t>
      </w:r>
      <w:r>
        <w:rPr>
          <w:rFonts w:eastAsiaTheme="minorEastAsia"/>
          <w:sz w:val="28"/>
          <w:szCs w:val="28"/>
          <w:highlight w:val="none"/>
        </w:rPr>
        <w:t>级低坝枢纽，龙溪口</w:t>
      </w:r>
      <w:r>
        <w:rPr>
          <w:sz w:val="28"/>
          <w:szCs w:val="28"/>
          <w:highlight w:val="none"/>
        </w:rPr>
        <w:t>枢纽</w:t>
      </w:r>
      <w:r>
        <w:rPr>
          <w:rFonts w:eastAsiaTheme="minorEastAsia"/>
          <w:sz w:val="28"/>
          <w:szCs w:val="28"/>
          <w:highlight w:val="none"/>
        </w:rPr>
        <w:t>以下采用航道整治。</w:t>
      </w:r>
    </w:p>
    <w:p>
      <w:pPr>
        <w:pStyle w:val="2"/>
        <w:spacing w:line="360" w:lineRule="auto"/>
        <w:ind w:firstLine="562" w:firstLineChars="200"/>
        <w:rPr>
          <w:rFonts w:ascii="Times New Roman" w:eastAsia="黑体" w:cs="Times New Roman"/>
          <w:b/>
          <w:color w:val="auto"/>
          <w:kern w:val="2"/>
          <w:sz w:val="28"/>
          <w:szCs w:val="28"/>
          <w:highlight w:val="none"/>
        </w:rPr>
      </w:pPr>
      <w:r>
        <w:rPr>
          <w:rFonts w:ascii="Times New Roman" w:eastAsia="黑体" w:cs="Times New Roman"/>
          <w:b/>
          <w:color w:val="auto"/>
          <w:kern w:val="2"/>
          <w:sz w:val="28"/>
          <w:szCs w:val="28"/>
          <w:highlight w:val="none"/>
        </w:rPr>
        <w:t>2.大渡河</w:t>
      </w:r>
    </w:p>
    <w:p>
      <w:pPr>
        <w:spacing w:line="360" w:lineRule="auto"/>
        <w:ind w:firstLine="560" w:firstLineChars="200"/>
        <w:rPr>
          <w:rFonts w:eastAsiaTheme="minorEastAsia"/>
          <w:sz w:val="28"/>
          <w:szCs w:val="28"/>
          <w:highlight w:val="none"/>
        </w:rPr>
      </w:pPr>
      <w:r>
        <w:rPr>
          <w:rFonts w:eastAsiaTheme="minorEastAsia"/>
          <w:sz w:val="28"/>
          <w:szCs w:val="28"/>
          <w:highlight w:val="none"/>
        </w:rPr>
        <w:t>大渡河是沟通乐山市金口河区、峨边县、沙湾区的重要支线航道，腹地旅游资源、矿产资源富集。由于受大渡河航道条件的影响，目前货物主要以区间运输为主，长途运输基本绝迹。随着区域经济的快速发展，航道工程的建设，大渡河航道货物运输将日趋繁荣。</w:t>
      </w:r>
    </w:p>
    <w:p>
      <w:pPr>
        <w:spacing w:line="360" w:lineRule="auto"/>
        <w:ind w:firstLine="560" w:firstLineChars="200"/>
        <w:rPr>
          <w:rFonts w:eastAsia="仿宋_GB2312"/>
          <w:sz w:val="28"/>
          <w:szCs w:val="28"/>
          <w:highlight w:val="none"/>
        </w:rPr>
      </w:pPr>
      <w:r>
        <w:rPr>
          <w:rFonts w:eastAsiaTheme="minorEastAsia"/>
          <w:sz w:val="28"/>
          <w:szCs w:val="28"/>
          <w:highlight w:val="none"/>
        </w:rPr>
        <w:t>沙湾玉溪河口至大渡河河口35km规划为Ⅳ级航道；峨边沙坪镇码头至沙湾玉溪河口115.5km规划为Ⅴ级航道，其中龚嘴库区和铜街子库区为区间通航的库区航道；白熊沟至峨边沙坪镇码头</w:t>
      </w:r>
      <w:r>
        <w:rPr>
          <w:rFonts w:hint="eastAsia" w:eastAsiaTheme="minorEastAsia"/>
          <w:sz w:val="28"/>
          <w:szCs w:val="28"/>
          <w:highlight w:val="none"/>
        </w:rPr>
        <w:t>3</w:t>
      </w:r>
      <w:r>
        <w:rPr>
          <w:rFonts w:eastAsiaTheme="minorEastAsia"/>
          <w:sz w:val="28"/>
          <w:szCs w:val="28"/>
          <w:highlight w:val="none"/>
        </w:rPr>
        <w:t>5.3km规划为Ⅶ级库区航道。自上而下布</w:t>
      </w:r>
      <w:r>
        <w:rPr>
          <w:sz w:val="28"/>
          <w:szCs w:val="28"/>
          <w:highlight w:val="none"/>
        </w:rPr>
        <w:t>置</w:t>
      </w:r>
      <w:r>
        <w:rPr>
          <w:highlight w:val="none"/>
        </w:rPr>
        <w:fldChar w:fldCharType="begin"/>
      </w:r>
      <w:r>
        <w:rPr>
          <w:highlight w:val="none"/>
        </w:rPr>
        <w:instrText xml:space="preserve"> HYPERLINK "https://baike.baidu.com/item/%E6%9E%95%E5%A4%B4%E5%9D%9D%E6%B0%B4%E7%94%B5%E7%AB%99" \t "_blank" </w:instrText>
      </w:r>
      <w:r>
        <w:rPr>
          <w:highlight w:val="none"/>
        </w:rPr>
        <w:fldChar w:fldCharType="separate"/>
      </w:r>
      <w:r>
        <w:rPr>
          <w:sz w:val="28"/>
          <w:szCs w:val="28"/>
          <w:highlight w:val="none"/>
        </w:rPr>
        <w:t>枕头坝</w:t>
      </w:r>
      <w:r>
        <w:rPr>
          <w:sz w:val="28"/>
          <w:szCs w:val="28"/>
          <w:highlight w:val="none"/>
        </w:rPr>
        <w:fldChar w:fldCharType="end"/>
      </w:r>
      <w:r>
        <w:rPr>
          <w:sz w:val="28"/>
          <w:szCs w:val="28"/>
          <w:highlight w:val="none"/>
        </w:rPr>
        <w:t>一级、</w:t>
      </w:r>
      <w:r>
        <w:rPr>
          <w:highlight w:val="none"/>
        </w:rPr>
        <w:fldChar w:fldCharType="begin"/>
      </w:r>
      <w:r>
        <w:rPr>
          <w:highlight w:val="none"/>
        </w:rPr>
        <w:instrText xml:space="preserve"> HYPERLINK "https://baike.baidu.com/item/%E6%9E%95%E5%A4%B4%E5%9D%9D%E6%B0%B4%E7%94%B5%E7%AB%99" \t "_blank" </w:instrText>
      </w:r>
      <w:r>
        <w:rPr>
          <w:highlight w:val="none"/>
        </w:rPr>
        <w:fldChar w:fldCharType="separate"/>
      </w:r>
      <w:r>
        <w:rPr>
          <w:sz w:val="28"/>
          <w:szCs w:val="28"/>
          <w:highlight w:val="none"/>
        </w:rPr>
        <w:t>枕头坝</w:t>
      </w:r>
      <w:r>
        <w:rPr>
          <w:sz w:val="28"/>
          <w:szCs w:val="28"/>
          <w:highlight w:val="none"/>
        </w:rPr>
        <w:fldChar w:fldCharType="end"/>
      </w:r>
      <w:r>
        <w:rPr>
          <w:sz w:val="28"/>
          <w:szCs w:val="28"/>
          <w:highlight w:val="none"/>
        </w:rPr>
        <w:t>二级、</w:t>
      </w:r>
      <w:r>
        <w:rPr>
          <w:highlight w:val="none"/>
        </w:rPr>
        <w:fldChar w:fldCharType="begin"/>
      </w:r>
      <w:r>
        <w:rPr>
          <w:highlight w:val="none"/>
        </w:rPr>
        <w:instrText xml:space="preserve"> HYPERLINK "https://baike.baidu.com/item/%E6%B2%99%E5%9D%AA%E6%B0%B4%E7%94%B5%E7%AB%99" \t "_blank" </w:instrText>
      </w:r>
      <w:r>
        <w:rPr>
          <w:highlight w:val="none"/>
        </w:rPr>
        <w:fldChar w:fldCharType="separate"/>
      </w:r>
      <w:r>
        <w:rPr>
          <w:sz w:val="28"/>
          <w:szCs w:val="28"/>
          <w:highlight w:val="none"/>
        </w:rPr>
        <w:t>沙坪</w:t>
      </w:r>
      <w:r>
        <w:rPr>
          <w:sz w:val="28"/>
          <w:szCs w:val="28"/>
          <w:highlight w:val="none"/>
        </w:rPr>
        <w:fldChar w:fldCharType="end"/>
      </w:r>
      <w:r>
        <w:rPr>
          <w:sz w:val="28"/>
          <w:szCs w:val="28"/>
          <w:highlight w:val="none"/>
        </w:rPr>
        <w:t>一级、沙坪二级、</w:t>
      </w:r>
      <w:r>
        <w:rPr>
          <w:highlight w:val="none"/>
        </w:rPr>
        <w:fldChar w:fldCharType="begin"/>
      </w:r>
      <w:r>
        <w:rPr>
          <w:highlight w:val="none"/>
        </w:rPr>
        <w:instrText xml:space="preserve"> HYPERLINK "https://baike.baidu.com/item/%E9%BE%9A%E5%98%B4%E6%B0%B4%E7%94%B5%E7%AB%99" \t "_blank" </w:instrText>
      </w:r>
      <w:r>
        <w:rPr>
          <w:highlight w:val="none"/>
        </w:rPr>
        <w:fldChar w:fldCharType="separate"/>
      </w:r>
      <w:r>
        <w:rPr>
          <w:sz w:val="28"/>
          <w:szCs w:val="28"/>
          <w:highlight w:val="none"/>
        </w:rPr>
        <w:t>龚嘴</w:t>
      </w:r>
      <w:r>
        <w:rPr>
          <w:sz w:val="28"/>
          <w:szCs w:val="28"/>
          <w:highlight w:val="none"/>
        </w:rPr>
        <w:fldChar w:fldCharType="end"/>
      </w:r>
      <w:r>
        <w:rPr>
          <w:sz w:val="28"/>
          <w:szCs w:val="28"/>
          <w:highlight w:val="none"/>
        </w:rPr>
        <w:t>、</w:t>
      </w:r>
      <w:r>
        <w:rPr>
          <w:highlight w:val="none"/>
        </w:rPr>
        <w:fldChar w:fldCharType="begin"/>
      </w:r>
      <w:r>
        <w:rPr>
          <w:highlight w:val="none"/>
        </w:rPr>
        <w:instrText xml:space="preserve"> HYPERLINK "https://baike.baidu.com/item/%E9%93%9C%E8%A1%97%E5%AD%90%E6%B0%B4%E7%94%B5%E7%AB%99" \t "_blank" </w:instrText>
      </w:r>
      <w:r>
        <w:rPr>
          <w:highlight w:val="none"/>
        </w:rPr>
        <w:fldChar w:fldCharType="separate"/>
      </w:r>
      <w:r>
        <w:rPr>
          <w:sz w:val="28"/>
          <w:szCs w:val="28"/>
          <w:highlight w:val="none"/>
        </w:rPr>
        <w:t>铜街子</w:t>
      </w:r>
      <w:r>
        <w:rPr>
          <w:sz w:val="28"/>
          <w:szCs w:val="28"/>
          <w:highlight w:val="none"/>
        </w:rPr>
        <w:fldChar w:fldCharType="end"/>
      </w:r>
      <w:r>
        <w:rPr>
          <w:sz w:val="28"/>
          <w:szCs w:val="28"/>
          <w:highlight w:val="none"/>
        </w:rPr>
        <w:t>、沙湾、安谷枢纽。</w:t>
      </w:r>
    </w:p>
    <w:p>
      <w:pPr>
        <w:pStyle w:val="2"/>
        <w:spacing w:line="360" w:lineRule="auto"/>
        <w:ind w:firstLine="562" w:firstLineChars="200"/>
        <w:rPr>
          <w:rFonts w:ascii="Times New Roman" w:eastAsia="黑体" w:cs="Times New Roman"/>
          <w:b/>
          <w:color w:val="auto"/>
          <w:kern w:val="2"/>
          <w:sz w:val="28"/>
          <w:szCs w:val="28"/>
          <w:highlight w:val="none"/>
        </w:rPr>
      </w:pPr>
      <w:r>
        <w:rPr>
          <w:rFonts w:ascii="Times New Roman" w:eastAsia="黑体" w:cs="Times New Roman"/>
          <w:b/>
          <w:color w:val="auto"/>
          <w:kern w:val="2"/>
          <w:sz w:val="28"/>
          <w:szCs w:val="28"/>
          <w:highlight w:val="none"/>
        </w:rPr>
        <w:t>3.青衣江</w:t>
      </w:r>
    </w:p>
    <w:p>
      <w:pPr>
        <w:spacing w:line="360" w:lineRule="auto"/>
        <w:ind w:firstLine="560" w:firstLineChars="200"/>
        <w:rPr>
          <w:rFonts w:eastAsiaTheme="minorEastAsia"/>
          <w:sz w:val="28"/>
          <w:szCs w:val="28"/>
          <w:highlight w:val="none"/>
        </w:rPr>
      </w:pPr>
      <w:r>
        <w:rPr>
          <w:rFonts w:eastAsiaTheme="minorEastAsia"/>
          <w:sz w:val="28"/>
          <w:szCs w:val="28"/>
          <w:highlight w:val="none"/>
        </w:rPr>
        <w:t>青衣江是沟通乐山市夹江县的重要支线航道，腹地矿产资源主要有煤、</w:t>
      </w:r>
      <w:r>
        <w:rPr>
          <w:sz w:val="28"/>
          <w:szCs w:val="28"/>
          <w:highlight w:val="none"/>
        </w:rPr>
        <w:t>石棉、石英和铁矿石</w:t>
      </w:r>
      <w:r>
        <w:rPr>
          <w:rFonts w:eastAsiaTheme="minorEastAsia"/>
          <w:sz w:val="28"/>
          <w:szCs w:val="28"/>
          <w:highlight w:val="none"/>
        </w:rPr>
        <w:t>等。青衣江河道多汊弯曲，滩险较多，</w:t>
      </w:r>
      <w:r>
        <w:rPr>
          <w:sz w:val="28"/>
          <w:szCs w:val="28"/>
          <w:highlight w:val="none"/>
        </w:rPr>
        <w:t>近年来，随着</w:t>
      </w:r>
      <w:r>
        <w:rPr>
          <w:rFonts w:eastAsiaTheme="minorEastAsia"/>
          <w:sz w:val="28"/>
          <w:szCs w:val="28"/>
          <w:highlight w:val="none"/>
        </w:rPr>
        <w:t>千佛岩、毛滩水电梯级</w:t>
      </w:r>
      <w:r>
        <w:rPr>
          <w:sz w:val="28"/>
          <w:szCs w:val="28"/>
          <w:highlight w:val="none"/>
        </w:rPr>
        <w:t>的建设，形成库区航道</w:t>
      </w:r>
      <w:r>
        <w:rPr>
          <w:rFonts w:eastAsiaTheme="minorEastAsia"/>
          <w:sz w:val="28"/>
          <w:szCs w:val="28"/>
          <w:highlight w:val="none"/>
        </w:rPr>
        <w:t>31k</w:t>
      </w:r>
      <w:r>
        <w:rPr>
          <w:sz w:val="28"/>
          <w:szCs w:val="28"/>
          <w:highlight w:val="none"/>
        </w:rPr>
        <w:t>m</w:t>
      </w:r>
      <w:r>
        <w:rPr>
          <w:rFonts w:eastAsiaTheme="minorEastAsia"/>
          <w:sz w:val="28"/>
          <w:szCs w:val="28"/>
          <w:highlight w:val="none"/>
        </w:rPr>
        <w:t>。</w:t>
      </w:r>
    </w:p>
    <w:p>
      <w:pPr>
        <w:ind w:firstLine="560"/>
        <w:rPr>
          <w:rFonts w:eastAsiaTheme="minorEastAsia"/>
          <w:sz w:val="28"/>
          <w:szCs w:val="28"/>
          <w:highlight w:val="none"/>
        </w:rPr>
      </w:pPr>
      <w:r>
        <w:rPr>
          <w:rFonts w:eastAsiaTheme="minorEastAsia"/>
          <w:sz w:val="28"/>
          <w:szCs w:val="28"/>
          <w:highlight w:val="none"/>
        </w:rPr>
        <w:t>石棉渡口至青衣江河口54.5km规划为Ⅶ级航道，自上而下布</w:t>
      </w:r>
      <w:r>
        <w:rPr>
          <w:sz w:val="28"/>
          <w:szCs w:val="28"/>
          <w:highlight w:val="none"/>
        </w:rPr>
        <w:t>置千佛岩、毛滩、杨湾三级枢纽，</w:t>
      </w:r>
      <w:r>
        <w:rPr>
          <w:rFonts w:eastAsiaTheme="minorEastAsia"/>
          <w:sz w:val="28"/>
          <w:szCs w:val="28"/>
          <w:highlight w:val="none"/>
        </w:rPr>
        <w:t>其中千佛岩库区和毛滩库区为区间通航的库区航道。</w:t>
      </w:r>
    </w:p>
    <w:bookmarkEnd w:id="58"/>
    <w:p>
      <w:pPr>
        <w:spacing w:before="156" w:beforeLines="50" w:after="156" w:afterLines="50" w:line="520" w:lineRule="exact"/>
        <w:jc w:val="center"/>
        <w:outlineLvl w:val="1"/>
        <w:rPr>
          <w:rFonts w:eastAsia="黑体"/>
          <w:b/>
          <w:sz w:val="30"/>
          <w:highlight w:val="none"/>
        </w:rPr>
      </w:pPr>
      <w:bookmarkStart w:id="67" w:name="_Toc77781878"/>
      <w:bookmarkStart w:id="68" w:name="_Toc67908213"/>
      <w:bookmarkStart w:id="69" w:name="_Toc39688273"/>
      <w:r>
        <w:rPr>
          <w:rFonts w:eastAsia="黑体"/>
          <w:b/>
          <w:sz w:val="30"/>
          <w:highlight w:val="none"/>
        </w:rPr>
        <w:t>第</w:t>
      </w:r>
      <w:r>
        <w:rPr>
          <w:rFonts w:hint="eastAsia" w:eastAsia="黑体"/>
          <w:b/>
          <w:sz w:val="30"/>
          <w:highlight w:val="none"/>
        </w:rPr>
        <w:t>六</w:t>
      </w:r>
      <w:r>
        <w:rPr>
          <w:rFonts w:eastAsia="黑体"/>
          <w:b/>
          <w:sz w:val="30"/>
          <w:highlight w:val="none"/>
        </w:rPr>
        <w:t>节综合评价</w:t>
      </w:r>
      <w:bookmarkEnd w:id="67"/>
      <w:bookmarkEnd w:id="68"/>
      <w:bookmarkEnd w:id="69"/>
    </w:p>
    <w:p>
      <w:pPr>
        <w:spacing w:line="360" w:lineRule="auto"/>
        <w:ind w:firstLine="562" w:firstLineChars="200"/>
        <w:outlineLvl w:val="2"/>
        <w:rPr>
          <w:rFonts w:eastAsia="黑体"/>
          <w:b/>
          <w:sz w:val="28"/>
          <w:szCs w:val="28"/>
          <w:highlight w:val="none"/>
        </w:rPr>
      </w:pPr>
      <w:bookmarkStart w:id="70" w:name="_Toc67908214"/>
      <w:bookmarkStart w:id="71" w:name="_Toc67924618"/>
      <w:bookmarkStart w:id="72" w:name="_Toc77781879"/>
      <w:bookmarkStart w:id="73" w:name="_Toc39690687"/>
      <w:bookmarkStart w:id="74" w:name="_Toc53089191"/>
      <w:r>
        <w:rPr>
          <w:rFonts w:eastAsia="黑体"/>
          <w:b/>
          <w:sz w:val="28"/>
          <w:szCs w:val="28"/>
          <w:highlight w:val="none"/>
        </w:rPr>
        <w:t>一、港口的作用及特点</w:t>
      </w:r>
      <w:bookmarkEnd w:id="70"/>
      <w:bookmarkEnd w:id="71"/>
      <w:bookmarkEnd w:id="72"/>
      <w:bookmarkEnd w:id="73"/>
      <w:bookmarkEnd w:id="74"/>
    </w:p>
    <w:p>
      <w:pPr>
        <w:pStyle w:val="6"/>
        <w:spacing w:before="0" w:after="0" w:line="360" w:lineRule="auto"/>
        <w:ind w:firstLine="562" w:firstLineChars="200"/>
        <w:rPr>
          <w:rFonts w:ascii="Times New Roman" w:hAnsi="Times New Roman" w:cs="Times New Roman"/>
          <w:highlight w:val="none"/>
        </w:rPr>
      </w:pPr>
      <w:r>
        <w:rPr>
          <w:rFonts w:ascii="Times New Roman" w:hAnsi="Times New Roman" w:cs="Times New Roman"/>
          <w:highlight w:val="none"/>
        </w:rPr>
        <w:t>（一）航道建设取得重大进展</w:t>
      </w:r>
    </w:p>
    <w:p>
      <w:pPr>
        <w:pStyle w:val="2"/>
        <w:spacing w:line="360" w:lineRule="auto"/>
        <w:ind w:firstLine="560" w:firstLineChars="200"/>
        <w:rPr>
          <w:rFonts w:ascii="Times New Roman" w:cs="Times New Roman"/>
          <w:color w:val="auto"/>
          <w:kern w:val="2"/>
          <w:sz w:val="28"/>
          <w:szCs w:val="28"/>
          <w:highlight w:val="none"/>
        </w:rPr>
      </w:pPr>
      <w:r>
        <w:rPr>
          <w:rFonts w:ascii="Times New Roman" w:cs="Times New Roman"/>
          <w:color w:val="auto"/>
          <w:kern w:val="2"/>
          <w:sz w:val="28"/>
          <w:szCs w:val="28"/>
          <w:highlight w:val="none"/>
        </w:rPr>
        <w:t>2019年11月，经过将近5年的建设，岷江犍为航电枢纽船闸正式投入运行，至此岷江率先渠化形成20.2km的Ⅲ级航道，可常年通行1000吨级船舶。此外，龙溪口航电枢纽主体工程已进入集中建设期，岷江下游81km航道整治一期工程、老木孔枢纽</w:t>
      </w:r>
      <w:r>
        <w:rPr>
          <w:rFonts w:hint="eastAsia" w:ascii="Times New Roman" w:cs="Times New Roman"/>
          <w:color w:val="auto"/>
          <w:kern w:val="2"/>
          <w:sz w:val="28"/>
          <w:szCs w:val="28"/>
          <w:highlight w:val="none"/>
        </w:rPr>
        <w:t>均已</w:t>
      </w:r>
      <w:r>
        <w:rPr>
          <w:rFonts w:ascii="Times New Roman" w:cs="Times New Roman"/>
          <w:color w:val="auto"/>
          <w:kern w:val="2"/>
          <w:sz w:val="28"/>
          <w:szCs w:val="28"/>
          <w:highlight w:val="none"/>
        </w:rPr>
        <w:t>开工建设，东风岩前期工作也在稳步推进，岷江航道建设取得重大进展。</w:t>
      </w:r>
    </w:p>
    <w:p>
      <w:pPr>
        <w:pStyle w:val="6"/>
        <w:spacing w:before="0" w:after="0" w:line="360" w:lineRule="auto"/>
        <w:ind w:firstLine="562" w:firstLineChars="200"/>
        <w:rPr>
          <w:rFonts w:ascii="Times New Roman" w:hAnsi="Times New Roman" w:cs="Times New Roman"/>
          <w:highlight w:val="none"/>
        </w:rPr>
      </w:pPr>
      <w:r>
        <w:rPr>
          <w:rFonts w:ascii="Times New Roman" w:hAnsi="Times New Roman" w:cs="Times New Roman"/>
          <w:highlight w:val="none"/>
        </w:rPr>
        <w:t>（二）有力保障</w:t>
      </w:r>
      <w:r>
        <w:rPr>
          <w:rFonts w:hint="eastAsia" w:ascii="Times New Roman" w:hAnsi="Times New Roman" w:cs="Times New Roman"/>
          <w:highlight w:val="none"/>
        </w:rPr>
        <w:t>了四川</w:t>
      </w:r>
      <w:r>
        <w:rPr>
          <w:rFonts w:ascii="Times New Roman" w:hAnsi="Times New Roman" w:cs="Times New Roman"/>
          <w:highlight w:val="none"/>
        </w:rPr>
        <w:t>重装设备对外运输</w:t>
      </w:r>
      <w:r>
        <w:rPr>
          <w:rFonts w:hint="eastAsia" w:ascii="Times New Roman" w:hAnsi="Times New Roman" w:cs="Times New Roman"/>
          <w:highlight w:val="none"/>
        </w:rPr>
        <w:t>和腹地</w:t>
      </w:r>
      <w:r>
        <w:rPr>
          <w:rFonts w:ascii="Times New Roman" w:hAnsi="Times New Roman" w:cs="Times New Roman"/>
          <w:highlight w:val="none"/>
        </w:rPr>
        <w:t>基础设施建设</w:t>
      </w:r>
    </w:p>
    <w:p>
      <w:pPr>
        <w:spacing w:line="360" w:lineRule="auto"/>
        <w:ind w:firstLine="560" w:firstLineChars="200"/>
        <w:rPr>
          <w:sz w:val="28"/>
          <w:szCs w:val="28"/>
          <w:highlight w:val="none"/>
        </w:rPr>
      </w:pPr>
      <w:r>
        <w:rPr>
          <w:sz w:val="28"/>
          <w:szCs w:val="28"/>
          <w:highlight w:val="none"/>
        </w:rPr>
        <w:t>长期以来，通过大件路到乐山港下水，然后经岷江至长江乃我省重大技术装备出川的唯一通道。据统计，2010年以来，乐山大件码头转运来自成都、德阳等地的重大件共1350批次，31万t，有力地保障了四川重装产业的对外运输。</w:t>
      </w:r>
      <w:r>
        <w:rPr>
          <w:rFonts w:hint="eastAsia"/>
          <w:sz w:val="28"/>
          <w:szCs w:val="28"/>
          <w:highlight w:val="none"/>
        </w:rPr>
        <w:t>另一方面，</w:t>
      </w:r>
      <w:r>
        <w:rPr>
          <w:sz w:val="28"/>
          <w:szCs w:val="28"/>
          <w:highlight w:val="none"/>
        </w:rPr>
        <w:t>乐山市境内</w:t>
      </w:r>
      <w:r>
        <w:rPr>
          <w:rFonts w:hint="eastAsia"/>
          <w:sz w:val="28"/>
          <w:szCs w:val="28"/>
          <w:highlight w:val="none"/>
        </w:rPr>
        <w:t>主要河流</w:t>
      </w:r>
      <w:r>
        <w:rPr>
          <w:sz w:val="28"/>
          <w:szCs w:val="28"/>
          <w:highlight w:val="none"/>
        </w:rPr>
        <w:t>尤其是大渡河</w:t>
      </w:r>
      <w:r>
        <w:rPr>
          <w:rFonts w:hint="eastAsia"/>
          <w:sz w:val="28"/>
          <w:szCs w:val="28"/>
          <w:highlight w:val="none"/>
        </w:rPr>
        <w:t>沿线</w:t>
      </w:r>
      <w:r>
        <w:rPr>
          <w:sz w:val="28"/>
          <w:szCs w:val="28"/>
          <w:highlight w:val="none"/>
        </w:rPr>
        <w:t>砂石资源丰富、品质上乘，</w:t>
      </w:r>
      <w:r>
        <w:rPr>
          <w:rFonts w:hint="eastAsia"/>
          <w:sz w:val="28"/>
          <w:szCs w:val="28"/>
          <w:highlight w:val="none"/>
        </w:rPr>
        <w:t>在</w:t>
      </w:r>
      <w:r>
        <w:rPr>
          <w:sz w:val="28"/>
          <w:szCs w:val="28"/>
          <w:highlight w:val="none"/>
        </w:rPr>
        <w:t>省内</w:t>
      </w:r>
      <w:r>
        <w:rPr>
          <w:rFonts w:hint="eastAsia"/>
          <w:sz w:val="28"/>
          <w:szCs w:val="28"/>
          <w:highlight w:val="none"/>
        </w:rPr>
        <w:t>其他</w:t>
      </w:r>
      <w:r>
        <w:rPr>
          <w:sz w:val="28"/>
          <w:szCs w:val="28"/>
          <w:highlight w:val="none"/>
        </w:rPr>
        <w:t>主要干流的</w:t>
      </w:r>
      <w:r>
        <w:rPr>
          <w:rFonts w:hint="eastAsia"/>
          <w:sz w:val="28"/>
          <w:szCs w:val="28"/>
          <w:highlight w:val="none"/>
        </w:rPr>
        <w:t>禁采、限采，砂石</w:t>
      </w:r>
      <w:r>
        <w:rPr>
          <w:sz w:val="28"/>
          <w:szCs w:val="28"/>
          <w:highlight w:val="none"/>
        </w:rPr>
        <w:t>建材供不应求</w:t>
      </w:r>
      <w:r>
        <w:rPr>
          <w:rFonts w:hint="eastAsia"/>
          <w:sz w:val="28"/>
          <w:szCs w:val="28"/>
          <w:highlight w:val="none"/>
        </w:rPr>
        <w:t>的背景下，</w:t>
      </w:r>
      <w:r>
        <w:rPr>
          <w:sz w:val="28"/>
          <w:szCs w:val="28"/>
          <w:highlight w:val="none"/>
        </w:rPr>
        <w:t>大量基础设施建设如天府国际机场等均使用大渡河砂石，乐山港沿江临时砂石码头有力地保障了成都经济区基础设施建设。</w:t>
      </w:r>
    </w:p>
    <w:p>
      <w:pPr>
        <w:pStyle w:val="6"/>
        <w:spacing w:before="0" w:after="0" w:line="360" w:lineRule="auto"/>
        <w:ind w:firstLine="562" w:firstLineChars="200"/>
        <w:rPr>
          <w:rFonts w:ascii="Times New Roman" w:hAnsi="Times New Roman" w:cs="Times New Roman"/>
          <w:highlight w:val="none"/>
        </w:rPr>
      </w:pPr>
      <w:r>
        <w:rPr>
          <w:rFonts w:ascii="Times New Roman" w:hAnsi="Times New Roman" w:cs="Times New Roman"/>
          <w:highlight w:val="none"/>
        </w:rPr>
        <w:t>（三）水上旅游运输蓬勃发展</w:t>
      </w:r>
    </w:p>
    <w:p>
      <w:pPr>
        <w:ind w:firstLine="480"/>
        <w:rPr>
          <w:sz w:val="28"/>
          <w:szCs w:val="28"/>
          <w:highlight w:val="none"/>
        </w:rPr>
      </w:pPr>
      <w:r>
        <w:rPr>
          <w:sz w:val="28"/>
          <w:szCs w:val="28"/>
          <w:highlight w:val="none"/>
        </w:rPr>
        <w:t>乐山市各区县均位于河流干流两岸，水系是乐山文化与城市发展的空间脉络，大量城市历史文化遗迹都沿水系分布。乐山港以此为助力，依托芭蕉林、迎春门、乌尤寺、八仙洞等客运码头，围绕乐山大佛重点打造了“日游三江”和“夜游三江”两大水上旅游产品，逐步形成了集水上休闲、游憩、观光、度假、运动等为一体的“交通+旅游”融合发展新业态，极大地丰富了乐山旅游产品种类，促进了乐山旅游发展。</w:t>
      </w:r>
    </w:p>
    <w:p>
      <w:pPr>
        <w:pStyle w:val="6"/>
        <w:spacing w:before="0" w:after="0" w:line="360" w:lineRule="auto"/>
        <w:ind w:firstLine="562" w:firstLineChars="200"/>
        <w:rPr>
          <w:rFonts w:ascii="Times New Roman" w:hAnsi="Times New Roman" w:cs="Times New Roman"/>
          <w:highlight w:val="none"/>
        </w:rPr>
      </w:pPr>
      <w:r>
        <w:rPr>
          <w:rFonts w:ascii="Times New Roman" w:hAnsi="Times New Roman" w:cs="Times New Roman"/>
          <w:highlight w:val="none"/>
        </w:rPr>
        <w:t>（四）港口以砂石装卸、短途区间运输为主</w:t>
      </w:r>
    </w:p>
    <w:p>
      <w:pPr>
        <w:spacing w:line="360" w:lineRule="auto"/>
        <w:ind w:firstLine="560" w:firstLineChars="200"/>
        <w:rPr>
          <w:sz w:val="28"/>
          <w:szCs w:val="28"/>
          <w:highlight w:val="none"/>
        </w:rPr>
      </w:pPr>
      <w:r>
        <w:rPr>
          <w:sz w:val="28"/>
          <w:szCs w:val="28"/>
          <w:highlight w:val="none"/>
        </w:rPr>
        <w:t>目前，乐山港除了大件码头、桥沟码头、</w:t>
      </w:r>
      <w:r>
        <w:rPr>
          <w:rFonts w:hint="eastAsia"/>
          <w:sz w:val="28"/>
          <w:szCs w:val="28"/>
          <w:highlight w:val="none"/>
        </w:rPr>
        <w:t>西坝</w:t>
      </w:r>
      <w:r>
        <w:rPr>
          <w:sz w:val="28"/>
          <w:szCs w:val="28"/>
          <w:highlight w:val="none"/>
        </w:rPr>
        <w:t>码头、下渡码头等外，其余大部分货运码头均为业主自建砂石码头，这些码头大多数设施不全、设备简陋、违规占用岸线资源，且货物运输基本为市内短途运输。据统计，近五年来乐山港短途砂石货运量每年占总货运量比例基本均超过65%，港口对地方经济发展带动作用偏弱。</w:t>
      </w:r>
    </w:p>
    <w:p>
      <w:pPr>
        <w:spacing w:line="360" w:lineRule="auto"/>
        <w:ind w:firstLine="562" w:firstLineChars="200"/>
        <w:rPr>
          <w:b/>
          <w:bCs/>
          <w:kern w:val="0"/>
          <w:sz w:val="28"/>
          <w:szCs w:val="28"/>
          <w:highlight w:val="none"/>
        </w:rPr>
      </w:pPr>
      <w:r>
        <w:rPr>
          <w:b/>
          <w:bCs/>
          <w:kern w:val="0"/>
          <w:sz w:val="28"/>
          <w:szCs w:val="28"/>
          <w:highlight w:val="none"/>
        </w:rPr>
        <w:t>（</w:t>
      </w:r>
      <w:r>
        <w:rPr>
          <w:rFonts w:hint="eastAsia"/>
          <w:b/>
          <w:bCs/>
          <w:kern w:val="0"/>
          <w:sz w:val="28"/>
          <w:szCs w:val="28"/>
          <w:highlight w:val="none"/>
        </w:rPr>
        <w:t>五</w:t>
      </w:r>
      <w:r>
        <w:rPr>
          <w:b/>
          <w:bCs/>
          <w:kern w:val="0"/>
          <w:sz w:val="28"/>
          <w:szCs w:val="28"/>
          <w:highlight w:val="none"/>
        </w:rPr>
        <w:t>）乐山港是成都经济区实现陆水对接、通江达海最理想的港口</w:t>
      </w:r>
    </w:p>
    <w:p>
      <w:pPr>
        <w:spacing w:line="360" w:lineRule="auto"/>
        <w:ind w:firstLine="560" w:firstLineChars="200"/>
        <w:rPr>
          <w:b/>
          <w:bCs/>
          <w:kern w:val="0"/>
          <w:sz w:val="28"/>
          <w:szCs w:val="28"/>
          <w:highlight w:val="none"/>
        </w:rPr>
      </w:pPr>
      <w:r>
        <w:rPr>
          <w:kern w:val="0"/>
          <w:sz w:val="28"/>
          <w:szCs w:val="28"/>
          <w:highlight w:val="none"/>
        </w:rPr>
        <w:t>乐山地处成德绵乐城市带和长江沿江城市带的交汇处，是</w:t>
      </w:r>
      <w:r>
        <w:rPr>
          <w:rFonts w:hint="eastAsia"/>
          <w:kern w:val="0"/>
          <w:sz w:val="28"/>
          <w:szCs w:val="28"/>
          <w:highlight w:val="none"/>
        </w:rPr>
        <w:t>四川</w:t>
      </w:r>
      <w:r>
        <w:rPr>
          <w:kern w:val="0"/>
          <w:sz w:val="28"/>
          <w:szCs w:val="28"/>
          <w:highlight w:val="none"/>
        </w:rPr>
        <w:t>省区域综合交通枢纽，也是成都经济区唯一的铁公水交通枢纽，交通区位优势十分明显。由于沱江、涪江短期内尚无法实现全江通航，岷江航道为成都经济区通江达海的唯一选择。此外，乐山港是四川省地区重要港口之一，是四川省大件运输通道上的重要节点，岸线资源丰富、建港条件优越，距离成都公路里程仅122公里、铁路里程仅113公里，相较于泸州港、宜宾港和重庆港等附近大型港口在运距和运价上具有明显优势，是成都经济区实现陆水对接、通江达海最理想的港口。</w:t>
      </w:r>
    </w:p>
    <w:p>
      <w:pPr>
        <w:spacing w:line="360" w:lineRule="auto"/>
        <w:ind w:firstLine="562" w:firstLineChars="200"/>
        <w:outlineLvl w:val="2"/>
        <w:rPr>
          <w:rFonts w:eastAsia="黑体"/>
          <w:b/>
          <w:sz w:val="28"/>
          <w:szCs w:val="28"/>
          <w:highlight w:val="none"/>
        </w:rPr>
      </w:pPr>
      <w:bookmarkStart w:id="75" w:name="_Toc67908215"/>
      <w:bookmarkStart w:id="76" w:name="_Toc39690688"/>
      <w:bookmarkStart w:id="77" w:name="_Toc77781880"/>
      <w:bookmarkStart w:id="78" w:name="_Toc53089192"/>
      <w:bookmarkStart w:id="79" w:name="_Toc67924619"/>
      <w:r>
        <w:rPr>
          <w:rFonts w:eastAsia="黑体"/>
          <w:b/>
          <w:sz w:val="28"/>
          <w:szCs w:val="28"/>
          <w:highlight w:val="none"/>
        </w:rPr>
        <w:t>二、存在问题</w:t>
      </w:r>
      <w:bookmarkEnd w:id="75"/>
      <w:bookmarkEnd w:id="76"/>
      <w:bookmarkEnd w:id="77"/>
      <w:bookmarkEnd w:id="78"/>
      <w:bookmarkEnd w:id="79"/>
    </w:p>
    <w:p>
      <w:pPr>
        <w:pStyle w:val="2"/>
        <w:spacing w:line="360" w:lineRule="auto"/>
        <w:ind w:firstLine="560" w:firstLineChars="200"/>
        <w:jc w:val="both"/>
        <w:rPr>
          <w:rFonts w:ascii="Times New Roman" w:cs="Times New Roman"/>
          <w:color w:val="auto"/>
          <w:sz w:val="28"/>
          <w:szCs w:val="28"/>
          <w:highlight w:val="none"/>
        </w:rPr>
      </w:pPr>
      <w:r>
        <w:rPr>
          <w:rFonts w:ascii="Times New Roman" w:cs="Times New Roman"/>
          <w:color w:val="auto"/>
          <w:sz w:val="28"/>
          <w:szCs w:val="28"/>
          <w:highlight w:val="none"/>
        </w:rPr>
        <w:t>虽然乐山港在保障四川重大件对外运输、促进地方旅游发展等方面取得了显著的成绩，但乐山港同时也存在</w:t>
      </w:r>
      <w:r>
        <w:rPr>
          <w:rFonts w:hint="eastAsia" w:ascii="Times New Roman" w:cs="Times New Roman"/>
          <w:color w:val="auto"/>
          <w:sz w:val="28"/>
          <w:szCs w:val="28"/>
          <w:highlight w:val="none"/>
        </w:rPr>
        <w:t>原规划执行滞后、</w:t>
      </w:r>
      <w:r>
        <w:rPr>
          <w:rFonts w:ascii="Times New Roman" w:cs="Times New Roman"/>
          <w:color w:val="auto"/>
          <w:sz w:val="28"/>
          <w:szCs w:val="28"/>
          <w:highlight w:val="none"/>
        </w:rPr>
        <w:t>部分现状和规划码头不适应城市发展、水运优势未能充分发挥、水路运输要素缺乏等问题。</w:t>
      </w:r>
    </w:p>
    <w:p>
      <w:pPr>
        <w:ind w:firstLine="482"/>
        <w:outlineLvl w:val="3"/>
        <w:rPr>
          <w:rFonts w:eastAsiaTheme="majorEastAsia"/>
          <w:b/>
          <w:bCs/>
          <w:sz w:val="28"/>
          <w:szCs w:val="28"/>
          <w:highlight w:val="none"/>
        </w:rPr>
      </w:pPr>
      <w:r>
        <w:rPr>
          <w:rFonts w:eastAsiaTheme="majorEastAsia"/>
          <w:b/>
          <w:bCs/>
          <w:sz w:val="28"/>
          <w:szCs w:val="28"/>
          <w:highlight w:val="none"/>
        </w:rPr>
        <w:t>（一）</w:t>
      </w:r>
      <w:r>
        <w:rPr>
          <w:rFonts w:hint="eastAsia" w:eastAsiaTheme="majorEastAsia"/>
          <w:b/>
          <w:bCs/>
          <w:sz w:val="28"/>
          <w:szCs w:val="28"/>
          <w:highlight w:val="none"/>
        </w:rPr>
        <w:t>原规划执行滞后，基础设施开发程度低</w:t>
      </w:r>
    </w:p>
    <w:p>
      <w:pPr>
        <w:pStyle w:val="2"/>
        <w:spacing w:line="360" w:lineRule="auto"/>
        <w:ind w:firstLine="560" w:firstLineChars="200"/>
        <w:jc w:val="both"/>
        <w:rPr>
          <w:rFonts w:ascii="Times New Roman" w:cs="Times New Roman"/>
          <w:color w:val="auto"/>
          <w:sz w:val="28"/>
          <w:szCs w:val="28"/>
          <w:highlight w:val="none"/>
        </w:rPr>
      </w:pPr>
      <w:r>
        <w:rPr>
          <w:rFonts w:hint="eastAsia" w:ascii="Times New Roman" w:cs="Times New Roman"/>
          <w:color w:val="auto"/>
          <w:sz w:val="28"/>
          <w:szCs w:val="28"/>
          <w:highlight w:val="none"/>
        </w:rPr>
        <w:t>由于受岷江航道建设进程影响，</w:t>
      </w:r>
      <w:r>
        <w:rPr>
          <w:rFonts w:ascii="Times New Roman" w:cs="Times New Roman"/>
          <w:color w:val="auto"/>
          <w:sz w:val="28"/>
          <w:szCs w:val="28"/>
          <w:highlight w:val="none"/>
        </w:rPr>
        <w:t>原版规划批复实施至今，规划的老江坝、桥沟、下渡、河口、沫东等五个重点作业区</w:t>
      </w:r>
      <w:r>
        <w:rPr>
          <w:rFonts w:hint="eastAsia" w:ascii="Times New Roman" w:cs="Times New Roman"/>
          <w:color w:val="auto"/>
          <w:sz w:val="28"/>
          <w:szCs w:val="28"/>
          <w:highlight w:val="none"/>
        </w:rPr>
        <w:t>中，</w:t>
      </w:r>
      <w:r>
        <w:rPr>
          <w:rFonts w:ascii="Times New Roman" w:cs="Times New Roman"/>
          <w:color w:val="auto"/>
          <w:sz w:val="28"/>
          <w:szCs w:val="28"/>
          <w:highlight w:val="none"/>
        </w:rPr>
        <w:t>除桥沟和下渡为既有码头外，其他作业区均未启动建设</w:t>
      </w:r>
      <w:r>
        <w:rPr>
          <w:rFonts w:hint="eastAsia" w:ascii="Times New Roman" w:cs="Times New Roman"/>
          <w:color w:val="auto"/>
          <w:sz w:val="28"/>
          <w:szCs w:val="28"/>
          <w:highlight w:val="none"/>
        </w:rPr>
        <w:t>，另外，随着腹地需求的变化，亟需对岷江、大渡河的临时砂石码头以及芭蕉林客运码头、大峡谷客运码头等码头进行规范提升，港口基础设施开发程度低、开发效率不足，亟需加强乐山港基础设施建设，提升乐山港服务腹地经济社会的能力。</w:t>
      </w:r>
    </w:p>
    <w:p>
      <w:pPr>
        <w:ind w:firstLine="482"/>
        <w:outlineLvl w:val="3"/>
        <w:rPr>
          <w:rFonts w:eastAsiaTheme="majorEastAsia"/>
          <w:b/>
          <w:bCs/>
          <w:sz w:val="28"/>
          <w:szCs w:val="28"/>
          <w:highlight w:val="none"/>
        </w:rPr>
      </w:pPr>
      <w:r>
        <w:rPr>
          <w:rFonts w:eastAsiaTheme="majorEastAsia"/>
          <w:b/>
          <w:bCs/>
          <w:sz w:val="28"/>
          <w:szCs w:val="28"/>
          <w:highlight w:val="none"/>
        </w:rPr>
        <w:t>（</w:t>
      </w:r>
      <w:r>
        <w:rPr>
          <w:rFonts w:hint="eastAsia" w:eastAsiaTheme="majorEastAsia"/>
          <w:b/>
          <w:bCs/>
          <w:sz w:val="28"/>
          <w:szCs w:val="28"/>
          <w:highlight w:val="none"/>
        </w:rPr>
        <w:t>二）</w:t>
      </w:r>
      <w:bookmarkStart w:id="80" w:name="_Hlk77087151"/>
      <w:r>
        <w:rPr>
          <w:rFonts w:hint="eastAsia" w:eastAsiaTheme="majorEastAsia"/>
          <w:b/>
          <w:bCs/>
          <w:sz w:val="28"/>
          <w:szCs w:val="28"/>
          <w:highlight w:val="none"/>
        </w:rPr>
        <w:t>部分现状码头和规划作业区不适应城市发展</w:t>
      </w:r>
      <w:bookmarkEnd w:id="80"/>
    </w:p>
    <w:p>
      <w:pPr>
        <w:pStyle w:val="2"/>
        <w:spacing w:line="360" w:lineRule="auto"/>
        <w:ind w:firstLine="560" w:firstLineChars="200"/>
        <w:jc w:val="both"/>
        <w:rPr>
          <w:rFonts w:ascii="Times New Roman" w:cs="Times New Roman"/>
          <w:color w:val="auto"/>
          <w:sz w:val="28"/>
          <w:szCs w:val="28"/>
          <w:highlight w:val="none"/>
        </w:rPr>
      </w:pPr>
      <w:r>
        <w:rPr>
          <w:rFonts w:ascii="Times New Roman" w:cs="Times New Roman"/>
          <w:color w:val="auto"/>
          <w:kern w:val="2"/>
          <w:sz w:val="28"/>
          <w:szCs w:val="28"/>
          <w:highlight w:val="none"/>
        </w:rPr>
        <w:t>近年来，随着乐山市城市化进程的快速推进和城市定位的调整，</w:t>
      </w:r>
      <w:r>
        <w:rPr>
          <w:rFonts w:hint="eastAsia" w:ascii="Times New Roman" w:cs="Times New Roman"/>
          <w:color w:val="auto"/>
          <w:kern w:val="2"/>
          <w:sz w:val="28"/>
          <w:szCs w:val="28"/>
          <w:highlight w:val="none"/>
        </w:rPr>
        <w:t>部分现状和规划码头已不适应城市发展方向</w:t>
      </w:r>
      <w:r>
        <w:rPr>
          <w:rFonts w:ascii="Times New Roman" w:cs="Times New Roman"/>
          <w:color w:val="auto"/>
          <w:kern w:val="2"/>
          <w:sz w:val="28"/>
          <w:szCs w:val="28"/>
          <w:highlight w:val="none"/>
        </w:rPr>
        <w:t>。如现状的大件码头已由建设初期所在的城市边缘逐步转变为城市中心位置，</w:t>
      </w:r>
      <w:r>
        <w:rPr>
          <w:rFonts w:hint="eastAsia" w:ascii="Times New Roman" w:cs="Times New Roman"/>
          <w:color w:val="auto"/>
          <w:kern w:val="2"/>
          <w:sz w:val="28"/>
          <w:szCs w:val="28"/>
          <w:highlight w:val="none"/>
        </w:rPr>
        <w:t>大件运输与城市交通易相互干扰</w:t>
      </w:r>
      <w:r>
        <w:rPr>
          <w:rFonts w:ascii="Times New Roman" w:cs="Times New Roman"/>
          <w:color w:val="auto"/>
          <w:kern w:val="2"/>
          <w:sz w:val="28"/>
          <w:szCs w:val="28"/>
          <w:highlight w:val="none"/>
        </w:rPr>
        <w:t>。</w:t>
      </w:r>
      <w:r>
        <w:rPr>
          <w:rFonts w:hint="eastAsia" w:ascii="Times New Roman" w:cs="Times New Roman"/>
          <w:color w:val="auto"/>
          <w:sz w:val="28"/>
          <w:szCs w:val="28"/>
          <w:highlight w:val="none"/>
        </w:rPr>
        <w:t>此外</w:t>
      </w:r>
      <w:r>
        <w:rPr>
          <w:rFonts w:ascii="Times New Roman" w:cs="Times New Roman"/>
          <w:color w:val="auto"/>
          <w:sz w:val="28"/>
          <w:szCs w:val="28"/>
          <w:highlight w:val="none"/>
        </w:rPr>
        <w:t>，沫东作业区被乐沙大道占用，桥沟作业区因东风岩坝址下移将</w:t>
      </w:r>
      <w:r>
        <w:rPr>
          <w:rFonts w:hint="eastAsia" w:ascii="Times New Roman" w:cs="Times New Roman"/>
          <w:color w:val="auto"/>
          <w:sz w:val="28"/>
          <w:szCs w:val="28"/>
          <w:highlight w:val="none"/>
        </w:rPr>
        <w:t>部分陆域</w:t>
      </w:r>
      <w:r>
        <w:rPr>
          <w:rFonts w:ascii="Times New Roman" w:cs="Times New Roman"/>
          <w:color w:val="auto"/>
          <w:sz w:val="28"/>
          <w:szCs w:val="28"/>
          <w:highlight w:val="none"/>
        </w:rPr>
        <w:t>会被淹没，河口作业区位置将按照犍为城市总体规划最新思路调整为商业、住宅功能。</w:t>
      </w:r>
    </w:p>
    <w:p>
      <w:pPr>
        <w:pStyle w:val="2"/>
        <w:spacing w:line="360" w:lineRule="auto"/>
        <w:ind w:firstLine="562" w:firstLineChars="200"/>
        <w:jc w:val="both"/>
        <w:rPr>
          <w:rFonts w:ascii="Times New Roman" w:cs="Times New Roman"/>
          <w:b/>
          <w:color w:val="auto"/>
          <w:kern w:val="2"/>
          <w:sz w:val="28"/>
          <w:szCs w:val="28"/>
          <w:highlight w:val="none"/>
        </w:rPr>
      </w:pPr>
      <w:r>
        <w:rPr>
          <w:rFonts w:ascii="Times New Roman" w:cs="Times New Roman"/>
          <w:b/>
          <w:color w:val="auto"/>
          <w:kern w:val="2"/>
          <w:sz w:val="28"/>
          <w:szCs w:val="28"/>
          <w:highlight w:val="none"/>
        </w:rPr>
        <w:t>（</w:t>
      </w:r>
      <w:r>
        <w:rPr>
          <w:rFonts w:hint="eastAsia" w:ascii="Times New Roman" w:cs="Times New Roman"/>
          <w:b/>
          <w:color w:val="auto"/>
          <w:kern w:val="2"/>
          <w:sz w:val="28"/>
          <w:szCs w:val="28"/>
          <w:highlight w:val="none"/>
        </w:rPr>
        <w:t>三</w:t>
      </w:r>
      <w:r>
        <w:rPr>
          <w:rFonts w:ascii="Times New Roman" w:cs="Times New Roman"/>
          <w:b/>
          <w:color w:val="auto"/>
          <w:kern w:val="2"/>
          <w:sz w:val="28"/>
          <w:szCs w:val="28"/>
          <w:highlight w:val="none"/>
        </w:rPr>
        <w:t>）水运优势未能充分发挥</w:t>
      </w:r>
    </w:p>
    <w:p>
      <w:pPr>
        <w:pStyle w:val="2"/>
        <w:spacing w:line="360" w:lineRule="auto"/>
        <w:ind w:firstLine="560" w:firstLineChars="200"/>
        <w:jc w:val="both"/>
        <w:rPr>
          <w:rFonts w:ascii="Times New Roman" w:cs="Times New Roman"/>
          <w:color w:val="auto"/>
          <w:highlight w:val="none"/>
        </w:rPr>
      </w:pPr>
      <w:r>
        <w:rPr>
          <w:rFonts w:ascii="Times New Roman" w:cs="Times New Roman"/>
          <w:color w:val="auto"/>
          <w:sz w:val="28"/>
          <w:szCs w:val="28"/>
          <w:highlight w:val="none"/>
        </w:rPr>
        <w:t>成都经济区是四川省经济规模最大、综合实力最强、发展最为活跃的区域，货物运输需求巨大。但是，目前成都经济区货物运输仍主要以公路交通为主导，铁路、航空运输为辅助。根据统计数据显示，2020年成都经济区完成货物周转量超过900亿吨公里，但其中水运货物周转量完成8.21亿吨公里，仅占总货物周转量的0.9%。此外，岷江国家高等级航道建设推进缓慢，成都经济区范围内无千吨级泊位，大部分适水货物只能通过泸州、宜宾、重庆等港口“借船出海”，与成都</w:t>
      </w:r>
      <w:r>
        <w:rPr>
          <w:rFonts w:hint="eastAsia" w:ascii="Times New Roman" w:cs="Times New Roman"/>
          <w:color w:val="auto"/>
          <w:sz w:val="28"/>
          <w:szCs w:val="28"/>
          <w:highlight w:val="none"/>
        </w:rPr>
        <w:t>国际性</w:t>
      </w:r>
      <w:r>
        <w:rPr>
          <w:rFonts w:ascii="Times New Roman" w:cs="Times New Roman"/>
          <w:color w:val="auto"/>
          <w:sz w:val="28"/>
          <w:szCs w:val="28"/>
          <w:highlight w:val="none"/>
        </w:rPr>
        <w:t>综合交通枢纽的地位严重不符，</w:t>
      </w:r>
      <w:r>
        <w:rPr>
          <w:rFonts w:hint="eastAsia" w:ascii="Times New Roman" w:cs="Times New Roman"/>
          <w:color w:val="auto"/>
          <w:sz w:val="28"/>
          <w:szCs w:val="28"/>
          <w:highlight w:val="none"/>
        </w:rPr>
        <w:t>水运优势未能充分发挥</w:t>
      </w:r>
      <w:r>
        <w:rPr>
          <w:rFonts w:ascii="Times New Roman" w:cs="Times New Roman"/>
          <w:color w:val="auto"/>
          <w:sz w:val="28"/>
          <w:szCs w:val="28"/>
          <w:highlight w:val="none"/>
        </w:rPr>
        <w:t>。</w:t>
      </w:r>
    </w:p>
    <w:p>
      <w:pPr>
        <w:ind w:firstLine="482"/>
        <w:outlineLvl w:val="3"/>
        <w:rPr>
          <w:rFonts w:eastAsiaTheme="majorEastAsia"/>
          <w:b/>
          <w:bCs/>
          <w:sz w:val="28"/>
          <w:szCs w:val="28"/>
          <w:highlight w:val="none"/>
        </w:rPr>
      </w:pPr>
      <w:r>
        <w:rPr>
          <w:rFonts w:eastAsiaTheme="majorEastAsia"/>
          <w:b/>
          <w:bCs/>
          <w:sz w:val="28"/>
          <w:szCs w:val="28"/>
          <w:highlight w:val="none"/>
        </w:rPr>
        <w:t>（</w:t>
      </w:r>
      <w:r>
        <w:rPr>
          <w:rFonts w:hint="eastAsia" w:eastAsiaTheme="majorEastAsia"/>
          <w:b/>
          <w:bCs/>
          <w:sz w:val="28"/>
          <w:szCs w:val="28"/>
          <w:highlight w:val="none"/>
        </w:rPr>
        <w:t>四</w:t>
      </w:r>
      <w:r>
        <w:rPr>
          <w:rFonts w:eastAsiaTheme="majorEastAsia"/>
          <w:b/>
          <w:bCs/>
          <w:sz w:val="28"/>
          <w:szCs w:val="28"/>
          <w:highlight w:val="none"/>
        </w:rPr>
        <w:t>）水路运输要素缺乏</w:t>
      </w:r>
    </w:p>
    <w:p>
      <w:pPr>
        <w:spacing w:line="360" w:lineRule="auto"/>
        <w:ind w:firstLine="560" w:firstLineChars="200"/>
        <w:rPr>
          <w:kern w:val="0"/>
          <w:sz w:val="28"/>
          <w:szCs w:val="28"/>
          <w:highlight w:val="none"/>
        </w:rPr>
      </w:pPr>
      <w:r>
        <w:rPr>
          <w:kern w:val="0"/>
          <w:sz w:val="28"/>
          <w:szCs w:val="28"/>
          <w:highlight w:val="none"/>
        </w:rPr>
        <w:t>乐山市水路运输要素发展缺乏，境内航运企业规模普遍较小、服务水平不高、综合竞争力不强，缺乏龙头企业带领，船代、货代以及第三方物流公司等航运服务要素主要分散于成都、泸州、宜宾等地；船舶技术状况落后，多属老旧干散货船，缺乏标准化和专业化货船；水路运输从业人员年龄在大多50岁以上，且为重庆籍船员，年轻船员数量较少，船员综合素质普遍不高，后备力量缺乏。</w:t>
      </w:r>
    </w:p>
    <w:p>
      <w:pPr>
        <w:ind w:firstLine="482"/>
        <w:outlineLvl w:val="3"/>
        <w:rPr>
          <w:rFonts w:eastAsiaTheme="majorEastAsia"/>
          <w:b/>
          <w:bCs/>
          <w:sz w:val="28"/>
          <w:szCs w:val="28"/>
          <w:highlight w:val="none"/>
        </w:rPr>
      </w:pPr>
      <w:r>
        <w:rPr>
          <w:rFonts w:eastAsiaTheme="majorEastAsia"/>
          <w:b/>
          <w:bCs/>
          <w:sz w:val="28"/>
          <w:szCs w:val="28"/>
          <w:highlight w:val="none"/>
        </w:rPr>
        <w:t>（</w:t>
      </w:r>
      <w:r>
        <w:rPr>
          <w:rFonts w:hint="eastAsia" w:eastAsiaTheme="majorEastAsia"/>
          <w:b/>
          <w:bCs/>
          <w:sz w:val="28"/>
          <w:szCs w:val="28"/>
          <w:highlight w:val="none"/>
        </w:rPr>
        <w:t>五</w:t>
      </w:r>
      <w:r>
        <w:rPr>
          <w:rFonts w:eastAsiaTheme="majorEastAsia"/>
          <w:b/>
          <w:bCs/>
          <w:sz w:val="28"/>
          <w:szCs w:val="28"/>
          <w:highlight w:val="none"/>
        </w:rPr>
        <w:t>）公共服务、应急救援能力有待加强</w:t>
      </w:r>
    </w:p>
    <w:p>
      <w:pPr>
        <w:pStyle w:val="2"/>
        <w:spacing w:line="360" w:lineRule="auto"/>
        <w:ind w:firstLine="560" w:firstLineChars="200"/>
        <w:jc w:val="both"/>
        <w:rPr>
          <w:rFonts w:ascii="Times New Roman" w:cs="Times New Roman"/>
          <w:color w:val="auto"/>
          <w:sz w:val="28"/>
          <w:szCs w:val="28"/>
          <w:highlight w:val="none"/>
        </w:rPr>
        <w:sectPr>
          <w:pgSz w:w="11906" w:h="16838"/>
          <w:pgMar w:top="1440" w:right="1418" w:bottom="1440" w:left="1418" w:header="851" w:footer="992" w:gutter="0"/>
          <w:cols w:space="425" w:num="1"/>
          <w:docGrid w:type="lines" w:linePitch="312" w:charSpace="0"/>
        </w:sectPr>
      </w:pPr>
      <w:r>
        <w:rPr>
          <w:rFonts w:ascii="Times New Roman" w:cs="Times New Roman"/>
          <w:color w:val="auto"/>
          <w:sz w:val="28"/>
          <w:szCs w:val="28"/>
          <w:highlight w:val="none"/>
        </w:rPr>
        <w:t>一方面，乐山市水上服务区、锚地等公共服务设施尚未建设，不能满足未来乐山水运快速发展的需求。另一方面，乐山市巡航救助一体化推进受阻，应急救援能力有待加强，特别是“8•18”特大洪灾冲毁大部分巡航救助一体化设施设备后，全市专业化船舶救助能力几乎空白，应急救助基地、器材库等基础设施有待进一步完善，无溢油应急处置基地，严重缺乏专业的救助力量及现代的打捞装备，难以应对水上安全事故、溢油等紧急事件</w:t>
      </w:r>
      <w:r>
        <w:rPr>
          <w:rFonts w:hint="eastAsia" w:ascii="Times New Roman" w:cs="Times New Roman"/>
          <w:color w:val="auto"/>
          <w:sz w:val="28"/>
          <w:szCs w:val="28"/>
          <w:highlight w:val="none"/>
        </w:rPr>
        <w:t>。</w:t>
      </w:r>
    </w:p>
    <w:p>
      <w:pPr>
        <w:pStyle w:val="14"/>
        <w:spacing w:before="156" w:beforeLines="50" w:line="520" w:lineRule="exact"/>
        <w:jc w:val="center"/>
        <w:outlineLvl w:val="0"/>
        <w:rPr>
          <w:rFonts w:ascii="Times New Roman" w:hAnsi="Times New Roman" w:eastAsia="黑体" w:cs="Times New Roman"/>
          <w:b/>
          <w:sz w:val="32"/>
          <w:szCs w:val="32"/>
          <w:highlight w:val="none"/>
        </w:rPr>
      </w:pPr>
      <w:bookmarkStart w:id="81" w:name="_Toc39688274"/>
      <w:bookmarkStart w:id="82" w:name="_Toc77781881"/>
      <w:bookmarkStart w:id="83" w:name="_Toc67908216"/>
      <w:r>
        <w:rPr>
          <w:rFonts w:ascii="Times New Roman" w:hAnsi="Times New Roman" w:eastAsia="黑体" w:cs="Times New Roman"/>
          <w:b/>
          <w:sz w:val="32"/>
          <w:szCs w:val="32"/>
          <w:highlight w:val="none"/>
        </w:rPr>
        <w:t>第二章 港口吞吐量及船型发展预测</w:t>
      </w:r>
      <w:bookmarkEnd w:id="81"/>
      <w:bookmarkEnd w:id="82"/>
      <w:bookmarkEnd w:id="83"/>
    </w:p>
    <w:p>
      <w:pPr>
        <w:spacing w:before="156" w:beforeLines="50" w:after="156" w:afterLines="50" w:line="520" w:lineRule="exact"/>
        <w:jc w:val="center"/>
        <w:outlineLvl w:val="1"/>
        <w:rPr>
          <w:rFonts w:eastAsia="黑体"/>
          <w:b/>
          <w:sz w:val="30"/>
          <w:highlight w:val="none"/>
        </w:rPr>
      </w:pPr>
      <w:bookmarkStart w:id="84" w:name="_Toc77781882"/>
      <w:bookmarkStart w:id="85" w:name="_Toc67908217"/>
      <w:r>
        <w:rPr>
          <w:rFonts w:eastAsia="黑体"/>
          <w:b/>
          <w:sz w:val="30"/>
          <w:highlight w:val="none"/>
        </w:rPr>
        <w:t>第一节发展形势及要求</w:t>
      </w:r>
      <w:bookmarkEnd w:id="84"/>
      <w:bookmarkEnd w:id="85"/>
    </w:p>
    <w:p>
      <w:pPr>
        <w:pStyle w:val="14"/>
        <w:spacing w:after="0" w:line="360" w:lineRule="auto"/>
        <w:ind w:firstLine="560" w:firstLineChars="200"/>
        <w:rPr>
          <w:rFonts w:ascii="Times New Roman" w:hAnsi="Times New Roman" w:eastAsia="宋体" w:cs="Times New Roman"/>
          <w:sz w:val="28"/>
          <w:szCs w:val="28"/>
          <w:highlight w:val="none"/>
        </w:rPr>
      </w:pPr>
      <w:r>
        <w:rPr>
          <w:rFonts w:hint="eastAsia" w:ascii="Times New Roman" w:hAnsi="Times New Roman" w:eastAsia="宋体" w:cs="Times New Roman"/>
          <w:sz w:val="28"/>
          <w:szCs w:val="28"/>
          <w:highlight w:val="none"/>
        </w:rPr>
        <w:t>当今世界正经历百年未有之大变局，科技革命和产业变革深入发展，国际环境日趋复杂，新冠肺炎疫情影响广泛深远，逆全球化趋势正在兴起。我国也已转向高质量发展阶段，继续发展具有多方面优势和条件，同时我国发展不平衡不充分的问题仍然突出，重点领域关键环节改革任务仍然艰巨，创新能力仍不适应高质量发展要求。同时，乐山市产业能级不高、县域经济不强、营商环境不优、开放程度不深、民生欠账较多等问题仍不同程度存在，高质量跨越式发展仍是乐山经济社会发展的主要任务。面临新形势、新要求，乐山水运克服乐山“8·18”特大洪灾、新冠疫情和逆全球化形势等不利影响，在融入“一带一路”、长江经济带和成渝地区双城经济圈大格局、构建国内国外双循环、贯彻“四化同步、城乡融合、五区共兴”发展战略、建设乐山市“产业强市、旅游兴市”等方面承担更加重要的角色，将再次迎来新的发展机遇。规划将从国家和省市发展战略等角度来论述乐山港面临的发展要求。</w:t>
      </w:r>
    </w:p>
    <w:p>
      <w:pPr>
        <w:pStyle w:val="6"/>
        <w:spacing w:before="0" w:after="0" w:line="360" w:lineRule="auto"/>
        <w:ind w:firstLine="562" w:firstLineChars="200"/>
        <w:rPr>
          <w:rFonts w:ascii="Times New Roman" w:hAnsi="Times New Roman" w:cs="Times New Roman"/>
          <w:highlight w:val="none"/>
        </w:rPr>
      </w:pPr>
      <w:r>
        <w:rPr>
          <w:rFonts w:ascii="Times New Roman" w:hAnsi="Times New Roman" w:cs="Times New Roman"/>
          <w:highlight w:val="none"/>
        </w:rPr>
        <w:t>一、长江经济带发展、成渝地区双城经济圈建设等重大战略叠加，要求乐山水运抢抓机遇、助力承接产业转移</w:t>
      </w:r>
    </w:p>
    <w:p>
      <w:pPr>
        <w:pStyle w:val="14"/>
        <w:spacing w:after="0" w:line="360" w:lineRule="auto"/>
        <w:ind w:firstLine="560" w:firstLineChars="200"/>
        <w:rPr>
          <w:rFonts w:ascii="Times New Roman" w:hAnsi="Times New Roman" w:cs="Times New Roman"/>
          <w:bCs/>
          <w:sz w:val="28"/>
          <w:szCs w:val="28"/>
          <w:highlight w:val="none"/>
        </w:rPr>
      </w:pPr>
      <w:r>
        <w:rPr>
          <w:rFonts w:ascii="Times New Roman" w:hAnsi="Times New Roman" w:cs="Times New Roman"/>
          <w:bCs/>
          <w:sz w:val="28"/>
          <w:szCs w:val="28"/>
          <w:highlight w:val="none"/>
        </w:rPr>
        <w:t>新时期，党中央谋划中国区域经济新棋局，布局了“长江经济带”和“成渝地区双城经济圈”两大空间发展战略，一方面旨在深入挖掘长江流域的内需潜力，打造一条横贯东西、辐射南北的中国经济升级版支撑带；另一方面旨在整合成渝地区资源，加强各城市间合作交流，推动成渝地区双城经济圈共同发展。当前是四川省抢抓国家重大战略机遇、推动成渝地区双城经济圈建设成势见效的关键时期，“一带一路”建设、长江经济带发展、新时代推进西部大开发形成新格局、成渝地区双城经济圈建设等国家战略深入实施，四川发展的战略动能将更加强劲。乐山市处于成渝地区双城经济圈和长江经济带的交汇处，起着承上启下，水陆连接的重要作用。随着成渝地区双城经济圈建设和长江经济带发展战略的推进，乐山市水陆连接作用将愈加明显，有助于乐山市构建“1＋2＋6＋N”市域经济总体布局，形成现代产业承载体系，培育县域经济发展强县、先进县、进步县，建设全省经济副中心，成为成渝地区经济高质量发展的重要增长极和动力源。</w:t>
      </w:r>
    </w:p>
    <w:p>
      <w:pPr>
        <w:pStyle w:val="6"/>
        <w:spacing w:before="0" w:after="0" w:line="360" w:lineRule="auto"/>
        <w:ind w:firstLine="562" w:firstLineChars="200"/>
        <w:rPr>
          <w:rFonts w:ascii="Times New Roman" w:hAnsi="Times New Roman" w:cs="Times New Roman"/>
          <w:highlight w:val="none"/>
        </w:rPr>
      </w:pPr>
      <w:r>
        <w:rPr>
          <w:rFonts w:ascii="Times New Roman" w:hAnsi="Times New Roman" w:cs="Times New Roman"/>
          <w:highlight w:val="none"/>
        </w:rPr>
        <w:t>二、建设成渝黄金水道成都港，要求乐山市水运重新定位，科学规划发展蓝图</w:t>
      </w:r>
    </w:p>
    <w:p>
      <w:pPr>
        <w:pStyle w:val="14"/>
        <w:spacing w:after="0" w:line="360" w:lineRule="auto"/>
        <w:ind w:firstLine="560" w:firstLineChars="200"/>
        <w:rPr>
          <w:rFonts w:ascii="Times New Roman" w:hAnsi="Times New Roman" w:eastAsia="宋体" w:cs="Times New Roman"/>
          <w:sz w:val="28"/>
          <w:szCs w:val="28"/>
          <w:highlight w:val="none"/>
        </w:rPr>
      </w:pPr>
      <w:r>
        <w:rPr>
          <w:rFonts w:ascii="Times New Roman" w:hAnsi="Times New Roman" w:eastAsia="宋体" w:cs="Times New Roman"/>
          <w:sz w:val="28"/>
          <w:szCs w:val="28"/>
          <w:highlight w:val="none"/>
        </w:rPr>
        <w:t>省委十一届七次全会通过的《中共四川省委关于深入贯彻习近平总书记重要讲话精神加快推动成渝地区双城经济圈建设的决定》明确“畅通成渝黄金水道”、“支持乐山港升级打造为成都港”。市委七届十次全体会议决定“建设成渝黄金水道成都港”、“建设巴蜀文化旅游走廊世界重要旅游目的地”。《四川省内河水运发展规划（</w:t>
      </w:r>
      <w:r>
        <w:rPr>
          <w:rFonts w:hint="eastAsia" w:ascii="Times New Roman" w:hAnsi="Times New Roman" w:eastAsia="宋体" w:cs="Times New Roman"/>
          <w:sz w:val="28"/>
          <w:szCs w:val="28"/>
          <w:highlight w:val="none"/>
        </w:rPr>
        <w:t>2</w:t>
      </w:r>
      <w:r>
        <w:rPr>
          <w:rFonts w:ascii="Times New Roman" w:hAnsi="Times New Roman" w:eastAsia="宋体" w:cs="Times New Roman"/>
          <w:sz w:val="28"/>
          <w:szCs w:val="28"/>
          <w:highlight w:val="none"/>
        </w:rPr>
        <w:t>023~2035年）》提出了“支持乐山联合成都、眉山共同打造“成都港””。乐山作为成都平原经济区最近出海口，随着巴蜀文化旅游走廊建设、乐山港升级打造为成都港的推进，乐山市将承担起协调岷江、长江干支联动，助力成都通江达海、对外开放，带动沿线城市旅游产品更好发展，助推成渝地区双城经济圈与长三角城市群沿长江经济带形成首尾呼应、协同发展新格局的重要角色。根据乐山市七届十一次全会精神，未来乐山将按照“三维五网”立体化交通布局，加快形成立体互联的“五大交通网”，推动形成水陆空三维联动、多式联运的便捷高效运输服务体系，努力把乐山建成贯通南北、连接东西、通江达海的区域综合交通枢纽。未来乐山水运将建成成渝黄金水道成都港、四川省重装运输生命线、乐山港国际旅游中心、成都产业转移新载体、成都平原南向开放门户、长江上游航运中心战略支点。结合乐山市产业和旅游的发展，成都市通江达海的需要和四川省重装运输的需求，乐山市水运发展应重新考虑自身定位，科学绘制发展蓝图。</w:t>
      </w:r>
    </w:p>
    <w:p>
      <w:pPr>
        <w:pStyle w:val="6"/>
        <w:spacing w:before="0" w:after="0" w:line="360" w:lineRule="auto"/>
        <w:ind w:firstLine="562" w:firstLineChars="200"/>
        <w:rPr>
          <w:rFonts w:ascii="Times New Roman" w:hAnsi="Times New Roman" w:cs="Times New Roman"/>
          <w:highlight w:val="none"/>
        </w:rPr>
      </w:pPr>
      <w:r>
        <w:rPr>
          <w:rFonts w:ascii="Times New Roman" w:hAnsi="Times New Roman" w:cs="Times New Roman"/>
          <w:highlight w:val="none"/>
        </w:rPr>
        <w:t>三、</w:t>
      </w:r>
      <w:r>
        <w:rPr>
          <w:rFonts w:hint="eastAsia" w:ascii="Times New Roman" w:hAnsi="Times New Roman" w:cs="Times New Roman"/>
          <w:highlight w:val="none"/>
        </w:rPr>
        <w:t>“交通+产业”</w:t>
      </w:r>
      <w:r>
        <w:rPr>
          <w:rFonts w:ascii="Times New Roman" w:hAnsi="Times New Roman" w:cs="Times New Roman"/>
          <w:highlight w:val="none"/>
        </w:rPr>
        <w:t>融合发展，要求乐山水运创新理念、丰富产业发展业态</w:t>
      </w:r>
    </w:p>
    <w:p>
      <w:pPr>
        <w:pStyle w:val="14"/>
        <w:spacing w:after="0" w:line="360" w:lineRule="auto"/>
        <w:ind w:firstLine="560" w:firstLineChars="200"/>
        <w:rPr>
          <w:rFonts w:ascii="Times New Roman" w:hAnsi="Times New Roman" w:eastAsia="宋体" w:cs="Times New Roman"/>
          <w:sz w:val="28"/>
          <w:szCs w:val="28"/>
          <w:highlight w:val="none"/>
        </w:rPr>
      </w:pPr>
      <w:r>
        <w:rPr>
          <w:rFonts w:hint="eastAsia" w:ascii="Times New Roman" w:hAnsi="Times New Roman" w:eastAsia="宋体" w:cs="Times New Roman"/>
          <w:sz w:val="28"/>
          <w:szCs w:val="28"/>
          <w:highlight w:val="none"/>
        </w:rPr>
        <w:t>2019年9月，中共中央、国务院印发了《交通强国建设纲要》；2020年9月，中共四川省委、四川省人民政府印发了《关于贯彻落实&lt;交通强国建设纲要&gt;加快建设交通强省的实施意见》；为贯彻国家、省委战略部署，四川省交通运输厅完成了《四川交通强省总体发展战略研究》编制工作；均将交通与旅游等产业融合发展作为交通强省建设的重点发展方向。乐山、成都和重庆正协力打造成渝地区双城经济圈旅游金三角，随着成渝综合交通运输通道的完善、巴蜀文化旅游走廊建设的推进，必然要求乐山市水运不断提升运输服务供给能力和水平，丰富产业发展新业态，丰富水上旅游产品供给，充分发挥乐山旅游资源这一最大比较优势，共同提升川渝旅游的产品供给力、市场吸引力、行业竞争力、国际影响力，助力巴蜀文化旅游走廊世界重要旅游目的地建设。同时，随着犍为、老木孔等梯级蓄水后，岷江航道条件和水生态将得到极大改善，有利于乐山市旅游业的发展。</w:t>
      </w:r>
    </w:p>
    <w:p>
      <w:pPr>
        <w:pStyle w:val="6"/>
        <w:spacing w:before="0" w:after="0" w:line="360" w:lineRule="auto"/>
        <w:ind w:firstLine="562" w:firstLineChars="200"/>
        <w:rPr>
          <w:rFonts w:ascii="Times New Roman" w:hAnsi="Times New Roman" w:cs="Times New Roman"/>
          <w:highlight w:val="none"/>
        </w:rPr>
      </w:pPr>
      <w:r>
        <w:rPr>
          <w:rFonts w:ascii="Times New Roman" w:hAnsi="Times New Roman" w:cs="Times New Roman"/>
          <w:highlight w:val="none"/>
        </w:rPr>
        <w:t>四、推动港口资源深度融合，要求乐山水运打破壁垒、协同重庆共建长江上游航运中心。</w:t>
      </w:r>
    </w:p>
    <w:p>
      <w:pPr>
        <w:pStyle w:val="14"/>
        <w:ind w:firstLine="560" w:firstLineChars="200"/>
        <w:rPr>
          <w:rFonts w:ascii="Times New Roman" w:hAnsi="Times New Roman" w:cs="Times New Roman"/>
          <w:bCs/>
          <w:sz w:val="28"/>
          <w:szCs w:val="28"/>
          <w:highlight w:val="none"/>
        </w:rPr>
      </w:pPr>
      <w:r>
        <w:rPr>
          <w:rFonts w:ascii="Times New Roman" w:hAnsi="Times New Roman" w:cs="Times New Roman"/>
          <w:bCs/>
          <w:sz w:val="28"/>
          <w:szCs w:val="28"/>
          <w:highlight w:val="none"/>
        </w:rPr>
        <w:t>目前共建成渝地区双城经济圈战略已上升为国家战略，推动成渝地区交通一体化成为两省共识和务实举措，川渝两地已经形成了“1+6”的合作框架，并着力推动各项重大任务落地落实。推动港口资源深度融合、协同重庆共建长江上游航运中心是四川省建设通江达海航运体系的重大任务；将岷江乐山至宜宾段打造成连接成都、重庆的黄金水道是乐山市建设成渝黄金水道的关键举措。加快建设成渝地区双城经济圈要求乐山水运要打破行政壁垒，统筹水运通道建设，畅通岷江干支联运体系，协同建设开放口岸，共建长江上游航运中心。</w:t>
      </w:r>
    </w:p>
    <w:p>
      <w:pPr>
        <w:pStyle w:val="6"/>
        <w:spacing w:before="0" w:after="0" w:line="360" w:lineRule="auto"/>
        <w:ind w:firstLine="562" w:firstLineChars="200"/>
        <w:rPr>
          <w:rFonts w:ascii="Times New Roman" w:hAnsi="Times New Roman" w:cs="Times New Roman"/>
          <w:highlight w:val="none"/>
        </w:rPr>
      </w:pPr>
      <w:r>
        <w:rPr>
          <w:rFonts w:ascii="Times New Roman" w:hAnsi="Times New Roman" w:cs="Times New Roman"/>
          <w:highlight w:val="none"/>
        </w:rPr>
        <w:t>五、大力推进生态文明建设、实现碳达峰碳中和，要求乐山水运主动作为、充分发挥节约资源、生态环保的比较优势</w:t>
      </w:r>
    </w:p>
    <w:p>
      <w:pPr>
        <w:pStyle w:val="14"/>
        <w:spacing w:after="0" w:line="360" w:lineRule="auto"/>
        <w:ind w:firstLine="560" w:firstLineChars="200"/>
        <w:rPr>
          <w:rFonts w:ascii="Times New Roman" w:hAnsi="Times New Roman" w:cs="Times New Roman"/>
          <w:bCs/>
          <w:sz w:val="28"/>
          <w:szCs w:val="28"/>
          <w:highlight w:val="none"/>
        </w:rPr>
      </w:pPr>
      <w:r>
        <w:rPr>
          <w:rFonts w:ascii="Times New Roman" w:hAnsi="Times New Roman" w:cs="Times New Roman"/>
          <w:bCs/>
          <w:sz w:val="28"/>
          <w:szCs w:val="28"/>
          <w:highlight w:val="none"/>
        </w:rPr>
        <w:t>十八大以来，生态文明建设被摆在突出位置，长江经济带战略也将生态保护提升为首要任务，《中华人民共和国长江保护法》指出长江流域经济社会发展应当坚持生态优先、绿色发展，共抓大保护、不搞大开发。在2020年9月联合国大会上，习</w:t>
      </w:r>
      <w:r>
        <w:rPr>
          <w:rFonts w:hint="eastAsia" w:ascii="Times New Roman" w:hAnsi="Times New Roman" w:cs="Times New Roman"/>
          <w:bCs/>
          <w:sz w:val="28"/>
          <w:szCs w:val="28"/>
          <w:highlight w:val="none"/>
          <w:lang w:val="en-US" w:eastAsia="zh-CN"/>
        </w:rPr>
        <w:t>近平</w:t>
      </w:r>
      <w:r>
        <w:rPr>
          <w:rFonts w:ascii="Times New Roman" w:hAnsi="Times New Roman" w:cs="Times New Roman"/>
          <w:bCs/>
          <w:sz w:val="28"/>
          <w:szCs w:val="28"/>
          <w:highlight w:val="none"/>
        </w:rPr>
        <w:t>总书记承诺我国在2030年前，二氧化碳的排放不再增长，达到峰值，至2060年将排放的二氧化碳通过植树等方式全部抵消，达到“碳中和”。省委十一届七次全会指出加强生态环境保护，协同推进长江上游生态保护修复，推进区域内长江、嘉陵江、岷江、涪江、沱江、渠江等生态廊道建设。低碳、环保发展，一方面要求加快内河航运发展，充分发挥其在综合运输中的绿色、低碳环保优势，另一方面要求航运发展要以生态环保为前提，明确建设发展重点、推进转型升级，实现水生态保护、水资源优化配置。港口建设要进一步规模化、集约化，实现岸线资源集约有效利用；运输船舶要进一步推进绿色化，降低污染物排放。乐山水运需要重新审视生态文明战略背景下的发展思路和重要举措，增强战略思维、底线思维、大局思维，推动水运绿色发展。</w:t>
      </w:r>
    </w:p>
    <w:p>
      <w:pPr>
        <w:spacing w:before="156" w:beforeLines="50" w:after="156" w:afterLines="50" w:line="520" w:lineRule="exact"/>
        <w:jc w:val="center"/>
        <w:outlineLvl w:val="1"/>
        <w:rPr>
          <w:rFonts w:eastAsia="黑体"/>
          <w:b/>
          <w:sz w:val="30"/>
          <w:highlight w:val="none"/>
        </w:rPr>
      </w:pPr>
      <w:bookmarkStart w:id="86" w:name="_Toc77781883"/>
      <w:bookmarkStart w:id="87" w:name="_Toc67908218"/>
      <w:r>
        <w:rPr>
          <w:rFonts w:eastAsia="黑体"/>
          <w:b/>
          <w:sz w:val="30"/>
          <w:highlight w:val="none"/>
        </w:rPr>
        <w:t>第二节港口经济腹地</w:t>
      </w:r>
      <w:bookmarkEnd w:id="86"/>
    </w:p>
    <w:p>
      <w:pPr>
        <w:spacing w:line="360" w:lineRule="auto"/>
        <w:ind w:firstLine="562" w:firstLineChars="200"/>
        <w:outlineLvl w:val="2"/>
        <w:rPr>
          <w:rFonts w:eastAsia="黑体"/>
          <w:b/>
          <w:sz w:val="28"/>
          <w:szCs w:val="28"/>
          <w:highlight w:val="none"/>
        </w:rPr>
      </w:pPr>
      <w:bookmarkStart w:id="88" w:name="_Toc77781884"/>
      <w:r>
        <w:rPr>
          <w:rFonts w:eastAsia="黑体"/>
          <w:b/>
          <w:sz w:val="28"/>
          <w:szCs w:val="28"/>
          <w:highlight w:val="none"/>
        </w:rPr>
        <w:t>一、区域综合交通发展现状及规划</w:t>
      </w:r>
      <w:bookmarkEnd w:id="88"/>
    </w:p>
    <w:p>
      <w:pPr>
        <w:pStyle w:val="14"/>
        <w:spacing w:after="0" w:line="360" w:lineRule="auto"/>
        <w:ind w:firstLine="560" w:firstLineChars="200"/>
        <w:rPr>
          <w:rFonts w:ascii="Times New Roman" w:hAnsi="Times New Roman" w:cs="Times New Roman"/>
          <w:sz w:val="28"/>
          <w:szCs w:val="28"/>
          <w:highlight w:val="none"/>
        </w:rPr>
      </w:pPr>
      <w:r>
        <w:rPr>
          <w:rFonts w:ascii="Times New Roman" w:hAnsi="Times New Roman" w:cs="Times New Roman"/>
          <w:sz w:val="28"/>
          <w:szCs w:val="28"/>
          <w:highlight w:val="none"/>
        </w:rPr>
        <w:t>近年来，随着乐山市不断加大交通基础设施项目建设力度，路网覆盖面扩大，基础设施条件不断改善，腹地内通达深度不断提高。乐山市建成高速6条、铁路4条，500吨级船舶可通过岷江-长江实现通江达海，已基本形成以公路、铁路运输为主，岷江航运为补充的连接东西、贯通南北、通江达海、城乡一体的区域综合立体交通网络。</w:t>
      </w:r>
    </w:p>
    <w:p>
      <w:pPr>
        <w:pStyle w:val="14"/>
        <w:spacing w:after="0" w:line="360" w:lineRule="auto"/>
        <w:ind w:firstLine="560" w:firstLineChars="200"/>
        <w:rPr>
          <w:rFonts w:ascii="Times New Roman" w:hAnsi="Times New Roman" w:cs="Times New Roman"/>
          <w:sz w:val="28"/>
          <w:szCs w:val="28"/>
          <w:highlight w:val="none"/>
        </w:rPr>
      </w:pPr>
      <w:r>
        <w:rPr>
          <w:rFonts w:ascii="Times New Roman" w:hAnsi="Times New Roman" w:cs="Times New Roman"/>
          <w:sz w:val="28"/>
          <w:szCs w:val="28"/>
          <w:highlight w:val="none"/>
        </w:rPr>
        <w:t>根据《</w:t>
      </w:r>
      <w:r>
        <w:rPr>
          <w:rFonts w:hint="eastAsia" w:ascii="Times New Roman" w:hAnsi="Times New Roman" w:cs="Times New Roman"/>
          <w:sz w:val="28"/>
          <w:szCs w:val="28"/>
          <w:highlight w:val="none"/>
        </w:rPr>
        <w:t>乐山市“十四五”综合交通运输发展规划</w:t>
      </w:r>
      <w:r>
        <w:rPr>
          <w:rFonts w:ascii="Times New Roman" w:hAnsi="Times New Roman" w:cs="Times New Roman"/>
          <w:sz w:val="28"/>
          <w:szCs w:val="28"/>
          <w:highlight w:val="none"/>
        </w:rPr>
        <w:t>》、《乐山市铁路网综合规划（2020年-2035年）》，</w:t>
      </w:r>
      <w:r>
        <w:rPr>
          <w:rFonts w:hint="eastAsia" w:ascii="Times New Roman" w:hAnsi="Times New Roman" w:cs="Times New Roman"/>
          <w:sz w:val="28"/>
          <w:szCs w:val="28"/>
          <w:highlight w:val="none"/>
        </w:rPr>
        <w:t>乐山</w:t>
      </w:r>
      <w:r>
        <w:rPr>
          <w:rFonts w:ascii="Times New Roman" w:hAnsi="Times New Roman" w:cs="Times New Roman"/>
          <w:sz w:val="28"/>
          <w:szCs w:val="28"/>
          <w:highlight w:val="none"/>
        </w:rPr>
        <w:t>市将加快建设区域综合交通枢纽，构建成都平原经济区南向开放交通“桥头堡”，争创建设交通强国先行示范市，为建设世界重要旅游目的地和全省区域中心城市提供有力支撑。</w:t>
      </w:r>
    </w:p>
    <w:p>
      <w:pPr>
        <w:spacing w:line="360" w:lineRule="auto"/>
        <w:ind w:firstLine="562" w:firstLineChars="200"/>
        <w:outlineLvl w:val="2"/>
        <w:rPr>
          <w:rFonts w:eastAsia="黑体"/>
          <w:b/>
          <w:sz w:val="28"/>
          <w:szCs w:val="28"/>
          <w:highlight w:val="none"/>
        </w:rPr>
      </w:pPr>
      <w:bookmarkStart w:id="89" w:name="_Toc77781885"/>
      <w:r>
        <w:rPr>
          <w:rFonts w:eastAsia="黑体"/>
          <w:b/>
          <w:sz w:val="28"/>
          <w:szCs w:val="28"/>
          <w:highlight w:val="none"/>
        </w:rPr>
        <w:t>二、货物运输经济性比较</w:t>
      </w:r>
      <w:bookmarkEnd w:id="89"/>
    </w:p>
    <w:p>
      <w:pPr>
        <w:pStyle w:val="6"/>
        <w:spacing w:before="0" w:after="0" w:line="360" w:lineRule="auto"/>
        <w:ind w:firstLine="562" w:firstLineChars="200"/>
        <w:rPr>
          <w:rFonts w:ascii="Times New Roman" w:hAnsi="Times New Roman" w:cs="Times New Roman"/>
          <w:highlight w:val="none"/>
        </w:rPr>
      </w:pPr>
      <w:r>
        <w:rPr>
          <w:rFonts w:ascii="Times New Roman" w:hAnsi="Times New Roman" w:cs="Times New Roman"/>
          <w:highlight w:val="none"/>
        </w:rPr>
        <w:t>（一）运输辐射范围分析</w:t>
      </w:r>
    </w:p>
    <w:p>
      <w:pPr>
        <w:pStyle w:val="14"/>
        <w:numPr>
          <w:ilvl w:val="255"/>
          <w:numId w:val="0"/>
        </w:numPr>
        <w:spacing w:after="0" w:line="360" w:lineRule="auto"/>
        <w:ind w:firstLine="562" w:firstLineChars="200"/>
        <w:rPr>
          <w:rFonts w:ascii="Times New Roman" w:hAnsi="Times New Roman" w:cs="Times New Roman"/>
          <w:b/>
          <w:bCs/>
          <w:sz w:val="28"/>
          <w:szCs w:val="28"/>
          <w:highlight w:val="none"/>
        </w:rPr>
      </w:pPr>
      <w:r>
        <w:rPr>
          <w:rFonts w:ascii="Times New Roman" w:hAnsi="Times New Roman" w:cs="Times New Roman"/>
          <w:b/>
          <w:bCs/>
          <w:sz w:val="28"/>
          <w:szCs w:val="28"/>
          <w:highlight w:val="none"/>
        </w:rPr>
        <w:t>1.公路</w:t>
      </w:r>
    </w:p>
    <w:p>
      <w:pPr>
        <w:pStyle w:val="14"/>
        <w:spacing w:after="0" w:line="360" w:lineRule="auto"/>
        <w:ind w:firstLine="560" w:firstLineChars="200"/>
        <w:rPr>
          <w:rFonts w:ascii="Times New Roman" w:hAnsi="Times New Roman" w:cs="Times New Roman"/>
          <w:sz w:val="28"/>
          <w:szCs w:val="28"/>
          <w:highlight w:val="none"/>
        </w:rPr>
      </w:pPr>
      <w:r>
        <w:rPr>
          <w:rFonts w:ascii="Times New Roman" w:hAnsi="Times New Roman" w:cs="Times New Roman"/>
          <w:sz w:val="28"/>
          <w:szCs w:val="28"/>
          <w:highlight w:val="none"/>
        </w:rPr>
        <w:t>（1）</w:t>
      </w:r>
      <w:r>
        <w:rPr>
          <w:rFonts w:ascii="Times New Roman" w:hAnsi="Times New Roman" w:eastAsia="宋体" w:cs="Times New Roman"/>
          <w:sz w:val="28"/>
          <w:szCs w:val="28"/>
          <w:highlight w:val="none"/>
        </w:rPr>
        <w:t>G93</w:t>
      </w:r>
      <w:r>
        <w:rPr>
          <w:rFonts w:ascii="Times New Roman" w:hAnsi="Times New Roman" w:cs="Times New Roman"/>
          <w:sz w:val="28"/>
          <w:szCs w:val="28"/>
          <w:highlight w:val="none"/>
        </w:rPr>
        <w:t>成渝环线高速（成乐、乐宜高速）：成都至乐山、乐山至宜宾，辐射成都、宜宾地区。</w:t>
      </w:r>
    </w:p>
    <w:p>
      <w:pPr>
        <w:spacing w:line="360" w:lineRule="auto"/>
        <w:ind w:firstLine="560" w:firstLineChars="200"/>
        <w:rPr>
          <w:sz w:val="28"/>
          <w:szCs w:val="28"/>
          <w:highlight w:val="none"/>
        </w:rPr>
      </w:pPr>
      <w:r>
        <w:rPr>
          <w:sz w:val="28"/>
          <w:szCs w:val="28"/>
          <w:highlight w:val="none"/>
        </w:rPr>
        <w:t>（2）G93乐雅高速：乐山至雅安，辐射雅安市。</w:t>
      </w:r>
    </w:p>
    <w:p>
      <w:pPr>
        <w:spacing w:line="360" w:lineRule="auto"/>
        <w:ind w:firstLine="560" w:firstLineChars="200"/>
        <w:rPr>
          <w:sz w:val="28"/>
          <w:szCs w:val="28"/>
          <w:highlight w:val="none"/>
        </w:rPr>
      </w:pPr>
      <w:r>
        <w:rPr>
          <w:sz w:val="28"/>
          <w:szCs w:val="28"/>
          <w:highlight w:val="none"/>
        </w:rPr>
        <w:t>（3）S66乐自高速：乐山至自贡，辐射自贡市。</w:t>
      </w:r>
    </w:p>
    <w:p>
      <w:pPr>
        <w:spacing w:line="360" w:lineRule="auto"/>
        <w:ind w:firstLine="560" w:firstLineChars="200"/>
        <w:rPr>
          <w:sz w:val="28"/>
          <w:szCs w:val="28"/>
          <w:highlight w:val="none"/>
        </w:rPr>
      </w:pPr>
      <w:r>
        <w:rPr>
          <w:sz w:val="28"/>
          <w:szCs w:val="28"/>
          <w:highlight w:val="none"/>
        </w:rPr>
        <w:t>（4）G4216成丽高速（仁沐新高速）：眉山仁寿-乐山-宜宾新市镇，辐射眉山、宜宾地区。</w:t>
      </w:r>
    </w:p>
    <w:p>
      <w:pPr>
        <w:spacing w:line="360" w:lineRule="auto"/>
        <w:ind w:firstLine="560" w:firstLineChars="200"/>
        <w:rPr>
          <w:b/>
          <w:sz w:val="28"/>
          <w:szCs w:val="28"/>
          <w:highlight w:val="none"/>
        </w:rPr>
      </w:pPr>
      <w:r>
        <w:rPr>
          <w:sz w:val="28"/>
          <w:szCs w:val="28"/>
          <w:highlight w:val="none"/>
        </w:rPr>
        <w:t>（5）乐汉高速：乐山至雅安市汉源县，辐射雅安市汉源县。</w:t>
      </w:r>
    </w:p>
    <w:p>
      <w:pPr>
        <w:snapToGrid w:val="0"/>
        <w:jc w:val="center"/>
        <w:rPr>
          <w:rFonts w:eastAsia="黑体"/>
          <w:sz w:val="28"/>
          <w:szCs w:val="28"/>
          <w:highlight w:val="none"/>
        </w:rPr>
      </w:pPr>
      <w:r>
        <w:rPr>
          <w:rFonts w:eastAsia="黑体"/>
          <w:spacing w:val="5"/>
          <w:sz w:val="28"/>
          <w:szCs w:val="28"/>
          <w:highlight w:val="none"/>
        </w:rPr>
        <w:t xml:space="preserve">表2.2-1 </w:t>
      </w:r>
      <w:r>
        <w:rPr>
          <w:rFonts w:eastAsia="黑体"/>
          <w:sz w:val="28"/>
          <w:szCs w:val="28"/>
          <w:highlight w:val="none"/>
        </w:rPr>
        <w:t>乐山与周边地区高速公路现状联接表</w:t>
      </w:r>
    </w:p>
    <w:tbl>
      <w:tblPr>
        <w:tblStyle w:val="32"/>
        <w:tblW w:w="9286" w:type="dxa"/>
        <w:tblInd w:w="0" w:type="dxa"/>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904"/>
        <w:gridCol w:w="3907"/>
        <w:gridCol w:w="3475"/>
      </w:tblGrid>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904" w:type="dxa"/>
            <w:vAlign w:val="center"/>
          </w:tcPr>
          <w:p>
            <w:pPr>
              <w:widowControl/>
              <w:jc w:val="center"/>
              <w:rPr>
                <w:kern w:val="0"/>
                <w:szCs w:val="21"/>
                <w:highlight w:val="none"/>
              </w:rPr>
            </w:pPr>
            <w:r>
              <w:rPr>
                <w:kern w:val="0"/>
                <w:szCs w:val="21"/>
                <w:highlight w:val="none"/>
              </w:rPr>
              <w:t>联接城市</w:t>
            </w:r>
          </w:p>
        </w:tc>
        <w:tc>
          <w:tcPr>
            <w:tcW w:w="3907" w:type="dxa"/>
            <w:vAlign w:val="center"/>
          </w:tcPr>
          <w:p>
            <w:pPr>
              <w:widowControl/>
              <w:jc w:val="center"/>
              <w:rPr>
                <w:kern w:val="0"/>
                <w:szCs w:val="21"/>
                <w:highlight w:val="none"/>
              </w:rPr>
            </w:pPr>
            <w:r>
              <w:rPr>
                <w:kern w:val="0"/>
                <w:szCs w:val="21"/>
                <w:highlight w:val="none"/>
              </w:rPr>
              <w:t>联接方式</w:t>
            </w:r>
          </w:p>
        </w:tc>
        <w:tc>
          <w:tcPr>
            <w:tcW w:w="3475" w:type="dxa"/>
            <w:vAlign w:val="center"/>
          </w:tcPr>
          <w:p>
            <w:pPr>
              <w:widowControl/>
              <w:jc w:val="center"/>
              <w:rPr>
                <w:kern w:val="0"/>
                <w:szCs w:val="21"/>
                <w:highlight w:val="none"/>
              </w:rPr>
            </w:pPr>
            <w:r>
              <w:rPr>
                <w:kern w:val="0"/>
                <w:szCs w:val="21"/>
                <w:highlight w:val="none"/>
              </w:rPr>
              <w:t>乐山与周边地区公路里程（km）</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904" w:type="dxa"/>
            <w:vAlign w:val="center"/>
          </w:tcPr>
          <w:p>
            <w:pPr>
              <w:widowControl/>
              <w:jc w:val="center"/>
              <w:rPr>
                <w:kern w:val="0"/>
                <w:szCs w:val="21"/>
                <w:highlight w:val="none"/>
              </w:rPr>
            </w:pPr>
            <w:r>
              <w:rPr>
                <w:kern w:val="0"/>
                <w:szCs w:val="21"/>
                <w:highlight w:val="none"/>
              </w:rPr>
              <w:t>乐山-成都市</w:t>
            </w:r>
          </w:p>
        </w:tc>
        <w:tc>
          <w:tcPr>
            <w:tcW w:w="3907" w:type="dxa"/>
            <w:vAlign w:val="center"/>
          </w:tcPr>
          <w:p>
            <w:pPr>
              <w:widowControl/>
              <w:rPr>
                <w:kern w:val="0"/>
                <w:szCs w:val="21"/>
                <w:highlight w:val="none"/>
              </w:rPr>
            </w:pPr>
            <w:r>
              <w:rPr>
                <w:kern w:val="0"/>
                <w:szCs w:val="21"/>
                <w:highlight w:val="none"/>
              </w:rPr>
              <w:t>G93成渝环线高速（成乐高速</w:t>
            </w:r>
            <w:r>
              <w:rPr>
                <w:rFonts w:eastAsia="仿宋_GB2312"/>
                <w:sz w:val="24"/>
                <w:highlight w:val="none"/>
              </w:rPr>
              <w:t>G0512</w:t>
            </w:r>
            <w:r>
              <w:rPr>
                <w:kern w:val="0"/>
                <w:szCs w:val="21"/>
                <w:highlight w:val="none"/>
              </w:rPr>
              <w:t>）</w:t>
            </w:r>
          </w:p>
        </w:tc>
        <w:tc>
          <w:tcPr>
            <w:tcW w:w="3475" w:type="dxa"/>
            <w:vAlign w:val="center"/>
          </w:tcPr>
          <w:p>
            <w:pPr>
              <w:widowControl/>
              <w:jc w:val="center"/>
              <w:rPr>
                <w:kern w:val="0"/>
                <w:szCs w:val="21"/>
                <w:highlight w:val="none"/>
              </w:rPr>
            </w:pPr>
            <w:r>
              <w:rPr>
                <w:kern w:val="0"/>
                <w:szCs w:val="21"/>
                <w:highlight w:val="none"/>
              </w:rPr>
              <w:t>142</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904" w:type="dxa"/>
            <w:vAlign w:val="center"/>
          </w:tcPr>
          <w:p>
            <w:pPr>
              <w:widowControl/>
              <w:jc w:val="center"/>
              <w:rPr>
                <w:kern w:val="0"/>
                <w:szCs w:val="21"/>
                <w:highlight w:val="none"/>
              </w:rPr>
            </w:pPr>
            <w:r>
              <w:rPr>
                <w:kern w:val="0"/>
                <w:szCs w:val="21"/>
                <w:highlight w:val="none"/>
              </w:rPr>
              <w:t>乐山-宜宾市</w:t>
            </w:r>
          </w:p>
        </w:tc>
        <w:tc>
          <w:tcPr>
            <w:tcW w:w="3907" w:type="dxa"/>
            <w:vAlign w:val="center"/>
          </w:tcPr>
          <w:p>
            <w:pPr>
              <w:widowControl/>
              <w:jc w:val="center"/>
              <w:rPr>
                <w:kern w:val="0"/>
                <w:szCs w:val="21"/>
                <w:highlight w:val="none"/>
              </w:rPr>
            </w:pPr>
            <w:r>
              <w:rPr>
                <w:kern w:val="0"/>
                <w:szCs w:val="21"/>
                <w:highlight w:val="none"/>
              </w:rPr>
              <w:t>G93成渝环线高速（乐宜高速）</w:t>
            </w:r>
          </w:p>
        </w:tc>
        <w:tc>
          <w:tcPr>
            <w:tcW w:w="3475" w:type="dxa"/>
            <w:vAlign w:val="center"/>
          </w:tcPr>
          <w:p>
            <w:pPr>
              <w:widowControl/>
              <w:jc w:val="center"/>
              <w:rPr>
                <w:kern w:val="0"/>
                <w:szCs w:val="21"/>
                <w:highlight w:val="none"/>
              </w:rPr>
            </w:pPr>
            <w:r>
              <w:rPr>
                <w:kern w:val="0"/>
                <w:szCs w:val="21"/>
                <w:highlight w:val="none"/>
              </w:rPr>
              <w:t>156</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904" w:type="dxa"/>
            <w:vAlign w:val="center"/>
          </w:tcPr>
          <w:p>
            <w:pPr>
              <w:widowControl/>
              <w:jc w:val="center"/>
              <w:rPr>
                <w:kern w:val="0"/>
                <w:szCs w:val="21"/>
                <w:highlight w:val="none"/>
              </w:rPr>
            </w:pPr>
            <w:r>
              <w:rPr>
                <w:kern w:val="0"/>
                <w:szCs w:val="21"/>
                <w:highlight w:val="none"/>
              </w:rPr>
              <w:t>乐山-雅安市</w:t>
            </w:r>
          </w:p>
        </w:tc>
        <w:tc>
          <w:tcPr>
            <w:tcW w:w="3907" w:type="dxa"/>
            <w:vAlign w:val="center"/>
          </w:tcPr>
          <w:p>
            <w:pPr>
              <w:widowControl/>
              <w:jc w:val="center"/>
              <w:rPr>
                <w:kern w:val="0"/>
                <w:szCs w:val="21"/>
                <w:highlight w:val="none"/>
              </w:rPr>
            </w:pPr>
            <w:r>
              <w:rPr>
                <w:kern w:val="0"/>
                <w:szCs w:val="21"/>
                <w:highlight w:val="none"/>
              </w:rPr>
              <w:t>G93乐雅高速</w:t>
            </w:r>
          </w:p>
        </w:tc>
        <w:tc>
          <w:tcPr>
            <w:tcW w:w="3475" w:type="dxa"/>
            <w:vAlign w:val="center"/>
          </w:tcPr>
          <w:p>
            <w:pPr>
              <w:widowControl/>
              <w:jc w:val="center"/>
              <w:rPr>
                <w:kern w:val="0"/>
                <w:szCs w:val="21"/>
                <w:highlight w:val="none"/>
              </w:rPr>
            </w:pPr>
            <w:r>
              <w:rPr>
                <w:kern w:val="0"/>
                <w:szCs w:val="21"/>
                <w:highlight w:val="none"/>
              </w:rPr>
              <w:t>112</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904" w:type="dxa"/>
            <w:vAlign w:val="center"/>
          </w:tcPr>
          <w:p>
            <w:pPr>
              <w:widowControl/>
              <w:jc w:val="center"/>
              <w:rPr>
                <w:kern w:val="0"/>
                <w:szCs w:val="21"/>
                <w:highlight w:val="none"/>
              </w:rPr>
            </w:pPr>
            <w:r>
              <w:rPr>
                <w:kern w:val="0"/>
                <w:szCs w:val="21"/>
                <w:highlight w:val="none"/>
              </w:rPr>
              <w:t>乐山-仁寿县</w:t>
            </w:r>
          </w:p>
        </w:tc>
        <w:tc>
          <w:tcPr>
            <w:tcW w:w="3907" w:type="dxa"/>
            <w:vAlign w:val="center"/>
          </w:tcPr>
          <w:p>
            <w:pPr>
              <w:widowControl/>
              <w:jc w:val="center"/>
              <w:rPr>
                <w:kern w:val="0"/>
                <w:szCs w:val="21"/>
                <w:highlight w:val="none"/>
              </w:rPr>
            </w:pPr>
            <w:r>
              <w:rPr>
                <w:kern w:val="0"/>
                <w:szCs w:val="21"/>
                <w:highlight w:val="none"/>
              </w:rPr>
              <w:t>G4216成丽高速（仁沐新高速）</w:t>
            </w:r>
          </w:p>
        </w:tc>
        <w:tc>
          <w:tcPr>
            <w:tcW w:w="3475" w:type="dxa"/>
            <w:vAlign w:val="center"/>
          </w:tcPr>
          <w:p>
            <w:pPr>
              <w:widowControl/>
              <w:jc w:val="center"/>
              <w:rPr>
                <w:kern w:val="0"/>
                <w:szCs w:val="21"/>
                <w:highlight w:val="none"/>
              </w:rPr>
            </w:pPr>
            <w:r>
              <w:rPr>
                <w:rFonts w:hint="eastAsia"/>
                <w:kern w:val="0"/>
                <w:szCs w:val="21"/>
                <w:highlight w:val="none"/>
              </w:rPr>
              <w:t>200.5</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904" w:type="dxa"/>
            <w:vAlign w:val="center"/>
          </w:tcPr>
          <w:p>
            <w:pPr>
              <w:widowControl/>
              <w:jc w:val="center"/>
              <w:rPr>
                <w:kern w:val="0"/>
                <w:szCs w:val="21"/>
                <w:highlight w:val="none"/>
              </w:rPr>
            </w:pPr>
            <w:r>
              <w:rPr>
                <w:kern w:val="0"/>
                <w:szCs w:val="21"/>
                <w:highlight w:val="none"/>
              </w:rPr>
              <w:t>乐山-自贡市</w:t>
            </w:r>
          </w:p>
        </w:tc>
        <w:tc>
          <w:tcPr>
            <w:tcW w:w="3907" w:type="dxa"/>
            <w:vAlign w:val="center"/>
          </w:tcPr>
          <w:p>
            <w:pPr>
              <w:widowControl/>
              <w:jc w:val="center"/>
              <w:rPr>
                <w:kern w:val="0"/>
                <w:szCs w:val="21"/>
                <w:highlight w:val="none"/>
              </w:rPr>
            </w:pPr>
            <w:r>
              <w:rPr>
                <w:kern w:val="0"/>
                <w:szCs w:val="21"/>
                <w:highlight w:val="none"/>
              </w:rPr>
              <w:t>S66乐自高速</w:t>
            </w:r>
          </w:p>
        </w:tc>
        <w:tc>
          <w:tcPr>
            <w:tcW w:w="3475" w:type="dxa"/>
            <w:vAlign w:val="center"/>
          </w:tcPr>
          <w:p>
            <w:pPr>
              <w:widowControl/>
              <w:jc w:val="center"/>
              <w:rPr>
                <w:kern w:val="0"/>
                <w:szCs w:val="21"/>
                <w:highlight w:val="none"/>
              </w:rPr>
            </w:pPr>
            <w:r>
              <w:rPr>
                <w:kern w:val="0"/>
                <w:szCs w:val="21"/>
                <w:highlight w:val="none"/>
              </w:rPr>
              <w:t>120</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904" w:type="dxa"/>
            <w:vAlign w:val="center"/>
          </w:tcPr>
          <w:p>
            <w:pPr>
              <w:widowControl/>
              <w:jc w:val="center"/>
              <w:rPr>
                <w:kern w:val="0"/>
                <w:szCs w:val="21"/>
                <w:highlight w:val="none"/>
              </w:rPr>
            </w:pPr>
            <w:r>
              <w:rPr>
                <w:kern w:val="0"/>
                <w:szCs w:val="21"/>
                <w:highlight w:val="none"/>
              </w:rPr>
              <w:t>乐山-汉源县</w:t>
            </w:r>
          </w:p>
        </w:tc>
        <w:tc>
          <w:tcPr>
            <w:tcW w:w="3907" w:type="dxa"/>
            <w:vAlign w:val="center"/>
          </w:tcPr>
          <w:p>
            <w:pPr>
              <w:widowControl/>
              <w:jc w:val="center"/>
              <w:rPr>
                <w:kern w:val="0"/>
                <w:szCs w:val="21"/>
                <w:highlight w:val="none"/>
              </w:rPr>
            </w:pPr>
            <w:r>
              <w:rPr>
                <w:kern w:val="0"/>
                <w:szCs w:val="21"/>
                <w:highlight w:val="none"/>
              </w:rPr>
              <w:t>乐汉高速</w:t>
            </w:r>
          </w:p>
        </w:tc>
        <w:tc>
          <w:tcPr>
            <w:tcW w:w="3475" w:type="dxa"/>
            <w:vAlign w:val="center"/>
          </w:tcPr>
          <w:p>
            <w:pPr>
              <w:widowControl/>
              <w:jc w:val="center"/>
              <w:rPr>
                <w:kern w:val="0"/>
                <w:szCs w:val="21"/>
                <w:highlight w:val="none"/>
              </w:rPr>
            </w:pPr>
            <w:r>
              <w:rPr>
                <w:kern w:val="0"/>
                <w:szCs w:val="21"/>
                <w:highlight w:val="none"/>
              </w:rPr>
              <w:t>125</w:t>
            </w:r>
          </w:p>
        </w:tc>
      </w:tr>
    </w:tbl>
    <w:p>
      <w:pPr>
        <w:spacing w:before="312" w:beforeLines="100" w:line="360" w:lineRule="auto"/>
        <w:ind w:firstLine="561"/>
        <w:rPr>
          <w:bCs/>
          <w:sz w:val="28"/>
          <w:szCs w:val="28"/>
          <w:highlight w:val="none"/>
        </w:rPr>
      </w:pPr>
      <w:r>
        <w:rPr>
          <w:bCs/>
          <w:sz w:val="28"/>
          <w:szCs w:val="28"/>
          <w:highlight w:val="none"/>
        </w:rPr>
        <w:t>除上述已建高速公路外，乐山境内还建有G213、S103、S104、S305、S306等国省干线，进一步加密了乐山市路网，实现了全市与周边城市、主城区与县、县与县之间快速通达，对乐山市沟通周边市县提供了良好的路网条件。</w:t>
      </w:r>
    </w:p>
    <w:p>
      <w:pPr>
        <w:spacing w:line="360" w:lineRule="auto"/>
        <w:ind w:firstLine="560" w:firstLineChars="200"/>
        <w:rPr>
          <w:bCs/>
          <w:sz w:val="28"/>
          <w:szCs w:val="28"/>
          <w:highlight w:val="none"/>
        </w:rPr>
      </w:pPr>
      <w:r>
        <w:rPr>
          <w:bCs/>
          <w:sz w:val="28"/>
          <w:szCs w:val="28"/>
          <w:highlight w:val="none"/>
        </w:rPr>
        <w:t>未来，随着仁沐新高速（眉山仁寿-乐山-新市）、峨汉（乐山-雅安汉源）、乐西（乐山-凉山州西昌）、成乐高速扩容（乐山-成都）、天府新区经眉山至乐山高速、乐山经资中至重庆铜梁高速公路以及G245、G348、S429、S215等快速通道的建设，乐山市将形成四向拓展的高速通道网络，对内进一步联系成都平原经济区、川南经济区、攀西经济区城市，对外进一步辐射重庆地区。</w:t>
      </w:r>
    </w:p>
    <w:p>
      <w:pPr>
        <w:pStyle w:val="14"/>
        <w:numPr>
          <w:ilvl w:val="255"/>
          <w:numId w:val="0"/>
        </w:numPr>
        <w:spacing w:after="0" w:line="360" w:lineRule="auto"/>
        <w:ind w:firstLine="562" w:firstLineChars="200"/>
        <w:rPr>
          <w:rFonts w:ascii="Times New Roman" w:hAnsi="Times New Roman" w:cs="Times New Roman"/>
          <w:b/>
          <w:bCs/>
          <w:sz w:val="28"/>
          <w:szCs w:val="28"/>
          <w:highlight w:val="none"/>
        </w:rPr>
      </w:pPr>
      <w:r>
        <w:rPr>
          <w:rFonts w:ascii="Times New Roman" w:hAnsi="Times New Roman" w:cs="Times New Roman"/>
          <w:b/>
          <w:bCs/>
          <w:sz w:val="28"/>
          <w:szCs w:val="28"/>
          <w:highlight w:val="none"/>
        </w:rPr>
        <w:t>2.铁路</w:t>
      </w:r>
    </w:p>
    <w:p>
      <w:pPr>
        <w:spacing w:line="360" w:lineRule="auto"/>
        <w:ind w:firstLine="560" w:firstLineChars="200"/>
        <w:rPr>
          <w:bCs/>
          <w:sz w:val="28"/>
          <w:szCs w:val="28"/>
          <w:highlight w:val="none"/>
        </w:rPr>
      </w:pPr>
      <w:r>
        <w:rPr>
          <w:bCs/>
          <w:sz w:val="28"/>
          <w:szCs w:val="28"/>
          <w:highlight w:val="none"/>
        </w:rPr>
        <w:t>（1）成昆铁路：由成都经眉山、乐山、雅安、凉山州、攀枝花至云南昆明，是我国境内一条连接四川与云南的国铁Ⅰ级客货共线铁路，为单线电气化铁路。</w:t>
      </w:r>
    </w:p>
    <w:p>
      <w:pPr>
        <w:spacing w:line="360" w:lineRule="auto"/>
        <w:ind w:firstLine="560" w:firstLineChars="200"/>
        <w:rPr>
          <w:bCs/>
          <w:sz w:val="28"/>
          <w:szCs w:val="28"/>
          <w:highlight w:val="none"/>
        </w:rPr>
      </w:pPr>
      <w:r>
        <w:rPr>
          <w:bCs/>
          <w:sz w:val="28"/>
          <w:szCs w:val="28"/>
          <w:highlight w:val="none"/>
        </w:rPr>
        <w:t>（2）成贵高铁：由成都，途经乐山、眉山、宜宾、昭通、</w:t>
      </w:r>
      <w:r>
        <w:rPr>
          <w:highlight w:val="none"/>
        </w:rPr>
        <w:fldChar w:fldCharType="begin"/>
      </w:r>
      <w:r>
        <w:rPr>
          <w:highlight w:val="none"/>
        </w:rPr>
        <w:instrText xml:space="preserve"> HYPERLINK "https://baike.so.com/doc/5345669-5581114.html" \t "https://baike.so.com/doc/_blank" </w:instrText>
      </w:r>
      <w:r>
        <w:rPr>
          <w:highlight w:val="none"/>
        </w:rPr>
        <w:fldChar w:fldCharType="separate"/>
      </w:r>
      <w:r>
        <w:rPr>
          <w:bCs/>
          <w:sz w:val="28"/>
          <w:szCs w:val="28"/>
          <w:highlight w:val="none"/>
        </w:rPr>
        <w:t>毕节</w:t>
      </w:r>
      <w:r>
        <w:rPr>
          <w:bCs/>
          <w:sz w:val="28"/>
          <w:szCs w:val="28"/>
          <w:highlight w:val="none"/>
        </w:rPr>
        <w:fldChar w:fldCharType="end"/>
      </w:r>
      <w:r>
        <w:rPr>
          <w:bCs/>
          <w:sz w:val="28"/>
          <w:szCs w:val="28"/>
          <w:highlight w:val="none"/>
        </w:rPr>
        <w:t>，止于贵阳，连接</w:t>
      </w:r>
      <w:r>
        <w:rPr>
          <w:highlight w:val="none"/>
        </w:rPr>
        <w:fldChar w:fldCharType="begin"/>
      </w:r>
      <w:r>
        <w:rPr>
          <w:highlight w:val="none"/>
        </w:rPr>
        <w:instrText xml:space="preserve"> HYPERLINK "https://baike.so.com/doc/2019751-2137267.html" \t "https://baike.so.com/doc/_blank" </w:instrText>
      </w:r>
      <w:r>
        <w:rPr>
          <w:highlight w:val="none"/>
        </w:rPr>
        <w:fldChar w:fldCharType="separate"/>
      </w:r>
      <w:r>
        <w:rPr>
          <w:bCs/>
          <w:sz w:val="28"/>
          <w:szCs w:val="28"/>
          <w:highlight w:val="none"/>
        </w:rPr>
        <w:t>西成高铁</w:t>
      </w:r>
      <w:r>
        <w:rPr>
          <w:bCs/>
          <w:sz w:val="28"/>
          <w:szCs w:val="28"/>
          <w:highlight w:val="none"/>
        </w:rPr>
        <w:fldChar w:fldCharType="end"/>
      </w:r>
      <w:r>
        <w:rPr>
          <w:bCs/>
          <w:sz w:val="28"/>
          <w:szCs w:val="28"/>
          <w:highlight w:val="none"/>
        </w:rPr>
        <w:t>、渝贵铁路、贵广高铁、沪昆高铁，形成四川乃至西北地区通往珠三角、长三角、华南、华东、东南等沿海地区的快速大通道。线路全长632.6km，为新建</w:t>
      </w:r>
      <w:r>
        <w:rPr>
          <w:highlight w:val="none"/>
        </w:rPr>
        <w:fldChar w:fldCharType="begin"/>
      </w:r>
      <w:r>
        <w:rPr>
          <w:highlight w:val="none"/>
        </w:rPr>
        <w:instrText xml:space="preserve"> HYPERLINK "https://baike.so.com/doc/6687977-6901880.html" \t "https://baike.so.com/doc/_blank" </w:instrText>
      </w:r>
      <w:r>
        <w:rPr>
          <w:highlight w:val="none"/>
        </w:rPr>
        <w:fldChar w:fldCharType="separate"/>
      </w:r>
      <w:r>
        <w:rPr>
          <w:bCs/>
          <w:sz w:val="28"/>
          <w:szCs w:val="28"/>
          <w:highlight w:val="none"/>
        </w:rPr>
        <w:t>客运专线</w:t>
      </w:r>
      <w:r>
        <w:rPr>
          <w:bCs/>
          <w:sz w:val="28"/>
          <w:szCs w:val="28"/>
          <w:highlight w:val="none"/>
        </w:rPr>
        <w:fldChar w:fldCharType="end"/>
      </w:r>
      <w:r>
        <w:rPr>
          <w:bCs/>
          <w:sz w:val="28"/>
          <w:szCs w:val="28"/>
          <w:highlight w:val="none"/>
        </w:rPr>
        <w:t>，设计时速250km/h。</w:t>
      </w:r>
    </w:p>
    <w:p>
      <w:pPr>
        <w:spacing w:line="360" w:lineRule="auto"/>
        <w:ind w:firstLine="560" w:firstLineChars="200"/>
        <w:rPr>
          <w:bCs/>
          <w:sz w:val="28"/>
          <w:szCs w:val="28"/>
          <w:highlight w:val="none"/>
        </w:rPr>
      </w:pPr>
      <w:r>
        <w:rPr>
          <w:bCs/>
          <w:sz w:val="28"/>
          <w:szCs w:val="28"/>
          <w:highlight w:val="none"/>
        </w:rPr>
        <w:t>（3）连乐铁路：从内江威远县连界镇经眉山仁寿县至乐山峨眉山市九里镇，是四川省南部的一条铁路联络线，为单线电气化铁路。</w:t>
      </w:r>
    </w:p>
    <w:p>
      <w:pPr>
        <w:spacing w:line="360" w:lineRule="auto"/>
        <w:ind w:firstLine="560" w:firstLineChars="200"/>
        <w:rPr>
          <w:bCs/>
          <w:sz w:val="28"/>
          <w:szCs w:val="28"/>
          <w:highlight w:val="none"/>
        </w:rPr>
      </w:pPr>
      <w:r>
        <w:rPr>
          <w:bCs/>
          <w:sz w:val="28"/>
          <w:szCs w:val="28"/>
          <w:highlight w:val="none"/>
        </w:rPr>
        <w:t>（4）成昆铁路复线：由成都经眉山、乐山、凉山州至云南昆明铁路，其中成都至峨眉段设计等级为国铁I级，客车设计速度为160km/h，功能为客运为主，货运兼顾铁路。</w:t>
      </w:r>
    </w:p>
    <w:p>
      <w:pPr>
        <w:spacing w:line="360" w:lineRule="auto"/>
        <w:ind w:firstLine="560" w:firstLineChars="200"/>
        <w:rPr>
          <w:bCs/>
          <w:sz w:val="28"/>
          <w:szCs w:val="28"/>
          <w:highlight w:val="none"/>
        </w:rPr>
      </w:pPr>
      <w:r>
        <w:rPr>
          <w:bCs/>
          <w:sz w:val="28"/>
          <w:szCs w:val="28"/>
          <w:highlight w:val="none"/>
        </w:rPr>
        <w:t>根据铁路规划，未来乐山市将建设雅眉乐自（隆）城际铁路、成昆高铁、乐宜铁路等，进一步加密铁路网络，为沿线居民出行和货物运输提供良好的运输服务。</w:t>
      </w:r>
    </w:p>
    <w:p>
      <w:pPr>
        <w:spacing w:line="360" w:lineRule="auto"/>
        <w:ind w:firstLine="560" w:firstLineChars="200"/>
        <w:rPr>
          <w:bCs/>
          <w:sz w:val="28"/>
          <w:szCs w:val="28"/>
          <w:highlight w:val="none"/>
        </w:rPr>
      </w:pPr>
      <w:r>
        <w:rPr>
          <w:bCs/>
          <w:sz w:val="28"/>
          <w:szCs w:val="28"/>
          <w:highlight w:val="none"/>
        </w:rPr>
        <w:t>未来，随着规划铁路的建设落地，乐山市将形成“五纵两横”铁路网络，将进一步提升对成都、川南、攀西等经济区的辐射带动作用。同时，远期通过雅安境内川藏铁路的建成，乐山将进一步向西部川西地区及西藏等内陆地区辐射。</w:t>
      </w:r>
    </w:p>
    <w:p>
      <w:pPr>
        <w:pStyle w:val="14"/>
        <w:numPr>
          <w:ilvl w:val="255"/>
          <w:numId w:val="0"/>
        </w:numPr>
        <w:spacing w:after="0" w:line="360" w:lineRule="auto"/>
        <w:ind w:firstLine="562" w:firstLineChars="200"/>
        <w:rPr>
          <w:rFonts w:ascii="Times New Roman" w:hAnsi="Times New Roman" w:cs="Times New Roman"/>
          <w:b/>
          <w:bCs/>
          <w:sz w:val="28"/>
          <w:szCs w:val="28"/>
          <w:highlight w:val="none"/>
        </w:rPr>
      </w:pPr>
      <w:r>
        <w:rPr>
          <w:rFonts w:ascii="Times New Roman" w:hAnsi="Times New Roman" w:cs="Times New Roman"/>
          <w:b/>
          <w:bCs/>
          <w:sz w:val="28"/>
          <w:szCs w:val="28"/>
          <w:highlight w:val="none"/>
        </w:rPr>
        <w:t>3.水运</w:t>
      </w:r>
    </w:p>
    <w:p>
      <w:pPr>
        <w:spacing w:line="360" w:lineRule="auto"/>
        <w:ind w:firstLine="560" w:firstLineChars="200"/>
        <w:rPr>
          <w:bCs/>
          <w:sz w:val="28"/>
          <w:szCs w:val="28"/>
          <w:highlight w:val="none"/>
        </w:rPr>
      </w:pPr>
      <w:r>
        <w:rPr>
          <w:bCs/>
          <w:sz w:val="28"/>
          <w:szCs w:val="28"/>
          <w:highlight w:val="none"/>
        </w:rPr>
        <w:t>岷江航道沟通长江黄金水道，是德阳、成都、雅安等内陆地区通江达海的主要水运通道，辐射范围是岷江流域、长江重庆至上海等沿线城市。未来，随着岷江航电枢纽的建成以及下段航道整治工程的推进，岷江航运将进入全面复兴阶段，可常年通航1000吨级船舶，中洪水期可通航3000吨级船舶，将为乐山航运发展带来更大机遇。</w:t>
      </w:r>
    </w:p>
    <w:p>
      <w:pPr>
        <w:pStyle w:val="6"/>
        <w:spacing w:before="0" w:after="0" w:line="360" w:lineRule="auto"/>
        <w:ind w:firstLine="562" w:firstLineChars="200"/>
        <w:rPr>
          <w:rFonts w:ascii="Times New Roman" w:hAnsi="Times New Roman" w:cs="Times New Roman"/>
          <w:highlight w:val="none"/>
        </w:rPr>
      </w:pPr>
      <w:r>
        <w:rPr>
          <w:rFonts w:ascii="Times New Roman" w:hAnsi="Times New Roman" w:cs="Times New Roman"/>
          <w:highlight w:val="none"/>
        </w:rPr>
        <w:t>（二）港口经济腹地的遴选</w:t>
      </w:r>
    </w:p>
    <w:p>
      <w:pPr>
        <w:spacing w:line="360" w:lineRule="auto"/>
        <w:ind w:firstLine="560" w:firstLineChars="200"/>
        <w:rPr>
          <w:bCs/>
          <w:sz w:val="28"/>
          <w:szCs w:val="28"/>
          <w:highlight w:val="none"/>
        </w:rPr>
      </w:pPr>
      <w:r>
        <w:rPr>
          <w:bCs/>
          <w:sz w:val="28"/>
          <w:szCs w:val="28"/>
          <w:highlight w:val="none"/>
        </w:rPr>
        <w:t>根据国内港口经济腹地遴选方法，距离港口短驳运输在200km范围内地区可作为港口的经济腹地。经范围分析比较，乐山港位于乐山市的岷江上，溯江而上可延伸至眉山、成都两市，可作为乐山港的重要的沿江经济腹地。成都以北的德阳市由于无水域条件，货物运输基本上为陆路运输。德阳市以大型装备制造业为主，重大件运输需求较大，而乐山港作为大件运输通江达海的重要港口，可较好的服务德阳货物运输。雅安市、凉山州东北部地区深处内陆腹地，境内无可通江达海的水运条件，需要寻找就近可下水港口作为水运始发地，乐山港作为腹地陆路短驳较近的港口，可作为雅安、凉山州东北部地区水运始发港。</w:t>
      </w:r>
    </w:p>
    <w:p>
      <w:pPr>
        <w:spacing w:line="360" w:lineRule="auto"/>
        <w:ind w:firstLine="560" w:firstLineChars="200"/>
        <w:rPr>
          <w:highlight w:val="none"/>
        </w:rPr>
      </w:pPr>
      <w:r>
        <w:rPr>
          <w:bCs/>
          <w:sz w:val="28"/>
          <w:szCs w:val="28"/>
          <w:highlight w:val="none"/>
        </w:rPr>
        <w:t>成都平原经济区包括成都、德阳、绵阳、乐山、眉山、资阳、遂宁</w:t>
      </w:r>
      <w:r>
        <w:rPr>
          <w:rFonts w:hint="eastAsia"/>
          <w:bCs/>
          <w:sz w:val="28"/>
          <w:szCs w:val="28"/>
          <w:highlight w:val="none"/>
        </w:rPr>
        <w:t>和</w:t>
      </w:r>
      <w:r>
        <w:rPr>
          <w:bCs/>
          <w:sz w:val="28"/>
          <w:szCs w:val="28"/>
          <w:highlight w:val="none"/>
        </w:rPr>
        <w:t>雅安8市，其中绵阳、遂宁、资阳分别位于涪江、沱江航道，基于从本地就近下水的原则，不考虑作为乐山港的腹地。</w:t>
      </w:r>
    </w:p>
    <w:p>
      <w:pPr>
        <w:pStyle w:val="6"/>
        <w:spacing w:before="0" w:after="0" w:line="360" w:lineRule="auto"/>
        <w:ind w:firstLine="562" w:firstLineChars="200"/>
        <w:rPr>
          <w:rFonts w:ascii="Times New Roman" w:hAnsi="Times New Roman" w:cs="Times New Roman"/>
          <w:highlight w:val="none"/>
        </w:rPr>
      </w:pPr>
      <w:r>
        <w:rPr>
          <w:rFonts w:ascii="Times New Roman" w:hAnsi="Times New Roman" w:cs="Times New Roman"/>
          <w:highlight w:val="none"/>
        </w:rPr>
        <w:t>（三）货物运输经济性比较</w:t>
      </w:r>
    </w:p>
    <w:p>
      <w:pPr>
        <w:spacing w:line="360" w:lineRule="auto"/>
        <w:ind w:firstLine="560" w:firstLineChars="200"/>
        <w:rPr>
          <w:highlight w:val="none"/>
        </w:rPr>
      </w:pPr>
      <w:r>
        <w:rPr>
          <w:rFonts w:hint="eastAsia"/>
          <w:bCs/>
          <w:sz w:val="28"/>
          <w:szCs w:val="28"/>
          <w:highlight w:val="none"/>
        </w:rPr>
        <w:t>当前，乐山水运货种主要为矿建材料、岩盐、化工原料及制品、机械设备等。未来，随着乐山港建设的持续推进、岷江航道达到规划等级，部分</w:t>
      </w:r>
      <w:r>
        <w:rPr>
          <w:rFonts w:hint="eastAsia"/>
          <w:b/>
          <w:sz w:val="28"/>
          <w:szCs w:val="28"/>
          <w:highlight w:val="none"/>
        </w:rPr>
        <w:t>对时效性要求不高、对运价相对敏感的适水货物</w:t>
      </w:r>
      <w:r>
        <w:rPr>
          <w:rFonts w:hint="eastAsia"/>
          <w:bCs/>
          <w:sz w:val="28"/>
          <w:szCs w:val="28"/>
          <w:highlight w:val="none"/>
        </w:rPr>
        <w:t>将转移至乐山港进行水路运输，本次货物运输经济性比较暂不包括货物过闸时间成本。运输货类主要包括集装箱和散杂货，货运主流为乐山及周边地区与东向长江中下游地区之间的交流。</w:t>
      </w:r>
    </w:p>
    <w:p>
      <w:pPr>
        <w:spacing w:line="360" w:lineRule="auto"/>
        <w:ind w:firstLine="562" w:firstLineChars="200"/>
        <w:rPr>
          <w:b/>
          <w:sz w:val="28"/>
          <w:szCs w:val="28"/>
          <w:highlight w:val="none"/>
        </w:rPr>
      </w:pPr>
      <w:r>
        <w:rPr>
          <w:b/>
          <w:sz w:val="28"/>
          <w:szCs w:val="28"/>
          <w:highlight w:val="none"/>
        </w:rPr>
        <w:t>1.运输路线</w:t>
      </w:r>
    </w:p>
    <w:p>
      <w:pPr>
        <w:spacing w:line="360" w:lineRule="auto"/>
        <w:ind w:firstLine="560" w:firstLineChars="200"/>
        <w:rPr>
          <w:bCs/>
          <w:sz w:val="28"/>
          <w:szCs w:val="28"/>
          <w:highlight w:val="none"/>
        </w:rPr>
      </w:pPr>
      <w:r>
        <w:rPr>
          <w:bCs/>
          <w:sz w:val="28"/>
          <w:szCs w:val="28"/>
          <w:highlight w:val="none"/>
        </w:rPr>
        <w:t>（1）公水联运：乐山及周边地区至重庆果园采用公路运输，重庆果园至长江中下游上海等地采用水路运输。</w:t>
      </w:r>
    </w:p>
    <w:p>
      <w:pPr>
        <w:spacing w:line="360" w:lineRule="auto"/>
        <w:ind w:firstLine="560" w:firstLineChars="200"/>
        <w:rPr>
          <w:bCs/>
          <w:sz w:val="28"/>
          <w:szCs w:val="28"/>
          <w:highlight w:val="none"/>
        </w:rPr>
      </w:pPr>
      <w:r>
        <w:rPr>
          <w:bCs/>
          <w:sz w:val="28"/>
          <w:szCs w:val="28"/>
          <w:highlight w:val="none"/>
        </w:rPr>
        <w:t>（2）铁水联运：乐山及周边地区至重庆万州采用铁路运输，重庆万州至长江中下游上海等地采用水路运输。</w:t>
      </w:r>
    </w:p>
    <w:p>
      <w:pPr>
        <w:spacing w:line="360" w:lineRule="auto"/>
        <w:ind w:firstLine="560" w:firstLineChars="200"/>
        <w:rPr>
          <w:bCs/>
          <w:sz w:val="28"/>
          <w:szCs w:val="28"/>
          <w:highlight w:val="none"/>
        </w:rPr>
      </w:pPr>
      <w:r>
        <w:rPr>
          <w:bCs/>
          <w:sz w:val="28"/>
          <w:szCs w:val="28"/>
          <w:highlight w:val="none"/>
        </w:rPr>
        <w:t>（3）枯水期-水路运输（果园转驳3000吨级船舶）：乐山及周边地区至重庆果园采用1000吨级船舶运输，重庆果园至长江中下游上海等地采用3000吨级船舶运输。</w:t>
      </w:r>
    </w:p>
    <w:p>
      <w:pPr>
        <w:spacing w:line="360" w:lineRule="auto"/>
        <w:ind w:firstLine="560" w:firstLineChars="200"/>
        <w:rPr>
          <w:bCs/>
          <w:sz w:val="28"/>
          <w:szCs w:val="28"/>
          <w:highlight w:val="none"/>
        </w:rPr>
      </w:pPr>
      <w:r>
        <w:rPr>
          <w:bCs/>
          <w:sz w:val="28"/>
          <w:szCs w:val="28"/>
          <w:highlight w:val="none"/>
        </w:rPr>
        <w:t>（4）枯水期-水路运输（万州转驳5000吨级船舶）：乐山及周边地区至重庆万州采用1000吨级船舶运输，重庆万州至长江中下游上海等地采用5000吨级船舶运输。</w:t>
      </w:r>
    </w:p>
    <w:p>
      <w:pPr>
        <w:spacing w:line="360" w:lineRule="auto"/>
        <w:ind w:firstLine="560" w:firstLineChars="200"/>
        <w:rPr>
          <w:bCs/>
          <w:sz w:val="28"/>
          <w:szCs w:val="28"/>
          <w:highlight w:val="none"/>
        </w:rPr>
      </w:pPr>
      <w:r>
        <w:rPr>
          <w:bCs/>
          <w:sz w:val="28"/>
          <w:szCs w:val="28"/>
          <w:highlight w:val="none"/>
        </w:rPr>
        <w:t>（5）中洪水期-水路运输（3000吨级船舶直达上海）：乐山及周边地区至长江中下游上海等地采用3000吨级船舶直达运输。</w:t>
      </w:r>
    </w:p>
    <w:p>
      <w:pPr>
        <w:spacing w:line="360" w:lineRule="auto"/>
        <w:ind w:firstLine="560" w:firstLineChars="200"/>
        <w:rPr>
          <w:bCs/>
          <w:sz w:val="28"/>
          <w:szCs w:val="28"/>
          <w:highlight w:val="none"/>
        </w:rPr>
      </w:pPr>
      <w:r>
        <w:rPr>
          <w:bCs/>
          <w:sz w:val="28"/>
          <w:szCs w:val="28"/>
          <w:highlight w:val="none"/>
        </w:rPr>
        <w:t>（6）中洪水期-水路运输（万州转驳5000吨级船舶）：乐山及周边地区至重庆万州采用3000吨级船舶运输，重庆万州至长江中下游上海等地采用5000吨级船舶运输。</w:t>
      </w:r>
    </w:p>
    <w:p>
      <w:pPr>
        <w:spacing w:line="360" w:lineRule="auto"/>
        <w:ind w:firstLine="560" w:firstLineChars="200"/>
        <w:rPr>
          <w:bCs/>
          <w:sz w:val="28"/>
          <w:szCs w:val="28"/>
          <w:highlight w:val="none"/>
        </w:rPr>
      </w:pPr>
      <w:r>
        <w:rPr>
          <w:bCs/>
          <w:sz w:val="28"/>
          <w:szCs w:val="28"/>
          <w:highlight w:val="none"/>
        </w:rPr>
        <w:t>除长江中下游的货运主流分析外，本项目还重点对马边县境内磷矿与重庆涪陵和湖北宜昌之间的交流进行了分析。由于向家坝枢纽通航建筑物为升船机，目前运输需求已远超通过能力，未来升船机将持续处于饱和状态，大部分货物仍将采用翻坝转运方式解决。因此，以下运输路线仅对翻坝的磷矿进行路线分析。</w:t>
      </w:r>
    </w:p>
    <w:p>
      <w:pPr>
        <w:spacing w:line="360" w:lineRule="auto"/>
        <w:ind w:firstLine="560" w:firstLineChars="200"/>
        <w:rPr>
          <w:bCs/>
          <w:sz w:val="28"/>
          <w:szCs w:val="28"/>
          <w:highlight w:val="none"/>
        </w:rPr>
      </w:pPr>
      <w:r>
        <w:rPr>
          <w:bCs/>
          <w:sz w:val="28"/>
          <w:szCs w:val="28"/>
          <w:highlight w:val="none"/>
        </w:rPr>
        <w:t>（1）枯水期-水路运输（新市下水，向家坝翻坝后直达）：马边地区磷矿公路至新市下水采用3000吨级船舶运输，运至向家坝翻坝后采用1000吨级船舶运抵重庆涪陵或湖北宜昌。</w:t>
      </w:r>
    </w:p>
    <w:p>
      <w:pPr>
        <w:spacing w:line="360" w:lineRule="auto"/>
        <w:ind w:firstLine="560" w:firstLineChars="200"/>
        <w:rPr>
          <w:bCs/>
          <w:sz w:val="28"/>
          <w:szCs w:val="28"/>
          <w:highlight w:val="none"/>
        </w:rPr>
      </w:pPr>
      <w:r>
        <w:rPr>
          <w:bCs/>
          <w:sz w:val="28"/>
          <w:szCs w:val="28"/>
          <w:highlight w:val="none"/>
        </w:rPr>
        <w:t>（2）中洪水期-水路运输（新市下水，向家坝翻坝后直达）：马边地区磷矿公路至新市下水采用3000吨级船舶运输，运至向家坝翻坝后采用3000吨级船舶运抵重庆涪陵或湖北宜昌。</w:t>
      </w:r>
    </w:p>
    <w:p>
      <w:pPr>
        <w:spacing w:line="360" w:lineRule="auto"/>
        <w:ind w:firstLine="560" w:firstLineChars="200"/>
        <w:rPr>
          <w:bCs/>
          <w:sz w:val="28"/>
          <w:szCs w:val="28"/>
          <w:highlight w:val="none"/>
        </w:rPr>
      </w:pPr>
      <w:r>
        <w:rPr>
          <w:bCs/>
          <w:sz w:val="28"/>
          <w:szCs w:val="28"/>
          <w:highlight w:val="none"/>
        </w:rPr>
        <w:t>（3）枯水期-水路运输（罗家坝下水直达）：马边地区磷矿公路至罗家坝下水采用1000吨级船舶运抵重庆涪陵或湖北宜昌。</w:t>
      </w:r>
    </w:p>
    <w:p>
      <w:pPr>
        <w:spacing w:line="360" w:lineRule="auto"/>
        <w:ind w:firstLine="560" w:firstLineChars="200"/>
        <w:rPr>
          <w:bCs/>
          <w:sz w:val="28"/>
          <w:szCs w:val="28"/>
          <w:highlight w:val="none"/>
        </w:rPr>
      </w:pPr>
      <w:r>
        <w:rPr>
          <w:bCs/>
          <w:sz w:val="28"/>
          <w:szCs w:val="28"/>
          <w:highlight w:val="none"/>
        </w:rPr>
        <w:t>（4）中洪水期-水路运输（罗家坝下水，高石坝中转）：马边地区磷矿公路至罗家坝下水采用1000吨级船舶运输，运至岷江后上行至高石坝作业区下水采用3000吨级船舶运抵重庆涪陵或湖北宜昌。</w:t>
      </w:r>
    </w:p>
    <w:p>
      <w:pPr>
        <w:spacing w:line="360" w:lineRule="auto"/>
        <w:ind w:firstLine="560" w:firstLineChars="200"/>
        <w:rPr>
          <w:bCs/>
          <w:sz w:val="28"/>
          <w:szCs w:val="28"/>
          <w:highlight w:val="none"/>
        </w:rPr>
      </w:pPr>
      <w:r>
        <w:rPr>
          <w:bCs/>
          <w:sz w:val="28"/>
          <w:szCs w:val="28"/>
          <w:highlight w:val="none"/>
        </w:rPr>
        <w:t>（5）中洪水期-水路运输（罗家坝下水，宜宾中转）：马边地区磷矿公路至罗家坝下水采用1000吨级船舶运输，运至岷江后下行至宜宾港下水采用3000吨级船舶运抵重庆涪陵或湖北宜昌。</w:t>
      </w:r>
    </w:p>
    <w:p>
      <w:pPr>
        <w:spacing w:line="360" w:lineRule="auto"/>
        <w:ind w:firstLine="562" w:firstLineChars="200"/>
        <w:rPr>
          <w:b/>
          <w:sz w:val="28"/>
          <w:szCs w:val="28"/>
          <w:highlight w:val="none"/>
        </w:rPr>
      </w:pPr>
      <w:r>
        <w:rPr>
          <w:b/>
          <w:sz w:val="28"/>
          <w:szCs w:val="28"/>
          <w:highlight w:val="none"/>
        </w:rPr>
        <w:t>2.运价参数</w:t>
      </w:r>
    </w:p>
    <w:p>
      <w:pPr>
        <w:spacing w:line="360" w:lineRule="auto"/>
        <w:ind w:firstLine="562" w:firstLineChars="200"/>
        <w:rPr>
          <w:b/>
          <w:sz w:val="28"/>
          <w:szCs w:val="28"/>
          <w:highlight w:val="none"/>
        </w:rPr>
      </w:pPr>
      <w:r>
        <w:rPr>
          <w:b/>
          <w:sz w:val="28"/>
          <w:szCs w:val="28"/>
          <w:highlight w:val="none"/>
        </w:rPr>
        <w:t>（1）集装箱运输经济性比较</w:t>
      </w:r>
    </w:p>
    <w:p>
      <w:pPr>
        <w:spacing w:line="360" w:lineRule="auto"/>
        <w:ind w:firstLine="560" w:firstLineChars="200"/>
        <w:rPr>
          <w:bCs/>
          <w:sz w:val="28"/>
          <w:szCs w:val="28"/>
          <w:highlight w:val="none"/>
        </w:rPr>
      </w:pPr>
      <w:r>
        <w:rPr>
          <w:bCs/>
          <w:sz w:val="28"/>
          <w:szCs w:val="28"/>
          <w:highlight w:val="none"/>
        </w:rPr>
        <w:t>据调查，长江重庆至上海航道目前为Ⅰ级航道，常年可通行3000吨级船舶，集装箱运输单价为0.</w:t>
      </w:r>
      <w:r>
        <w:rPr>
          <w:rFonts w:hint="eastAsia"/>
          <w:bCs/>
          <w:sz w:val="28"/>
          <w:szCs w:val="28"/>
          <w:highlight w:val="none"/>
        </w:rPr>
        <w:t>5</w:t>
      </w:r>
      <w:r>
        <w:rPr>
          <w:bCs/>
          <w:sz w:val="28"/>
          <w:szCs w:val="28"/>
          <w:highlight w:val="none"/>
        </w:rPr>
        <w:t>元/TEU·km，其中，万州以下常年可通行5000吨级船舶，集装箱运输单价为0.</w:t>
      </w:r>
      <w:r>
        <w:rPr>
          <w:rFonts w:hint="eastAsia"/>
          <w:bCs/>
          <w:sz w:val="28"/>
          <w:szCs w:val="28"/>
          <w:highlight w:val="none"/>
        </w:rPr>
        <w:t>3</w:t>
      </w:r>
      <w:r>
        <w:rPr>
          <w:bCs/>
          <w:sz w:val="28"/>
          <w:szCs w:val="28"/>
          <w:highlight w:val="none"/>
        </w:rPr>
        <w:t>元/TEU·km；岷江达到Ⅲ级航道时，集装箱运输单价为1元/TEU·km；公路运输单价采用7元/TEU·km；铁路运输单价采用</w:t>
      </w:r>
      <w:r>
        <w:rPr>
          <w:rFonts w:hint="eastAsia"/>
          <w:bCs/>
          <w:sz w:val="28"/>
          <w:szCs w:val="28"/>
          <w:highlight w:val="none"/>
        </w:rPr>
        <w:t>2.5</w:t>
      </w:r>
      <w:r>
        <w:rPr>
          <w:bCs/>
          <w:sz w:val="28"/>
          <w:szCs w:val="28"/>
          <w:highlight w:val="none"/>
        </w:rPr>
        <w:t>元/TEU·km；港口集装箱装卸费四川省外港口按350元/TEU、乐山港、铁路货站按225元/TEU考虑，港口集装箱水水中转按200元/TEU考虑。</w:t>
      </w:r>
    </w:p>
    <w:p>
      <w:pPr>
        <w:ind w:firstLine="560" w:firstLineChars="200"/>
        <w:rPr>
          <w:bCs/>
          <w:sz w:val="28"/>
          <w:szCs w:val="28"/>
          <w:highlight w:val="none"/>
        </w:rPr>
      </w:pPr>
      <w:r>
        <w:rPr>
          <w:rFonts w:hint="eastAsia"/>
          <w:bCs/>
          <w:sz w:val="28"/>
          <w:szCs w:val="28"/>
          <w:highlight w:val="none"/>
        </w:rPr>
        <w:t>通过</w:t>
      </w:r>
      <w:r>
        <w:rPr>
          <w:bCs/>
          <w:sz w:val="28"/>
          <w:szCs w:val="28"/>
          <w:highlight w:val="none"/>
        </w:rPr>
        <w:t>对乐山本地及周边地区（主要为眉山、成都、德阳、雅安、凉山东北部毗邻地区）的集装箱通过公水、铁水联运至重庆港下水及通过乐山港直接下水至长江中下游地区进行了货物运输经济性比较。单个标准集装箱运输费用比较见</w:t>
      </w:r>
      <w:r>
        <w:rPr>
          <w:rFonts w:hint="eastAsia"/>
          <w:bCs/>
          <w:sz w:val="28"/>
          <w:szCs w:val="28"/>
          <w:highlight w:val="none"/>
        </w:rPr>
        <w:t>港口吞吐量发展水平预测报告</w:t>
      </w:r>
      <w:r>
        <w:rPr>
          <w:bCs/>
          <w:sz w:val="28"/>
          <w:szCs w:val="28"/>
          <w:highlight w:val="none"/>
        </w:rPr>
        <w:t>表2-2。</w:t>
      </w:r>
    </w:p>
    <w:p>
      <w:pPr>
        <w:ind w:firstLine="560" w:firstLineChars="200"/>
        <w:rPr>
          <w:bCs/>
          <w:sz w:val="28"/>
          <w:szCs w:val="28"/>
          <w:highlight w:val="none"/>
        </w:rPr>
      </w:pPr>
      <w:r>
        <w:rPr>
          <w:bCs/>
          <w:sz w:val="28"/>
          <w:szCs w:val="28"/>
          <w:highlight w:val="none"/>
        </w:rPr>
        <w:t>经比较分析可知：</w:t>
      </w:r>
      <w:r>
        <w:rPr>
          <w:rFonts w:hint="eastAsia"/>
          <w:sz w:val="28"/>
          <w:szCs w:val="28"/>
          <w:highlight w:val="none"/>
        </w:rPr>
        <w:t>乐山本地及周边地区（主要为眉山、成都、德阳、雅安、凉山东北部毗邻地区）的集装箱通过公水联运运价最高；</w:t>
      </w:r>
      <w:r>
        <w:rPr>
          <w:rFonts w:hint="eastAsia"/>
          <w:b/>
          <w:sz w:val="28"/>
          <w:szCs w:val="28"/>
          <w:highlight w:val="none"/>
        </w:rPr>
        <w:t>乐山本地</w:t>
      </w:r>
      <w:r>
        <w:rPr>
          <w:rFonts w:hint="eastAsia"/>
          <w:sz w:val="28"/>
          <w:szCs w:val="28"/>
          <w:highlight w:val="none"/>
        </w:rPr>
        <w:t>集装箱全年通过乐山港下水-万州转驳至上海的运费最低，较铁水联运（万州下水）节约运输费用36%；</w:t>
      </w:r>
      <w:r>
        <w:rPr>
          <w:rFonts w:hint="eastAsia"/>
          <w:b/>
          <w:sz w:val="28"/>
          <w:szCs w:val="28"/>
          <w:highlight w:val="none"/>
        </w:rPr>
        <w:t>成都平原经济区的眉山、雅安距离乐山港陆路运输距离较近，</w:t>
      </w:r>
      <w:r>
        <w:rPr>
          <w:rFonts w:hint="eastAsia"/>
          <w:sz w:val="28"/>
          <w:szCs w:val="28"/>
          <w:highlight w:val="none"/>
        </w:rPr>
        <w:t>集装箱全年通过乐山港老江坝作业区下水-万州转驳至上海的运费最低，较通过犍为高石坝作业区下水分别节约运输费用8%、9%，较铁水联运（万州下水）分别节约运输费用13%、15%；</w:t>
      </w:r>
      <w:r>
        <w:rPr>
          <w:rFonts w:hint="eastAsia"/>
          <w:b/>
          <w:sz w:val="28"/>
          <w:szCs w:val="28"/>
          <w:highlight w:val="none"/>
        </w:rPr>
        <w:t>成都平原经济区的成都、德阳距离乐山港陆路运输距离较远，</w:t>
      </w:r>
      <w:r>
        <w:rPr>
          <w:rFonts w:hint="eastAsia"/>
          <w:sz w:val="28"/>
          <w:szCs w:val="28"/>
          <w:highlight w:val="none"/>
        </w:rPr>
        <w:t>中洪水期集装箱通过乐山港老江坝作业区下水-万州转驳至上海的运费同铁水联运（万州下水）运费相差不大；</w:t>
      </w:r>
      <w:r>
        <w:rPr>
          <w:rFonts w:hint="eastAsia"/>
          <w:b/>
          <w:sz w:val="28"/>
          <w:szCs w:val="28"/>
          <w:highlight w:val="none"/>
        </w:rPr>
        <w:t>凉山州东北部毗邻地区</w:t>
      </w:r>
      <w:r>
        <w:rPr>
          <w:rFonts w:hint="eastAsia"/>
          <w:sz w:val="28"/>
          <w:szCs w:val="28"/>
          <w:highlight w:val="none"/>
        </w:rPr>
        <w:t>全年通过乐山港下水-万州转驳至上海的运费最低，较铁水联运（万州下水）节约运输费用6%。</w:t>
      </w:r>
    </w:p>
    <w:p>
      <w:pPr>
        <w:spacing w:line="360" w:lineRule="auto"/>
        <w:ind w:firstLine="562" w:firstLineChars="200"/>
        <w:rPr>
          <w:b/>
          <w:sz w:val="28"/>
          <w:szCs w:val="28"/>
          <w:highlight w:val="none"/>
        </w:rPr>
      </w:pPr>
      <w:r>
        <w:rPr>
          <w:b/>
          <w:sz w:val="28"/>
          <w:szCs w:val="28"/>
          <w:highlight w:val="none"/>
        </w:rPr>
        <w:t>（2）散杂货运输经济性比较</w:t>
      </w:r>
    </w:p>
    <w:p>
      <w:pPr>
        <w:spacing w:line="360" w:lineRule="auto"/>
        <w:ind w:firstLine="560" w:firstLineChars="200"/>
        <w:rPr>
          <w:bCs/>
          <w:sz w:val="28"/>
          <w:szCs w:val="28"/>
          <w:highlight w:val="none"/>
        </w:rPr>
      </w:pPr>
      <w:r>
        <w:rPr>
          <w:bCs/>
          <w:sz w:val="28"/>
          <w:szCs w:val="28"/>
          <w:highlight w:val="none"/>
        </w:rPr>
        <w:t>据调查，长江重庆至上海为Ⅰ级航道，常年可通行3000吨级船舶，散杂货运输单价为0.0</w:t>
      </w:r>
      <w:r>
        <w:rPr>
          <w:rFonts w:hint="eastAsia"/>
          <w:bCs/>
          <w:sz w:val="28"/>
          <w:szCs w:val="28"/>
          <w:highlight w:val="none"/>
        </w:rPr>
        <w:t>5</w:t>
      </w:r>
      <w:r>
        <w:rPr>
          <w:bCs/>
          <w:sz w:val="28"/>
          <w:szCs w:val="28"/>
          <w:highlight w:val="none"/>
        </w:rPr>
        <w:t>元/t·km，其中，万州以下常年可通行5000吨级船舶，散杂货运输单价为0.0</w:t>
      </w:r>
      <w:r>
        <w:rPr>
          <w:rFonts w:hint="eastAsia"/>
          <w:bCs/>
          <w:sz w:val="28"/>
          <w:szCs w:val="28"/>
          <w:highlight w:val="none"/>
        </w:rPr>
        <w:t>3</w:t>
      </w:r>
      <w:r>
        <w:rPr>
          <w:bCs/>
          <w:sz w:val="28"/>
          <w:szCs w:val="28"/>
          <w:highlight w:val="none"/>
        </w:rPr>
        <w:t>元/t·km；岷江规划达到Ⅲ级航道时，散杂货运输单价为0.1元/t·km；公路运输单价采用0.7元/t·km；铁路运输单价采用0.</w:t>
      </w:r>
      <w:r>
        <w:rPr>
          <w:rFonts w:hint="eastAsia"/>
          <w:bCs/>
          <w:sz w:val="28"/>
          <w:szCs w:val="28"/>
          <w:highlight w:val="none"/>
        </w:rPr>
        <w:t>25</w:t>
      </w:r>
      <w:r>
        <w:rPr>
          <w:bCs/>
          <w:sz w:val="28"/>
          <w:szCs w:val="28"/>
          <w:highlight w:val="none"/>
        </w:rPr>
        <w:t>元/t·km；港口散杂货装卸费四川省外港口按30元/t、乐山港、铁路货站按15元/t考虑，港口水水中转按20元/t考虑。</w:t>
      </w:r>
    </w:p>
    <w:p>
      <w:pPr>
        <w:ind w:firstLine="560" w:firstLineChars="200"/>
        <w:rPr>
          <w:bCs/>
          <w:sz w:val="28"/>
          <w:szCs w:val="28"/>
          <w:highlight w:val="none"/>
        </w:rPr>
      </w:pPr>
      <w:r>
        <w:rPr>
          <w:rFonts w:hint="eastAsia"/>
          <w:bCs/>
          <w:sz w:val="28"/>
          <w:szCs w:val="28"/>
          <w:highlight w:val="none"/>
        </w:rPr>
        <w:t>通过</w:t>
      </w:r>
      <w:r>
        <w:rPr>
          <w:bCs/>
          <w:sz w:val="28"/>
          <w:szCs w:val="28"/>
          <w:highlight w:val="none"/>
        </w:rPr>
        <w:t>对乐山本地及周边地区（主要为成都、德阳、雅安、凉山东北部毗邻地区）的散杂货通过公水、铁水联运至重庆港下水及通过乐山港直接下水至长江中下游地区进行了货物运输经济性比较。一吨散杂货运输费用比较见</w:t>
      </w:r>
      <w:r>
        <w:rPr>
          <w:rFonts w:hint="eastAsia"/>
          <w:bCs/>
          <w:sz w:val="28"/>
          <w:szCs w:val="28"/>
          <w:highlight w:val="none"/>
        </w:rPr>
        <w:t>港口吞吐量发展水平预测报告</w:t>
      </w:r>
      <w:r>
        <w:rPr>
          <w:bCs/>
          <w:sz w:val="28"/>
          <w:szCs w:val="28"/>
          <w:highlight w:val="none"/>
        </w:rPr>
        <w:t>表2-3。</w:t>
      </w:r>
    </w:p>
    <w:p>
      <w:pPr>
        <w:ind w:firstLine="560" w:firstLineChars="200"/>
        <w:rPr>
          <w:bCs/>
          <w:sz w:val="28"/>
          <w:szCs w:val="28"/>
          <w:highlight w:val="none"/>
        </w:rPr>
      </w:pPr>
      <w:r>
        <w:rPr>
          <w:bCs/>
          <w:sz w:val="28"/>
          <w:szCs w:val="28"/>
          <w:highlight w:val="none"/>
        </w:rPr>
        <w:t>经比较分析可知：</w:t>
      </w:r>
      <w:r>
        <w:rPr>
          <w:rFonts w:hint="eastAsia"/>
          <w:sz w:val="28"/>
          <w:szCs w:val="28"/>
          <w:highlight w:val="none"/>
        </w:rPr>
        <w:t>乐山本地及周边地区（主要为成都、德阳、雅安、凉山东北部毗邻地区）的散杂货通过公水联运运价最高；</w:t>
      </w:r>
      <w:r>
        <w:rPr>
          <w:rFonts w:hint="eastAsia"/>
          <w:b/>
          <w:sz w:val="28"/>
          <w:szCs w:val="28"/>
          <w:highlight w:val="none"/>
        </w:rPr>
        <w:t>乐山本地</w:t>
      </w:r>
      <w:r>
        <w:rPr>
          <w:rFonts w:hint="eastAsia"/>
          <w:sz w:val="28"/>
          <w:szCs w:val="28"/>
          <w:highlight w:val="none"/>
        </w:rPr>
        <w:t>散杂货全年通过乐山港下水-万州转驳至上海的运费最低，较铁水联运（万州下水）节约运输费用37%；</w:t>
      </w:r>
      <w:r>
        <w:rPr>
          <w:rFonts w:hint="eastAsia"/>
          <w:b/>
          <w:sz w:val="28"/>
          <w:szCs w:val="28"/>
          <w:highlight w:val="none"/>
        </w:rPr>
        <w:t>成都平原经济区的雅安距离乐山港陆路运输距离较近，</w:t>
      </w:r>
      <w:r>
        <w:rPr>
          <w:rFonts w:hint="eastAsia"/>
          <w:sz w:val="28"/>
          <w:szCs w:val="28"/>
          <w:highlight w:val="none"/>
        </w:rPr>
        <w:t>散杂货全年通过乐山港老江坝作业区下水-万州转驳至上海的运费最低，较通过犍为高石坝作业区下水分别节约运输费用9%，较铁水联运（万州下水）分别节约运输费用14%；</w:t>
      </w:r>
      <w:r>
        <w:rPr>
          <w:rFonts w:hint="eastAsia"/>
          <w:b/>
          <w:sz w:val="28"/>
          <w:szCs w:val="28"/>
          <w:highlight w:val="none"/>
        </w:rPr>
        <w:t>成都平原经济区的成都、德阳距离乐山港陆路运输距离较远，</w:t>
      </w:r>
      <w:r>
        <w:rPr>
          <w:rFonts w:hint="eastAsia"/>
          <w:sz w:val="28"/>
          <w:szCs w:val="28"/>
          <w:highlight w:val="none"/>
        </w:rPr>
        <w:t>通过铁水联运（万州下水）运费最低；</w:t>
      </w:r>
      <w:r>
        <w:rPr>
          <w:rFonts w:hint="eastAsia"/>
          <w:b/>
          <w:sz w:val="28"/>
          <w:szCs w:val="28"/>
          <w:highlight w:val="none"/>
        </w:rPr>
        <w:t>凉山州东北部毗邻地区</w:t>
      </w:r>
      <w:r>
        <w:rPr>
          <w:rFonts w:hint="eastAsia"/>
          <w:sz w:val="28"/>
          <w:szCs w:val="28"/>
          <w:highlight w:val="none"/>
        </w:rPr>
        <w:t>中洪水期通过乐山港下水-万州转驳至上海的运费最低，较铁水联运（万州下水）节约运输费用11%。</w:t>
      </w:r>
    </w:p>
    <w:p>
      <w:pPr>
        <w:spacing w:line="360" w:lineRule="auto"/>
        <w:ind w:firstLine="562" w:firstLineChars="200"/>
        <w:rPr>
          <w:b/>
          <w:sz w:val="28"/>
          <w:szCs w:val="28"/>
          <w:highlight w:val="none"/>
        </w:rPr>
      </w:pPr>
      <w:r>
        <w:rPr>
          <w:b/>
          <w:sz w:val="28"/>
          <w:szCs w:val="28"/>
          <w:highlight w:val="none"/>
        </w:rPr>
        <w:t>（3）马边磷矿运输经济性比较</w:t>
      </w:r>
    </w:p>
    <w:p>
      <w:pPr>
        <w:spacing w:line="360" w:lineRule="auto"/>
        <w:ind w:firstLine="560" w:firstLineChars="200"/>
        <w:rPr>
          <w:bCs/>
          <w:sz w:val="28"/>
          <w:szCs w:val="28"/>
          <w:highlight w:val="none"/>
        </w:rPr>
      </w:pPr>
      <w:r>
        <w:rPr>
          <w:bCs/>
          <w:sz w:val="28"/>
          <w:szCs w:val="28"/>
          <w:highlight w:val="none"/>
        </w:rPr>
        <w:t>据调查，金沙江新市至向家坝可通行3000吨级船舶，长江水富至宜宾可常年通行1000吨级船舶，中洪水期可通行3000吨级船舶，长江重庆至宜昌为Ⅰ级航道，常年可通行3000吨级船舶，磷矿运输单价为0.0</w:t>
      </w:r>
      <w:r>
        <w:rPr>
          <w:rFonts w:hint="eastAsia"/>
          <w:bCs/>
          <w:sz w:val="28"/>
          <w:szCs w:val="28"/>
          <w:highlight w:val="none"/>
        </w:rPr>
        <w:t>5</w:t>
      </w:r>
      <w:r>
        <w:rPr>
          <w:bCs/>
          <w:sz w:val="28"/>
          <w:szCs w:val="28"/>
          <w:highlight w:val="none"/>
        </w:rPr>
        <w:t>元/t·km；岷江规划达到Ⅲ级航道时，磷矿运输单价为0.1元/t·km；考虑到马边至沐川公路等级较低，路况较差，公路运价按照1.0元/t·km计算；磷矿装卸费四川省外港口按30元/t、省内港口、铁路货站按15元/t，港口水水中转按20元/t考虑，翻坝转运包干按22元/t考虑。</w:t>
      </w:r>
    </w:p>
    <w:p>
      <w:pPr>
        <w:ind w:firstLine="560" w:firstLineChars="200"/>
        <w:rPr>
          <w:bCs/>
          <w:sz w:val="28"/>
          <w:szCs w:val="28"/>
          <w:highlight w:val="none"/>
        </w:rPr>
      </w:pPr>
      <w:r>
        <w:rPr>
          <w:bCs/>
          <w:sz w:val="28"/>
          <w:szCs w:val="28"/>
          <w:highlight w:val="none"/>
        </w:rPr>
        <w:t>对马边的磷矿通过宜宾港新市下水及通过乐山港罗家坝下水至重庆涪陵和湖北宜昌进行了货物运输经济性比较。一吨磷矿运输费用比较见</w:t>
      </w:r>
      <w:r>
        <w:rPr>
          <w:rFonts w:hint="eastAsia"/>
          <w:bCs/>
          <w:sz w:val="28"/>
          <w:szCs w:val="28"/>
          <w:highlight w:val="none"/>
        </w:rPr>
        <w:t>港口吞吐量发展水平预测报告</w:t>
      </w:r>
      <w:r>
        <w:rPr>
          <w:bCs/>
          <w:sz w:val="28"/>
          <w:szCs w:val="28"/>
          <w:highlight w:val="none"/>
        </w:rPr>
        <w:t>表2-4。经比较分析可知：</w:t>
      </w:r>
      <w:r>
        <w:rPr>
          <w:rFonts w:hint="eastAsia"/>
          <w:sz w:val="28"/>
          <w:szCs w:val="28"/>
          <w:highlight w:val="none"/>
        </w:rPr>
        <w:t>磷矿通过乐山港罗家坝下水较通过宜宾港新市下水节约10%左右的运费，枯水期通过公路短驳进港-罗家坝下水直达至目的地运费最低；中洪水期通过公路短驳进港-罗家坝下水-高石坝水水中转后运至目的地运费最低。</w:t>
      </w:r>
    </w:p>
    <w:p>
      <w:pPr>
        <w:spacing w:line="360" w:lineRule="auto"/>
        <w:ind w:firstLine="562" w:firstLineChars="200"/>
        <w:rPr>
          <w:bCs/>
          <w:sz w:val="28"/>
          <w:szCs w:val="28"/>
          <w:highlight w:val="none"/>
        </w:rPr>
      </w:pPr>
      <w:r>
        <w:rPr>
          <w:b/>
          <w:sz w:val="28"/>
          <w:szCs w:val="28"/>
          <w:highlight w:val="none"/>
        </w:rPr>
        <w:t>3.主要结论</w:t>
      </w:r>
    </w:p>
    <w:p>
      <w:pPr>
        <w:spacing w:line="360" w:lineRule="auto"/>
        <w:ind w:firstLine="560" w:firstLineChars="200"/>
        <w:rPr>
          <w:bCs/>
          <w:sz w:val="28"/>
          <w:szCs w:val="28"/>
          <w:highlight w:val="none"/>
        </w:rPr>
      </w:pPr>
      <w:r>
        <w:rPr>
          <w:bCs/>
          <w:sz w:val="28"/>
          <w:szCs w:val="28"/>
          <w:highlight w:val="none"/>
        </w:rPr>
        <w:t>综上，通过对乐山本地及周边地区（主要为成都、眉山、雅安、德阳、凉山东北部毗邻地区）适水货源通过公水、铁水联运至重庆港下水及通过乐山港直接下水在重庆港水水中转至长江中下游地区进行货物运输经济性比较。经比较分析可知：</w:t>
      </w:r>
    </w:p>
    <w:p>
      <w:pPr>
        <w:ind w:firstLine="560" w:firstLineChars="200"/>
        <w:rPr>
          <w:b/>
          <w:sz w:val="28"/>
          <w:szCs w:val="28"/>
          <w:highlight w:val="none"/>
        </w:rPr>
      </w:pPr>
      <w:r>
        <w:rPr>
          <w:rFonts w:hint="eastAsia"/>
          <w:sz w:val="28"/>
          <w:szCs w:val="28"/>
          <w:highlight w:val="none"/>
        </w:rPr>
        <w:t>对于</w:t>
      </w:r>
      <w:r>
        <w:rPr>
          <w:rFonts w:hint="eastAsia"/>
          <w:b/>
          <w:sz w:val="28"/>
          <w:szCs w:val="28"/>
          <w:highlight w:val="none"/>
        </w:rPr>
        <w:t>乐山本地货源</w:t>
      </w:r>
      <w:r>
        <w:rPr>
          <w:rFonts w:hint="eastAsia"/>
          <w:sz w:val="28"/>
          <w:szCs w:val="28"/>
          <w:highlight w:val="none"/>
        </w:rPr>
        <w:t>通过乐山港就近下水运费最小，运输优势极为明显。对于</w:t>
      </w:r>
      <w:r>
        <w:rPr>
          <w:rFonts w:hint="eastAsia"/>
          <w:b/>
          <w:sz w:val="28"/>
          <w:szCs w:val="28"/>
          <w:highlight w:val="none"/>
        </w:rPr>
        <w:t>成都平原经济区的眉山的集装箱、雅安</w:t>
      </w:r>
      <w:r>
        <w:rPr>
          <w:rFonts w:hint="eastAsia"/>
          <w:sz w:val="28"/>
          <w:szCs w:val="28"/>
          <w:highlight w:val="none"/>
        </w:rPr>
        <w:t>的集装箱、散杂货，全年通过乐山港老江坝作业区下水-万州转驳至上海的运费最低，优势明显；而对于</w:t>
      </w:r>
      <w:r>
        <w:rPr>
          <w:rFonts w:hint="eastAsia"/>
          <w:b/>
          <w:sz w:val="28"/>
          <w:szCs w:val="28"/>
          <w:highlight w:val="none"/>
        </w:rPr>
        <w:t>成都平原经济区的成都、德阳</w:t>
      </w:r>
      <w:r>
        <w:rPr>
          <w:rFonts w:hint="eastAsia"/>
          <w:sz w:val="28"/>
          <w:szCs w:val="28"/>
          <w:highlight w:val="none"/>
        </w:rPr>
        <w:t>的集装箱、散杂货，通过铁水联运（万州下水）方式同乐山港下水相比运费相差不大，但受铁路运能的限制，部分成都、德阳的适水货源将从乐山港下水运输，承担部分运量；</w:t>
      </w:r>
      <w:r>
        <w:rPr>
          <w:rFonts w:hint="eastAsia"/>
          <w:b/>
          <w:sz w:val="28"/>
          <w:szCs w:val="28"/>
          <w:highlight w:val="none"/>
        </w:rPr>
        <w:t>凉山州东北部毗邻地区</w:t>
      </w:r>
      <w:r>
        <w:rPr>
          <w:rFonts w:hint="eastAsia"/>
          <w:sz w:val="28"/>
          <w:szCs w:val="28"/>
          <w:highlight w:val="none"/>
        </w:rPr>
        <w:t>全年通过乐山港下水-万州转驳至上海的运费最低。</w:t>
      </w:r>
    </w:p>
    <w:p>
      <w:pPr>
        <w:spacing w:line="360" w:lineRule="auto"/>
        <w:ind w:firstLine="560" w:firstLineChars="200"/>
        <w:rPr>
          <w:bCs/>
          <w:sz w:val="28"/>
          <w:szCs w:val="28"/>
          <w:highlight w:val="none"/>
        </w:rPr>
      </w:pPr>
      <w:r>
        <w:rPr>
          <w:rFonts w:hint="eastAsia"/>
          <w:sz w:val="28"/>
          <w:szCs w:val="22"/>
          <w:highlight w:val="none"/>
        </w:rPr>
        <w:t>对于马边磷矿，虽然现状主要通过宜宾新市镇下水，但在本次规划考虑了矿场至沐川港区罗家坝作业区的规划公路后，磷矿通过公水联运经罗家坝作业区下水具有明显的运费优势。</w:t>
      </w:r>
    </w:p>
    <w:p>
      <w:pPr>
        <w:spacing w:line="360" w:lineRule="auto"/>
        <w:ind w:firstLine="560" w:firstLineChars="200"/>
        <w:rPr>
          <w:bCs/>
          <w:sz w:val="28"/>
          <w:szCs w:val="28"/>
          <w:highlight w:val="none"/>
        </w:rPr>
      </w:pPr>
      <w:r>
        <w:rPr>
          <w:bCs/>
          <w:sz w:val="28"/>
          <w:szCs w:val="28"/>
          <w:highlight w:val="none"/>
        </w:rPr>
        <w:t>总体来看，乐山港的规划可充分发挥水路运价低的优势，有效降低综合运输成本，有利于德阳、雅安、凉山州东北部地区改变内陆区位劣势，借江出海，发展外向型经济。因此，乐山、眉山、成都、德阳、雅安、凉山州东北部毗邻地区是乐山港水运集装箱、散杂货的货源地。</w:t>
      </w:r>
    </w:p>
    <w:p>
      <w:pPr>
        <w:spacing w:line="360" w:lineRule="auto"/>
        <w:ind w:firstLine="562" w:firstLineChars="200"/>
        <w:outlineLvl w:val="2"/>
        <w:rPr>
          <w:rFonts w:eastAsia="黑体"/>
          <w:b/>
          <w:sz w:val="28"/>
          <w:szCs w:val="28"/>
          <w:highlight w:val="none"/>
        </w:rPr>
      </w:pPr>
      <w:bookmarkStart w:id="90" w:name="_Toc77781886"/>
      <w:r>
        <w:rPr>
          <w:rFonts w:eastAsia="黑体"/>
          <w:b/>
          <w:sz w:val="28"/>
          <w:szCs w:val="28"/>
          <w:highlight w:val="none"/>
        </w:rPr>
        <w:t>三、港口经济腹地</w:t>
      </w:r>
      <w:bookmarkEnd w:id="90"/>
    </w:p>
    <w:p>
      <w:pPr>
        <w:spacing w:line="360" w:lineRule="auto"/>
        <w:ind w:firstLine="560" w:firstLineChars="200"/>
        <w:rPr>
          <w:bCs/>
          <w:sz w:val="28"/>
          <w:szCs w:val="28"/>
          <w:highlight w:val="none"/>
        </w:rPr>
      </w:pPr>
      <w:r>
        <w:rPr>
          <w:bCs/>
          <w:sz w:val="28"/>
          <w:szCs w:val="28"/>
          <w:highlight w:val="none"/>
        </w:rPr>
        <w:t>经济腹地按运输性质可分为直接腹地和间接腹地。根据腹地范围内交通运输网络格局，结合上述货物运输经济性比较，合理确定乐山港的直接经济腹地为乐山市以及成都平原经济区的成都市、德阳市、眉山市、雅安市，间接经济腹地为攀西经济区的大小凉山地区。远期，随着川藏铁路的建成，腹地范围将延伸至川西北经济区及西藏自治区。</w:t>
      </w:r>
    </w:p>
    <w:p>
      <w:pPr>
        <w:spacing w:line="360" w:lineRule="auto"/>
        <w:ind w:firstLine="562" w:firstLineChars="200"/>
        <w:outlineLvl w:val="2"/>
        <w:rPr>
          <w:rFonts w:eastAsia="黑体"/>
          <w:b/>
          <w:sz w:val="28"/>
          <w:szCs w:val="28"/>
          <w:highlight w:val="none"/>
        </w:rPr>
      </w:pPr>
      <w:bookmarkStart w:id="91" w:name="_Toc77781887"/>
      <w:r>
        <w:rPr>
          <w:rFonts w:eastAsia="黑体"/>
          <w:b/>
          <w:sz w:val="28"/>
          <w:szCs w:val="28"/>
          <w:highlight w:val="none"/>
        </w:rPr>
        <w:t>四、与周边港口的关系</w:t>
      </w:r>
      <w:bookmarkEnd w:id="91"/>
    </w:p>
    <w:p>
      <w:pPr>
        <w:widowControl/>
        <w:spacing w:line="360" w:lineRule="auto"/>
        <w:ind w:firstLine="560" w:firstLineChars="200"/>
        <w:jc w:val="left"/>
        <w:rPr>
          <w:rFonts w:eastAsia="黑体"/>
          <w:spacing w:val="5"/>
          <w:sz w:val="28"/>
          <w:szCs w:val="28"/>
          <w:highlight w:val="none"/>
        </w:rPr>
      </w:pPr>
      <w:r>
        <w:rPr>
          <w:rFonts w:eastAsiaTheme="minorEastAsia"/>
          <w:sz w:val="28"/>
          <w:szCs w:val="28"/>
          <w:highlight w:val="none"/>
        </w:rPr>
        <w:t>乐山港是四川省大件货物运输的重要水运口岸，也是联系成都平原经济区与长江上游宜宾港、泸州港的重要港口，目前主要服务于成都平原经济区和攀西经济区部分地区。乐山港上游80km处的眉山港，是四川省一般港口，主要腹地为眉山市和成都市。</w:t>
      </w:r>
      <w:r>
        <w:rPr>
          <w:sz w:val="28"/>
          <w:szCs w:val="28"/>
          <w:highlight w:val="none"/>
        </w:rPr>
        <w:t>乐山港下游162km处的宜宾港，是全国内河主要港口之一，主要腹地包括川南经济区、攀西经济区和滇北地区。宜宾港下游133km的泸州港是全国内河主要港口之一，</w:t>
      </w:r>
      <w:r>
        <w:rPr>
          <w:rFonts w:eastAsiaTheme="minorEastAsia"/>
          <w:sz w:val="28"/>
          <w:szCs w:val="28"/>
          <w:highlight w:val="none"/>
        </w:rPr>
        <w:t>近期直接腹地为泸州市，间接腹地为成都平原经济区、川南经济区以及滇北昭通市的部分地区、黔北的毕节市和遵义市部分地区，远期腹地将扩展至陕西、甘肃、西藏、青海等“</w:t>
      </w:r>
      <w:r>
        <w:rPr>
          <w:rFonts w:hint="eastAsia" w:eastAsiaTheme="minorEastAsia"/>
          <w:sz w:val="28"/>
          <w:szCs w:val="28"/>
          <w:highlight w:val="none"/>
          <w:lang w:val="en-US" w:eastAsia="zh-CN"/>
        </w:rPr>
        <w:t>一带一路</w:t>
      </w:r>
      <w:r>
        <w:rPr>
          <w:rFonts w:eastAsiaTheme="minorEastAsia"/>
          <w:sz w:val="28"/>
          <w:szCs w:val="28"/>
          <w:highlight w:val="none"/>
        </w:rPr>
        <w:t>”沿线省区的部分地区。</w:t>
      </w:r>
    </w:p>
    <w:p>
      <w:pPr>
        <w:snapToGrid w:val="0"/>
        <w:jc w:val="center"/>
        <w:rPr>
          <w:rFonts w:eastAsia="黑体"/>
          <w:spacing w:val="5"/>
          <w:sz w:val="28"/>
          <w:szCs w:val="28"/>
          <w:highlight w:val="none"/>
        </w:rPr>
      </w:pPr>
      <w:r>
        <w:rPr>
          <w:rFonts w:eastAsia="黑体"/>
          <w:spacing w:val="5"/>
          <w:sz w:val="28"/>
          <w:szCs w:val="28"/>
          <w:highlight w:val="none"/>
        </w:rPr>
        <w:t>表2.2-</w:t>
      </w:r>
      <w:r>
        <w:rPr>
          <w:rFonts w:hint="eastAsia" w:eastAsia="黑体"/>
          <w:spacing w:val="5"/>
          <w:sz w:val="28"/>
          <w:szCs w:val="28"/>
          <w:highlight w:val="none"/>
        </w:rPr>
        <w:t>2</w:t>
      </w:r>
      <w:r>
        <w:rPr>
          <w:rFonts w:eastAsia="黑体"/>
          <w:spacing w:val="5"/>
          <w:sz w:val="28"/>
          <w:szCs w:val="28"/>
          <w:highlight w:val="none"/>
        </w:rPr>
        <w:t>乐山</w:t>
      </w:r>
      <w:r>
        <w:rPr>
          <w:rFonts w:hint="eastAsia" w:eastAsia="黑体"/>
          <w:spacing w:val="5"/>
          <w:sz w:val="28"/>
          <w:szCs w:val="28"/>
          <w:highlight w:val="none"/>
        </w:rPr>
        <w:t>港周边</w:t>
      </w:r>
      <w:r>
        <w:rPr>
          <w:rFonts w:eastAsia="黑体"/>
          <w:spacing w:val="5"/>
          <w:sz w:val="28"/>
          <w:szCs w:val="28"/>
          <w:highlight w:val="none"/>
        </w:rPr>
        <w:t>眉山、泸州、宜宾</w:t>
      </w:r>
      <w:r>
        <w:rPr>
          <w:rFonts w:hint="eastAsia" w:eastAsia="黑体"/>
          <w:spacing w:val="5"/>
          <w:sz w:val="28"/>
          <w:szCs w:val="28"/>
          <w:highlight w:val="none"/>
        </w:rPr>
        <w:t>3港</w:t>
      </w:r>
      <w:r>
        <w:rPr>
          <w:rFonts w:eastAsia="黑体"/>
          <w:spacing w:val="5"/>
          <w:sz w:val="28"/>
          <w:szCs w:val="28"/>
          <w:highlight w:val="none"/>
        </w:rPr>
        <w:t>主要情况</w:t>
      </w:r>
      <w:r>
        <w:rPr>
          <w:rFonts w:hint="eastAsia" w:eastAsia="黑体"/>
          <w:spacing w:val="5"/>
          <w:sz w:val="28"/>
          <w:szCs w:val="28"/>
          <w:highlight w:val="none"/>
        </w:rPr>
        <w:t>汇总表</w:t>
      </w:r>
    </w:p>
    <w:tbl>
      <w:tblPr>
        <w:tblStyle w:val="32"/>
        <w:tblW w:w="4996" w:type="pct"/>
        <w:jc w:val="center"/>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21"/>
        <w:gridCol w:w="2659"/>
        <w:gridCol w:w="2707"/>
        <w:gridCol w:w="2592"/>
      </w:tblGrid>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6" w:hRule="atLeast"/>
          <w:tblHeader/>
          <w:jc w:val="center"/>
        </w:trPr>
        <w:tc>
          <w:tcPr>
            <w:tcW w:w="712" w:type="pct"/>
            <w:tcBorders>
              <w:tl2br w:val="nil"/>
              <w:tr2bl w:val="nil"/>
            </w:tcBorders>
            <w:vAlign w:val="center"/>
          </w:tcPr>
          <w:p>
            <w:pPr>
              <w:widowControl/>
              <w:jc w:val="center"/>
              <w:textAlignment w:val="center"/>
              <w:rPr>
                <w:szCs w:val="21"/>
                <w:highlight w:val="none"/>
              </w:rPr>
            </w:pPr>
            <w:r>
              <w:rPr>
                <w:szCs w:val="21"/>
                <w:highlight w:val="none"/>
              </w:rPr>
              <w:t>名称</w:t>
            </w:r>
          </w:p>
        </w:tc>
        <w:tc>
          <w:tcPr>
            <w:tcW w:w="1432" w:type="pct"/>
            <w:tcBorders>
              <w:tl2br w:val="nil"/>
              <w:tr2bl w:val="nil"/>
            </w:tcBorders>
            <w:vAlign w:val="center"/>
          </w:tcPr>
          <w:p>
            <w:pPr>
              <w:widowControl/>
              <w:jc w:val="center"/>
              <w:textAlignment w:val="center"/>
              <w:rPr>
                <w:szCs w:val="21"/>
                <w:highlight w:val="none"/>
              </w:rPr>
            </w:pPr>
            <w:r>
              <w:rPr>
                <w:szCs w:val="21"/>
                <w:highlight w:val="none"/>
              </w:rPr>
              <w:t>眉山港（报批稿）</w:t>
            </w:r>
          </w:p>
        </w:tc>
        <w:tc>
          <w:tcPr>
            <w:tcW w:w="1458" w:type="pct"/>
            <w:tcBorders>
              <w:tl2br w:val="nil"/>
              <w:tr2bl w:val="nil"/>
            </w:tcBorders>
            <w:vAlign w:val="center"/>
          </w:tcPr>
          <w:p>
            <w:pPr>
              <w:widowControl/>
              <w:jc w:val="center"/>
              <w:textAlignment w:val="center"/>
              <w:rPr>
                <w:szCs w:val="21"/>
                <w:highlight w:val="none"/>
              </w:rPr>
            </w:pPr>
            <w:r>
              <w:rPr>
                <w:szCs w:val="21"/>
                <w:highlight w:val="none"/>
              </w:rPr>
              <w:t>泸州港</w:t>
            </w:r>
            <w:r>
              <w:rPr>
                <w:rFonts w:hint="eastAsia"/>
                <w:szCs w:val="21"/>
                <w:highlight w:val="none"/>
              </w:rPr>
              <w:t>修订</w:t>
            </w:r>
            <w:r>
              <w:rPr>
                <w:szCs w:val="21"/>
                <w:highlight w:val="none"/>
              </w:rPr>
              <w:t>（送审稿）</w:t>
            </w:r>
          </w:p>
        </w:tc>
        <w:tc>
          <w:tcPr>
            <w:tcW w:w="1396" w:type="pct"/>
            <w:tcBorders>
              <w:tl2br w:val="nil"/>
              <w:tr2bl w:val="nil"/>
            </w:tcBorders>
            <w:vAlign w:val="center"/>
          </w:tcPr>
          <w:p>
            <w:pPr>
              <w:widowControl/>
              <w:jc w:val="center"/>
              <w:textAlignment w:val="center"/>
              <w:rPr>
                <w:szCs w:val="21"/>
                <w:highlight w:val="none"/>
              </w:rPr>
            </w:pPr>
            <w:r>
              <w:rPr>
                <w:szCs w:val="21"/>
                <w:highlight w:val="none"/>
              </w:rPr>
              <w:t>宜宾港（报批稿）</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712" w:type="pct"/>
            <w:tcBorders>
              <w:tl2br w:val="nil"/>
              <w:tr2bl w:val="nil"/>
            </w:tcBorders>
            <w:vAlign w:val="center"/>
          </w:tcPr>
          <w:p>
            <w:pPr>
              <w:widowControl/>
              <w:jc w:val="center"/>
              <w:textAlignment w:val="center"/>
              <w:rPr>
                <w:szCs w:val="21"/>
                <w:highlight w:val="none"/>
              </w:rPr>
            </w:pPr>
            <w:r>
              <w:rPr>
                <w:szCs w:val="21"/>
                <w:highlight w:val="none"/>
              </w:rPr>
              <w:t>1.港口定位</w:t>
            </w:r>
          </w:p>
        </w:tc>
        <w:tc>
          <w:tcPr>
            <w:tcW w:w="1432" w:type="pct"/>
            <w:tcBorders>
              <w:tl2br w:val="nil"/>
              <w:tr2bl w:val="nil"/>
            </w:tcBorders>
            <w:vAlign w:val="center"/>
          </w:tcPr>
          <w:p>
            <w:pPr>
              <w:widowControl/>
              <w:jc w:val="center"/>
              <w:textAlignment w:val="center"/>
              <w:rPr>
                <w:szCs w:val="21"/>
                <w:highlight w:val="none"/>
              </w:rPr>
            </w:pPr>
            <w:r>
              <w:rPr>
                <w:szCs w:val="21"/>
                <w:highlight w:val="none"/>
              </w:rPr>
              <w:t>一般港口</w:t>
            </w:r>
          </w:p>
        </w:tc>
        <w:tc>
          <w:tcPr>
            <w:tcW w:w="1458" w:type="pct"/>
            <w:tcBorders>
              <w:tl2br w:val="nil"/>
              <w:tr2bl w:val="nil"/>
            </w:tcBorders>
            <w:vAlign w:val="center"/>
          </w:tcPr>
          <w:p>
            <w:pPr>
              <w:widowControl/>
              <w:jc w:val="center"/>
              <w:textAlignment w:val="center"/>
              <w:rPr>
                <w:szCs w:val="21"/>
                <w:highlight w:val="none"/>
              </w:rPr>
            </w:pPr>
            <w:r>
              <w:rPr>
                <w:szCs w:val="21"/>
                <w:highlight w:val="none"/>
              </w:rPr>
              <w:t>全国内河主要港口</w:t>
            </w:r>
          </w:p>
        </w:tc>
        <w:tc>
          <w:tcPr>
            <w:tcW w:w="1396" w:type="pct"/>
            <w:tcBorders>
              <w:tl2br w:val="nil"/>
              <w:tr2bl w:val="nil"/>
            </w:tcBorders>
            <w:vAlign w:val="center"/>
          </w:tcPr>
          <w:p>
            <w:pPr>
              <w:widowControl/>
              <w:jc w:val="center"/>
              <w:textAlignment w:val="center"/>
              <w:rPr>
                <w:szCs w:val="21"/>
                <w:highlight w:val="none"/>
              </w:rPr>
            </w:pPr>
            <w:r>
              <w:rPr>
                <w:szCs w:val="21"/>
                <w:highlight w:val="none"/>
              </w:rPr>
              <w:t>全国内河主要港口</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712" w:type="pct"/>
            <w:tcBorders>
              <w:tl2br w:val="nil"/>
              <w:tr2bl w:val="nil"/>
            </w:tcBorders>
            <w:vAlign w:val="center"/>
          </w:tcPr>
          <w:p>
            <w:pPr>
              <w:widowControl/>
              <w:jc w:val="center"/>
              <w:textAlignment w:val="center"/>
              <w:rPr>
                <w:szCs w:val="21"/>
                <w:highlight w:val="none"/>
              </w:rPr>
            </w:pPr>
            <w:r>
              <w:rPr>
                <w:szCs w:val="21"/>
                <w:highlight w:val="none"/>
              </w:rPr>
              <w:t>2.岸线资源</w:t>
            </w:r>
          </w:p>
        </w:tc>
        <w:tc>
          <w:tcPr>
            <w:tcW w:w="1432" w:type="pct"/>
            <w:tcBorders>
              <w:tl2br w:val="nil"/>
              <w:tr2bl w:val="nil"/>
            </w:tcBorders>
            <w:vAlign w:val="center"/>
          </w:tcPr>
          <w:p>
            <w:pPr>
              <w:widowControl/>
              <w:jc w:val="center"/>
              <w:textAlignment w:val="center"/>
              <w:rPr>
                <w:szCs w:val="21"/>
                <w:highlight w:val="none"/>
              </w:rPr>
            </w:pPr>
            <w:r>
              <w:rPr>
                <w:szCs w:val="21"/>
                <w:highlight w:val="none"/>
              </w:rPr>
              <w:t>宜港岸线6.39km，</w:t>
            </w:r>
          </w:p>
          <w:p>
            <w:pPr>
              <w:widowControl/>
              <w:jc w:val="center"/>
              <w:textAlignment w:val="center"/>
              <w:rPr>
                <w:szCs w:val="21"/>
                <w:highlight w:val="none"/>
              </w:rPr>
            </w:pPr>
            <w:r>
              <w:rPr>
                <w:szCs w:val="21"/>
                <w:highlight w:val="none"/>
              </w:rPr>
              <w:t>已开发利用130m</w:t>
            </w:r>
          </w:p>
        </w:tc>
        <w:tc>
          <w:tcPr>
            <w:tcW w:w="1458" w:type="pct"/>
            <w:tcBorders>
              <w:tl2br w:val="nil"/>
              <w:tr2bl w:val="nil"/>
            </w:tcBorders>
            <w:vAlign w:val="center"/>
          </w:tcPr>
          <w:p>
            <w:pPr>
              <w:widowControl/>
              <w:jc w:val="center"/>
              <w:textAlignment w:val="center"/>
              <w:rPr>
                <w:szCs w:val="21"/>
                <w:highlight w:val="none"/>
              </w:rPr>
            </w:pPr>
            <w:r>
              <w:rPr>
                <w:szCs w:val="21"/>
                <w:highlight w:val="none"/>
              </w:rPr>
              <w:t>宜港岸线34.4km，</w:t>
            </w:r>
          </w:p>
          <w:p>
            <w:pPr>
              <w:widowControl/>
              <w:jc w:val="center"/>
              <w:textAlignment w:val="center"/>
              <w:rPr>
                <w:szCs w:val="21"/>
                <w:highlight w:val="none"/>
              </w:rPr>
            </w:pPr>
            <w:r>
              <w:rPr>
                <w:szCs w:val="21"/>
                <w:highlight w:val="none"/>
              </w:rPr>
              <w:t>已开发利用12.0km</w:t>
            </w:r>
          </w:p>
        </w:tc>
        <w:tc>
          <w:tcPr>
            <w:tcW w:w="1396" w:type="pct"/>
            <w:tcBorders>
              <w:tl2br w:val="nil"/>
              <w:tr2bl w:val="nil"/>
            </w:tcBorders>
            <w:vAlign w:val="center"/>
          </w:tcPr>
          <w:p>
            <w:pPr>
              <w:widowControl/>
              <w:jc w:val="center"/>
              <w:textAlignment w:val="center"/>
              <w:rPr>
                <w:szCs w:val="21"/>
                <w:highlight w:val="none"/>
              </w:rPr>
            </w:pPr>
            <w:r>
              <w:rPr>
                <w:szCs w:val="21"/>
                <w:highlight w:val="none"/>
              </w:rPr>
              <w:t>宜港岸线75.7km，</w:t>
            </w:r>
          </w:p>
          <w:p>
            <w:pPr>
              <w:widowControl/>
              <w:jc w:val="center"/>
              <w:textAlignment w:val="center"/>
              <w:rPr>
                <w:szCs w:val="21"/>
                <w:highlight w:val="none"/>
              </w:rPr>
            </w:pPr>
            <w:r>
              <w:rPr>
                <w:szCs w:val="21"/>
                <w:highlight w:val="none"/>
              </w:rPr>
              <w:t>已开发利用4.65km</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712" w:type="pct"/>
            <w:tcBorders>
              <w:tl2br w:val="nil"/>
              <w:tr2bl w:val="nil"/>
            </w:tcBorders>
            <w:vAlign w:val="center"/>
          </w:tcPr>
          <w:p>
            <w:pPr>
              <w:widowControl/>
              <w:jc w:val="center"/>
              <w:textAlignment w:val="center"/>
              <w:rPr>
                <w:szCs w:val="21"/>
                <w:highlight w:val="none"/>
              </w:rPr>
            </w:pPr>
            <w:r>
              <w:rPr>
                <w:szCs w:val="21"/>
                <w:highlight w:val="none"/>
              </w:rPr>
              <w:t>3.码头设施规划能力</w:t>
            </w:r>
          </w:p>
        </w:tc>
        <w:tc>
          <w:tcPr>
            <w:tcW w:w="1432" w:type="pct"/>
            <w:tcBorders>
              <w:tl2br w:val="nil"/>
              <w:tr2bl w:val="nil"/>
            </w:tcBorders>
            <w:vAlign w:val="center"/>
          </w:tcPr>
          <w:p>
            <w:pPr>
              <w:widowControl/>
              <w:jc w:val="center"/>
              <w:textAlignment w:val="center"/>
              <w:rPr>
                <w:szCs w:val="21"/>
                <w:highlight w:val="none"/>
              </w:rPr>
            </w:pPr>
            <w:r>
              <w:rPr>
                <w:szCs w:val="21"/>
                <w:highlight w:val="none"/>
              </w:rPr>
              <w:t>通过能力505万t</w:t>
            </w:r>
          </w:p>
          <w:p>
            <w:pPr>
              <w:autoSpaceDE w:val="0"/>
              <w:autoSpaceDN w:val="0"/>
              <w:adjustRightInd w:val="0"/>
              <w:jc w:val="center"/>
              <w:rPr>
                <w:szCs w:val="21"/>
                <w:highlight w:val="none"/>
              </w:rPr>
            </w:pPr>
            <w:r>
              <w:rPr>
                <w:szCs w:val="21"/>
                <w:highlight w:val="none"/>
              </w:rPr>
              <w:t>旅客110万人次</w:t>
            </w:r>
          </w:p>
        </w:tc>
        <w:tc>
          <w:tcPr>
            <w:tcW w:w="1458" w:type="pct"/>
            <w:tcBorders>
              <w:tl2br w:val="nil"/>
              <w:tr2bl w:val="nil"/>
            </w:tcBorders>
            <w:vAlign w:val="center"/>
          </w:tcPr>
          <w:p>
            <w:pPr>
              <w:widowControl/>
              <w:jc w:val="center"/>
              <w:textAlignment w:val="center"/>
              <w:rPr>
                <w:szCs w:val="21"/>
                <w:highlight w:val="none"/>
              </w:rPr>
            </w:pPr>
            <w:r>
              <w:rPr>
                <w:szCs w:val="21"/>
                <w:highlight w:val="none"/>
              </w:rPr>
              <w:t>通过能力2800万t</w:t>
            </w:r>
          </w:p>
          <w:p>
            <w:pPr>
              <w:widowControl/>
              <w:jc w:val="center"/>
              <w:textAlignment w:val="center"/>
              <w:rPr>
                <w:szCs w:val="21"/>
                <w:highlight w:val="none"/>
              </w:rPr>
            </w:pPr>
            <w:r>
              <w:rPr>
                <w:szCs w:val="21"/>
                <w:highlight w:val="none"/>
              </w:rPr>
              <w:t>集装箱100万TEU</w:t>
            </w:r>
          </w:p>
        </w:tc>
        <w:tc>
          <w:tcPr>
            <w:tcW w:w="1396" w:type="pct"/>
            <w:tcBorders>
              <w:tl2br w:val="nil"/>
              <w:tr2bl w:val="nil"/>
            </w:tcBorders>
            <w:vAlign w:val="center"/>
          </w:tcPr>
          <w:p>
            <w:pPr>
              <w:widowControl/>
              <w:jc w:val="center"/>
              <w:textAlignment w:val="center"/>
              <w:rPr>
                <w:szCs w:val="21"/>
                <w:highlight w:val="none"/>
              </w:rPr>
            </w:pPr>
            <w:r>
              <w:rPr>
                <w:szCs w:val="21"/>
                <w:highlight w:val="none"/>
              </w:rPr>
              <w:t>通过能力1200万t</w:t>
            </w:r>
          </w:p>
          <w:p>
            <w:pPr>
              <w:widowControl/>
              <w:jc w:val="center"/>
              <w:textAlignment w:val="center"/>
              <w:rPr>
                <w:szCs w:val="21"/>
                <w:highlight w:val="none"/>
              </w:rPr>
            </w:pPr>
            <w:r>
              <w:rPr>
                <w:szCs w:val="21"/>
                <w:highlight w:val="none"/>
              </w:rPr>
              <w:t>集装箱50万TEU</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712" w:type="pct"/>
            <w:tcBorders>
              <w:tl2br w:val="nil"/>
              <w:tr2bl w:val="nil"/>
            </w:tcBorders>
            <w:vAlign w:val="center"/>
          </w:tcPr>
          <w:p>
            <w:pPr>
              <w:widowControl/>
              <w:jc w:val="center"/>
              <w:textAlignment w:val="center"/>
              <w:rPr>
                <w:szCs w:val="21"/>
                <w:highlight w:val="none"/>
              </w:rPr>
            </w:pPr>
            <w:r>
              <w:rPr>
                <w:szCs w:val="21"/>
                <w:highlight w:val="none"/>
              </w:rPr>
              <w:t>4.主要航道</w:t>
            </w:r>
          </w:p>
        </w:tc>
        <w:tc>
          <w:tcPr>
            <w:tcW w:w="1432" w:type="pct"/>
            <w:tcBorders>
              <w:tl2br w:val="nil"/>
              <w:tr2bl w:val="nil"/>
            </w:tcBorders>
            <w:vAlign w:val="center"/>
          </w:tcPr>
          <w:p>
            <w:pPr>
              <w:widowControl/>
              <w:jc w:val="center"/>
              <w:textAlignment w:val="center"/>
              <w:rPr>
                <w:szCs w:val="21"/>
                <w:highlight w:val="none"/>
              </w:rPr>
            </w:pPr>
            <w:r>
              <w:rPr>
                <w:szCs w:val="21"/>
                <w:highlight w:val="none"/>
              </w:rPr>
              <w:t>岷江、府河、南河</w:t>
            </w:r>
          </w:p>
        </w:tc>
        <w:tc>
          <w:tcPr>
            <w:tcW w:w="1458" w:type="pct"/>
            <w:tcBorders>
              <w:tl2br w:val="nil"/>
              <w:tr2bl w:val="nil"/>
            </w:tcBorders>
            <w:vAlign w:val="center"/>
          </w:tcPr>
          <w:p>
            <w:pPr>
              <w:widowControl/>
              <w:jc w:val="center"/>
              <w:textAlignment w:val="center"/>
              <w:rPr>
                <w:szCs w:val="21"/>
                <w:highlight w:val="none"/>
              </w:rPr>
            </w:pPr>
            <w:r>
              <w:rPr>
                <w:szCs w:val="21"/>
                <w:highlight w:val="none"/>
              </w:rPr>
              <w:t>长江干线、沱江、赤水河</w:t>
            </w:r>
          </w:p>
        </w:tc>
        <w:tc>
          <w:tcPr>
            <w:tcW w:w="1396" w:type="pct"/>
            <w:tcBorders>
              <w:tl2br w:val="nil"/>
              <w:tr2bl w:val="nil"/>
            </w:tcBorders>
            <w:vAlign w:val="center"/>
          </w:tcPr>
          <w:p>
            <w:pPr>
              <w:widowControl/>
              <w:jc w:val="center"/>
              <w:textAlignment w:val="center"/>
              <w:rPr>
                <w:szCs w:val="21"/>
                <w:highlight w:val="none"/>
              </w:rPr>
            </w:pPr>
            <w:r>
              <w:rPr>
                <w:szCs w:val="21"/>
                <w:highlight w:val="none"/>
              </w:rPr>
              <w:t>长江干线、金沙江、岷江</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712" w:type="pct"/>
            <w:tcBorders>
              <w:tl2br w:val="nil"/>
              <w:tr2bl w:val="nil"/>
            </w:tcBorders>
            <w:vAlign w:val="center"/>
          </w:tcPr>
          <w:p>
            <w:pPr>
              <w:widowControl/>
              <w:jc w:val="center"/>
              <w:textAlignment w:val="center"/>
              <w:rPr>
                <w:szCs w:val="21"/>
                <w:highlight w:val="none"/>
              </w:rPr>
            </w:pPr>
            <w:r>
              <w:rPr>
                <w:szCs w:val="21"/>
                <w:highlight w:val="none"/>
              </w:rPr>
              <w:t>5.主要腹地</w:t>
            </w:r>
          </w:p>
        </w:tc>
        <w:tc>
          <w:tcPr>
            <w:tcW w:w="1432" w:type="pct"/>
            <w:tcBorders>
              <w:tl2br w:val="nil"/>
              <w:tr2bl w:val="nil"/>
            </w:tcBorders>
          </w:tcPr>
          <w:p>
            <w:pPr>
              <w:widowControl/>
              <w:jc w:val="left"/>
              <w:textAlignment w:val="center"/>
              <w:rPr>
                <w:szCs w:val="21"/>
                <w:highlight w:val="none"/>
              </w:rPr>
            </w:pPr>
            <w:r>
              <w:rPr>
                <w:szCs w:val="21"/>
                <w:highlight w:val="none"/>
              </w:rPr>
              <w:t>直接腹地包括眉山市所辖的两区四县、天府新区，间接腹地为成都市。</w:t>
            </w:r>
          </w:p>
        </w:tc>
        <w:tc>
          <w:tcPr>
            <w:tcW w:w="1458" w:type="pct"/>
            <w:tcBorders>
              <w:tl2br w:val="nil"/>
              <w:tr2bl w:val="nil"/>
            </w:tcBorders>
          </w:tcPr>
          <w:p>
            <w:pPr>
              <w:widowControl/>
              <w:jc w:val="left"/>
              <w:textAlignment w:val="center"/>
              <w:rPr>
                <w:szCs w:val="21"/>
                <w:highlight w:val="none"/>
              </w:rPr>
            </w:pPr>
            <w:r>
              <w:rPr>
                <w:szCs w:val="21"/>
                <w:highlight w:val="none"/>
              </w:rPr>
              <w:t>近期直接腹地为泸州市，间接腹地为成都平原经济区、川南经济区以及滇北昭通市的部分地区、黔北的毕节市和遵义市部分地区。远期，腹地将扩展至陕西、甘肃、西藏、青海等“</w:t>
            </w:r>
            <w:r>
              <w:rPr>
                <w:rFonts w:hint="eastAsia"/>
                <w:szCs w:val="21"/>
                <w:highlight w:val="none"/>
                <w:lang w:val="en-US" w:eastAsia="zh-CN"/>
              </w:rPr>
              <w:t>一带一路</w:t>
            </w:r>
            <w:r>
              <w:rPr>
                <w:szCs w:val="21"/>
                <w:highlight w:val="none"/>
              </w:rPr>
              <w:t>”沿线省区的部分地区。</w:t>
            </w:r>
          </w:p>
        </w:tc>
        <w:tc>
          <w:tcPr>
            <w:tcW w:w="1396" w:type="pct"/>
            <w:tcBorders>
              <w:tl2br w:val="nil"/>
              <w:tr2bl w:val="nil"/>
            </w:tcBorders>
          </w:tcPr>
          <w:p>
            <w:pPr>
              <w:widowControl/>
              <w:jc w:val="left"/>
              <w:textAlignment w:val="center"/>
              <w:rPr>
                <w:szCs w:val="21"/>
                <w:highlight w:val="none"/>
              </w:rPr>
            </w:pPr>
            <w:r>
              <w:rPr>
                <w:szCs w:val="21"/>
                <w:highlight w:val="none"/>
              </w:rPr>
              <w:t>川南经济区、攀西经济区、滇北地区。</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712" w:type="pct"/>
            <w:tcBorders>
              <w:tl2br w:val="nil"/>
              <w:tr2bl w:val="nil"/>
            </w:tcBorders>
            <w:vAlign w:val="center"/>
          </w:tcPr>
          <w:p>
            <w:pPr>
              <w:widowControl/>
              <w:jc w:val="center"/>
              <w:textAlignment w:val="center"/>
              <w:rPr>
                <w:szCs w:val="21"/>
                <w:highlight w:val="none"/>
              </w:rPr>
            </w:pPr>
            <w:r>
              <w:rPr>
                <w:szCs w:val="21"/>
                <w:highlight w:val="none"/>
              </w:rPr>
              <w:t>6.港口功能</w:t>
            </w:r>
          </w:p>
        </w:tc>
        <w:tc>
          <w:tcPr>
            <w:tcW w:w="1432" w:type="pct"/>
            <w:tcBorders>
              <w:tl2br w:val="nil"/>
              <w:tr2bl w:val="nil"/>
            </w:tcBorders>
          </w:tcPr>
          <w:p>
            <w:pPr>
              <w:widowControl/>
              <w:jc w:val="left"/>
              <w:textAlignment w:val="center"/>
              <w:rPr>
                <w:szCs w:val="21"/>
                <w:highlight w:val="none"/>
              </w:rPr>
            </w:pPr>
            <w:r>
              <w:rPr>
                <w:szCs w:val="21"/>
                <w:highlight w:val="none"/>
              </w:rPr>
              <w:t>以件杂货运输为主，以散货运输为辅，具有装卸存储、运输组织、临港工业、现代物流、旅游客运等功能的综合性现代化港口。</w:t>
            </w:r>
          </w:p>
        </w:tc>
        <w:tc>
          <w:tcPr>
            <w:tcW w:w="1458" w:type="pct"/>
            <w:tcBorders>
              <w:tl2br w:val="nil"/>
              <w:tr2bl w:val="nil"/>
            </w:tcBorders>
          </w:tcPr>
          <w:p>
            <w:pPr>
              <w:widowControl/>
              <w:jc w:val="left"/>
              <w:textAlignment w:val="center"/>
              <w:rPr>
                <w:szCs w:val="21"/>
                <w:highlight w:val="none"/>
              </w:rPr>
            </w:pPr>
            <w:r>
              <w:rPr>
                <w:szCs w:val="21"/>
                <w:highlight w:val="none"/>
              </w:rPr>
              <w:t>以集装箱、大宗散杂货、重大件、汽车滚装运输为主，兼有旅游客运的现代化枢纽型港口。</w:t>
            </w:r>
          </w:p>
        </w:tc>
        <w:tc>
          <w:tcPr>
            <w:tcW w:w="1396" w:type="pct"/>
            <w:tcBorders>
              <w:tl2br w:val="nil"/>
              <w:tr2bl w:val="nil"/>
            </w:tcBorders>
          </w:tcPr>
          <w:p>
            <w:pPr>
              <w:widowControl/>
              <w:jc w:val="left"/>
              <w:textAlignment w:val="center"/>
              <w:rPr>
                <w:szCs w:val="21"/>
                <w:highlight w:val="none"/>
              </w:rPr>
            </w:pPr>
            <w:r>
              <w:rPr>
                <w:szCs w:val="21"/>
                <w:highlight w:val="none"/>
              </w:rPr>
              <w:t>以内外贸集装箱、能源、原材料和工业产品运输服务为主的现代化大型内陆枢纽港口。</w:t>
            </w:r>
          </w:p>
        </w:tc>
      </w:tr>
    </w:tbl>
    <w:p>
      <w:pPr>
        <w:spacing w:before="312" w:beforeLines="100" w:line="360" w:lineRule="auto"/>
        <w:ind w:firstLine="560" w:firstLineChars="200"/>
        <w:rPr>
          <w:bCs/>
          <w:sz w:val="28"/>
          <w:szCs w:val="28"/>
          <w:highlight w:val="none"/>
        </w:rPr>
      </w:pPr>
      <w:r>
        <w:rPr>
          <w:bCs/>
          <w:sz w:val="28"/>
          <w:szCs w:val="28"/>
          <w:highlight w:val="none"/>
        </w:rPr>
        <w:t>乐山港相较于眉山港而言，两港虽均位于岷江，但乐山港距离长江航道更近，可承接成都平原经济区重大件货物运输，宜港岸线长、港口通过能力大，除承接散杂、客运外，还可承担集装箱运输。眉山港虽</w:t>
      </w:r>
      <w:r>
        <w:rPr>
          <w:bCs/>
          <w:sz w:val="28"/>
          <w:szCs w:val="28"/>
          <w:highlight w:val="none"/>
          <w:lang w:bidi="ar"/>
        </w:rPr>
        <w:t>紧邻天府新区，</w:t>
      </w:r>
      <w:r>
        <w:rPr>
          <w:bCs/>
          <w:sz w:val="28"/>
          <w:szCs w:val="28"/>
          <w:highlight w:val="none"/>
        </w:rPr>
        <w:t>距离成都货源地较近，</w:t>
      </w:r>
      <w:r>
        <w:rPr>
          <w:bCs/>
          <w:sz w:val="28"/>
          <w:szCs w:val="28"/>
          <w:highlight w:val="none"/>
          <w:lang w:bidi="ar"/>
        </w:rPr>
        <w:t>但考虑到眉山港大型货运作业区布置在东坡区下游（与成都邻近的彭山相比</w:t>
      </w:r>
      <w:r>
        <w:rPr>
          <w:rFonts w:hint="eastAsia"/>
          <w:bCs/>
          <w:sz w:val="28"/>
          <w:szCs w:val="28"/>
          <w:highlight w:val="none"/>
          <w:lang w:bidi="ar"/>
        </w:rPr>
        <w:t>多</w:t>
      </w:r>
      <w:r>
        <w:rPr>
          <w:bCs/>
          <w:sz w:val="28"/>
          <w:szCs w:val="28"/>
          <w:highlight w:val="none"/>
          <w:lang w:bidi="ar"/>
        </w:rPr>
        <w:t>增</w:t>
      </w:r>
      <w:r>
        <w:rPr>
          <w:rFonts w:hint="eastAsia"/>
          <w:bCs/>
          <w:sz w:val="28"/>
          <w:szCs w:val="28"/>
          <w:highlight w:val="none"/>
          <w:lang w:bidi="ar"/>
        </w:rPr>
        <w:t>加</w:t>
      </w:r>
      <w:r>
        <w:rPr>
          <w:bCs/>
          <w:sz w:val="28"/>
          <w:szCs w:val="28"/>
          <w:highlight w:val="none"/>
          <w:lang w:bidi="ar"/>
        </w:rPr>
        <w:t>50km距离）、岸线资源不足且未布局集装箱</w:t>
      </w:r>
      <w:r>
        <w:rPr>
          <w:rFonts w:hint="eastAsia"/>
          <w:bCs/>
          <w:sz w:val="28"/>
          <w:szCs w:val="28"/>
          <w:highlight w:val="none"/>
          <w:lang w:bidi="ar"/>
        </w:rPr>
        <w:t>功能，另外相比乐山港水运还需多经过</w:t>
      </w:r>
      <w:r>
        <w:rPr>
          <w:bCs/>
          <w:sz w:val="28"/>
          <w:szCs w:val="28"/>
          <w:highlight w:val="none"/>
          <w:lang w:bidi="ar"/>
        </w:rPr>
        <w:t>5个船闸，因此</w:t>
      </w:r>
      <w:r>
        <w:rPr>
          <w:rFonts w:hint="eastAsia"/>
          <w:bCs/>
          <w:sz w:val="28"/>
          <w:szCs w:val="28"/>
          <w:highlight w:val="none"/>
          <w:lang w:bidi="ar"/>
        </w:rPr>
        <w:t>眉山港</w:t>
      </w:r>
      <w:r>
        <w:rPr>
          <w:bCs/>
          <w:sz w:val="28"/>
          <w:szCs w:val="28"/>
          <w:highlight w:val="none"/>
          <w:lang w:bidi="ar"/>
        </w:rPr>
        <w:t>对乐山港货源存在一定</w:t>
      </w:r>
      <w:r>
        <w:rPr>
          <w:rFonts w:hint="eastAsia"/>
          <w:bCs/>
          <w:sz w:val="28"/>
          <w:szCs w:val="28"/>
          <w:highlight w:val="none"/>
          <w:lang w:bidi="ar"/>
        </w:rPr>
        <w:t>的</w:t>
      </w:r>
      <w:r>
        <w:rPr>
          <w:bCs/>
          <w:sz w:val="28"/>
          <w:szCs w:val="28"/>
          <w:highlight w:val="none"/>
          <w:lang w:bidi="ar"/>
        </w:rPr>
        <w:t>影响，但鉴于眉山港存在的上述问题，成都的大部分适水货源仍将选择从乐山港下水。</w:t>
      </w:r>
    </w:p>
    <w:p>
      <w:pPr>
        <w:ind w:firstLine="560" w:firstLineChars="200"/>
        <w:rPr>
          <w:rFonts w:eastAsiaTheme="minorEastAsia"/>
          <w:sz w:val="28"/>
          <w:szCs w:val="28"/>
          <w:highlight w:val="none"/>
        </w:rPr>
      </w:pPr>
      <w:r>
        <w:rPr>
          <w:rFonts w:eastAsiaTheme="minorEastAsia"/>
          <w:sz w:val="28"/>
          <w:szCs w:val="28"/>
          <w:highlight w:val="none"/>
        </w:rPr>
        <w:t>乐山港位于岷江航道，泸州、宜宾两港均位于长江干线，航道条件相比泸宜两港存在天然的航道劣势。未来，乐山港凭借岷江航电建成后形成的</w:t>
      </w:r>
      <w:r>
        <w:rPr>
          <w:rFonts w:hint="eastAsia" w:ascii="宋体" w:hAnsi="宋体" w:cs="宋体"/>
          <w:sz w:val="28"/>
          <w:szCs w:val="28"/>
          <w:highlight w:val="none"/>
        </w:rPr>
        <w:t>Ⅲ</w:t>
      </w:r>
      <w:r>
        <w:rPr>
          <w:rFonts w:eastAsiaTheme="minorEastAsia"/>
          <w:sz w:val="28"/>
          <w:szCs w:val="28"/>
          <w:highlight w:val="none"/>
        </w:rPr>
        <w:t>级航道及后方成都平原经济区的货源依托，以重大件运输为特色的货运市场和以乐山大佛等国际化水上旅游的客运市场发展势头强劲，乐山港将成为成都平原经济区通往长江黄金水道延伸的枢纽节点，将形成沿岷江-长江干线的中长期途客货运输通道；宜宾港通过充分依托本地工业产业发展临港经济，积极拓展</w:t>
      </w:r>
      <w:r>
        <w:rPr>
          <w:rFonts w:eastAsiaTheme="minorEastAsia"/>
          <w:b/>
          <w:sz w:val="28"/>
          <w:szCs w:val="28"/>
          <w:highlight w:val="none"/>
        </w:rPr>
        <w:t>川南、攀西六盘水和云南</w:t>
      </w:r>
      <w:r>
        <w:rPr>
          <w:rFonts w:eastAsiaTheme="minorEastAsia"/>
          <w:sz w:val="28"/>
          <w:szCs w:val="28"/>
          <w:highlight w:val="none"/>
        </w:rPr>
        <w:t>货运市场，港口港后方的临港经济技术开发区作为宜宾三江新区的重组成部分，后发优势十分明显；泸州港位于宜宾港下游，至长江中下游运距比宜宾少133km，对吸引</w:t>
      </w:r>
      <w:r>
        <w:rPr>
          <w:rFonts w:eastAsiaTheme="minorEastAsia"/>
          <w:b/>
          <w:sz w:val="28"/>
          <w:szCs w:val="28"/>
          <w:highlight w:val="none"/>
        </w:rPr>
        <w:t>成都平原经济区附加值较高的货源</w:t>
      </w:r>
      <w:r>
        <w:rPr>
          <w:rFonts w:eastAsiaTheme="minorEastAsia"/>
          <w:sz w:val="28"/>
          <w:szCs w:val="28"/>
          <w:highlight w:val="none"/>
        </w:rPr>
        <w:t>有较大优势，且起步较早，具有较强的货源吸引能力。近年来，泸州港通过加快集疏运体系的建设，构建完善的水陆交通枢纽，不断增强港口对区域经济协调发展的辐射带动作用。同时，泸州港依托四川自由贸易区川南临港片区的优惠政策，已在川滇黔地区取得了较强的领先发展优势。</w:t>
      </w:r>
    </w:p>
    <w:p>
      <w:pPr>
        <w:ind w:firstLine="560" w:firstLineChars="200"/>
        <w:rPr>
          <w:rFonts w:eastAsiaTheme="minorEastAsia"/>
          <w:sz w:val="28"/>
          <w:szCs w:val="28"/>
          <w:highlight w:val="none"/>
        </w:rPr>
      </w:pPr>
      <w:r>
        <w:rPr>
          <w:rFonts w:eastAsiaTheme="minorEastAsia"/>
          <w:sz w:val="28"/>
          <w:szCs w:val="28"/>
          <w:highlight w:val="none"/>
        </w:rPr>
        <w:t>乐山港作为</w:t>
      </w:r>
      <w:r>
        <w:rPr>
          <w:rFonts w:hint="eastAsia" w:eastAsiaTheme="minorEastAsia"/>
          <w:sz w:val="28"/>
          <w:szCs w:val="28"/>
          <w:highlight w:val="none"/>
        </w:rPr>
        <w:t>四川省地区重要港口</w:t>
      </w:r>
      <w:r>
        <w:rPr>
          <w:rFonts w:eastAsiaTheme="minorEastAsia"/>
          <w:sz w:val="28"/>
          <w:szCs w:val="28"/>
          <w:highlight w:val="none"/>
        </w:rPr>
        <w:t>，将发展成为</w:t>
      </w:r>
      <w:r>
        <w:rPr>
          <w:rFonts w:hint="eastAsia" w:eastAsiaTheme="minorEastAsia"/>
          <w:sz w:val="28"/>
          <w:szCs w:val="28"/>
          <w:highlight w:val="none"/>
        </w:rPr>
        <w:t>全国内河主要港口</w:t>
      </w:r>
      <w:r>
        <w:rPr>
          <w:rFonts w:eastAsiaTheme="minorEastAsia"/>
          <w:sz w:val="28"/>
          <w:szCs w:val="28"/>
          <w:highlight w:val="none"/>
        </w:rPr>
        <w:t>泸州</w:t>
      </w:r>
      <w:r>
        <w:rPr>
          <w:rFonts w:hint="eastAsia" w:eastAsiaTheme="minorEastAsia"/>
          <w:sz w:val="28"/>
          <w:szCs w:val="28"/>
          <w:highlight w:val="none"/>
        </w:rPr>
        <w:t>港</w:t>
      </w:r>
      <w:r>
        <w:rPr>
          <w:rFonts w:eastAsiaTheme="minorEastAsia"/>
          <w:sz w:val="28"/>
          <w:szCs w:val="28"/>
          <w:highlight w:val="none"/>
        </w:rPr>
        <w:t>、宜宾</w:t>
      </w:r>
      <w:r>
        <w:rPr>
          <w:rFonts w:hint="eastAsia" w:eastAsiaTheme="minorEastAsia"/>
          <w:sz w:val="28"/>
          <w:szCs w:val="28"/>
          <w:highlight w:val="none"/>
        </w:rPr>
        <w:t>港</w:t>
      </w:r>
      <w:r>
        <w:rPr>
          <w:rFonts w:eastAsiaTheme="minorEastAsia"/>
          <w:sz w:val="28"/>
          <w:szCs w:val="28"/>
          <w:highlight w:val="none"/>
        </w:rPr>
        <w:t>的喂给港。同时，</w:t>
      </w:r>
      <w:r>
        <w:rPr>
          <w:rFonts w:hint="eastAsia" w:eastAsiaTheme="minorEastAsia"/>
          <w:sz w:val="28"/>
          <w:szCs w:val="28"/>
          <w:highlight w:val="none"/>
        </w:rPr>
        <w:t>乐山港</w:t>
      </w:r>
      <w:r>
        <w:rPr>
          <w:rFonts w:eastAsiaTheme="minorEastAsia"/>
          <w:sz w:val="28"/>
          <w:szCs w:val="28"/>
          <w:highlight w:val="none"/>
        </w:rPr>
        <w:t>应积极加强与长江干线宜宾港、泸州港在物流发展和航线拓展等方面的合作，形成优势资源的互补，实现错位发展，达到合作共赢的目的。</w:t>
      </w:r>
    </w:p>
    <w:bookmarkEnd w:id="87"/>
    <w:p>
      <w:pPr>
        <w:spacing w:before="156" w:beforeLines="50" w:after="156" w:afterLines="50" w:line="520" w:lineRule="exact"/>
        <w:jc w:val="center"/>
        <w:outlineLvl w:val="1"/>
        <w:rPr>
          <w:rFonts w:eastAsia="黑体"/>
          <w:b/>
          <w:sz w:val="30"/>
          <w:highlight w:val="none"/>
        </w:rPr>
      </w:pPr>
      <w:bookmarkStart w:id="92" w:name="_Toc67908223"/>
      <w:bookmarkStart w:id="93" w:name="_Toc77781888"/>
      <w:r>
        <w:rPr>
          <w:rFonts w:eastAsia="黑体"/>
          <w:b/>
          <w:sz w:val="30"/>
          <w:highlight w:val="none"/>
        </w:rPr>
        <w:t>第三节腹地经济社会发展现状及趋势</w:t>
      </w:r>
      <w:bookmarkEnd w:id="92"/>
      <w:bookmarkEnd w:id="93"/>
    </w:p>
    <w:p>
      <w:pPr>
        <w:spacing w:line="360" w:lineRule="auto"/>
        <w:ind w:firstLine="562" w:firstLineChars="200"/>
        <w:outlineLvl w:val="2"/>
        <w:rPr>
          <w:rFonts w:eastAsia="黑体"/>
          <w:b/>
          <w:sz w:val="28"/>
          <w:szCs w:val="28"/>
          <w:highlight w:val="none"/>
        </w:rPr>
      </w:pPr>
      <w:bookmarkStart w:id="94" w:name="_Toc67924628"/>
      <w:bookmarkStart w:id="95" w:name="_Toc53089201"/>
      <w:bookmarkStart w:id="96" w:name="_Toc77781889"/>
      <w:bookmarkStart w:id="97" w:name="_Toc67908224"/>
      <w:r>
        <w:rPr>
          <w:rFonts w:eastAsia="黑体"/>
          <w:b/>
          <w:sz w:val="28"/>
          <w:szCs w:val="28"/>
          <w:highlight w:val="none"/>
        </w:rPr>
        <w:t>一、腹地经济社会发展现状</w:t>
      </w:r>
      <w:bookmarkEnd w:id="94"/>
      <w:bookmarkEnd w:id="95"/>
      <w:bookmarkEnd w:id="96"/>
      <w:bookmarkEnd w:id="97"/>
    </w:p>
    <w:p>
      <w:pPr>
        <w:pStyle w:val="6"/>
        <w:spacing w:before="0" w:after="0" w:line="360" w:lineRule="auto"/>
        <w:ind w:firstLine="562" w:firstLineChars="200"/>
        <w:rPr>
          <w:rFonts w:ascii="Times New Roman" w:hAnsi="Times New Roman" w:cs="Times New Roman"/>
          <w:highlight w:val="none"/>
        </w:rPr>
      </w:pPr>
      <w:r>
        <w:rPr>
          <w:rFonts w:ascii="Times New Roman" w:hAnsi="Times New Roman" w:cs="Times New Roman"/>
          <w:highlight w:val="none"/>
        </w:rPr>
        <w:t>（一）国民经济发展现状</w:t>
      </w:r>
    </w:p>
    <w:p>
      <w:pPr>
        <w:pStyle w:val="14"/>
        <w:numPr>
          <w:ilvl w:val="255"/>
          <w:numId w:val="0"/>
        </w:numPr>
        <w:spacing w:after="0" w:line="360" w:lineRule="auto"/>
        <w:ind w:firstLine="562" w:firstLineChars="200"/>
        <w:rPr>
          <w:rFonts w:ascii="Times New Roman" w:hAnsi="Times New Roman" w:cs="Times New Roman"/>
          <w:b/>
          <w:bCs/>
          <w:sz w:val="28"/>
          <w:szCs w:val="28"/>
          <w:highlight w:val="none"/>
        </w:rPr>
      </w:pPr>
      <w:r>
        <w:rPr>
          <w:rFonts w:ascii="Times New Roman" w:hAnsi="Times New Roman" w:cs="Times New Roman"/>
          <w:b/>
          <w:bCs/>
          <w:sz w:val="28"/>
          <w:szCs w:val="28"/>
          <w:highlight w:val="none"/>
        </w:rPr>
        <w:t>1.乐山市经济发展现状</w:t>
      </w:r>
    </w:p>
    <w:p>
      <w:pPr>
        <w:spacing w:line="360" w:lineRule="auto"/>
        <w:ind w:firstLine="560" w:firstLineChars="200"/>
        <w:rPr>
          <w:sz w:val="28"/>
          <w:szCs w:val="28"/>
          <w:highlight w:val="none"/>
        </w:rPr>
      </w:pPr>
      <w:r>
        <w:rPr>
          <w:sz w:val="28"/>
          <w:szCs w:val="28"/>
          <w:highlight w:val="none"/>
        </w:rPr>
        <w:t>乐山市古称嘉州，有“海棠香国”的美誉，位于四川省中部，四川盆地的西南部，地势西南高、东北低，属中亚热带气候带。乐山是四川省重要工业城市、成都经济区南部区域中心城市、重要枢纽城市、成渝地区双城经济圈成德绵乐城市带区域中心城市。近年来，乐山市处于经济快速发展时期，GDP总量逐年增长，产业结构逐步优化，第二产业逐步转型升级，第三产业占比逐年上升，旅游业等产业发展迅速。</w:t>
      </w:r>
      <w:r>
        <w:rPr>
          <w:rFonts w:hint="eastAsia"/>
          <w:sz w:val="28"/>
          <w:szCs w:val="28"/>
          <w:highlight w:val="none"/>
        </w:rPr>
        <w:t>截至2020年年底，乐山市全年实现地区生产总值（GDP）2003.43亿元，按可比价格计算，比上年增长4.1%。其中，第一产业增加值290.33亿元，第二产业增加值823.08亿元，第三产业增加值890.02亿元，三次产业结构为14.5：41.1：44.4。</w:t>
      </w:r>
    </w:p>
    <w:p>
      <w:pPr>
        <w:jc w:val="center"/>
        <w:rPr>
          <w:sz w:val="28"/>
          <w:szCs w:val="28"/>
          <w:highlight w:val="none"/>
        </w:rPr>
      </w:pPr>
      <w:r>
        <w:rPr>
          <w:highlight w:val="none"/>
        </w:rPr>
        <w:drawing>
          <wp:inline distT="0" distB="0" distL="0" distR="0">
            <wp:extent cx="5686425" cy="3381375"/>
            <wp:effectExtent l="0" t="0" r="9525" b="952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jc w:val="center"/>
        <w:rPr>
          <w:b/>
          <w:sz w:val="24"/>
          <w:highlight w:val="none"/>
        </w:rPr>
      </w:pPr>
      <w:r>
        <w:rPr>
          <w:b/>
          <w:sz w:val="24"/>
          <w:highlight w:val="none"/>
        </w:rPr>
        <w:t>图2.3-1 乐山市国民经济发展趋势图</w:t>
      </w:r>
    </w:p>
    <w:p>
      <w:pPr>
        <w:pStyle w:val="14"/>
        <w:numPr>
          <w:ilvl w:val="255"/>
          <w:numId w:val="0"/>
        </w:numPr>
        <w:spacing w:after="0" w:line="360" w:lineRule="auto"/>
        <w:ind w:firstLine="562" w:firstLineChars="200"/>
        <w:rPr>
          <w:rFonts w:ascii="Times New Roman" w:hAnsi="Times New Roman" w:cs="Times New Roman"/>
          <w:b/>
          <w:bCs/>
          <w:sz w:val="28"/>
          <w:szCs w:val="28"/>
          <w:highlight w:val="none"/>
        </w:rPr>
      </w:pPr>
      <w:r>
        <w:rPr>
          <w:rFonts w:ascii="Times New Roman" w:hAnsi="Times New Roman" w:cs="Times New Roman"/>
          <w:b/>
          <w:bCs/>
          <w:sz w:val="28"/>
          <w:szCs w:val="28"/>
          <w:highlight w:val="none"/>
        </w:rPr>
        <w:t>2.其他直接经济腹地国民经济发展现状</w:t>
      </w:r>
    </w:p>
    <w:p>
      <w:pPr>
        <w:spacing w:line="360" w:lineRule="auto"/>
        <w:ind w:firstLine="560" w:firstLineChars="200"/>
        <w:rPr>
          <w:sz w:val="28"/>
          <w:szCs w:val="28"/>
          <w:highlight w:val="none"/>
        </w:rPr>
      </w:pPr>
      <w:r>
        <w:rPr>
          <w:sz w:val="28"/>
          <w:szCs w:val="28"/>
          <w:highlight w:val="none"/>
        </w:rPr>
        <w:t>成都平原经济区包括成都、德阳、绵阳、乐山、眉山、资阳、遂宁、雅安8市，是全省经济发展的“龙头”，经济发展水平较高，产业体系较为完备，是西部地区重要的金融、物流、商贸中心和全国重要的旅游目的地。成都平原经济区8市州中，成都市、德阳市、眉山市、雅安市和乐山市5市州均为乐山港的直接腹地。</w:t>
      </w:r>
      <w:r>
        <w:rPr>
          <w:rFonts w:hint="eastAsia"/>
          <w:sz w:val="28"/>
          <w:szCs w:val="28"/>
          <w:highlight w:val="none"/>
        </w:rPr>
        <w:t>由于受疫情影响，2020年各市州GDP数据异常，故本规划使用2019年GDP数据进行分析，成都市、德阳市、乐山市、眉山市和雅安市2019年经济总量23315.85亿元，占四川省全省经济总量的50%，第一产业增加值1416.67亿元，第二产业增加值7965.23亿元，第三产业增加值13913.95亿元，三次产业结构为6.1:34.2:59.7。</w:t>
      </w:r>
      <w:r>
        <w:rPr>
          <w:sz w:val="28"/>
          <w:szCs w:val="28"/>
          <w:highlight w:val="none"/>
        </w:rPr>
        <w:t>各市2019年GDP情况如图2.3-2所示。</w:t>
      </w:r>
    </w:p>
    <w:p>
      <w:pPr>
        <w:spacing w:line="360" w:lineRule="auto"/>
        <w:ind w:firstLine="420" w:firstLineChars="200"/>
        <w:jc w:val="center"/>
        <w:rPr>
          <w:sz w:val="28"/>
          <w:szCs w:val="28"/>
          <w:highlight w:val="none"/>
        </w:rPr>
      </w:pPr>
      <w:r>
        <w:rPr>
          <w:highlight w:val="none"/>
        </w:rPr>
        <w:drawing>
          <wp:inline distT="0" distB="0" distL="0" distR="0">
            <wp:extent cx="4572000" cy="2743200"/>
            <wp:effectExtent l="0" t="0" r="0" b="0"/>
            <wp:docPr id="35" name="图表 35"/>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jc w:val="center"/>
        <w:rPr>
          <w:b/>
          <w:sz w:val="24"/>
          <w:highlight w:val="none"/>
        </w:rPr>
      </w:pPr>
      <w:r>
        <w:rPr>
          <w:b/>
          <w:sz w:val="24"/>
          <w:highlight w:val="none"/>
        </w:rPr>
        <w:t>图2.3-2 成都平原经济区其他国民经济发展现状图</w:t>
      </w:r>
    </w:p>
    <w:p>
      <w:pPr>
        <w:pStyle w:val="6"/>
        <w:spacing w:before="312" w:beforeLines="100" w:after="0" w:line="360" w:lineRule="auto"/>
        <w:ind w:firstLine="562" w:firstLineChars="200"/>
        <w:rPr>
          <w:rFonts w:ascii="Times New Roman" w:hAnsi="Times New Roman" w:cs="Times New Roman"/>
          <w:highlight w:val="none"/>
        </w:rPr>
      </w:pPr>
      <w:bookmarkStart w:id="98" w:name="_Toc39688275"/>
      <w:bookmarkStart w:id="99" w:name="_Toc39690693"/>
      <w:r>
        <w:rPr>
          <w:rFonts w:ascii="Times New Roman" w:hAnsi="Times New Roman" w:cs="Times New Roman"/>
          <w:highlight w:val="none"/>
        </w:rPr>
        <w:t>（二）旅游业发展现状</w:t>
      </w:r>
      <w:bookmarkEnd w:id="98"/>
      <w:bookmarkEnd w:id="99"/>
    </w:p>
    <w:p>
      <w:pPr>
        <w:pStyle w:val="14"/>
        <w:numPr>
          <w:ilvl w:val="255"/>
          <w:numId w:val="0"/>
        </w:numPr>
        <w:spacing w:after="0" w:line="360" w:lineRule="auto"/>
        <w:ind w:firstLine="562" w:firstLineChars="200"/>
        <w:rPr>
          <w:rFonts w:ascii="Times New Roman" w:hAnsi="Times New Roman" w:cs="Times New Roman"/>
          <w:b/>
          <w:bCs/>
          <w:sz w:val="28"/>
          <w:szCs w:val="28"/>
          <w:highlight w:val="none"/>
        </w:rPr>
      </w:pPr>
      <w:r>
        <w:rPr>
          <w:rFonts w:ascii="Times New Roman" w:hAnsi="Times New Roman" w:cs="Times New Roman"/>
          <w:b/>
          <w:bCs/>
          <w:sz w:val="28"/>
          <w:szCs w:val="28"/>
          <w:highlight w:val="none"/>
        </w:rPr>
        <w:t>1.乐山市旅游业发展现状</w:t>
      </w:r>
    </w:p>
    <w:p>
      <w:pPr>
        <w:spacing w:line="360" w:lineRule="auto"/>
        <w:ind w:firstLine="560" w:firstLineChars="200"/>
        <w:rPr>
          <w:sz w:val="28"/>
          <w:szCs w:val="28"/>
          <w:highlight w:val="none"/>
        </w:rPr>
      </w:pPr>
      <w:r>
        <w:rPr>
          <w:sz w:val="28"/>
          <w:szCs w:val="28"/>
          <w:highlight w:val="none"/>
        </w:rPr>
        <w:t>乐山市旅游资源类型多样、数量庞大，世界级资源荟萃，国家级资源富集，具有极强的国内和国际吸引力；生态度假、康养运动、人文休闲、文化探秘等不同种类资源组合度好，综合旅游开发价值比较高；水利风景资源类型丰富，水系骨架明晰，水域生态环境良好，水体联网，水域纵深广阔，人文景观众多，水文化特色明显，具有较高的美学价值和历史文化价值，水上旅游发展基础良好。近年来乐山市旅游业发展迅速，旅客接待人数基本呈指数增长。</w:t>
      </w:r>
      <w:r>
        <w:rPr>
          <w:rFonts w:hint="eastAsia"/>
          <w:sz w:val="28"/>
          <w:szCs w:val="28"/>
          <w:highlight w:val="none"/>
        </w:rPr>
        <w:t>受疫情影响，乐山全市2020年接待国内外旅客人数7072万人次，旅游收入1040亿元。</w:t>
      </w:r>
    </w:p>
    <w:p>
      <w:pPr>
        <w:pStyle w:val="14"/>
        <w:numPr>
          <w:ilvl w:val="255"/>
          <w:numId w:val="0"/>
        </w:numPr>
        <w:spacing w:after="0" w:line="360" w:lineRule="auto"/>
        <w:ind w:firstLine="562" w:firstLineChars="200"/>
        <w:rPr>
          <w:rFonts w:ascii="Times New Roman" w:hAnsi="Times New Roman" w:cs="Times New Roman"/>
          <w:b/>
          <w:bCs/>
          <w:sz w:val="28"/>
          <w:szCs w:val="28"/>
          <w:highlight w:val="none"/>
        </w:rPr>
      </w:pPr>
      <w:r>
        <w:rPr>
          <w:rFonts w:ascii="Times New Roman" w:hAnsi="Times New Roman" w:cs="Times New Roman"/>
          <w:b/>
          <w:bCs/>
          <w:sz w:val="28"/>
          <w:szCs w:val="28"/>
          <w:highlight w:val="none"/>
        </w:rPr>
        <w:t>2.其他直接经济腹地旅游业发展现状</w:t>
      </w:r>
    </w:p>
    <w:p>
      <w:pPr>
        <w:spacing w:line="360" w:lineRule="auto"/>
        <w:ind w:firstLine="560" w:firstLineChars="200"/>
        <w:rPr>
          <w:sz w:val="28"/>
          <w:szCs w:val="28"/>
          <w:highlight w:val="none"/>
        </w:rPr>
      </w:pPr>
      <w:r>
        <w:rPr>
          <w:sz w:val="28"/>
          <w:szCs w:val="28"/>
          <w:highlight w:val="none"/>
        </w:rPr>
        <w:t>成都市、德阳市、眉山市和雅安市4市旅游资源众多，旅游业发达，4市共有1个5A级旅游景区（青城山-都江堰旅游景区）、76个4A级旅游景区、49个3A级旅游景区，分别占四川省5A、4A和3A级旅游景区8%、31%和26%。4市旅游区位优势也很明显，成都市是四川省最大的旅游市场，作为网红城市，被网络评选为“最具幸福感城市”，每年吸引着大量的游客游玩，同时，眉山、德阳和雅安紧邻成都市，依托成都市充足的客源，旅游业发展也很迅速。</w:t>
      </w:r>
      <w:r>
        <w:rPr>
          <w:rFonts w:hint="eastAsia"/>
          <w:sz w:val="28"/>
          <w:szCs w:val="28"/>
          <w:highlight w:val="none"/>
        </w:rPr>
        <w:t>2020年受疫情影响，4市州旅客接待人数和旅游收入均有所降低，分别为2.82亿人次和3980.06亿元。</w:t>
      </w:r>
    </w:p>
    <w:p>
      <w:pPr>
        <w:pStyle w:val="6"/>
        <w:spacing w:before="0" w:after="0" w:line="360" w:lineRule="auto"/>
        <w:ind w:firstLine="562" w:firstLineChars="200"/>
        <w:rPr>
          <w:rFonts w:ascii="Times New Roman" w:hAnsi="Times New Roman" w:cs="Times New Roman"/>
          <w:highlight w:val="none"/>
        </w:rPr>
      </w:pPr>
      <w:bookmarkStart w:id="100" w:name="_Toc39690694"/>
      <w:bookmarkStart w:id="101" w:name="_Toc39688276"/>
      <w:r>
        <w:rPr>
          <w:rFonts w:ascii="Times New Roman" w:hAnsi="Times New Roman" w:cs="Times New Roman"/>
          <w:highlight w:val="none"/>
        </w:rPr>
        <w:t>（三）工业发展现状</w:t>
      </w:r>
      <w:bookmarkEnd w:id="100"/>
      <w:bookmarkEnd w:id="101"/>
    </w:p>
    <w:p>
      <w:pPr>
        <w:pStyle w:val="14"/>
        <w:numPr>
          <w:ilvl w:val="255"/>
          <w:numId w:val="0"/>
        </w:numPr>
        <w:spacing w:after="0" w:line="360" w:lineRule="auto"/>
        <w:ind w:firstLine="562" w:firstLineChars="200"/>
        <w:rPr>
          <w:rFonts w:ascii="Times New Roman" w:hAnsi="Times New Roman" w:cs="Times New Roman"/>
          <w:b/>
          <w:bCs/>
          <w:sz w:val="28"/>
          <w:szCs w:val="28"/>
          <w:highlight w:val="none"/>
        </w:rPr>
      </w:pPr>
      <w:r>
        <w:rPr>
          <w:rFonts w:ascii="Times New Roman" w:hAnsi="Times New Roman" w:cs="Times New Roman"/>
          <w:b/>
          <w:bCs/>
          <w:sz w:val="28"/>
          <w:szCs w:val="28"/>
          <w:highlight w:val="none"/>
        </w:rPr>
        <w:t>1.乐山市工业发展现状</w:t>
      </w:r>
    </w:p>
    <w:p>
      <w:pPr>
        <w:spacing w:line="360" w:lineRule="auto"/>
        <w:ind w:firstLine="560" w:firstLineChars="200"/>
        <w:rPr>
          <w:sz w:val="28"/>
          <w:szCs w:val="28"/>
          <w:highlight w:val="none"/>
        </w:rPr>
      </w:pPr>
      <w:r>
        <w:rPr>
          <w:rFonts w:hint="eastAsia"/>
          <w:sz w:val="28"/>
          <w:szCs w:val="28"/>
          <w:highlight w:val="none"/>
        </w:rPr>
        <w:t>至2020年，全年工业增加值687.40亿元，比上年增长4.1%，占全市GDP的34.3%，拉动经济增长1.9个百分点，对经济增长的贡献率为45.9%。年末纳入月度统计的规模以上工业企业622户，规模以上工业企业增加值比上年增长5.0%。在规模以上工业增加值中，轻工业增加值下降3.1%，重工业增加值增长6.9%。规模以上工业产销率96.2%，比上年下降0.9个百分点。以晶硅光伏、先进材料、绿色化工、食品饮料和数字经济为核心的“4+1”现代产业体系加快建设，2020年全市4大主导产业营业收入1053.7亿元，同比增2.4%，实现总产值1079.1亿元，同比增长4.7%。</w:t>
      </w:r>
    </w:p>
    <w:p>
      <w:pPr>
        <w:pStyle w:val="14"/>
        <w:numPr>
          <w:ilvl w:val="255"/>
          <w:numId w:val="0"/>
        </w:numPr>
        <w:spacing w:after="0" w:line="360" w:lineRule="auto"/>
        <w:ind w:firstLine="560" w:firstLineChars="200"/>
        <w:rPr>
          <w:rFonts w:ascii="Times New Roman" w:hAnsi="Times New Roman" w:eastAsia="宋体" w:cs="Times New Roman"/>
          <w:sz w:val="28"/>
          <w:szCs w:val="28"/>
          <w:highlight w:val="none"/>
        </w:rPr>
      </w:pPr>
      <w:r>
        <w:rPr>
          <w:rFonts w:ascii="Times New Roman" w:hAnsi="Times New Roman" w:eastAsia="宋体" w:cs="Times New Roman"/>
          <w:sz w:val="28"/>
          <w:szCs w:val="28"/>
          <w:highlight w:val="none"/>
        </w:rPr>
        <w:t>2.其他直接腹地工业发展现状</w:t>
      </w:r>
    </w:p>
    <w:p>
      <w:pPr>
        <w:spacing w:line="360" w:lineRule="auto"/>
        <w:ind w:firstLine="560" w:firstLineChars="200"/>
        <w:rPr>
          <w:highlight w:val="none"/>
        </w:rPr>
      </w:pPr>
      <w:r>
        <w:rPr>
          <w:rFonts w:hint="eastAsia"/>
          <w:sz w:val="28"/>
          <w:szCs w:val="28"/>
          <w:highlight w:val="none"/>
        </w:rPr>
        <w:t>成都市、德阳市、眉山市和雅安市四市工业发展情况参差不齐，2020年4市工业增加值15589.21亿元，占全省工业营利性收入36%，其中仅成都市工业营利性收入就达到了12733.7亿元，德阳市、乐山市和眉山市工业营利性收入均在2000亿元以下。各市产业发展方向各异，优势产业互补，总体来看4市的优势产业为成都市的电子信息产品制造业、机械产业、汽车产业，德阳市的重大装备制造业及磷化工产业，眉山市的轨道交通装备制造业，雅安市的特色农产品加工业及汽车制造业。</w:t>
      </w:r>
    </w:p>
    <w:p>
      <w:pPr>
        <w:spacing w:line="360" w:lineRule="auto"/>
        <w:ind w:firstLine="562" w:firstLineChars="200"/>
        <w:outlineLvl w:val="2"/>
        <w:rPr>
          <w:rFonts w:eastAsia="黑体"/>
          <w:b/>
          <w:sz w:val="28"/>
          <w:szCs w:val="28"/>
          <w:highlight w:val="none"/>
        </w:rPr>
      </w:pPr>
      <w:bookmarkStart w:id="102" w:name="_Toc67908225"/>
      <w:bookmarkStart w:id="103" w:name="_Toc67924629"/>
      <w:bookmarkStart w:id="104" w:name="_Toc77781890"/>
      <w:bookmarkStart w:id="105" w:name="_Toc53089202"/>
      <w:r>
        <w:rPr>
          <w:rFonts w:eastAsia="黑体"/>
          <w:b/>
          <w:sz w:val="28"/>
          <w:szCs w:val="28"/>
          <w:highlight w:val="none"/>
        </w:rPr>
        <w:t>二、腹地经济社会发展规划</w:t>
      </w:r>
      <w:bookmarkEnd w:id="102"/>
      <w:bookmarkEnd w:id="103"/>
      <w:bookmarkEnd w:id="104"/>
      <w:bookmarkEnd w:id="105"/>
    </w:p>
    <w:p>
      <w:pPr>
        <w:pStyle w:val="6"/>
        <w:spacing w:before="0" w:after="0" w:line="360" w:lineRule="auto"/>
        <w:ind w:firstLine="562" w:firstLineChars="200"/>
        <w:rPr>
          <w:rFonts w:ascii="Times New Roman" w:hAnsi="Times New Roman" w:cs="Times New Roman"/>
          <w:highlight w:val="none"/>
        </w:rPr>
      </w:pPr>
      <w:r>
        <w:rPr>
          <w:rFonts w:ascii="Times New Roman" w:hAnsi="Times New Roman" w:cs="Times New Roman"/>
          <w:highlight w:val="none"/>
        </w:rPr>
        <w:t>（一）乐山市经济社会发展规划</w:t>
      </w:r>
    </w:p>
    <w:p>
      <w:pPr>
        <w:ind w:firstLine="560"/>
        <w:rPr>
          <w:bCs/>
          <w:sz w:val="28"/>
          <w:szCs w:val="28"/>
          <w:highlight w:val="none"/>
        </w:rPr>
      </w:pPr>
      <w:r>
        <w:rPr>
          <w:bCs/>
          <w:sz w:val="28"/>
          <w:szCs w:val="28"/>
          <w:highlight w:val="none"/>
        </w:rPr>
        <w:t>乐山市“十四五”期将奋力打造“</w:t>
      </w:r>
      <w:r>
        <w:rPr>
          <w:rFonts w:hint="eastAsia"/>
          <w:bCs/>
          <w:sz w:val="28"/>
          <w:szCs w:val="28"/>
          <w:highlight w:val="none"/>
        </w:rPr>
        <w:t>产业强市、旅游兴市</w:t>
      </w:r>
      <w:r>
        <w:rPr>
          <w:bCs/>
          <w:sz w:val="28"/>
          <w:szCs w:val="28"/>
          <w:highlight w:val="none"/>
        </w:rPr>
        <w:t>”新发展格局。坚持把经济发展着力点放在实体经济上，对接全省“一轴两翼三带”区域经济布局，优化形成“1＋2＋6＋N”市域经济总体布局，构建以乐山国家高新区为龙头，以创建国家级开发区和省级新区为引领，以五通桥区、沙湾区、峨眉山市、犍为县、井研县、夹江县六个省级开发区为支撑，以若干现代农业产业园区、现代服务业集聚区为节点的现代产业承载体系，培育一批县域经济发展强县、先进县、进步县，努力把乐山建成经济总量占比高、综合承载能力强、创新发展动能强、区域带动作用强的全省经济副中心，成为成渝地区经济高质量发展的重要增长极和动力源。</w:t>
      </w:r>
    </w:p>
    <w:p>
      <w:pPr>
        <w:pStyle w:val="6"/>
        <w:spacing w:before="0" w:after="0" w:line="360" w:lineRule="auto"/>
        <w:ind w:firstLine="562" w:firstLineChars="200"/>
        <w:rPr>
          <w:rFonts w:ascii="Times New Roman" w:hAnsi="Times New Roman" w:cs="Times New Roman"/>
          <w:highlight w:val="none"/>
        </w:rPr>
      </w:pPr>
      <w:r>
        <w:rPr>
          <w:rFonts w:ascii="Times New Roman" w:hAnsi="Times New Roman" w:cs="Times New Roman"/>
          <w:highlight w:val="none"/>
        </w:rPr>
        <w:t>（二）其他直接腹地经济社会发展规划</w:t>
      </w:r>
    </w:p>
    <w:p>
      <w:pPr>
        <w:ind w:firstLine="560"/>
        <w:rPr>
          <w:sz w:val="28"/>
          <w:szCs w:val="28"/>
          <w:highlight w:val="none"/>
        </w:rPr>
      </w:pPr>
      <w:r>
        <w:rPr>
          <w:sz w:val="28"/>
          <w:szCs w:val="28"/>
          <w:highlight w:val="none"/>
        </w:rPr>
        <w:t>四川省将坚持以现代产业体系为支柱、现代城镇体系为载体、现代基础设施体系为支撑，把发展经济着力点放在实体经济上，深入推进新型工业化、信息化、城镇化、农业现代化，提升产业链供应链现代化水平，提升经济质量效益和核心竞争力。未来四川省将继续保持制造业比重基本稳定，发挥先进制造业的支撑引领作用，把特色优势产业和战略性新兴产业作为主攻方向，完善“5+1”现代工业体系，加快建设制造强省。实施产业基础再造工程，推动制造业转型升级。引导产业集聚集群集约发展，打造全球重要的电子信息、装备制造、食品饮料等产业集群和全国重要的先进材料、能源化工、口腔医疗、核技术应用等产业集群，培育人工智能、生物工程、量子信息等未来产业集群。创建制造业高质量发展国家级示范区。积极承接东部沿海地区产业转移。推动智能建造与建筑工业化协同发展，促进建筑业转型升级。</w:t>
      </w:r>
    </w:p>
    <w:p>
      <w:pPr>
        <w:spacing w:before="156" w:beforeLines="50" w:after="156" w:afterLines="50" w:line="520" w:lineRule="exact"/>
        <w:jc w:val="center"/>
        <w:outlineLvl w:val="1"/>
        <w:rPr>
          <w:rFonts w:eastAsia="黑体"/>
          <w:b/>
          <w:sz w:val="30"/>
          <w:highlight w:val="none"/>
        </w:rPr>
      </w:pPr>
      <w:bookmarkStart w:id="106" w:name="_Toc67908226"/>
      <w:bookmarkStart w:id="107" w:name="_Toc77781891"/>
      <w:r>
        <w:rPr>
          <w:rFonts w:eastAsia="黑体"/>
          <w:b/>
          <w:sz w:val="30"/>
          <w:highlight w:val="none"/>
        </w:rPr>
        <w:t>第四节水路运输需求分析</w:t>
      </w:r>
      <w:bookmarkEnd w:id="106"/>
      <w:bookmarkEnd w:id="107"/>
    </w:p>
    <w:p>
      <w:pPr>
        <w:spacing w:line="360" w:lineRule="auto"/>
        <w:ind w:firstLine="560" w:firstLineChars="200"/>
        <w:rPr>
          <w:sz w:val="28"/>
          <w:szCs w:val="28"/>
          <w:highlight w:val="none"/>
        </w:rPr>
      </w:pPr>
      <w:r>
        <w:rPr>
          <w:sz w:val="28"/>
          <w:szCs w:val="28"/>
          <w:highlight w:val="none"/>
        </w:rPr>
        <w:t>港口运输需求的发展与腹地经济社会的发展和综合交通体系的完善息息相关。经济社会的发展是货源产生的源头，综合交通体系的完善是保证货流源头与港口输送的必要条件。</w:t>
      </w:r>
    </w:p>
    <w:p>
      <w:pPr>
        <w:spacing w:line="360" w:lineRule="auto"/>
        <w:ind w:firstLine="560" w:firstLineChars="200"/>
        <w:rPr>
          <w:sz w:val="28"/>
          <w:szCs w:val="28"/>
          <w:highlight w:val="none"/>
        </w:rPr>
      </w:pPr>
      <w:r>
        <w:rPr>
          <w:sz w:val="28"/>
          <w:szCs w:val="28"/>
          <w:highlight w:val="none"/>
        </w:rPr>
        <w:t>未来，随着乐山市“产业强市”的持续推进，“</w:t>
      </w:r>
      <w:r>
        <w:rPr>
          <w:rFonts w:hint="eastAsia"/>
          <w:sz w:val="28"/>
          <w:szCs w:val="28"/>
          <w:highlight w:val="none"/>
        </w:rPr>
        <w:t>以乐山高新区为龙头，以五通桥、夹江、沙湾、犍为、峨眉等产业基地为支撑</w:t>
      </w:r>
      <w:r>
        <w:rPr>
          <w:sz w:val="28"/>
          <w:szCs w:val="28"/>
          <w:highlight w:val="none"/>
        </w:rPr>
        <w:t>”的打造，</w:t>
      </w:r>
      <w:r>
        <w:rPr>
          <w:rFonts w:hint="eastAsia"/>
          <w:sz w:val="28"/>
          <w:szCs w:val="28"/>
          <w:highlight w:val="none"/>
        </w:rPr>
        <w:t>五大现代产业体系</w:t>
      </w:r>
      <w:r>
        <w:rPr>
          <w:sz w:val="28"/>
          <w:szCs w:val="28"/>
          <w:highlight w:val="none"/>
        </w:rPr>
        <w:t>的构建，乐山市水路货物的种类将更加丰富，数量将快速增长；随着四川省“</w:t>
      </w:r>
      <w:r>
        <w:rPr>
          <w:rFonts w:hint="eastAsia"/>
          <w:sz w:val="28"/>
          <w:szCs w:val="28"/>
          <w:highlight w:val="none"/>
        </w:rPr>
        <w:t>四化同步、城乡融合、五区共兴</w:t>
      </w:r>
      <w:r>
        <w:rPr>
          <w:sz w:val="28"/>
          <w:szCs w:val="28"/>
          <w:highlight w:val="none"/>
        </w:rPr>
        <w:t>”战略、成渝地区双城经济圈建设和国内国际双循环门户枢纽构建等战略的不断推进，各区域的合作更加紧密，乐山作为成都经济区南部区域中心城市、重要枢纽城市、成渝城市群重要交通节点和港口城市，未来将会承担更多成都平原经济区的货运需求；随着乐山市“水运+旅游”融合尝试的深入，川渝共建巴蜀文化走廊的推进，水上旅游体系的建立，水上旅游将得到更好的发展机遇。因此，随着全国、四川省和乐山市国民经济和社会的发展，乐山市的客货运将蓬勃发展。</w:t>
      </w:r>
    </w:p>
    <w:p>
      <w:pPr>
        <w:spacing w:line="360" w:lineRule="auto"/>
        <w:ind w:firstLine="562" w:firstLineChars="200"/>
        <w:outlineLvl w:val="2"/>
        <w:rPr>
          <w:rFonts w:eastAsia="黑体"/>
          <w:b/>
          <w:sz w:val="28"/>
          <w:szCs w:val="28"/>
          <w:highlight w:val="none"/>
        </w:rPr>
      </w:pPr>
      <w:bookmarkStart w:id="108" w:name="_Toc53089204"/>
      <w:bookmarkStart w:id="109" w:name="_Toc77781892"/>
      <w:bookmarkStart w:id="110" w:name="_Toc67924631"/>
      <w:bookmarkStart w:id="111" w:name="_Toc67908227"/>
      <w:r>
        <w:rPr>
          <w:rFonts w:eastAsia="黑体"/>
          <w:b/>
          <w:sz w:val="28"/>
          <w:szCs w:val="28"/>
          <w:highlight w:val="none"/>
        </w:rPr>
        <w:t>一、</w:t>
      </w:r>
      <w:bookmarkEnd w:id="108"/>
      <w:r>
        <w:rPr>
          <w:rFonts w:eastAsia="黑体"/>
          <w:b/>
          <w:sz w:val="28"/>
          <w:szCs w:val="28"/>
          <w:highlight w:val="none"/>
        </w:rPr>
        <w:t>产业经济转型升级，水运需求继续增长，货运结构持续调整</w:t>
      </w:r>
      <w:bookmarkEnd w:id="109"/>
      <w:bookmarkEnd w:id="110"/>
      <w:bookmarkEnd w:id="111"/>
    </w:p>
    <w:p>
      <w:pPr>
        <w:spacing w:line="360" w:lineRule="auto"/>
        <w:ind w:firstLine="560" w:firstLineChars="200"/>
        <w:rPr>
          <w:sz w:val="28"/>
          <w:szCs w:val="28"/>
          <w:highlight w:val="none"/>
        </w:rPr>
      </w:pPr>
      <w:bookmarkStart w:id="112" w:name="_Toc53089205"/>
      <w:r>
        <w:rPr>
          <w:sz w:val="28"/>
          <w:szCs w:val="28"/>
          <w:highlight w:val="none"/>
        </w:rPr>
        <w:t>随着交通强国和交通强省的建设，成渝地区双城经济圈的构建，以及“</w:t>
      </w:r>
      <w:r>
        <w:rPr>
          <w:rFonts w:hint="eastAsia"/>
          <w:sz w:val="28"/>
          <w:szCs w:val="28"/>
          <w:highlight w:val="none"/>
        </w:rPr>
        <w:t>以乐山高新区为龙头，以五通桥、夹江、沙湾、犍为、峨眉等产业基地为支撑</w:t>
      </w:r>
      <w:r>
        <w:rPr>
          <w:sz w:val="28"/>
          <w:szCs w:val="28"/>
          <w:highlight w:val="none"/>
        </w:rPr>
        <w:t>”的打造，</w:t>
      </w:r>
      <w:r>
        <w:rPr>
          <w:rFonts w:hint="eastAsia"/>
          <w:sz w:val="28"/>
          <w:szCs w:val="28"/>
          <w:highlight w:val="none"/>
        </w:rPr>
        <w:t>五大现代产业体系</w:t>
      </w:r>
      <w:r>
        <w:rPr>
          <w:sz w:val="28"/>
          <w:szCs w:val="28"/>
          <w:highlight w:val="none"/>
        </w:rPr>
        <w:t>的</w:t>
      </w:r>
      <w:r>
        <w:rPr>
          <w:rFonts w:hint="eastAsia"/>
          <w:sz w:val="28"/>
          <w:szCs w:val="28"/>
          <w:highlight w:val="none"/>
        </w:rPr>
        <w:t>形成</w:t>
      </w:r>
      <w:r>
        <w:rPr>
          <w:sz w:val="28"/>
          <w:szCs w:val="28"/>
          <w:highlight w:val="none"/>
        </w:rPr>
        <w:t>，乐山市未来水路货运的货物结构将会有较大的调整和更大的发展空间。交通强国和交通强省的推进必将推动大宗长途适水货物的“公转水”，提高水路货运在全社会货物运输中的占比。成渝地区双城经济圈的构建，给乐山市承接成都的产业提供良好的机遇，乐山市机械设备和汽车等货类运输量将继续增长，货运总体发展趋势良好。乐山市未来将重点发展晶硅光伏、先进材料、绿色化工和食品饮料四大产业，培育发展高成长性未来产业，提升发展冶金建材和盐磷化工等传统企业，产业结构进一步优化，从而带来乐山市水路运输货物结构的改变。现阶段，乐山港主要运输煤炭及制品、金属矿石、矿建材料、盐和化工产品等传统企业原料及产成品。未来，随着乐山市的新兴产业的兴起，大型设备、光电企业原材料和清洁能源等货物也将吸引至水路运输。因此，未来随着乐山市产业经济转型升级，乐山港的货物种类和数量都将进一步增加，对乐山港的货运能力提出了更高的要求。</w:t>
      </w:r>
    </w:p>
    <w:p>
      <w:pPr>
        <w:spacing w:line="360" w:lineRule="auto"/>
        <w:ind w:firstLine="562" w:firstLineChars="200"/>
        <w:outlineLvl w:val="2"/>
        <w:rPr>
          <w:rFonts w:eastAsia="黑体"/>
          <w:b/>
          <w:sz w:val="28"/>
          <w:szCs w:val="28"/>
          <w:highlight w:val="none"/>
        </w:rPr>
      </w:pPr>
      <w:bookmarkStart w:id="113" w:name="_Toc77781893"/>
      <w:bookmarkStart w:id="114" w:name="_Toc67908228"/>
      <w:bookmarkStart w:id="115" w:name="_Toc67924632"/>
      <w:r>
        <w:rPr>
          <w:rFonts w:eastAsia="黑体"/>
          <w:b/>
          <w:sz w:val="28"/>
          <w:szCs w:val="28"/>
          <w:highlight w:val="none"/>
        </w:rPr>
        <w:t>二、水运布局持续优化，航道网络不断拓展，货运需求更加多样</w:t>
      </w:r>
      <w:bookmarkEnd w:id="113"/>
      <w:bookmarkEnd w:id="114"/>
      <w:bookmarkEnd w:id="115"/>
    </w:p>
    <w:p>
      <w:pPr>
        <w:spacing w:line="360" w:lineRule="auto"/>
        <w:ind w:firstLine="560" w:firstLineChars="200"/>
        <w:rPr>
          <w:sz w:val="28"/>
          <w:szCs w:val="28"/>
          <w:highlight w:val="none"/>
        </w:rPr>
      </w:pPr>
      <w:r>
        <w:rPr>
          <w:sz w:val="28"/>
          <w:szCs w:val="28"/>
          <w:highlight w:val="none"/>
        </w:rPr>
        <w:t>目前共建成渝地区双城经济圈战略已上升为国家战略，而“畅通成渝黄金水道”、“支持乐山港升级打造为成都港”和“协同重庆共建长江上游航运中心”是构建成渝地区双城经济圈的重要任务，未来随着成渝地区双城经济圈建设的推进，四川省水运布局将得到进一步的优化。同时，随着交通强国和交通强省建设的推进，四川省高等级航道网络将得到进一步拓展。随着四川省水运布局的持续优化和高等级航道网络的不断拓展，四川省各港口腹地范围将进一步扩大，成渝地区内部及对外货运交换将更加旺盛。乐山港未来将成为成都平原经济区最便捷的出海口，腹地将拓展至成都、德阳和眉山等地，同时随着成渝地区合作进一步深化，乐山港货物与重庆和省内其他港口货物交换也将更加频繁。</w:t>
      </w:r>
    </w:p>
    <w:p>
      <w:pPr>
        <w:spacing w:line="360" w:lineRule="auto"/>
        <w:ind w:firstLine="562" w:firstLineChars="200"/>
        <w:outlineLvl w:val="2"/>
        <w:rPr>
          <w:rFonts w:eastAsia="黑体"/>
          <w:b/>
          <w:sz w:val="28"/>
          <w:szCs w:val="28"/>
          <w:highlight w:val="none"/>
        </w:rPr>
      </w:pPr>
      <w:bookmarkStart w:id="116" w:name="_Toc77781894"/>
      <w:bookmarkStart w:id="117" w:name="_Toc67908229"/>
      <w:bookmarkStart w:id="118" w:name="_Toc67924633"/>
      <w:r>
        <w:rPr>
          <w:rFonts w:eastAsia="黑体"/>
          <w:b/>
          <w:sz w:val="28"/>
          <w:szCs w:val="28"/>
          <w:highlight w:val="none"/>
        </w:rPr>
        <w:t>三、</w:t>
      </w:r>
      <w:bookmarkEnd w:id="112"/>
      <w:r>
        <w:rPr>
          <w:rFonts w:eastAsia="黑体"/>
          <w:b/>
          <w:sz w:val="28"/>
          <w:szCs w:val="28"/>
          <w:highlight w:val="none"/>
        </w:rPr>
        <w:t>旅游兴市加快推进，客运服务个性化发展，水上旅游高速发展</w:t>
      </w:r>
      <w:bookmarkEnd w:id="116"/>
      <w:bookmarkEnd w:id="117"/>
      <w:bookmarkEnd w:id="118"/>
    </w:p>
    <w:p>
      <w:pPr>
        <w:spacing w:line="360" w:lineRule="auto"/>
        <w:ind w:firstLine="560" w:firstLineChars="200"/>
        <w:rPr>
          <w:sz w:val="28"/>
          <w:szCs w:val="28"/>
          <w:highlight w:val="none"/>
        </w:rPr>
      </w:pPr>
      <w:r>
        <w:rPr>
          <w:sz w:val="28"/>
          <w:szCs w:val="28"/>
          <w:highlight w:val="none"/>
        </w:rPr>
        <w:t>乐山市未来将坚持旅游兴市，坚持国际化、品牌化、特色化、全域化发展方向，按照“两核两圈两带九组团”旅游发展总体布局，持续提升峨眉山、乐山大佛两个核心景区品牌影响力，努力把乐山建成具有国际范、中国味、</w:t>
      </w:r>
      <w:r>
        <w:rPr>
          <w:rFonts w:hint="eastAsia"/>
          <w:sz w:val="28"/>
          <w:szCs w:val="28"/>
          <w:highlight w:val="none"/>
        </w:rPr>
        <w:t>巴蜀风、</w:t>
      </w:r>
      <w:r>
        <w:rPr>
          <w:sz w:val="28"/>
          <w:szCs w:val="28"/>
          <w:highlight w:val="none"/>
        </w:rPr>
        <w:t>嘉州韵的世界重要旅游目的地。同时随着巴蜀文化旅游走廊建设的推进，成渝乐旅游金三角的发展，水上旅游作为乐山市旅游的重要组成部分，将保持较快地增长。乐山历史文化悠久，“峨眉山—乐山大佛”、五通桥小西湖、“嘉阳-桫椤湖”、金口河大峡谷等旅游景点沿江分布。乐山市未来将大力推进“水运+旅游”融合的发展模式，以水运为媒介，串联乐山市旅游资源，推动乐山市全域旅游体系的建立，促进乐山水运和旅游共同发展。随着乐山市交旅融合的发展，乐山市未来水上旅游客运将蓬勃发展。</w:t>
      </w:r>
    </w:p>
    <w:p>
      <w:pPr>
        <w:spacing w:line="360" w:lineRule="auto"/>
        <w:ind w:firstLine="562" w:firstLineChars="200"/>
        <w:outlineLvl w:val="2"/>
        <w:rPr>
          <w:rFonts w:eastAsia="黑体"/>
          <w:b/>
          <w:sz w:val="28"/>
          <w:szCs w:val="28"/>
          <w:highlight w:val="none"/>
        </w:rPr>
      </w:pPr>
      <w:bookmarkStart w:id="119" w:name="_Toc53089206"/>
      <w:bookmarkStart w:id="120" w:name="_Toc77781895"/>
      <w:bookmarkStart w:id="121" w:name="_Toc67924634"/>
      <w:bookmarkStart w:id="122" w:name="_Toc67908230"/>
      <w:r>
        <w:rPr>
          <w:rFonts w:eastAsia="黑体"/>
          <w:b/>
          <w:sz w:val="28"/>
          <w:szCs w:val="28"/>
          <w:highlight w:val="none"/>
        </w:rPr>
        <w:t>四、智慧发展和绿色发展的推进，水路运输服务将更加高效环保</w:t>
      </w:r>
      <w:bookmarkEnd w:id="119"/>
      <w:bookmarkEnd w:id="120"/>
      <w:bookmarkEnd w:id="121"/>
      <w:bookmarkEnd w:id="122"/>
    </w:p>
    <w:p>
      <w:pPr>
        <w:spacing w:line="360" w:lineRule="auto"/>
        <w:ind w:firstLine="560" w:firstLineChars="200"/>
        <w:rPr>
          <w:sz w:val="28"/>
          <w:szCs w:val="28"/>
          <w:highlight w:val="none"/>
        </w:rPr>
      </w:pPr>
      <w:r>
        <w:rPr>
          <w:sz w:val="28"/>
          <w:szCs w:val="28"/>
          <w:highlight w:val="none"/>
        </w:rPr>
        <w:t>当前，世界新一轮科技革命和产业革命正在孕育兴起，带动了水路运输行业的绿色发展和智慧发展能的交通运输业正发生深刻变革，乐山港的运输服务也将更加专业化和现代化，冷链运输等专业化运输组织方式将逐步得到发展。同时，生态优先的发展模式也对乐山港的建设和发展提出了更高的环保要求，船舶的智能化、绿色化也会成为乐山港未来的发展趋势。同时，“碳达峰”和“碳中和”发展要求下，交通运输要实现良性发展，必须控总量、调结构，大力推动公改水、公改铁，作为交通方式最环保的水运，将迎来全新的发展机遇。</w:t>
      </w:r>
    </w:p>
    <w:p>
      <w:pPr>
        <w:spacing w:before="156" w:beforeLines="50" w:after="156" w:afterLines="50" w:line="520" w:lineRule="exact"/>
        <w:jc w:val="center"/>
        <w:outlineLvl w:val="1"/>
        <w:rPr>
          <w:rFonts w:eastAsia="黑体"/>
          <w:b/>
          <w:sz w:val="30"/>
          <w:highlight w:val="none"/>
        </w:rPr>
      </w:pPr>
      <w:bookmarkStart w:id="123" w:name="_Toc67908231"/>
      <w:bookmarkStart w:id="124" w:name="_Toc77781896"/>
      <w:r>
        <w:rPr>
          <w:rFonts w:eastAsia="黑体"/>
          <w:b/>
          <w:sz w:val="30"/>
          <w:highlight w:val="none"/>
        </w:rPr>
        <w:t>第五节吞吐量预测</w:t>
      </w:r>
      <w:bookmarkEnd w:id="123"/>
      <w:bookmarkEnd w:id="124"/>
    </w:p>
    <w:p>
      <w:pPr>
        <w:spacing w:line="360" w:lineRule="auto"/>
        <w:ind w:firstLine="562" w:firstLineChars="200"/>
        <w:outlineLvl w:val="2"/>
        <w:rPr>
          <w:rFonts w:eastAsia="黑体"/>
          <w:b/>
          <w:sz w:val="28"/>
          <w:szCs w:val="28"/>
          <w:highlight w:val="none"/>
        </w:rPr>
      </w:pPr>
      <w:bookmarkStart w:id="125" w:name="_Toc53089209"/>
      <w:bookmarkStart w:id="126" w:name="_Toc67908232"/>
      <w:bookmarkStart w:id="127" w:name="_Toc67924636"/>
      <w:bookmarkStart w:id="128" w:name="_Toc77781897"/>
      <w:r>
        <w:rPr>
          <w:rFonts w:eastAsia="黑体"/>
          <w:b/>
          <w:sz w:val="28"/>
          <w:szCs w:val="28"/>
          <w:highlight w:val="none"/>
        </w:rPr>
        <w:t>一、预测思路及方法</w:t>
      </w:r>
      <w:bookmarkEnd w:id="125"/>
      <w:bookmarkEnd w:id="126"/>
      <w:bookmarkEnd w:id="127"/>
      <w:bookmarkEnd w:id="128"/>
    </w:p>
    <w:p>
      <w:pPr>
        <w:pStyle w:val="6"/>
        <w:spacing w:before="0" w:after="0" w:line="360" w:lineRule="auto"/>
        <w:ind w:firstLine="562" w:firstLineChars="200"/>
        <w:rPr>
          <w:rFonts w:ascii="Times New Roman" w:hAnsi="Times New Roman" w:cs="Times New Roman"/>
          <w:highlight w:val="none"/>
        </w:rPr>
      </w:pPr>
      <w:bookmarkStart w:id="129" w:name="_Toc39688277"/>
      <w:bookmarkStart w:id="130" w:name="_Toc39690697"/>
      <w:r>
        <w:rPr>
          <w:rFonts w:ascii="Times New Roman" w:hAnsi="Times New Roman" w:cs="Times New Roman"/>
          <w:highlight w:val="none"/>
        </w:rPr>
        <w:t>（一）货运吞吐量预测思路</w:t>
      </w:r>
      <w:bookmarkEnd w:id="129"/>
      <w:bookmarkEnd w:id="130"/>
    </w:p>
    <w:p>
      <w:pPr>
        <w:spacing w:line="360" w:lineRule="auto"/>
        <w:ind w:firstLine="560" w:firstLineChars="200"/>
        <w:rPr>
          <w:sz w:val="28"/>
          <w:szCs w:val="28"/>
          <w:highlight w:val="none"/>
        </w:rPr>
      </w:pPr>
      <w:r>
        <w:rPr>
          <w:sz w:val="28"/>
          <w:szCs w:val="28"/>
          <w:highlight w:val="none"/>
        </w:rPr>
        <w:t>乐山市境内综合交通网络已经基本成型，交通便利，货运以公路和铁路为主，水路运输主要服务于矿建材料、金属矿石和非金属矿石等低附加值货物和机械设备、盐和盐化工产品等大宗货物的运输。未来随着乐山市国民经济的发展以及航道等级的提升，乐山港升级打造为成都港，乐山港辐射范围将扩大，乐山港水路运输货物种类和数量都将有所增加。本规划将采用定性和定量相结合的方法对乐山港的货物吞吐量进行预测，对乐山港直接腹地、四川省和全国历年全社会运量数据以及GDP数据进行分析，采用回归分析法和弹性系数法综合分析，结合当地相关规划，确定乐山港货运吞吐总量。本规划将根据采砂规划、乐山港腹地工业经济发展规划和矿产规划等相关规划，采用产销平衡的方法对乐山港分货类运量进行预测。</w:t>
      </w:r>
      <w:bookmarkStart w:id="131" w:name="_Toc39688278"/>
      <w:bookmarkStart w:id="132" w:name="_Toc39690698"/>
    </w:p>
    <w:p>
      <w:pPr>
        <w:pStyle w:val="6"/>
        <w:spacing w:before="0" w:after="0" w:line="360" w:lineRule="auto"/>
        <w:ind w:firstLine="562" w:firstLineChars="200"/>
        <w:rPr>
          <w:rFonts w:ascii="Times New Roman" w:hAnsi="Times New Roman" w:cs="Times New Roman"/>
          <w:highlight w:val="none"/>
        </w:rPr>
      </w:pPr>
      <w:r>
        <w:rPr>
          <w:rFonts w:ascii="Times New Roman" w:hAnsi="Times New Roman" w:cs="Times New Roman"/>
          <w:highlight w:val="none"/>
        </w:rPr>
        <w:t>（二）旅客吞吐量预测思路</w:t>
      </w:r>
      <w:bookmarkEnd w:id="131"/>
      <w:bookmarkEnd w:id="132"/>
      <w:bookmarkStart w:id="133" w:name="_Toc39690699"/>
      <w:bookmarkStart w:id="134" w:name="_Toc39688279"/>
    </w:p>
    <w:p>
      <w:pPr>
        <w:spacing w:line="360" w:lineRule="auto"/>
        <w:ind w:firstLine="560" w:firstLineChars="200"/>
        <w:rPr>
          <w:sz w:val="28"/>
          <w:szCs w:val="28"/>
          <w:highlight w:val="none"/>
        </w:rPr>
      </w:pPr>
      <w:r>
        <w:rPr>
          <w:sz w:val="28"/>
          <w:szCs w:val="28"/>
          <w:highlight w:val="none"/>
        </w:rPr>
        <w:t>乐山市水系众多，分布广泛，水系骨架明晰，旅游资源沿江分布态势明晰，“水运+旅游”融合发展基础良好。由于现阶段乐山港水上旅游体系尚未完全建立，水上客运以区间短途客运为主，水运历史数据无法有效反应未来发展趋势，因此本规划将主要以乐山市相关旅游规划、水上旅游资源分布、水上旅游发展整体态势，预测未来乐山港水上旅游接待旅客人次以及平均出行次数，得到乐山港旅客吞吐量。</w:t>
      </w:r>
    </w:p>
    <w:bookmarkEnd w:id="133"/>
    <w:bookmarkEnd w:id="134"/>
    <w:p>
      <w:pPr>
        <w:pStyle w:val="6"/>
        <w:spacing w:before="0" w:after="0" w:line="360" w:lineRule="auto"/>
        <w:ind w:firstLine="562" w:firstLineChars="200"/>
        <w:rPr>
          <w:rFonts w:ascii="Times New Roman" w:hAnsi="Times New Roman" w:cs="Times New Roman"/>
          <w:highlight w:val="none"/>
        </w:rPr>
      </w:pPr>
      <w:bookmarkStart w:id="135" w:name="_Toc53089210"/>
      <w:r>
        <w:rPr>
          <w:rFonts w:ascii="Times New Roman" w:hAnsi="Times New Roman" w:cs="Times New Roman"/>
          <w:highlight w:val="none"/>
        </w:rPr>
        <w:t>（三）预测水平年</w:t>
      </w:r>
    </w:p>
    <w:p>
      <w:pPr>
        <w:spacing w:line="360" w:lineRule="auto"/>
        <w:ind w:firstLine="560" w:firstLineChars="200"/>
        <w:rPr>
          <w:sz w:val="28"/>
          <w:szCs w:val="28"/>
          <w:highlight w:val="none"/>
        </w:rPr>
      </w:pPr>
      <w:r>
        <w:rPr>
          <w:rFonts w:hint="eastAsia"/>
          <w:sz w:val="28"/>
          <w:szCs w:val="28"/>
          <w:highlight w:val="none"/>
        </w:rPr>
        <w:t>本规划基础年为2020年，由于2020年腹地客货运数据异常，故本规划预测时采用的是2019年数据，水平年为2025年和2035年。</w:t>
      </w:r>
    </w:p>
    <w:p>
      <w:pPr>
        <w:spacing w:line="360" w:lineRule="auto"/>
        <w:ind w:firstLine="562" w:firstLineChars="200"/>
        <w:outlineLvl w:val="2"/>
        <w:rPr>
          <w:rFonts w:eastAsia="黑体"/>
          <w:b/>
          <w:sz w:val="28"/>
          <w:szCs w:val="28"/>
          <w:highlight w:val="none"/>
        </w:rPr>
      </w:pPr>
      <w:bookmarkStart w:id="136" w:name="_Toc67924637"/>
      <w:bookmarkStart w:id="137" w:name="_Toc67908233"/>
      <w:bookmarkStart w:id="138" w:name="_Toc77781898"/>
      <w:r>
        <w:rPr>
          <w:rFonts w:eastAsia="黑体"/>
          <w:b/>
          <w:sz w:val="28"/>
          <w:szCs w:val="28"/>
          <w:highlight w:val="none"/>
        </w:rPr>
        <w:t>二、货物吞吐量预测</w:t>
      </w:r>
      <w:bookmarkEnd w:id="135"/>
      <w:bookmarkEnd w:id="136"/>
      <w:bookmarkEnd w:id="137"/>
      <w:bookmarkEnd w:id="138"/>
    </w:p>
    <w:p>
      <w:pPr>
        <w:pStyle w:val="6"/>
        <w:spacing w:before="0" w:after="0" w:line="360" w:lineRule="auto"/>
        <w:ind w:firstLine="562" w:firstLineChars="200"/>
        <w:rPr>
          <w:rFonts w:ascii="Times New Roman" w:hAnsi="Times New Roman" w:cs="Times New Roman"/>
          <w:highlight w:val="none"/>
        </w:rPr>
      </w:pPr>
      <w:bookmarkStart w:id="139" w:name="_Toc39690700"/>
      <w:bookmarkStart w:id="140" w:name="_Toc39688280"/>
      <w:r>
        <w:rPr>
          <w:rFonts w:ascii="Times New Roman" w:hAnsi="Times New Roman" w:cs="Times New Roman"/>
          <w:highlight w:val="none"/>
        </w:rPr>
        <w:t>（一）货物吞吐总量预测</w:t>
      </w:r>
      <w:bookmarkEnd w:id="139"/>
      <w:bookmarkEnd w:id="140"/>
    </w:p>
    <w:p>
      <w:pPr>
        <w:spacing w:line="360" w:lineRule="auto"/>
        <w:ind w:firstLine="560" w:firstLineChars="200"/>
        <w:rPr>
          <w:sz w:val="28"/>
          <w:szCs w:val="28"/>
          <w:highlight w:val="none"/>
        </w:rPr>
      </w:pPr>
      <w:bookmarkStart w:id="141" w:name="_Toc39688281"/>
      <w:bookmarkStart w:id="142" w:name="_Toc39690701"/>
      <w:r>
        <w:rPr>
          <w:sz w:val="28"/>
          <w:szCs w:val="28"/>
          <w:highlight w:val="none"/>
        </w:rPr>
        <w:t>本规划将根据乐山港直接经济腹地、四川省和全国历年货运量数据和GDP数据，采用回归分析法和弹性系数法对乐山港港口吞吐总量进行预测。</w:t>
      </w:r>
    </w:p>
    <w:p>
      <w:pPr>
        <w:spacing w:line="360" w:lineRule="auto"/>
        <w:ind w:firstLine="560" w:firstLineChars="200"/>
        <w:rPr>
          <w:sz w:val="28"/>
          <w:szCs w:val="28"/>
          <w:highlight w:val="none"/>
        </w:rPr>
      </w:pPr>
      <w:r>
        <w:rPr>
          <w:sz w:val="28"/>
          <w:szCs w:val="28"/>
          <w:highlight w:val="none"/>
        </w:rPr>
        <w:t>目前，乐山港主要服务于乐山市本地适水货源的运输，未来随着乐山港升级打造为成都港的推进，成都市、德阳市、眉山市和雅安市部分适水货源将会通过乐山港运输。成都市目前的货物运输主要依靠公路和铁路，未来随着岷江-长江水路运输通道的打通，预计成都市部分机械设备及电器、重大件等货物将会通过水路运出，综合分析成都市目前产业结构、产业规划及综合交通布局，预计未来成都市在乐山港下水货运量占成都市水路货运总量的10%。德阳市距乐山港较远，但是由于其优势产业（重装制造）产品主要将从乐山港大件码头运输，因此预计未来德阳市在乐山港下水货运量占德阳市水路货运总量的20%。眉山市紧邻乐山市，其化工产业和机械制造业发达，预计未来眉山市在乐山港下水货运量占眉山市水路货运总量的30%。雅安市境内有青衣江、大渡河等水系，但是由于航道不通，所以目前货运主要依靠公路和铁路到泸州港下水，预计未来随着乐山港的发展，雅安市更多的适水货物将选择乐山港下水，因此预测未来雅安市水路潜在货源占雅安市货运总量的50%。</w:t>
      </w:r>
    </w:p>
    <w:bookmarkEnd w:id="141"/>
    <w:bookmarkEnd w:id="142"/>
    <w:p>
      <w:pPr>
        <w:spacing w:line="360" w:lineRule="auto"/>
        <w:ind w:firstLine="562" w:firstLineChars="200"/>
        <w:rPr>
          <w:rFonts w:eastAsiaTheme="minorEastAsia"/>
          <w:b/>
          <w:sz w:val="28"/>
          <w:szCs w:val="28"/>
          <w:highlight w:val="none"/>
        </w:rPr>
      </w:pPr>
      <w:bookmarkStart w:id="143" w:name="_Toc39690705"/>
      <w:bookmarkStart w:id="144" w:name="_Toc39688286"/>
      <w:r>
        <w:rPr>
          <w:rFonts w:eastAsiaTheme="minorEastAsia"/>
          <w:b/>
          <w:sz w:val="28"/>
          <w:szCs w:val="28"/>
          <w:highlight w:val="none"/>
        </w:rPr>
        <w:t>1.全社会货运量预测</w:t>
      </w:r>
    </w:p>
    <w:p>
      <w:pPr>
        <w:spacing w:line="360" w:lineRule="auto"/>
        <w:ind w:firstLine="560" w:firstLineChars="200"/>
        <w:rPr>
          <w:sz w:val="28"/>
          <w:szCs w:val="28"/>
          <w:highlight w:val="none"/>
        </w:rPr>
      </w:pPr>
      <w:r>
        <w:rPr>
          <w:sz w:val="28"/>
          <w:szCs w:val="28"/>
          <w:highlight w:val="none"/>
        </w:rPr>
        <w:t>本次规划采用回归分析法和弹性系数法对乐山市全社会运量进行预测，预测结果见表2.5-1。（详细预测过程见附件1）</w:t>
      </w:r>
    </w:p>
    <w:p>
      <w:pPr>
        <w:pStyle w:val="2"/>
        <w:rPr>
          <w:highlight w:val="none"/>
        </w:rPr>
      </w:pPr>
      <w:r>
        <w:rPr>
          <w:highlight w:val="none"/>
        </w:rPr>
        <w:br w:type="page"/>
      </w:r>
    </w:p>
    <w:p>
      <w:pPr>
        <w:snapToGrid w:val="0"/>
        <w:jc w:val="center"/>
        <w:rPr>
          <w:rFonts w:eastAsia="黑体"/>
          <w:sz w:val="28"/>
          <w:szCs w:val="28"/>
          <w:highlight w:val="none"/>
        </w:rPr>
      </w:pPr>
      <w:r>
        <w:rPr>
          <w:rFonts w:eastAsia="黑体"/>
          <w:sz w:val="28"/>
          <w:szCs w:val="28"/>
          <w:highlight w:val="none"/>
        </w:rPr>
        <w:t>表2.5-1全社会运量预测结果表</w:t>
      </w:r>
    </w:p>
    <w:tbl>
      <w:tblPr>
        <w:tblStyle w:val="32"/>
        <w:tblW w:w="5000" w:type="pct"/>
        <w:tblInd w:w="0" w:type="dxa"/>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Layout w:type="fixed"/>
        <w:tblCellMar>
          <w:top w:w="0" w:type="dxa"/>
          <w:left w:w="108" w:type="dxa"/>
          <w:bottom w:w="0" w:type="dxa"/>
          <w:right w:w="108" w:type="dxa"/>
        </w:tblCellMar>
      </w:tblPr>
      <w:tblGrid>
        <w:gridCol w:w="2471"/>
        <w:gridCol w:w="2366"/>
        <w:gridCol w:w="1209"/>
        <w:gridCol w:w="2261"/>
        <w:gridCol w:w="979"/>
      </w:tblGrid>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397" w:hRule="atLeast"/>
        </w:trPr>
        <w:tc>
          <w:tcPr>
            <w:tcW w:w="1331" w:type="pct"/>
            <w:vMerge w:val="restart"/>
            <w:tcBorders>
              <w:top w:val="thinThickSmallGap" w:color="auto" w:sz="18" w:space="0"/>
              <w:left w:val="nil"/>
              <w:bottom w:val="single" w:color="auto" w:sz="2" w:space="0"/>
            </w:tcBorders>
            <w:vAlign w:val="center"/>
          </w:tcPr>
          <w:p>
            <w:pPr>
              <w:adjustRightInd w:val="0"/>
              <w:jc w:val="center"/>
              <w:rPr>
                <w:rFonts w:eastAsiaTheme="minorEastAsia"/>
                <w:bCs/>
                <w:sz w:val="24"/>
                <w:highlight w:val="none"/>
              </w:rPr>
            </w:pPr>
            <w:r>
              <w:rPr>
                <w:rFonts w:eastAsiaTheme="minorEastAsia"/>
                <w:bCs/>
                <w:sz w:val="24"/>
                <w:highlight w:val="none"/>
              </w:rPr>
              <w:t>预测方法</w:t>
            </w:r>
          </w:p>
        </w:tc>
        <w:tc>
          <w:tcPr>
            <w:tcW w:w="1925" w:type="pct"/>
            <w:gridSpan w:val="2"/>
            <w:tcBorders>
              <w:top w:val="thinThickSmallGap" w:color="auto" w:sz="18" w:space="0"/>
              <w:bottom w:val="single" w:color="auto" w:sz="2" w:space="0"/>
            </w:tcBorders>
            <w:vAlign w:val="center"/>
          </w:tcPr>
          <w:p>
            <w:pPr>
              <w:adjustRightInd w:val="0"/>
              <w:jc w:val="center"/>
              <w:rPr>
                <w:rFonts w:eastAsiaTheme="minorEastAsia"/>
                <w:bCs/>
                <w:sz w:val="24"/>
                <w:highlight w:val="none"/>
              </w:rPr>
            </w:pPr>
            <w:r>
              <w:rPr>
                <w:rFonts w:eastAsiaTheme="minorEastAsia"/>
                <w:bCs/>
                <w:sz w:val="24"/>
                <w:highlight w:val="none"/>
              </w:rPr>
              <w:t>2025年</w:t>
            </w:r>
          </w:p>
        </w:tc>
        <w:tc>
          <w:tcPr>
            <w:tcW w:w="1744" w:type="pct"/>
            <w:gridSpan w:val="2"/>
            <w:tcBorders>
              <w:top w:val="thinThickSmallGap" w:color="auto" w:sz="18" w:space="0"/>
              <w:bottom w:val="single" w:color="auto" w:sz="2" w:space="0"/>
              <w:right w:val="nil"/>
            </w:tcBorders>
            <w:vAlign w:val="center"/>
          </w:tcPr>
          <w:p>
            <w:pPr>
              <w:adjustRightInd w:val="0"/>
              <w:jc w:val="center"/>
              <w:rPr>
                <w:rFonts w:eastAsiaTheme="minorEastAsia"/>
                <w:bCs/>
                <w:sz w:val="24"/>
                <w:highlight w:val="none"/>
              </w:rPr>
            </w:pPr>
            <w:r>
              <w:rPr>
                <w:rFonts w:eastAsiaTheme="minorEastAsia"/>
                <w:bCs/>
                <w:sz w:val="24"/>
                <w:highlight w:val="none"/>
              </w:rPr>
              <w:t>2035年</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397" w:hRule="atLeast"/>
        </w:trPr>
        <w:tc>
          <w:tcPr>
            <w:tcW w:w="1331" w:type="pct"/>
            <w:vMerge w:val="continue"/>
            <w:tcBorders>
              <w:top w:val="single" w:color="auto" w:sz="2" w:space="0"/>
              <w:left w:val="nil"/>
              <w:bottom w:val="single" w:color="auto" w:sz="2" w:space="0"/>
            </w:tcBorders>
            <w:vAlign w:val="center"/>
          </w:tcPr>
          <w:p>
            <w:pPr>
              <w:adjustRightInd w:val="0"/>
              <w:jc w:val="center"/>
              <w:rPr>
                <w:rFonts w:eastAsiaTheme="minorEastAsia"/>
                <w:bCs/>
                <w:sz w:val="24"/>
                <w:highlight w:val="none"/>
              </w:rPr>
            </w:pPr>
          </w:p>
        </w:tc>
        <w:tc>
          <w:tcPr>
            <w:tcW w:w="1274" w:type="pct"/>
            <w:tcBorders>
              <w:top w:val="single" w:color="auto" w:sz="2" w:space="0"/>
              <w:bottom w:val="single" w:color="auto" w:sz="2" w:space="0"/>
            </w:tcBorders>
            <w:vAlign w:val="center"/>
          </w:tcPr>
          <w:p>
            <w:pPr>
              <w:adjustRightInd w:val="0"/>
              <w:jc w:val="center"/>
              <w:rPr>
                <w:rFonts w:eastAsiaTheme="minorEastAsia"/>
                <w:bCs/>
                <w:sz w:val="24"/>
                <w:highlight w:val="none"/>
              </w:rPr>
            </w:pPr>
            <w:r>
              <w:rPr>
                <w:rFonts w:eastAsiaTheme="minorEastAsia"/>
                <w:bCs/>
                <w:sz w:val="24"/>
                <w:highlight w:val="none"/>
              </w:rPr>
              <w:t>预测结果（万t）</w:t>
            </w:r>
          </w:p>
        </w:tc>
        <w:tc>
          <w:tcPr>
            <w:tcW w:w="651" w:type="pct"/>
            <w:tcBorders>
              <w:top w:val="single" w:color="auto" w:sz="2" w:space="0"/>
              <w:bottom w:val="single" w:color="auto" w:sz="2" w:space="0"/>
            </w:tcBorders>
            <w:vAlign w:val="center"/>
          </w:tcPr>
          <w:p>
            <w:pPr>
              <w:adjustRightInd w:val="0"/>
              <w:jc w:val="center"/>
              <w:rPr>
                <w:rFonts w:eastAsiaTheme="minorEastAsia"/>
                <w:bCs/>
                <w:sz w:val="24"/>
                <w:highlight w:val="none"/>
              </w:rPr>
            </w:pPr>
            <w:r>
              <w:rPr>
                <w:rFonts w:eastAsiaTheme="minorEastAsia"/>
                <w:bCs/>
                <w:sz w:val="24"/>
                <w:highlight w:val="none"/>
              </w:rPr>
              <w:t>权重</w:t>
            </w:r>
          </w:p>
        </w:tc>
        <w:tc>
          <w:tcPr>
            <w:tcW w:w="1217" w:type="pct"/>
            <w:tcBorders>
              <w:top w:val="single" w:color="auto" w:sz="2" w:space="0"/>
              <w:bottom w:val="single" w:color="auto" w:sz="2" w:space="0"/>
            </w:tcBorders>
            <w:vAlign w:val="center"/>
          </w:tcPr>
          <w:p>
            <w:pPr>
              <w:adjustRightInd w:val="0"/>
              <w:jc w:val="center"/>
              <w:rPr>
                <w:rFonts w:eastAsiaTheme="minorEastAsia"/>
                <w:bCs/>
                <w:sz w:val="24"/>
                <w:highlight w:val="none"/>
              </w:rPr>
            </w:pPr>
            <w:r>
              <w:rPr>
                <w:rFonts w:eastAsiaTheme="minorEastAsia"/>
                <w:bCs/>
                <w:sz w:val="24"/>
                <w:highlight w:val="none"/>
              </w:rPr>
              <w:t>预测结果（万t）</w:t>
            </w:r>
          </w:p>
        </w:tc>
        <w:tc>
          <w:tcPr>
            <w:tcW w:w="527" w:type="pct"/>
            <w:tcBorders>
              <w:top w:val="single" w:color="auto" w:sz="2" w:space="0"/>
              <w:bottom w:val="single" w:color="auto" w:sz="2" w:space="0"/>
              <w:right w:val="nil"/>
            </w:tcBorders>
            <w:vAlign w:val="center"/>
          </w:tcPr>
          <w:p>
            <w:pPr>
              <w:adjustRightInd w:val="0"/>
              <w:jc w:val="center"/>
              <w:rPr>
                <w:rFonts w:eastAsiaTheme="minorEastAsia"/>
                <w:bCs/>
                <w:sz w:val="24"/>
                <w:highlight w:val="none"/>
              </w:rPr>
            </w:pPr>
            <w:r>
              <w:rPr>
                <w:rFonts w:eastAsiaTheme="minorEastAsia"/>
                <w:bCs/>
                <w:sz w:val="24"/>
                <w:highlight w:val="none"/>
              </w:rPr>
              <w:t>权重</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397" w:hRule="atLeast"/>
        </w:trPr>
        <w:tc>
          <w:tcPr>
            <w:tcW w:w="1331" w:type="pct"/>
            <w:tcBorders>
              <w:top w:val="single" w:color="auto" w:sz="2" w:space="0"/>
              <w:left w:val="nil"/>
              <w:bottom w:val="single" w:color="auto" w:sz="2" w:space="0"/>
            </w:tcBorders>
            <w:vAlign w:val="center"/>
          </w:tcPr>
          <w:p>
            <w:pPr>
              <w:adjustRightInd w:val="0"/>
              <w:jc w:val="center"/>
              <w:rPr>
                <w:rFonts w:eastAsiaTheme="minorEastAsia"/>
                <w:bCs/>
                <w:sz w:val="24"/>
                <w:highlight w:val="none"/>
              </w:rPr>
            </w:pPr>
            <w:r>
              <w:rPr>
                <w:rFonts w:eastAsiaTheme="minorEastAsia"/>
                <w:bCs/>
                <w:sz w:val="24"/>
                <w:highlight w:val="none"/>
              </w:rPr>
              <w:t>回归分析法</w:t>
            </w:r>
          </w:p>
        </w:tc>
        <w:tc>
          <w:tcPr>
            <w:tcW w:w="1274" w:type="pct"/>
            <w:tcBorders>
              <w:top w:val="single" w:color="auto" w:sz="2" w:space="0"/>
              <w:bottom w:val="single" w:color="auto" w:sz="2" w:space="0"/>
            </w:tcBorders>
            <w:vAlign w:val="center"/>
          </w:tcPr>
          <w:p>
            <w:pPr>
              <w:adjustRightInd w:val="0"/>
              <w:jc w:val="center"/>
              <w:rPr>
                <w:rFonts w:eastAsiaTheme="minorEastAsia"/>
                <w:bCs/>
                <w:sz w:val="24"/>
                <w:highlight w:val="none"/>
              </w:rPr>
            </w:pPr>
            <w:r>
              <w:rPr>
                <w:rFonts w:eastAsiaTheme="minorEastAsia"/>
                <w:bCs/>
                <w:sz w:val="24"/>
                <w:highlight w:val="none"/>
                <w:lang w:bidi="ar"/>
              </w:rPr>
              <w:t>31500</w:t>
            </w:r>
          </w:p>
        </w:tc>
        <w:tc>
          <w:tcPr>
            <w:tcW w:w="651" w:type="pct"/>
            <w:tcBorders>
              <w:top w:val="single" w:color="auto" w:sz="2" w:space="0"/>
              <w:bottom w:val="single" w:color="auto" w:sz="2" w:space="0"/>
            </w:tcBorders>
            <w:vAlign w:val="center"/>
          </w:tcPr>
          <w:p>
            <w:pPr>
              <w:adjustRightInd w:val="0"/>
              <w:jc w:val="center"/>
              <w:rPr>
                <w:rFonts w:eastAsiaTheme="minorEastAsia"/>
                <w:bCs/>
                <w:sz w:val="24"/>
                <w:highlight w:val="none"/>
              </w:rPr>
            </w:pPr>
            <w:r>
              <w:rPr>
                <w:rFonts w:eastAsiaTheme="minorEastAsia"/>
                <w:bCs/>
                <w:sz w:val="24"/>
                <w:highlight w:val="none"/>
                <w:lang w:bidi="ar"/>
              </w:rPr>
              <w:t>0.6</w:t>
            </w:r>
          </w:p>
        </w:tc>
        <w:tc>
          <w:tcPr>
            <w:tcW w:w="1217" w:type="pct"/>
            <w:tcBorders>
              <w:top w:val="single" w:color="auto" w:sz="2" w:space="0"/>
              <w:bottom w:val="single" w:color="auto" w:sz="2" w:space="0"/>
            </w:tcBorders>
            <w:vAlign w:val="center"/>
          </w:tcPr>
          <w:p>
            <w:pPr>
              <w:adjustRightInd w:val="0"/>
              <w:jc w:val="center"/>
              <w:rPr>
                <w:rFonts w:eastAsiaTheme="minorEastAsia"/>
                <w:bCs/>
                <w:sz w:val="24"/>
                <w:highlight w:val="none"/>
              </w:rPr>
            </w:pPr>
            <w:r>
              <w:rPr>
                <w:rFonts w:eastAsiaTheme="minorEastAsia"/>
                <w:bCs/>
                <w:sz w:val="24"/>
                <w:highlight w:val="none"/>
                <w:lang w:bidi="ar"/>
              </w:rPr>
              <w:t>39000</w:t>
            </w:r>
          </w:p>
        </w:tc>
        <w:tc>
          <w:tcPr>
            <w:tcW w:w="527" w:type="pct"/>
            <w:tcBorders>
              <w:top w:val="single" w:color="auto" w:sz="2" w:space="0"/>
              <w:bottom w:val="single" w:color="auto" w:sz="2" w:space="0"/>
              <w:right w:val="nil"/>
            </w:tcBorders>
            <w:vAlign w:val="center"/>
          </w:tcPr>
          <w:p>
            <w:pPr>
              <w:adjustRightInd w:val="0"/>
              <w:jc w:val="center"/>
              <w:rPr>
                <w:rFonts w:eastAsiaTheme="minorEastAsia"/>
                <w:bCs/>
                <w:sz w:val="24"/>
                <w:highlight w:val="none"/>
              </w:rPr>
            </w:pPr>
            <w:r>
              <w:rPr>
                <w:rFonts w:eastAsiaTheme="minorEastAsia"/>
                <w:bCs/>
                <w:sz w:val="24"/>
                <w:highlight w:val="none"/>
                <w:lang w:bidi="ar"/>
              </w:rPr>
              <w:t>0.4</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397" w:hRule="atLeast"/>
        </w:trPr>
        <w:tc>
          <w:tcPr>
            <w:tcW w:w="1331" w:type="pct"/>
            <w:tcBorders>
              <w:top w:val="single" w:color="auto" w:sz="2" w:space="0"/>
              <w:left w:val="nil"/>
              <w:bottom w:val="single" w:color="auto" w:sz="2" w:space="0"/>
            </w:tcBorders>
            <w:vAlign w:val="center"/>
          </w:tcPr>
          <w:p>
            <w:pPr>
              <w:adjustRightInd w:val="0"/>
              <w:jc w:val="center"/>
              <w:rPr>
                <w:rFonts w:eastAsiaTheme="minorEastAsia"/>
                <w:bCs/>
                <w:sz w:val="24"/>
                <w:highlight w:val="none"/>
              </w:rPr>
            </w:pPr>
            <w:r>
              <w:rPr>
                <w:rFonts w:eastAsiaTheme="minorEastAsia"/>
                <w:bCs/>
                <w:sz w:val="24"/>
                <w:highlight w:val="none"/>
              </w:rPr>
              <w:t>弹性系数法</w:t>
            </w:r>
          </w:p>
        </w:tc>
        <w:tc>
          <w:tcPr>
            <w:tcW w:w="1274" w:type="pct"/>
            <w:tcBorders>
              <w:top w:val="single" w:color="auto" w:sz="2" w:space="0"/>
              <w:bottom w:val="single" w:color="auto" w:sz="2" w:space="0"/>
            </w:tcBorders>
            <w:vAlign w:val="center"/>
          </w:tcPr>
          <w:p>
            <w:pPr>
              <w:adjustRightInd w:val="0"/>
              <w:jc w:val="center"/>
              <w:rPr>
                <w:rFonts w:eastAsiaTheme="minorEastAsia"/>
                <w:bCs/>
                <w:sz w:val="24"/>
                <w:highlight w:val="none"/>
              </w:rPr>
            </w:pPr>
            <w:r>
              <w:rPr>
                <w:rFonts w:eastAsiaTheme="minorEastAsia"/>
                <w:bCs/>
                <w:sz w:val="24"/>
                <w:highlight w:val="none"/>
                <w:lang w:bidi="ar"/>
              </w:rPr>
              <w:t>33500</w:t>
            </w:r>
          </w:p>
        </w:tc>
        <w:tc>
          <w:tcPr>
            <w:tcW w:w="651" w:type="pct"/>
            <w:tcBorders>
              <w:top w:val="single" w:color="auto" w:sz="2" w:space="0"/>
              <w:bottom w:val="single" w:color="auto" w:sz="2" w:space="0"/>
            </w:tcBorders>
            <w:vAlign w:val="center"/>
          </w:tcPr>
          <w:p>
            <w:pPr>
              <w:adjustRightInd w:val="0"/>
              <w:jc w:val="center"/>
              <w:rPr>
                <w:rFonts w:eastAsiaTheme="minorEastAsia"/>
                <w:bCs/>
                <w:sz w:val="24"/>
                <w:highlight w:val="none"/>
              </w:rPr>
            </w:pPr>
            <w:r>
              <w:rPr>
                <w:rFonts w:eastAsiaTheme="minorEastAsia"/>
                <w:bCs/>
                <w:sz w:val="24"/>
                <w:highlight w:val="none"/>
                <w:lang w:bidi="ar"/>
              </w:rPr>
              <w:t>0.4</w:t>
            </w:r>
          </w:p>
        </w:tc>
        <w:tc>
          <w:tcPr>
            <w:tcW w:w="1217" w:type="pct"/>
            <w:tcBorders>
              <w:top w:val="single" w:color="auto" w:sz="2" w:space="0"/>
              <w:bottom w:val="single" w:color="auto" w:sz="2" w:space="0"/>
            </w:tcBorders>
            <w:vAlign w:val="center"/>
          </w:tcPr>
          <w:p>
            <w:pPr>
              <w:adjustRightInd w:val="0"/>
              <w:jc w:val="center"/>
              <w:rPr>
                <w:rFonts w:eastAsiaTheme="minorEastAsia"/>
                <w:bCs/>
                <w:sz w:val="24"/>
                <w:highlight w:val="none"/>
              </w:rPr>
            </w:pPr>
            <w:r>
              <w:rPr>
                <w:rFonts w:eastAsiaTheme="minorEastAsia"/>
                <w:bCs/>
                <w:sz w:val="24"/>
                <w:highlight w:val="none"/>
                <w:lang w:bidi="ar"/>
              </w:rPr>
              <w:t>45000</w:t>
            </w:r>
          </w:p>
        </w:tc>
        <w:tc>
          <w:tcPr>
            <w:tcW w:w="527" w:type="pct"/>
            <w:tcBorders>
              <w:top w:val="single" w:color="auto" w:sz="2" w:space="0"/>
              <w:bottom w:val="single" w:color="auto" w:sz="2" w:space="0"/>
              <w:right w:val="nil"/>
            </w:tcBorders>
            <w:vAlign w:val="center"/>
          </w:tcPr>
          <w:p>
            <w:pPr>
              <w:adjustRightInd w:val="0"/>
              <w:jc w:val="center"/>
              <w:rPr>
                <w:rFonts w:eastAsiaTheme="minorEastAsia"/>
                <w:bCs/>
                <w:sz w:val="24"/>
                <w:highlight w:val="none"/>
              </w:rPr>
            </w:pPr>
            <w:r>
              <w:rPr>
                <w:rFonts w:eastAsiaTheme="minorEastAsia"/>
                <w:bCs/>
                <w:sz w:val="24"/>
                <w:highlight w:val="none"/>
                <w:lang w:bidi="ar"/>
              </w:rPr>
              <w:t>0.6</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397" w:hRule="atLeast"/>
        </w:trPr>
        <w:tc>
          <w:tcPr>
            <w:tcW w:w="1331" w:type="pct"/>
            <w:tcBorders>
              <w:top w:val="single" w:color="auto" w:sz="2" w:space="0"/>
              <w:left w:val="nil"/>
              <w:bottom w:val="thickThinSmallGap" w:color="auto" w:sz="18" w:space="0"/>
            </w:tcBorders>
            <w:vAlign w:val="center"/>
          </w:tcPr>
          <w:p>
            <w:pPr>
              <w:adjustRightInd w:val="0"/>
              <w:jc w:val="center"/>
              <w:rPr>
                <w:rFonts w:eastAsiaTheme="minorEastAsia"/>
                <w:bCs/>
                <w:sz w:val="24"/>
                <w:highlight w:val="none"/>
              </w:rPr>
            </w:pPr>
            <w:r>
              <w:rPr>
                <w:rFonts w:eastAsiaTheme="minorEastAsia"/>
                <w:bCs/>
                <w:sz w:val="24"/>
                <w:highlight w:val="none"/>
              </w:rPr>
              <w:t>综合预测结果</w:t>
            </w:r>
          </w:p>
        </w:tc>
        <w:tc>
          <w:tcPr>
            <w:tcW w:w="1925" w:type="pct"/>
            <w:gridSpan w:val="2"/>
            <w:tcBorders>
              <w:top w:val="single" w:color="auto" w:sz="2" w:space="0"/>
              <w:bottom w:val="thickThinSmallGap" w:color="auto" w:sz="18" w:space="0"/>
            </w:tcBorders>
            <w:vAlign w:val="center"/>
          </w:tcPr>
          <w:p>
            <w:pPr>
              <w:adjustRightInd w:val="0"/>
              <w:jc w:val="center"/>
              <w:rPr>
                <w:rFonts w:eastAsiaTheme="minorEastAsia"/>
                <w:bCs/>
                <w:sz w:val="24"/>
                <w:highlight w:val="none"/>
              </w:rPr>
            </w:pPr>
            <w:r>
              <w:rPr>
                <w:rFonts w:eastAsiaTheme="minorEastAsia"/>
                <w:bCs/>
                <w:sz w:val="24"/>
                <w:highlight w:val="none"/>
                <w:lang w:bidi="ar"/>
              </w:rPr>
              <w:t>32300</w:t>
            </w:r>
          </w:p>
        </w:tc>
        <w:tc>
          <w:tcPr>
            <w:tcW w:w="1744" w:type="pct"/>
            <w:gridSpan w:val="2"/>
            <w:tcBorders>
              <w:top w:val="single" w:color="auto" w:sz="2" w:space="0"/>
              <w:bottom w:val="thickThinSmallGap" w:color="auto" w:sz="18" w:space="0"/>
              <w:right w:val="nil"/>
            </w:tcBorders>
            <w:vAlign w:val="center"/>
          </w:tcPr>
          <w:p>
            <w:pPr>
              <w:adjustRightInd w:val="0"/>
              <w:jc w:val="center"/>
              <w:rPr>
                <w:rFonts w:eastAsiaTheme="minorEastAsia"/>
                <w:bCs/>
                <w:sz w:val="24"/>
                <w:highlight w:val="none"/>
              </w:rPr>
            </w:pPr>
            <w:r>
              <w:rPr>
                <w:rFonts w:eastAsiaTheme="minorEastAsia"/>
                <w:bCs/>
                <w:sz w:val="24"/>
                <w:highlight w:val="none"/>
                <w:lang w:bidi="ar"/>
              </w:rPr>
              <w:t>42600</w:t>
            </w:r>
          </w:p>
        </w:tc>
      </w:tr>
    </w:tbl>
    <w:p>
      <w:pPr>
        <w:pStyle w:val="2"/>
        <w:rPr>
          <w:rFonts w:ascii="Times New Roman" w:cs="Times New Roman"/>
          <w:color w:val="auto"/>
          <w:highlight w:val="none"/>
        </w:rPr>
      </w:pPr>
    </w:p>
    <w:p>
      <w:pPr>
        <w:spacing w:line="360" w:lineRule="auto"/>
        <w:ind w:firstLine="560" w:firstLineChars="200"/>
        <w:rPr>
          <w:sz w:val="28"/>
          <w:szCs w:val="28"/>
          <w:highlight w:val="none"/>
        </w:rPr>
      </w:pPr>
      <w:r>
        <w:rPr>
          <w:sz w:val="28"/>
          <w:szCs w:val="28"/>
          <w:highlight w:val="none"/>
        </w:rPr>
        <w:t>回归分析法和弹性系数法均为因果分析法，回归分析法指运用因果关系，建立回归分析模型进行预测，可适用于短、中长期预测；弹性系数法主要通过分析两个变量之间的弹性系数进行预测，主要适用于中长期预测。根据两种预测方法的特点，确定回归分析法和弹性系数法2025年和2035年的权重分别为0.6、0.4和0.4、0.6。由此可得，乐山港直接经济腹地2025年和2035年全社会运量分别为3.23亿t和4.26亿t。</w:t>
      </w:r>
    </w:p>
    <w:p>
      <w:pPr>
        <w:spacing w:line="360" w:lineRule="auto"/>
        <w:ind w:firstLine="562" w:firstLineChars="200"/>
        <w:rPr>
          <w:rFonts w:eastAsiaTheme="minorEastAsia"/>
          <w:b/>
          <w:sz w:val="28"/>
          <w:szCs w:val="28"/>
          <w:highlight w:val="none"/>
        </w:rPr>
      </w:pPr>
      <w:r>
        <w:rPr>
          <w:rFonts w:eastAsiaTheme="minorEastAsia"/>
          <w:b/>
          <w:sz w:val="28"/>
          <w:szCs w:val="28"/>
          <w:highlight w:val="none"/>
        </w:rPr>
        <w:t>2.水运占比分析</w:t>
      </w:r>
    </w:p>
    <w:p>
      <w:pPr>
        <w:pStyle w:val="2"/>
        <w:ind w:firstLine="560" w:firstLineChars="200"/>
        <w:jc w:val="both"/>
        <w:rPr>
          <w:rFonts w:ascii="Times New Roman" w:cs="Times New Roman"/>
          <w:color w:val="auto"/>
          <w:sz w:val="28"/>
          <w:szCs w:val="28"/>
          <w:highlight w:val="none"/>
        </w:rPr>
      </w:pPr>
      <w:r>
        <w:rPr>
          <w:rFonts w:ascii="Times New Roman" w:cs="Times New Roman"/>
          <w:color w:val="auto"/>
          <w:sz w:val="28"/>
          <w:szCs w:val="28"/>
          <w:highlight w:val="none"/>
        </w:rPr>
        <w:t>根据全国、四川省和乐山港腹地历史货运数据分析，2012~2019年，全国货运中内河水运占比保持在8%左右，四川省水运占比保持在4%~6%，乐山市水运占比逐年下降，在2%~4%之间，乐山港直接经济腹地潜在水路货源的运输，采用水路运输的比例从2012年的2%降到了2019年的1%。未来，随着四川省“</w:t>
      </w:r>
      <w:r>
        <w:rPr>
          <w:rFonts w:hint="eastAsia" w:ascii="Times New Roman" w:cs="Times New Roman"/>
          <w:color w:val="auto"/>
          <w:sz w:val="28"/>
          <w:szCs w:val="28"/>
          <w:highlight w:val="none"/>
        </w:rPr>
        <w:t>四化同步、城乡融合、五区共兴</w:t>
      </w:r>
      <w:r>
        <w:rPr>
          <w:rFonts w:ascii="Times New Roman" w:cs="Times New Roman"/>
          <w:color w:val="auto"/>
          <w:sz w:val="28"/>
          <w:szCs w:val="28"/>
          <w:highlight w:val="none"/>
        </w:rPr>
        <w:t>”战略的深入，乐山港升级打造为成都港的推进，</w:t>
      </w:r>
      <w:r>
        <w:rPr>
          <w:rFonts w:hint="eastAsia" w:ascii="Times New Roman" w:cs="Times New Roman"/>
          <w:color w:val="auto"/>
          <w:sz w:val="28"/>
          <w:szCs w:val="28"/>
          <w:highlight w:val="none"/>
        </w:rPr>
        <w:t>我国如期实现碳达峰碳中和的要求，</w:t>
      </w:r>
      <w:r>
        <w:rPr>
          <w:rFonts w:ascii="Times New Roman" w:cs="Times New Roman"/>
          <w:color w:val="auto"/>
          <w:sz w:val="28"/>
          <w:szCs w:val="28"/>
          <w:highlight w:val="none"/>
        </w:rPr>
        <w:t>乐山港的辐射作用将会加强，乐山港直接经济腹地潜在水路货源采用水路运输的比例将会逐年增加。预计到2025年和2035年乐山港直接经济腹地水运占比分别为1.5%和3.9%左右。各区域货运组成历史数据如图2.5-1所示。</w:t>
      </w:r>
    </w:p>
    <w:p>
      <w:pPr>
        <w:pStyle w:val="2"/>
        <w:ind w:firstLine="560" w:firstLineChars="200"/>
        <w:jc w:val="both"/>
        <w:rPr>
          <w:rFonts w:ascii="Times New Roman" w:cs="Times New Roman"/>
          <w:color w:val="auto"/>
          <w:highlight w:val="none"/>
        </w:rPr>
      </w:pPr>
      <w:r>
        <w:rPr>
          <w:rFonts w:ascii="Times New Roman" w:cs="Times New Roman"/>
          <w:color w:val="auto"/>
          <w:sz w:val="28"/>
          <w:szCs w:val="28"/>
          <w:highlight w:val="none"/>
        </w:rPr>
        <w:t>水运占比法采用弹性系数法和回归分析法，以GDP的预测对未来全社会运量进行预测，再通过对国内水运占比的分析，确定研究区域水运占比，进而计算得到未来乐山港腹地水路货运总量。由于GDP与全社会运量的相关性比GDP与水路货运量的相关性更加可靠，不受运输方式的限制，因此弹性系数法的预测结果可靠性更高。</w:t>
      </w:r>
    </w:p>
    <w:p>
      <w:pPr>
        <w:widowControl/>
        <w:jc w:val="center"/>
        <w:rPr>
          <w:kern w:val="0"/>
          <w:sz w:val="24"/>
          <w:highlight w:val="none"/>
        </w:rPr>
      </w:pPr>
      <w:r>
        <w:rPr>
          <w:kern w:val="0"/>
          <w:sz w:val="24"/>
          <w:highlight w:val="none"/>
        </w:rPr>
        <w:drawing>
          <wp:inline distT="0" distB="0" distL="0" distR="0">
            <wp:extent cx="4517390" cy="2844800"/>
            <wp:effectExtent l="0" t="0" r="0" b="0"/>
            <wp:docPr id="8" name="图片 8" descr="C:\Users\Dell\AppData\Roaming\Tencent\Users\894675474\QQ\WinTemp\RichOle\8I~(PZQT)9MJZOAC~(IQ]]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Users\Dell\AppData\Roaming\Tencent\Users\894675474\QQ\WinTemp\RichOle\8I~(PZQT)9MJZOAC~(IQ]]C.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4551536" cy="2866425"/>
                    </a:xfrm>
                    <a:prstGeom prst="rect">
                      <a:avLst/>
                    </a:prstGeom>
                    <a:noFill/>
                    <a:ln>
                      <a:noFill/>
                    </a:ln>
                  </pic:spPr>
                </pic:pic>
              </a:graphicData>
            </a:graphic>
          </wp:inline>
        </w:drawing>
      </w:r>
    </w:p>
    <w:p>
      <w:pPr>
        <w:jc w:val="center"/>
        <w:rPr>
          <w:b/>
          <w:sz w:val="24"/>
          <w:highlight w:val="none"/>
        </w:rPr>
      </w:pPr>
      <w:r>
        <w:rPr>
          <w:b/>
          <w:sz w:val="24"/>
          <w:highlight w:val="none"/>
        </w:rPr>
        <w:t>图2.5-1国省市全社会运量组成图</w:t>
      </w:r>
    </w:p>
    <w:p>
      <w:pPr>
        <w:spacing w:line="360" w:lineRule="auto"/>
        <w:ind w:firstLine="562" w:firstLineChars="200"/>
        <w:rPr>
          <w:rFonts w:eastAsiaTheme="minorEastAsia"/>
          <w:b/>
          <w:sz w:val="28"/>
          <w:szCs w:val="28"/>
          <w:highlight w:val="none"/>
        </w:rPr>
      </w:pPr>
      <w:r>
        <w:rPr>
          <w:rFonts w:eastAsiaTheme="minorEastAsia"/>
          <w:b/>
          <w:sz w:val="28"/>
          <w:szCs w:val="28"/>
          <w:highlight w:val="none"/>
        </w:rPr>
        <w:t>3.水路货运总量预测</w:t>
      </w:r>
    </w:p>
    <w:p>
      <w:pPr>
        <w:spacing w:line="360" w:lineRule="auto"/>
        <w:ind w:firstLine="560" w:firstLineChars="200"/>
        <w:rPr>
          <w:sz w:val="28"/>
          <w:szCs w:val="28"/>
          <w:highlight w:val="none"/>
        </w:rPr>
      </w:pPr>
      <w:r>
        <w:rPr>
          <w:sz w:val="28"/>
          <w:szCs w:val="28"/>
          <w:highlight w:val="none"/>
        </w:rPr>
        <w:t>根据前文对全社会运量以及在全社会运量中水运的占比的分析预测，计算可得乐山港腹地2025年和2035年水路货运总量分别为500万t和1650万t。</w:t>
      </w:r>
    </w:p>
    <w:p>
      <w:pPr>
        <w:spacing w:line="360" w:lineRule="auto"/>
        <w:ind w:firstLine="562" w:firstLineChars="200"/>
        <w:rPr>
          <w:rFonts w:eastAsiaTheme="minorEastAsia"/>
          <w:b/>
          <w:sz w:val="28"/>
          <w:szCs w:val="28"/>
          <w:highlight w:val="none"/>
        </w:rPr>
      </w:pPr>
      <w:r>
        <w:rPr>
          <w:rFonts w:eastAsiaTheme="minorEastAsia"/>
          <w:b/>
          <w:sz w:val="28"/>
          <w:szCs w:val="28"/>
          <w:highlight w:val="none"/>
        </w:rPr>
        <w:t>4.货物吞吐总量预测</w:t>
      </w:r>
    </w:p>
    <w:p>
      <w:pPr>
        <w:spacing w:line="360" w:lineRule="auto"/>
        <w:ind w:firstLine="560" w:firstLineChars="200"/>
        <w:rPr>
          <w:sz w:val="28"/>
          <w:szCs w:val="28"/>
          <w:highlight w:val="none"/>
        </w:rPr>
      </w:pPr>
      <w:bookmarkStart w:id="145" w:name="_Toc39688284"/>
      <w:r>
        <w:rPr>
          <w:rFonts w:hint="eastAsia"/>
          <w:sz w:val="28"/>
          <w:szCs w:val="28"/>
          <w:highlight w:val="none"/>
        </w:rPr>
        <w:t>根据前文对水路货运总量的分析预测，考虑到货运需求均为中长途运输，乐山港各港区之间基本无货物交换，因此预计乐山港</w:t>
      </w:r>
      <w:r>
        <w:rPr>
          <w:sz w:val="28"/>
          <w:szCs w:val="28"/>
          <w:highlight w:val="none"/>
        </w:rPr>
        <w:t>2025</w:t>
      </w:r>
      <w:r>
        <w:rPr>
          <w:rFonts w:hint="eastAsia"/>
          <w:sz w:val="28"/>
          <w:szCs w:val="28"/>
          <w:highlight w:val="none"/>
        </w:rPr>
        <w:t>年和</w:t>
      </w:r>
      <w:r>
        <w:rPr>
          <w:sz w:val="28"/>
          <w:szCs w:val="28"/>
          <w:highlight w:val="none"/>
        </w:rPr>
        <w:t>2035</w:t>
      </w:r>
      <w:r>
        <w:rPr>
          <w:rFonts w:hint="eastAsia"/>
          <w:sz w:val="28"/>
          <w:szCs w:val="28"/>
          <w:highlight w:val="none"/>
        </w:rPr>
        <w:t>年货物吞吐总量分别为</w:t>
      </w:r>
      <w:r>
        <w:rPr>
          <w:sz w:val="28"/>
          <w:szCs w:val="28"/>
          <w:highlight w:val="none"/>
        </w:rPr>
        <w:t>500</w:t>
      </w:r>
      <w:r>
        <w:rPr>
          <w:rFonts w:hint="eastAsia"/>
          <w:sz w:val="28"/>
          <w:szCs w:val="28"/>
          <w:highlight w:val="none"/>
        </w:rPr>
        <w:t>万</w:t>
      </w:r>
      <w:r>
        <w:rPr>
          <w:sz w:val="28"/>
          <w:szCs w:val="28"/>
          <w:highlight w:val="none"/>
        </w:rPr>
        <w:t>t</w:t>
      </w:r>
      <w:r>
        <w:rPr>
          <w:rFonts w:hint="eastAsia"/>
          <w:sz w:val="28"/>
          <w:szCs w:val="28"/>
          <w:highlight w:val="none"/>
        </w:rPr>
        <w:t>和</w:t>
      </w:r>
      <w:r>
        <w:rPr>
          <w:sz w:val="28"/>
          <w:szCs w:val="28"/>
          <w:highlight w:val="none"/>
        </w:rPr>
        <w:t>1650</w:t>
      </w:r>
      <w:r>
        <w:rPr>
          <w:rFonts w:hint="eastAsia"/>
          <w:sz w:val="28"/>
          <w:szCs w:val="28"/>
          <w:highlight w:val="none"/>
        </w:rPr>
        <w:t>万</w:t>
      </w:r>
      <w:r>
        <w:rPr>
          <w:sz w:val="28"/>
          <w:szCs w:val="28"/>
          <w:highlight w:val="none"/>
        </w:rPr>
        <w:t>t</w:t>
      </w:r>
      <w:r>
        <w:rPr>
          <w:rFonts w:hint="eastAsia"/>
          <w:sz w:val="28"/>
          <w:szCs w:val="28"/>
          <w:highlight w:val="none"/>
        </w:rPr>
        <w:t>。</w:t>
      </w:r>
      <w:bookmarkEnd w:id="145"/>
    </w:p>
    <w:p>
      <w:pPr>
        <w:pStyle w:val="6"/>
        <w:spacing w:before="0" w:after="0" w:line="360" w:lineRule="auto"/>
        <w:ind w:firstLine="562" w:firstLineChars="200"/>
        <w:rPr>
          <w:rFonts w:ascii="Times New Roman" w:hAnsi="Times New Roman" w:cs="Times New Roman"/>
          <w:highlight w:val="none"/>
        </w:rPr>
      </w:pPr>
      <w:r>
        <w:rPr>
          <w:rFonts w:ascii="Times New Roman" w:hAnsi="Times New Roman" w:cs="Times New Roman"/>
          <w:highlight w:val="none"/>
        </w:rPr>
        <w:t>（二）分货类港口吞吐量预测</w:t>
      </w:r>
      <w:bookmarkEnd w:id="143"/>
      <w:bookmarkEnd w:id="144"/>
    </w:p>
    <w:p>
      <w:pPr>
        <w:spacing w:line="360" w:lineRule="auto"/>
        <w:ind w:firstLine="562" w:firstLineChars="200"/>
        <w:rPr>
          <w:rFonts w:eastAsiaTheme="minorEastAsia"/>
          <w:b/>
          <w:sz w:val="28"/>
          <w:szCs w:val="28"/>
          <w:highlight w:val="none"/>
        </w:rPr>
      </w:pPr>
      <w:bookmarkStart w:id="146" w:name="_Toc39688287"/>
      <w:r>
        <w:rPr>
          <w:rFonts w:eastAsiaTheme="minorEastAsia"/>
          <w:b/>
          <w:sz w:val="28"/>
          <w:szCs w:val="28"/>
          <w:highlight w:val="none"/>
        </w:rPr>
        <w:t>1.矿建材料</w:t>
      </w:r>
      <w:bookmarkEnd w:id="146"/>
    </w:p>
    <w:p>
      <w:pPr>
        <w:spacing w:line="360" w:lineRule="auto"/>
        <w:ind w:firstLine="560" w:firstLineChars="200"/>
        <w:rPr>
          <w:sz w:val="28"/>
          <w:szCs w:val="28"/>
          <w:highlight w:val="none"/>
        </w:rPr>
      </w:pPr>
      <w:r>
        <w:rPr>
          <w:sz w:val="28"/>
          <w:szCs w:val="28"/>
          <w:highlight w:val="none"/>
        </w:rPr>
        <w:t>乐山港腹地矿建材料分布广泛，但是由于矿建材料主要为区间短途运输，因此乐山港矿建材料的运输主要考虑乐山市本地的矿建材料资源。</w:t>
      </w:r>
    </w:p>
    <w:p>
      <w:pPr>
        <w:spacing w:line="360" w:lineRule="auto"/>
        <w:ind w:firstLine="560" w:firstLineChars="200"/>
        <w:rPr>
          <w:highlight w:val="none"/>
        </w:rPr>
      </w:pPr>
      <w:r>
        <w:rPr>
          <w:sz w:val="28"/>
          <w:szCs w:val="28"/>
          <w:highlight w:val="none"/>
        </w:rPr>
        <w:t>乐山市水系众多，岷江、大渡河以及众多支小河流都具有丰富的砂石资源。近年来，由于乐山市以及成都平原经济区城市化速度加快，对砂石等矿建材料需求逐年增加。根据《乐山市十三五采砂规划》，综合分析，未来乐山市砂石开采量将有所下降，但仍会保持在较高水平。预测乐山港2025年和2035年矿建材料吞吐量分别为250万t和685万t。</w:t>
      </w:r>
    </w:p>
    <w:p>
      <w:pPr>
        <w:spacing w:line="360" w:lineRule="auto"/>
        <w:ind w:firstLine="562" w:firstLineChars="200"/>
        <w:rPr>
          <w:rFonts w:eastAsiaTheme="minorEastAsia"/>
          <w:b/>
          <w:sz w:val="28"/>
          <w:szCs w:val="28"/>
          <w:highlight w:val="none"/>
        </w:rPr>
      </w:pPr>
      <w:bookmarkStart w:id="147" w:name="_Toc39688288"/>
      <w:r>
        <w:rPr>
          <w:rFonts w:eastAsiaTheme="minorEastAsia"/>
          <w:b/>
          <w:sz w:val="28"/>
          <w:szCs w:val="28"/>
          <w:highlight w:val="none"/>
        </w:rPr>
        <w:t>2.煤炭及制品</w:t>
      </w:r>
      <w:bookmarkEnd w:id="147"/>
    </w:p>
    <w:p>
      <w:pPr>
        <w:spacing w:line="360" w:lineRule="auto"/>
        <w:ind w:firstLine="561"/>
        <w:rPr>
          <w:b/>
          <w:sz w:val="28"/>
          <w:szCs w:val="28"/>
          <w:highlight w:val="none"/>
        </w:rPr>
      </w:pPr>
      <w:r>
        <w:rPr>
          <w:sz w:val="28"/>
          <w:szCs w:val="28"/>
          <w:highlight w:val="none"/>
        </w:rPr>
        <w:t>乐山港直接腹地煤炭储量不多，主要集中在乐山市和眉山市，考虑到各市州的交通情况，预计未来仅乐山市煤炭会经由乐山港运输。乐山市煤矿资源储量达到3.3亿t，预计未来随着乐山市矿产资源的进一步开发，煤炭资源的水路运输量将随之增加。考虑到乐山市近年来生态优先的发展思路，必将导致煤炭开采量减少和开采成本的上升，拥有一定的价格优势的进口煤炭将占据更大的市场，乐山市的煤炭外调数量较少。另一方面，乐山市福华通达公司每年需要120万t煤炭用于工业生产，其煤炭主要从乐山本地获得，有少部分会通过铁路从山西调入，未来岷江航道条件改善后，预计将有部分煤炭通过水路调入。综合考虑调入和调出需求，预计2025年和2035年乐山港煤炭及制品吞吐量分别为10万t和20万t。</w:t>
      </w:r>
    </w:p>
    <w:p>
      <w:pPr>
        <w:spacing w:line="360" w:lineRule="auto"/>
        <w:ind w:firstLine="562" w:firstLineChars="200"/>
        <w:rPr>
          <w:rFonts w:eastAsiaTheme="minorEastAsia"/>
          <w:b/>
          <w:sz w:val="28"/>
          <w:szCs w:val="28"/>
          <w:highlight w:val="none"/>
        </w:rPr>
      </w:pPr>
      <w:bookmarkStart w:id="148" w:name="_Toc39688289"/>
      <w:r>
        <w:rPr>
          <w:rFonts w:eastAsiaTheme="minorEastAsia"/>
          <w:b/>
          <w:sz w:val="28"/>
          <w:szCs w:val="28"/>
          <w:highlight w:val="none"/>
        </w:rPr>
        <w:t>3.金属矿石</w:t>
      </w:r>
      <w:bookmarkEnd w:id="148"/>
    </w:p>
    <w:p>
      <w:pPr>
        <w:spacing w:line="360" w:lineRule="auto"/>
        <w:ind w:firstLine="561"/>
        <w:rPr>
          <w:sz w:val="28"/>
          <w:szCs w:val="28"/>
          <w:highlight w:val="none"/>
        </w:rPr>
      </w:pPr>
      <w:r>
        <w:rPr>
          <w:sz w:val="28"/>
          <w:szCs w:val="28"/>
          <w:highlight w:val="none"/>
        </w:rPr>
        <w:t>乐山港金属矿石的运输主要为乐山市本地金属矿石需求。根据乐山市第三轮矿产资源规划，乐山市有着储量2000万t的中型铜矿，还有一些小型铅矿。乐山市近年来拟开铜矿，预计未来会有少量的金属矿石调出。</w:t>
      </w:r>
      <w:bookmarkStart w:id="149" w:name="_Toc39688290"/>
      <w:r>
        <w:rPr>
          <w:sz w:val="28"/>
          <w:szCs w:val="28"/>
          <w:highlight w:val="none"/>
        </w:rPr>
        <w:t>另外，乐山市沙湾德胜钢厂每年从江阴采购20万t金属矿石，从攀枝花采购10万t钛精矿，目前主要通过公路和铁路运输。预计未来随着岷江航道的畅通，部分金属矿石将通过水路调入。预计2025年和2035年金属矿石吞吐量分别为10万t和50万t。</w:t>
      </w:r>
    </w:p>
    <w:p>
      <w:pPr>
        <w:spacing w:line="360" w:lineRule="auto"/>
        <w:ind w:firstLine="561"/>
        <w:rPr>
          <w:rFonts w:eastAsiaTheme="minorEastAsia"/>
          <w:b/>
          <w:sz w:val="28"/>
          <w:szCs w:val="28"/>
          <w:highlight w:val="none"/>
        </w:rPr>
      </w:pPr>
      <w:r>
        <w:rPr>
          <w:rFonts w:eastAsiaTheme="minorEastAsia"/>
          <w:b/>
          <w:sz w:val="28"/>
          <w:szCs w:val="28"/>
          <w:highlight w:val="none"/>
        </w:rPr>
        <w:t>4.钢铁</w:t>
      </w:r>
      <w:bookmarkEnd w:id="149"/>
    </w:p>
    <w:p>
      <w:pPr>
        <w:spacing w:line="360" w:lineRule="auto"/>
        <w:ind w:firstLine="560" w:firstLineChars="200"/>
        <w:rPr>
          <w:sz w:val="28"/>
          <w:szCs w:val="28"/>
          <w:highlight w:val="none"/>
        </w:rPr>
      </w:pPr>
      <w:bookmarkStart w:id="150" w:name="_Toc39688291"/>
      <w:r>
        <w:rPr>
          <w:sz w:val="28"/>
          <w:szCs w:val="28"/>
          <w:highlight w:val="none"/>
        </w:rPr>
        <w:t>乐山港经济腹地主要的冶金产业集中在德阳市和乐山市，但是德阳市距乐山较远，且陆路运输发达，因此不考虑其通过乐山港运输。冶金产业一直是乐山市重点产业之一。乐山市沙湾不锈钢产业园区主导产业为不锈钢、钒钛钢、机械，龙头企业为</w:t>
      </w:r>
      <w:r>
        <w:rPr>
          <w:rFonts w:hint="eastAsia"/>
          <w:sz w:val="28"/>
          <w:szCs w:val="28"/>
          <w:highlight w:val="none"/>
        </w:rPr>
        <w:t>四川罡宸不锈钢有限责任公司和四川德胜集团钒钛有限公司</w:t>
      </w:r>
      <w:r>
        <w:rPr>
          <w:sz w:val="28"/>
          <w:szCs w:val="28"/>
          <w:highlight w:val="none"/>
        </w:rPr>
        <w:t>。其中，</w:t>
      </w:r>
      <w:r>
        <w:rPr>
          <w:rFonts w:hint="eastAsia"/>
          <w:sz w:val="28"/>
          <w:szCs w:val="28"/>
          <w:highlight w:val="none"/>
        </w:rPr>
        <w:t>四川罡宸不锈钢有限责任公司</w:t>
      </w:r>
      <w:r>
        <w:rPr>
          <w:sz w:val="28"/>
          <w:szCs w:val="28"/>
          <w:highlight w:val="none"/>
        </w:rPr>
        <w:t>已形成年产60万t不锈钢板坯、160万t热轧卷、130万t酸洗白卷的产能。四川德胜集团钒钛有限公司形成了循环型产业链，钢产量实现200万t以上。预测2025年和2035年乐山港钢铁吞吐量分别为10万t和90万t。</w:t>
      </w:r>
    </w:p>
    <w:p>
      <w:pPr>
        <w:spacing w:line="360" w:lineRule="auto"/>
        <w:ind w:firstLine="562" w:firstLineChars="200"/>
        <w:rPr>
          <w:rFonts w:eastAsiaTheme="minorEastAsia"/>
          <w:b/>
          <w:sz w:val="28"/>
          <w:szCs w:val="28"/>
          <w:highlight w:val="none"/>
        </w:rPr>
      </w:pPr>
      <w:r>
        <w:rPr>
          <w:rFonts w:eastAsiaTheme="minorEastAsia"/>
          <w:b/>
          <w:sz w:val="28"/>
          <w:szCs w:val="28"/>
          <w:highlight w:val="none"/>
        </w:rPr>
        <w:t>5.水泥</w:t>
      </w:r>
      <w:bookmarkEnd w:id="150"/>
    </w:p>
    <w:p>
      <w:pPr>
        <w:spacing w:line="360" w:lineRule="auto"/>
        <w:ind w:firstLine="560" w:firstLineChars="200"/>
        <w:rPr>
          <w:sz w:val="28"/>
          <w:szCs w:val="28"/>
          <w:highlight w:val="none"/>
        </w:rPr>
      </w:pPr>
      <w:r>
        <w:rPr>
          <w:sz w:val="28"/>
          <w:szCs w:val="28"/>
          <w:highlight w:val="none"/>
        </w:rPr>
        <w:t>水泥主要用于城市建设，成都市城市建设需求巨大，成都平原经济区的水泥将主要服务于成都的建设。乐山市是四川省水泥主要产地之一，目前，乐山市拥有年产2300万t新型干法水泥生产线，2019年实际年产量2200万t，占全省水泥产量的16%。预计乐山市生产的水泥除用于本地和成都平原经济区使用外，仍将有部分通过水路外运。预测乐山港2025年和2035年分别为20万t和60万t。</w:t>
      </w:r>
    </w:p>
    <w:p>
      <w:pPr>
        <w:spacing w:line="360" w:lineRule="auto"/>
        <w:ind w:firstLine="562" w:firstLineChars="200"/>
        <w:rPr>
          <w:rFonts w:eastAsiaTheme="minorEastAsia"/>
          <w:b/>
          <w:sz w:val="28"/>
          <w:szCs w:val="28"/>
          <w:highlight w:val="none"/>
        </w:rPr>
      </w:pPr>
      <w:bookmarkStart w:id="151" w:name="_Toc39688292"/>
      <w:bookmarkStart w:id="152" w:name="_Toc39688298"/>
      <w:r>
        <w:rPr>
          <w:rFonts w:eastAsiaTheme="minorEastAsia"/>
          <w:b/>
          <w:sz w:val="28"/>
          <w:szCs w:val="28"/>
          <w:highlight w:val="none"/>
        </w:rPr>
        <w:t>6.非金属矿石</w:t>
      </w:r>
      <w:bookmarkEnd w:id="151"/>
    </w:p>
    <w:p>
      <w:pPr>
        <w:spacing w:line="360" w:lineRule="auto"/>
        <w:ind w:firstLine="561"/>
        <w:rPr>
          <w:highlight w:val="none"/>
        </w:rPr>
      </w:pPr>
      <w:r>
        <w:rPr>
          <w:sz w:val="28"/>
          <w:szCs w:val="28"/>
          <w:highlight w:val="none"/>
        </w:rPr>
        <w:t>乐山港腹地非金属矿石储量丰富，主要集中在乐山市马边和德阳市什邡和大竹。乐山市非金属矿石极为丰富，拥有国家级德阳-马边-雷波磷矿规划矿区中马边磷矿区、峨边磷矿区和金口河磷矿区，省级马边-雷波磷矿基地，已探明的磷矿储量6.83亿t。非金属矿石是重要的工业原材料，乐山市本地开采的磷矿等非金属矿石除部分用于本地盐磷化工和建材以外，其余也将出口外地。另外，德阳市什邡和大竹也有丰富的磷矿储备，但主要用于本地磷化工企业消耗。随着未来乐山港的建设，预计未来乐山市非金属矿石通过水路的外调量将会非常巨大。预测2025年和2035年乐山港非金属矿石吞吐量分别为50万t和340万t。</w:t>
      </w:r>
    </w:p>
    <w:p>
      <w:pPr>
        <w:spacing w:line="360" w:lineRule="auto"/>
        <w:ind w:firstLine="562" w:firstLineChars="200"/>
        <w:rPr>
          <w:rFonts w:eastAsiaTheme="minorEastAsia"/>
          <w:b/>
          <w:sz w:val="28"/>
          <w:szCs w:val="28"/>
          <w:highlight w:val="none"/>
        </w:rPr>
      </w:pPr>
      <w:bookmarkStart w:id="153" w:name="_Toc39688293"/>
      <w:r>
        <w:rPr>
          <w:rFonts w:eastAsiaTheme="minorEastAsia"/>
          <w:b/>
          <w:sz w:val="28"/>
          <w:szCs w:val="28"/>
          <w:highlight w:val="none"/>
        </w:rPr>
        <w:t>7.盐</w:t>
      </w:r>
      <w:bookmarkEnd w:id="153"/>
    </w:p>
    <w:p>
      <w:pPr>
        <w:spacing w:line="360" w:lineRule="auto"/>
        <w:ind w:firstLine="560" w:firstLineChars="200"/>
        <w:rPr>
          <w:sz w:val="28"/>
          <w:szCs w:val="28"/>
          <w:highlight w:val="none"/>
        </w:rPr>
      </w:pPr>
      <w:r>
        <w:rPr>
          <w:sz w:val="28"/>
          <w:szCs w:val="28"/>
          <w:highlight w:val="none"/>
        </w:rPr>
        <w:t>乐山港经济腹地盐化工主要集中在乐山市五通桥区，主要涵盖制盐和制碱等，现已形成320万t/年原盐和120万t/年纯碱的生产能力，真空制盐和联碱产能西部第一。盐磷化工骨干企业主要有福华、和邦、永祥股份等，其中和邦集团是西部第一的联碱生产企业，联碱工艺、装备水平居国内前列。预计未来随着乐山市盐化工产业的发展，乐山港盐类货物将继续增多。预测乐山港2025年和2035年盐类吞吐量分别为20万t和50万t。</w:t>
      </w:r>
    </w:p>
    <w:p>
      <w:pPr>
        <w:spacing w:line="360" w:lineRule="auto"/>
        <w:ind w:firstLine="562" w:firstLineChars="200"/>
        <w:rPr>
          <w:rFonts w:eastAsiaTheme="minorEastAsia"/>
          <w:b/>
          <w:sz w:val="28"/>
          <w:szCs w:val="28"/>
          <w:highlight w:val="none"/>
        </w:rPr>
      </w:pPr>
      <w:bookmarkStart w:id="154" w:name="_Toc39688294"/>
      <w:r>
        <w:rPr>
          <w:rFonts w:eastAsiaTheme="minorEastAsia"/>
          <w:b/>
          <w:sz w:val="28"/>
          <w:szCs w:val="28"/>
          <w:highlight w:val="none"/>
        </w:rPr>
        <w:t>8.粮食</w:t>
      </w:r>
      <w:bookmarkEnd w:id="154"/>
    </w:p>
    <w:p>
      <w:pPr>
        <w:spacing w:line="360" w:lineRule="auto"/>
        <w:ind w:firstLine="560" w:firstLineChars="200"/>
        <w:rPr>
          <w:highlight w:val="none"/>
        </w:rPr>
      </w:pPr>
      <w:r>
        <w:rPr>
          <w:sz w:val="28"/>
          <w:szCs w:val="28"/>
          <w:highlight w:val="none"/>
        </w:rPr>
        <w:t>成都平原经济区人口众多，粮食需求大、流通量大，水路运输在大宗散货运输中具有运价低的比较优势，因此，未来大部分粮食调入将通过水路运输。随着人民生活水平的提高，重庆等长江沿线地区不同的粮食品种将通过水路在乐山中转与成都平原经济区进行交换。同时，食品饮料是四川省“5+1”产业体系之一，成都市蜀之缘酒业公司、德阳市的剑南春以及蓝剑饮品、眉山东坡酒业等企业对粮食的需求也比较大。据统计，四川省年粮食调入量达到2000万t，乐山市作为成都平原经济区的水运门户，未来也将有大量的粮食调入需求。预测2025年和2035年粮食吞吐量分别30万t和80万t。</w:t>
      </w:r>
    </w:p>
    <w:p>
      <w:pPr>
        <w:spacing w:line="360" w:lineRule="auto"/>
        <w:ind w:firstLine="562" w:firstLineChars="200"/>
        <w:rPr>
          <w:rFonts w:eastAsiaTheme="minorEastAsia"/>
          <w:b/>
          <w:sz w:val="28"/>
          <w:szCs w:val="28"/>
          <w:highlight w:val="none"/>
        </w:rPr>
      </w:pPr>
      <w:bookmarkStart w:id="155" w:name="_Toc39688295"/>
      <w:r>
        <w:rPr>
          <w:rFonts w:eastAsiaTheme="minorEastAsia"/>
          <w:b/>
          <w:sz w:val="28"/>
          <w:szCs w:val="28"/>
          <w:highlight w:val="none"/>
        </w:rPr>
        <w:t>9.机械设备及电器</w:t>
      </w:r>
      <w:bookmarkEnd w:id="155"/>
    </w:p>
    <w:p>
      <w:pPr>
        <w:spacing w:line="360" w:lineRule="auto"/>
        <w:ind w:firstLine="560" w:firstLineChars="200"/>
        <w:rPr>
          <w:sz w:val="28"/>
          <w:szCs w:val="28"/>
          <w:highlight w:val="none"/>
        </w:rPr>
      </w:pPr>
      <w:r>
        <w:rPr>
          <w:sz w:val="28"/>
          <w:szCs w:val="28"/>
          <w:highlight w:val="none"/>
        </w:rPr>
        <w:t>乐山港经济腹地机械设备及电器货运需求旺盛，成都市汽车制造业、德阳市的重装制造业、眉山市的轨道交通装备制造和乐山市先进装备制造业均为当地优势产业。根据《乐山市工业经济发展规划（2016-2025年）》，乐山市将依托岷江、成贵铁路、新机场等交通枢纽后发优势发展先进装备产业，</w:t>
      </w:r>
      <w:r>
        <w:rPr>
          <w:bCs/>
          <w:sz w:val="28"/>
          <w:szCs w:val="28"/>
          <w:highlight w:val="none"/>
        </w:rPr>
        <w:t>重点发展港口装备、能源装备、节能环保装备等先进装备领域</w:t>
      </w:r>
      <w:r>
        <w:rPr>
          <w:sz w:val="28"/>
          <w:szCs w:val="28"/>
          <w:highlight w:val="none"/>
        </w:rPr>
        <w:t>。未来，随着岷江高等级航道的建设，水路运输的优势将会逐步显现，将会有更多乐山市本地的机械设备及重大件从水路运出。另一方面，德阳有“重装之都”美誉，拥有中国二重、东方电机、东方汽轮机、宏华石油等一批国内一流、世界知名的重装制造企业。乐山港一直以来都是成都市重装生命线，未来成都市、乐山市和德阳市的机械设备及电器将会通过乐山港外运，预测乐山港2025年和2035年机械设备及电器吞吐量分别为40万t和95万t，其中重大件分别为5万t和15万t。</w:t>
      </w:r>
    </w:p>
    <w:p>
      <w:pPr>
        <w:spacing w:line="360" w:lineRule="auto"/>
        <w:ind w:firstLine="562" w:firstLineChars="200"/>
        <w:rPr>
          <w:rFonts w:eastAsiaTheme="minorEastAsia"/>
          <w:b/>
          <w:sz w:val="28"/>
          <w:szCs w:val="28"/>
          <w:highlight w:val="none"/>
        </w:rPr>
      </w:pPr>
      <w:bookmarkStart w:id="156" w:name="_Toc39688296"/>
      <w:r>
        <w:rPr>
          <w:rFonts w:eastAsiaTheme="minorEastAsia"/>
          <w:b/>
          <w:sz w:val="28"/>
          <w:szCs w:val="28"/>
          <w:highlight w:val="none"/>
        </w:rPr>
        <w:t>10.化工原料及制品</w:t>
      </w:r>
      <w:bookmarkEnd w:id="156"/>
    </w:p>
    <w:p>
      <w:pPr>
        <w:spacing w:line="360" w:lineRule="auto"/>
        <w:ind w:firstLine="560" w:firstLineChars="200"/>
        <w:rPr>
          <w:sz w:val="28"/>
          <w:szCs w:val="28"/>
          <w:highlight w:val="none"/>
        </w:rPr>
      </w:pPr>
      <w:r>
        <w:rPr>
          <w:sz w:val="28"/>
          <w:szCs w:val="28"/>
          <w:highlight w:val="none"/>
        </w:rPr>
        <w:t>乐山经济腹地化工产业主要集中在乐山市和德阳市。乐山市化工产业发达，主要产品涵盖制盐、制碱等领域</w:t>
      </w:r>
      <w:r>
        <w:rPr>
          <w:rFonts w:hint="eastAsia"/>
          <w:sz w:val="28"/>
          <w:szCs w:val="28"/>
          <w:highlight w:val="none"/>
        </w:rPr>
        <w:t>。同时乐山市每年还会出口20万t元明粉至镇江，规划年产量将达120万t。德阳市磷化工、氯碱化工、钛化工、天然气化工等化工产业发达，拥有四川金路、四川宏达、四川龙蟒、美丰化工等一批大型骨干企业，是全国重要的磷化工基地和化肥生产基地。预计未来随着乐山港建设的推进，乐山市、德阳市等地的化工原料及制品将通过乐山港外运，预测乐山港2025年和2035年化工原料及制品吞吐量分别为40万t和110万t。</w:t>
      </w:r>
    </w:p>
    <w:p>
      <w:pPr>
        <w:spacing w:line="360" w:lineRule="auto"/>
        <w:ind w:firstLine="562" w:firstLineChars="200"/>
        <w:rPr>
          <w:rFonts w:eastAsiaTheme="minorEastAsia"/>
          <w:b/>
          <w:sz w:val="28"/>
          <w:szCs w:val="28"/>
          <w:highlight w:val="none"/>
        </w:rPr>
      </w:pPr>
      <w:bookmarkStart w:id="157" w:name="_Toc39688297"/>
      <w:r>
        <w:rPr>
          <w:rFonts w:eastAsiaTheme="minorEastAsia"/>
          <w:b/>
          <w:sz w:val="28"/>
          <w:szCs w:val="28"/>
          <w:highlight w:val="none"/>
        </w:rPr>
        <w:t>11.其他</w:t>
      </w:r>
      <w:bookmarkEnd w:id="157"/>
    </w:p>
    <w:p>
      <w:pPr>
        <w:spacing w:line="360" w:lineRule="auto"/>
        <w:ind w:firstLine="560" w:firstLineChars="200"/>
        <w:rPr>
          <w:sz w:val="28"/>
          <w:szCs w:val="28"/>
          <w:highlight w:val="none"/>
        </w:rPr>
      </w:pPr>
      <w:r>
        <w:rPr>
          <w:sz w:val="28"/>
          <w:szCs w:val="28"/>
          <w:highlight w:val="none"/>
        </w:rPr>
        <w:t>除上述货种外，乐山市、成都市、眉山市、德阳市和雅安市的其他适水货源也将通过乐山港运输。近年来，乐山市电子信息、新能源、新材料和生物医药等新兴产业迅猛发展，现具备600亿只分立半导体元器件（居全球第四，安士、安森美、达尔分列前三）、1000万芯公里光纤（西南最大）的年生产能力，2万t多晶硅、500MW太阳能电池组件和国内前三的民用核燃料生产能力，拥有2.5万t／年处理精矿和萃取分离能力。另一方面，农产品加工一直是乐山市的传统优势产业之一，部分货物也有可能会通过水路运输。成都市、眉山市和雅安市等地的有色金属冶炼，新材料、生物医药等产业也很发达，未来也可能会通过乐山港运输。预计2025年和2035年其他类货物吞吐量分别为20万t和70万t。</w:t>
      </w:r>
    </w:p>
    <w:p>
      <w:pPr>
        <w:spacing w:line="360" w:lineRule="auto"/>
        <w:ind w:firstLine="562" w:firstLineChars="200"/>
        <w:rPr>
          <w:rFonts w:eastAsiaTheme="minorEastAsia"/>
          <w:b/>
          <w:sz w:val="28"/>
          <w:szCs w:val="28"/>
          <w:highlight w:val="none"/>
        </w:rPr>
      </w:pPr>
      <w:r>
        <w:rPr>
          <w:rFonts w:eastAsiaTheme="minorEastAsia"/>
          <w:b/>
          <w:sz w:val="28"/>
          <w:szCs w:val="28"/>
          <w:highlight w:val="none"/>
        </w:rPr>
        <w:t>12.集装箱</w:t>
      </w:r>
      <w:bookmarkEnd w:id="152"/>
    </w:p>
    <w:p>
      <w:pPr>
        <w:spacing w:line="360" w:lineRule="auto"/>
        <w:ind w:firstLine="560" w:firstLineChars="200"/>
        <w:rPr>
          <w:sz w:val="28"/>
          <w:szCs w:val="28"/>
          <w:highlight w:val="none"/>
        </w:rPr>
      </w:pPr>
      <w:r>
        <w:rPr>
          <w:sz w:val="28"/>
          <w:szCs w:val="28"/>
          <w:highlight w:val="none"/>
        </w:rPr>
        <w:t>乐山市历年外贸集进出口总额均在10亿元左右，主要销往美国和东盟等地，主要进出口商品包括有机化学品、半导体器件、杂项化学品、鞋靴、机械器具，占全市出口总额的87.6%。考虑到随着成渝地区双城经济圈的建立，成渝城市群的各城市间交流将更为紧密，成都市、眉山市、德阳市等地的集装箱也会从乐山港运出。采用多因素动态生成系数法，通过对乐山港经济腹地外贸进出口总额预测和集装箱生成机制分析，对乐山港集装箱量进行预测。预测2035年乐山</w:t>
      </w:r>
      <w:r>
        <w:rPr>
          <w:rFonts w:hint="eastAsia"/>
          <w:sz w:val="28"/>
          <w:szCs w:val="28"/>
          <w:highlight w:val="none"/>
        </w:rPr>
        <w:t>港</w:t>
      </w:r>
      <w:r>
        <w:rPr>
          <w:sz w:val="28"/>
          <w:szCs w:val="28"/>
          <w:highlight w:val="none"/>
        </w:rPr>
        <w:t>集装箱</w:t>
      </w:r>
      <w:r>
        <w:rPr>
          <w:rFonts w:hint="eastAsia"/>
          <w:sz w:val="28"/>
          <w:szCs w:val="28"/>
          <w:highlight w:val="none"/>
        </w:rPr>
        <w:t>吞吐</w:t>
      </w:r>
      <w:r>
        <w:rPr>
          <w:sz w:val="28"/>
          <w:szCs w:val="28"/>
          <w:highlight w:val="none"/>
        </w:rPr>
        <w:t>量为20万TEU。</w:t>
      </w:r>
    </w:p>
    <w:p>
      <w:pPr>
        <w:spacing w:line="360" w:lineRule="auto"/>
        <w:ind w:firstLine="560" w:firstLineChars="200"/>
        <w:rPr>
          <w:sz w:val="28"/>
          <w:szCs w:val="28"/>
          <w:highlight w:val="none"/>
        </w:rPr>
      </w:pPr>
      <w:r>
        <w:rPr>
          <w:sz w:val="28"/>
          <w:szCs w:val="28"/>
          <w:highlight w:val="none"/>
        </w:rPr>
        <w:t>乐山港货物吞吐量预测结果如表2.5-2所示。</w:t>
      </w:r>
    </w:p>
    <w:p>
      <w:pPr>
        <w:widowControl/>
        <w:jc w:val="left"/>
        <w:rPr>
          <w:rFonts w:eastAsia="黑体"/>
          <w:kern w:val="0"/>
          <w:sz w:val="28"/>
          <w:szCs w:val="28"/>
          <w:highlight w:val="none"/>
        </w:rPr>
      </w:pPr>
      <w:r>
        <w:rPr>
          <w:rFonts w:eastAsia="黑体"/>
          <w:sz w:val="28"/>
          <w:szCs w:val="28"/>
          <w:highlight w:val="none"/>
        </w:rPr>
        <w:br w:type="page"/>
      </w:r>
    </w:p>
    <w:p>
      <w:pPr>
        <w:pStyle w:val="2"/>
        <w:snapToGrid w:val="0"/>
        <w:jc w:val="right"/>
        <w:rPr>
          <w:rFonts w:ascii="Times New Roman" w:eastAsia="黑体" w:cs="Times New Roman"/>
          <w:color w:val="auto"/>
          <w:sz w:val="28"/>
          <w:szCs w:val="28"/>
          <w:highlight w:val="none"/>
        </w:rPr>
      </w:pPr>
      <w:r>
        <w:rPr>
          <w:rFonts w:ascii="Times New Roman" w:eastAsia="黑体" w:cs="Times New Roman"/>
          <w:color w:val="auto"/>
          <w:sz w:val="28"/>
          <w:szCs w:val="28"/>
          <w:highlight w:val="none"/>
        </w:rPr>
        <w:t xml:space="preserve">表2.5-2 乐山港货物吞吐量预测结果表   </w:t>
      </w:r>
      <w:r>
        <w:rPr>
          <w:rFonts w:ascii="Times New Roman" w:cs="Times New Roman"/>
          <w:color w:val="auto"/>
          <w:sz w:val="21"/>
          <w:szCs w:val="21"/>
          <w:highlight w:val="none"/>
        </w:rPr>
        <w:t>单位：万t、万人次</w:t>
      </w:r>
    </w:p>
    <w:tbl>
      <w:tblPr>
        <w:tblStyle w:val="32"/>
        <w:tblW w:w="5000" w:type="pct"/>
        <w:tblInd w:w="0" w:type="dxa"/>
        <w:tblBorders>
          <w:top w:val="thinThickSmallGap" w:color="auto" w:sz="18" w:space="0"/>
          <w:left w:val="none" w:color="auto" w:sz="0" w:space="0"/>
          <w:bottom w:val="thickThinSmallGap" w:color="auto" w:sz="18"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2262"/>
        <w:gridCol w:w="1363"/>
        <w:gridCol w:w="1086"/>
        <w:gridCol w:w="1086"/>
        <w:gridCol w:w="1356"/>
        <w:gridCol w:w="1066"/>
        <w:gridCol w:w="1067"/>
      </w:tblGrid>
      <w:tr>
        <w:tblPrEx>
          <w:tblBorders>
            <w:top w:val="thinThickSmallGap" w:color="auto" w:sz="18" w:space="0"/>
            <w:left w:val="none" w:color="auto" w:sz="0" w:space="0"/>
            <w:bottom w:val="thickThinSmallGap" w:color="auto" w:sz="1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exact"/>
          <w:tblHeader/>
        </w:trPr>
        <w:tc>
          <w:tcPr>
            <w:tcW w:w="1218" w:type="pct"/>
            <w:vMerge w:val="restart"/>
            <w:shd w:val="clear" w:color="auto" w:fill="auto"/>
            <w:noWrap/>
            <w:vAlign w:val="center"/>
          </w:tcPr>
          <w:p>
            <w:pPr>
              <w:widowControl/>
              <w:jc w:val="center"/>
              <w:rPr>
                <w:kern w:val="0"/>
                <w:sz w:val="22"/>
                <w:highlight w:val="none"/>
              </w:rPr>
            </w:pPr>
            <w:r>
              <w:rPr>
                <w:kern w:val="0"/>
                <w:sz w:val="22"/>
                <w:szCs w:val="22"/>
                <w:highlight w:val="none"/>
              </w:rPr>
              <w:t>货种</w:t>
            </w:r>
          </w:p>
        </w:tc>
        <w:tc>
          <w:tcPr>
            <w:tcW w:w="1904" w:type="pct"/>
            <w:gridSpan w:val="3"/>
            <w:shd w:val="clear" w:color="auto" w:fill="auto"/>
            <w:noWrap/>
            <w:vAlign w:val="center"/>
          </w:tcPr>
          <w:p>
            <w:pPr>
              <w:widowControl/>
              <w:snapToGrid w:val="0"/>
              <w:jc w:val="center"/>
              <w:rPr>
                <w:kern w:val="0"/>
                <w:sz w:val="22"/>
                <w:highlight w:val="none"/>
              </w:rPr>
            </w:pPr>
            <w:r>
              <w:rPr>
                <w:kern w:val="0"/>
                <w:sz w:val="22"/>
                <w:szCs w:val="22"/>
                <w:highlight w:val="none"/>
              </w:rPr>
              <w:t>2025年</w:t>
            </w:r>
          </w:p>
        </w:tc>
        <w:tc>
          <w:tcPr>
            <w:tcW w:w="1878" w:type="pct"/>
            <w:gridSpan w:val="3"/>
            <w:shd w:val="clear" w:color="auto" w:fill="auto"/>
            <w:noWrap/>
            <w:vAlign w:val="center"/>
          </w:tcPr>
          <w:p>
            <w:pPr>
              <w:widowControl/>
              <w:snapToGrid w:val="0"/>
              <w:jc w:val="center"/>
              <w:rPr>
                <w:kern w:val="0"/>
                <w:sz w:val="22"/>
                <w:highlight w:val="none"/>
              </w:rPr>
            </w:pPr>
            <w:r>
              <w:rPr>
                <w:kern w:val="0"/>
                <w:sz w:val="22"/>
                <w:szCs w:val="22"/>
                <w:highlight w:val="none"/>
              </w:rPr>
              <w:t>2035年</w:t>
            </w:r>
          </w:p>
        </w:tc>
      </w:tr>
      <w:tr>
        <w:tblPrEx>
          <w:tblBorders>
            <w:top w:val="thinThickSmallGap" w:color="auto" w:sz="18" w:space="0"/>
            <w:left w:val="none" w:color="auto" w:sz="0" w:space="0"/>
            <w:bottom w:val="thickThinSmallGap" w:color="auto" w:sz="1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exact"/>
          <w:tblHeader/>
        </w:trPr>
        <w:tc>
          <w:tcPr>
            <w:tcW w:w="1218" w:type="pct"/>
            <w:vMerge w:val="continue"/>
            <w:vAlign w:val="center"/>
          </w:tcPr>
          <w:p>
            <w:pPr>
              <w:widowControl/>
              <w:jc w:val="left"/>
              <w:rPr>
                <w:kern w:val="0"/>
                <w:sz w:val="22"/>
                <w:highlight w:val="none"/>
              </w:rPr>
            </w:pPr>
          </w:p>
        </w:tc>
        <w:tc>
          <w:tcPr>
            <w:tcW w:w="734" w:type="pct"/>
            <w:shd w:val="clear" w:color="auto" w:fill="auto"/>
            <w:noWrap/>
            <w:vAlign w:val="center"/>
          </w:tcPr>
          <w:p>
            <w:pPr>
              <w:widowControl/>
              <w:jc w:val="center"/>
              <w:rPr>
                <w:kern w:val="0"/>
                <w:sz w:val="22"/>
                <w:highlight w:val="none"/>
              </w:rPr>
            </w:pPr>
            <w:r>
              <w:rPr>
                <w:kern w:val="0"/>
                <w:sz w:val="22"/>
                <w:szCs w:val="22"/>
                <w:highlight w:val="none"/>
              </w:rPr>
              <w:t>总量</w:t>
            </w:r>
          </w:p>
        </w:tc>
        <w:tc>
          <w:tcPr>
            <w:tcW w:w="585" w:type="pct"/>
            <w:shd w:val="clear" w:color="auto" w:fill="auto"/>
            <w:noWrap/>
            <w:vAlign w:val="center"/>
          </w:tcPr>
          <w:p>
            <w:pPr>
              <w:widowControl/>
              <w:jc w:val="center"/>
              <w:rPr>
                <w:kern w:val="0"/>
                <w:sz w:val="22"/>
                <w:highlight w:val="none"/>
              </w:rPr>
            </w:pPr>
            <w:r>
              <w:rPr>
                <w:kern w:val="0"/>
                <w:sz w:val="22"/>
                <w:szCs w:val="22"/>
                <w:highlight w:val="none"/>
              </w:rPr>
              <w:t>进港</w:t>
            </w:r>
          </w:p>
        </w:tc>
        <w:tc>
          <w:tcPr>
            <w:tcW w:w="585" w:type="pct"/>
            <w:shd w:val="clear" w:color="auto" w:fill="auto"/>
            <w:noWrap/>
            <w:vAlign w:val="center"/>
          </w:tcPr>
          <w:p>
            <w:pPr>
              <w:widowControl/>
              <w:jc w:val="center"/>
              <w:rPr>
                <w:kern w:val="0"/>
                <w:sz w:val="22"/>
                <w:highlight w:val="none"/>
              </w:rPr>
            </w:pPr>
            <w:r>
              <w:rPr>
                <w:kern w:val="0"/>
                <w:sz w:val="22"/>
                <w:szCs w:val="22"/>
                <w:highlight w:val="none"/>
              </w:rPr>
              <w:t>出港</w:t>
            </w:r>
          </w:p>
        </w:tc>
        <w:tc>
          <w:tcPr>
            <w:tcW w:w="730" w:type="pct"/>
            <w:shd w:val="clear" w:color="auto" w:fill="auto"/>
            <w:noWrap/>
            <w:vAlign w:val="center"/>
          </w:tcPr>
          <w:p>
            <w:pPr>
              <w:widowControl/>
              <w:jc w:val="center"/>
              <w:rPr>
                <w:kern w:val="0"/>
                <w:sz w:val="22"/>
                <w:highlight w:val="none"/>
              </w:rPr>
            </w:pPr>
            <w:r>
              <w:rPr>
                <w:kern w:val="0"/>
                <w:sz w:val="22"/>
                <w:szCs w:val="22"/>
                <w:highlight w:val="none"/>
              </w:rPr>
              <w:t>总量</w:t>
            </w:r>
          </w:p>
        </w:tc>
        <w:tc>
          <w:tcPr>
            <w:tcW w:w="574" w:type="pct"/>
            <w:shd w:val="clear" w:color="auto" w:fill="auto"/>
            <w:noWrap/>
            <w:vAlign w:val="center"/>
          </w:tcPr>
          <w:p>
            <w:pPr>
              <w:widowControl/>
              <w:jc w:val="center"/>
              <w:rPr>
                <w:kern w:val="0"/>
                <w:sz w:val="22"/>
                <w:highlight w:val="none"/>
              </w:rPr>
            </w:pPr>
            <w:r>
              <w:rPr>
                <w:kern w:val="0"/>
                <w:sz w:val="22"/>
                <w:szCs w:val="22"/>
                <w:highlight w:val="none"/>
              </w:rPr>
              <w:t>进港</w:t>
            </w:r>
          </w:p>
        </w:tc>
        <w:tc>
          <w:tcPr>
            <w:tcW w:w="574" w:type="pct"/>
            <w:shd w:val="clear" w:color="auto" w:fill="auto"/>
            <w:noWrap/>
            <w:vAlign w:val="center"/>
          </w:tcPr>
          <w:p>
            <w:pPr>
              <w:widowControl/>
              <w:jc w:val="center"/>
              <w:rPr>
                <w:kern w:val="0"/>
                <w:sz w:val="22"/>
                <w:highlight w:val="none"/>
              </w:rPr>
            </w:pPr>
            <w:r>
              <w:rPr>
                <w:kern w:val="0"/>
                <w:sz w:val="22"/>
                <w:szCs w:val="22"/>
                <w:highlight w:val="none"/>
              </w:rPr>
              <w:t>出港</w:t>
            </w:r>
          </w:p>
        </w:tc>
      </w:tr>
      <w:tr>
        <w:tblPrEx>
          <w:tblBorders>
            <w:top w:val="thinThickSmallGap" w:color="auto" w:sz="18" w:space="0"/>
            <w:left w:val="none" w:color="auto" w:sz="0" w:space="0"/>
            <w:bottom w:val="thickThinSmallGap" w:color="auto" w:sz="1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exact"/>
        </w:trPr>
        <w:tc>
          <w:tcPr>
            <w:tcW w:w="1218" w:type="pct"/>
            <w:shd w:val="clear" w:color="auto" w:fill="auto"/>
            <w:noWrap/>
            <w:vAlign w:val="center"/>
          </w:tcPr>
          <w:p>
            <w:pPr>
              <w:widowControl/>
              <w:jc w:val="left"/>
              <w:rPr>
                <w:kern w:val="0"/>
                <w:sz w:val="22"/>
                <w:highlight w:val="none"/>
              </w:rPr>
            </w:pPr>
            <w:r>
              <w:rPr>
                <w:kern w:val="0"/>
                <w:sz w:val="22"/>
                <w:szCs w:val="22"/>
                <w:highlight w:val="none"/>
              </w:rPr>
              <w:t>吞吐量合计</w:t>
            </w:r>
          </w:p>
        </w:tc>
        <w:tc>
          <w:tcPr>
            <w:tcW w:w="734" w:type="pct"/>
            <w:shd w:val="clear" w:color="auto" w:fill="auto"/>
            <w:noWrap/>
            <w:vAlign w:val="center"/>
          </w:tcPr>
          <w:p>
            <w:pPr>
              <w:jc w:val="center"/>
              <w:rPr>
                <w:sz w:val="22"/>
                <w:highlight w:val="none"/>
              </w:rPr>
            </w:pPr>
            <w:r>
              <w:rPr>
                <w:rFonts w:eastAsia="等线"/>
                <w:sz w:val="22"/>
                <w:szCs w:val="22"/>
                <w:highlight w:val="none"/>
              </w:rPr>
              <w:t>500</w:t>
            </w:r>
          </w:p>
        </w:tc>
        <w:tc>
          <w:tcPr>
            <w:tcW w:w="585" w:type="pct"/>
            <w:shd w:val="clear" w:color="auto" w:fill="auto"/>
            <w:noWrap/>
            <w:vAlign w:val="center"/>
          </w:tcPr>
          <w:p>
            <w:pPr>
              <w:jc w:val="center"/>
              <w:rPr>
                <w:sz w:val="22"/>
                <w:highlight w:val="none"/>
              </w:rPr>
            </w:pPr>
            <w:r>
              <w:rPr>
                <w:kern w:val="0"/>
                <w:szCs w:val="21"/>
                <w:highlight w:val="none"/>
              </w:rPr>
              <w:t>305</w:t>
            </w:r>
          </w:p>
        </w:tc>
        <w:tc>
          <w:tcPr>
            <w:tcW w:w="585" w:type="pct"/>
            <w:shd w:val="clear" w:color="auto" w:fill="auto"/>
            <w:noWrap/>
            <w:vAlign w:val="center"/>
          </w:tcPr>
          <w:p>
            <w:pPr>
              <w:jc w:val="center"/>
              <w:rPr>
                <w:sz w:val="22"/>
                <w:highlight w:val="none"/>
              </w:rPr>
            </w:pPr>
            <w:r>
              <w:rPr>
                <w:kern w:val="0"/>
                <w:szCs w:val="21"/>
                <w:highlight w:val="none"/>
              </w:rPr>
              <w:t>195</w:t>
            </w:r>
          </w:p>
        </w:tc>
        <w:tc>
          <w:tcPr>
            <w:tcW w:w="730" w:type="pct"/>
            <w:shd w:val="clear" w:color="auto" w:fill="auto"/>
            <w:noWrap/>
            <w:vAlign w:val="center"/>
          </w:tcPr>
          <w:p>
            <w:pPr>
              <w:jc w:val="center"/>
              <w:rPr>
                <w:sz w:val="22"/>
                <w:highlight w:val="none"/>
              </w:rPr>
            </w:pPr>
            <w:r>
              <w:rPr>
                <w:rFonts w:eastAsia="等线"/>
                <w:sz w:val="22"/>
                <w:szCs w:val="22"/>
                <w:highlight w:val="none"/>
              </w:rPr>
              <w:t>1650</w:t>
            </w:r>
          </w:p>
        </w:tc>
        <w:tc>
          <w:tcPr>
            <w:tcW w:w="574" w:type="pct"/>
            <w:shd w:val="clear" w:color="auto" w:fill="auto"/>
            <w:noWrap/>
            <w:vAlign w:val="center"/>
          </w:tcPr>
          <w:p>
            <w:pPr>
              <w:jc w:val="center"/>
              <w:rPr>
                <w:sz w:val="22"/>
                <w:highlight w:val="none"/>
              </w:rPr>
            </w:pPr>
            <w:r>
              <w:rPr>
                <w:kern w:val="0"/>
                <w:szCs w:val="21"/>
                <w:highlight w:val="none"/>
              </w:rPr>
              <w:t>910</w:t>
            </w:r>
          </w:p>
        </w:tc>
        <w:tc>
          <w:tcPr>
            <w:tcW w:w="574" w:type="pct"/>
            <w:shd w:val="clear" w:color="auto" w:fill="auto"/>
            <w:noWrap/>
            <w:vAlign w:val="center"/>
          </w:tcPr>
          <w:p>
            <w:pPr>
              <w:jc w:val="center"/>
              <w:rPr>
                <w:sz w:val="22"/>
                <w:highlight w:val="none"/>
              </w:rPr>
            </w:pPr>
            <w:r>
              <w:rPr>
                <w:kern w:val="0"/>
                <w:szCs w:val="21"/>
                <w:highlight w:val="none"/>
              </w:rPr>
              <w:t>740</w:t>
            </w:r>
          </w:p>
        </w:tc>
      </w:tr>
      <w:tr>
        <w:tblPrEx>
          <w:tblBorders>
            <w:top w:val="thinThickSmallGap" w:color="auto" w:sz="18" w:space="0"/>
            <w:left w:val="none" w:color="auto" w:sz="0" w:space="0"/>
            <w:bottom w:val="thickThinSmallGap" w:color="auto" w:sz="1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exact"/>
        </w:trPr>
        <w:tc>
          <w:tcPr>
            <w:tcW w:w="1218" w:type="pct"/>
            <w:shd w:val="clear" w:color="auto" w:fill="auto"/>
            <w:noWrap/>
            <w:vAlign w:val="center"/>
          </w:tcPr>
          <w:p>
            <w:pPr>
              <w:widowControl/>
              <w:jc w:val="left"/>
              <w:rPr>
                <w:kern w:val="0"/>
                <w:sz w:val="22"/>
                <w:highlight w:val="none"/>
              </w:rPr>
            </w:pPr>
            <w:r>
              <w:rPr>
                <w:kern w:val="0"/>
                <w:sz w:val="22"/>
                <w:szCs w:val="22"/>
                <w:highlight w:val="none"/>
              </w:rPr>
              <w:t>煤炭及制品</w:t>
            </w:r>
          </w:p>
        </w:tc>
        <w:tc>
          <w:tcPr>
            <w:tcW w:w="734" w:type="pct"/>
            <w:shd w:val="clear" w:color="auto" w:fill="auto"/>
            <w:noWrap/>
            <w:vAlign w:val="center"/>
          </w:tcPr>
          <w:p>
            <w:pPr>
              <w:jc w:val="center"/>
              <w:rPr>
                <w:sz w:val="22"/>
                <w:highlight w:val="none"/>
              </w:rPr>
            </w:pPr>
            <w:r>
              <w:rPr>
                <w:rFonts w:eastAsia="等线"/>
                <w:sz w:val="22"/>
                <w:szCs w:val="22"/>
                <w:highlight w:val="none"/>
              </w:rPr>
              <w:t>10</w:t>
            </w:r>
          </w:p>
        </w:tc>
        <w:tc>
          <w:tcPr>
            <w:tcW w:w="585" w:type="pct"/>
            <w:shd w:val="clear" w:color="auto" w:fill="auto"/>
            <w:noWrap/>
            <w:vAlign w:val="center"/>
          </w:tcPr>
          <w:p>
            <w:pPr>
              <w:jc w:val="center"/>
              <w:rPr>
                <w:sz w:val="22"/>
                <w:highlight w:val="none"/>
              </w:rPr>
            </w:pPr>
            <w:r>
              <w:rPr>
                <w:kern w:val="0"/>
                <w:szCs w:val="21"/>
                <w:highlight w:val="none"/>
              </w:rPr>
              <w:t>5</w:t>
            </w:r>
          </w:p>
        </w:tc>
        <w:tc>
          <w:tcPr>
            <w:tcW w:w="585" w:type="pct"/>
            <w:shd w:val="clear" w:color="auto" w:fill="auto"/>
            <w:noWrap/>
            <w:vAlign w:val="center"/>
          </w:tcPr>
          <w:p>
            <w:pPr>
              <w:jc w:val="center"/>
              <w:rPr>
                <w:sz w:val="22"/>
                <w:highlight w:val="none"/>
              </w:rPr>
            </w:pPr>
            <w:r>
              <w:rPr>
                <w:kern w:val="0"/>
                <w:szCs w:val="21"/>
                <w:highlight w:val="none"/>
              </w:rPr>
              <w:t>5</w:t>
            </w:r>
          </w:p>
        </w:tc>
        <w:tc>
          <w:tcPr>
            <w:tcW w:w="730" w:type="pct"/>
            <w:shd w:val="clear" w:color="auto" w:fill="auto"/>
            <w:noWrap/>
            <w:vAlign w:val="center"/>
          </w:tcPr>
          <w:p>
            <w:pPr>
              <w:jc w:val="center"/>
              <w:rPr>
                <w:sz w:val="22"/>
                <w:highlight w:val="none"/>
              </w:rPr>
            </w:pPr>
            <w:r>
              <w:rPr>
                <w:rFonts w:eastAsia="等线"/>
                <w:sz w:val="22"/>
                <w:szCs w:val="22"/>
                <w:highlight w:val="none"/>
              </w:rPr>
              <w:t>20</w:t>
            </w:r>
          </w:p>
        </w:tc>
        <w:tc>
          <w:tcPr>
            <w:tcW w:w="574" w:type="pct"/>
            <w:shd w:val="clear" w:color="auto" w:fill="auto"/>
            <w:noWrap/>
            <w:vAlign w:val="center"/>
          </w:tcPr>
          <w:p>
            <w:pPr>
              <w:jc w:val="center"/>
              <w:rPr>
                <w:sz w:val="22"/>
                <w:highlight w:val="none"/>
              </w:rPr>
            </w:pPr>
            <w:r>
              <w:rPr>
                <w:kern w:val="0"/>
                <w:szCs w:val="21"/>
                <w:highlight w:val="none"/>
              </w:rPr>
              <w:t>10</w:t>
            </w:r>
          </w:p>
        </w:tc>
        <w:tc>
          <w:tcPr>
            <w:tcW w:w="574" w:type="pct"/>
            <w:shd w:val="clear" w:color="auto" w:fill="auto"/>
            <w:noWrap/>
            <w:vAlign w:val="center"/>
          </w:tcPr>
          <w:p>
            <w:pPr>
              <w:jc w:val="center"/>
              <w:rPr>
                <w:sz w:val="22"/>
                <w:highlight w:val="none"/>
              </w:rPr>
            </w:pPr>
            <w:r>
              <w:rPr>
                <w:kern w:val="0"/>
                <w:szCs w:val="21"/>
                <w:highlight w:val="none"/>
              </w:rPr>
              <w:t>10</w:t>
            </w:r>
          </w:p>
        </w:tc>
      </w:tr>
      <w:tr>
        <w:tblPrEx>
          <w:tblBorders>
            <w:top w:val="thinThickSmallGap" w:color="auto" w:sz="18" w:space="0"/>
            <w:left w:val="none" w:color="auto" w:sz="0" w:space="0"/>
            <w:bottom w:val="thickThinSmallGap" w:color="auto" w:sz="1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exact"/>
        </w:trPr>
        <w:tc>
          <w:tcPr>
            <w:tcW w:w="1218" w:type="pct"/>
            <w:shd w:val="clear" w:color="auto" w:fill="auto"/>
            <w:noWrap/>
            <w:vAlign w:val="center"/>
          </w:tcPr>
          <w:p>
            <w:pPr>
              <w:widowControl/>
              <w:jc w:val="left"/>
              <w:rPr>
                <w:kern w:val="0"/>
                <w:sz w:val="22"/>
                <w:highlight w:val="none"/>
              </w:rPr>
            </w:pPr>
            <w:r>
              <w:rPr>
                <w:kern w:val="0"/>
                <w:sz w:val="22"/>
                <w:szCs w:val="22"/>
                <w:highlight w:val="none"/>
              </w:rPr>
              <w:t>金属矿石</w:t>
            </w:r>
          </w:p>
        </w:tc>
        <w:tc>
          <w:tcPr>
            <w:tcW w:w="734" w:type="pct"/>
            <w:shd w:val="clear" w:color="auto" w:fill="auto"/>
            <w:noWrap/>
            <w:vAlign w:val="center"/>
          </w:tcPr>
          <w:p>
            <w:pPr>
              <w:jc w:val="center"/>
              <w:rPr>
                <w:sz w:val="22"/>
                <w:highlight w:val="none"/>
              </w:rPr>
            </w:pPr>
            <w:r>
              <w:rPr>
                <w:rFonts w:eastAsia="等线"/>
                <w:sz w:val="22"/>
                <w:szCs w:val="22"/>
                <w:highlight w:val="none"/>
              </w:rPr>
              <w:t>10</w:t>
            </w:r>
          </w:p>
        </w:tc>
        <w:tc>
          <w:tcPr>
            <w:tcW w:w="585" w:type="pct"/>
            <w:shd w:val="clear" w:color="auto" w:fill="auto"/>
            <w:noWrap/>
            <w:vAlign w:val="center"/>
          </w:tcPr>
          <w:p>
            <w:pPr>
              <w:jc w:val="center"/>
              <w:rPr>
                <w:sz w:val="22"/>
                <w:highlight w:val="none"/>
              </w:rPr>
            </w:pPr>
            <w:r>
              <w:rPr>
                <w:kern w:val="0"/>
                <w:szCs w:val="21"/>
                <w:highlight w:val="none"/>
              </w:rPr>
              <w:t>0</w:t>
            </w:r>
          </w:p>
        </w:tc>
        <w:tc>
          <w:tcPr>
            <w:tcW w:w="585" w:type="pct"/>
            <w:shd w:val="clear" w:color="auto" w:fill="auto"/>
            <w:noWrap/>
            <w:vAlign w:val="center"/>
          </w:tcPr>
          <w:p>
            <w:pPr>
              <w:jc w:val="center"/>
              <w:rPr>
                <w:sz w:val="22"/>
                <w:highlight w:val="none"/>
              </w:rPr>
            </w:pPr>
            <w:r>
              <w:rPr>
                <w:kern w:val="0"/>
                <w:szCs w:val="21"/>
                <w:highlight w:val="none"/>
              </w:rPr>
              <w:t>10</w:t>
            </w:r>
          </w:p>
        </w:tc>
        <w:tc>
          <w:tcPr>
            <w:tcW w:w="730" w:type="pct"/>
            <w:shd w:val="clear" w:color="auto" w:fill="auto"/>
            <w:noWrap/>
            <w:vAlign w:val="center"/>
          </w:tcPr>
          <w:p>
            <w:pPr>
              <w:jc w:val="center"/>
              <w:rPr>
                <w:sz w:val="22"/>
                <w:highlight w:val="none"/>
              </w:rPr>
            </w:pPr>
            <w:r>
              <w:rPr>
                <w:rFonts w:eastAsia="等线"/>
                <w:sz w:val="22"/>
                <w:szCs w:val="22"/>
                <w:highlight w:val="none"/>
              </w:rPr>
              <w:t>50</w:t>
            </w:r>
          </w:p>
        </w:tc>
        <w:tc>
          <w:tcPr>
            <w:tcW w:w="574" w:type="pct"/>
            <w:shd w:val="clear" w:color="auto" w:fill="auto"/>
            <w:noWrap/>
            <w:vAlign w:val="center"/>
          </w:tcPr>
          <w:p>
            <w:pPr>
              <w:jc w:val="center"/>
              <w:rPr>
                <w:sz w:val="22"/>
                <w:highlight w:val="none"/>
              </w:rPr>
            </w:pPr>
            <w:r>
              <w:rPr>
                <w:kern w:val="0"/>
                <w:szCs w:val="21"/>
                <w:highlight w:val="none"/>
              </w:rPr>
              <w:t>40</w:t>
            </w:r>
          </w:p>
        </w:tc>
        <w:tc>
          <w:tcPr>
            <w:tcW w:w="574" w:type="pct"/>
            <w:shd w:val="clear" w:color="auto" w:fill="auto"/>
            <w:noWrap/>
            <w:vAlign w:val="center"/>
          </w:tcPr>
          <w:p>
            <w:pPr>
              <w:jc w:val="center"/>
              <w:rPr>
                <w:sz w:val="22"/>
                <w:highlight w:val="none"/>
              </w:rPr>
            </w:pPr>
            <w:r>
              <w:rPr>
                <w:kern w:val="0"/>
                <w:szCs w:val="21"/>
                <w:highlight w:val="none"/>
              </w:rPr>
              <w:t>10</w:t>
            </w:r>
          </w:p>
        </w:tc>
      </w:tr>
      <w:tr>
        <w:tblPrEx>
          <w:tblBorders>
            <w:top w:val="thinThickSmallGap" w:color="auto" w:sz="18" w:space="0"/>
            <w:left w:val="none" w:color="auto" w:sz="0" w:space="0"/>
            <w:bottom w:val="thickThinSmallGap" w:color="auto" w:sz="1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exact"/>
        </w:trPr>
        <w:tc>
          <w:tcPr>
            <w:tcW w:w="1218" w:type="pct"/>
            <w:shd w:val="clear" w:color="auto" w:fill="auto"/>
            <w:noWrap/>
            <w:vAlign w:val="center"/>
          </w:tcPr>
          <w:p>
            <w:pPr>
              <w:widowControl/>
              <w:jc w:val="left"/>
              <w:rPr>
                <w:kern w:val="0"/>
                <w:sz w:val="22"/>
                <w:highlight w:val="none"/>
              </w:rPr>
            </w:pPr>
            <w:r>
              <w:rPr>
                <w:kern w:val="0"/>
                <w:sz w:val="22"/>
                <w:szCs w:val="22"/>
                <w:highlight w:val="none"/>
              </w:rPr>
              <w:t>钢铁</w:t>
            </w:r>
          </w:p>
        </w:tc>
        <w:tc>
          <w:tcPr>
            <w:tcW w:w="734" w:type="pct"/>
            <w:shd w:val="clear" w:color="auto" w:fill="auto"/>
            <w:noWrap/>
            <w:vAlign w:val="center"/>
          </w:tcPr>
          <w:p>
            <w:pPr>
              <w:jc w:val="center"/>
              <w:rPr>
                <w:sz w:val="22"/>
                <w:highlight w:val="none"/>
              </w:rPr>
            </w:pPr>
            <w:r>
              <w:rPr>
                <w:rFonts w:eastAsia="等线"/>
                <w:sz w:val="22"/>
                <w:szCs w:val="22"/>
                <w:highlight w:val="none"/>
              </w:rPr>
              <w:t>10</w:t>
            </w:r>
          </w:p>
        </w:tc>
        <w:tc>
          <w:tcPr>
            <w:tcW w:w="585" w:type="pct"/>
            <w:shd w:val="clear" w:color="auto" w:fill="auto"/>
            <w:noWrap/>
            <w:vAlign w:val="center"/>
          </w:tcPr>
          <w:p>
            <w:pPr>
              <w:jc w:val="center"/>
              <w:rPr>
                <w:sz w:val="22"/>
                <w:highlight w:val="none"/>
              </w:rPr>
            </w:pPr>
            <w:r>
              <w:rPr>
                <w:kern w:val="0"/>
                <w:szCs w:val="21"/>
                <w:highlight w:val="none"/>
              </w:rPr>
              <w:t>10</w:t>
            </w:r>
          </w:p>
        </w:tc>
        <w:tc>
          <w:tcPr>
            <w:tcW w:w="585" w:type="pct"/>
            <w:shd w:val="clear" w:color="auto" w:fill="auto"/>
            <w:noWrap/>
            <w:vAlign w:val="center"/>
          </w:tcPr>
          <w:p>
            <w:pPr>
              <w:jc w:val="center"/>
              <w:rPr>
                <w:sz w:val="22"/>
                <w:highlight w:val="none"/>
              </w:rPr>
            </w:pPr>
            <w:r>
              <w:rPr>
                <w:kern w:val="0"/>
                <w:szCs w:val="21"/>
                <w:highlight w:val="none"/>
              </w:rPr>
              <w:t>0</w:t>
            </w:r>
          </w:p>
        </w:tc>
        <w:tc>
          <w:tcPr>
            <w:tcW w:w="730" w:type="pct"/>
            <w:shd w:val="clear" w:color="auto" w:fill="auto"/>
            <w:noWrap/>
            <w:vAlign w:val="center"/>
          </w:tcPr>
          <w:p>
            <w:pPr>
              <w:jc w:val="center"/>
              <w:rPr>
                <w:sz w:val="22"/>
                <w:highlight w:val="none"/>
              </w:rPr>
            </w:pPr>
            <w:r>
              <w:rPr>
                <w:rFonts w:eastAsia="等线"/>
                <w:sz w:val="22"/>
                <w:szCs w:val="22"/>
                <w:highlight w:val="none"/>
              </w:rPr>
              <w:t>90</w:t>
            </w:r>
          </w:p>
        </w:tc>
        <w:tc>
          <w:tcPr>
            <w:tcW w:w="574" w:type="pct"/>
            <w:shd w:val="clear" w:color="auto" w:fill="auto"/>
            <w:noWrap/>
            <w:vAlign w:val="center"/>
          </w:tcPr>
          <w:p>
            <w:pPr>
              <w:jc w:val="center"/>
              <w:rPr>
                <w:sz w:val="22"/>
                <w:highlight w:val="none"/>
              </w:rPr>
            </w:pPr>
            <w:r>
              <w:rPr>
                <w:kern w:val="0"/>
                <w:szCs w:val="21"/>
                <w:highlight w:val="none"/>
              </w:rPr>
              <w:t>40</w:t>
            </w:r>
          </w:p>
        </w:tc>
        <w:tc>
          <w:tcPr>
            <w:tcW w:w="574" w:type="pct"/>
            <w:shd w:val="clear" w:color="auto" w:fill="auto"/>
            <w:noWrap/>
            <w:vAlign w:val="center"/>
          </w:tcPr>
          <w:p>
            <w:pPr>
              <w:jc w:val="center"/>
              <w:rPr>
                <w:sz w:val="22"/>
                <w:highlight w:val="none"/>
              </w:rPr>
            </w:pPr>
            <w:r>
              <w:rPr>
                <w:kern w:val="0"/>
                <w:szCs w:val="21"/>
                <w:highlight w:val="none"/>
              </w:rPr>
              <w:t>50</w:t>
            </w:r>
          </w:p>
        </w:tc>
      </w:tr>
      <w:tr>
        <w:tblPrEx>
          <w:tblBorders>
            <w:top w:val="thinThickSmallGap" w:color="auto" w:sz="18" w:space="0"/>
            <w:left w:val="none" w:color="auto" w:sz="0" w:space="0"/>
            <w:bottom w:val="thickThinSmallGap" w:color="auto" w:sz="1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exact"/>
        </w:trPr>
        <w:tc>
          <w:tcPr>
            <w:tcW w:w="1218" w:type="pct"/>
            <w:shd w:val="clear" w:color="auto" w:fill="auto"/>
            <w:noWrap/>
            <w:vAlign w:val="center"/>
          </w:tcPr>
          <w:p>
            <w:pPr>
              <w:widowControl/>
              <w:jc w:val="left"/>
              <w:rPr>
                <w:kern w:val="0"/>
                <w:sz w:val="22"/>
                <w:highlight w:val="none"/>
              </w:rPr>
            </w:pPr>
            <w:r>
              <w:rPr>
                <w:kern w:val="0"/>
                <w:sz w:val="22"/>
                <w:szCs w:val="22"/>
                <w:highlight w:val="none"/>
              </w:rPr>
              <w:t>矿建材料</w:t>
            </w:r>
          </w:p>
        </w:tc>
        <w:tc>
          <w:tcPr>
            <w:tcW w:w="734" w:type="pct"/>
            <w:shd w:val="clear" w:color="auto" w:fill="auto"/>
            <w:noWrap/>
            <w:vAlign w:val="center"/>
          </w:tcPr>
          <w:p>
            <w:pPr>
              <w:jc w:val="center"/>
              <w:rPr>
                <w:sz w:val="22"/>
                <w:highlight w:val="none"/>
              </w:rPr>
            </w:pPr>
            <w:r>
              <w:rPr>
                <w:rFonts w:eastAsia="等线"/>
                <w:sz w:val="22"/>
                <w:szCs w:val="22"/>
                <w:highlight w:val="none"/>
              </w:rPr>
              <w:t>250</w:t>
            </w:r>
          </w:p>
        </w:tc>
        <w:tc>
          <w:tcPr>
            <w:tcW w:w="585" w:type="pct"/>
            <w:shd w:val="clear" w:color="auto" w:fill="auto"/>
            <w:noWrap/>
            <w:vAlign w:val="center"/>
          </w:tcPr>
          <w:p>
            <w:pPr>
              <w:jc w:val="center"/>
              <w:rPr>
                <w:sz w:val="22"/>
                <w:highlight w:val="none"/>
              </w:rPr>
            </w:pPr>
            <w:r>
              <w:rPr>
                <w:kern w:val="0"/>
                <w:szCs w:val="21"/>
                <w:highlight w:val="none"/>
              </w:rPr>
              <w:t>250</w:t>
            </w:r>
          </w:p>
        </w:tc>
        <w:tc>
          <w:tcPr>
            <w:tcW w:w="585" w:type="pct"/>
            <w:shd w:val="clear" w:color="auto" w:fill="auto"/>
            <w:noWrap/>
            <w:vAlign w:val="center"/>
          </w:tcPr>
          <w:p>
            <w:pPr>
              <w:jc w:val="center"/>
              <w:rPr>
                <w:sz w:val="22"/>
                <w:highlight w:val="none"/>
              </w:rPr>
            </w:pPr>
            <w:r>
              <w:rPr>
                <w:kern w:val="0"/>
                <w:szCs w:val="21"/>
                <w:highlight w:val="none"/>
              </w:rPr>
              <w:t>0</w:t>
            </w:r>
          </w:p>
        </w:tc>
        <w:tc>
          <w:tcPr>
            <w:tcW w:w="730" w:type="pct"/>
            <w:shd w:val="clear" w:color="auto" w:fill="auto"/>
            <w:noWrap/>
            <w:vAlign w:val="center"/>
          </w:tcPr>
          <w:p>
            <w:pPr>
              <w:jc w:val="center"/>
              <w:rPr>
                <w:sz w:val="22"/>
                <w:highlight w:val="none"/>
              </w:rPr>
            </w:pPr>
            <w:r>
              <w:rPr>
                <w:rFonts w:eastAsia="等线"/>
                <w:sz w:val="22"/>
                <w:szCs w:val="22"/>
                <w:highlight w:val="none"/>
              </w:rPr>
              <w:t>685</w:t>
            </w:r>
          </w:p>
        </w:tc>
        <w:tc>
          <w:tcPr>
            <w:tcW w:w="574" w:type="pct"/>
            <w:shd w:val="clear" w:color="auto" w:fill="auto"/>
            <w:noWrap/>
            <w:vAlign w:val="center"/>
          </w:tcPr>
          <w:p>
            <w:pPr>
              <w:jc w:val="center"/>
              <w:rPr>
                <w:sz w:val="22"/>
                <w:highlight w:val="none"/>
              </w:rPr>
            </w:pPr>
            <w:r>
              <w:rPr>
                <w:kern w:val="0"/>
                <w:szCs w:val="21"/>
                <w:highlight w:val="none"/>
              </w:rPr>
              <w:t>685</w:t>
            </w:r>
          </w:p>
        </w:tc>
        <w:tc>
          <w:tcPr>
            <w:tcW w:w="574" w:type="pct"/>
            <w:shd w:val="clear" w:color="auto" w:fill="auto"/>
            <w:noWrap/>
            <w:vAlign w:val="center"/>
          </w:tcPr>
          <w:p>
            <w:pPr>
              <w:jc w:val="center"/>
              <w:rPr>
                <w:sz w:val="22"/>
                <w:highlight w:val="none"/>
              </w:rPr>
            </w:pPr>
            <w:r>
              <w:rPr>
                <w:kern w:val="0"/>
                <w:szCs w:val="21"/>
                <w:highlight w:val="none"/>
              </w:rPr>
              <w:t>0</w:t>
            </w:r>
          </w:p>
        </w:tc>
      </w:tr>
      <w:tr>
        <w:tblPrEx>
          <w:tblBorders>
            <w:top w:val="thinThickSmallGap" w:color="auto" w:sz="18" w:space="0"/>
            <w:left w:val="none" w:color="auto" w:sz="0" w:space="0"/>
            <w:bottom w:val="thickThinSmallGap" w:color="auto" w:sz="1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exact"/>
        </w:trPr>
        <w:tc>
          <w:tcPr>
            <w:tcW w:w="1218" w:type="pct"/>
            <w:shd w:val="clear" w:color="auto" w:fill="auto"/>
            <w:noWrap/>
            <w:vAlign w:val="center"/>
          </w:tcPr>
          <w:p>
            <w:pPr>
              <w:widowControl/>
              <w:jc w:val="left"/>
              <w:rPr>
                <w:kern w:val="0"/>
                <w:sz w:val="22"/>
                <w:highlight w:val="none"/>
              </w:rPr>
            </w:pPr>
            <w:r>
              <w:rPr>
                <w:kern w:val="0"/>
                <w:sz w:val="22"/>
                <w:szCs w:val="22"/>
                <w:highlight w:val="none"/>
              </w:rPr>
              <w:t>水泥</w:t>
            </w:r>
          </w:p>
        </w:tc>
        <w:tc>
          <w:tcPr>
            <w:tcW w:w="734" w:type="pct"/>
            <w:shd w:val="clear" w:color="auto" w:fill="auto"/>
            <w:noWrap/>
            <w:vAlign w:val="center"/>
          </w:tcPr>
          <w:p>
            <w:pPr>
              <w:jc w:val="center"/>
              <w:rPr>
                <w:sz w:val="22"/>
                <w:highlight w:val="none"/>
              </w:rPr>
            </w:pPr>
            <w:r>
              <w:rPr>
                <w:rFonts w:eastAsia="等线"/>
                <w:sz w:val="22"/>
                <w:szCs w:val="22"/>
                <w:highlight w:val="none"/>
              </w:rPr>
              <w:t>20</w:t>
            </w:r>
          </w:p>
        </w:tc>
        <w:tc>
          <w:tcPr>
            <w:tcW w:w="585" w:type="pct"/>
            <w:shd w:val="clear" w:color="auto" w:fill="auto"/>
            <w:noWrap/>
            <w:vAlign w:val="center"/>
          </w:tcPr>
          <w:p>
            <w:pPr>
              <w:jc w:val="center"/>
              <w:rPr>
                <w:sz w:val="22"/>
                <w:highlight w:val="none"/>
              </w:rPr>
            </w:pPr>
            <w:r>
              <w:rPr>
                <w:kern w:val="0"/>
                <w:szCs w:val="21"/>
                <w:highlight w:val="none"/>
              </w:rPr>
              <w:t>0</w:t>
            </w:r>
          </w:p>
        </w:tc>
        <w:tc>
          <w:tcPr>
            <w:tcW w:w="585" w:type="pct"/>
            <w:shd w:val="clear" w:color="auto" w:fill="auto"/>
            <w:noWrap/>
            <w:vAlign w:val="center"/>
          </w:tcPr>
          <w:p>
            <w:pPr>
              <w:jc w:val="center"/>
              <w:rPr>
                <w:sz w:val="22"/>
                <w:highlight w:val="none"/>
              </w:rPr>
            </w:pPr>
            <w:r>
              <w:rPr>
                <w:kern w:val="0"/>
                <w:szCs w:val="21"/>
                <w:highlight w:val="none"/>
              </w:rPr>
              <w:t>20</w:t>
            </w:r>
          </w:p>
        </w:tc>
        <w:tc>
          <w:tcPr>
            <w:tcW w:w="730" w:type="pct"/>
            <w:shd w:val="clear" w:color="auto" w:fill="auto"/>
            <w:noWrap/>
            <w:vAlign w:val="center"/>
          </w:tcPr>
          <w:p>
            <w:pPr>
              <w:jc w:val="center"/>
              <w:rPr>
                <w:sz w:val="22"/>
                <w:highlight w:val="none"/>
              </w:rPr>
            </w:pPr>
            <w:r>
              <w:rPr>
                <w:rFonts w:eastAsia="等线"/>
                <w:sz w:val="22"/>
                <w:szCs w:val="22"/>
                <w:highlight w:val="none"/>
              </w:rPr>
              <w:t>60</w:t>
            </w:r>
          </w:p>
        </w:tc>
        <w:tc>
          <w:tcPr>
            <w:tcW w:w="574" w:type="pct"/>
            <w:shd w:val="clear" w:color="auto" w:fill="auto"/>
            <w:noWrap/>
            <w:vAlign w:val="center"/>
          </w:tcPr>
          <w:p>
            <w:pPr>
              <w:jc w:val="center"/>
              <w:rPr>
                <w:sz w:val="22"/>
                <w:highlight w:val="none"/>
              </w:rPr>
            </w:pPr>
            <w:r>
              <w:rPr>
                <w:kern w:val="0"/>
                <w:szCs w:val="21"/>
                <w:highlight w:val="none"/>
              </w:rPr>
              <w:t>0</w:t>
            </w:r>
          </w:p>
        </w:tc>
        <w:tc>
          <w:tcPr>
            <w:tcW w:w="574" w:type="pct"/>
            <w:shd w:val="clear" w:color="auto" w:fill="auto"/>
            <w:noWrap/>
            <w:vAlign w:val="center"/>
          </w:tcPr>
          <w:p>
            <w:pPr>
              <w:jc w:val="center"/>
              <w:rPr>
                <w:sz w:val="22"/>
                <w:highlight w:val="none"/>
              </w:rPr>
            </w:pPr>
            <w:r>
              <w:rPr>
                <w:kern w:val="0"/>
                <w:szCs w:val="21"/>
                <w:highlight w:val="none"/>
              </w:rPr>
              <w:t>60</w:t>
            </w:r>
          </w:p>
        </w:tc>
      </w:tr>
      <w:tr>
        <w:tblPrEx>
          <w:tblBorders>
            <w:top w:val="thinThickSmallGap" w:color="auto" w:sz="18" w:space="0"/>
            <w:left w:val="none" w:color="auto" w:sz="0" w:space="0"/>
            <w:bottom w:val="thickThinSmallGap" w:color="auto" w:sz="1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exact"/>
        </w:trPr>
        <w:tc>
          <w:tcPr>
            <w:tcW w:w="1218" w:type="pct"/>
            <w:shd w:val="clear" w:color="auto" w:fill="auto"/>
            <w:noWrap/>
            <w:vAlign w:val="center"/>
          </w:tcPr>
          <w:p>
            <w:pPr>
              <w:widowControl/>
              <w:jc w:val="left"/>
              <w:rPr>
                <w:kern w:val="0"/>
                <w:sz w:val="22"/>
                <w:highlight w:val="none"/>
              </w:rPr>
            </w:pPr>
            <w:r>
              <w:rPr>
                <w:kern w:val="0"/>
                <w:sz w:val="22"/>
                <w:szCs w:val="22"/>
                <w:highlight w:val="none"/>
              </w:rPr>
              <w:t>非金属矿石</w:t>
            </w:r>
          </w:p>
        </w:tc>
        <w:tc>
          <w:tcPr>
            <w:tcW w:w="734" w:type="pct"/>
            <w:shd w:val="clear" w:color="auto" w:fill="auto"/>
            <w:noWrap/>
            <w:vAlign w:val="center"/>
          </w:tcPr>
          <w:p>
            <w:pPr>
              <w:jc w:val="center"/>
              <w:rPr>
                <w:sz w:val="22"/>
                <w:highlight w:val="none"/>
              </w:rPr>
            </w:pPr>
            <w:r>
              <w:rPr>
                <w:rFonts w:eastAsia="等线"/>
                <w:sz w:val="22"/>
                <w:szCs w:val="22"/>
                <w:highlight w:val="none"/>
              </w:rPr>
              <w:t>50</w:t>
            </w:r>
          </w:p>
        </w:tc>
        <w:tc>
          <w:tcPr>
            <w:tcW w:w="585" w:type="pct"/>
            <w:shd w:val="clear" w:color="auto" w:fill="auto"/>
            <w:noWrap/>
            <w:vAlign w:val="center"/>
          </w:tcPr>
          <w:p>
            <w:pPr>
              <w:jc w:val="center"/>
              <w:rPr>
                <w:sz w:val="22"/>
                <w:highlight w:val="none"/>
              </w:rPr>
            </w:pPr>
            <w:r>
              <w:rPr>
                <w:kern w:val="0"/>
                <w:szCs w:val="21"/>
                <w:highlight w:val="none"/>
              </w:rPr>
              <w:t>0</w:t>
            </w:r>
          </w:p>
        </w:tc>
        <w:tc>
          <w:tcPr>
            <w:tcW w:w="585" w:type="pct"/>
            <w:shd w:val="clear" w:color="auto" w:fill="auto"/>
            <w:noWrap/>
            <w:vAlign w:val="center"/>
          </w:tcPr>
          <w:p>
            <w:pPr>
              <w:jc w:val="center"/>
              <w:rPr>
                <w:sz w:val="22"/>
                <w:highlight w:val="none"/>
              </w:rPr>
            </w:pPr>
            <w:r>
              <w:rPr>
                <w:kern w:val="0"/>
                <w:szCs w:val="21"/>
                <w:highlight w:val="none"/>
              </w:rPr>
              <w:t>50</w:t>
            </w:r>
          </w:p>
        </w:tc>
        <w:tc>
          <w:tcPr>
            <w:tcW w:w="730" w:type="pct"/>
            <w:shd w:val="clear" w:color="auto" w:fill="auto"/>
            <w:noWrap/>
            <w:vAlign w:val="center"/>
          </w:tcPr>
          <w:p>
            <w:pPr>
              <w:jc w:val="center"/>
              <w:rPr>
                <w:sz w:val="22"/>
                <w:highlight w:val="none"/>
              </w:rPr>
            </w:pPr>
            <w:r>
              <w:rPr>
                <w:rFonts w:eastAsia="等线"/>
                <w:sz w:val="22"/>
                <w:szCs w:val="22"/>
                <w:highlight w:val="none"/>
              </w:rPr>
              <w:t>340</w:t>
            </w:r>
          </w:p>
        </w:tc>
        <w:tc>
          <w:tcPr>
            <w:tcW w:w="574" w:type="pct"/>
            <w:shd w:val="clear" w:color="auto" w:fill="auto"/>
            <w:noWrap/>
            <w:vAlign w:val="center"/>
          </w:tcPr>
          <w:p>
            <w:pPr>
              <w:jc w:val="center"/>
              <w:rPr>
                <w:sz w:val="22"/>
                <w:highlight w:val="none"/>
              </w:rPr>
            </w:pPr>
            <w:r>
              <w:rPr>
                <w:kern w:val="0"/>
                <w:szCs w:val="21"/>
                <w:highlight w:val="none"/>
              </w:rPr>
              <w:t>30</w:t>
            </w:r>
          </w:p>
        </w:tc>
        <w:tc>
          <w:tcPr>
            <w:tcW w:w="574" w:type="pct"/>
            <w:shd w:val="clear" w:color="auto" w:fill="auto"/>
            <w:noWrap/>
            <w:vAlign w:val="center"/>
          </w:tcPr>
          <w:p>
            <w:pPr>
              <w:jc w:val="center"/>
              <w:rPr>
                <w:sz w:val="22"/>
                <w:highlight w:val="none"/>
              </w:rPr>
            </w:pPr>
            <w:r>
              <w:rPr>
                <w:kern w:val="0"/>
                <w:szCs w:val="21"/>
                <w:highlight w:val="none"/>
              </w:rPr>
              <w:t>310</w:t>
            </w:r>
          </w:p>
        </w:tc>
      </w:tr>
      <w:tr>
        <w:tblPrEx>
          <w:tblBorders>
            <w:top w:val="thinThickSmallGap" w:color="auto" w:sz="18" w:space="0"/>
            <w:left w:val="none" w:color="auto" w:sz="0" w:space="0"/>
            <w:bottom w:val="thickThinSmallGap" w:color="auto" w:sz="1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exact"/>
        </w:trPr>
        <w:tc>
          <w:tcPr>
            <w:tcW w:w="1218" w:type="pct"/>
            <w:shd w:val="clear" w:color="auto" w:fill="auto"/>
            <w:noWrap/>
            <w:vAlign w:val="center"/>
          </w:tcPr>
          <w:p>
            <w:pPr>
              <w:widowControl/>
              <w:jc w:val="left"/>
              <w:rPr>
                <w:kern w:val="0"/>
                <w:sz w:val="22"/>
                <w:highlight w:val="none"/>
              </w:rPr>
            </w:pPr>
            <w:r>
              <w:rPr>
                <w:kern w:val="0"/>
                <w:sz w:val="22"/>
                <w:szCs w:val="22"/>
                <w:highlight w:val="none"/>
              </w:rPr>
              <w:t>盐</w:t>
            </w:r>
          </w:p>
        </w:tc>
        <w:tc>
          <w:tcPr>
            <w:tcW w:w="734" w:type="pct"/>
            <w:shd w:val="clear" w:color="auto" w:fill="auto"/>
            <w:noWrap/>
            <w:vAlign w:val="center"/>
          </w:tcPr>
          <w:p>
            <w:pPr>
              <w:jc w:val="center"/>
              <w:rPr>
                <w:sz w:val="22"/>
                <w:highlight w:val="none"/>
              </w:rPr>
            </w:pPr>
            <w:r>
              <w:rPr>
                <w:rFonts w:eastAsia="等线"/>
                <w:sz w:val="22"/>
                <w:szCs w:val="22"/>
                <w:highlight w:val="none"/>
              </w:rPr>
              <w:t>20</w:t>
            </w:r>
          </w:p>
        </w:tc>
        <w:tc>
          <w:tcPr>
            <w:tcW w:w="585" w:type="pct"/>
            <w:shd w:val="clear" w:color="auto" w:fill="auto"/>
            <w:noWrap/>
            <w:vAlign w:val="center"/>
          </w:tcPr>
          <w:p>
            <w:pPr>
              <w:jc w:val="center"/>
              <w:rPr>
                <w:sz w:val="22"/>
                <w:highlight w:val="none"/>
              </w:rPr>
            </w:pPr>
            <w:r>
              <w:rPr>
                <w:kern w:val="0"/>
                <w:szCs w:val="21"/>
                <w:highlight w:val="none"/>
              </w:rPr>
              <w:t>0</w:t>
            </w:r>
          </w:p>
        </w:tc>
        <w:tc>
          <w:tcPr>
            <w:tcW w:w="585" w:type="pct"/>
            <w:shd w:val="clear" w:color="auto" w:fill="auto"/>
            <w:noWrap/>
            <w:vAlign w:val="center"/>
          </w:tcPr>
          <w:p>
            <w:pPr>
              <w:jc w:val="center"/>
              <w:rPr>
                <w:sz w:val="22"/>
                <w:highlight w:val="none"/>
              </w:rPr>
            </w:pPr>
            <w:r>
              <w:rPr>
                <w:kern w:val="0"/>
                <w:szCs w:val="21"/>
                <w:highlight w:val="none"/>
              </w:rPr>
              <w:t>20</w:t>
            </w:r>
          </w:p>
        </w:tc>
        <w:tc>
          <w:tcPr>
            <w:tcW w:w="730" w:type="pct"/>
            <w:shd w:val="clear" w:color="auto" w:fill="auto"/>
            <w:noWrap/>
            <w:vAlign w:val="center"/>
          </w:tcPr>
          <w:p>
            <w:pPr>
              <w:jc w:val="center"/>
              <w:rPr>
                <w:sz w:val="22"/>
                <w:highlight w:val="none"/>
              </w:rPr>
            </w:pPr>
            <w:r>
              <w:rPr>
                <w:rFonts w:eastAsia="等线"/>
                <w:sz w:val="22"/>
                <w:szCs w:val="22"/>
                <w:highlight w:val="none"/>
              </w:rPr>
              <w:t>50</w:t>
            </w:r>
          </w:p>
        </w:tc>
        <w:tc>
          <w:tcPr>
            <w:tcW w:w="574" w:type="pct"/>
            <w:shd w:val="clear" w:color="auto" w:fill="auto"/>
            <w:noWrap/>
            <w:vAlign w:val="center"/>
          </w:tcPr>
          <w:p>
            <w:pPr>
              <w:jc w:val="center"/>
              <w:rPr>
                <w:sz w:val="22"/>
                <w:highlight w:val="none"/>
              </w:rPr>
            </w:pPr>
            <w:r>
              <w:rPr>
                <w:kern w:val="0"/>
                <w:szCs w:val="21"/>
                <w:highlight w:val="none"/>
              </w:rPr>
              <w:t>0</w:t>
            </w:r>
          </w:p>
        </w:tc>
        <w:tc>
          <w:tcPr>
            <w:tcW w:w="574" w:type="pct"/>
            <w:shd w:val="clear" w:color="auto" w:fill="auto"/>
            <w:noWrap/>
            <w:vAlign w:val="center"/>
          </w:tcPr>
          <w:p>
            <w:pPr>
              <w:jc w:val="center"/>
              <w:rPr>
                <w:sz w:val="22"/>
                <w:highlight w:val="none"/>
              </w:rPr>
            </w:pPr>
            <w:r>
              <w:rPr>
                <w:kern w:val="0"/>
                <w:szCs w:val="21"/>
                <w:highlight w:val="none"/>
              </w:rPr>
              <w:t>50</w:t>
            </w:r>
          </w:p>
        </w:tc>
      </w:tr>
      <w:tr>
        <w:tblPrEx>
          <w:tblBorders>
            <w:top w:val="thinThickSmallGap" w:color="auto" w:sz="18" w:space="0"/>
            <w:left w:val="none" w:color="auto" w:sz="0" w:space="0"/>
            <w:bottom w:val="thickThinSmallGap" w:color="auto" w:sz="1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exact"/>
        </w:trPr>
        <w:tc>
          <w:tcPr>
            <w:tcW w:w="1218" w:type="pct"/>
            <w:shd w:val="clear" w:color="auto" w:fill="auto"/>
            <w:noWrap/>
            <w:vAlign w:val="center"/>
          </w:tcPr>
          <w:p>
            <w:pPr>
              <w:widowControl/>
              <w:jc w:val="left"/>
              <w:rPr>
                <w:kern w:val="0"/>
                <w:sz w:val="22"/>
                <w:highlight w:val="none"/>
              </w:rPr>
            </w:pPr>
            <w:r>
              <w:rPr>
                <w:kern w:val="0"/>
                <w:sz w:val="22"/>
                <w:szCs w:val="22"/>
                <w:highlight w:val="none"/>
              </w:rPr>
              <w:t>粮食</w:t>
            </w:r>
          </w:p>
        </w:tc>
        <w:tc>
          <w:tcPr>
            <w:tcW w:w="734" w:type="pct"/>
            <w:shd w:val="clear" w:color="auto" w:fill="auto"/>
            <w:noWrap/>
            <w:vAlign w:val="center"/>
          </w:tcPr>
          <w:p>
            <w:pPr>
              <w:jc w:val="center"/>
              <w:rPr>
                <w:sz w:val="22"/>
                <w:highlight w:val="none"/>
              </w:rPr>
            </w:pPr>
            <w:r>
              <w:rPr>
                <w:rFonts w:eastAsia="等线"/>
                <w:sz w:val="22"/>
                <w:szCs w:val="22"/>
                <w:highlight w:val="none"/>
              </w:rPr>
              <w:t>30</w:t>
            </w:r>
          </w:p>
        </w:tc>
        <w:tc>
          <w:tcPr>
            <w:tcW w:w="585" w:type="pct"/>
            <w:shd w:val="clear" w:color="auto" w:fill="auto"/>
            <w:noWrap/>
            <w:vAlign w:val="center"/>
          </w:tcPr>
          <w:p>
            <w:pPr>
              <w:jc w:val="center"/>
              <w:rPr>
                <w:sz w:val="22"/>
                <w:highlight w:val="none"/>
              </w:rPr>
            </w:pPr>
            <w:r>
              <w:rPr>
                <w:kern w:val="0"/>
                <w:szCs w:val="21"/>
                <w:highlight w:val="none"/>
              </w:rPr>
              <w:t>20</w:t>
            </w:r>
          </w:p>
        </w:tc>
        <w:tc>
          <w:tcPr>
            <w:tcW w:w="585" w:type="pct"/>
            <w:shd w:val="clear" w:color="auto" w:fill="auto"/>
            <w:noWrap/>
            <w:vAlign w:val="center"/>
          </w:tcPr>
          <w:p>
            <w:pPr>
              <w:jc w:val="center"/>
              <w:rPr>
                <w:sz w:val="22"/>
                <w:highlight w:val="none"/>
              </w:rPr>
            </w:pPr>
            <w:r>
              <w:rPr>
                <w:kern w:val="0"/>
                <w:szCs w:val="21"/>
                <w:highlight w:val="none"/>
              </w:rPr>
              <w:t>10</w:t>
            </w:r>
          </w:p>
        </w:tc>
        <w:tc>
          <w:tcPr>
            <w:tcW w:w="730" w:type="pct"/>
            <w:shd w:val="clear" w:color="auto" w:fill="auto"/>
            <w:noWrap/>
            <w:vAlign w:val="center"/>
          </w:tcPr>
          <w:p>
            <w:pPr>
              <w:jc w:val="center"/>
              <w:rPr>
                <w:sz w:val="22"/>
                <w:highlight w:val="none"/>
              </w:rPr>
            </w:pPr>
            <w:r>
              <w:rPr>
                <w:rFonts w:eastAsia="等线"/>
                <w:sz w:val="22"/>
                <w:szCs w:val="22"/>
                <w:highlight w:val="none"/>
              </w:rPr>
              <w:t>80</w:t>
            </w:r>
          </w:p>
        </w:tc>
        <w:tc>
          <w:tcPr>
            <w:tcW w:w="574" w:type="pct"/>
            <w:shd w:val="clear" w:color="auto" w:fill="auto"/>
            <w:noWrap/>
            <w:vAlign w:val="center"/>
          </w:tcPr>
          <w:p>
            <w:pPr>
              <w:jc w:val="center"/>
              <w:rPr>
                <w:sz w:val="22"/>
                <w:highlight w:val="none"/>
              </w:rPr>
            </w:pPr>
            <w:r>
              <w:rPr>
                <w:kern w:val="0"/>
                <w:szCs w:val="21"/>
                <w:highlight w:val="none"/>
              </w:rPr>
              <w:t>50</w:t>
            </w:r>
          </w:p>
        </w:tc>
        <w:tc>
          <w:tcPr>
            <w:tcW w:w="574" w:type="pct"/>
            <w:shd w:val="clear" w:color="auto" w:fill="auto"/>
            <w:noWrap/>
            <w:vAlign w:val="center"/>
          </w:tcPr>
          <w:p>
            <w:pPr>
              <w:jc w:val="center"/>
              <w:rPr>
                <w:sz w:val="22"/>
                <w:highlight w:val="none"/>
              </w:rPr>
            </w:pPr>
            <w:r>
              <w:rPr>
                <w:kern w:val="0"/>
                <w:szCs w:val="21"/>
                <w:highlight w:val="none"/>
              </w:rPr>
              <w:t>30</w:t>
            </w:r>
          </w:p>
        </w:tc>
      </w:tr>
      <w:tr>
        <w:tblPrEx>
          <w:tblBorders>
            <w:top w:val="thinThickSmallGap" w:color="auto" w:sz="18" w:space="0"/>
            <w:left w:val="none" w:color="auto" w:sz="0" w:space="0"/>
            <w:bottom w:val="thickThinSmallGap" w:color="auto" w:sz="1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exact"/>
        </w:trPr>
        <w:tc>
          <w:tcPr>
            <w:tcW w:w="1218" w:type="pct"/>
            <w:shd w:val="clear" w:color="auto" w:fill="auto"/>
            <w:noWrap/>
            <w:vAlign w:val="center"/>
          </w:tcPr>
          <w:p>
            <w:pPr>
              <w:widowControl/>
              <w:jc w:val="left"/>
              <w:rPr>
                <w:kern w:val="0"/>
                <w:sz w:val="22"/>
                <w:highlight w:val="none"/>
              </w:rPr>
            </w:pPr>
            <w:r>
              <w:rPr>
                <w:kern w:val="0"/>
                <w:sz w:val="22"/>
                <w:szCs w:val="22"/>
                <w:highlight w:val="none"/>
              </w:rPr>
              <w:t>机械设备及电器</w:t>
            </w:r>
          </w:p>
        </w:tc>
        <w:tc>
          <w:tcPr>
            <w:tcW w:w="734" w:type="pct"/>
            <w:shd w:val="clear" w:color="auto" w:fill="auto"/>
            <w:noWrap/>
            <w:vAlign w:val="center"/>
          </w:tcPr>
          <w:p>
            <w:pPr>
              <w:jc w:val="center"/>
              <w:rPr>
                <w:sz w:val="22"/>
                <w:highlight w:val="none"/>
              </w:rPr>
            </w:pPr>
            <w:r>
              <w:rPr>
                <w:rFonts w:eastAsia="等线"/>
                <w:sz w:val="22"/>
                <w:szCs w:val="22"/>
                <w:highlight w:val="none"/>
              </w:rPr>
              <w:t>40</w:t>
            </w:r>
          </w:p>
        </w:tc>
        <w:tc>
          <w:tcPr>
            <w:tcW w:w="585" w:type="pct"/>
            <w:shd w:val="clear" w:color="auto" w:fill="auto"/>
            <w:noWrap/>
            <w:vAlign w:val="center"/>
          </w:tcPr>
          <w:p>
            <w:pPr>
              <w:jc w:val="center"/>
              <w:rPr>
                <w:sz w:val="22"/>
                <w:highlight w:val="none"/>
              </w:rPr>
            </w:pPr>
            <w:r>
              <w:rPr>
                <w:kern w:val="0"/>
                <w:szCs w:val="21"/>
                <w:highlight w:val="none"/>
              </w:rPr>
              <w:t>10</w:t>
            </w:r>
          </w:p>
        </w:tc>
        <w:tc>
          <w:tcPr>
            <w:tcW w:w="585" w:type="pct"/>
            <w:shd w:val="clear" w:color="auto" w:fill="auto"/>
            <w:noWrap/>
            <w:vAlign w:val="center"/>
          </w:tcPr>
          <w:p>
            <w:pPr>
              <w:jc w:val="center"/>
              <w:rPr>
                <w:sz w:val="22"/>
                <w:highlight w:val="none"/>
              </w:rPr>
            </w:pPr>
            <w:r>
              <w:rPr>
                <w:kern w:val="0"/>
                <w:szCs w:val="21"/>
                <w:highlight w:val="none"/>
              </w:rPr>
              <w:t>30</w:t>
            </w:r>
          </w:p>
        </w:tc>
        <w:tc>
          <w:tcPr>
            <w:tcW w:w="730" w:type="pct"/>
            <w:shd w:val="clear" w:color="auto" w:fill="auto"/>
            <w:noWrap/>
            <w:vAlign w:val="center"/>
          </w:tcPr>
          <w:p>
            <w:pPr>
              <w:jc w:val="center"/>
              <w:rPr>
                <w:sz w:val="22"/>
                <w:highlight w:val="none"/>
              </w:rPr>
            </w:pPr>
            <w:r>
              <w:rPr>
                <w:rFonts w:eastAsia="等线"/>
                <w:sz w:val="22"/>
                <w:szCs w:val="22"/>
                <w:highlight w:val="none"/>
              </w:rPr>
              <w:t>95</w:t>
            </w:r>
          </w:p>
        </w:tc>
        <w:tc>
          <w:tcPr>
            <w:tcW w:w="574" w:type="pct"/>
            <w:shd w:val="clear" w:color="auto" w:fill="auto"/>
            <w:noWrap/>
            <w:vAlign w:val="center"/>
          </w:tcPr>
          <w:p>
            <w:pPr>
              <w:jc w:val="center"/>
              <w:rPr>
                <w:sz w:val="22"/>
                <w:highlight w:val="none"/>
              </w:rPr>
            </w:pPr>
            <w:r>
              <w:rPr>
                <w:kern w:val="0"/>
                <w:szCs w:val="21"/>
                <w:highlight w:val="none"/>
              </w:rPr>
              <w:t>20</w:t>
            </w:r>
          </w:p>
        </w:tc>
        <w:tc>
          <w:tcPr>
            <w:tcW w:w="574" w:type="pct"/>
            <w:shd w:val="clear" w:color="auto" w:fill="auto"/>
            <w:noWrap/>
            <w:vAlign w:val="center"/>
          </w:tcPr>
          <w:p>
            <w:pPr>
              <w:jc w:val="center"/>
              <w:rPr>
                <w:sz w:val="22"/>
                <w:highlight w:val="none"/>
              </w:rPr>
            </w:pPr>
            <w:r>
              <w:rPr>
                <w:kern w:val="0"/>
                <w:szCs w:val="21"/>
                <w:highlight w:val="none"/>
              </w:rPr>
              <w:t>75</w:t>
            </w:r>
          </w:p>
        </w:tc>
      </w:tr>
      <w:tr>
        <w:tblPrEx>
          <w:tblBorders>
            <w:top w:val="thinThickSmallGap" w:color="auto" w:sz="18" w:space="0"/>
            <w:left w:val="none" w:color="auto" w:sz="0" w:space="0"/>
            <w:bottom w:val="thickThinSmallGap" w:color="auto" w:sz="1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exact"/>
        </w:trPr>
        <w:tc>
          <w:tcPr>
            <w:tcW w:w="1218" w:type="pct"/>
            <w:shd w:val="clear" w:color="auto" w:fill="auto"/>
            <w:noWrap/>
            <w:vAlign w:val="center"/>
          </w:tcPr>
          <w:p>
            <w:pPr>
              <w:widowControl/>
              <w:jc w:val="right"/>
              <w:rPr>
                <w:kern w:val="0"/>
                <w:sz w:val="22"/>
                <w:highlight w:val="none"/>
              </w:rPr>
            </w:pPr>
            <w:r>
              <w:rPr>
                <w:kern w:val="0"/>
                <w:sz w:val="22"/>
                <w:szCs w:val="22"/>
                <w:highlight w:val="none"/>
              </w:rPr>
              <w:t>其中：重大件</w:t>
            </w:r>
          </w:p>
        </w:tc>
        <w:tc>
          <w:tcPr>
            <w:tcW w:w="734" w:type="pct"/>
            <w:shd w:val="clear" w:color="auto" w:fill="auto"/>
            <w:noWrap/>
            <w:vAlign w:val="center"/>
          </w:tcPr>
          <w:p>
            <w:pPr>
              <w:jc w:val="center"/>
              <w:rPr>
                <w:sz w:val="22"/>
                <w:highlight w:val="none"/>
              </w:rPr>
            </w:pPr>
            <w:r>
              <w:rPr>
                <w:rFonts w:eastAsia="等线"/>
                <w:sz w:val="22"/>
                <w:szCs w:val="22"/>
                <w:highlight w:val="none"/>
              </w:rPr>
              <w:t>5</w:t>
            </w:r>
          </w:p>
        </w:tc>
        <w:tc>
          <w:tcPr>
            <w:tcW w:w="585" w:type="pct"/>
            <w:shd w:val="clear" w:color="auto" w:fill="auto"/>
            <w:noWrap/>
            <w:vAlign w:val="center"/>
          </w:tcPr>
          <w:p>
            <w:pPr>
              <w:jc w:val="center"/>
              <w:rPr>
                <w:sz w:val="22"/>
                <w:highlight w:val="none"/>
              </w:rPr>
            </w:pPr>
            <w:r>
              <w:rPr>
                <w:kern w:val="0"/>
                <w:szCs w:val="21"/>
                <w:highlight w:val="none"/>
              </w:rPr>
              <w:t>0</w:t>
            </w:r>
          </w:p>
        </w:tc>
        <w:tc>
          <w:tcPr>
            <w:tcW w:w="585" w:type="pct"/>
            <w:shd w:val="clear" w:color="auto" w:fill="auto"/>
            <w:noWrap/>
            <w:vAlign w:val="center"/>
          </w:tcPr>
          <w:p>
            <w:pPr>
              <w:jc w:val="center"/>
              <w:rPr>
                <w:sz w:val="22"/>
                <w:highlight w:val="none"/>
              </w:rPr>
            </w:pPr>
            <w:r>
              <w:rPr>
                <w:kern w:val="0"/>
                <w:szCs w:val="21"/>
                <w:highlight w:val="none"/>
              </w:rPr>
              <w:t>5</w:t>
            </w:r>
          </w:p>
        </w:tc>
        <w:tc>
          <w:tcPr>
            <w:tcW w:w="730" w:type="pct"/>
            <w:shd w:val="clear" w:color="auto" w:fill="auto"/>
            <w:noWrap/>
            <w:vAlign w:val="center"/>
          </w:tcPr>
          <w:p>
            <w:pPr>
              <w:jc w:val="center"/>
              <w:rPr>
                <w:sz w:val="22"/>
                <w:highlight w:val="none"/>
              </w:rPr>
            </w:pPr>
            <w:r>
              <w:rPr>
                <w:rFonts w:eastAsia="等线"/>
                <w:sz w:val="22"/>
                <w:szCs w:val="22"/>
                <w:highlight w:val="none"/>
              </w:rPr>
              <w:t>15</w:t>
            </w:r>
          </w:p>
        </w:tc>
        <w:tc>
          <w:tcPr>
            <w:tcW w:w="574" w:type="pct"/>
            <w:shd w:val="clear" w:color="auto" w:fill="auto"/>
            <w:noWrap/>
            <w:vAlign w:val="center"/>
          </w:tcPr>
          <w:p>
            <w:pPr>
              <w:jc w:val="center"/>
              <w:rPr>
                <w:sz w:val="22"/>
                <w:highlight w:val="none"/>
              </w:rPr>
            </w:pPr>
            <w:r>
              <w:rPr>
                <w:kern w:val="0"/>
                <w:szCs w:val="21"/>
                <w:highlight w:val="none"/>
              </w:rPr>
              <w:t>0</w:t>
            </w:r>
          </w:p>
        </w:tc>
        <w:tc>
          <w:tcPr>
            <w:tcW w:w="574" w:type="pct"/>
            <w:shd w:val="clear" w:color="auto" w:fill="auto"/>
            <w:noWrap/>
            <w:vAlign w:val="center"/>
          </w:tcPr>
          <w:p>
            <w:pPr>
              <w:jc w:val="center"/>
              <w:rPr>
                <w:sz w:val="22"/>
                <w:highlight w:val="none"/>
              </w:rPr>
            </w:pPr>
            <w:r>
              <w:rPr>
                <w:kern w:val="0"/>
                <w:szCs w:val="21"/>
                <w:highlight w:val="none"/>
              </w:rPr>
              <w:t>15</w:t>
            </w:r>
          </w:p>
        </w:tc>
      </w:tr>
      <w:tr>
        <w:tblPrEx>
          <w:tblBorders>
            <w:top w:val="thinThickSmallGap" w:color="auto" w:sz="18" w:space="0"/>
            <w:left w:val="none" w:color="auto" w:sz="0" w:space="0"/>
            <w:bottom w:val="thickThinSmallGap" w:color="auto" w:sz="1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exact"/>
        </w:trPr>
        <w:tc>
          <w:tcPr>
            <w:tcW w:w="1218" w:type="pct"/>
            <w:shd w:val="clear" w:color="auto" w:fill="auto"/>
            <w:noWrap/>
            <w:vAlign w:val="center"/>
          </w:tcPr>
          <w:p>
            <w:pPr>
              <w:widowControl/>
              <w:jc w:val="left"/>
              <w:rPr>
                <w:kern w:val="0"/>
                <w:sz w:val="22"/>
                <w:highlight w:val="none"/>
              </w:rPr>
            </w:pPr>
            <w:r>
              <w:rPr>
                <w:kern w:val="0"/>
                <w:sz w:val="22"/>
                <w:szCs w:val="22"/>
                <w:highlight w:val="none"/>
              </w:rPr>
              <w:t>化工原料及制品</w:t>
            </w:r>
          </w:p>
        </w:tc>
        <w:tc>
          <w:tcPr>
            <w:tcW w:w="734" w:type="pct"/>
            <w:shd w:val="clear" w:color="auto" w:fill="auto"/>
            <w:noWrap/>
            <w:vAlign w:val="center"/>
          </w:tcPr>
          <w:p>
            <w:pPr>
              <w:jc w:val="center"/>
              <w:rPr>
                <w:sz w:val="22"/>
                <w:highlight w:val="none"/>
              </w:rPr>
            </w:pPr>
            <w:r>
              <w:rPr>
                <w:rFonts w:eastAsia="等线"/>
                <w:sz w:val="22"/>
                <w:szCs w:val="22"/>
                <w:highlight w:val="none"/>
              </w:rPr>
              <w:t>40</w:t>
            </w:r>
          </w:p>
        </w:tc>
        <w:tc>
          <w:tcPr>
            <w:tcW w:w="585" w:type="pct"/>
            <w:shd w:val="clear" w:color="auto" w:fill="auto"/>
            <w:noWrap/>
            <w:vAlign w:val="center"/>
          </w:tcPr>
          <w:p>
            <w:pPr>
              <w:jc w:val="center"/>
              <w:rPr>
                <w:sz w:val="22"/>
                <w:highlight w:val="none"/>
              </w:rPr>
            </w:pPr>
            <w:r>
              <w:rPr>
                <w:kern w:val="0"/>
                <w:szCs w:val="21"/>
                <w:highlight w:val="none"/>
              </w:rPr>
              <w:t>0</w:t>
            </w:r>
          </w:p>
        </w:tc>
        <w:tc>
          <w:tcPr>
            <w:tcW w:w="585" w:type="pct"/>
            <w:shd w:val="clear" w:color="auto" w:fill="auto"/>
            <w:noWrap/>
            <w:vAlign w:val="center"/>
          </w:tcPr>
          <w:p>
            <w:pPr>
              <w:jc w:val="center"/>
              <w:rPr>
                <w:sz w:val="22"/>
                <w:highlight w:val="none"/>
              </w:rPr>
            </w:pPr>
            <w:r>
              <w:rPr>
                <w:kern w:val="0"/>
                <w:szCs w:val="21"/>
                <w:highlight w:val="none"/>
              </w:rPr>
              <w:t>40</w:t>
            </w:r>
          </w:p>
        </w:tc>
        <w:tc>
          <w:tcPr>
            <w:tcW w:w="730" w:type="pct"/>
            <w:shd w:val="clear" w:color="auto" w:fill="auto"/>
            <w:noWrap/>
            <w:vAlign w:val="center"/>
          </w:tcPr>
          <w:p>
            <w:pPr>
              <w:jc w:val="center"/>
              <w:rPr>
                <w:sz w:val="22"/>
                <w:highlight w:val="none"/>
              </w:rPr>
            </w:pPr>
            <w:r>
              <w:rPr>
                <w:rFonts w:eastAsia="等线"/>
                <w:sz w:val="22"/>
                <w:szCs w:val="22"/>
                <w:highlight w:val="none"/>
              </w:rPr>
              <w:t>110</w:t>
            </w:r>
          </w:p>
        </w:tc>
        <w:tc>
          <w:tcPr>
            <w:tcW w:w="574" w:type="pct"/>
            <w:shd w:val="clear" w:color="auto" w:fill="auto"/>
            <w:noWrap/>
            <w:vAlign w:val="center"/>
          </w:tcPr>
          <w:p>
            <w:pPr>
              <w:jc w:val="center"/>
              <w:rPr>
                <w:sz w:val="22"/>
                <w:highlight w:val="none"/>
              </w:rPr>
            </w:pPr>
            <w:r>
              <w:rPr>
                <w:kern w:val="0"/>
                <w:szCs w:val="21"/>
                <w:highlight w:val="none"/>
              </w:rPr>
              <w:t>0</w:t>
            </w:r>
          </w:p>
        </w:tc>
        <w:tc>
          <w:tcPr>
            <w:tcW w:w="574" w:type="pct"/>
            <w:shd w:val="clear" w:color="auto" w:fill="auto"/>
            <w:noWrap/>
            <w:vAlign w:val="center"/>
          </w:tcPr>
          <w:p>
            <w:pPr>
              <w:jc w:val="center"/>
              <w:rPr>
                <w:sz w:val="22"/>
                <w:highlight w:val="none"/>
              </w:rPr>
            </w:pPr>
            <w:r>
              <w:rPr>
                <w:kern w:val="0"/>
                <w:szCs w:val="21"/>
                <w:highlight w:val="none"/>
              </w:rPr>
              <w:t>110</w:t>
            </w:r>
          </w:p>
        </w:tc>
      </w:tr>
      <w:tr>
        <w:tblPrEx>
          <w:tblBorders>
            <w:top w:val="thinThickSmallGap" w:color="auto" w:sz="18" w:space="0"/>
            <w:left w:val="none" w:color="auto" w:sz="0" w:space="0"/>
            <w:bottom w:val="thickThinSmallGap" w:color="auto" w:sz="1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exact"/>
        </w:trPr>
        <w:tc>
          <w:tcPr>
            <w:tcW w:w="1218" w:type="pct"/>
            <w:shd w:val="clear" w:color="auto" w:fill="auto"/>
            <w:noWrap/>
            <w:vAlign w:val="center"/>
          </w:tcPr>
          <w:p>
            <w:pPr>
              <w:widowControl/>
              <w:jc w:val="left"/>
              <w:rPr>
                <w:kern w:val="0"/>
                <w:sz w:val="22"/>
                <w:highlight w:val="none"/>
              </w:rPr>
            </w:pPr>
            <w:r>
              <w:rPr>
                <w:kern w:val="0"/>
                <w:sz w:val="22"/>
                <w:szCs w:val="22"/>
                <w:highlight w:val="none"/>
              </w:rPr>
              <w:t>其他</w:t>
            </w:r>
          </w:p>
        </w:tc>
        <w:tc>
          <w:tcPr>
            <w:tcW w:w="734" w:type="pct"/>
            <w:shd w:val="clear" w:color="auto" w:fill="auto"/>
            <w:noWrap/>
            <w:vAlign w:val="center"/>
          </w:tcPr>
          <w:p>
            <w:pPr>
              <w:jc w:val="center"/>
              <w:rPr>
                <w:sz w:val="22"/>
                <w:highlight w:val="none"/>
              </w:rPr>
            </w:pPr>
            <w:r>
              <w:rPr>
                <w:rFonts w:eastAsia="等线"/>
                <w:sz w:val="22"/>
                <w:szCs w:val="22"/>
                <w:highlight w:val="none"/>
              </w:rPr>
              <w:t>20</w:t>
            </w:r>
          </w:p>
        </w:tc>
        <w:tc>
          <w:tcPr>
            <w:tcW w:w="585" w:type="pct"/>
            <w:shd w:val="clear" w:color="auto" w:fill="auto"/>
            <w:noWrap/>
            <w:vAlign w:val="center"/>
          </w:tcPr>
          <w:p>
            <w:pPr>
              <w:jc w:val="center"/>
              <w:rPr>
                <w:sz w:val="22"/>
                <w:highlight w:val="none"/>
              </w:rPr>
            </w:pPr>
            <w:r>
              <w:rPr>
                <w:kern w:val="0"/>
                <w:szCs w:val="21"/>
                <w:highlight w:val="none"/>
              </w:rPr>
              <w:t>10</w:t>
            </w:r>
          </w:p>
        </w:tc>
        <w:tc>
          <w:tcPr>
            <w:tcW w:w="585" w:type="pct"/>
            <w:shd w:val="clear" w:color="auto" w:fill="auto"/>
            <w:noWrap/>
            <w:vAlign w:val="center"/>
          </w:tcPr>
          <w:p>
            <w:pPr>
              <w:jc w:val="center"/>
              <w:rPr>
                <w:sz w:val="22"/>
                <w:highlight w:val="none"/>
              </w:rPr>
            </w:pPr>
            <w:r>
              <w:rPr>
                <w:kern w:val="0"/>
                <w:szCs w:val="21"/>
                <w:highlight w:val="none"/>
              </w:rPr>
              <w:t>10</w:t>
            </w:r>
          </w:p>
        </w:tc>
        <w:tc>
          <w:tcPr>
            <w:tcW w:w="730" w:type="pct"/>
            <w:shd w:val="clear" w:color="auto" w:fill="auto"/>
            <w:noWrap/>
            <w:vAlign w:val="center"/>
          </w:tcPr>
          <w:p>
            <w:pPr>
              <w:jc w:val="center"/>
              <w:rPr>
                <w:sz w:val="22"/>
                <w:highlight w:val="none"/>
              </w:rPr>
            </w:pPr>
            <w:r>
              <w:rPr>
                <w:rFonts w:eastAsia="等线"/>
                <w:sz w:val="22"/>
                <w:szCs w:val="22"/>
                <w:highlight w:val="none"/>
              </w:rPr>
              <w:t>70</w:t>
            </w:r>
          </w:p>
        </w:tc>
        <w:tc>
          <w:tcPr>
            <w:tcW w:w="574" w:type="pct"/>
            <w:shd w:val="clear" w:color="auto" w:fill="auto"/>
            <w:noWrap/>
            <w:vAlign w:val="center"/>
          </w:tcPr>
          <w:p>
            <w:pPr>
              <w:jc w:val="center"/>
              <w:rPr>
                <w:sz w:val="22"/>
                <w:highlight w:val="none"/>
              </w:rPr>
            </w:pPr>
            <w:r>
              <w:rPr>
                <w:kern w:val="0"/>
                <w:szCs w:val="21"/>
                <w:highlight w:val="none"/>
              </w:rPr>
              <w:t>35</w:t>
            </w:r>
          </w:p>
        </w:tc>
        <w:tc>
          <w:tcPr>
            <w:tcW w:w="574" w:type="pct"/>
            <w:shd w:val="clear" w:color="auto" w:fill="auto"/>
            <w:noWrap/>
            <w:vAlign w:val="center"/>
          </w:tcPr>
          <w:p>
            <w:pPr>
              <w:jc w:val="center"/>
              <w:rPr>
                <w:sz w:val="22"/>
                <w:highlight w:val="none"/>
              </w:rPr>
            </w:pPr>
            <w:r>
              <w:rPr>
                <w:kern w:val="0"/>
                <w:szCs w:val="21"/>
                <w:highlight w:val="none"/>
              </w:rPr>
              <w:t>35</w:t>
            </w:r>
          </w:p>
        </w:tc>
      </w:tr>
      <w:tr>
        <w:tblPrEx>
          <w:tblBorders>
            <w:top w:val="thinThickSmallGap" w:color="auto" w:sz="18" w:space="0"/>
            <w:left w:val="none" w:color="auto" w:sz="0" w:space="0"/>
            <w:bottom w:val="thickThinSmallGap" w:color="auto" w:sz="1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exact"/>
        </w:trPr>
        <w:tc>
          <w:tcPr>
            <w:tcW w:w="1218" w:type="pct"/>
            <w:shd w:val="clear" w:color="auto" w:fill="auto"/>
            <w:noWrap/>
            <w:vAlign w:val="center"/>
          </w:tcPr>
          <w:p>
            <w:pPr>
              <w:widowControl/>
              <w:jc w:val="right"/>
              <w:rPr>
                <w:kern w:val="0"/>
                <w:sz w:val="22"/>
                <w:highlight w:val="none"/>
              </w:rPr>
            </w:pPr>
            <w:r>
              <w:rPr>
                <w:kern w:val="0"/>
                <w:sz w:val="22"/>
                <w:szCs w:val="22"/>
                <w:highlight w:val="none"/>
              </w:rPr>
              <w:t>其中：集装箱</w:t>
            </w:r>
          </w:p>
        </w:tc>
        <w:tc>
          <w:tcPr>
            <w:tcW w:w="734" w:type="pct"/>
            <w:shd w:val="clear" w:color="auto" w:fill="auto"/>
            <w:noWrap/>
            <w:vAlign w:val="center"/>
          </w:tcPr>
          <w:p>
            <w:pPr>
              <w:jc w:val="center"/>
              <w:rPr>
                <w:sz w:val="22"/>
                <w:highlight w:val="none"/>
              </w:rPr>
            </w:pPr>
            <w:r>
              <w:rPr>
                <w:rFonts w:eastAsia="等线"/>
                <w:sz w:val="22"/>
                <w:szCs w:val="22"/>
                <w:highlight w:val="none"/>
              </w:rPr>
              <w:t>0</w:t>
            </w:r>
          </w:p>
        </w:tc>
        <w:tc>
          <w:tcPr>
            <w:tcW w:w="585" w:type="pct"/>
            <w:shd w:val="clear" w:color="auto" w:fill="auto"/>
            <w:noWrap/>
            <w:vAlign w:val="center"/>
          </w:tcPr>
          <w:p>
            <w:pPr>
              <w:jc w:val="center"/>
              <w:rPr>
                <w:sz w:val="22"/>
                <w:highlight w:val="none"/>
              </w:rPr>
            </w:pPr>
            <w:r>
              <w:rPr>
                <w:kern w:val="0"/>
                <w:szCs w:val="21"/>
                <w:highlight w:val="none"/>
              </w:rPr>
              <w:t>0</w:t>
            </w:r>
          </w:p>
        </w:tc>
        <w:tc>
          <w:tcPr>
            <w:tcW w:w="585" w:type="pct"/>
            <w:shd w:val="clear" w:color="auto" w:fill="auto"/>
            <w:noWrap/>
            <w:vAlign w:val="center"/>
          </w:tcPr>
          <w:p>
            <w:pPr>
              <w:jc w:val="center"/>
              <w:rPr>
                <w:sz w:val="22"/>
                <w:highlight w:val="none"/>
              </w:rPr>
            </w:pPr>
            <w:r>
              <w:rPr>
                <w:kern w:val="0"/>
                <w:szCs w:val="21"/>
                <w:highlight w:val="none"/>
              </w:rPr>
              <w:t>0</w:t>
            </w:r>
          </w:p>
        </w:tc>
        <w:tc>
          <w:tcPr>
            <w:tcW w:w="730" w:type="pct"/>
            <w:shd w:val="clear" w:color="auto" w:fill="auto"/>
            <w:noWrap/>
            <w:vAlign w:val="center"/>
          </w:tcPr>
          <w:p>
            <w:pPr>
              <w:jc w:val="center"/>
              <w:rPr>
                <w:sz w:val="22"/>
                <w:highlight w:val="none"/>
              </w:rPr>
            </w:pPr>
            <w:r>
              <w:rPr>
                <w:rFonts w:eastAsia="等线"/>
                <w:sz w:val="22"/>
                <w:szCs w:val="22"/>
                <w:highlight w:val="none"/>
              </w:rPr>
              <w:t>20</w:t>
            </w:r>
          </w:p>
        </w:tc>
        <w:tc>
          <w:tcPr>
            <w:tcW w:w="574" w:type="pct"/>
            <w:shd w:val="clear" w:color="auto" w:fill="auto"/>
            <w:noWrap/>
            <w:vAlign w:val="center"/>
          </w:tcPr>
          <w:p>
            <w:pPr>
              <w:jc w:val="center"/>
              <w:rPr>
                <w:sz w:val="22"/>
                <w:highlight w:val="none"/>
              </w:rPr>
            </w:pPr>
            <w:r>
              <w:rPr>
                <w:kern w:val="0"/>
                <w:szCs w:val="21"/>
                <w:highlight w:val="none"/>
              </w:rPr>
              <w:t>10</w:t>
            </w:r>
          </w:p>
        </w:tc>
        <w:tc>
          <w:tcPr>
            <w:tcW w:w="574" w:type="pct"/>
            <w:shd w:val="clear" w:color="auto" w:fill="auto"/>
            <w:noWrap/>
            <w:vAlign w:val="center"/>
          </w:tcPr>
          <w:p>
            <w:pPr>
              <w:jc w:val="center"/>
              <w:rPr>
                <w:sz w:val="22"/>
                <w:highlight w:val="none"/>
              </w:rPr>
            </w:pPr>
            <w:r>
              <w:rPr>
                <w:kern w:val="0"/>
                <w:szCs w:val="21"/>
                <w:highlight w:val="none"/>
              </w:rPr>
              <w:t>10</w:t>
            </w:r>
          </w:p>
        </w:tc>
      </w:tr>
    </w:tbl>
    <w:p>
      <w:pPr>
        <w:pStyle w:val="2"/>
        <w:rPr>
          <w:rFonts w:ascii="Times New Roman" w:cs="Times New Roman"/>
          <w:color w:val="auto"/>
          <w:highlight w:val="none"/>
        </w:rPr>
      </w:pPr>
    </w:p>
    <w:p>
      <w:pPr>
        <w:spacing w:line="360" w:lineRule="auto"/>
        <w:ind w:firstLine="562" w:firstLineChars="200"/>
        <w:outlineLvl w:val="2"/>
        <w:rPr>
          <w:rFonts w:eastAsia="黑体"/>
          <w:b/>
          <w:sz w:val="28"/>
          <w:szCs w:val="28"/>
          <w:highlight w:val="none"/>
        </w:rPr>
      </w:pPr>
      <w:bookmarkStart w:id="158" w:name="_Toc67908234"/>
      <w:bookmarkStart w:id="159" w:name="_Toc53089211"/>
      <w:bookmarkStart w:id="160" w:name="_Toc67924638"/>
      <w:bookmarkStart w:id="161" w:name="_Toc77781899"/>
      <w:r>
        <w:rPr>
          <w:rFonts w:eastAsia="黑体"/>
          <w:b/>
          <w:sz w:val="28"/>
          <w:szCs w:val="28"/>
          <w:highlight w:val="none"/>
        </w:rPr>
        <w:t>三、旅客吞吐量预测</w:t>
      </w:r>
      <w:bookmarkEnd w:id="158"/>
      <w:bookmarkEnd w:id="159"/>
      <w:bookmarkEnd w:id="160"/>
      <w:bookmarkEnd w:id="161"/>
    </w:p>
    <w:p>
      <w:pPr>
        <w:pStyle w:val="6"/>
        <w:spacing w:before="0" w:after="0" w:line="360" w:lineRule="auto"/>
        <w:ind w:firstLine="562" w:firstLineChars="200"/>
        <w:rPr>
          <w:rFonts w:ascii="Times New Roman" w:hAnsi="Times New Roman" w:cs="Times New Roman"/>
          <w:highlight w:val="none"/>
        </w:rPr>
      </w:pPr>
      <w:bookmarkStart w:id="162" w:name="_Toc39690706"/>
      <w:bookmarkStart w:id="163" w:name="_Toc39688299"/>
      <w:r>
        <w:rPr>
          <w:rFonts w:ascii="Times New Roman" w:hAnsi="Times New Roman" w:cs="Times New Roman"/>
          <w:highlight w:val="none"/>
        </w:rPr>
        <w:t>（一）旅游市场分析</w:t>
      </w:r>
    </w:p>
    <w:p>
      <w:pPr>
        <w:spacing w:line="360" w:lineRule="auto"/>
        <w:ind w:firstLine="560" w:firstLineChars="200"/>
        <w:rPr>
          <w:rFonts w:eastAsiaTheme="minorEastAsia"/>
          <w:sz w:val="28"/>
          <w:szCs w:val="28"/>
          <w:highlight w:val="none"/>
        </w:rPr>
      </w:pPr>
      <w:r>
        <w:rPr>
          <w:rFonts w:eastAsiaTheme="minorEastAsia"/>
          <w:sz w:val="28"/>
          <w:szCs w:val="28"/>
          <w:highlight w:val="none"/>
        </w:rPr>
        <w:t>根据乐山市旅游规划，乐山市境内游客的主要客源市场集中在四川本省，其次为重庆市、北京市和上海市；统计数据显示，亚洲为乐山市主要入境客源市场，占总体入境客源市场的3.3%，重点客源为台湾地区、香港地区、澳门地区、日本、韩国等国家（地区）；欧洲占总量的10.6%，以英国、法国为代表；美洲占总量的4.8%，以美国为代表；大洋洲和其他大洲分别占总量的1.3%和0.1%。总体来看，乐山市旅游仍以境内旅游市场为主，入境游客仅占全市游客接待总量的0.4%。</w:t>
      </w:r>
    </w:p>
    <w:p>
      <w:pPr>
        <w:spacing w:line="360" w:lineRule="auto"/>
        <w:ind w:firstLine="560" w:firstLineChars="200"/>
        <w:rPr>
          <w:rFonts w:eastAsiaTheme="minorEastAsia"/>
          <w:sz w:val="28"/>
          <w:szCs w:val="28"/>
          <w:highlight w:val="none"/>
        </w:rPr>
      </w:pPr>
      <w:r>
        <w:rPr>
          <w:rFonts w:hint="eastAsia" w:eastAsiaTheme="minorEastAsia"/>
          <w:sz w:val="28"/>
          <w:szCs w:val="28"/>
          <w:highlight w:val="none"/>
        </w:rPr>
        <w:t>受疫情影响，2020年乐山市全年接待国内外游客7071.69万人次，仅增长0.8%，由于2020年数据受疫情影响严重，参考性不足，因此本报告采用2010~2019年数据进行研究。根据2010~20</w:t>
      </w:r>
      <w:r>
        <w:rPr>
          <w:rFonts w:eastAsiaTheme="minorEastAsia"/>
          <w:sz w:val="28"/>
          <w:szCs w:val="28"/>
          <w:highlight w:val="none"/>
        </w:rPr>
        <w:t>20</w:t>
      </w:r>
      <w:r>
        <w:rPr>
          <w:rFonts w:hint="eastAsia" w:eastAsiaTheme="minorEastAsia"/>
          <w:sz w:val="28"/>
          <w:szCs w:val="28"/>
          <w:highlight w:val="none"/>
        </w:rPr>
        <w:t>年数据乐山市旅客接待人数历史数据，乐山市旅游产业正经历着飞速发展时期，基本呈指数增长，年均增长率达到17%。</w:t>
      </w:r>
    </w:p>
    <w:p>
      <w:pPr>
        <w:pStyle w:val="2"/>
        <w:jc w:val="center"/>
        <w:rPr>
          <w:rFonts w:ascii="Times New Roman" w:cs="Times New Roman"/>
          <w:color w:val="auto"/>
          <w:highlight w:val="none"/>
        </w:rPr>
      </w:pPr>
      <w:r>
        <w:rPr>
          <w:color w:val="auto"/>
          <w:highlight w:val="none"/>
        </w:rPr>
        <w:drawing>
          <wp:inline distT="0" distB="0" distL="0" distR="0">
            <wp:extent cx="4572000" cy="2743200"/>
            <wp:effectExtent l="0" t="0" r="0" b="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jc w:val="center"/>
        <w:rPr>
          <w:b/>
          <w:sz w:val="24"/>
          <w:highlight w:val="none"/>
        </w:rPr>
      </w:pPr>
      <w:r>
        <w:rPr>
          <w:b/>
          <w:sz w:val="24"/>
          <w:highlight w:val="none"/>
        </w:rPr>
        <w:t>图2.5-4乐山市旅游业发展趋势图</w:t>
      </w:r>
    </w:p>
    <w:p>
      <w:pPr>
        <w:pStyle w:val="6"/>
        <w:spacing w:before="312" w:beforeLines="100" w:after="0" w:line="360" w:lineRule="auto"/>
        <w:ind w:firstLine="562" w:firstLineChars="200"/>
        <w:rPr>
          <w:rFonts w:ascii="Times New Roman" w:hAnsi="Times New Roman" w:cs="Times New Roman"/>
          <w:highlight w:val="none"/>
        </w:rPr>
      </w:pPr>
      <w:r>
        <w:rPr>
          <w:rFonts w:ascii="Times New Roman" w:hAnsi="Times New Roman" w:cs="Times New Roman"/>
          <w:highlight w:val="none"/>
        </w:rPr>
        <w:t>（二）乐山市水上旅游发展趋势分析</w:t>
      </w:r>
      <w:bookmarkEnd w:id="162"/>
      <w:bookmarkEnd w:id="163"/>
    </w:p>
    <w:p>
      <w:pPr>
        <w:spacing w:line="360" w:lineRule="auto"/>
        <w:ind w:firstLine="562" w:firstLineChars="200"/>
        <w:rPr>
          <w:rFonts w:eastAsiaTheme="minorEastAsia"/>
          <w:b/>
          <w:sz w:val="28"/>
          <w:szCs w:val="28"/>
          <w:highlight w:val="none"/>
        </w:rPr>
      </w:pPr>
      <w:bookmarkStart w:id="164" w:name="_Toc39688300"/>
      <w:r>
        <w:rPr>
          <w:rFonts w:eastAsiaTheme="minorEastAsia"/>
          <w:b/>
          <w:sz w:val="28"/>
          <w:szCs w:val="28"/>
          <w:highlight w:val="none"/>
        </w:rPr>
        <w:t>1.乐山市水上旅游发展概况</w:t>
      </w:r>
      <w:bookmarkEnd w:id="164"/>
    </w:p>
    <w:p>
      <w:pPr>
        <w:spacing w:line="360" w:lineRule="auto"/>
        <w:ind w:firstLine="560" w:firstLineChars="200"/>
        <w:rPr>
          <w:rFonts w:eastAsiaTheme="minorEastAsia"/>
          <w:sz w:val="28"/>
          <w:szCs w:val="28"/>
          <w:highlight w:val="none"/>
        </w:rPr>
      </w:pPr>
      <w:bookmarkStart w:id="165" w:name="_Toc39688301"/>
      <w:r>
        <w:rPr>
          <w:rFonts w:eastAsiaTheme="minorEastAsia"/>
          <w:sz w:val="28"/>
          <w:szCs w:val="28"/>
          <w:highlight w:val="none"/>
        </w:rPr>
        <w:t>乐山市水系众多，分布广泛，骨架清晰，旅游资源呈沿江分布，水上旅游发展基础良好。但乐山市水上旅游仍处于起步阶段，水上旅游体系尚未建立。目前乐山市围绕乐山大佛有两条水上旅游线路，包括“日游”和“夜游”两种游览形式。日游三江中游客可以乘坐游轮沿江而过，换个角度观大佛，大佛全貌尽收眼底。目前已开通八仙洞游船码头和乐山港之间的游船航线，即“水上看大佛”旅游线路。夜游三江是四川省内已建成的单个夜景项目中最大的一个，夜景线路总长约24km，主要内容包括“游船、游山、游城”，用科技手段和光影效果讲述城市文化、演绎乐山故事。夜游路线为八仙洞码头—岷江一桥—岷江二桥—岷江一桥—乐山港游船码头—八仙洞码头。</w:t>
      </w:r>
    </w:p>
    <w:p>
      <w:pPr>
        <w:spacing w:line="360" w:lineRule="auto"/>
        <w:ind w:firstLine="562" w:firstLineChars="200"/>
        <w:rPr>
          <w:rFonts w:eastAsiaTheme="minorEastAsia"/>
          <w:b/>
          <w:sz w:val="28"/>
          <w:szCs w:val="28"/>
          <w:highlight w:val="none"/>
        </w:rPr>
      </w:pPr>
      <w:r>
        <w:rPr>
          <w:rFonts w:eastAsiaTheme="minorEastAsia"/>
          <w:b/>
          <w:sz w:val="28"/>
          <w:szCs w:val="28"/>
          <w:highlight w:val="none"/>
        </w:rPr>
        <w:t>2.乐山市水上旅游发展趋势</w:t>
      </w:r>
      <w:bookmarkEnd w:id="165"/>
    </w:p>
    <w:p>
      <w:pPr>
        <w:spacing w:line="360" w:lineRule="auto"/>
        <w:ind w:firstLine="560" w:firstLineChars="200"/>
        <w:rPr>
          <w:sz w:val="28"/>
          <w:szCs w:val="28"/>
          <w:highlight w:val="none"/>
        </w:rPr>
      </w:pPr>
      <w:r>
        <w:rPr>
          <w:sz w:val="28"/>
          <w:szCs w:val="28"/>
          <w:highlight w:val="none"/>
        </w:rPr>
        <w:t>根据乐山市“水运+旅游”发展规划报告，乐山市将以不同级别水系为组织单位和空间轴线，通过水系连接沿线城镇村落，以及自然人文旅游资源，同时发挥水系交汇点的连接和汇聚作用，形成水运旅游节点区域（水上旅游风情区），充分发挥乐山水系资源优势，规划乐山水运旅游形成“一核三岔九水”水运旅游格局，如图2.5-5所示。</w:t>
      </w:r>
    </w:p>
    <w:p>
      <w:pPr>
        <w:spacing w:line="360" w:lineRule="auto"/>
        <w:ind w:firstLine="560" w:firstLineChars="200"/>
        <w:rPr>
          <w:sz w:val="28"/>
          <w:szCs w:val="28"/>
          <w:highlight w:val="none"/>
        </w:rPr>
      </w:pPr>
      <w:r>
        <w:rPr>
          <w:rFonts w:hint="eastAsia"/>
          <w:sz w:val="28"/>
          <w:szCs w:val="28"/>
          <w:highlight w:val="none"/>
        </w:rPr>
        <w:t>依托“一核三岔九水”水上旅游总体格局，乐山市未来将加快推进旅游航道、水上旅游景区开发建设，打造精品水上旅游项目：</w:t>
      </w:r>
    </w:p>
    <w:p>
      <w:pPr>
        <w:spacing w:line="360" w:lineRule="auto"/>
        <w:ind w:firstLine="562" w:firstLineChars="200"/>
        <w:rPr>
          <w:sz w:val="28"/>
          <w:szCs w:val="28"/>
          <w:highlight w:val="none"/>
        </w:rPr>
      </w:pPr>
      <w:r>
        <w:rPr>
          <w:rFonts w:hint="eastAsia"/>
          <w:b/>
          <w:sz w:val="28"/>
          <w:szCs w:val="28"/>
          <w:highlight w:val="none"/>
        </w:rPr>
        <w:t>乐山大佛景区：</w:t>
      </w:r>
      <w:r>
        <w:rPr>
          <w:rFonts w:hint="eastAsia"/>
          <w:sz w:val="28"/>
          <w:szCs w:val="28"/>
          <w:highlight w:val="none"/>
        </w:rPr>
        <w:t>位于乐山市郊，与乐山城隔江相望，地处凌云山中部，山上茂林修竹终年葱茏，山下三江汇聚，享有西南山水之冠的美誉，为历代文人墨客所咏赞。乐山市未来将立足弥勒佛世界奇观，依托乐山大佛、灵宝塔、麻浩崖墓和离堆等景点，将乐山大佛景区打造为国际知名的弥勒文化休闲旅游目的地。未来景区将依托芭蕉林、高新区、凤洲岛、乌尤寺等旅游码头，打造夜游三江旅游航线，大力发展景区水上旅游项目。</w:t>
      </w:r>
    </w:p>
    <w:p>
      <w:pPr>
        <w:spacing w:line="360" w:lineRule="auto"/>
        <w:ind w:firstLine="562" w:firstLineChars="200"/>
        <w:rPr>
          <w:sz w:val="28"/>
          <w:szCs w:val="28"/>
          <w:highlight w:val="none"/>
        </w:rPr>
      </w:pPr>
      <w:r>
        <w:rPr>
          <w:rFonts w:hint="eastAsia"/>
          <w:b/>
          <w:sz w:val="28"/>
          <w:szCs w:val="28"/>
          <w:highlight w:val="none"/>
        </w:rPr>
        <w:t>夹江青衣江旅游航道：</w:t>
      </w:r>
      <w:r>
        <w:rPr>
          <w:rFonts w:hint="eastAsia"/>
          <w:sz w:val="28"/>
          <w:szCs w:val="28"/>
          <w:highlight w:val="none"/>
        </w:rPr>
        <w:t>夹江以“两岸青山相对出，一江碧水自中流”即两山夹一江而得名，其中“一江”是指青衣江。夹江县境内的东风堰是世界灌溉工程遗产，也是乐山市继乐山大佛、峨眉山之后的第三处世界遗产，夹江千佛岩石窟作为唐代文物，是国家重点保护文物。未来，夹江县将依托佩玉泉旅游客运码头和柏杨湾旅游客运码头，并结合世界灌溉工程文化遗产东风堰、西部瓷都、千佛岩景区以及造纸博物馆等，打造精品旅游航线。</w:t>
      </w:r>
    </w:p>
    <w:p>
      <w:pPr>
        <w:spacing w:line="360" w:lineRule="auto"/>
        <w:ind w:firstLine="562" w:firstLineChars="200"/>
        <w:rPr>
          <w:sz w:val="28"/>
          <w:szCs w:val="28"/>
          <w:highlight w:val="none"/>
        </w:rPr>
      </w:pPr>
      <w:r>
        <w:rPr>
          <w:rFonts w:hint="eastAsia"/>
          <w:b/>
          <w:sz w:val="28"/>
          <w:szCs w:val="28"/>
          <w:highlight w:val="none"/>
        </w:rPr>
        <w:t>大渡河风景道：</w:t>
      </w:r>
      <w:r>
        <w:rPr>
          <w:rFonts w:hint="eastAsia"/>
          <w:sz w:val="28"/>
          <w:szCs w:val="28"/>
          <w:highlight w:val="none"/>
        </w:rPr>
        <w:t>途经我市市中区、沙湾区、峨边县、金口河区四个区县，沿线拥有国家级及以上资源品牌20个。现已建成乐山大佛、郭沫若故居、沫若戏剧文创园、黑竹沟、大渡河金口大峡谷等国家4A级以上旅游景区。下一步，依托大渡河丰富的水电、库区、湖区、湿地资源，积极发展水上旅游、水康养度假和水文化研学旅游，打造水上观光精品线路，引入航模、水上摩托、水上滑翔、垂钓等业态，加快住宿、美食、停车等商业服务配套设施建设，建设水上旅游综合服务区。未来将布局龚嘴旅游客运作业区、月亮湾客运码头以及其他客运停靠点，发展水上旅游航线。</w:t>
      </w:r>
    </w:p>
    <w:p>
      <w:pPr>
        <w:jc w:val="center"/>
        <w:rPr>
          <w:highlight w:val="none"/>
        </w:rPr>
      </w:pPr>
      <w:r>
        <w:rPr>
          <w:highlight w:val="none"/>
        </w:rPr>
        <w:drawing>
          <wp:inline distT="0" distB="0" distL="0" distR="0">
            <wp:extent cx="3275965" cy="4244975"/>
            <wp:effectExtent l="0" t="0" r="635" b="0"/>
            <wp:docPr id="26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0" name="图片 2"/>
                    <pic:cNvPicPr>
                      <a:picLocks noChangeAspect="1"/>
                    </pic:cNvPicPr>
                  </pic:nvPicPr>
                  <pic:blipFill>
                    <a:blip r:embed="rId12" cstate="print"/>
                    <a:stretch>
                      <a:fillRect/>
                    </a:stretch>
                  </pic:blipFill>
                  <pic:spPr>
                    <a:xfrm>
                      <a:off x="0" y="0"/>
                      <a:ext cx="3283665" cy="4255007"/>
                    </a:xfrm>
                    <a:prstGeom prst="rect">
                      <a:avLst/>
                    </a:prstGeom>
                  </pic:spPr>
                </pic:pic>
              </a:graphicData>
            </a:graphic>
          </wp:inline>
        </w:drawing>
      </w:r>
    </w:p>
    <w:p>
      <w:pPr>
        <w:jc w:val="center"/>
        <w:rPr>
          <w:b/>
          <w:sz w:val="24"/>
          <w:highlight w:val="none"/>
        </w:rPr>
      </w:pPr>
      <w:r>
        <w:rPr>
          <w:b/>
          <w:sz w:val="24"/>
          <w:highlight w:val="none"/>
        </w:rPr>
        <w:t>图2.5-5乐山水上旅游总体布局图</w:t>
      </w:r>
    </w:p>
    <w:p>
      <w:pPr>
        <w:pStyle w:val="6"/>
        <w:spacing w:before="312" w:beforeLines="100" w:after="0" w:line="360" w:lineRule="auto"/>
        <w:ind w:firstLine="562" w:firstLineChars="200"/>
        <w:rPr>
          <w:rFonts w:ascii="Times New Roman" w:hAnsi="Times New Roman" w:cs="Times New Roman"/>
          <w:highlight w:val="none"/>
        </w:rPr>
      </w:pPr>
      <w:r>
        <w:rPr>
          <w:rFonts w:ascii="Times New Roman" w:hAnsi="Times New Roman" w:cs="Times New Roman"/>
          <w:highlight w:val="none"/>
        </w:rPr>
        <w:t>（三）旅客吞吐量预测</w:t>
      </w:r>
    </w:p>
    <w:p>
      <w:pPr>
        <w:spacing w:line="360" w:lineRule="auto"/>
        <w:ind w:firstLine="560" w:firstLineChars="200"/>
        <w:rPr>
          <w:sz w:val="28"/>
          <w:szCs w:val="28"/>
          <w:highlight w:val="none"/>
        </w:rPr>
      </w:pPr>
      <w:bookmarkStart w:id="166" w:name="_Toc53089212"/>
      <w:r>
        <w:rPr>
          <w:sz w:val="28"/>
          <w:szCs w:val="28"/>
          <w:highlight w:val="none"/>
        </w:rPr>
        <w:t>根据乐山市旅游规划，乐山市2025年和2035年接待旅客人次分别为1.1亿人次和1.8亿人次。根据世界旅游组织（UNWTO）统计，中国的国际游客中选择水上旅游的占总数的3%。我国沿海地区港口水上旅游、邮轮经济发达，水上旅游占比相对更高。虽然未来乐山市将大力发展水上旅游，但是预期短时间内无法达到沿海地区水平。综合考虑国内外水上旅游发展趋势和乐山市水上旅游发展情况，预测2025年和2035年乐山市全域旅游中水运分摊量分别为2%和3.3%左右，2025年、2035年乐山港水上游客接待人次将达到200万人次和600万人次，考虑到每位旅客都将至少产生一次进港量和出港量，部分旅客将会有多次出行，本规划将采用每位旅客产生2人次的港口吞吐量进行计算，根据计算预测2025年、2035年乐山市水上旅客吞吐量分别为400万人次和1200万人次。</w:t>
      </w:r>
    </w:p>
    <w:p>
      <w:pPr>
        <w:spacing w:line="360" w:lineRule="auto"/>
        <w:ind w:firstLine="562" w:firstLineChars="200"/>
        <w:outlineLvl w:val="2"/>
        <w:rPr>
          <w:rFonts w:eastAsia="黑体"/>
          <w:b/>
          <w:sz w:val="28"/>
          <w:szCs w:val="28"/>
          <w:highlight w:val="none"/>
        </w:rPr>
      </w:pPr>
      <w:bookmarkStart w:id="167" w:name="_Toc67908235"/>
      <w:bookmarkStart w:id="168" w:name="_Toc67924639"/>
      <w:bookmarkStart w:id="169" w:name="_Toc77781900"/>
      <w:r>
        <w:rPr>
          <w:rFonts w:eastAsia="黑体"/>
          <w:b/>
          <w:sz w:val="28"/>
          <w:szCs w:val="28"/>
          <w:highlight w:val="none"/>
        </w:rPr>
        <w:t>四、分港区吞吐量预测</w:t>
      </w:r>
      <w:bookmarkEnd w:id="166"/>
      <w:bookmarkEnd w:id="167"/>
      <w:bookmarkEnd w:id="168"/>
      <w:bookmarkEnd w:id="169"/>
    </w:p>
    <w:p>
      <w:pPr>
        <w:spacing w:line="360" w:lineRule="auto"/>
        <w:ind w:firstLine="560" w:firstLineChars="200"/>
        <w:rPr>
          <w:sz w:val="28"/>
          <w:szCs w:val="28"/>
          <w:highlight w:val="none"/>
        </w:rPr>
      </w:pPr>
      <w:r>
        <w:rPr>
          <w:sz w:val="28"/>
          <w:szCs w:val="28"/>
          <w:highlight w:val="none"/>
        </w:rPr>
        <w:t>根据腹地产业布局、各产业园区规划及旅游发展规划，本规划对各港区的客货吞吐量进行预测。乐山港分港区吞吐量</w:t>
      </w:r>
      <w:r>
        <w:rPr>
          <w:rFonts w:hint="eastAsia"/>
          <w:sz w:val="28"/>
          <w:szCs w:val="28"/>
          <w:highlight w:val="none"/>
        </w:rPr>
        <w:t>总量</w:t>
      </w:r>
      <w:r>
        <w:rPr>
          <w:sz w:val="28"/>
          <w:szCs w:val="28"/>
          <w:highlight w:val="none"/>
        </w:rPr>
        <w:t>预测结果如表2.5-3</w:t>
      </w:r>
      <w:r>
        <w:rPr>
          <w:rFonts w:hint="eastAsia"/>
          <w:sz w:val="28"/>
          <w:szCs w:val="28"/>
          <w:highlight w:val="none"/>
        </w:rPr>
        <w:t>和2</w:t>
      </w:r>
      <w:r>
        <w:rPr>
          <w:sz w:val="28"/>
          <w:szCs w:val="28"/>
          <w:highlight w:val="none"/>
        </w:rPr>
        <w:t>.5-4所示</w:t>
      </w:r>
      <w:r>
        <w:rPr>
          <w:rFonts w:hint="eastAsia"/>
          <w:sz w:val="28"/>
          <w:szCs w:val="28"/>
          <w:highlight w:val="none"/>
        </w:rPr>
        <w:t>，分港区进出港和分货类吞吐量预测结果见附件。</w:t>
      </w:r>
    </w:p>
    <w:p>
      <w:pPr>
        <w:pStyle w:val="2"/>
        <w:rPr>
          <w:rFonts w:ascii="Times New Roman" w:cs="Times New Roman"/>
          <w:color w:val="auto"/>
          <w:highlight w:val="none"/>
        </w:rPr>
        <w:sectPr>
          <w:pgSz w:w="11906" w:h="16838"/>
          <w:pgMar w:top="1440" w:right="1418" w:bottom="1440" w:left="1418" w:header="851" w:footer="992" w:gutter="0"/>
          <w:cols w:space="425" w:num="1"/>
          <w:docGrid w:type="lines" w:linePitch="312" w:charSpace="0"/>
        </w:sectPr>
      </w:pPr>
    </w:p>
    <w:p>
      <w:pPr>
        <w:pStyle w:val="2"/>
        <w:wordWrap w:val="0"/>
        <w:snapToGrid w:val="0"/>
        <w:jc w:val="right"/>
        <w:rPr>
          <w:rFonts w:ascii="Times New Roman" w:eastAsia="黑体" w:cs="Times New Roman"/>
          <w:color w:val="auto"/>
          <w:sz w:val="28"/>
          <w:szCs w:val="28"/>
          <w:highlight w:val="none"/>
        </w:rPr>
      </w:pPr>
      <w:r>
        <w:rPr>
          <w:rFonts w:ascii="Times New Roman" w:eastAsia="黑体" w:cs="Times New Roman"/>
          <w:color w:val="auto"/>
          <w:sz w:val="28"/>
          <w:szCs w:val="28"/>
          <w:highlight w:val="none"/>
        </w:rPr>
        <w:t xml:space="preserve">表2.5-3 2025年乐山各港区吞吐量预测表                </w:t>
      </w:r>
      <w:r>
        <w:rPr>
          <w:rFonts w:ascii="Times New Roman" w:cs="Times New Roman" w:eastAsiaTheme="minorEastAsia"/>
          <w:color w:val="auto"/>
          <w:sz w:val="21"/>
          <w:szCs w:val="21"/>
          <w:highlight w:val="none"/>
        </w:rPr>
        <w:t>单位：万t、万人次</w:t>
      </w:r>
    </w:p>
    <w:tbl>
      <w:tblPr>
        <w:tblStyle w:val="32"/>
        <w:tblW w:w="5000" w:type="pct"/>
        <w:tblInd w:w="0" w:type="dxa"/>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271"/>
        <w:gridCol w:w="1417"/>
        <w:gridCol w:w="1701"/>
        <w:gridCol w:w="1417"/>
        <w:gridCol w:w="1417"/>
        <w:gridCol w:w="1417"/>
        <w:gridCol w:w="1417"/>
        <w:gridCol w:w="1418"/>
        <w:gridCol w:w="1699"/>
      </w:tblGrid>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01" w:type="pct"/>
            <w:shd w:val="clear" w:color="auto" w:fill="auto"/>
            <w:noWrap/>
            <w:vAlign w:val="center"/>
          </w:tcPr>
          <w:p>
            <w:pPr>
              <w:widowControl/>
              <w:jc w:val="center"/>
              <w:rPr>
                <w:rFonts w:eastAsiaTheme="minorEastAsia"/>
                <w:kern w:val="0"/>
                <w:sz w:val="22"/>
                <w:highlight w:val="none"/>
              </w:rPr>
            </w:pPr>
            <w:r>
              <w:rPr>
                <w:rFonts w:eastAsiaTheme="minorEastAsia"/>
                <w:kern w:val="0"/>
                <w:sz w:val="22"/>
                <w:szCs w:val="22"/>
                <w:highlight w:val="none"/>
              </w:rPr>
              <w:t>货种</w:t>
            </w:r>
          </w:p>
        </w:tc>
        <w:tc>
          <w:tcPr>
            <w:tcW w:w="500" w:type="pct"/>
            <w:shd w:val="clear" w:color="auto" w:fill="auto"/>
            <w:noWrap/>
            <w:vAlign w:val="center"/>
          </w:tcPr>
          <w:p>
            <w:pPr>
              <w:jc w:val="center"/>
              <w:rPr>
                <w:rFonts w:eastAsiaTheme="minorEastAsia"/>
                <w:kern w:val="0"/>
                <w:sz w:val="22"/>
                <w:highlight w:val="none"/>
              </w:rPr>
            </w:pPr>
            <w:r>
              <w:rPr>
                <w:rFonts w:eastAsiaTheme="minorEastAsia"/>
                <w:kern w:val="0"/>
                <w:sz w:val="22"/>
                <w:szCs w:val="22"/>
                <w:highlight w:val="none"/>
              </w:rPr>
              <w:t>嘉州港区</w:t>
            </w:r>
          </w:p>
        </w:tc>
        <w:tc>
          <w:tcPr>
            <w:tcW w:w="600" w:type="pct"/>
            <w:vAlign w:val="center"/>
          </w:tcPr>
          <w:p>
            <w:pPr>
              <w:jc w:val="center"/>
              <w:rPr>
                <w:rFonts w:eastAsiaTheme="minorEastAsia"/>
                <w:kern w:val="0"/>
                <w:sz w:val="22"/>
                <w:highlight w:val="none"/>
              </w:rPr>
            </w:pPr>
            <w:r>
              <w:rPr>
                <w:rFonts w:eastAsiaTheme="minorEastAsia"/>
                <w:kern w:val="0"/>
                <w:sz w:val="22"/>
                <w:szCs w:val="22"/>
                <w:highlight w:val="none"/>
              </w:rPr>
              <w:t>五通桥港区</w:t>
            </w:r>
          </w:p>
        </w:tc>
        <w:tc>
          <w:tcPr>
            <w:tcW w:w="500" w:type="pct"/>
            <w:vAlign w:val="center"/>
          </w:tcPr>
          <w:p>
            <w:pPr>
              <w:jc w:val="center"/>
              <w:rPr>
                <w:rFonts w:eastAsiaTheme="minorEastAsia"/>
                <w:kern w:val="0"/>
                <w:sz w:val="22"/>
                <w:highlight w:val="none"/>
              </w:rPr>
            </w:pPr>
            <w:r>
              <w:rPr>
                <w:rFonts w:eastAsiaTheme="minorEastAsia"/>
                <w:kern w:val="0"/>
                <w:sz w:val="22"/>
                <w:szCs w:val="22"/>
                <w:highlight w:val="none"/>
              </w:rPr>
              <w:t>犍为港区</w:t>
            </w:r>
          </w:p>
        </w:tc>
        <w:tc>
          <w:tcPr>
            <w:tcW w:w="500" w:type="pct"/>
            <w:vAlign w:val="center"/>
          </w:tcPr>
          <w:p>
            <w:pPr>
              <w:jc w:val="center"/>
              <w:rPr>
                <w:rFonts w:eastAsiaTheme="minorEastAsia"/>
                <w:kern w:val="0"/>
                <w:sz w:val="22"/>
                <w:highlight w:val="none"/>
              </w:rPr>
            </w:pPr>
            <w:r>
              <w:rPr>
                <w:rFonts w:eastAsiaTheme="minorEastAsia"/>
                <w:kern w:val="0"/>
                <w:sz w:val="22"/>
                <w:szCs w:val="22"/>
                <w:highlight w:val="none"/>
              </w:rPr>
              <w:t>沐川港区</w:t>
            </w:r>
          </w:p>
        </w:tc>
        <w:tc>
          <w:tcPr>
            <w:tcW w:w="500" w:type="pct"/>
            <w:vAlign w:val="center"/>
          </w:tcPr>
          <w:p>
            <w:pPr>
              <w:jc w:val="center"/>
              <w:rPr>
                <w:rFonts w:eastAsiaTheme="minorEastAsia"/>
                <w:kern w:val="0"/>
                <w:sz w:val="22"/>
                <w:highlight w:val="none"/>
              </w:rPr>
            </w:pPr>
            <w:r>
              <w:rPr>
                <w:rFonts w:eastAsiaTheme="minorEastAsia"/>
                <w:kern w:val="0"/>
                <w:sz w:val="22"/>
                <w:szCs w:val="22"/>
                <w:highlight w:val="none"/>
              </w:rPr>
              <w:t>沙湾港区</w:t>
            </w:r>
          </w:p>
        </w:tc>
        <w:tc>
          <w:tcPr>
            <w:tcW w:w="500" w:type="pct"/>
            <w:vAlign w:val="center"/>
          </w:tcPr>
          <w:p>
            <w:pPr>
              <w:jc w:val="center"/>
              <w:rPr>
                <w:rFonts w:eastAsiaTheme="minorEastAsia"/>
                <w:kern w:val="0"/>
                <w:sz w:val="22"/>
                <w:highlight w:val="none"/>
              </w:rPr>
            </w:pPr>
            <w:r>
              <w:rPr>
                <w:rFonts w:eastAsiaTheme="minorEastAsia"/>
                <w:kern w:val="0"/>
                <w:sz w:val="22"/>
                <w:szCs w:val="22"/>
                <w:highlight w:val="none"/>
              </w:rPr>
              <w:t>夹江港区</w:t>
            </w:r>
          </w:p>
        </w:tc>
        <w:tc>
          <w:tcPr>
            <w:tcW w:w="500" w:type="pct"/>
            <w:vAlign w:val="center"/>
          </w:tcPr>
          <w:p>
            <w:pPr>
              <w:jc w:val="center"/>
              <w:rPr>
                <w:rFonts w:eastAsiaTheme="minorEastAsia"/>
                <w:kern w:val="0"/>
                <w:sz w:val="22"/>
                <w:highlight w:val="none"/>
              </w:rPr>
            </w:pPr>
            <w:r>
              <w:rPr>
                <w:rFonts w:eastAsiaTheme="minorEastAsia"/>
                <w:kern w:val="0"/>
                <w:sz w:val="22"/>
                <w:szCs w:val="22"/>
                <w:highlight w:val="none"/>
              </w:rPr>
              <w:t>峨边港区</w:t>
            </w:r>
          </w:p>
        </w:tc>
        <w:tc>
          <w:tcPr>
            <w:tcW w:w="600" w:type="pct"/>
            <w:vAlign w:val="center"/>
          </w:tcPr>
          <w:p>
            <w:pPr>
              <w:jc w:val="center"/>
              <w:rPr>
                <w:rFonts w:eastAsiaTheme="minorEastAsia"/>
                <w:kern w:val="0"/>
                <w:sz w:val="22"/>
                <w:highlight w:val="none"/>
              </w:rPr>
            </w:pPr>
            <w:r>
              <w:rPr>
                <w:rFonts w:eastAsiaTheme="minorEastAsia"/>
                <w:kern w:val="0"/>
                <w:sz w:val="22"/>
                <w:szCs w:val="22"/>
                <w:highlight w:val="none"/>
              </w:rPr>
              <w:t>金口河港区</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01" w:type="pct"/>
            <w:shd w:val="clear" w:color="auto" w:fill="auto"/>
            <w:noWrap/>
            <w:vAlign w:val="center"/>
          </w:tcPr>
          <w:p>
            <w:pPr>
              <w:widowControl/>
              <w:jc w:val="left"/>
              <w:rPr>
                <w:rFonts w:eastAsiaTheme="minorEastAsia"/>
                <w:kern w:val="0"/>
                <w:sz w:val="22"/>
                <w:highlight w:val="none"/>
              </w:rPr>
            </w:pPr>
            <w:r>
              <w:rPr>
                <w:rFonts w:eastAsiaTheme="minorEastAsia"/>
                <w:kern w:val="0"/>
                <w:sz w:val="22"/>
                <w:szCs w:val="22"/>
                <w:highlight w:val="none"/>
              </w:rPr>
              <w:t>货物吞吐量合计</w:t>
            </w:r>
          </w:p>
        </w:tc>
        <w:tc>
          <w:tcPr>
            <w:tcW w:w="500" w:type="pct"/>
            <w:shd w:val="clear" w:color="auto" w:fill="auto"/>
            <w:noWrap/>
            <w:vAlign w:val="center"/>
          </w:tcPr>
          <w:p>
            <w:pPr>
              <w:jc w:val="center"/>
              <w:rPr>
                <w:sz w:val="22"/>
                <w:highlight w:val="none"/>
              </w:rPr>
            </w:pPr>
            <w:r>
              <w:rPr>
                <w:rFonts w:eastAsia="等线"/>
                <w:szCs w:val="21"/>
                <w:highlight w:val="none"/>
              </w:rPr>
              <w:t>5</w:t>
            </w:r>
          </w:p>
        </w:tc>
        <w:tc>
          <w:tcPr>
            <w:tcW w:w="600" w:type="pct"/>
            <w:vAlign w:val="center"/>
          </w:tcPr>
          <w:p>
            <w:pPr>
              <w:jc w:val="center"/>
              <w:rPr>
                <w:highlight w:val="none"/>
              </w:rPr>
            </w:pPr>
            <w:r>
              <w:rPr>
                <w:rFonts w:eastAsia="等线"/>
                <w:szCs w:val="21"/>
                <w:highlight w:val="none"/>
              </w:rPr>
              <w:t>20</w:t>
            </w:r>
          </w:p>
        </w:tc>
        <w:tc>
          <w:tcPr>
            <w:tcW w:w="500" w:type="pct"/>
            <w:vAlign w:val="center"/>
          </w:tcPr>
          <w:p>
            <w:pPr>
              <w:jc w:val="center"/>
              <w:rPr>
                <w:highlight w:val="none"/>
              </w:rPr>
            </w:pPr>
            <w:r>
              <w:rPr>
                <w:rFonts w:eastAsia="等线"/>
                <w:szCs w:val="21"/>
                <w:highlight w:val="none"/>
              </w:rPr>
              <w:t>235</w:t>
            </w:r>
          </w:p>
        </w:tc>
        <w:tc>
          <w:tcPr>
            <w:tcW w:w="500" w:type="pct"/>
            <w:vAlign w:val="center"/>
          </w:tcPr>
          <w:p>
            <w:pPr>
              <w:jc w:val="center"/>
              <w:rPr>
                <w:highlight w:val="none"/>
              </w:rPr>
            </w:pPr>
            <w:r>
              <w:rPr>
                <w:rFonts w:eastAsia="等线"/>
                <w:szCs w:val="21"/>
                <w:highlight w:val="none"/>
              </w:rPr>
              <w:t>80</w:t>
            </w:r>
          </w:p>
        </w:tc>
        <w:tc>
          <w:tcPr>
            <w:tcW w:w="500" w:type="pct"/>
            <w:vAlign w:val="center"/>
          </w:tcPr>
          <w:p>
            <w:pPr>
              <w:jc w:val="center"/>
              <w:rPr>
                <w:highlight w:val="none"/>
              </w:rPr>
            </w:pPr>
            <w:r>
              <w:rPr>
                <w:rFonts w:eastAsia="等线"/>
                <w:szCs w:val="21"/>
                <w:highlight w:val="none"/>
              </w:rPr>
              <w:t>80</w:t>
            </w:r>
          </w:p>
        </w:tc>
        <w:tc>
          <w:tcPr>
            <w:tcW w:w="500" w:type="pct"/>
            <w:vAlign w:val="center"/>
          </w:tcPr>
          <w:p>
            <w:pPr>
              <w:jc w:val="center"/>
              <w:rPr>
                <w:highlight w:val="none"/>
              </w:rPr>
            </w:pPr>
            <w:r>
              <w:rPr>
                <w:rFonts w:eastAsia="等线"/>
                <w:sz w:val="22"/>
                <w:szCs w:val="22"/>
                <w:highlight w:val="none"/>
              </w:rPr>
              <w:t>0</w:t>
            </w:r>
          </w:p>
        </w:tc>
        <w:tc>
          <w:tcPr>
            <w:tcW w:w="500" w:type="pct"/>
            <w:vAlign w:val="center"/>
          </w:tcPr>
          <w:p>
            <w:pPr>
              <w:jc w:val="center"/>
              <w:rPr>
                <w:highlight w:val="none"/>
              </w:rPr>
            </w:pPr>
            <w:r>
              <w:rPr>
                <w:rFonts w:eastAsia="等线"/>
                <w:sz w:val="22"/>
                <w:szCs w:val="22"/>
                <w:highlight w:val="none"/>
              </w:rPr>
              <w:t>80</w:t>
            </w:r>
          </w:p>
        </w:tc>
        <w:tc>
          <w:tcPr>
            <w:tcW w:w="600" w:type="pct"/>
          </w:tcPr>
          <w:p>
            <w:pPr>
              <w:jc w:val="center"/>
              <w:rPr>
                <w:highlight w:val="none"/>
              </w:rPr>
            </w:pPr>
            <w:r>
              <w:rPr>
                <w:highlight w:val="none"/>
              </w:rPr>
              <w:t>0</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PrEx>
        <w:trPr>
          <w:trHeight w:val="270" w:hRule="atLeast"/>
        </w:trPr>
        <w:tc>
          <w:tcPr>
            <w:tcW w:w="801" w:type="pct"/>
            <w:shd w:val="clear" w:color="auto" w:fill="auto"/>
            <w:noWrap/>
            <w:vAlign w:val="center"/>
          </w:tcPr>
          <w:p>
            <w:pPr>
              <w:widowControl/>
              <w:jc w:val="left"/>
              <w:rPr>
                <w:rFonts w:eastAsiaTheme="minorEastAsia"/>
                <w:kern w:val="0"/>
                <w:sz w:val="22"/>
                <w:highlight w:val="none"/>
              </w:rPr>
            </w:pPr>
            <w:r>
              <w:rPr>
                <w:rFonts w:eastAsiaTheme="minorEastAsia"/>
                <w:kern w:val="0"/>
                <w:sz w:val="22"/>
                <w:szCs w:val="22"/>
                <w:highlight w:val="none"/>
              </w:rPr>
              <w:t>煤炭及制品</w:t>
            </w:r>
          </w:p>
        </w:tc>
        <w:tc>
          <w:tcPr>
            <w:tcW w:w="500" w:type="pct"/>
            <w:shd w:val="clear" w:color="auto" w:fill="auto"/>
            <w:noWrap/>
            <w:vAlign w:val="center"/>
          </w:tcPr>
          <w:p>
            <w:pPr>
              <w:jc w:val="center"/>
              <w:rPr>
                <w:sz w:val="22"/>
                <w:highlight w:val="none"/>
              </w:rPr>
            </w:pPr>
            <w:r>
              <w:rPr>
                <w:rFonts w:eastAsia="等线"/>
                <w:szCs w:val="21"/>
                <w:highlight w:val="none"/>
              </w:rPr>
              <w:t>0</w:t>
            </w:r>
          </w:p>
        </w:tc>
        <w:tc>
          <w:tcPr>
            <w:tcW w:w="600" w:type="pct"/>
            <w:vAlign w:val="center"/>
          </w:tcPr>
          <w:p>
            <w:pPr>
              <w:jc w:val="center"/>
              <w:rPr>
                <w:sz w:val="22"/>
                <w:highlight w:val="none"/>
              </w:rPr>
            </w:pPr>
            <w:r>
              <w:rPr>
                <w:rFonts w:eastAsia="等线"/>
                <w:szCs w:val="21"/>
                <w:highlight w:val="none"/>
              </w:rPr>
              <w:t>0</w:t>
            </w:r>
          </w:p>
        </w:tc>
        <w:tc>
          <w:tcPr>
            <w:tcW w:w="500" w:type="pct"/>
            <w:vAlign w:val="center"/>
          </w:tcPr>
          <w:p>
            <w:pPr>
              <w:jc w:val="center"/>
              <w:rPr>
                <w:sz w:val="22"/>
                <w:highlight w:val="none"/>
              </w:rPr>
            </w:pPr>
            <w:r>
              <w:rPr>
                <w:rFonts w:eastAsia="等线"/>
                <w:szCs w:val="21"/>
                <w:highlight w:val="none"/>
              </w:rPr>
              <w:t>10</w:t>
            </w:r>
          </w:p>
        </w:tc>
        <w:tc>
          <w:tcPr>
            <w:tcW w:w="500" w:type="pct"/>
            <w:vAlign w:val="center"/>
          </w:tcPr>
          <w:p>
            <w:pPr>
              <w:jc w:val="center"/>
              <w:rPr>
                <w:sz w:val="22"/>
                <w:highlight w:val="none"/>
              </w:rPr>
            </w:pPr>
            <w:r>
              <w:rPr>
                <w:rFonts w:eastAsia="等线"/>
                <w:szCs w:val="21"/>
                <w:highlight w:val="none"/>
              </w:rPr>
              <w:t>0</w:t>
            </w:r>
          </w:p>
        </w:tc>
        <w:tc>
          <w:tcPr>
            <w:tcW w:w="500" w:type="pct"/>
            <w:vAlign w:val="center"/>
          </w:tcPr>
          <w:p>
            <w:pPr>
              <w:jc w:val="center"/>
              <w:rPr>
                <w:sz w:val="22"/>
                <w:highlight w:val="none"/>
              </w:rPr>
            </w:pPr>
            <w:r>
              <w:rPr>
                <w:rFonts w:eastAsia="等线"/>
                <w:szCs w:val="21"/>
                <w:highlight w:val="none"/>
              </w:rPr>
              <w:t>0</w:t>
            </w:r>
          </w:p>
        </w:tc>
        <w:tc>
          <w:tcPr>
            <w:tcW w:w="500" w:type="pct"/>
            <w:vAlign w:val="center"/>
          </w:tcPr>
          <w:p>
            <w:pPr>
              <w:jc w:val="center"/>
              <w:rPr>
                <w:sz w:val="22"/>
                <w:highlight w:val="none"/>
              </w:rPr>
            </w:pPr>
            <w:r>
              <w:rPr>
                <w:rFonts w:eastAsia="等线"/>
                <w:sz w:val="22"/>
                <w:szCs w:val="22"/>
                <w:highlight w:val="none"/>
              </w:rPr>
              <w:t>0</w:t>
            </w:r>
          </w:p>
        </w:tc>
        <w:tc>
          <w:tcPr>
            <w:tcW w:w="500" w:type="pct"/>
            <w:vAlign w:val="center"/>
          </w:tcPr>
          <w:p>
            <w:pPr>
              <w:jc w:val="center"/>
              <w:rPr>
                <w:sz w:val="22"/>
                <w:highlight w:val="none"/>
              </w:rPr>
            </w:pPr>
            <w:r>
              <w:rPr>
                <w:rFonts w:eastAsia="等线"/>
                <w:sz w:val="22"/>
                <w:szCs w:val="22"/>
                <w:highlight w:val="none"/>
              </w:rPr>
              <w:t>0</w:t>
            </w:r>
          </w:p>
        </w:tc>
        <w:tc>
          <w:tcPr>
            <w:tcW w:w="600" w:type="pct"/>
          </w:tcPr>
          <w:p>
            <w:pPr>
              <w:jc w:val="center"/>
              <w:rPr>
                <w:sz w:val="22"/>
                <w:highlight w:val="none"/>
              </w:rPr>
            </w:pPr>
            <w:r>
              <w:rPr>
                <w:highlight w:val="none"/>
              </w:rPr>
              <w:t>0</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01" w:type="pct"/>
            <w:shd w:val="clear" w:color="auto" w:fill="auto"/>
            <w:noWrap/>
            <w:vAlign w:val="center"/>
          </w:tcPr>
          <w:p>
            <w:pPr>
              <w:widowControl/>
              <w:jc w:val="left"/>
              <w:rPr>
                <w:rFonts w:eastAsiaTheme="minorEastAsia"/>
                <w:kern w:val="0"/>
                <w:sz w:val="22"/>
                <w:highlight w:val="none"/>
              </w:rPr>
            </w:pPr>
            <w:r>
              <w:rPr>
                <w:rFonts w:eastAsiaTheme="minorEastAsia"/>
                <w:kern w:val="0"/>
                <w:sz w:val="22"/>
                <w:szCs w:val="22"/>
                <w:highlight w:val="none"/>
              </w:rPr>
              <w:t>金属矿石</w:t>
            </w:r>
          </w:p>
        </w:tc>
        <w:tc>
          <w:tcPr>
            <w:tcW w:w="500" w:type="pct"/>
            <w:shd w:val="clear" w:color="auto" w:fill="auto"/>
            <w:noWrap/>
            <w:vAlign w:val="center"/>
          </w:tcPr>
          <w:p>
            <w:pPr>
              <w:jc w:val="center"/>
              <w:rPr>
                <w:sz w:val="22"/>
                <w:highlight w:val="none"/>
              </w:rPr>
            </w:pPr>
            <w:r>
              <w:rPr>
                <w:rFonts w:eastAsia="等线"/>
                <w:szCs w:val="21"/>
                <w:highlight w:val="none"/>
              </w:rPr>
              <w:t>0</w:t>
            </w:r>
          </w:p>
        </w:tc>
        <w:tc>
          <w:tcPr>
            <w:tcW w:w="600" w:type="pct"/>
            <w:vAlign w:val="center"/>
          </w:tcPr>
          <w:p>
            <w:pPr>
              <w:jc w:val="center"/>
              <w:rPr>
                <w:sz w:val="22"/>
                <w:highlight w:val="none"/>
              </w:rPr>
            </w:pPr>
            <w:r>
              <w:rPr>
                <w:rFonts w:eastAsia="等线"/>
                <w:szCs w:val="21"/>
                <w:highlight w:val="none"/>
              </w:rPr>
              <w:t>0</w:t>
            </w:r>
          </w:p>
        </w:tc>
        <w:tc>
          <w:tcPr>
            <w:tcW w:w="500" w:type="pct"/>
            <w:vAlign w:val="center"/>
          </w:tcPr>
          <w:p>
            <w:pPr>
              <w:jc w:val="center"/>
              <w:rPr>
                <w:sz w:val="22"/>
                <w:highlight w:val="none"/>
              </w:rPr>
            </w:pPr>
            <w:r>
              <w:rPr>
                <w:rFonts w:eastAsia="等线"/>
                <w:szCs w:val="21"/>
                <w:highlight w:val="none"/>
              </w:rPr>
              <w:t>10</w:t>
            </w:r>
          </w:p>
        </w:tc>
        <w:tc>
          <w:tcPr>
            <w:tcW w:w="500" w:type="pct"/>
            <w:vAlign w:val="center"/>
          </w:tcPr>
          <w:p>
            <w:pPr>
              <w:jc w:val="center"/>
              <w:rPr>
                <w:sz w:val="22"/>
                <w:highlight w:val="none"/>
              </w:rPr>
            </w:pPr>
            <w:r>
              <w:rPr>
                <w:rFonts w:eastAsia="等线"/>
                <w:szCs w:val="21"/>
                <w:highlight w:val="none"/>
              </w:rPr>
              <w:t>0</w:t>
            </w:r>
          </w:p>
        </w:tc>
        <w:tc>
          <w:tcPr>
            <w:tcW w:w="500" w:type="pct"/>
            <w:vAlign w:val="center"/>
          </w:tcPr>
          <w:p>
            <w:pPr>
              <w:jc w:val="center"/>
              <w:rPr>
                <w:sz w:val="22"/>
                <w:highlight w:val="none"/>
              </w:rPr>
            </w:pPr>
            <w:r>
              <w:rPr>
                <w:rFonts w:eastAsia="等线"/>
                <w:szCs w:val="21"/>
                <w:highlight w:val="none"/>
              </w:rPr>
              <w:t>0</w:t>
            </w:r>
          </w:p>
        </w:tc>
        <w:tc>
          <w:tcPr>
            <w:tcW w:w="500" w:type="pct"/>
            <w:vAlign w:val="center"/>
          </w:tcPr>
          <w:p>
            <w:pPr>
              <w:jc w:val="center"/>
              <w:rPr>
                <w:sz w:val="22"/>
                <w:highlight w:val="none"/>
              </w:rPr>
            </w:pPr>
            <w:r>
              <w:rPr>
                <w:rFonts w:eastAsia="等线"/>
                <w:sz w:val="22"/>
                <w:szCs w:val="22"/>
                <w:highlight w:val="none"/>
              </w:rPr>
              <w:t>0</w:t>
            </w:r>
          </w:p>
        </w:tc>
        <w:tc>
          <w:tcPr>
            <w:tcW w:w="500" w:type="pct"/>
            <w:vAlign w:val="center"/>
          </w:tcPr>
          <w:p>
            <w:pPr>
              <w:jc w:val="center"/>
              <w:rPr>
                <w:sz w:val="22"/>
                <w:highlight w:val="none"/>
              </w:rPr>
            </w:pPr>
            <w:r>
              <w:rPr>
                <w:rFonts w:eastAsia="等线"/>
                <w:sz w:val="22"/>
                <w:szCs w:val="22"/>
                <w:highlight w:val="none"/>
              </w:rPr>
              <w:t>0</w:t>
            </w:r>
          </w:p>
        </w:tc>
        <w:tc>
          <w:tcPr>
            <w:tcW w:w="600" w:type="pct"/>
          </w:tcPr>
          <w:p>
            <w:pPr>
              <w:jc w:val="center"/>
              <w:rPr>
                <w:sz w:val="22"/>
                <w:highlight w:val="none"/>
              </w:rPr>
            </w:pPr>
            <w:r>
              <w:rPr>
                <w:highlight w:val="none"/>
              </w:rPr>
              <w:t>0</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01" w:type="pct"/>
            <w:shd w:val="clear" w:color="auto" w:fill="auto"/>
            <w:noWrap/>
            <w:vAlign w:val="center"/>
          </w:tcPr>
          <w:p>
            <w:pPr>
              <w:widowControl/>
              <w:jc w:val="left"/>
              <w:rPr>
                <w:rFonts w:eastAsiaTheme="minorEastAsia"/>
                <w:kern w:val="0"/>
                <w:sz w:val="22"/>
                <w:highlight w:val="none"/>
              </w:rPr>
            </w:pPr>
            <w:r>
              <w:rPr>
                <w:rFonts w:eastAsiaTheme="minorEastAsia"/>
                <w:kern w:val="0"/>
                <w:sz w:val="22"/>
                <w:szCs w:val="22"/>
                <w:highlight w:val="none"/>
              </w:rPr>
              <w:t>钢铁</w:t>
            </w:r>
          </w:p>
        </w:tc>
        <w:tc>
          <w:tcPr>
            <w:tcW w:w="500" w:type="pct"/>
            <w:shd w:val="clear" w:color="auto" w:fill="auto"/>
            <w:noWrap/>
            <w:vAlign w:val="center"/>
          </w:tcPr>
          <w:p>
            <w:pPr>
              <w:jc w:val="center"/>
              <w:rPr>
                <w:sz w:val="22"/>
                <w:highlight w:val="none"/>
              </w:rPr>
            </w:pPr>
            <w:r>
              <w:rPr>
                <w:rFonts w:eastAsia="等线"/>
                <w:szCs w:val="21"/>
                <w:highlight w:val="none"/>
              </w:rPr>
              <w:t>0</w:t>
            </w:r>
          </w:p>
        </w:tc>
        <w:tc>
          <w:tcPr>
            <w:tcW w:w="600" w:type="pct"/>
            <w:vAlign w:val="center"/>
          </w:tcPr>
          <w:p>
            <w:pPr>
              <w:jc w:val="center"/>
              <w:rPr>
                <w:sz w:val="22"/>
                <w:highlight w:val="none"/>
              </w:rPr>
            </w:pPr>
            <w:r>
              <w:rPr>
                <w:rFonts w:eastAsia="等线"/>
                <w:szCs w:val="21"/>
                <w:highlight w:val="none"/>
              </w:rPr>
              <w:t>0</w:t>
            </w:r>
          </w:p>
        </w:tc>
        <w:tc>
          <w:tcPr>
            <w:tcW w:w="500" w:type="pct"/>
            <w:vAlign w:val="center"/>
          </w:tcPr>
          <w:p>
            <w:pPr>
              <w:jc w:val="center"/>
              <w:rPr>
                <w:sz w:val="22"/>
                <w:highlight w:val="none"/>
              </w:rPr>
            </w:pPr>
            <w:r>
              <w:rPr>
                <w:rFonts w:eastAsia="等线"/>
                <w:szCs w:val="21"/>
                <w:highlight w:val="none"/>
              </w:rPr>
              <w:t>10</w:t>
            </w:r>
          </w:p>
        </w:tc>
        <w:tc>
          <w:tcPr>
            <w:tcW w:w="500" w:type="pct"/>
            <w:vAlign w:val="center"/>
          </w:tcPr>
          <w:p>
            <w:pPr>
              <w:jc w:val="center"/>
              <w:rPr>
                <w:sz w:val="22"/>
                <w:highlight w:val="none"/>
              </w:rPr>
            </w:pPr>
            <w:r>
              <w:rPr>
                <w:rFonts w:eastAsia="等线"/>
                <w:szCs w:val="21"/>
                <w:highlight w:val="none"/>
              </w:rPr>
              <w:t>0</w:t>
            </w:r>
          </w:p>
        </w:tc>
        <w:tc>
          <w:tcPr>
            <w:tcW w:w="500" w:type="pct"/>
            <w:vAlign w:val="center"/>
          </w:tcPr>
          <w:p>
            <w:pPr>
              <w:jc w:val="center"/>
              <w:rPr>
                <w:sz w:val="22"/>
                <w:highlight w:val="none"/>
              </w:rPr>
            </w:pPr>
            <w:r>
              <w:rPr>
                <w:rFonts w:eastAsia="等线"/>
                <w:szCs w:val="21"/>
                <w:highlight w:val="none"/>
              </w:rPr>
              <w:t>0</w:t>
            </w:r>
          </w:p>
        </w:tc>
        <w:tc>
          <w:tcPr>
            <w:tcW w:w="500" w:type="pct"/>
            <w:vAlign w:val="center"/>
          </w:tcPr>
          <w:p>
            <w:pPr>
              <w:jc w:val="center"/>
              <w:rPr>
                <w:sz w:val="22"/>
                <w:highlight w:val="none"/>
              </w:rPr>
            </w:pPr>
            <w:r>
              <w:rPr>
                <w:rFonts w:eastAsia="等线"/>
                <w:sz w:val="22"/>
                <w:szCs w:val="22"/>
                <w:highlight w:val="none"/>
              </w:rPr>
              <w:t>0</w:t>
            </w:r>
          </w:p>
        </w:tc>
        <w:tc>
          <w:tcPr>
            <w:tcW w:w="500" w:type="pct"/>
            <w:vAlign w:val="center"/>
          </w:tcPr>
          <w:p>
            <w:pPr>
              <w:jc w:val="center"/>
              <w:rPr>
                <w:sz w:val="22"/>
                <w:highlight w:val="none"/>
              </w:rPr>
            </w:pPr>
            <w:r>
              <w:rPr>
                <w:rFonts w:eastAsia="等线"/>
                <w:sz w:val="22"/>
                <w:szCs w:val="22"/>
                <w:highlight w:val="none"/>
              </w:rPr>
              <w:t>0</w:t>
            </w:r>
          </w:p>
        </w:tc>
        <w:tc>
          <w:tcPr>
            <w:tcW w:w="600" w:type="pct"/>
          </w:tcPr>
          <w:p>
            <w:pPr>
              <w:jc w:val="center"/>
              <w:rPr>
                <w:sz w:val="22"/>
                <w:highlight w:val="none"/>
              </w:rPr>
            </w:pPr>
            <w:r>
              <w:rPr>
                <w:highlight w:val="none"/>
              </w:rPr>
              <w:t>0</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01" w:type="pct"/>
            <w:shd w:val="clear" w:color="auto" w:fill="auto"/>
            <w:noWrap/>
            <w:vAlign w:val="center"/>
          </w:tcPr>
          <w:p>
            <w:pPr>
              <w:widowControl/>
              <w:jc w:val="left"/>
              <w:rPr>
                <w:rFonts w:eastAsiaTheme="minorEastAsia"/>
                <w:kern w:val="0"/>
                <w:sz w:val="22"/>
                <w:highlight w:val="none"/>
              </w:rPr>
            </w:pPr>
            <w:r>
              <w:rPr>
                <w:rFonts w:eastAsiaTheme="minorEastAsia"/>
                <w:kern w:val="0"/>
                <w:sz w:val="22"/>
                <w:szCs w:val="22"/>
                <w:highlight w:val="none"/>
              </w:rPr>
              <w:t>矿建材料</w:t>
            </w:r>
          </w:p>
        </w:tc>
        <w:tc>
          <w:tcPr>
            <w:tcW w:w="500" w:type="pct"/>
            <w:shd w:val="clear" w:color="auto" w:fill="auto"/>
            <w:noWrap/>
            <w:vAlign w:val="center"/>
          </w:tcPr>
          <w:p>
            <w:pPr>
              <w:jc w:val="center"/>
              <w:rPr>
                <w:sz w:val="22"/>
                <w:highlight w:val="none"/>
              </w:rPr>
            </w:pPr>
            <w:r>
              <w:rPr>
                <w:rFonts w:eastAsia="等线"/>
                <w:szCs w:val="21"/>
                <w:highlight w:val="none"/>
              </w:rPr>
              <w:t>0</w:t>
            </w:r>
          </w:p>
        </w:tc>
        <w:tc>
          <w:tcPr>
            <w:tcW w:w="600" w:type="pct"/>
            <w:vAlign w:val="center"/>
          </w:tcPr>
          <w:p>
            <w:pPr>
              <w:jc w:val="center"/>
              <w:rPr>
                <w:sz w:val="22"/>
                <w:highlight w:val="none"/>
              </w:rPr>
            </w:pPr>
            <w:r>
              <w:rPr>
                <w:rFonts w:eastAsia="等线"/>
                <w:szCs w:val="21"/>
                <w:highlight w:val="none"/>
              </w:rPr>
              <w:t>0</w:t>
            </w:r>
          </w:p>
        </w:tc>
        <w:tc>
          <w:tcPr>
            <w:tcW w:w="500" w:type="pct"/>
            <w:vAlign w:val="center"/>
          </w:tcPr>
          <w:p>
            <w:pPr>
              <w:jc w:val="center"/>
              <w:rPr>
                <w:sz w:val="22"/>
                <w:highlight w:val="none"/>
              </w:rPr>
            </w:pPr>
            <w:r>
              <w:rPr>
                <w:rFonts w:eastAsia="等线"/>
                <w:szCs w:val="21"/>
                <w:highlight w:val="none"/>
              </w:rPr>
              <w:t>50</w:t>
            </w:r>
          </w:p>
        </w:tc>
        <w:tc>
          <w:tcPr>
            <w:tcW w:w="500" w:type="pct"/>
            <w:vAlign w:val="center"/>
          </w:tcPr>
          <w:p>
            <w:pPr>
              <w:jc w:val="center"/>
              <w:rPr>
                <w:sz w:val="22"/>
                <w:highlight w:val="none"/>
              </w:rPr>
            </w:pPr>
            <w:r>
              <w:rPr>
                <w:rFonts w:eastAsia="等线"/>
                <w:szCs w:val="21"/>
                <w:highlight w:val="none"/>
              </w:rPr>
              <w:t>40</w:t>
            </w:r>
          </w:p>
        </w:tc>
        <w:tc>
          <w:tcPr>
            <w:tcW w:w="500" w:type="pct"/>
            <w:vAlign w:val="center"/>
          </w:tcPr>
          <w:p>
            <w:pPr>
              <w:jc w:val="center"/>
              <w:rPr>
                <w:sz w:val="22"/>
                <w:highlight w:val="none"/>
              </w:rPr>
            </w:pPr>
            <w:r>
              <w:rPr>
                <w:rFonts w:eastAsia="等线"/>
                <w:szCs w:val="21"/>
                <w:highlight w:val="none"/>
              </w:rPr>
              <w:t>80</w:t>
            </w:r>
          </w:p>
        </w:tc>
        <w:tc>
          <w:tcPr>
            <w:tcW w:w="500" w:type="pct"/>
            <w:vAlign w:val="center"/>
          </w:tcPr>
          <w:p>
            <w:pPr>
              <w:jc w:val="center"/>
              <w:rPr>
                <w:sz w:val="22"/>
                <w:highlight w:val="none"/>
              </w:rPr>
            </w:pPr>
            <w:r>
              <w:rPr>
                <w:rFonts w:eastAsia="等线"/>
                <w:sz w:val="22"/>
                <w:szCs w:val="22"/>
                <w:highlight w:val="none"/>
              </w:rPr>
              <w:t>0</w:t>
            </w:r>
          </w:p>
        </w:tc>
        <w:tc>
          <w:tcPr>
            <w:tcW w:w="500" w:type="pct"/>
            <w:vAlign w:val="center"/>
          </w:tcPr>
          <w:p>
            <w:pPr>
              <w:jc w:val="center"/>
              <w:rPr>
                <w:sz w:val="22"/>
                <w:highlight w:val="none"/>
              </w:rPr>
            </w:pPr>
            <w:r>
              <w:rPr>
                <w:rFonts w:eastAsia="等线"/>
                <w:sz w:val="22"/>
                <w:szCs w:val="22"/>
                <w:highlight w:val="none"/>
              </w:rPr>
              <w:t>80</w:t>
            </w:r>
          </w:p>
        </w:tc>
        <w:tc>
          <w:tcPr>
            <w:tcW w:w="600" w:type="pct"/>
          </w:tcPr>
          <w:p>
            <w:pPr>
              <w:jc w:val="center"/>
              <w:rPr>
                <w:sz w:val="22"/>
                <w:highlight w:val="none"/>
              </w:rPr>
            </w:pPr>
            <w:r>
              <w:rPr>
                <w:highlight w:val="none"/>
              </w:rPr>
              <w:t>0</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01" w:type="pct"/>
            <w:shd w:val="clear" w:color="auto" w:fill="auto"/>
            <w:noWrap/>
            <w:vAlign w:val="center"/>
          </w:tcPr>
          <w:p>
            <w:pPr>
              <w:widowControl/>
              <w:jc w:val="left"/>
              <w:rPr>
                <w:rFonts w:eastAsiaTheme="minorEastAsia"/>
                <w:kern w:val="0"/>
                <w:sz w:val="22"/>
                <w:highlight w:val="none"/>
              </w:rPr>
            </w:pPr>
            <w:r>
              <w:rPr>
                <w:rFonts w:eastAsiaTheme="minorEastAsia"/>
                <w:kern w:val="0"/>
                <w:sz w:val="22"/>
                <w:szCs w:val="22"/>
                <w:highlight w:val="none"/>
              </w:rPr>
              <w:t>水泥</w:t>
            </w:r>
          </w:p>
        </w:tc>
        <w:tc>
          <w:tcPr>
            <w:tcW w:w="500" w:type="pct"/>
            <w:shd w:val="clear" w:color="auto" w:fill="auto"/>
            <w:noWrap/>
            <w:vAlign w:val="center"/>
          </w:tcPr>
          <w:p>
            <w:pPr>
              <w:jc w:val="center"/>
              <w:rPr>
                <w:sz w:val="22"/>
                <w:highlight w:val="none"/>
              </w:rPr>
            </w:pPr>
            <w:r>
              <w:rPr>
                <w:rFonts w:eastAsia="等线"/>
                <w:szCs w:val="21"/>
                <w:highlight w:val="none"/>
              </w:rPr>
              <w:t>0</w:t>
            </w:r>
          </w:p>
        </w:tc>
        <w:tc>
          <w:tcPr>
            <w:tcW w:w="600" w:type="pct"/>
            <w:vAlign w:val="center"/>
          </w:tcPr>
          <w:p>
            <w:pPr>
              <w:jc w:val="center"/>
              <w:rPr>
                <w:sz w:val="22"/>
                <w:highlight w:val="none"/>
              </w:rPr>
            </w:pPr>
            <w:r>
              <w:rPr>
                <w:rFonts w:eastAsia="等线"/>
                <w:szCs w:val="21"/>
                <w:highlight w:val="none"/>
              </w:rPr>
              <w:t>0</w:t>
            </w:r>
          </w:p>
        </w:tc>
        <w:tc>
          <w:tcPr>
            <w:tcW w:w="500" w:type="pct"/>
            <w:vAlign w:val="center"/>
          </w:tcPr>
          <w:p>
            <w:pPr>
              <w:jc w:val="center"/>
              <w:rPr>
                <w:sz w:val="22"/>
                <w:highlight w:val="none"/>
              </w:rPr>
            </w:pPr>
            <w:r>
              <w:rPr>
                <w:rFonts w:eastAsia="等线"/>
                <w:szCs w:val="21"/>
                <w:highlight w:val="none"/>
              </w:rPr>
              <w:t>20</w:t>
            </w:r>
          </w:p>
        </w:tc>
        <w:tc>
          <w:tcPr>
            <w:tcW w:w="500" w:type="pct"/>
            <w:vAlign w:val="center"/>
          </w:tcPr>
          <w:p>
            <w:pPr>
              <w:jc w:val="center"/>
              <w:rPr>
                <w:sz w:val="22"/>
                <w:highlight w:val="none"/>
              </w:rPr>
            </w:pPr>
            <w:r>
              <w:rPr>
                <w:rFonts w:eastAsia="等线"/>
                <w:szCs w:val="21"/>
                <w:highlight w:val="none"/>
              </w:rPr>
              <w:t>0</w:t>
            </w:r>
          </w:p>
        </w:tc>
        <w:tc>
          <w:tcPr>
            <w:tcW w:w="500" w:type="pct"/>
            <w:vAlign w:val="center"/>
          </w:tcPr>
          <w:p>
            <w:pPr>
              <w:jc w:val="center"/>
              <w:rPr>
                <w:sz w:val="22"/>
                <w:highlight w:val="none"/>
              </w:rPr>
            </w:pPr>
            <w:r>
              <w:rPr>
                <w:rFonts w:eastAsia="等线"/>
                <w:szCs w:val="21"/>
                <w:highlight w:val="none"/>
              </w:rPr>
              <w:t>0</w:t>
            </w:r>
          </w:p>
        </w:tc>
        <w:tc>
          <w:tcPr>
            <w:tcW w:w="500" w:type="pct"/>
            <w:vAlign w:val="center"/>
          </w:tcPr>
          <w:p>
            <w:pPr>
              <w:jc w:val="center"/>
              <w:rPr>
                <w:sz w:val="22"/>
                <w:highlight w:val="none"/>
              </w:rPr>
            </w:pPr>
            <w:r>
              <w:rPr>
                <w:rFonts w:eastAsia="等线"/>
                <w:sz w:val="22"/>
                <w:szCs w:val="22"/>
                <w:highlight w:val="none"/>
              </w:rPr>
              <w:t>0</w:t>
            </w:r>
          </w:p>
        </w:tc>
        <w:tc>
          <w:tcPr>
            <w:tcW w:w="500" w:type="pct"/>
            <w:vAlign w:val="center"/>
          </w:tcPr>
          <w:p>
            <w:pPr>
              <w:jc w:val="center"/>
              <w:rPr>
                <w:sz w:val="22"/>
                <w:highlight w:val="none"/>
              </w:rPr>
            </w:pPr>
            <w:r>
              <w:rPr>
                <w:rFonts w:eastAsia="等线"/>
                <w:sz w:val="22"/>
                <w:szCs w:val="22"/>
                <w:highlight w:val="none"/>
              </w:rPr>
              <w:t>0</w:t>
            </w:r>
          </w:p>
        </w:tc>
        <w:tc>
          <w:tcPr>
            <w:tcW w:w="600" w:type="pct"/>
          </w:tcPr>
          <w:p>
            <w:pPr>
              <w:jc w:val="center"/>
              <w:rPr>
                <w:sz w:val="22"/>
                <w:highlight w:val="none"/>
              </w:rPr>
            </w:pPr>
            <w:r>
              <w:rPr>
                <w:highlight w:val="none"/>
              </w:rPr>
              <w:t>0</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PrEx>
        <w:trPr>
          <w:trHeight w:val="270" w:hRule="atLeast"/>
        </w:trPr>
        <w:tc>
          <w:tcPr>
            <w:tcW w:w="801" w:type="pct"/>
            <w:shd w:val="clear" w:color="auto" w:fill="auto"/>
            <w:noWrap/>
            <w:vAlign w:val="center"/>
          </w:tcPr>
          <w:p>
            <w:pPr>
              <w:widowControl/>
              <w:jc w:val="left"/>
              <w:rPr>
                <w:rFonts w:eastAsiaTheme="minorEastAsia"/>
                <w:kern w:val="0"/>
                <w:sz w:val="22"/>
                <w:highlight w:val="none"/>
              </w:rPr>
            </w:pPr>
            <w:r>
              <w:rPr>
                <w:rFonts w:eastAsiaTheme="minorEastAsia"/>
                <w:kern w:val="0"/>
                <w:sz w:val="22"/>
                <w:szCs w:val="22"/>
                <w:highlight w:val="none"/>
              </w:rPr>
              <w:t>非金属矿石</w:t>
            </w:r>
          </w:p>
        </w:tc>
        <w:tc>
          <w:tcPr>
            <w:tcW w:w="500" w:type="pct"/>
            <w:shd w:val="clear" w:color="auto" w:fill="auto"/>
            <w:noWrap/>
            <w:vAlign w:val="center"/>
          </w:tcPr>
          <w:p>
            <w:pPr>
              <w:jc w:val="center"/>
              <w:rPr>
                <w:sz w:val="22"/>
                <w:highlight w:val="none"/>
              </w:rPr>
            </w:pPr>
            <w:r>
              <w:rPr>
                <w:rFonts w:eastAsia="等线"/>
                <w:szCs w:val="21"/>
                <w:highlight w:val="none"/>
              </w:rPr>
              <w:t>0</w:t>
            </w:r>
          </w:p>
        </w:tc>
        <w:tc>
          <w:tcPr>
            <w:tcW w:w="600" w:type="pct"/>
            <w:vAlign w:val="center"/>
          </w:tcPr>
          <w:p>
            <w:pPr>
              <w:jc w:val="center"/>
              <w:rPr>
                <w:sz w:val="22"/>
                <w:highlight w:val="none"/>
              </w:rPr>
            </w:pPr>
            <w:r>
              <w:rPr>
                <w:rFonts w:eastAsia="等线"/>
                <w:szCs w:val="21"/>
                <w:highlight w:val="none"/>
              </w:rPr>
              <w:t>0</w:t>
            </w:r>
          </w:p>
        </w:tc>
        <w:tc>
          <w:tcPr>
            <w:tcW w:w="500" w:type="pct"/>
            <w:vAlign w:val="center"/>
          </w:tcPr>
          <w:p>
            <w:pPr>
              <w:jc w:val="center"/>
              <w:rPr>
                <w:sz w:val="22"/>
                <w:highlight w:val="none"/>
              </w:rPr>
            </w:pPr>
            <w:r>
              <w:rPr>
                <w:rFonts w:eastAsia="等线"/>
                <w:szCs w:val="21"/>
                <w:highlight w:val="none"/>
              </w:rPr>
              <w:t>30</w:t>
            </w:r>
          </w:p>
        </w:tc>
        <w:tc>
          <w:tcPr>
            <w:tcW w:w="500" w:type="pct"/>
            <w:vAlign w:val="center"/>
          </w:tcPr>
          <w:p>
            <w:pPr>
              <w:jc w:val="center"/>
              <w:rPr>
                <w:sz w:val="22"/>
                <w:highlight w:val="none"/>
              </w:rPr>
            </w:pPr>
            <w:r>
              <w:rPr>
                <w:rFonts w:eastAsia="等线"/>
                <w:szCs w:val="21"/>
                <w:highlight w:val="none"/>
              </w:rPr>
              <w:t>20</w:t>
            </w:r>
          </w:p>
        </w:tc>
        <w:tc>
          <w:tcPr>
            <w:tcW w:w="500" w:type="pct"/>
            <w:vAlign w:val="center"/>
          </w:tcPr>
          <w:p>
            <w:pPr>
              <w:jc w:val="center"/>
              <w:rPr>
                <w:sz w:val="22"/>
                <w:highlight w:val="none"/>
              </w:rPr>
            </w:pPr>
            <w:r>
              <w:rPr>
                <w:rFonts w:eastAsia="等线"/>
                <w:szCs w:val="21"/>
                <w:highlight w:val="none"/>
              </w:rPr>
              <w:t>0</w:t>
            </w:r>
          </w:p>
        </w:tc>
        <w:tc>
          <w:tcPr>
            <w:tcW w:w="500" w:type="pct"/>
            <w:vAlign w:val="center"/>
          </w:tcPr>
          <w:p>
            <w:pPr>
              <w:jc w:val="center"/>
              <w:rPr>
                <w:sz w:val="22"/>
                <w:highlight w:val="none"/>
              </w:rPr>
            </w:pPr>
            <w:r>
              <w:rPr>
                <w:rFonts w:eastAsia="等线"/>
                <w:sz w:val="22"/>
                <w:szCs w:val="22"/>
                <w:highlight w:val="none"/>
              </w:rPr>
              <w:t>0</w:t>
            </w:r>
          </w:p>
        </w:tc>
        <w:tc>
          <w:tcPr>
            <w:tcW w:w="500" w:type="pct"/>
            <w:vAlign w:val="center"/>
          </w:tcPr>
          <w:p>
            <w:pPr>
              <w:jc w:val="center"/>
              <w:rPr>
                <w:sz w:val="22"/>
                <w:highlight w:val="none"/>
              </w:rPr>
            </w:pPr>
            <w:r>
              <w:rPr>
                <w:rFonts w:eastAsia="等线"/>
                <w:sz w:val="22"/>
                <w:szCs w:val="22"/>
                <w:highlight w:val="none"/>
              </w:rPr>
              <w:t>0</w:t>
            </w:r>
          </w:p>
        </w:tc>
        <w:tc>
          <w:tcPr>
            <w:tcW w:w="600" w:type="pct"/>
          </w:tcPr>
          <w:p>
            <w:pPr>
              <w:jc w:val="center"/>
              <w:rPr>
                <w:sz w:val="22"/>
                <w:highlight w:val="none"/>
              </w:rPr>
            </w:pPr>
            <w:r>
              <w:rPr>
                <w:highlight w:val="none"/>
              </w:rPr>
              <w:t>0</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01" w:type="pct"/>
            <w:shd w:val="clear" w:color="auto" w:fill="auto"/>
            <w:noWrap/>
            <w:vAlign w:val="center"/>
          </w:tcPr>
          <w:p>
            <w:pPr>
              <w:widowControl/>
              <w:jc w:val="left"/>
              <w:rPr>
                <w:rFonts w:eastAsiaTheme="minorEastAsia"/>
                <w:kern w:val="0"/>
                <w:sz w:val="22"/>
                <w:highlight w:val="none"/>
              </w:rPr>
            </w:pPr>
            <w:r>
              <w:rPr>
                <w:rFonts w:eastAsiaTheme="minorEastAsia"/>
                <w:kern w:val="0"/>
                <w:sz w:val="22"/>
                <w:szCs w:val="22"/>
                <w:highlight w:val="none"/>
              </w:rPr>
              <w:t>盐</w:t>
            </w:r>
          </w:p>
        </w:tc>
        <w:tc>
          <w:tcPr>
            <w:tcW w:w="500" w:type="pct"/>
            <w:shd w:val="clear" w:color="auto" w:fill="auto"/>
            <w:noWrap/>
            <w:vAlign w:val="center"/>
          </w:tcPr>
          <w:p>
            <w:pPr>
              <w:jc w:val="center"/>
              <w:rPr>
                <w:sz w:val="22"/>
                <w:highlight w:val="none"/>
              </w:rPr>
            </w:pPr>
            <w:r>
              <w:rPr>
                <w:rFonts w:eastAsia="等线"/>
                <w:szCs w:val="21"/>
                <w:highlight w:val="none"/>
              </w:rPr>
              <w:t>0</w:t>
            </w:r>
          </w:p>
        </w:tc>
        <w:tc>
          <w:tcPr>
            <w:tcW w:w="600" w:type="pct"/>
            <w:vAlign w:val="center"/>
          </w:tcPr>
          <w:p>
            <w:pPr>
              <w:jc w:val="center"/>
              <w:rPr>
                <w:sz w:val="22"/>
                <w:highlight w:val="none"/>
              </w:rPr>
            </w:pPr>
            <w:r>
              <w:rPr>
                <w:rFonts w:eastAsia="等线"/>
                <w:szCs w:val="21"/>
                <w:highlight w:val="none"/>
              </w:rPr>
              <w:t>5</w:t>
            </w:r>
          </w:p>
        </w:tc>
        <w:tc>
          <w:tcPr>
            <w:tcW w:w="500" w:type="pct"/>
            <w:vAlign w:val="center"/>
          </w:tcPr>
          <w:p>
            <w:pPr>
              <w:jc w:val="center"/>
              <w:rPr>
                <w:sz w:val="22"/>
                <w:highlight w:val="none"/>
              </w:rPr>
            </w:pPr>
            <w:r>
              <w:rPr>
                <w:rFonts w:eastAsia="等线"/>
                <w:szCs w:val="21"/>
                <w:highlight w:val="none"/>
              </w:rPr>
              <w:t>15</w:t>
            </w:r>
          </w:p>
        </w:tc>
        <w:tc>
          <w:tcPr>
            <w:tcW w:w="500" w:type="pct"/>
            <w:vAlign w:val="center"/>
          </w:tcPr>
          <w:p>
            <w:pPr>
              <w:jc w:val="center"/>
              <w:rPr>
                <w:sz w:val="22"/>
                <w:highlight w:val="none"/>
              </w:rPr>
            </w:pPr>
            <w:r>
              <w:rPr>
                <w:rFonts w:eastAsia="等线"/>
                <w:szCs w:val="21"/>
                <w:highlight w:val="none"/>
              </w:rPr>
              <w:t>0</w:t>
            </w:r>
          </w:p>
        </w:tc>
        <w:tc>
          <w:tcPr>
            <w:tcW w:w="500" w:type="pct"/>
            <w:vAlign w:val="center"/>
          </w:tcPr>
          <w:p>
            <w:pPr>
              <w:jc w:val="center"/>
              <w:rPr>
                <w:sz w:val="22"/>
                <w:highlight w:val="none"/>
              </w:rPr>
            </w:pPr>
            <w:r>
              <w:rPr>
                <w:rFonts w:eastAsia="等线"/>
                <w:szCs w:val="21"/>
                <w:highlight w:val="none"/>
              </w:rPr>
              <w:t>0</w:t>
            </w:r>
          </w:p>
        </w:tc>
        <w:tc>
          <w:tcPr>
            <w:tcW w:w="500" w:type="pct"/>
            <w:vAlign w:val="center"/>
          </w:tcPr>
          <w:p>
            <w:pPr>
              <w:jc w:val="center"/>
              <w:rPr>
                <w:sz w:val="22"/>
                <w:highlight w:val="none"/>
              </w:rPr>
            </w:pPr>
            <w:r>
              <w:rPr>
                <w:rFonts w:eastAsia="等线"/>
                <w:sz w:val="22"/>
                <w:szCs w:val="22"/>
                <w:highlight w:val="none"/>
              </w:rPr>
              <w:t>0</w:t>
            </w:r>
          </w:p>
        </w:tc>
        <w:tc>
          <w:tcPr>
            <w:tcW w:w="500" w:type="pct"/>
            <w:vAlign w:val="center"/>
          </w:tcPr>
          <w:p>
            <w:pPr>
              <w:jc w:val="center"/>
              <w:rPr>
                <w:sz w:val="22"/>
                <w:highlight w:val="none"/>
              </w:rPr>
            </w:pPr>
            <w:r>
              <w:rPr>
                <w:rFonts w:eastAsia="等线"/>
                <w:sz w:val="22"/>
                <w:szCs w:val="22"/>
                <w:highlight w:val="none"/>
              </w:rPr>
              <w:t>0</w:t>
            </w:r>
          </w:p>
        </w:tc>
        <w:tc>
          <w:tcPr>
            <w:tcW w:w="600" w:type="pct"/>
          </w:tcPr>
          <w:p>
            <w:pPr>
              <w:jc w:val="center"/>
              <w:rPr>
                <w:sz w:val="22"/>
                <w:highlight w:val="none"/>
              </w:rPr>
            </w:pPr>
            <w:r>
              <w:rPr>
                <w:highlight w:val="none"/>
              </w:rPr>
              <w:t>0</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01" w:type="pct"/>
            <w:shd w:val="clear" w:color="auto" w:fill="auto"/>
            <w:noWrap/>
            <w:vAlign w:val="center"/>
          </w:tcPr>
          <w:p>
            <w:pPr>
              <w:widowControl/>
              <w:jc w:val="left"/>
              <w:rPr>
                <w:rFonts w:eastAsiaTheme="minorEastAsia"/>
                <w:kern w:val="0"/>
                <w:sz w:val="22"/>
                <w:highlight w:val="none"/>
              </w:rPr>
            </w:pPr>
            <w:r>
              <w:rPr>
                <w:rFonts w:eastAsiaTheme="minorEastAsia"/>
                <w:kern w:val="0"/>
                <w:sz w:val="22"/>
                <w:szCs w:val="22"/>
                <w:highlight w:val="none"/>
              </w:rPr>
              <w:t>粮食</w:t>
            </w:r>
          </w:p>
        </w:tc>
        <w:tc>
          <w:tcPr>
            <w:tcW w:w="500" w:type="pct"/>
            <w:shd w:val="clear" w:color="auto" w:fill="auto"/>
            <w:noWrap/>
            <w:vAlign w:val="center"/>
          </w:tcPr>
          <w:p>
            <w:pPr>
              <w:jc w:val="center"/>
              <w:rPr>
                <w:sz w:val="22"/>
                <w:highlight w:val="none"/>
              </w:rPr>
            </w:pPr>
            <w:r>
              <w:rPr>
                <w:rFonts w:eastAsia="等线"/>
                <w:szCs w:val="21"/>
                <w:highlight w:val="none"/>
              </w:rPr>
              <w:t>0</w:t>
            </w:r>
          </w:p>
        </w:tc>
        <w:tc>
          <w:tcPr>
            <w:tcW w:w="600" w:type="pct"/>
            <w:vAlign w:val="center"/>
          </w:tcPr>
          <w:p>
            <w:pPr>
              <w:jc w:val="center"/>
              <w:rPr>
                <w:sz w:val="22"/>
                <w:highlight w:val="none"/>
              </w:rPr>
            </w:pPr>
            <w:r>
              <w:rPr>
                <w:rFonts w:eastAsia="等线"/>
                <w:szCs w:val="21"/>
                <w:highlight w:val="none"/>
              </w:rPr>
              <w:t>0</w:t>
            </w:r>
          </w:p>
        </w:tc>
        <w:tc>
          <w:tcPr>
            <w:tcW w:w="500" w:type="pct"/>
            <w:vAlign w:val="center"/>
          </w:tcPr>
          <w:p>
            <w:pPr>
              <w:jc w:val="center"/>
              <w:rPr>
                <w:sz w:val="22"/>
                <w:highlight w:val="none"/>
              </w:rPr>
            </w:pPr>
            <w:r>
              <w:rPr>
                <w:rFonts w:eastAsia="等线"/>
                <w:szCs w:val="21"/>
                <w:highlight w:val="none"/>
              </w:rPr>
              <w:t>30</w:t>
            </w:r>
          </w:p>
        </w:tc>
        <w:tc>
          <w:tcPr>
            <w:tcW w:w="500" w:type="pct"/>
            <w:vAlign w:val="center"/>
          </w:tcPr>
          <w:p>
            <w:pPr>
              <w:jc w:val="center"/>
              <w:rPr>
                <w:sz w:val="22"/>
                <w:highlight w:val="none"/>
              </w:rPr>
            </w:pPr>
            <w:r>
              <w:rPr>
                <w:rFonts w:eastAsia="等线"/>
                <w:szCs w:val="21"/>
                <w:highlight w:val="none"/>
              </w:rPr>
              <w:t>0</w:t>
            </w:r>
          </w:p>
        </w:tc>
        <w:tc>
          <w:tcPr>
            <w:tcW w:w="500" w:type="pct"/>
            <w:vAlign w:val="center"/>
          </w:tcPr>
          <w:p>
            <w:pPr>
              <w:jc w:val="center"/>
              <w:rPr>
                <w:sz w:val="22"/>
                <w:highlight w:val="none"/>
              </w:rPr>
            </w:pPr>
            <w:r>
              <w:rPr>
                <w:rFonts w:eastAsia="等线"/>
                <w:szCs w:val="21"/>
                <w:highlight w:val="none"/>
              </w:rPr>
              <w:t>0</w:t>
            </w:r>
          </w:p>
        </w:tc>
        <w:tc>
          <w:tcPr>
            <w:tcW w:w="500" w:type="pct"/>
            <w:vAlign w:val="center"/>
          </w:tcPr>
          <w:p>
            <w:pPr>
              <w:jc w:val="center"/>
              <w:rPr>
                <w:sz w:val="22"/>
                <w:highlight w:val="none"/>
              </w:rPr>
            </w:pPr>
            <w:r>
              <w:rPr>
                <w:rFonts w:eastAsia="等线"/>
                <w:sz w:val="22"/>
                <w:szCs w:val="22"/>
                <w:highlight w:val="none"/>
              </w:rPr>
              <w:t>0</w:t>
            </w:r>
          </w:p>
        </w:tc>
        <w:tc>
          <w:tcPr>
            <w:tcW w:w="500" w:type="pct"/>
            <w:vAlign w:val="center"/>
          </w:tcPr>
          <w:p>
            <w:pPr>
              <w:jc w:val="center"/>
              <w:rPr>
                <w:sz w:val="22"/>
                <w:highlight w:val="none"/>
              </w:rPr>
            </w:pPr>
            <w:r>
              <w:rPr>
                <w:rFonts w:eastAsia="等线"/>
                <w:sz w:val="22"/>
                <w:szCs w:val="22"/>
                <w:highlight w:val="none"/>
              </w:rPr>
              <w:t>0</w:t>
            </w:r>
          </w:p>
        </w:tc>
        <w:tc>
          <w:tcPr>
            <w:tcW w:w="600" w:type="pct"/>
          </w:tcPr>
          <w:p>
            <w:pPr>
              <w:jc w:val="center"/>
              <w:rPr>
                <w:sz w:val="22"/>
                <w:highlight w:val="none"/>
              </w:rPr>
            </w:pPr>
            <w:r>
              <w:rPr>
                <w:highlight w:val="none"/>
              </w:rPr>
              <w:t>0</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01" w:type="pct"/>
            <w:shd w:val="clear" w:color="auto" w:fill="auto"/>
            <w:noWrap/>
            <w:vAlign w:val="center"/>
          </w:tcPr>
          <w:p>
            <w:pPr>
              <w:widowControl/>
              <w:jc w:val="left"/>
              <w:rPr>
                <w:rFonts w:eastAsiaTheme="minorEastAsia"/>
                <w:kern w:val="0"/>
                <w:sz w:val="22"/>
                <w:highlight w:val="none"/>
              </w:rPr>
            </w:pPr>
            <w:r>
              <w:rPr>
                <w:rFonts w:eastAsiaTheme="minorEastAsia"/>
                <w:kern w:val="0"/>
                <w:sz w:val="22"/>
                <w:szCs w:val="22"/>
                <w:highlight w:val="none"/>
              </w:rPr>
              <w:t>机械设备及电器</w:t>
            </w:r>
          </w:p>
        </w:tc>
        <w:tc>
          <w:tcPr>
            <w:tcW w:w="500" w:type="pct"/>
            <w:shd w:val="clear" w:color="auto" w:fill="auto"/>
            <w:noWrap/>
            <w:vAlign w:val="center"/>
          </w:tcPr>
          <w:p>
            <w:pPr>
              <w:jc w:val="center"/>
              <w:rPr>
                <w:sz w:val="22"/>
                <w:highlight w:val="none"/>
              </w:rPr>
            </w:pPr>
            <w:r>
              <w:rPr>
                <w:rFonts w:eastAsia="等线"/>
                <w:szCs w:val="21"/>
                <w:highlight w:val="none"/>
              </w:rPr>
              <w:t>5</w:t>
            </w:r>
          </w:p>
        </w:tc>
        <w:tc>
          <w:tcPr>
            <w:tcW w:w="600" w:type="pct"/>
            <w:vAlign w:val="center"/>
          </w:tcPr>
          <w:p>
            <w:pPr>
              <w:jc w:val="center"/>
              <w:rPr>
                <w:highlight w:val="none"/>
              </w:rPr>
            </w:pPr>
            <w:r>
              <w:rPr>
                <w:rFonts w:eastAsia="等线"/>
                <w:szCs w:val="21"/>
                <w:highlight w:val="none"/>
              </w:rPr>
              <w:t>0</w:t>
            </w:r>
          </w:p>
        </w:tc>
        <w:tc>
          <w:tcPr>
            <w:tcW w:w="500" w:type="pct"/>
            <w:vAlign w:val="center"/>
          </w:tcPr>
          <w:p>
            <w:pPr>
              <w:jc w:val="center"/>
              <w:rPr>
                <w:highlight w:val="none"/>
              </w:rPr>
            </w:pPr>
            <w:r>
              <w:rPr>
                <w:rFonts w:eastAsia="等线"/>
                <w:szCs w:val="21"/>
                <w:highlight w:val="none"/>
              </w:rPr>
              <w:t>35</w:t>
            </w:r>
          </w:p>
        </w:tc>
        <w:tc>
          <w:tcPr>
            <w:tcW w:w="500" w:type="pct"/>
            <w:vAlign w:val="center"/>
          </w:tcPr>
          <w:p>
            <w:pPr>
              <w:jc w:val="center"/>
              <w:rPr>
                <w:highlight w:val="none"/>
              </w:rPr>
            </w:pPr>
            <w:r>
              <w:rPr>
                <w:rFonts w:eastAsia="等线"/>
                <w:szCs w:val="21"/>
                <w:highlight w:val="none"/>
              </w:rPr>
              <w:t>0</w:t>
            </w:r>
          </w:p>
        </w:tc>
        <w:tc>
          <w:tcPr>
            <w:tcW w:w="500" w:type="pct"/>
            <w:vAlign w:val="center"/>
          </w:tcPr>
          <w:p>
            <w:pPr>
              <w:jc w:val="center"/>
              <w:rPr>
                <w:highlight w:val="none"/>
              </w:rPr>
            </w:pPr>
            <w:r>
              <w:rPr>
                <w:rFonts w:eastAsia="等线"/>
                <w:szCs w:val="21"/>
                <w:highlight w:val="none"/>
              </w:rPr>
              <w:t>0</w:t>
            </w:r>
          </w:p>
        </w:tc>
        <w:tc>
          <w:tcPr>
            <w:tcW w:w="500" w:type="pct"/>
            <w:vAlign w:val="center"/>
          </w:tcPr>
          <w:p>
            <w:pPr>
              <w:jc w:val="center"/>
              <w:rPr>
                <w:highlight w:val="none"/>
              </w:rPr>
            </w:pPr>
            <w:r>
              <w:rPr>
                <w:rFonts w:eastAsia="等线"/>
                <w:sz w:val="22"/>
                <w:szCs w:val="22"/>
                <w:highlight w:val="none"/>
              </w:rPr>
              <w:t>0</w:t>
            </w:r>
          </w:p>
        </w:tc>
        <w:tc>
          <w:tcPr>
            <w:tcW w:w="500" w:type="pct"/>
            <w:vAlign w:val="center"/>
          </w:tcPr>
          <w:p>
            <w:pPr>
              <w:jc w:val="center"/>
              <w:rPr>
                <w:highlight w:val="none"/>
              </w:rPr>
            </w:pPr>
            <w:r>
              <w:rPr>
                <w:rFonts w:eastAsia="等线"/>
                <w:sz w:val="22"/>
                <w:szCs w:val="22"/>
                <w:highlight w:val="none"/>
              </w:rPr>
              <w:t>0</w:t>
            </w:r>
          </w:p>
        </w:tc>
        <w:tc>
          <w:tcPr>
            <w:tcW w:w="600" w:type="pct"/>
          </w:tcPr>
          <w:p>
            <w:pPr>
              <w:jc w:val="center"/>
              <w:rPr>
                <w:highlight w:val="none"/>
              </w:rPr>
            </w:pPr>
            <w:r>
              <w:rPr>
                <w:highlight w:val="none"/>
              </w:rPr>
              <w:t>0</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01" w:type="pct"/>
            <w:shd w:val="clear" w:color="auto" w:fill="auto"/>
            <w:noWrap/>
            <w:vAlign w:val="center"/>
          </w:tcPr>
          <w:p>
            <w:pPr>
              <w:widowControl/>
              <w:jc w:val="right"/>
              <w:rPr>
                <w:rFonts w:eastAsiaTheme="minorEastAsia"/>
                <w:kern w:val="0"/>
                <w:sz w:val="22"/>
                <w:highlight w:val="none"/>
              </w:rPr>
            </w:pPr>
            <w:r>
              <w:rPr>
                <w:rFonts w:eastAsiaTheme="minorEastAsia"/>
                <w:kern w:val="0"/>
                <w:sz w:val="22"/>
                <w:szCs w:val="22"/>
                <w:highlight w:val="none"/>
              </w:rPr>
              <w:t>其中：重大件</w:t>
            </w:r>
          </w:p>
        </w:tc>
        <w:tc>
          <w:tcPr>
            <w:tcW w:w="500" w:type="pct"/>
            <w:shd w:val="clear" w:color="auto" w:fill="auto"/>
            <w:noWrap/>
            <w:vAlign w:val="center"/>
          </w:tcPr>
          <w:p>
            <w:pPr>
              <w:jc w:val="center"/>
              <w:rPr>
                <w:sz w:val="22"/>
                <w:highlight w:val="none"/>
              </w:rPr>
            </w:pPr>
            <w:r>
              <w:rPr>
                <w:rFonts w:eastAsia="等线"/>
                <w:szCs w:val="21"/>
                <w:highlight w:val="none"/>
              </w:rPr>
              <w:t>5</w:t>
            </w:r>
          </w:p>
        </w:tc>
        <w:tc>
          <w:tcPr>
            <w:tcW w:w="600" w:type="pct"/>
            <w:vAlign w:val="center"/>
          </w:tcPr>
          <w:p>
            <w:pPr>
              <w:jc w:val="center"/>
              <w:rPr>
                <w:highlight w:val="none"/>
              </w:rPr>
            </w:pPr>
            <w:r>
              <w:rPr>
                <w:rFonts w:eastAsia="等线"/>
                <w:szCs w:val="21"/>
                <w:highlight w:val="none"/>
              </w:rPr>
              <w:t>0</w:t>
            </w:r>
          </w:p>
        </w:tc>
        <w:tc>
          <w:tcPr>
            <w:tcW w:w="500" w:type="pct"/>
            <w:vAlign w:val="center"/>
          </w:tcPr>
          <w:p>
            <w:pPr>
              <w:jc w:val="center"/>
              <w:rPr>
                <w:highlight w:val="none"/>
              </w:rPr>
            </w:pPr>
            <w:r>
              <w:rPr>
                <w:rFonts w:eastAsia="等线"/>
                <w:szCs w:val="21"/>
                <w:highlight w:val="none"/>
              </w:rPr>
              <w:t>0</w:t>
            </w:r>
          </w:p>
        </w:tc>
        <w:tc>
          <w:tcPr>
            <w:tcW w:w="500" w:type="pct"/>
            <w:vAlign w:val="center"/>
          </w:tcPr>
          <w:p>
            <w:pPr>
              <w:jc w:val="center"/>
              <w:rPr>
                <w:highlight w:val="none"/>
              </w:rPr>
            </w:pPr>
            <w:r>
              <w:rPr>
                <w:rFonts w:eastAsia="等线"/>
                <w:szCs w:val="21"/>
                <w:highlight w:val="none"/>
              </w:rPr>
              <w:t>0</w:t>
            </w:r>
          </w:p>
        </w:tc>
        <w:tc>
          <w:tcPr>
            <w:tcW w:w="500" w:type="pct"/>
            <w:vAlign w:val="center"/>
          </w:tcPr>
          <w:p>
            <w:pPr>
              <w:jc w:val="center"/>
              <w:rPr>
                <w:highlight w:val="none"/>
              </w:rPr>
            </w:pPr>
            <w:r>
              <w:rPr>
                <w:rFonts w:eastAsia="等线"/>
                <w:szCs w:val="21"/>
                <w:highlight w:val="none"/>
              </w:rPr>
              <w:t>0</w:t>
            </w:r>
          </w:p>
        </w:tc>
        <w:tc>
          <w:tcPr>
            <w:tcW w:w="500" w:type="pct"/>
            <w:vAlign w:val="center"/>
          </w:tcPr>
          <w:p>
            <w:pPr>
              <w:jc w:val="center"/>
              <w:rPr>
                <w:highlight w:val="none"/>
              </w:rPr>
            </w:pPr>
            <w:r>
              <w:rPr>
                <w:rFonts w:eastAsia="等线"/>
                <w:sz w:val="22"/>
                <w:szCs w:val="22"/>
                <w:highlight w:val="none"/>
              </w:rPr>
              <w:t>0</w:t>
            </w:r>
          </w:p>
        </w:tc>
        <w:tc>
          <w:tcPr>
            <w:tcW w:w="500" w:type="pct"/>
            <w:vAlign w:val="center"/>
          </w:tcPr>
          <w:p>
            <w:pPr>
              <w:jc w:val="center"/>
              <w:rPr>
                <w:highlight w:val="none"/>
              </w:rPr>
            </w:pPr>
            <w:r>
              <w:rPr>
                <w:rFonts w:eastAsia="等线"/>
                <w:sz w:val="22"/>
                <w:szCs w:val="22"/>
                <w:highlight w:val="none"/>
              </w:rPr>
              <w:t>0</w:t>
            </w:r>
          </w:p>
        </w:tc>
        <w:tc>
          <w:tcPr>
            <w:tcW w:w="600" w:type="pct"/>
          </w:tcPr>
          <w:p>
            <w:pPr>
              <w:jc w:val="center"/>
              <w:rPr>
                <w:highlight w:val="none"/>
              </w:rPr>
            </w:pPr>
            <w:r>
              <w:rPr>
                <w:highlight w:val="none"/>
              </w:rPr>
              <w:t>0</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01" w:type="pct"/>
            <w:shd w:val="clear" w:color="auto" w:fill="auto"/>
            <w:noWrap/>
            <w:vAlign w:val="center"/>
          </w:tcPr>
          <w:p>
            <w:pPr>
              <w:widowControl/>
              <w:jc w:val="left"/>
              <w:rPr>
                <w:rFonts w:eastAsiaTheme="minorEastAsia"/>
                <w:kern w:val="0"/>
                <w:sz w:val="22"/>
                <w:highlight w:val="none"/>
              </w:rPr>
            </w:pPr>
            <w:r>
              <w:rPr>
                <w:rFonts w:eastAsiaTheme="minorEastAsia"/>
                <w:kern w:val="0"/>
                <w:sz w:val="22"/>
                <w:szCs w:val="22"/>
                <w:highlight w:val="none"/>
              </w:rPr>
              <w:t>化工原料及制品</w:t>
            </w:r>
          </w:p>
        </w:tc>
        <w:tc>
          <w:tcPr>
            <w:tcW w:w="500" w:type="pct"/>
            <w:shd w:val="clear" w:color="auto" w:fill="auto"/>
            <w:noWrap/>
            <w:vAlign w:val="center"/>
          </w:tcPr>
          <w:p>
            <w:pPr>
              <w:jc w:val="center"/>
              <w:rPr>
                <w:sz w:val="22"/>
                <w:highlight w:val="none"/>
              </w:rPr>
            </w:pPr>
            <w:r>
              <w:rPr>
                <w:rFonts w:eastAsia="等线"/>
                <w:szCs w:val="21"/>
                <w:highlight w:val="none"/>
              </w:rPr>
              <w:t>0</w:t>
            </w:r>
          </w:p>
        </w:tc>
        <w:tc>
          <w:tcPr>
            <w:tcW w:w="600" w:type="pct"/>
            <w:vAlign w:val="center"/>
          </w:tcPr>
          <w:p>
            <w:pPr>
              <w:jc w:val="center"/>
              <w:rPr>
                <w:sz w:val="22"/>
                <w:highlight w:val="none"/>
              </w:rPr>
            </w:pPr>
            <w:r>
              <w:rPr>
                <w:rFonts w:eastAsia="等线"/>
                <w:szCs w:val="21"/>
                <w:highlight w:val="none"/>
              </w:rPr>
              <w:t>15</w:t>
            </w:r>
          </w:p>
        </w:tc>
        <w:tc>
          <w:tcPr>
            <w:tcW w:w="500" w:type="pct"/>
            <w:vAlign w:val="center"/>
          </w:tcPr>
          <w:p>
            <w:pPr>
              <w:jc w:val="center"/>
              <w:rPr>
                <w:sz w:val="22"/>
                <w:highlight w:val="none"/>
              </w:rPr>
            </w:pPr>
            <w:r>
              <w:rPr>
                <w:rFonts w:eastAsia="等线"/>
                <w:szCs w:val="21"/>
                <w:highlight w:val="none"/>
              </w:rPr>
              <w:t>15</w:t>
            </w:r>
          </w:p>
        </w:tc>
        <w:tc>
          <w:tcPr>
            <w:tcW w:w="500" w:type="pct"/>
            <w:vAlign w:val="center"/>
          </w:tcPr>
          <w:p>
            <w:pPr>
              <w:jc w:val="center"/>
              <w:rPr>
                <w:sz w:val="22"/>
                <w:highlight w:val="none"/>
              </w:rPr>
            </w:pPr>
            <w:r>
              <w:rPr>
                <w:rFonts w:eastAsia="等线"/>
                <w:szCs w:val="21"/>
                <w:highlight w:val="none"/>
              </w:rPr>
              <w:t>10</w:t>
            </w:r>
          </w:p>
        </w:tc>
        <w:tc>
          <w:tcPr>
            <w:tcW w:w="500" w:type="pct"/>
            <w:vAlign w:val="center"/>
          </w:tcPr>
          <w:p>
            <w:pPr>
              <w:jc w:val="center"/>
              <w:rPr>
                <w:sz w:val="22"/>
                <w:highlight w:val="none"/>
              </w:rPr>
            </w:pPr>
            <w:r>
              <w:rPr>
                <w:rFonts w:eastAsia="等线"/>
                <w:szCs w:val="21"/>
                <w:highlight w:val="none"/>
              </w:rPr>
              <w:t>0</w:t>
            </w:r>
          </w:p>
        </w:tc>
        <w:tc>
          <w:tcPr>
            <w:tcW w:w="500" w:type="pct"/>
            <w:vAlign w:val="center"/>
          </w:tcPr>
          <w:p>
            <w:pPr>
              <w:jc w:val="center"/>
              <w:rPr>
                <w:sz w:val="22"/>
                <w:highlight w:val="none"/>
              </w:rPr>
            </w:pPr>
            <w:r>
              <w:rPr>
                <w:rFonts w:eastAsia="等线"/>
                <w:sz w:val="22"/>
                <w:szCs w:val="22"/>
                <w:highlight w:val="none"/>
              </w:rPr>
              <w:t>0</w:t>
            </w:r>
          </w:p>
        </w:tc>
        <w:tc>
          <w:tcPr>
            <w:tcW w:w="500" w:type="pct"/>
            <w:vAlign w:val="center"/>
          </w:tcPr>
          <w:p>
            <w:pPr>
              <w:jc w:val="center"/>
              <w:rPr>
                <w:sz w:val="22"/>
                <w:highlight w:val="none"/>
              </w:rPr>
            </w:pPr>
            <w:r>
              <w:rPr>
                <w:rFonts w:eastAsia="等线"/>
                <w:sz w:val="22"/>
                <w:szCs w:val="22"/>
                <w:highlight w:val="none"/>
              </w:rPr>
              <w:t>0</w:t>
            </w:r>
          </w:p>
        </w:tc>
        <w:tc>
          <w:tcPr>
            <w:tcW w:w="600" w:type="pct"/>
          </w:tcPr>
          <w:p>
            <w:pPr>
              <w:jc w:val="center"/>
              <w:rPr>
                <w:sz w:val="22"/>
                <w:highlight w:val="none"/>
              </w:rPr>
            </w:pPr>
            <w:r>
              <w:rPr>
                <w:highlight w:val="none"/>
              </w:rPr>
              <w:t>0</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01" w:type="pct"/>
            <w:shd w:val="clear" w:color="auto" w:fill="auto"/>
            <w:noWrap/>
            <w:vAlign w:val="center"/>
          </w:tcPr>
          <w:p>
            <w:pPr>
              <w:widowControl/>
              <w:jc w:val="left"/>
              <w:rPr>
                <w:rFonts w:eastAsiaTheme="minorEastAsia"/>
                <w:kern w:val="0"/>
                <w:sz w:val="22"/>
                <w:highlight w:val="none"/>
              </w:rPr>
            </w:pPr>
            <w:r>
              <w:rPr>
                <w:rFonts w:eastAsiaTheme="minorEastAsia"/>
                <w:kern w:val="0"/>
                <w:sz w:val="22"/>
                <w:szCs w:val="22"/>
                <w:highlight w:val="none"/>
              </w:rPr>
              <w:t>其他</w:t>
            </w:r>
          </w:p>
        </w:tc>
        <w:tc>
          <w:tcPr>
            <w:tcW w:w="500" w:type="pct"/>
            <w:shd w:val="clear" w:color="auto" w:fill="auto"/>
            <w:noWrap/>
            <w:vAlign w:val="center"/>
          </w:tcPr>
          <w:p>
            <w:pPr>
              <w:jc w:val="center"/>
              <w:rPr>
                <w:sz w:val="22"/>
                <w:highlight w:val="none"/>
              </w:rPr>
            </w:pPr>
            <w:r>
              <w:rPr>
                <w:rFonts w:eastAsia="等线"/>
                <w:szCs w:val="21"/>
                <w:highlight w:val="none"/>
              </w:rPr>
              <w:t>0</w:t>
            </w:r>
          </w:p>
        </w:tc>
        <w:tc>
          <w:tcPr>
            <w:tcW w:w="600" w:type="pct"/>
            <w:vAlign w:val="center"/>
          </w:tcPr>
          <w:p>
            <w:pPr>
              <w:jc w:val="center"/>
              <w:rPr>
                <w:sz w:val="22"/>
                <w:highlight w:val="none"/>
              </w:rPr>
            </w:pPr>
            <w:r>
              <w:rPr>
                <w:rFonts w:eastAsia="等线"/>
                <w:szCs w:val="21"/>
                <w:highlight w:val="none"/>
              </w:rPr>
              <w:t>0</w:t>
            </w:r>
          </w:p>
        </w:tc>
        <w:tc>
          <w:tcPr>
            <w:tcW w:w="500" w:type="pct"/>
            <w:vAlign w:val="center"/>
          </w:tcPr>
          <w:p>
            <w:pPr>
              <w:jc w:val="center"/>
              <w:rPr>
                <w:sz w:val="22"/>
                <w:highlight w:val="none"/>
              </w:rPr>
            </w:pPr>
            <w:r>
              <w:rPr>
                <w:rFonts w:eastAsia="等线"/>
                <w:szCs w:val="21"/>
                <w:highlight w:val="none"/>
              </w:rPr>
              <w:t>10</w:t>
            </w:r>
          </w:p>
        </w:tc>
        <w:tc>
          <w:tcPr>
            <w:tcW w:w="500" w:type="pct"/>
            <w:vAlign w:val="center"/>
          </w:tcPr>
          <w:p>
            <w:pPr>
              <w:jc w:val="center"/>
              <w:rPr>
                <w:sz w:val="22"/>
                <w:highlight w:val="none"/>
              </w:rPr>
            </w:pPr>
            <w:r>
              <w:rPr>
                <w:rFonts w:eastAsia="等线"/>
                <w:szCs w:val="21"/>
                <w:highlight w:val="none"/>
              </w:rPr>
              <w:t>10</w:t>
            </w:r>
          </w:p>
        </w:tc>
        <w:tc>
          <w:tcPr>
            <w:tcW w:w="500" w:type="pct"/>
            <w:vAlign w:val="center"/>
          </w:tcPr>
          <w:p>
            <w:pPr>
              <w:jc w:val="center"/>
              <w:rPr>
                <w:sz w:val="22"/>
                <w:highlight w:val="none"/>
              </w:rPr>
            </w:pPr>
            <w:r>
              <w:rPr>
                <w:rFonts w:eastAsia="等线"/>
                <w:szCs w:val="21"/>
                <w:highlight w:val="none"/>
              </w:rPr>
              <w:t>0</w:t>
            </w:r>
          </w:p>
        </w:tc>
        <w:tc>
          <w:tcPr>
            <w:tcW w:w="500" w:type="pct"/>
            <w:vAlign w:val="center"/>
          </w:tcPr>
          <w:p>
            <w:pPr>
              <w:jc w:val="center"/>
              <w:rPr>
                <w:sz w:val="22"/>
                <w:highlight w:val="none"/>
              </w:rPr>
            </w:pPr>
            <w:r>
              <w:rPr>
                <w:rFonts w:eastAsia="等线"/>
                <w:sz w:val="22"/>
                <w:szCs w:val="22"/>
                <w:highlight w:val="none"/>
              </w:rPr>
              <w:t>0</w:t>
            </w:r>
          </w:p>
        </w:tc>
        <w:tc>
          <w:tcPr>
            <w:tcW w:w="500" w:type="pct"/>
            <w:vAlign w:val="center"/>
          </w:tcPr>
          <w:p>
            <w:pPr>
              <w:jc w:val="center"/>
              <w:rPr>
                <w:sz w:val="22"/>
                <w:highlight w:val="none"/>
              </w:rPr>
            </w:pPr>
            <w:r>
              <w:rPr>
                <w:rFonts w:eastAsia="等线"/>
                <w:sz w:val="22"/>
                <w:szCs w:val="22"/>
                <w:highlight w:val="none"/>
              </w:rPr>
              <w:t>0</w:t>
            </w:r>
          </w:p>
        </w:tc>
        <w:tc>
          <w:tcPr>
            <w:tcW w:w="600" w:type="pct"/>
          </w:tcPr>
          <w:p>
            <w:pPr>
              <w:jc w:val="center"/>
              <w:rPr>
                <w:sz w:val="22"/>
                <w:highlight w:val="none"/>
              </w:rPr>
            </w:pPr>
            <w:r>
              <w:rPr>
                <w:highlight w:val="none"/>
              </w:rPr>
              <w:t>0</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01" w:type="pct"/>
            <w:shd w:val="clear" w:color="auto" w:fill="auto"/>
            <w:noWrap/>
            <w:vAlign w:val="center"/>
          </w:tcPr>
          <w:p>
            <w:pPr>
              <w:widowControl/>
              <w:jc w:val="right"/>
              <w:rPr>
                <w:rFonts w:eastAsiaTheme="minorEastAsia"/>
                <w:kern w:val="0"/>
                <w:sz w:val="22"/>
                <w:highlight w:val="none"/>
              </w:rPr>
            </w:pPr>
            <w:r>
              <w:rPr>
                <w:rFonts w:eastAsiaTheme="minorEastAsia"/>
                <w:kern w:val="0"/>
                <w:sz w:val="22"/>
                <w:szCs w:val="22"/>
                <w:highlight w:val="none"/>
              </w:rPr>
              <w:t>其中：集装箱</w:t>
            </w:r>
          </w:p>
        </w:tc>
        <w:tc>
          <w:tcPr>
            <w:tcW w:w="500" w:type="pct"/>
            <w:shd w:val="clear" w:color="auto" w:fill="auto"/>
            <w:noWrap/>
            <w:vAlign w:val="center"/>
          </w:tcPr>
          <w:p>
            <w:pPr>
              <w:jc w:val="center"/>
              <w:rPr>
                <w:sz w:val="22"/>
                <w:highlight w:val="none"/>
              </w:rPr>
            </w:pPr>
            <w:r>
              <w:rPr>
                <w:rFonts w:eastAsia="等线"/>
                <w:szCs w:val="21"/>
                <w:highlight w:val="none"/>
              </w:rPr>
              <w:t>0</w:t>
            </w:r>
          </w:p>
        </w:tc>
        <w:tc>
          <w:tcPr>
            <w:tcW w:w="600" w:type="pct"/>
            <w:vAlign w:val="center"/>
          </w:tcPr>
          <w:p>
            <w:pPr>
              <w:jc w:val="center"/>
              <w:rPr>
                <w:sz w:val="22"/>
                <w:highlight w:val="none"/>
              </w:rPr>
            </w:pPr>
            <w:r>
              <w:rPr>
                <w:rFonts w:eastAsia="等线"/>
                <w:szCs w:val="21"/>
                <w:highlight w:val="none"/>
              </w:rPr>
              <w:t>0</w:t>
            </w:r>
          </w:p>
        </w:tc>
        <w:tc>
          <w:tcPr>
            <w:tcW w:w="500" w:type="pct"/>
            <w:vAlign w:val="center"/>
          </w:tcPr>
          <w:p>
            <w:pPr>
              <w:jc w:val="center"/>
              <w:rPr>
                <w:sz w:val="22"/>
                <w:highlight w:val="none"/>
              </w:rPr>
            </w:pPr>
            <w:r>
              <w:rPr>
                <w:rFonts w:eastAsia="等线"/>
                <w:szCs w:val="21"/>
                <w:highlight w:val="none"/>
              </w:rPr>
              <w:t>0</w:t>
            </w:r>
          </w:p>
        </w:tc>
        <w:tc>
          <w:tcPr>
            <w:tcW w:w="500" w:type="pct"/>
            <w:vAlign w:val="center"/>
          </w:tcPr>
          <w:p>
            <w:pPr>
              <w:jc w:val="center"/>
              <w:rPr>
                <w:sz w:val="22"/>
                <w:highlight w:val="none"/>
              </w:rPr>
            </w:pPr>
            <w:r>
              <w:rPr>
                <w:rFonts w:eastAsia="等线"/>
                <w:szCs w:val="21"/>
                <w:highlight w:val="none"/>
              </w:rPr>
              <w:t>0</w:t>
            </w:r>
          </w:p>
        </w:tc>
        <w:tc>
          <w:tcPr>
            <w:tcW w:w="500" w:type="pct"/>
            <w:vAlign w:val="center"/>
          </w:tcPr>
          <w:p>
            <w:pPr>
              <w:jc w:val="center"/>
              <w:rPr>
                <w:sz w:val="22"/>
                <w:highlight w:val="none"/>
              </w:rPr>
            </w:pPr>
            <w:r>
              <w:rPr>
                <w:rFonts w:eastAsia="等线"/>
                <w:szCs w:val="21"/>
                <w:highlight w:val="none"/>
              </w:rPr>
              <w:t>0</w:t>
            </w:r>
          </w:p>
        </w:tc>
        <w:tc>
          <w:tcPr>
            <w:tcW w:w="500" w:type="pct"/>
            <w:vAlign w:val="center"/>
          </w:tcPr>
          <w:p>
            <w:pPr>
              <w:jc w:val="center"/>
              <w:rPr>
                <w:sz w:val="22"/>
                <w:highlight w:val="none"/>
              </w:rPr>
            </w:pPr>
            <w:r>
              <w:rPr>
                <w:rFonts w:eastAsia="等线"/>
                <w:sz w:val="22"/>
                <w:szCs w:val="22"/>
                <w:highlight w:val="none"/>
              </w:rPr>
              <w:t>0</w:t>
            </w:r>
          </w:p>
        </w:tc>
        <w:tc>
          <w:tcPr>
            <w:tcW w:w="500" w:type="pct"/>
            <w:vAlign w:val="center"/>
          </w:tcPr>
          <w:p>
            <w:pPr>
              <w:jc w:val="center"/>
              <w:rPr>
                <w:sz w:val="22"/>
                <w:highlight w:val="none"/>
              </w:rPr>
            </w:pPr>
            <w:r>
              <w:rPr>
                <w:rFonts w:eastAsia="等线"/>
                <w:sz w:val="22"/>
                <w:szCs w:val="22"/>
                <w:highlight w:val="none"/>
              </w:rPr>
              <w:t>0</w:t>
            </w:r>
          </w:p>
        </w:tc>
        <w:tc>
          <w:tcPr>
            <w:tcW w:w="600" w:type="pct"/>
          </w:tcPr>
          <w:p>
            <w:pPr>
              <w:jc w:val="center"/>
              <w:rPr>
                <w:sz w:val="22"/>
                <w:highlight w:val="none"/>
              </w:rPr>
            </w:pPr>
            <w:r>
              <w:rPr>
                <w:highlight w:val="none"/>
              </w:rPr>
              <w:t>0</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01" w:type="pct"/>
            <w:shd w:val="clear" w:color="auto" w:fill="auto"/>
            <w:noWrap/>
            <w:vAlign w:val="center"/>
          </w:tcPr>
          <w:p>
            <w:pPr>
              <w:widowControl/>
              <w:jc w:val="left"/>
              <w:rPr>
                <w:rFonts w:eastAsiaTheme="minorEastAsia"/>
                <w:kern w:val="0"/>
                <w:sz w:val="22"/>
                <w:highlight w:val="none"/>
              </w:rPr>
            </w:pPr>
            <w:r>
              <w:rPr>
                <w:rFonts w:eastAsiaTheme="minorEastAsia"/>
                <w:kern w:val="0"/>
                <w:sz w:val="22"/>
                <w:szCs w:val="22"/>
                <w:highlight w:val="none"/>
              </w:rPr>
              <w:t>旅客吞吐量</w:t>
            </w:r>
          </w:p>
        </w:tc>
        <w:tc>
          <w:tcPr>
            <w:tcW w:w="500" w:type="pct"/>
            <w:shd w:val="clear" w:color="auto" w:fill="auto"/>
            <w:noWrap/>
            <w:vAlign w:val="center"/>
          </w:tcPr>
          <w:p>
            <w:pPr>
              <w:jc w:val="center"/>
              <w:rPr>
                <w:sz w:val="22"/>
                <w:highlight w:val="none"/>
              </w:rPr>
            </w:pPr>
            <w:r>
              <w:rPr>
                <w:rFonts w:eastAsia="等线"/>
                <w:szCs w:val="21"/>
                <w:highlight w:val="none"/>
              </w:rPr>
              <w:t>300</w:t>
            </w:r>
          </w:p>
        </w:tc>
        <w:tc>
          <w:tcPr>
            <w:tcW w:w="600" w:type="pct"/>
            <w:vAlign w:val="center"/>
          </w:tcPr>
          <w:p>
            <w:pPr>
              <w:jc w:val="center"/>
              <w:rPr>
                <w:highlight w:val="none"/>
              </w:rPr>
            </w:pPr>
            <w:r>
              <w:rPr>
                <w:rFonts w:eastAsia="等线"/>
                <w:szCs w:val="21"/>
                <w:highlight w:val="none"/>
              </w:rPr>
              <w:t>0</w:t>
            </w:r>
          </w:p>
        </w:tc>
        <w:tc>
          <w:tcPr>
            <w:tcW w:w="500" w:type="pct"/>
            <w:vAlign w:val="center"/>
          </w:tcPr>
          <w:p>
            <w:pPr>
              <w:jc w:val="center"/>
              <w:rPr>
                <w:highlight w:val="none"/>
              </w:rPr>
            </w:pPr>
            <w:r>
              <w:rPr>
                <w:rFonts w:eastAsia="等线"/>
                <w:szCs w:val="21"/>
                <w:highlight w:val="none"/>
              </w:rPr>
              <w:t>0</w:t>
            </w:r>
          </w:p>
        </w:tc>
        <w:tc>
          <w:tcPr>
            <w:tcW w:w="500" w:type="pct"/>
            <w:vAlign w:val="center"/>
          </w:tcPr>
          <w:p>
            <w:pPr>
              <w:jc w:val="center"/>
              <w:rPr>
                <w:highlight w:val="none"/>
              </w:rPr>
            </w:pPr>
            <w:r>
              <w:rPr>
                <w:rFonts w:eastAsia="等线"/>
                <w:szCs w:val="21"/>
                <w:highlight w:val="none"/>
              </w:rPr>
              <w:t>20</w:t>
            </w:r>
          </w:p>
        </w:tc>
        <w:tc>
          <w:tcPr>
            <w:tcW w:w="500" w:type="pct"/>
            <w:vAlign w:val="center"/>
          </w:tcPr>
          <w:p>
            <w:pPr>
              <w:jc w:val="center"/>
              <w:rPr>
                <w:highlight w:val="none"/>
              </w:rPr>
            </w:pPr>
            <w:r>
              <w:rPr>
                <w:rFonts w:eastAsia="等线"/>
                <w:szCs w:val="21"/>
                <w:highlight w:val="none"/>
              </w:rPr>
              <w:t>10</w:t>
            </w:r>
          </w:p>
        </w:tc>
        <w:tc>
          <w:tcPr>
            <w:tcW w:w="500" w:type="pct"/>
            <w:vAlign w:val="center"/>
          </w:tcPr>
          <w:p>
            <w:pPr>
              <w:jc w:val="center"/>
              <w:rPr>
                <w:highlight w:val="none"/>
              </w:rPr>
            </w:pPr>
            <w:r>
              <w:rPr>
                <w:rFonts w:eastAsia="等线"/>
                <w:sz w:val="22"/>
                <w:szCs w:val="22"/>
                <w:highlight w:val="none"/>
              </w:rPr>
              <w:t>20</w:t>
            </w:r>
          </w:p>
        </w:tc>
        <w:tc>
          <w:tcPr>
            <w:tcW w:w="500" w:type="pct"/>
            <w:vAlign w:val="center"/>
          </w:tcPr>
          <w:p>
            <w:pPr>
              <w:jc w:val="center"/>
              <w:rPr>
                <w:highlight w:val="none"/>
              </w:rPr>
            </w:pPr>
            <w:r>
              <w:rPr>
                <w:rFonts w:eastAsia="等线"/>
                <w:sz w:val="22"/>
                <w:szCs w:val="22"/>
                <w:highlight w:val="none"/>
              </w:rPr>
              <w:t>0</w:t>
            </w:r>
          </w:p>
        </w:tc>
        <w:tc>
          <w:tcPr>
            <w:tcW w:w="600" w:type="pct"/>
          </w:tcPr>
          <w:p>
            <w:pPr>
              <w:jc w:val="center"/>
              <w:rPr>
                <w:highlight w:val="none"/>
              </w:rPr>
            </w:pPr>
            <w:r>
              <w:rPr>
                <w:highlight w:val="none"/>
              </w:rPr>
              <w:t>50</w:t>
            </w:r>
          </w:p>
        </w:tc>
      </w:tr>
    </w:tbl>
    <w:p>
      <w:pPr>
        <w:pStyle w:val="2"/>
        <w:rPr>
          <w:rFonts w:ascii="Times New Roman" w:cs="Times New Roman"/>
          <w:color w:val="auto"/>
          <w:highlight w:val="none"/>
        </w:rPr>
      </w:pPr>
    </w:p>
    <w:p>
      <w:pPr>
        <w:pStyle w:val="2"/>
        <w:rPr>
          <w:rFonts w:ascii="Times New Roman" w:cs="Times New Roman"/>
          <w:color w:val="auto"/>
          <w:highlight w:val="none"/>
        </w:rPr>
      </w:pPr>
    </w:p>
    <w:p>
      <w:pPr>
        <w:pStyle w:val="2"/>
        <w:rPr>
          <w:rFonts w:ascii="Times New Roman" w:cs="Times New Roman"/>
          <w:color w:val="auto"/>
          <w:highlight w:val="none"/>
        </w:rPr>
      </w:pPr>
    </w:p>
    <w:p>
      <w:pPr>
        <w:pStyle w:val="2"/>
        <w:rPr>
          <w:rFonts w:ascii="Times New Roman" w:cs="Times New Roman"/>
          <w:color w:val="auto"/>
          <w:highlight w:val="none"/>
        </w:rPr>
      </w:pPr>
    </w:p>
    <w:p>
      <w:pPr>
        <w:pStyle w:val="2"/>
        <w:rPr>
          <w:rFonts w:ascii="Times New Roman" w:cs="Times New Roman"/>
          <w:color w:val="auto"/>
          <w:highlight w:val="none"/>
        </w:rPr>
      </w:pPr>
    </w:p>
    <w:p>
      <w:pPr>
        <w:pStyle w:val="2"/>
        <w:rPr>
          <w:rFonts w:ascii="Times New Roman" w:cs="Times New Roman"/>
          <w:color w:val="auto"/>
          <w:highlight w:val="none"/>
        </w:rPr>
      </w:pPr>
    </w:p>
    <w:p>
      <w:pPr>
        <w:pStyle w:val="2"/>
        <w:rPr>
          <w:rFonts w:ascii="Times New Roman" w:cs="Times New Roman"/>
          <w:color w:val="auto"/>
          <w:highlight w:val="none"/>
        </w:rPr>
      </w:pPr>
    </w:p>
    <w:p>
      <w:pPr>
        <w:pStyle w:val="2"/>
        <w:rPr>
          <w:rFonts w:ascii="Times New Roman" w:cs="Times New Roman"/>
          <w:color w:val="auto"/>
          <w:highlight w:val="none"/>
        </w:rPr>
      </w:pPr>
    </w:p>
    <w:p>
      <w:pPr>
        <w:pStyle w:val="2"/>
        <w:rPr>
          <w:rFonts w:ascii="Times New Roman" w:cs="Times New Roman"/>
          <w:color w:val="auto"/>
          <w:highlight w:val="none"/>
        </w:rPr>
      </w:pPr>
    </w:p>
    <w:p>
      <w:pPr>
        <w:pStyle w:val="2"/>
        <w:rPr>
          <w:rFonts w:ascii="Times New Roman" w:cs="Times New Roman"/>
          <w:color w:val="auto"/>
          <w:highlight w:val="none"/>
        </w:rPr>
      </w:pPr>
    </w:p>
    <w:p>
      <w:pPr>
        <w:pStyle w:val="2"/>
        <w:wordWrap w:val="0"/>
        <w:snapToGrid w:val="0"/>
        <w:jc w:val="right"/>
        <w:rPr>
          <w:rFonts w:ascii="Times New Roman" w:eastAsia="黑体" w:cs="Times New Roman"/>
          <w:color w:val="auto"/>
          <w:sz w:val="28"/>
          <w:szCs w:val="28"/>
          <w:highlight w:val="none"/>
        </w:rPr>
      </w:pPr>
      <w:r>
        <w:rPr>
          <w:rFonts w:ascii="Times New Roman" w:eastAsia="黑体" w:cs="Times New Roman"/>
          <w:color w:val="auto"/>
          <w:sz w:val="28"/>
          <w:szCs w:val="28"/>
          <w:highlight w:val="none"/>
        </w:rPr>
        <w:t xml:space="preserve">表2.5-4 2035年乐山港各港区吞吐量预测表                </w:t>
      </w:r>
      <w:r>
        <w:rPr>
          <w:rFonts w:ascii="Times New Roman" w:cs="Times New Roman" w:eastAsiaTheme="minorEastAsia"/>
          <w:color w:val="auto"/>
          <w:sz w:val="21"/>
          <w:szCs w:val="21"/>
          <w:highlight w:val="none"/>
        </w:rPr>
        <w:t>单位：万t、万人次</w:t>
      </w:r>
    </w:p>
    <w:tbl>
      <w:tblPr>
        <w:tblStyle w:val="32"/>
        <w:tblW w:w="5000" w:type="pct"/>
        <w:tblInd w:w="0" w:type="dxa"/>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271"/>
        <w:gridCol w:w="1417"/>
        <w:gridCol w:w="1701"/>
        <w:gridCol w:w="1417"/>
        <w:gridCol w:w="1417"/>
        <w:gridCol w:w="1417"/>
        <w:gridCol w:w="1417"/>
        <w:gridCol w:w="1418"/>
        <w:gridCol w:w="1699"/>
      </w:tblGrid>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01" w:type="pct"/>
            <w:shd w:val="clear" w:color="auto" w:fill="auto"/>
            <w:noWrap/>
            <w:vAlign w:val="center"/>
          </w:tcPr>
          <w:p>
            <w:pPr>
              <w:widowControl/>
              <w:jc w:val="center"/>
              <w:rPr>
                <w:rFonts w:eastAsiaTheme="minorEastAsia"/>
                <w:kern w:val="0"/>
                <w:sz w:val="22"/>
                <w:highlight w:val="none"/>
              </w:rPr>
            </w:pPr>
            <w:r>
              <w:rPr>
                <w:rFonts w:eastAsiaTheme="minorEastAsia"/>
                <w:kern w:val="0"/>
                <w:sz w:val="22"/>
                <w:szCs w:val="22"/>
                <w:highlight w:val="none"/>
              </w:rPr>
              <w:t>货种</w:t>
            </w:r>
          </w:p>
        </w:tc>
        <w:tc>
          <w:tcPr>
            <w:tcW w:w="500" w:type="pct"/>
            <w:shd w:val="clear" w:color="auto" w:fill="auto"/>
            <w:noWrap/>
            <w:vAlign w:val="center"/>
          </w:tcPr>
          <w:p>
            <w:pPr>
              <w:jc w:val="center"/>
              <w:rPr>
                <w:rFonts w:eastAsiaTheme="minorEastAsia"/>
                <w:kern w:val="0"/>
                <w:sz w:val="22"/>
                <w:highlight w:val="none"/>
              </w:rPr>
            </w:pPr>
            <w:r>
              <w:rPr>
                <w:rFonts w:eastAsiaTheme="minorEastAsia"/>
                <w:kern w:val="0"/>
                <w:sz w:val="22"/>
                <w:szCs w:val="22"/>
                <w:highlight w:val="none"/>
              </w:rPr>
              <w:t>嘉州港区</w:t>
            </w:r>
          </w:p>
        </w:tc>
        <w:tc>
          <w:tcPr>
            <w:tcW w:w="600" w:type="pct"/>
            <w:vAlign w:val="center"/>
          </w:tcPr>
          <w:p>
            <w:pPr>
              <w:jc w:val="center"/>
              <w:rPr>
                <w:rFonts w:eastAsiaTheme="minorEastAsia"/>
                <w:kern w:val="0"/>
                <w:sz w:val="22"/>
                <w:highlight w:val="none"/>
              </w:rPr>
            </w:pPr>
            <w:r>
              <w:rPr>
                <w:rFonts w:eastAsiaTheme="minorEastAsia"/>
                <w:kern w:val="0"/>
                <w:sz w:val="22"/>
                <w:szCs w:val="22"/>
                <w:highlight w:val="none"/>
              </w:rPr>
              <w:t>五通桥港区</w:t>
            </w:r>
          </w:p>
        </w:tc>
        <w:tc>
          <w:tcPr>
            <w:tcW w:w="500" w:type="pct"/>
            <w:vAlign w:val="center"/>
          </w:tcPr>
          <w:p>
            <w:pPr>
              <w:jc w:val="center"/>
              <w:rPr>
                <w:rFonts w:eastAsiaTheme="minorEastAsia"/>
                <w:kern w:val="0"/>
                <w:sz w:val="22"/>
                <w:highlight w:val="none"/>
              </w:rPr>
            </w:pPr>
            <w:r>
              <w:rPr>
                <w:rFonts w:eastAsiaTheme="minorEastAsia"/>
                <w:kern w:val="0"/>
                <w:sz w:val="22"/>
                <w:szCs w:val="22"/>
                <w:highlight w:val="none"/>
              </w:rPr>
              <w:t>犍为港区</w:t>
            </w:r>
          </w:p>
        </w:tc>
        <w:tc>
          <w:tcPr>
            <w:tcW w:w="500" w:type="pct"/>
            <w:vAlign w:val="center"/>
          </w:tcPr>
          <w:p>
            <w:pPr>
              <w:jc w:val="center"/>
              <w:rPr>
                <w:rFonts w:eastAsiaTheme="minorEastAsia"/>
                <w:kern w:val="0"/>
                <w:sz w:val="22"/>
                <w:highlight w:val="none"/>
              </w:rPr>
            </w:pPr>
            <w:r>
              <w:rPr>
                <w:rFonts w:eastAsiaTheme="minorEastAsia"/>
                <w:kern w:val="0"/>
                <w:sz w:val="22"/>
                <w:szCs w:val="22"/>
                <w:highlight w:val="none"/>
              </w:rPr>
              <w:t>沐川港区</w:t>
            </w:r>
          </w:p>
        </w:tc>
        <w:tc>
          <w:tcPr>
            <w:tcW w:w="500" w:type="pct"/>
            <w:vAlign w:val="center"/>
          </w:tcPr>
          <w:p>
            <w:pPr>
              <w:jc w:val="center"/>
              <w:rPr>
                <w:rFonts w:eastAsiaTheme="minorEastAsia"/>
                <w:kern w:val="0"/>
                <w:sz w:val="22"/>
                <w:highlight w:val="none"/>
              </w:rPr>
            </w:pPr>
            <w:r>
              <w:rPr>
                <w:rFonts w:eastAsiaTheme="minorEastAsia"/>
                <w:kern w:val="0"/>
                <w:sz w:val="22"/>
                <w:szCs w:val="22"/>
                <w:highlight w:val="none"/>
              </w:rPr>
              <w:t>沙湾港区</w:t>
            </w:r>
          </w:p>
        </w:tc>
        <w:tc>
          <w:tcPr>
            <w:tcW w:w="500" w:type="pct"/>
            <w:vAlign w:val="center"/>
          </w:tcPr>
          <w:p>
            <w:pPr>
              <w:jc w:val="center"/>
              <w:rPr>
                <w:rFonts w:eastAsiaTheme="minorEastAsia"/>
                <w:kern w:val="0"/>
                <w:sz w:val="22"/>
                <w:highlight w:val="none"/>
              </w:rPr>
            </w:pPr>
            <w:r>
              <w:rPr>
                <w:rFonts w:eastAsiaTheme="minorEastAsia"/>
                <w:kern w:val="0"/>
                <w:sz w:val="22"/>
                <w:szCs w:val="22"/>
                <w:highlight w:val="none"/>
              </w:rPr>
              <w:t>夹江港区</w:t>
            </w:r>
          </w:p>
        </w:tc>
        <w:tc>
          <w:tcPr>
            <w:tcW w:w="500" w:type="pct"/>
            <w:vAlign w:val="center"/>
          </w:tcPr>
          <w:p>
            <w:pPr>
              <w:jc w:val="center"/>
              <w:rPr>
                <w:rFonts w:eastAsiaTheme="minorEastAsia"/>
                <w:kern w:val="0"/>
                <w:sz w:val="22"/>
                <w:highlight w:val="none"/>
              </w:rPr>
            </w:pPr>
            <w:r>
              <w:rPr>
                <w:rFonts w:eastAsiaTheme="minorEastAsia"/>
                <w:kern w:val="0"/>
                <w:sz w:val="22"/>
                <w:szCs w:val="22"/>
                <w:highlight w:val="none"/>
              </w:rPr>
              <w:t>峨边港区</w:t>
            </w:r>
          </w:p>
        </w:tc>
        <w:tc>
          <w:tcPr>
            <w:tcW w:w="600" w:type="pct"/>
            <w:vAlign w:val="center"/>
          </w:tcPr>
          <w:p>
            <w:pPr>
              <w:jc w:val="center"/>
              <w:rPr>
                <w:rFonts w:eastAsiaTheme="minorEastAsia"/>
                <w:kern w:val="0"/>
                <w:sz w:val="22"/>
                <w:highlight w:val="none"/>
              </w:rPr>
            </w:pPr>
            <w:r>
              <w:rPr>
                <w:rFonts w:eastAsiaTheme="minorEastAsia"/>
                <w:kern w:val="0"/>
                <w:sz w:val="22"/>
                <w:szCs w:val="22"/>
                <w:highlight w:val="none"/>
              </w:rPr>
              <w:t>金口河港区</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01" w:type="pct"/>
            <w:shd w:val="clear" w:color="auto" w:fill="auto"/>
            <w:noWrap/>
            <w:vAlign w:val="center"/>
          </w:tcPr>
          <w:p>
            <w:pPr>
              <w:widowControl/>
              <w:jc w:val="left"/>
              <w:rPr>
                <w:rFonts w:eastAsiaTheme="minorEastAsia"/>
                <w:kern w:val="0"/>
                <w:sz w:val="22"/>
                <w:highlight w:val="none"/>
              </w:rPr>
            </w:pPr>
            <w:r>
              <w:rPr>
                <w:rFonts w:eastAsiaTheme="minorEastAsia"/>
                <w:kern w:val="0"/>
                <w:sz w:val="22"/>
                <w:szCs w:val="22"/>
                <w:highlight w:val="none"/>
              </w:rPr>
              <w:t>货物吞吐量合计</w:t>
            </w:r>
          </w:p>
        </w:tc>
        <w:tc>
          <w:tcPr>
            <w:tcW w:w="500" w:type="pct"/>
            <w:shd w:val="clear" w:color="auto" w:fill="auto"/>
            <w:noWrap/>
            <w:vAlign w:val="center"/>
          </w:tcPr>
          <w:p>
            <w:pPr>
              <w:jc w:val="center"/>
              <w:rPr>
                <w:sz w:val="22"/>
                <w:highlight w:val="none"/>
              </w:rPr>
            </w:pPr>
            <w:r>
              <w:rPr>
                <w:rFonts w:eastAsia="等线"/>
                <w:sz w:val="22"/>
                <w:szCs w:val="22"/>
                <w:highlight w:val="none"/>
              </w:rPr>
              <w:t>15</w:t>
            </w:r>
          </w:p>
        </w:tc>
        <w:tc>
          <w:tcPr>
            <w:tcW w:w="600" w:type="pct"/>
            <w:vAlign w:val="center"/>
          </w:tcPr>
          <w:p>
            <w:pPr>
              <w:jc w:val="center"/>
              <w:rPr>
                <w:highlight w:val="none"/>
              </w:rPr>
            </w:pPr>
            <w:r>
              <w:rPr>
                <w:rFonts w:eastAsia="等线"/>
                <w:sz w:val="22"/>
                <w:szCs w:val="22"/>
                <w:highlight w:val="none"/>
              </w:rPr>
              <w:t>410</w:t>
            </w:r>
          </w:p>
        </w:tc>
        <w:tc>
          <w:tcPr>
            <w:tcW w:w="500" w:type="pct"/>
            <w:vAlign w:val="center"/>
          </w:tcPr>
          <w:p>
            <w:pPr>
              <w:jc w:val="center"/>
              <w:rPr>
                <w:highlight w:val="none"/>
              </w:rPr>
            </w:pPr>
            <w:r>
              <w:rPr>
                <w:rFonts w:eastAsia="等线"/>
                <w:sz w:val="22"/>
                <w:szCs w:val="22"/>
                <w:highlight w:val="none"/>
              </w:rPr>
              <w:t>750</w:t>
            </w:r>
          </w:p>
        </w:tc>
        <w:tc>
          <w:tcPr>
            <w:tcW w:w="500" w:type="pct"/>
            <w:vAlign w:val="center"/>
          </w:tcPr>
          <w:p>
            <w:pPr>
              <w:jc w:val="center"/>
              <w:rPr>
                <w:highlight w:val="none"/>
              </w:rPr>
            </w:pPr>
            <w:r>
              <w:rPr>
                <w:rFonts w:eastAsia="等线"/>
                <w:sz w:val="22"/>
                <w:szCs w:val="22"/>
                <w:highlight w:val="none"/>
              </w:rPr>
              <w:t>255</w:t>
            </w:r>
          </w:p>
        </w:tc>
        <w:tc>
          <w:tcPr>
            <w:tcW w:w="500" w:type="pct"/>
            <w:vAlign w:val="center"/>
          </w:tcPr>
          <w:p>
            <w:pPr>
              <w:jc w:val="center"/>
              <w:rPr>
                <w:highlight w:val="none"/>
              </w:rPr>
            </w:pPr>
            <w:r>
              <w:rPr>
                <w:rFonts w:eastAsia="等线"/>
                <w:sz w:val="22"/>
                <w:szCs w:val="22"/>
                <w:highlight w:val="none"/>
              </w:rPr>
              <w:t>100</w:t>
            </w:r>
          </w:p>
        </w:tc>
        <w:tc>
          <w:tcPr>
            <w:tcW w:w="500" w:type="pct"/>
            <w:vAlign w:val="center"/>
          </w:tcPr>
          <w:p>
            <w:pPr>
              <w:jc w:val="center"/>
              <w:rPr>
                <w:highlight w:val="none"/>
              </w:rPr>
            </w:pPr>
            <w:r>
              <w:rPr>
                <w:rFonts w:eastAsia="等线"/>
                <w:sz w:val="22"/>
                <w:szCs w:val="22"/>
                <w:highlight w:val="none"/>
              </w:rPr>
              <w:t>0</w:t>
            </w:r>
          </w:p>
        </w:tc>
        <w:tc>
          <w:tcPr>
            <w:tcW w:w="500" w:type="pct"/>
            <w:vAlign w:val="center"/>
          </w:tcPr>
          <w:p>
            <w:pPr>
              <w:jc w:val="center"/>
              <w:rPr>
                <w:highlight w:val="none"/>
              </w:rPr>
            </w:pPr>
            <w:r>
              <w:rPr>
                <w:rFonts w:eastAsia="等线"/>
                <w:sz w:val="22"/>
                <w:szCs w:val="22"/>
                <w:highlight w:val="none"/>
              </w:rPr>
              <w:t>120</w:t>
            </w:r>
          </w:p>
        </w:tc>
        <w:tc>
          <w:tcPr>
            <w:tcW w:w="600" w:type="pct"/>
          </w:tcPr>
          <w:p>
            <w:pPr>
              <w:jc w:val="center"/>
              <w:rPr>
                <w:highlight w:val="none"/>
              </w:rPr>
            </w:pPr>
            <w:r>
              <w:rPr>
                <w:highlight w:val="none"/>
              </w:rPr>
              <w:t>0</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01" w:type="pct"/>
            <w:shd w:val="clear" w:color="auto" w:fill="auto"/>
            <w:noWrap/>
            <w:vAlign w:val="center"/>
          </w:tcPr>
          <w:p>
            <w:pPr>
              <w:widowControl/>
              <w:jc w:val="left"/>
              <w:rPr>
                <w:rFonts w:eastAsiaTheme="minorEastAsia"/>
                <w:kern w:val="0"/>
                <w:sz w:val="22"/>
                <w:highlight w:val="none"/>
              </w:rPr>
            </w:pPr>
            <w:r>
              <w:rPr>
                <w:rFonts w:eastAsiaTheme="minorEastAsia"/>
                <w:kern w:val="0"/>
                <w:sz w:val="22"/>
                <w:szCs w:val="22"/>
                <w:highlight w:val="none"/>
              </w:rPr>
              <w:t>煤炭及制品</w:t>
            </w:r>
          </w:p>
        </w:tc>
        <w:tc>
          <w:tcPr>
            <w:tcW w:w="500" w:type="pct"/>
            <w:shd w:val="clear" w:color="auto" w:fill="auto"/>
            <w:noWrap/>
            <w:vAlign w:val="center"/>
          </w:tcPr>
          <w:p>
            <w:pPr>
              <w:jc w:val="center"/>
              <w:rPr>
                <w:sz w:val="22"/>
                <w:highlight w:val="none"/>
              </w:rPr>
            </w:pPr>
            <w:r>
              <w:rPr>
                <w:rFonts w:eastAsia="等线"/>
                <w:sz w:val="22"/>
                <w:szCs w:val="22"/>
                <w:highlight w:val="none"/>
              </w:rPr>
              <w:t>0</w:t>
            </w:r>
          </w:p>
        </w:tc>
        <w:tc>
          <w:tcPr>
            <w:tcW w:w="600" w:type="pct"/>
            <w:vAlign w:val="center"/>
          </w:tcPr>
          <w:p>
            <w:pPr>
              <w:jc w:val="center"/>
              <w:rPr>
                <w:sz w:val="22"/>
                <w:highlight w:val="none"/>
              </w:rPr>
            </w:pPr>
            <w:r>
              <w:rPr>
                <w:rFonts w:eastAsia="等线"/>
                <w:sz w:val="22"/>
                <w:szCs w:val="22"/>
                <w:highlight w:val="none"/>
              </w:rPr>
              <w:t>20</w:t>
            </w:r>
          </w:p>
        </w:tc>
        <w:tc>
          <w:tcPr>
            <w:tcW w:w="500" w:type="pct"/>
            <w:vAlign w:val="center"/>
          </w:tcPr>
          <w:p>
            <w:pPr>
              <w:jc w:val="center"/>
              <w:rPr>
                <w:sz w:val="22"/>
                <w:highlight w:val="none"/>
              </w:rPr>
            </w:pPr>
            <w:r>
              <w:rPr>
                <w:rFonts w:eastAsia="等线"/>
                <w:sz w:val="22"/>
                <w:szCs w:val="22"/>
                <w:highlight w:val="none"/>
              </w:rPr>
              <w:t>0</w:t>
            </w:r>
          </w:p>
        </w:tc>
        <w:tc>
          <w:tcPr>
            <w:tcW w:w="500" w:type="pct"/>
            <w:vAlign w:val="center"/>
          </w:tcPr>
          <w:p>
            <w:pPr>
              <w:jc w:val="center"/>
              <w:rPr>
                <w:sz w:val="22"/>
                <w:highlight w:val="none"/>
              </w:rPr>
            </w:pPr>
            <w:r>
              <w:rPr>
                <w:rFonts w:eastAsia="等线"/>
                <w:sz w:val="22"/>
                <w:szCs w:val="22"/>
                <w:highlight w:val="none"/>
              </w:rPr>
              <w:t>0</w:t>
            </w:r>
          </w:p>
        </w:tc>
        <w:tc>
          <w:tcPr>
            <w:tcW w:w="500" w:type="pct"/>
            <w:vAlign w:val="center"/>
          </w:tcPr>
          <w:p>
            <w:pPr>
              <w:jc w:val="center"/>
              <w:rPr>
                <w:sz w:val="22"/>
                <w:highlight w:val="none"/>
              </w:rPr>
            </w:pPr>
            <w:r>
              <w:rPr>
                <w:rFonts w:eastAsia="等线"/>
                <w:sz w:val="22"/>
                <w:szCs w:val="22"/>
                <w:highlight w:val="none"/>
              </w:rPr>
              <w:t>0</w:t>
            </w:r>
          </w:p>
        </w:tc>
        <w:tc>
          <w:tcPr>
            <w:tcW w:w="500" w:type="pct"/>
            <w:vAlign w:val="center"/>
          </w:tcPr>
          <w:p>
            <w:pPr>
              <w:jc w:val="center"/>
              <w:rPr>
                <w:sz w:val="22"/>
                <w:highlight w:val="none"/>
              </w:rPr>
            </w:pPr>
            <w:r>
              <w:rPr>
                <w:rFonts w:eastAsia="等线"/>
                <w:sz w:val="22"/>
                <w:szCs w:val="22"/>
                <w:highlight w:val="none"/>
              </w:rPr>
              <w:t>0</w:t>
            </w:r>
          </w:p>
        </w:tc>
        <w:tc>
          <w:tcPr>
            <w:tcW w:w="500" w:type="pct"/>
            <w:vAlign w:val="center"/>
          </w:tcPr>
          <w:p>
            <w:pPr>
              <w:jc w:val="center"/>
              <w:rPr>
                <w:sz w:val="22"/>
                <w:highlight w:val="none"/>
              </w:rPr>
            </w:pPr>
            <w:r>
              <w:rPr>
                <w:rFonts w:eastAsia="等线"/>
                <w:sz w:val="22"/>
                <w:szCs w:val="22"/>
                <w:highlight w:val="none"/>
              </w:rPr>
              <w:t>0</w:t>
            </w:r>
          </w:p>
        </w:tc>
        <w:tc>
          <w:tcPr>
            <w:tcW w:w="600" w:type="pct"/>
          </w:tcPr>
          <w:p>
            <w:pPr>
              <w:jc w:val="center"/>
              <w:rPr>
                <w:sz w:val="22"/>
                <w:highlight w:val="none"/>
              </w:rPr>
            </w:pPr>
            <w:r>
              <w:rPr>
                <w:highlight w:val="none"/>
              </w:rPr>
              <w:t>0</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01" w:type="pct"/>
            <w:shd w:val="clear" w:color="auto" w:fill="auto"/>
            <w:noWrap/>
            <w:vAlign w:val="center"/>
          </w:tcPr>
          <w:p>
            <w:pPr>
              <w:widowControl/>
              <w:jc w:val="left"/>
              <w:rPr>
                <w:rFonts w:eastAsiaTheme="minorEastAsia"/>
                <w:kern w:val="0"/>
                <w:sz w:val="22"/>
                <w:highlight w:val="none"/>
              </w:rPr>
            </w:pPr>
            <w:r>
              <w:rPr>
                <w:rFonts w:eastAsiaTheme="minorEastAsia"/>
                <w:kern w:val="0"/>
                <w:sz w:val="22"/>
                <w:szCs w:val="22"/>
                <w:highlight w:val="none"/>
              </w:rPr>
              <w:t>金属矿石</w:t>
            </w:r>
          </w:p>
        </w:tc>
        <w:tc>
          <w:tcPr>
            <w:tcW w:w="500" w:type="pct"/>
            <w:shd w:val="clear" w:color="auto" w:fill="auto"/>
            <w:noWrap/>
            <w:vAlign w:val="center"/>
          </w:tcPr>
          <w:p>
            <w:pPr>
              <w:jc w:val="center"/>
              <w:rPr>
                <w:sz w:val="22"/>
                <w:highlight w:val="none"/>
              </w:rPr>
            </w:pPr>
            <w:r>
              <w:rPr>
                <w:rFonts w:eastAsia="等线"/>
                <w:sz w:val="22"/>
                <w:szCs w:val="22"/>
                <w:highlight w:val="none"/>
              </w:rPr>
              <w:t>0</w:t>
            </w:r>
          </w:p>
        </w:tc>
        <w:tc>
          <w:tcPr>
            <w:tcW w:w="600" w:type="pct"/>
            <w:vAlign w:val="center"/>
          </w:tcPr>
          <w:p>
            <w:pPr>
              <w:jc w:val="center"/>
              <w:rPr>
                <w:sz w:val="22"/>
                <w:highlight w:val="none"/>
              </w:rPr>
            </w:pPr>
            <w:r>
              <w:rPr>
                <w:rFonts w:eastAsia="等线"/>
                <w:sz w:val="22"/>
                <w:szCs w:val="22"/>
                <w:highlight w:val="none"/>
              </w:rPr>
              <w:t>0</w:t>
            </w:r>
          </w:p>
        </w:tc>
        <w:tc>
          <w:tcPr>
            <w:tcW w:w="500" w:type="pct"/>
            <w:vAlign w:val="center"/>
          </w:tcPr>
          <w:p>
            <w:pPr>
              <w:jc w:val="center"/>
              <w:rPr>
                <w:sz w:val="22"/>
                <w:highlight w:val="none"/>
              </w:rPr>
            </w:pPr>
            <w:r>
              <w:rPr>
                <w:rFonts w:eastAsia="等线"/>
                <w:sz w:val="22"/>
                <w:szCs w:val="22"/>
                <w:highlight w:val="none"/>
              </w:rPr>
              <w:t>50</w:t>
            </w:r>
          </w:p>
        </w:tc>
        <w:tc>
          <w:tcPr>
            <w:tcW w:w="500" w:type="pct"/>
            <w:vAlign w:val="center"/>
          </w:tcPr>
          <w:p>
            <w:pPr>
              <w:jc w:val="center"/>
              <w:rPr>
                <w:sz w:val="22"/>
                <w:highlight w:val="none"/>
              </w:rPr>
            </w:pPr>
            <w:r>
              <w:rPr>
                <w:rFonts w:eastAsia="等线"/>
                <w:sz w:val="22"/>
                <w:szCs w:val="22"/>
                <w:highlight w:val="none"/>
              </w:rPr>
              <w:t>0</w:t>
            </w:r>
          </w:p>
        </w:tc>
        <w:tc>
          <w:tcPr>
            <w:tcW w:w="500" w:type="pct"/>
            <w:vAlign w:val="center"/>
          </w:tcPr>
          <w:p>
            <w:pPr>
              <w:jc w:val="center"/>
              <w:rPr>
                <w:sz w:val="22"/>
                <w:highlight w:val="none"/>
              </w:rPr>
            </w:pPr>
            <w:r>
              <w:rPr>
                <w:rFonts w:eastAsia="等线"/>
                <w:sz w:val="22"/>
                <w:szCs w:val="22"/>
                <w:highlight w:val="none"/>
              </w:rPr>
              <w:t>0</w:t>
            </w:r>
          </w:p>
        </w:tc>
        <w:tc>
          <w:tcPr>
            <w:tcW w:w="500" w:type="pct"/>
            <w:vAlign w:val="center"/>
          </w:tcPr>
          <w:p>
            <w:pPr>
              <w:jc w:val="center"/>
              <w:rPr>
                <w:sz w:val="22"/>
                <w:highlight w:val="none"/>
              </w:rPr>
            </w:pPr>
            <w:r>
              <w:rPr>
                <w:rFonts w:eastAsia="等线"/>
                <w:sz w:val="22"/>
                <w:szCs w:val="22"/>
                <w:highlight w:val="none"/>
              </w:rPr>
              <w:t>0</w:t>
            </w:r>
          </w:p>
        </w:tc>
        <w:tc>
          <w:tcPr>
            <w:tcW w:w="500" w:type="pct"/>
            <w:vAlign w:val="center"/>
          </w:tcPr>
          <w:p>
            <w:pPr>
              <w:jc w:val="center"/>
              <w:rPr>
                <w:sz w:val="22"/>
                <w:highlight w:val="none"/>
              </w:rPr>
            </w:pPr>
            <w:r>
              <w:rPr>
                <w:rFonts w:eastAsia="等线"/>
                <w:sz w:val="22"/>
                <w:szCs w:val="22"/>
                <w:highlight w:val="none"/>
              </w:rPr>
              <w:t>0</w:t>
            </w:r>
          </w:p>
        </w:tc>
        <w:tc>
          <w:tcPr>
            <w:tcW w:w="600" w:type="pct"/>
          </w:tcPr>
          <w:p>
            <w:pPr>
              <w:jc w:val="center"/>
              <w:rPr>
                <w:sz w:val="22"/>
                <w:highlight w:val="none"/>
              </w:rPr>
            </w:pPr>
            <w:r>
              <w:rPr>
                <w:highlight w:val="none"/>
              </w:rPr>
              <w:t>0</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01" w:type="pct"/>
            <w:shd w:val="clear" w:color="auto" w:fill="auto"/>
            <w:noWrap/>
            <w:vAlign w:val="center"/>
          </w:tcPr>
          <w:p>
            <w:pPr>
              <w:widowControl/>
              <w:jc w:val="left"/>
              <w:rPr>
                <w:rFonts w:eastAsiaTheme="minorEastAsia"/>
                <w:kern w:val="0"/>
                <w:sz w:val="22"/>
                <w:highlight w:val="none"/>
              </w:rPr>
            </w:pPr>
            <w:r>
              <w:rPr>
                <w:rFonts w:eastAsiaTheme="minorEastAsia"/>
                <w:kern w:val="0"/>
                <w:sz w:val="22"/>
                <w:szCs w:val="22"/>
                <w:highlight w:val="none"/>
              </w:rPr>
              <w:t>钢铁</w:t>
            </w:r>
          </w:p>
        </w:tc>
        <w:tc>
          <w:tcPr>
            <w:tcW w:w="500" w:type="pct"/>
            <w:shd w:val="clear" w:color="auto" w:fill="auto"/>
            <w:noWrap/>
            <w:vAlign w:val="center"/>
          </w:tcPr>
          <w:p>
            <w:pPr>
              <w:jc w:val="center"/>
              <w:rPr>
                <w:sz w:val="22"/>
                <w:highlight w:val="none"/>
              </w:rPr>
            </w:pPr>
            <w:r>
              <w:rPr>
                <w:rFonts w:eastAsia="等线"/>
                <w:sz w:val="22"/>
                <w:szCs w:val="22"/>
                <w:highlight w:val="none"/>
              </w:rPr>
              <w:t>0</w:t>
            </w:r>
          </w:p>
        </w:tc>
        <w:tc>
          <w:tcPr>
            <w:tcW w:w="600" w:type="pct"/>
            <w:vAlign w:val="center"/>
          </w:tcPr>
          <w:p>
            <w:pPr>
              <w:jc w:val="center"/>
              <w:rPr>
                <w:sz w:val="22"/>
                <w:highlight w:val="none"/>
              </w:rPr>
            </w:pPr>
            <w:r>
              <w:rPr>
                <w:rFonts w:eastAsia="等线"/>
                <w:sz w:val="22"/>
                <w:szCs w:val="22"/>
                <w:highlight w:val="none"/>
              </w:rPr>
              <w:t>20</w:t>
            </w:r>
          </w:p>
        </w:tc>
        <w:tc>
          <w:tcPr>
            <w:tcW w:w="500" w:type="pct"/>
            <w:vAlign w:val="center"/>
          </w:tcPr>
          <w:p>
            <w:pPr>
              <w:jc w:val="center"/>
              <w:rPr>
                <w:sz w:val="22"/>
                <w:highlight w:val="none"/>
              </w:rPr>
            </w:pPr>
            <w:r>
              <w:rPr>
                <w:rFonts w:eastAsia="等线"/>
                <w:sz w:val="22"/>
                <w:szCs w:val="22"/>
                <w:highlight w:val="none"/>
              </w:rPr>
              <w:t>70</w:t>
            </w:r>
          </w:p>
        </w:tc>
        <w:tc>
          <w:tcPr>
            <w:tcW w:w="500" w:type="pct"/>
            <w:vAlign w:val="center"/>
          </w:tcPr>
          <w:p>
            <w:pPr>
              <w:jc w:val="center"/>
              <w:rPr>
                <w:sz w:val="22"/>
                <w:highlight w:val="none"/>
              </w:rPr>
            </w:pPr>
            <w:r>
              <w:rPr>
                <w:rFonts w:eastAsia="等线"/>
                <w:sz w:val="22"/>
                <w:szCs w:val="22"/>
                <w:highlight w:val="none"/>
              </w:rPr>
              <w:t>0</w:t>
            </w:r>
          </w:p>
        </w:tc>
        <w:tc>
          <w:tcPr>
            <w:tcW w:w="500" w:type="pct"/>
            <w:vAlign w:val="center"/>
          </w:tcPr>
          <w:p>
            <w:pPr>
              <w:jc w:val="center"/>
              <w:rPr>
                <w:sz w:val="22"/>
                <w:highlight w:val="none"/>
              </w:rPr>
            </w:pPr>
            <w:r>
              <w:rPr>
                <w:rFonts w:eastAsia="等线"/>
                <w:sz w:val="22"/>
                <w:szCs w:val="22"/>
                <w:highlight w:val="none"/>
              </w:rPr>
              <w:t>0</w:t>
            </w:r>
          </w:p>
        </w:tc>
        <w:tc>
          <w:tcPr>
            <w:tcW w:w="500" w:type="pct"/>
            <w:vAlign w:val="center"/>
          </w:tcPr>
          <w:p>
            <w:pPr>
              <w:jc w:val="center"/>
              <w:rPr>
                <w:sz w:val="22"/>
                <w:highlight w:val="none"/>
              </w:rPr>
            </w:pPr>
            <w:r>
              <w:rPr>
                <w:rFonts w:eastAsia="等线"/>
                <w:sz w:val="22"/>
                <w:szCs w:val="22"/>
                <w:highlight w:val="none"/>
              </w:rPr>
              <w:t>0</w:t>
            </w:r>
          </w:p>
        </w:tc>
        <w:tc>
          <w:tcPr>
            <w:tcW w:w="500" w:type="pct"/>
            <w:vAlign w:val="center"/>
          </w:tcPr>
          <w:p>
            <w:pPr>
              <w:jc w:val="center"/>
              <w:rPr>
                <w:sz w:val="22"/>
                <w:highlight w:val="none"/>
              </w:rPr>
            </w:pPr>
            <w:r>
              <w:rPr>
                <w:rFonts w:eastAsia="等线"/>
                <w:sz w:val="22"/>
                <w:szCs w:val="22"/>
                <w:highlight w:val="none"/>
              </w:rPr>
              <w:t>0</w:t>
            </w:r>
          </w:p>
        </w:tc>
        <w:tc>
          <w:tcPr>
            <w:tcW w:w="600" w:type="pct"/>
          </w:tcPr>
          <w:p>
            <w:pPr>
              <w:jc w:val="center"/>
              <w:rPr>
                <w:sz w:val="22"/>
                <w:highlight w:val="none"/>
              </w:rPr>
            </w:pPr>
            <w:r>
              <w:rPr>
                <w:highlight w:val="none"/>
              </w:rPr>
              <w:t>0</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01" w:type="pct"/>
            <w:shd w:val="clear" w:color="auto" w:fill="auto"/>
            <w:noWrap/>
            <w:vAlign w:val="center"/>
          </w:tcPr>
          <w:p>
            <w:pPr>
              <w:widowControl/>
              <w:jc w:val="left"/>
              <w:rPr>
                <w:rFonts w:eastAsiaTheme="minorEastAsia"/>
                <w:kern w:val="0"/>
                <w:sz w:val="22"/>
                <w:highlight w:val="none"/>
              </w:rPr>
            </w:pPr>
            <w:r>
              <w:rPr>
                <w:rFonts w:eastAsiaTheme="minorEastAsia"/>
                <w:kern w:val="0"/>
                <w:sz w:val="22"/>
                <w:szCs w:val="22"/>
                <w:highlight w:val="none"/>
              </w:rPr>
              <w:t>矿建材料</w:t>
            </w:r>
          </w:p>
        </w:tc>
        <w:tc>
          <w:tcPr>
            <w:tcW w:w="500" w:type="pct"/>
            <w:shd w:val="clear" w:color="auto" w:fill="auto"/>
            <w:noWrap/>
            <w:vAlign w:val="center"/>
          </w:tcPr>
          <w:p>
            <w:pPr>
              <w:jc w:val="center"/>
              <w:rPr>
                <w:sz w:val="22"/>
                <w:highlight w:val="none"/>
              </w:rPr>
            </w:pPr>
            <w:r>
              <w:rPr>
                <w:rFonts w:eastAsia="等线"/>
                <w:sz w:val="22"/>
                <w:szCs w:val="22"/>
                <w:highlight w:val="none"/>
              </w:rPr>
              <w:t>0</w:t>
            </w:r>
          </w:p>
        </w:tc>
        <w:tc>
          <w:tcPr>
            <w:tcW w:w="600" w:type="pct"/>
            <w:vAlign w:val="center"/>
          </w:tcPr>
          <w:p>
            <w:pPr>
              <w:jc w:val="center"/>
              <w:rPr>
                <w:sz w:val="22"/>
                <w:highlight w:val="none"/>
              </w:rPr>
            </w:pPr>
            <w:r>
              <w:rPr>
                <w:rFonts w:eastAsia="等线"/>
                <w:sz w:val="22"/>
                <w:szCs w:val="22"/>
                <w:highlight w:val="none"/>
              </w:rPr>
              <w:t>120</w:t>
            </w:r>
          </w:p>
        </w:tc>
        <w:tc>
          <w:tcPr>
            <w:tcW w:w="500" w:type="pct"/>
            <w:vAlign w:val="center"/>
          </w:tcPr>
          <w:p>
            <w:pPr>
              <w:jc w:val="center"/>
              <w:rPr>
                <w:sz w:val="22"/>
                <w:highlight w:val="none"/>
              </w:rPr>
            </w:pPr>
            <w:r>
              <w:rPr>
                <w:rFonts w:eastAsia="等线"/>
                <w:sz w:val="22"/>
                <w:szCs w:val="22"/>
                <w:highlight w:val="none"/>
              </w:rPr>
              <w:t>250</w:t>
            </w:r>
          </w:p>
        </w:tc>
        <w:tc>
          <w:tcPr>
            <w:tcW w:w="500" w:type="pct"/>
            <w:vAlign w:val="center"/>
          </w:tcPr>
          <w:p>
            <w:pPr>
              <w:jc w:val="center"/>
              <w:rPr>
                <w:sz w:val="22"/>
                <w:highlight w:val="none"/>
              </w:rPr>
            </w:pPr>
            <w:r>
              <w:rPr>
                <w:rFonts w:eastAsia="等线"/>
                <w:sz w:val="22"/>
                <w:szCs w:val="22"/>
                <w:highlight w:val="none"/>
              </w:rPr>
              <w:t>125</w:t>
            </w:r>
          </w:p>
        </w:tc>
        <w:tc>
          <w:tcPr>
            <w:tcW w:w="500" w:type="pct"/>
            <w:vAlign w:val="center"/>
          </w:tcPr>
          <w:p>
            <w:pPr>
              <w:jc w:val="center"/>
              <w:rPr>
                <w:sz w:val="22"/>
                <w:highlight w:val="none"/>
              </w:rPr>
            </w:pPr>
            <w:r>
              <w:rPr>
                <w:rFonts w:eastAsia="等线"/>
                <w:sz w:val="22"/>
                <w:szCs w:val="22"/>
                <w:highlight w:val="none"/>
              </w:rPr>
              <w:t>100</w:t>
            </w:r>
          </w:p>
        </w:tc>
        <w:tc>
          <w:tcPr>
            <w:tcW w:w="500" w:type="pct"/>
            <w:vAlign w:val="center"/>
          </w:tcPr>
          <w:p>
            <w:pPr>
              <w:jc w:val="center"/>
              <w:rPr>
                <w:sz w:val="22"/>
                <w:highlight w:val="none"/>
              </w:rPr>
            </w:pPr>
            <w:r>
              <w:rPr>
                <w:rFonts w:eastAsia="等线"/>
                <w:sz w:val="22"/>
                <w:szCs w:val="22"/>
                <w:highlight w:val="none"/>
              </w:rPr>
              <w:t>0</w:t>
            </w:r>
          </w:p>
        </w:tc>
        <w:tc>
          <w:tcPr>
            <w:tcW w:w="500" w:type="pct"/>
            <w:vAlign w:val="center"/>
          </w:tcPr>
          <w:p>
            <w:pPr>
              <w:jc w:val="center"/>
              <w:rPr>
                <w:sz w:val="22"/>
                <w:highlight w:val="none"/>
              </w:rPr>
            </w:pPr>
            <w:r>
              <w:rPr>
                <w:rFonts w:eastAsia="等线"/>
                <w:sz w:val="22"/>
                <w:szCs w:val="22"/>
                <w:highlight w:val="none"/>
              </w:rPr>
              <w:t>90</w:t>
            </w:r>
          </w:p>
        </w:tc>
        <w:tc>
          <w:tcPr>
            <w:tcW w:w="600" w:type="pct"/>
          </w:tcPr>
          <w:p>
            <w:pPr>
              <w:jc w:val="center"/>
              <w:rPr>
                <w:sz w:val="22"/>
                <w:highlight w:val="none"/>
              </w:rPr>
            </w:pPr>
            <w:r>
              <w:rPr>
                <w:highlight w:val="none"/>
              </w:rPr>
              <w:t>0</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01" w:type="pct"/>
            <w:shd w:val="clear" w:color="auto" w:fill="auto"/>
            <w:noWrap/>
            <w:vAlign w:val="center"/>
          </w:tcPr>
          <w:p>
            <w:pPr>
              <w:widowControl/>
              <w:jc w:val="left"/>
              <w:rPr>
                <w:rFonts w:eastAsiaTheme="minorEastAsia"/>
                <w:kern w:val="0"/>
                <w:sz w:val="22"/>
                <w:highlight w:val="none"/>
              </w:rPr>
            </w:pPr>
            <w:r>
              <w:rPr>
                <w:rFonts w:eastAsiaTheme="minorEastAsia"/>
                <w:kern w:val="0"/>
                <w:sz w:val="22"/>
                <w:szCs w:val="22"/>
                <w:highlight w:val="none"/>
              </w:rPr>
              <w:t>水泥</w:t>
            </w:r>
          </w:p>
        </w:tc>
        <w:tc>
          <w:tcPr>
            <w:tcW w:w="500" w:type="pct"/>
            <w:shd w:val="clear" w:color="auto" w:fill="auto"/>
            <w:noWrap/>
            <w:vAlign w:val="center"/>
          </w:tcPr>
          <w:p>
            <w:pPr>
              <w:jc w:val="center"/>
              <w:rPr>
                <w:sz w:val="22"/>
                <w:highlight w:val="none"/>
              </w:rPr>
            </w:pPr>
            <w:r>
              <w:rPr>
                <w:rFonts w:eastAsia="等线"/>
                <w:sz w:val="22"/>
                <w:szCs w:val="22"/>
                <w:highlight w:val="none"/>
              </w:rPr>
              <w:t>0</w:t>
            </w:r>
          </w:p>
        </w:tc>
        <w:tc>
          <w:tcPr>
            <w:tcW w:w="600" w:type="pct"/>
            <w:vAlign w:val="center"/>
          </w:tcPr>
          <w:p>
            <w:pPr>
              <w:jc w:val="center"/>
              <w:rPr>
                <w:sz w:val="22"/>
                <w:highlight w:val="none"/>
              </w:rPr>
            </w:pPr>
            <w:r>
              <w:rPr>
                <w:rFonts w:eastAsia="等线"/>
                <w:sz w:val="22"/>
                <w:szCs w:val="22"/>
                <w:highlight w:val="none"/>
              </w:rPr>
              <w:t>0</w:t>
            </w:r>
          </w:p>
        </w:tc>
        <w:tc>
          <w:tcPr>
            <w:tcW w:w="500" w:type="pct"/>
            <w:vAlign w:val="center"/>
          </w:tcPr>
          <w:p>
            <w:pPr>
              <w:jc w:val="center"/>
              <w:rPr>
                <w:sz w:val="22"/>
                <w:highlight w:val="none"/>
              </w:rPr>
            </w:pPr>
            <w:r>
              <w:rPr>
                <w:rFonts w:eastAsia="等线"/>
                <w:sz w:val="22"/>
                <w:szCs w:val="22"/>
                <w:highlight w:val="none"/>
              </w:rPr>
              <w:t>60</w:t>
            </w:r>
          </w:p>
        </w:tc>
        <w:tc>
          <w:tcPr>
            <w:tcW w:w="500" w:type="pct"/>
            <w:vAlign w:val="center"/>
          </w:tcPr>
          <w:p>
            <w:pPr>
              <w:jc w:val="center"/>
              <w:rPr>
                <w:sz w:val="22"/>
                <w:highlight w:val="none"/>
              </w:rPr>
            </w:pPr>
            <w:r>
              <w:rPr>
                <w:rFonts w:eastAsia="等线"/>
                <w:sz w:val="22"/>
                <w:szCs w:val="22"/>
                <w:highlight w:val="none"/>
              </w:rPr>
              <w:t>0</w:t>
            </w:r>
          </w:p>
        </w:tc>
        <w:tc>
          <w:tcPr>
            <w:tcW w:w="500" w:type="pct"/>
            <w:vAlign w:val="center"/>
          </w:tcPr>
          <w:p>
            <w:pPr>
              <w:jc w:val="center"/>
              <w:rPr>
                <w:sz w:val="22"/>
                <w:highlight w:val="none"/>
              </w:rPr>
            </w:pPr>
            <w:r>
              <w:rPr>
                <w:rFonts w:eastAsia="等线"/>
                <w:sz w:val="22"/>
                <w:szCs w:val="22"/>
                <w:highlight w:val="none"/>
              </w:rPr>
              <w:t>0</w:t>
            </w:r>
          </w:p>
        </w:tc>
        <w:tc>
          <w:tcPr>
            <w:tcW w:w="500" w:type="pct"/>
            <w:vAlign w:val="center"/>
          </w:tcPr>
          <w:p>
            <w:pPr>
              <w:jc w:val="center"/>
              <w:rPr>
                <w:sz w:val="22"/>
                <w:highlight w:val="none"/>
              </w:rPr>
            </w:pPr>
            <w:r>
              <w:rPr>
                <w:rFonts w:eastAsia="等线"/>
                <w:sz w:val="22"/>
                <w:szCs w:val="22"/>
                <w:highlight w:val="none"/>
              </w:rPr>
              <w:t>0</w:t>
            </w:r>
          </w:p>
        </w:tc>
        <w:tc>
          <w:tcPr>
            <w:tcW w:w="500" w:type="pct"/>
            <w:vAlign w:val="center"/>
          </w:tcPr>
          <w:p>
            <w:pPr>
              <w:jc w:val="center"/>
              <w:rPr>
                <w:sz w:val="22"/>
                <w:highlight w:val="none"/>
              </w:rPr>
            </w:pPr>
            <w:r>
              <w:rPr>
                <w:rFonts w:eastAsia="等线"/>
                <w:sz w:val="22"/>
                <w:szCs w:val="22"/>
                <w:highlight w:val="none"/>
              </w:rPr>
              <w:t>0</w:t>
            </w:r>
          </w:p>
        </w:tc>
        <w:tc>
          <w:tcPr>
            <w:tcW w:w="600" w:type="pct"/>
          </w:tcPr>
          <w:p>
            <w:pPr>
              <w:jc w:val="center"/>
              <w:rPr>
                <w:sz w:val="22"/>
                <w:highlight w:val="none"/>
              </w:rPr>
            </w:pPr>
            <w:r>
              <w:rPr>
                <w:highlight w:val="none"/>
              </w:rPr>
              <w:t>0</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01" w:type="pct"/>
            <w:shd w:val="clear" w:color="auto" w:fill="auto"/>
            <w:noWrap/>
            <w:vAlign w:val="center"/>
          </w:tcPr>
          <w:p>
            <w:pPr>
              <w:widowControl/>
              <w:jc w:val="left"/>
              <w:rPr>
                <w:rFonts w:eastAsiaTheme="minorEastAsia"/>
                <w:kern w:val="0"/>
                <w:sz w:val="22"/>
                <w:highlight w:val="none"/>
              </w:rPr>
            </w:pPr>
            <w:r>
              <w:rPr>
                <w:rFonts w:eastAsiaTheme="minorEastAsia"/>
                <w:kern w:val="0"/>
                <w:sz w:val="22"/>
                <w:szCs w:val="22"/>
                <w:highlight w:val="none"/>
              </w:rPr>
              <w:t>非金属矿石</w:t>
            </w:r>
          </w:p>
        </w:tc>
        <w:tc>
          <w:tcPr>
            <w:tcW w:w="500" w:type="pct"/>
            <w:shd w:val="clear" w:color="auto" w:fill="auto"/>
            <w:noWrap/>
            <w:vAlign w:val="center"/>
          </w:tcPr>
          <w:p>
            <w:pPr>
              <w:jc w:val="center"/>
              <w:rPr>
                <w:sz w:val="22"/>
                <w:highlight w:val="none"/>
              </w:rPr>
            </w:pPr>
            <w:r>
              <w:rPr>
                <w:rFonts w:eastAsia="等线"/>
                <w:sz w:val="22"/>
                <w:szCs w:val="22"/>
                <w:highlight w:val="none"/>
              </w:rPr>
              <w:t>0</w:t>
            </w:r>
          </w:p>
        </w:tc>
        <w:tc>
          <w:tcPr>
            <w:tcW w:w="600" w:type="pct"/>
            <w:vAlign w:val="center"/>
          </w:tcPr>
          <w:p>
            <w:pPr>
              <w:jc w:val="center"/>
              <w:rPr>
                <w:sz w:val="22"/>
                <w:highlight w:val="none"/>
              </w:rPr>
            </w:pPr>
            <w:r>
              <w:rPr>
                <w:rFonts w:eastAsia="等线"/>
                <w:sz w:val="22"/>
                <w:szCs w:val="22"/>
                <w:highlight w:val="none"/>
              </w:rPr>
              <w:t>60</w:t>
            </w:r>
          </w:p>
        </w:tc>
        <w:tc>
          <w:tcPr>
            <w:tcW w:w="500" w:type="pct"/>
            <w:vAlign w:val="center"/>
          </w:tcPr>
          <w:p>
            <w:pPr>
              <w:jc w:val="center"/>
              <w:rPr>
                <w:sz w:val="22"/>
                <w:highlight w:val="none"/>
              </w:rPr>
            </w:pPr>
            <w:r>
              <w:rPr>
                <w:rFonts w:eastAsia="等线"/>
                <w:sz w:val="22"/>
                <w:szCs w:val="22"/>
                <w:highlight w:val="none"/>
              </w:rPr>
              <w:t>170</w:t>
            </w:r>
          </w:p>
        </w:tc>
        <w:tc>
          <w:tcPr>
            <w:tcW w:w="500" w:type="pct"/>
            <w:vAlign w:val="center"/>
          </w:tcPr>
          <w:p>
            <w:pPr>
              <w:jc w:val="center"/>
              <w:rPr>
                <w:sz w:val="22"/>
                <w:highlight w:val="none"/>
              </w:rPr>
            </w:pPr>
            <w:r>
              <w:rPr>
                <w:rFonts w:eastAsia="等线"/>
                <w:sz w:val="22"/>
                <w:szCs w:val="22"/>
                <w:highlight w:val="none"/>
              </w:rPr>
              <w:t>80</w:t>
            </w:r>
          </w:p>
        </w:tc>
        <w:tc>
          <w:tcPr>
            <w:tcW w:w="500" w:type="pct"/>
            <w:vAlign w:val="center"/>
          </w:tcPr>
          <w:p>
            <w:pPr>
              <w:jc w:val="center"/>
              <w:rPr>
                <w:sz w:val="22"/>
                <w:highlight w:val="none"/>
              </w:rPr>
            </w:pPr>
            <w:r>
              <w:rPr>
                <w:rFonts w:eastAsia="等线"/>
                <w:sz w:val="22"/>
                <w:szCs w:val="22"/>
                <w:highlight w:val="none"/>
              </w:rPr>
              <w:t>0</w:t>
            </w:r>
          </w:p>
        </w:tc>
        <w:tc>
          <w:tcPr>
            <w:tcW w:w="500" w:type="pct"/>
            <w:vAlign w:val="center"/>
          </w:tcPr>
          <w:p>
            <w:pPr>
              <w:jc w:val="center"/>
              <w:rPr>
                <w:sz w:val="22"/>
                <w:highlight w:val="none"/>
              </w:rPr>
            </w:pPr>
            <w:r>
              <w:rPr>
                <w:rFonts w:eastAsia="等线"/>
                <w:sz w:val="22"/>
                <w:szCs w:val="22"/>
                <w:highlight w:val="none"/>
              </w:rPr>
              <w:t>0</w:t>
            </w:r>
          </w:p>
        </w:tc>
        <w:tc>
          <w:tcPr>
            <w:tcW w:w="500" w:type="pct"/>
            <w:vAlign w:val="center"/>
          </w:tcPr>
          <w:p>
            <w:pPr>
              <w:jc w:val="center"/>
              <w:rPr>
                <w:sz w:val="22"/>
                <w:highlight w:val="none"/>
              </w:rPr>
            </w:pPr>
            <w:r>
              <w:rPr>
                <w:rFonts w:eastAsia="等线"/>
                <w:sz w:val="22"/>
                <w:szCs w:val="22"/>
                <w:highlight w:val="none"/>
              </w:rPr>
              <w:t>30</w:t>
            </w:r>
          </w:p>
        </w:tc>
        <w:tc>
          <w:tcPr>
            <w:tcW w:w="600" w:type="pct"/>
          </w:tcPr>
          <w:p>
            <w:pPr>
              <w:jc w:val="center"/>
              <w:rPr>
                <w:sz w:val="22"/>
                <w:highlight w:val="none"/>
              </w:rPr>
            </w:pPr>
            <w:r>
              <w:rPr>
                <w:highlight w:val="none"/>
              </w:rPr>
              <w:t>0</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01" w:type="pct"/>
            <w:shd w:val="clear" w:color="auto" w:fill="auto"/>
            <w:noWrap/>
            <w:vAlign w:val="center"/>
          </w:tcPr>
          <w:p>
            <w:pPr>
              <w:widowControl/>
              <w:jc w:val="left"/>
              <w:rPr>
                <w:rFonts w:eastAsiaTheme="minorEastAsia"/>
                <w:kern w:val="0"/>
                <w:sz w:val="22"/>
                <w:highlight w:val="none"/>
              </w:rPr>
            </w:pPr>
            <w:r>
              <w:rPr>
                <w:rFonts w:eastAsiaTheme="minorEastAsia"/>
                <w:kern w:val="0"/>
                <w:sz w:val="22"/>
                <w:szCs w:val="22"/>
                <w:highlight w:val="none"/>
              </w:rPr>
              <w:t>盐</w:t>
            </w:r>
          </w:p>
        </w:tc>
        <w:tc>
          <w:tcPr>
            <w:tcW w:w="500" w:type="pct"/>
            <w:shd w:val="clear" w:color="auto" w:fill="auto"/>
            <w:noWrap/>
            <w:vAlign w:val="center"/>
          </w:tcPr>
          <w:p>
            <w:pPr>
              <w:jc w:val="center"/>
              <w:rPr>
                <w:sz w:val="22"/>
                <w:highlight w:val="none"/>
              </w:rPr>
            </w:pPr>
            <w:r>
              <w:rPr>
                <w:rFonts w:eastAsia="等线"/>
                <w:sz w:val="22"/>
                <w:szCs w:val="22"/>
                <w:highlight w:val="none"/>
              </w:rPr>
              <w:t>0</w:t>
            </w:r>
          </w:p>
        </w:tc>
        <w:tc>
          <w:tcPr>
            <w:tcW w:w="600" w:type="pct"/>
            <w:vAlign w:val="center"/>
          </w:tcPr>
          <w:p>
            <w:pPr>
              <w:jc w:val="center"/>
              <w:rPr>
                <w:sz w:val="22"/>
                <w:highlight w:val="none"/>
              </w:rPr>
            </w:pPr>
            <w:r>
              <w:rPr>
                <w:rFonts w:eastAsia="等线"/>
                <w:sz w:val="22"/>
                <w:szCs w:val="22"/>
                <w:highlight w:val="none"/>
              </w:rPr>
              <w:t>30</w:t>
            </w:r>
          </w:p>
        </w:tc>
        <w:tc>
          <w:tcPr>
            <w:tcW w:w="500" w:type="pct"/>
            <w:vAlign w:val="center"/>
          </w:tcPr>
          <w:p>
            <w:pPr>
              <w:jc w:val="center"/>
              <w:rPr>
                <w:sz w:val="22"/>
                <w:highlight w:val="none"/>
              </w:rPr>
            </w:pPr>
            <w:r>
              <w:rPr>
                <w:rFonts w:eastAsia="等线"/>
                <w:sz w:val="22"/>
                <w:szCs w:val="22"/>
                <w:highlight w:val="none"/>
              </w:rPr>
              <w:t>20</w:t>
            </w:r>
          </w:p>
        </w:tc>
        <w:tc>
          <w:tcPr>
            <w:tcW w:w="500" w:type="pct"/>
            <w:vAlign w:val="center"/>
          </w:tcPr>
          <w:p>
            <w:pPr>
              <w:jc w:val="center"/>
              <w:rPr>
                <w:sz w:val="22"/>
                <w:highlight w:val="none"/>
              </w:rPr>
            </w:pPr>
            <w:r>
              <w:rPr>
                <w:rFonts w:eastAsia="等线"/>
                <w:sz w:val="22"/>
                <w:szCs w:val="22"/>
                <w:highlight w:val="none"/>
              </w:rPr>
              <w:t>0</w:t>
            </w:r>
          </w:p>
        </w:tc>
        <w:tc>
          <w:tcPr>
            <w:tcW w:w="500" w:type="pct"/>
            <w:vAlign w:val="center"/>
          </w:tcPr>
          <w:p>
            <w:pPr>
              <w:jc w:val="center"/>
              <w:rPr>
                <w:sz w:val="22"/>
                <w:highlight w:val="none"/>
              </w:rPr>
            </w:pPr>
            <w:r>
              <w:rPr>
                <w:rFonts w:eastAsia="等线"/>
                <w:sz w:val="22"/>
                <w:szCs w:val="22"/>
                <w:highlight w:val="none"/>
              </w:rPr>
              <w:t>0</w:t>
            </w:r>
          </w:p>
        </w:tc>
        <w:tc>
          <w:tcPr>
            <w:tcW w:w="500" w:type="pct"/>
            <w:vAlign w:val="center"/>
          </w:tcPr>
          <w:p>
            <w:pPr>
              <w:jc w:val="center"/>
              <w:rPr>
                <w:sz w:val="22"/>
                <w:highlight w:val="none"/>
              </w:rPr>
            </w:pPr>
            <w:r>
              <w:rPr>
                <w:rFonts w:eastAsia="等线"/>
                <w:sz w:val="22"/>
                <w:szCs w:val="22"/>
                <w:highlight w:val="none"/>
              </w:rPr>
              <w:t>0</w:t>
            </w:r>
          </w:p>
        </w:tc>
        <w:tc>
          <w:tcPr>
            <w:tcW w:w="500" w:type="pct"/>
            <w:vAlign w:val="center"/>
          </w:tcPr>
          <w:p>
            <w:pPr>
              <w:jc w:val="center"/>
              <w:rPr>
                <w:sz w:val="22"/>
                <w:highlight w:val="none"/>
              </w:rPr>
            </w:pPr>
            <w:r>
              <w:rPr>
                <w:rFonts w:eastAsia="等线"/>
                <w:sz w:val="22"/>
                <w:szCs w:val="22"/>
                <w:highlight w:val="none"/>
              </w:rPr>
              <w:t>0</w:t>
            </w:r>
          </w:p>
        </w:tc>
        <w:tc>
          <w:tcPr>
            <w:tcW w:w="600" w:type="pct"/>
          </w:tcPr>
          <w:p>
            <w:pPr>
              <w:jc w:val="center"/>
              <w:rPr>
                <w:sz w:val="22"/>
                <w:highlight w:val="none"/>
              </w:rPr>
            </w:pPr>
            <w:r>
              <w:rPr>
                <w:highlight w:val="none"/>
              </w:rPr>
              <w:t>0</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01" w:type="pct"/>
            <w:shd w:val="clear" w:color="auto" w:fill="auto"/>
            <w:noWrap/>
            <w:vAlign w:val="center"/>
          </w:tcPr>
          <w:p>
            <w:pPr>
              <w:widowControl/>
              <w:jc w:val="left"/>
              <w:rPr>
                <w:rFonts w:eastAsiaTheme="minorEastAsia"/>
                <w:kern w:val="0"/>
                <w:sz w:val="22"/>
                <w:highlight w:val="none"/>
              </w:rPr>
            </w:pPr>
            <w:r>
              <w:rPr>
                <w:rFonts w:eastAsiaTheme="minorEastAsia"/>
                <w:kern w:val="0"/>
                <w:sz w:val="22"/>
                <w:szCs w:val="22"/>
                <w:highlight w:val="none"/>
              </w:rPr>
              <w:t>粮食</w:t>
            </w:r>
          </w:p>
        </w:tc>
        <w:tc>
          <w:tcPr>
            <w:tcW w:w="500" w:type="pct"/>
            <w:shd w:val="clear" w:color="auto" w:fill="auto"/>
            <w:noWrap/>
            <w:vAlign w:val="center"/>
          </w:tcPr>
          <w:p>
            <w:pPr>
              <w:jc w:val="center"/>
              <w:rPr>
                <w:sz w:val="22"/>
                <w:highlight w:val="none"/>
              </w:rPr>
            </w:pPr>
            <w:r>
              <w:rPr>
                <w:rFonts w:eastAsia="等线"/>
                <w:sz w:val="22"/>
                <w:szCs w:val="22"/>
                <w:highlight w:val="none"/>
              </w:rPr>
              <w:t>0</w:t>
            </w:r>
          </w:p>
        </w:tc>
        <w:tc>
          <w:tcPr>
            <w:tcW w:w="600" w:type="pct"/>
            <w:vAlign w:val="center"/>
          </w:tcPr>
          <w:p>
            <w:pPr>
              <w:jc w:val="center"/>
              <w:rPr>
                <w:sz w:val="22"/>
                <w:highlight w:val="none"/>
              </w:rPr>
            </w:pPr>
            <w:r>
              <w:rPr>
                <w:rFonts w:eastAsia="等线"/>
                <w:sz w:val="22"/>
                <w:szCs w:val="22"/>
                <w:highlight w:val="none"/>
              </w:rPr>
              <w:t>30</w:t>
            </w:r>
          </w:p>
        </w:tc>
        <w:tc>
          <w:tcPr>
            <w:tcW w:w="500" w:type="pct"/>
            <w:vAlign w:val="center"/>
          </w:tcPr>
          <w:p>
            <w:pPr>
              <w:jc w:val="center"/>
              <w:rPr>
                <w:sz w:val="22"/>
                <w:highlight w:val="none"/>
              </w:rPr>
            </w:pPr>
            <w:r>
              <w:rPr>
                <w:rFonts w:eastAsia="等线"/>
                <w:sz w:val="22"/>
                <w:szCs w:val="22"/>
                <w:highlight w:val="none"/>
              </w:rPr>
              <w:t>50</w:t>
            </w:r>
          </w:p>
        </w:tc>
        <w:tc>
          <w:tcPr>
            <w:tcW w:w="500" w:type="pct"/>
            <w:vAlign w:val="center"/>
          </w:tcPr>
          <w:p>
            <w:pPr>
              <w:jc w:val="center"/>
              <w:rPr>
                <w:sz w:val="22"/>
                <w:highlight w:val="none"/>
              </w:rPr>
            </w:pPr>
            <w:r>
              <w:rPr>
                <w:rFonts w:eastAsia="等线"/>
                <w:sz w:val="22"/>
                <w:szCs w:val="22"/>
                <w:highlight w:val="none"/>
              </w:rPr>
              <w:t>0</w:t>
            </w:r>
          </w:p>
        </w:tc>
        <w:tc>
          <w:tcPr>
            <w:tcW w:w="500" w:type="pct"/>
            <w:vAlign w:val="center"/>
          </w:tcPr>
          <w:p>
            <w:pPr>
              <w:jc w:val="center"/>
              <w:rPr>
                <w:sz w:val="22"/>
                <w:highlight w:val="none"/>
              </w:rPr>
            </w:pPr>
            <w:r>
              <w:rPr>
                <w:rFonts w:eastAsia="等线"/>
                <w:sz w:val="22"/>
                <w:szCs w:val="22"/>
                <w:highlight w:val="none"/>
              </w:rPr>
              <w:t>0</w:t>
            </w:r>
          </w:p>
        </w:tc>
        <w:tc>
          <w:tcPr>
            <w:tcW w:w="500" w:type="pct"/>
            <w:vAlign w:val="center"/>
          </w:tcPr>
          <w:p>
            <w:pPr>
              <w:jc w:val="center"/>
              <w:rPr>
                <w:sz w:val="22"/>
                <w:highlight w:val="none"/>
              </w:rPr>
            </w:pPr>
            <w:r>
              <w:rPr>
                <w:rFonts w:eastAsia="等线"/>
                <w:sz w:val="22"/>
                <w:szCs w:val="22"/>
                <w:highlight w:val="none"/>
              </w:rPr>
              <w:t>0</w:t>
            </w:r>
          </w:p>
        </w:tc>
        <w:tc>
          <w:tcPr>
            <w:tcW w:w="500" w:type="pct"/>
            <w:vAlign w:val="center"/>
          </w:tcPr>
          <w:p>
            <w:pPr>
              <w:jc w:val="center"/>
              <w:rPr>
                <w:sz w:val="22"/>
                <w:highlight w:val="none"/>
              </w:rPr>
            </w:pPr>
            <w:r>
              <w:rPr>
                <w:rFonts w:eastAsia="等线"/>
                <w:sz w:val="22"/>
                <w:szCs w:val="22"/>
                <w:highlight w:val="none"/>
              </w:rPr>
              <w:t>0</w:t>
            </w:r>
          </w:p>
        </w:tc>
        <w:tc>
          <w:tcPr>
            <w:tcW w:w="600" w:type="pct"/>
          </w:tcPr>
          <w:p>
            <w:pPr>
              <w:jc w:val="center"/>
              <w:rPr>
                <w:sz w:val="22"/>
                <w:highlight w:val="none"/>
              </w:rPr>
            </w:pPr>
            <w:r>
              <w:rPr>
                <w:highlight w:val="none"/>
              </w:rPr>
              <w:t>0</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01" w:type="pct"/>
            <w:shd w:val="clear" w:color="auto" w:fill="auto"/>
            <w:noWrap/>
            <w:vAlign w:val="center"/>
          </w:tcPr>
          <w:p>
            <w:pPr>
              <w:widowControl/>
              <w:jc w:val="left"/>
              <w:rPr>
                <w:rFonts w:eastAsiaTheme="minorEastAsia"/>
                <w:kern w:val="0"/>
                <w:sz w:val="22"/>
                <w:highlight w:val="none"/>
              </w:rPr>
            </w:pPr>
            <w:r>
              <w:rPr>
                <w:rFonts w:eastAsiaTheme="minorEastAsia"/>
                <w:kern w:val="0"/>
                <w:sz w:val="22"/>
                <w:szCs w:val="22"/>
                <w:highlight w:val="none"/>
              </w:rPr>
              <w:t>机械设备及电器</w:t>
            </w:r>
          </w:p>
        </w:tc>
        <w:tc>
          <w:tcPr>
            <w:tcW w:w="500" w:type="pct"/>
            <w:shd w:val="clear" w:color="auto" w:fill="auto"/>
            <w:noWrap/>
            <w:vAlign w:val="center"/>
          </w:tcPr>
          <w:p>
            <w:pPr>
              <w:jc w:val="center"/>
              <w:rPr>
                <w:sz w:val="22"/>
                <w:highlight w:val="none"/>
              </w:rPr>
            </w:pPr>
            <w:r>
              <w:rPr>
                <w:rFonts w:eastAsia="等线"/>
                <w:sz w:val="22"/>
                <w:szCs w:val="22"/>
                <w:highlight w:val="none"/>
              </w:rPr>
              <w:t>15</w:t>
            </w:r>
          </w:p>
        </w:tc>
        <w:tc>
          <w:tcPr>
            <w:tcW w:w="600" w:type="pct"/>
            <w:vAlign w:val="center"/>
          </w:tcPr>
          <w:p>
            <w:pPr>
              <w:jc w:val="center"/>
              <w:rPr>
                <w:highlight w:val="none"/>
              </w:rPr>
            </w:pPr>
            <w:r>
              <w:rPr>
                <w:rFonts w:eastAsia="等线"/>
                <w:sz w:val="22"/>
                <w:szCs w:val="22"/>
                <w:highlight w:val="none"/>
              </w:rPr>
              <w:t>40</w:t>
            </w:r>
          </w:p>
        </w:tc>
        <w:tc>
          <w:tcPr>
            <w:tcW w:w="500" w:type="pct"/>
            <w:vAlign w:val="center"/>
          </w:tcPr>
          <w:p>
            <w:pPr>
              <w:jc w:val="center"/>
              <w:rPr>
                <w:highlight w:val="none"/>
              </w:rPr>
            </w:pPr>
            <w:r>
              <w:rPr>
                <w:rFonts w:eastAsia="等线"/>
                <w:sz w:val="22"/>
                <w:szCs w:val="22"/>
                <w:highlight w:val="none"/>
              </w:rPr>
              <w:t>40</w:t>
            </w:r>
          </w:p>
        </w:tc>
        <w:tc>
          <w:tcPr>
            <w:tcW w:w="500" w:type="pct"/>
            <w:vAlign w:val="center"/>
          </w:tcPr>
          <w:p>
            <w:pPr>
              <w:jc w:val="center"/>
              <w:rPr>
                <w:highlight w:val="none"/>
              </w:rPr>
            </w:pPr>
            <w:r>
              <w:rPr>
                <w:rFonts w:eastAsia="等线"/>
                <w:sz w:val="22"/>
                <w:szCs w:val="22"/>
                <w:highlight w:val="none"/>
              </w:rPr>
              <w:t>0</w:t>
            </w:r>
          </w:p>
        </w:tc>
        <w:tc>
          <w:tcPr>
            <w:tcW w:w="500" w:type="pct"/>
            <w:vAlign w:val="center"/>
          </w:tcPr>
          <w:p>
            <w:pPr>
              <w:jc w:val="center"/>
              <w:rPr>
                <w:highlight w:val="none"/>
              </w:rPr>
            </w:pPr>
            <w:r>
              <w:rPr>
                <w:rFonts w:eastAsia="等线"/>
                <w:sz w:val="22"/>
                <w:szCs w:val="22"/>
                <w:highlight w:val="none"/>
              </w:rPr>
              <w:t>0</w:t>
            </w:r>
          </w:p>
        </w:tc>
        <w:tc>
          <w:tcPr>
            <w:tcW w:w="500" w:type="pct"/>
            <w:vAlign w:val="center"/>
          </w:tcPr>
          <w:p>
            <w:pPr>
              <w:jc w:val="center"/>
              <w:rPr>
                <w:highlight w:val="none"/>
              </w:rPr>
            </w:pPr>
            <w:r>
              <w:rPr>
                <w:rFonts w:eastAsia="等线"/>
                <w:sz w:val="22"/>
                <w:szCs w:val="22"/>
                <w:highlight w:val="none"/>
              </w:rPr>
              <w:t>0</w:t>
            </w:r>
          </w:p>
        </w:tc>
        <w:tc>
          <w:tcPr>
            <w:tcW w:w="500" w:type="pct"/>
            <w:vAlign w:val="center"/>
          </w:tcPr>
          <w:p>
            <w:pPr>
              <w:jc w:val="center"/>
              <w:rPr>
                <w:highlight w:val="none"/>
              </w:rPr>
            </w:pPr>
            <w:r>
              <w:rPr>
                <w:rFonts w:eastAsia="等线"/>
                <w:sz w:val="22"/>
                <w:szCs w:val="22"/>
                <w:highlight w:val="none"/>
              </w:rPr>
              <w:t>0</w:t>
            </w:r>
          </w:p>
        </w:tc>
        <w:tc>
          <w:tcPr>
            <w:tcW w:w="600" w:type="pct"/>
          </w:tcPr>
          <w:p>
            <w:pPr>
              <w:jc w:val="center"/>
              <w:rPr>
                <w:highlight w:val="none"/>
              </w:rPr>
            </w:pPr>
            <w:r>
              <w:rPr>
                <w:highlight w:val="none"/>
              </w:rPr>
              <w:t>0</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01" w:type="pct"/>
            <w:shd w:val="clear" w:color="auto" w:fill="auto"/>
            <w:noWrap/>
            <w:vAlign w:val="center"/>
          </w:tcPr>
          <w:p>
            <w:pPr>
              <w:widowControl/>
              <w:jc w:val="right"/>
              <w:rPr>
                <w:rFonts w:eastAsiaTheme="minorEastAsia"/>
                <w:kern w:val="0"/>
                <w:sz w:val="22"/>
                <w:highlight w:val="none"/>
              </w:rPr>
            </w:pPr>
            <w:r>
              <w:rPr>
                <w:rFonts w:eastAsiaTheme="minorEastAsia"/>
                <w:kern w:val="0"/>
                <w:sz w:val="22"/>
                <w:szCs w:val="22"/>
                <w:highlight w:val="none"/>
              </w:rPr>
              <w:t>其中：重大件</w:t>
            </w:r>
          </w:p>
        </w:tc>
        <w:tc>
          <w:tcPr>
            <w:tcW w:w="500" w:type="pct"/>
            <w:shd w:val="clear" w:color="auto" w:fill="auto"/>
            <w:noWrap/>
            <w:vAlign w:val="center"/>
          </w:tcPr>
          <w:p>
            <w:pPr>
              <w:jc w:val="center"/>
              <w:rPr>
                <w:sz w:val="22"/>
                <w:highlight w:val="none"/>
              </w:rPr>
            </w:pPr>
            <w:r>
              <w:rPr>
                <w:rFonts w:eastAsia="等线"/>
                <w:sz w:val="22"/>
                <w:szCs w:val="22"/>
                <w:highlight w:val="none"/>
              </w:rPr>
              <w:t>15</w:t>
            </w:r>
          </w:p>
        </w:tc>
        <w:tc>
          <w:tcPr>
            <w:tcW w:w="600" w:type="pct"/>
            <w:vAlign w:val="center"/>
          </w:tcPr>
          <w:p>
            <w:pPr>
              <w:jc w:val="center"/>
              <w:rPr>
                <w:highlight w:val="none"/>
              </w:rPr>
            </w:pPr>
            <w:r>
              <w:rPr>
                <w:rFonts w:eastAsia="等线"/>
                <w:sz w:val="22"/>
                <w:szCs w:val="22"/>
                <w:highlight w:val="none"/>
              </w:rPr>
              <w:t>0</w:t>
            </w:r>
          </w:p>
        </w:tc>
        <w:tc>
          <w:tcPr>
            <w:tcW w:w="500" w:type="pct"/>
            <w:vAlign w:val="center"/>
          </w:tcPr>
          <w:p>
            <w:pPr>
              <w:jc w:val="center"/>
              <w:rPr>
                <w:highlight w:val="none"/>
              </w:rPr>
            </w:pPr>
            <w:r>
              <w:rPr>
                <w:rFonts w:eastAsia="等线"/>
                <w:sz w:val="22"/>
                <w:szCs w:val="22"/>
                <w:highlight w:val="none"/>
              </w:rPr>
              <w:t>0</w:t>
            </w:r>
          </w:p>
        </w:tc>
        <w:tc>
          <w:tcPr>
            <w:tcW w:w="500" w:type="pct"/>
            <w:vAlign w:val="center"/>
          </w:tcPr>
          <w:p>
            <w:pPr>
              <w:jc w:val="center"/>
              <w:rPr>
                <w:highlight w:val="none"/>
              </w:rPr>
            </w:pPr>
            <w:r>
              <w:rPr>
                <w:rFonts w:eastAsia="等线"/>
                <w:sz w:val="22"/>
                <w:szCs w:val="22"/>
                <w:highlight w:val="none"/>
              </w:rPr>
              <w:t>0</w:t>
            </w:r>
          </w:p>
        </w:tc>
        <w:tc>
          <w:tcPr>
            <w:tcW w:w="500" w:type="pct"/>
            <w:vAlign w:val="center"/>
          </w:tcPr>
          <w:p>
            <w:pPr>
              <w:jc w:val="center"/>
              <w:rPr>
                <w:highlight w:val="none"/>
              </w:rPr>
            </w:pPr>
            <w:r>
              <w:rPr>
                <w:rFonts w:eastAsia="等线"/>
                <w:sz w:val="22"/>
                <w:szCs w:val="22"/>
                <w:highlight w:val="none"/>
              </w:rPr>
              <w:t>0</w:t>
            </w:r>
          </w:p>
        </w:tc>
        <w:tc>
          <w:tcPr>
            <w:tcW w:w="500" w:type="pct"/>
            <w:vAlign w:val="center"/>
          </w:tcPr>
          <w:p>
            <w:pPr>
              <w:jc w:val="center"/>
              <w:rPr>
                <w:highlight w:val="none"/>
              </w:rPr>
            </w:pPr>
            <w:r>
              <w:rPr>
                <w:rFonts w:eastAsia="等线"/>
                <w:sz w:val="22"/>
                <w:szCs w:val="22"/>
                <w:highlight w:val="none"/>
              </w:rPr>
              <w:t>0</w:t>
            </w:r>
          </w:p>
        </w:tc>
        <w:tc>
          <w:tcPr>
            <w:tcW w:w="500" w:type="pct"/>
            <w:vAlign w:val="center"/>
          </w:tcPr>
          <w:p>
            <w:pPr>
              <w:jc w:val="center"/>
              <w:rPr>
                <w:highlight w:val="none"/>
              </w:rPr>
            </w:pPr>
            <w:r>
              <w:rPr>
                <w:rFonts w:eastAsia="等线"/>
                <w:sz w:val="22"/>
                <w:szCs w:val="22"/>
                <w:highlight w:val="none"/>
              </w:rPr>
              <w:t>0</w:t>
            </w:r>
          </w:p>
        </w:tc>
        <w:tc>
          <w:tcPr>
            <w:tcW w:w="600" w:type="pct"/>
          </w:tcPr>
          <w:p>
            <w:pPr>
              <w:jc w:val="center"/>
              <w:rPr>
                <w:highlight w:val="none"/>
              </w:rPr>
            </w:pPr>
            <w:r>
              <w:rPr>
                <w:highlight w:val="none"/>
              </w:rPr>
              <w:t>0</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01" w:type="pct"/>
            <w:shd w:val="clear" w:color="auto" w:fill="auto"/>
            <w:noWrap/>
            <w:vAlign w:val="center"/>
          </w:tcPr>
          <w:p>
            <w:pPr>
              <w:widowControl/>
              <w:jc w:val="left"/>
              <w:rPr>
                <w:rFonts w:eastAsiaTheme="minorEastAsia"/>
                <w:kern w:val="0"/>
                <w:sz w:val="22"/>
                <w:highlight w:val="none"/>
              </w:rPr>
            </w:pPr>
            <w:r>
              <w:rPr>
                <w:rFonts w:eastAsiaTheme="minorEastAsia"/>
                <w:kern w:val="0"/>
                <w:sz w:val="22"/>
                <w:szCs w:val="22"/>
                <w:highlight w:val="none"/>
              </w:rPr>
              <w:t>化工原料及制品</w:t>
            </w:r>
          </w:p>
        </w:tc>
        <w:tc>
          <w:tcPr>
            <w:tcW w:w="500" w:type="pct"/>
            <w:shd w:val="clear" w:color="auto" w:fill="auto"/>
            <w:noWrap/>
            <w:vAlign w:val="center"/>
          </w:tcPr>
          <w:p>
            <w:pPr>
              <w:jc w:val="center"/>
              <w:rPr>
                <w:sz w:val="22"/>
                <w:highlight w:val="none"/>
              </w:rPr>
            </w:pPr>
            <w:r>
              <w:rPr>
                <w:rFonts w:eastAsia="等线"/>
                <w:sz w:val="22"/>
                <w:szCs w:val="22"/>
                <w:highlight w:val="none"/>
              </w:rPr>
              <w:t>0</w:t>
            </w:r>
          </w:p>
        </w:tc>
        <w:tc>
          <w:tcPr>
            <w:tcW w:w="600" w:type="pct"/>
            <w:vAlign w:val="center"/>
          </w:tcPr>
          <w:p>
            <w:pPr>
              <w:jc w:val="center"/>
              <w:rPr>
                <w:sz w:val="22"/>
                <w:highlight w:val="none"/>
              </w:rPr>
            </w:pPr>
            <w:r>
              <w:rPr>
                <w:rFonts w:eastAsia="等线"/>
                <w:sz w:val="22"/>
                <w:szCs w:val="22"/>
                <w:highlight w:val="none"/>
              </w:rPr>
              <w:t>60</w:t>
            </w:r>
          </w:p>
        </w:tc>
        <w:tc>
          <w:tcPr>
            <w:tcW w:w="500" w:type="pct"/>
            <w:vAlign w:val="center"/>
          </w:tcPr>
          <w:p>
            <w:pPr>
              <w:jc w:val="center"/>
              <w:rPr>
                <w:sz w:val="22"/>
                <w:highlight w:val="none"/>
              </w:rPr>
            </w:pPr>
            <w:r>
              <w:rPr>
                <w:rFonts w:eastAsia="等线"/>
                <w:sz w:val="22"/>
                <w:szCs w:val="22"/>
                <w:highlight w:val="none"/>
              </w:rPr>
              <w:t>20</w:t>
            </w:r>
          </w:p>
        </w:tc>
        <w:tc>
          <w:tcPr>
            <w:tcW w:w="500" w:type="pct"/>
            <w:vAlign w:val="center"/>
          </w:tcPr>
          <w:p>
            <w:pPr>
              <w:jc w:val="center"/>
              <w:rPr>
                <w:sz w:val="22"/>
                <w:highlight w:val="none"/>
              </w:rPr>
            </w:pPr>
            <w:r>
              <w:rPr>
                <w:rFonts w:eastAsia="等线"/>
                <w:sz w:val="22"/>
                <w:szCs w:val="22"/>
                <w:highlight w:val="none"/>
              </w:rPr>
              <w:t>30</w:t>
            </w:r>
          </w:p>
        </w:tc>
        <w:tc>
          <w:tcPr>
            <w:tcW w:w="500" w:type="pct"/>
            <w:vAlign w:val="center"/>
          </w:tcPr>
          <w:p>
            <w:pPr>
              <w:jc w:val="center"/>
              <w:rPr>
                <w:sz w:val="22"/>
                <w:highlight w:val="none"/>
              </w:rPr>
            </w:pPr>
            <w:r>
              <w:rPr>
                <w:rFonts w:eastAsia="等线"/>
                <w:sz w:val="22"/>
                <w:szCs w:val="22"/>
                <w:highlight w:val="none"/>
              </w:rPr>
              <w:t>0</w:t>
            </w:r>
          </w:p>
        </w:tc>
        <w:tc>
          <w:tcPr>
            <w:tcW w:w="500" w:type="pct"/>
            <w:vAlign w:val="center"/>
          </w:tcPr>
          <w:p>
            <w:pPr>
              <w:jc w:val="center"/>
              <w:rPr>
                <w:sz w:val="22"/>
                <w:highlight w:val="none"/>
              </w:rPr>
            </w:pPr>
            <w:r>
              <w:rPr>
                <w:rFonts w:eastAsia="等线"/>
                <w:sz w:val="22"/>
                <w:szCs w:val="22"/>
                <w:highlight w:val="none"/>
              </w:rPr>
              <w:t>0</w:t>
            </w:r>
          </w:p>
        </w:tc>
        <w:tc>
          <w:tcPr>
            <w:tcW w:w="500" w:type="pct"/>
            <w:vAlign w:val="center"/>
          </w:tcPr>
          <w:p>
            <w:pPr>
              <w:jc w:val="center"/>
              <w:rPr>
                <w:sz w:val="22"/>
                <w:highlight w:val="none"/>
              </w:rPr>
            </w:pPr>
            <w:r>
              <w:rPr>
                <w:rFonts w:eastAsia="等线"/>
                <w:sz w:val="22"/>
                <w:szCs w:val="22"/>
                <w:highlight w:val="none"/>
              </w:rPr>
              <w:t>0</w:t>
            </w:r>
          </w:p>
        </w:tc>
        <w:tc>
          <w:tcPr>
            <w:tcW w:w="600" w:type="pct"/>
          </w:tcPr>
          <w:p>
            <w:pPr>
              <w:jc w:val="center"/>
              <w:rPr>
                <w:sz w:val="22"/>
                <w:highlight w:val="none"/>
              </w:rPr>
            </w:pPr>
            <w:r>
              <w:rPr>
                <w:highlight w:val="none"/>
              </w:rPr>
              <w:t>0</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01" w:type="pct"/>
            <w:shd w:val="clear" w:color="auto" w:fill="auto"/>
            <w:noWrap/>
            <w:vAlign w:val="center"/>
          </w:tcPr>
          <w:p>
            <w:pPr>
              <w:widowControl/>
              <w:jc w:val="left"/>
              <w:rPr>
                <w:rFonts w:eastAsiaTheme="minorEastAsia"/>
                <w:kern w:val="0"/>
                <w:sz w:val="22"/>
                <w:highlight w:val="none"/>
              </w:rPr>
            </w:pPr>
            <w:r>
              <w:rPr>
                <w:rFonts w:eastAsiaTheme="minorEastAsia"/>
                <w:kern w:val="0"/>
                <w:sz w:val="22"/>
                <w:szCs w:val="22"/>
                <w:highlight w:val="none"/>
              </w:rPr>
              <w:t>其他</w:t>
            </w:r>
          </w:p>
        </w:tc>
        <w:tc>
          <w:tcPr>
            <w:tcW w:w="500" w:type="pct"/>
            <w:shd w:val="clear" w:color="auto" w:fill="auto"/>
            <w:noWrap/>
            <w:vAlign w:val="center"/>
          </w:tcPr>
          <w:p>
            <w:pPr>
              <w:jc w:val="center"/>
              <w:rPr>
                <w:sz w:val="22"/>
                <w:highlight w:val="none"/>
              </w:rPr>
            </w:pPr>
            <w:r>
              <w:rPr>
                <w:rFonts w:eastAsia="等线"/>
                <w:sz w:val="22"/>
                <w:szCs w:val="22"/>
                <w:highlight w:val="none"/>
              </w:rPr>
              <w:t>0</w:t>
            </w:r>
          </w:p>
        </w:tc>
        <w:tc>
          <w:tcPr>
            <w:tcW w:w="600" w:type="pct"/>
            <w:vAlign w:val="center"/>
          </w:tcPr>
          <w:p>
            <w:pPr>
              <w:jc w:val="center"/>
              <w:rPr>
                <w:sz w:val="22"/>
                <w:highlight w:val="none"/>
              </w:rPr>
            </w:pPr>
            <w:r>
              <w:rPr>
                <w:rFonts w:eastAsia="等线"/>
                <w:sz w:val="22"/>
                <w:szCs w:val="22"/>
                <w:highlight w:val="none"/>
              </w:rPr>
              <w:t>30</w:t>
            </w:r>
          </w:p>
        </w:tc>
        <w:tc>
          <w:tcPr>
            <w:tcW w:w="500" w:type="pct"/>
            <w:vAlign w:val="center"/>
          </w:tcPr>
          <w:p>
            <w:pPr>
              <w:jc w:val="center"/>
              <w:rPr>
                <w:sz w:val="22"/>
                <w:highlight w:val="none"/>
              </w:rPr>
            </w:pPr>
            <w:r>
              <w:rPr>
                <w:rFonts w:eastAsia="等线"/>
                <w:sz w:val="22"/>
                <w:szCs w:val="22"/>
                <w:highlight w:val="none"/>
              </w:rPr>
              <w:t>20</w:t>
            </w:r>
          </w:p>
        </w:tc>
        <w:tc>
          <w:tcPr>
            <w:tcW w:w="500" w:type="pct"/>
            <w:vAlign w:val="center"/>
          </w:tcPr>
          <w:p>
            <w:pPr>
              <w:jc w:val="center"/>
              <w:rPr>
                <w:sz w:val="22"/>
                <w:highlight w:val="none"/>
              </w:rPr>
            </w:pPr>
            <w:r>
              <w:rPr>
                <w:rFonts w:eastAsia="等线"/>
                <w:sz w:val="22"/>
                <w:szCs w:val="22"/>
                <w:highlight w:val="none"/>
              </w:rPr>
              <w:t>20</w:t>
            </w:r>
          </w:p>
        </w:tc>
        <w:tc>
          <w:tcPr>
            <w:tcW w:w="500" w:type="pct"/>
            <w:vAlign w:val="center"/>
          </w:tcPr>
          <w:p>
            <w:pPr>
              <w:jc w:val="center"/>
              <w:rPr>
                <w:sz w:val="22"/>
                <w:highlight w:val="none"/>
              </w:rPr>
            </w:pPr>
            <w:r>
              <w:rPr>
                <w:rFonts w:eastAsia="等线"/>
                <w:sz w:val="22"/>
                <w:szCs w:val="22"/>
                <w:highlight w:val="none"/>
              </w:rPr>
              <w:t>0</w:t>
            </w:r>
          </w:p>
        </w:tc>
        <w:tc>
          <w:tcPr>
            <w:tcW w:w="500" w:type="pct"/>
            <w:vAlign w:val="center"/>
          </w:tcPr>
          <w:p>
            <w:pPr>
              <w:jc w:val="center"/>
              <w:rPr>
                <w:sz w:val="22"/>
                <w:highlight w:val="none"/>
              </w:rPr>
            </w:pPr>
            <w:r>
              <w:rPr>
                <w:rFonts w:eastAsia="等线"/>
                <w:sz w:val="22"/>
                <w:szCs w:val="22"/>
                <w:highlight w:val="none"/>
              </w:rPr>
              <w:t>0</w:t>
            </w:r>
          </w:p>
        </w:tc>
        <w:tc>
          <w:tcPr>
            <w:tcW w:w="500" w:type="pct"/>
            <w:vAlign w:val="center"/>
          </w:tcPr>
          <w:p>
            <w:pPr>
              <w:jc w:val="center"/>
              <w:rPr>
                <w:sz w:val="22"/>
                <w:highlight w:val="none"/>
              </w:rPr>
            </w:pPr>
            <w:r>
              <w:rPr>
                <w:rFonts w:eastAsia="等线"/>
                <w:sz w:val="22"/>
                <w:szCs w:val="22"/>
                <w:highlight w:val="none"/>
              </w:rPr>
              <w:t>0</w:t>
            </w:r>
          </w:p>
        </w:tc>
        <w:tc>
          <w:tcPr>
            <w:tcW w:w="600" w:type="pct"/>
          </w:tcPr>
          <w:p>
            <w:pPr>
              <w:jc w:val="center"/>
              <w:rPr>
                <w:sz w:val="22"/>
                <w:highlight w:val="none"/>
              </w:rPr>
            </w:pPr>
            <w:r>
              <w:rPr>
                <w:highlight w:val="none"/>
              </w:rPr>
              <w:t>0</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01" w:type="pct"/>
            <w:shd w:val="clear" w:color="auto" w:fill="auto"/>
            <w:noWrap/>
            <w:vAlign w:val="center"/>
          </w:tcPr>
          <w:p>
            <w:pPr>
              <w:widowControl/>
              <w:jc w:val="right"/>
              <w:rPr>
                <w:rFonts w:eastAsiaTheme="minorEastAsia"/>
                <w:kern w:val="0"/>
                <w:sz w:val="22"/>
                <w:highlight w:val="none"/>
              </w:rPr>
            </w:pPr>
            <w:r>
              <w:rPr>
                <w:rFonts w:eastAsiaTheme="minorEastAsia"/>
                <w:kern w:val="0"/>
                <w:sz w:val="22"/>
                <w:szCs w:val="22"/>
                <w:highlight w:val="none"/>
              </w:rPr>
              <w:t>其中：集装箱</w:t>
            </w:r>
          </w:p>
        </w:tc>
        <w:tc>
          <w:tcPr>
            <w:tcW w:w="500" w:type="pct"/>
            <w:shd w:val="clear" w:color="auto" w:fill="auto"/>
            <w:noWrap/>
            <w:vAlign w:val="center"/>
          </w:tcPr>
          <w:p>
            <w:pPr>
              <w:jc w:val="center"/>
              <w:rPr>
                <w:sz w:val="22"/>
                <w:highlight w:val="none"/>
              </w:rPr>
            </w:pPr>
            <w:r>
              <w:rPr>
                <w:rFonts w:hint="eastAsia"/>
                <w:sz w:val="22"/>
                <w:highlight w:val="none"/>
              </w:rPr>
              <w:t>0</w:t>
            </w:r>
          </w:p>
        </w:tc>
        <w:tc>
          <w:tcPr>
            <w:tcW w:w="600" w:type="pct"/>
            <w:vAlign w:val="center"/>
          </w:tcPr>
          <w:p>
            <w:pPr>
              <w:jc w:val="center"/>
              <w:rPr>
                <w:sz w:val="22"/>
                <w:highlight w:val="none"/>
              </w:rPr>
            </w:pPr>
            <w:r>
              <w:rPr>
                <w:rFonts w:eastAsia="等线"/>
                <w:sz w:val="22"/>
                <w:szCs w:val="22"/>
                <w:highlight w:val="none"/>
              </w:rPr>
              <w:t>5</w:t>
            </w:r>
          </w:p>
        </w:tc>
        <w:tc>
          <w:tcPr>
            <w:tcW w:w="500" w:type="pct"/>
            <w:vAlign w:val="center"/>
          </w:tcPr>
          <w:p>
            <w:pPr>
              <w:jc w:val="center"/>
              <w:rPr>
                <w:sz w:val="22"/>
                <w:highlight w:val="none"/>
              </w:rPr>
            </w:pPr>
            <w:r>
              <w:rPr>
                <w:rFonts w:eastAsia="等线"/>
                <w:sz w:val="22"/>
                <w:szCs w:val="22"/>
                <w:highlight w:val="none"/>
              </w:rPr>
              <w:t>15</w:t>
            </w:r>
          </w:p>
        </w:tc>
        <w:tc>
          <w:tcPr>
            <w:tcW w:w="500" w:type="pct"/>
            <w:vAlign w:val="center"/>
          </w:tcPr>
          <w:p>
            <w:pPr>
              <w:jc w:val="center"/>
              <w:rPr>
                <w:sz w:val="22"/>
                <w:highlight w:val="none"/>
              </w:rPr>
            </w:pPr>
            <w:r>
              <w:rPr>
                <w:rFonts w:hint="eastAsia" w:eastAsia="等线"/>
                <w:sz w:val="22"/>
                <w:szCs w:val="22"/>
                <w:highlight w:val="none"/>
              </w:rPr>
              <w:t>0</w:t>
            </w:r>
          </w:p>
        </w:tc>
        <w:tc>
          <w:tcPr>
            <w:tcW w:w="500" w:type="pct"/>
            <w:vAlign w:val="center"/>
          </w:tcPr>
          <w:p>
            <w:pPr>
              <w:jc w:val="center"/>
              <w:rPr>
                <w:sz w:val="22"/>
                <w:highlight w:val="none"/>
              </w:rPr>
            </w:pPr>
            <w:r>
              <w:rPr>
                <w:rFonts w:hint="eastAsia" w:eastAsia="等线"/>
                <w:sz w:val="22"/>
                <w:szCs w:val="22"/>
                <w:highlight w:val="none"/>
              </w:rPr>
              <w:t>0</w:t>
            </w:r>
          </w:p>
        </w:tc>
        <w:tc>
          <w:tcPr>
            <w:tcW w:w="500" w:type="pct"/>
            <w:vAlign w:val="center"/>
          </w:tcPr>
          <w:p>
            <w:pPr>
              <w:jc w:val="center"/>
              <w:rPr>
                <w:sz w:val="22"/>
                <w:highlight w:val="none"/>
              </w:rPr>
            </w:pPr>
            <w:r>
              <w:rPr>
                <w:rFonts w:eastAsia="等线"/>
                <w:sz w:val="22"/>
                <w:szCs w:val="22"/>
                <w:highlight w:val="none"/>
              </w:rPr>
              <w:t>0</w:t>
            </w:r>
          </w:p>
        </w:tc>
        <w:tc>
          <w:tcPr>
            <w:tcW w:w="500" w:type="pct"/>
            <w:vAlign w:val="center"/>
          </w:tcPr>
          <w:p>
            <w:pPr>
              <w:jc w:val="center"/>
              <w:rPr>
                <w:sz w:val="22"/>
                <w:highlight w:val="none"/>
              </w:rPr>
            </w:pPr>
            <w:r>
              <w:rPr>
                <w:rFonts w:hint="eastAsia" w:eastAsia="等线"/>
                <w:sz w:val="22"/>
                <w:szCs w:val="22"/>
                <w:highlight w:val="none"/>
              </w:rPr>
              <w:t>0</w:t>
            </w:r>
          </w:p>
        </w:tc>
        <w:tc>
          <w:tcPr>
            <w:tcW w:w="600" w:type="pct"/>
          </w:tcPr>
          <w:p>
            <w:pPr>
              <w:jc w:val="center"/>
              <w:rPr>
                <w:sz w:val="22"/>
                <w:highlight w:val="none"/>
              </w:rPr>
            </w:pPr>
            <w:r>
              <w:rPr>
                <w:highlight w:val="none"/>
              </w:rPr>
              <w:t>0</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01" w:type="pct"/>
            <w:shd w:val="clear" w:color="auto" w:fill="auto"/>
            <w:noWrap/>
            <w:vAlign w:val="center"/>
          </w:tcPr>
          <w:p>
            <w:pPr>
              <w:widowControl/>
              <w:jc w:val="left"/>
              <w:rPr>
                <w:rFonts w:eastAsiaTheme="minorEastAsia"/>
                <w:kern w:val="0"/>
                <w:sz w:val="22"/>
                <w:highlight w:val="none"/>
              </w:rPr>
            </w:pPr>
            <w:r>
              <w:rPr>
                <w:rFonts w:eastAsiaTheme="minorEastAsia"/>
                <w:kern w:val="0"/>
                <w:sz w:val="22"/>
                <w:szCs w:val="22"/>
                <w:highlight w:val="none"/>
              </w:rPr>
              <w:t>旅客吞吐量</w:t>
            </w:r>
          </w:p>
        </w:tc>
        <w:tc>
          <w:tcPr>
            <w:tcW w:w="500" w:type="pct"/>
            <w:shd w:val="clear" w:color="auto" w:fill="auto"/>
            <w:noWrap/>
            <w:vAlign w:val="center"/>
          </w:tcPr>
          <w:p>
            <w:pPr>
              <w:jc w:val="center"/>
              <w:rPr>
                <w:sz w:val="22"/>
                <w:highlight w:val="none"/>
              </w:rPr>
            </w:pPr>
            <w:r>
              <w:rPr>
                <w:rFonts w:eastAsia="等线"/>
                <w:sz w:val="22"/>
                <w:szCs w:val="22"/>
                <w:highlight w:val="none"/>
              </w:rPr>
              <w:t>600</w:t>
            </w:r>
          </w:p>
        </w:tc>
        <w:tc>
          <w:tcPr>
            <w:tcW w:w="600" w:type="pct"/>
            <w:vAlign w:val="center"/>
          </w:tcPr>
          <w:p>
            <w:pPr>
              <w:jc w:val="center"/>
              <w:rPr>
                <w:highlight w:val="none"/>
              </w:rPr>
            </w:pPr>
            <w:r>
              <w:rPr>
                <w:rFonts w:eastAsia="等线"/>
                <w:sz w:val="22"/>
                <w:szCs w:val="22"/>
                <w:highlight w:val="none"/>
              </w:rPr>
              <w:t>50</w:t>
            </w:r>
          </w:p>
        </w:tc>
        <w:tc>
          <w:tcPr>
            <w:tcW w:w="500" w:type="pct"/>
            <w:vAlign w:val="center"/>
          </w:tcPr>
          <w:p>
            <w:pPr>
              <w:jc w:val="center"/>
              <w:rPr>
                <w:highlight w:val="none"/>
              </w:rPr>
            </w:pPr>
            <w:r>
              <w:rPr>
                <w:rFonts w:eastAsia="等线"/>
                <w:sz w:val="22"/>
                <w:szCs w:val="22"/>
                <w:highlight w:val="none"/>
              </w:rPr>
              <w:t>180</w:t>
            </w:r>
          </w:p>
        </w:tc>
        <w:tc>
          <w:tcPr>
            <w:tcW w:w="500" w:type="pct"/>
            <w:vAlign w:val="center"/>
          </w:tcPr>
          <w:p>
            <w:pPr>
              <w:jc w:val="center"/>
              <w:rPr>
                <w:highlight w:val="none"/>
              </w:rPr>
            </w:pPr>
            <w:r>
              <w:rPr>
                <w:rFonts w:eastAsia="等线"/>
                <w:sz w:val="22"/>
                <w:szCs w:val="22"/>
                <w:highlight w:val="none"/>
              </w:rPr>
              <w:t>160</w:t>
            </w:r>
          </w:p>
        </w:tc>
        <w:tc>
          <w:tcPr>
            <w:tcW w:w="500" w:type="pct"/>
            <w:vAlign w:val="center"/>
          </w:tcPr>
          <w:p>
            <w:pPr>
              <w:jc w:val="center"/>
              <w:rPr>
                <w:highlight w:val="none"/>
              </w:rPr>
            </w:pPr>
            <w:r>
              <w:rPr>
                <w:rFonts w:eastAsia="等线"/>
                <w:sz w:val="22"/>
                <w:szCs w:val="22"/>
                <w:highlight w:val="none"/>
              </w:rPr>
              <w:t>50</w:t>
            </w:r>
          </w:p>
        </w:tc>
        <w:tc>
          <w:tcPr>
            <w:tcW w:w="500" w:type="pct"/>
            <w:vAlign w:val="center"/>
          </w:tcPr>
          <w:p>
            <w:pPr>
              <w:jc w:val="center"/>
              <w:rPr>
                <w:highlight w:val="none"/>
              </w:rPr>
            </w:pPr>
            <w:r>
              <w:rPr>
                <w:rFonts w:eastAsia="等线"/>
                <w:sz w:val="22"/>
                <w:szCs w:val="22"/>
                <w:highlight w:val="none"/>
              </w:rPr>
              <w:t>50</w:t>
            </w:r>
          </w:p>
        </w:tc>
        <w:tc>
          <w:tcPr>
            <w:tcW w:w="500" w:type="pct"/>
            <w:vAlign w:val="center"/>
          </w:tcPr>
          <w:p>
            <w:pPr>
              <w:jc w:val="center"/>
              <w:rPr>
                <w:highlight w:val="none"/>
              </w:rPr>
            </w:pPr>
            <w:r>
              <w:rPr>
                <w:rFonts w:eastAsia="等线"/>
                <w:sz w:val="22"/>
                <w:szCs w:val="22"/>
                <w:highlight w:val="none"/>
              </w:rPr>
              <w:t>60</w:t>
            </w:r>
          </w:p>
        </w:tc>
        <w:tc>
          <w:tcPr>
            <w:tcW w:w="600" w:type="pct"/>
          </w:tcPr>
          <w:p>
            <w:pPr>
              <w:jc w:val="center"/>
              <w:rPr>
                <w:highlight w:val="none"/>
              </w:rPr>
            </w:pPr>
            <w:r>
              <w:rPr>
                <w:highlight w:val="none"/>
              </w:rPr>
              <w:t>50</w:t>
            </w:r>
          </w:p>
        </w:tc>
      </w:tr>
    </w:tbl>
    <w:p>
      <w:pPr>
        <w:pStyle w:val="2"/>
        <w:rPr>
          <w:rFonts w:ascii="Times New Roman" w:cs="Times New Roman"/>
          <w:color w:val="auto"/>
          <w:highlight w:val="none"/>
        </w:rPr>
      </w:pPr>
    </w:p>
    <w:p>
      <w:pPr>
        <w:pStyle w:val="2"/>
        <w:rPr>
          <w:rFonts w:ascii="Times New Roman" w:cs="Times New Roman"/>
          <w:color w:val="auto"/>
          <w:highlight w:val="none"/>
        </w:rPr>
        <w:sectPr>
          <w:pgSz w:w="16838" w:h="11906" w:orient="landscape"/>
          <w:pgMar w:top="1418" w:right="1440" w:bottom="1418" w:left="1440" w:header="851" w:footer="992" w:gutter="0"/>
          <w:cols w:space="425" w:num="1"/>
          <w:docGrid w:type="linesAndChars" w:linePitch="312" w:charSpace="0"/>
        </w:sectPr>
      </w:pPr>
    </w:p>
    <w:p>
      <w:pPr>
        <w:spacing w:line="360" w:lineRule="auto"/>
        <w:ind w:firstLine="562" w:firstLineChars="200"/>
        <w:outlineLvl w:val="2"/>
        <w:rPr>
          <w:rFonts w:eastAsia="黑体"/>
          <w:b/>
          <w:sz w:val="28"/>
          <w:szCs w:val="28"/>
          <w:highlight w:val="none"/>
        </w:rPr>
      </w:pPr>
      <w:bookmarkStart w:id="170" w:name="_Toc67908236"/>
      <w:bookmarkStart w:id="171" w:name="_Toc77781901"/>
      <w:bookmarkStart w:id="172" w:name="_Toc53089213"/>
      <w:bookmarkStart w:id="173" w:name="_Toc67924640"/>
      <w:r>
        <w:rPr>
          <w:rFonts w:eastAsia="黑体"/>
          <w:b/>
          <w:sz w:val="28"/>
          <w:szCs w:val="28"/>
          <w:highlight w:val="none"/>
        </w:rPr>
        <w:t>五、港口集疏运量预测</w:t>
      </w:r>
      <w:bookmarkEnd w:id="170"/>
      <w:bookmarkEnd w:id="171"/>
      <w:bookmarkEnd w:id="172"/>
      <w:bookmarkEnd w:id="173"/>
    </w:p>
    <w:p>
      <w:pPr>
        <w:spacing w:line="360" w:lineRule="auto"/>
        <w:ind w:firstLine="560" w:firstLineChars="200"/>
        <w:rPr>
          <w:sz w:val="28"/>
          <w:szCs w:val="28"/>
          <w:highlight w:val="none"/>
        </w:rPr>
      </w:pPr>
      <w:r>
        <w:rPr>
          <w:sz w:val="28"/>
          <w:szCs w:val="28"/>
          <w:highlight w:val="none"/>
        </w:rPr>
        <w:t>未来乐山港集疏运方式将以水运和公路为主，部分货物将会采用铁路运输。根据港口分货类吞吐量预测结果及港口集疏运方式，预测乐山港2025年和2035年集疏运量分别为1000万t和3300万t。各运输方式完成比例见表2.5-5所示。</w:t>
      </w:r>
    </w:p>
    <w:p>
      <w:pPr>
        <w:spacing w:before="156" w:beforeLines="50"/>
        <w:ind w:firstLine="482"/>
        <w:jc w:val="center"/>
        <w:rPr>
          <w:rFonts w:eastAsia="黑体"/>
          <w:sz w:val="28"/>
          <w:szCs w:val="28"/>
          <w:highlight w:val="none"/>
        </w:rPr>
      </w:pPr>
      <w:r>
        <w:rPr>
          <w:rFonts w:eastAsia="黑体"/>
          <w:sz w:val="28"/>
          <w:szCs w:val="28"/>
          <w:highlight w:val="none"/>
        </w:rPr>
        <w:t>表2.5-5乐山港集疏运量预测表</w:t>
      </w:r>
    </w:p>
    <w:tbl>
      <w:tblPr>
        <w:tblStyle w:val="32"/>
        <w:tblW w:w="5000" w:type="pct"/>
        <w:tblInd w:w="0" w:type="dxa"/>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20"/>
        <w:gridCol w:w="2217"/>
        <w:gridCol w:w="1664"/>
        <w:gridCol w:w="2364"/>
        <w:gridCol w:w="1721"/>
      </w:tblGrid>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PrEx>
        <w:trPr>
          <w:trHeight w:val="397" w:hRule="atLeast"/>
        </w:trPr>
        <w:tc>
          <w:tcPr>
            <w:tcW w:w="711" w:type="pct"/>
            <w:vMerge w:val="restart"/>
            <w:noWrap/>
            <w:vAlign w:val="center"/>
          </w:tcPr>
          <w:p>
            <w:pPr>
              <w:jc w:val="center"/>
              <w:rPr>
                <w:spacing w:val="8"/>
                <w:szCs w:val="21"/>
                <w:highlight w:val="none"/>
              </w:rPr>
            </w:pPr>
            <w:r>
              <w:rPr>
                <w:spacing w:val="8"/>
                <w:szCs w:val="21"/>
                <w:highlight w:val="none"/>
              </w:rPr>
              <w:t>名称</w:t>
            </w:r>
          </w:p>
        </w:tc>
        <w:tc>
          <w:tcPr>
            <w:tcW w:w="2090" w:type="pct"/>
            <w:gridSpan w:val="2"/>
            <w:noWrap/>
            <w:vAlign w:val="center"/>
          </w:tcPr>
          <w:p>
            <w:pPr>
              <w:jc w:val="center"/>
              <w:rPr>
                <w:spacing w:val="8"/>
                <w:szCs w:val="21"/>
                <w:highlight w:val="none"/>
              </w:rPr>
            </w:pPr>
            <w:r>
              <w:rPr>
                <w:spacing w:val="8"/>
                <w:szCs w:val="21"/>
                <w:highlight w:val="none"/>
              </w:rPr>
              <w:t>2025年预测</w:t>
            </w:r>
          </w:p>
        </w:tc>
        <w:tc>
          <w:tcPr>
            <w:tcW w:w="2199" w:type="pct"/>
            <w:gridSpan w:val="2"/>
            <w:noWrap/>
            <w:vAlign w:val="center"/>
          </w:tcPr>
          <w:p>
            <w:pPr>
              <w:jc w:val="center"/>
              <w:rPr>
                <w:spacing w:val="8"/>
                <w:szCs w:val="21"/>
                <w:highlight w:val="none"/>
              </w:rPr>
            </w:pPr>
            <w:r>
              <w:rPr>
                <w:spacing w:val="8"/>
                <w:szCs w:val="21"/>
                <w:highlight w:val="none"/>
              </w:rPr>
              <w:t>2035年预测</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11" w:type="pct"/>
            <w:vMerge w:val="continue"/>
            <w:noWrap/>
          </w:tcPr>
          <w:p>
            <w:pPr>
              <w:jc w:val="center"/>
              <w:rPr>
                <w:spacing w:val="8"/>
                <w:szCs w:val="21"/>
                <w:highlight w:val="none"/>
              </w:rPr>
            </w:pPr>
          </w:p>
        </w:tc>
        <w:tc>
          <w:tcPr>
            <w:tcW w:w="1194" w:type="pct"/>
            <w:noWrap/>
            <w:vAlign w:val="center"/>
          </w:tcPr>
          <w:p>
            <w:pPr>
              <w:jc w:val="center"/>
              <w:rPr>
                <w:spacing w:val="8"/>
                <w:szCs w:val="21"/>
                <w:highlight w:val="none"/>
              </w:rPr>
            </w:pPr>
            <w:r>
              <w:rPr>
                <w:spacing w:val="8"/>
                <w:szCs w:val="21"/>
                <w:highlight w:val="none"/>
              </w:rPr>
              <w:t>集疏运量（万t）</w:t>
            </w:r>
          </w:p>
        </w:tc>
        <w:tc>
          <w:tcPr>
            <w:tcW w:w="896" w:type="pct"/>
            <w:noWrap/>
            <w:vAlign w:val="center"/>
          </w:tcPr>
          <w:p>
            <w:pPr>
              <w:jc w:val="center"/>
              <w:rPr>
                <w:spacing w:val="8"/>
                <w:szCs w:val="21"/>
                <w:highlight w:val="none"/>
              </w:rPr>
            </w:pPr>
            <w:r>
              <w:rPr>
                <w:spacing w:val="8"/>
                <w:szCs w:val="21"/>
                <w:highlight w:val="none"/>
              </w:rPr>
              <w:t>比例（%）</w:t>
            </w:r>
          </w:p>
        </w:tc>
        <w:tc>
          <w:tcPr>
            <w:tcW w:w="1273" w:type="pct"/>
            <w:noWrap/>
            <w:vAlign w:val="center"/>
          </w:tcPr>
          <w:p>
            <w:pPr>
              <w:jc w:val="center"/>
              <w:rPr>
                <w:spacing w:val="8"/>
                <w:szCs w:val="21"/>
                <w:highlight w:val="none"/>
              </w:rPr>
            </w:pPr>
            <w:r>
              <w:rPr>
                <w:spacing w:val="8"/>
                <w:szCs w:val="21"/>
                <w:highlight w:val="none"/>
              </w:rPr>
              <w:t>集疏运量（万t）</w:t>
            </w:r>
          </w:p>
        </w:tc>
        <w:tc>
          <w:tcPr>
            <w:tcW w:w="926" w:type="pct"/>
            <w:noWrap/>
            <w:vAlign w:val="center"/>
          </w:tcPr>
          <w:p>
            <w:pPr>
              <w:jc w:val="center"/>
              <w:rPr>
                <w:spacing w:val="8"/>
                <w:szCs w:val="21"/>
                <w:highlight w:val="none"/>
              </w:rPr>
            </w:pPr>
            <w:r>
              <w:rPr>
                <w:spacing w:val="8"/>
                <w:szCs w:val="21"/>
                <w:highlight w:val="none"/>
              </w:rPr>
              <w:t>比例（%）</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11" w:type="pct"/>
            <w:noWrap/>
            <w:vAlign w:val="center"/>
          </w:tcPr>
          <w:p>
            <w:pPr>
              <w:jc w:val="center"/>
              <w:rPr>
                <w:spacing w:val="8"/>
                <w:szCs w:val="21"/>
                <w:highlight w:val="none"/>
              </w:rPr>
            </w:pPr>
            <w:r>
              <w:rPr>
                <w:spacing w:val="8"/>
                <w:szCs w:val="21"/>
                <w:highlight w:val="none"/>
              </w:rPr>
              <w:t>总量</w:t>
            </w:r>
          </w:p>
        </w:tc>
        <w:tc>
          <w:tcPr>
            <w:tcW w:w="1194" w:type="pct"/>
            <w:noWrap/>
            <w:vAlign w:val="center"/>
          </w:tcPr>
          <w:p>
            <w:pPr>
              <w:widowControl/>
              <w:jc w:val="center"/>
              <w:rPr>
                <w:kern w:val="0"/>
                <w:szCs w:val="21"/>
                <w:highlight w:val="none"/>
              </w:rPr>
            </w:pPr>
            <w:r>
              <w:rPr>
                <w:kern w:val="0"/>
                <w:szCs w:val="21"/>
                <w:highlight w:val="none"/>
              </w:rPr>
              <w:t>100</w:t>
            </w:r>
          </w:p>
        </w:tc>
        <w:tc>
          <w:tcPr>
            <w:tcW w:w="896" w:type="pct"/>
            <w:noWrap/>
            <w:vAlign w:val="center"/>
          </w:tcPr>
          <w:p>
            <w:pPr>
              <w:widowControl/>
              <w:jc w:val="center"/>
              <w:rPr>
                <w:kern w:val="0"/>
                <w:szCs w:val="21"/>
                <w:highlight w:val="none"/>
              </w:rPr>
            </w:pPr>
            <w:r>
              <w:rPr>
                <w:kern w:val="0"/>
                <w:szCs w:val="21"/>
                <w:highlight w:val="none"/>
              </w:rPr>
              <w:t>100.0%</w:t>
            </w:r>
          </w:p>
        </w:tc>
        <w:tc>
          <w:tcPr>
            <w:tcW w:w="1273" w:type="pct"/>
            <w:noWrap/>
            <w:vAlign w:val="center"/>
          </w:tcPr>
          <w:p>
            <w:pPr>
              <w:widowControl/>
              <w:jc w:val="center"/>
              <w:rPr>
                <w:kern w:val="0"/>
                <w:szCs w:val="21"/>
                <w:highlight w:val="none"/>
              </w:rPr>
            </w:pPr>
            <w:r>
              <w:rPr>
                <w:kern w:val="0"/>
                <w:szCs w:val="21"/>
                <w:highlight w:val="none"/>
              </w:rPr>
              <w:t>3300</w:t>
            </w:r>
          </w:p>
        </w:tc>
        <w:tc>
          <w:tcPr>
            <w:tcW w:w="926" w:type="pct"/>
            <w:noWrap/>
            <w:vAlign w:val="center"/>
          </w:tcPr>
          <w:p>
            <w:pPr>
              <w:widowControl/>
              <w:jc w:val="center"/>
              <w:rPr>
                <w:kern w:val="0"/>
                <w:szCs w:val="21"/>
                <w:highlight w:val="none"/>
              </w:rPr>
            </w:pPr>
            <w:r>
              <w:rPr>
                <w:kern w:val="0"/>
                <w:szCs w:val="21"/>
                <w:highlight w:val="none"/>
              </w:rPr>
              <w:t>100.0%</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11" w:type="pct"/>
            <w:noWrap/>
            <w:vAlign w:val="center"/>
          </w:tcPr>
          <w:p>
            <w:pPr>
              <w:jc w:val="center"/>
              <w:rPr>
                <w:spacing w:val="8"/>
                <w:szCs w:val="21"/>
                <w:highlight w:val="none"/>
              </w:rPr>
            </w:pPr>
            <w:r>
              <w:rPr>
                <w:spacing w:val="8"/>
                <w:szCs w:val="21"/>
                <w:highlight w:val="none"/>
              </w:rPr>
              <w:t>水运</w:t>
            </w:r>
          </w:p>
        </w:tc>
        <w:tc>
          <w:tcPr>
            <w:tcW w:w="1194" w:type="pct"/>
            <w:noWrap/>
            <w:vAlign w:val="center"/>
          </w:tcPr>
          <w:p>
            <w:pPr>
              <w:widowControl/>
              <w:jc w:val="center"/>
              <w:rPr>
                <w:kern w:val="0"/>
                <w:szCs w:val="21"/>
                <w:highlight w:val="none"/>
              </w:rPr>
            </w:pPr>
            <w:r>
              <w:rPr>
                <w:kern w:val="0"/>
                <w:szCs w:val="21"/>
                <w:highlight w:val="none"/>
              </w:rPr>
              <w:t>500</w:t>
            </w:r>
          </w:p>
        </w:tc>
        <w:tc>
          <w:tcPr>
            <w:tcW w:w="896" w:type="pct"/>
            <w:noWrap/>
            <w:vAlign w:val="center"/>
          </w:tcPr>
          <w:p>
            <w:pPr>
              <w:widowControl/>
              <w:jc w:val="center"/>
              <w:rPr>
                <w:kern w:val="0"/>
                <w:szCs w:val="21"/>
                <w:highlight w:val="none"/>
              </w:rPr>
            </w:pPr>
            <w:r>
              <w:rPr>
                <w:kern w:val="0"/>
                <w:szCs w:val="21"/>
                <w:highlight w:val="none"/>
              </w:rPr>
              <w:t>50.0%</w:t>
            </w:r>
          </w:p>
        </w:tc>
        <w:tc>
          <w:tcPr>
            <w:tcW w:w="1273" w:type="pct"/>
            <w:noWrap/>
            <w:vAlign w:val="center"/>
          </w:tcPr>
          <w:p>
            <w:pPr>
              <w:widowControl/>
              <w:jc w:val="center"/>
              <w:rPr>
                <w:kern w:val="0"/>
                <w:szCs w:val="21"/>
                <w:highlight w:val="none"/>
              </w:rPr>
            </w:pPr>
            <w:r>
              <w:rPr>
                <w:kern w:val="0"/>
                <w:szCs w:val="21"/>
                <w:highlight w:val="none"/>
              </w:rPr>
              <w:t>1650</w:t>
            </w:r>
          </w:p>
        </w:tc>
        <w:tc>
          <w:tcPr>
            <w:tcW w:w="926" w:type="pct"/>
            <w:noWrap/>
            <w:vAlign w:val="center"/>
          </w:tcPr>
          <w:p>
            <w:pPr>
              <w:widowControl/>
              <w:jc w:val="center"/>
              <w:rPr>
                <w:kern w:val="0"/>
                <w:szCs w:val="21"/>
                <w:highlight w:val="none"/>
              </w:rPr>
            </w:pPr>
            <w:r>
              <w:rPr>
                <w:kern w:val="0"/>
                <w:szCs w:val="21"/>
                <w:highlight w:val="none"/>
              </w:rPr>
              <w:t>50.0%</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11" w:type="pct"/>
            <w:noWrap/>
            <w:vAlign w:val="center"/>
          </w:tcPr>
          <w:p>
            <w:pPr>
              <w:jc w:val="center"/>
              <w:rPr>
                <w:spacing w:val="8"/>
                <w:szCs w:val="21"/>
                <w:highlight w:val="none"/>
              </w:rPr>
            </w:pPr>
            <w:r>
              <w:rPr>
                <w:spacing w:val="8"/>
                <w:szCs w:val="21"/>
                <w:highlight w:val="none"/>
              </w:rPr>
              <w:t>公路</w:t>
            </w:r>
          </w:p>
        </w:tc>
        <w:tc>
          <w:tcPr>
            <w:tcW w:w="1194" w:type="pct"/>
            <w:noWrap/>
            <w:vAlign w:val="center"/>
          </w:tcPr>
          <w:p>
            <w:pPr>
              <w:widowControl/>
              <w:jc w:val="center"/>
              <w:rPr>
                <w:kern w:val="0"/>
                <w:szCs w:val="21"/>
                <w:highlight w:val="none"/>
              </w:rPr>
            </w:pPr>
            <w:r>
              <w:rPr>
                <w:kern w:val="0"/>
                <w:szCs w:val="21"/>
                <w:highlight w:val="none"/>
              </w:rPr>
              <w:t>465</w:t>
            </w:r>
          </w:p>
        </w:tc>
        <w:tc>
          <w:tcPr>
            <w:tcW w:w="896" w:type="pct"/>
            <w:noWrap/>
            <w:vAlign w:val="center"/>
          </w:tcPr>
          <w:p>
            <w:pPr>
              <w:widowControl/>
              <w:jc w:val="center"/>
              <w:rPr>
                <w:kern w:val="0"/>
                <w:szCs w:val="21"/>
                <w:highlight w:val="none"/>
              </w:rPr>
            </w:pPr>
            <w:r>
              <w:rPr>
                <w:kern w:val="0"/>
                <w:szCs w:val="21"/>
                <w:highlight w:val="none"/>
              </w:rPr>
              <w:t>46.5%</w:t>
            </w:r>
          </w:p>
        </w:tc>
        <w:tc>
          <w:tcPr>
            <w:tcW w:w="1273" w:type="pct"/>
            <w:noWrap/>
            <w:vAlign w:val="center"/>
          </w:tcPr>
          <w:p>
            <w:pPr>
              <w:widowControl/>
              <w:jc w:val="center"/>
              <w:rPr>
                <w:kern w:val="0"/>
                <w:szCs w:val="21"/>
                <w:highlight w:val="none"/>
              </w:rPr>
            </w:pPr>
            <w:r>
              <w:rPr>
                <w:kern w:val="0"/>
                <w:szCs w:val="21"/>
                <w:highlight w:val="none"/>
              </w:rPr>
              <w:t>1490</w:t>
            </w:r>
          </w:p>
        </w:tc>
        <w:tc>
          <w:tcPr>
            <w:tcW w:w="926" w:type="pct"/>
            <w:noWrap/>
            <w:vAlign w:val="center"/>
          </w:tcPr>
          <w:p>
            <w:pPr>
              <w:widowControl/>
              <w:jc w:val="center"/>
              <w:rPr>
                <w:kern w:val="0"/>
                <w:szCs w:val="21"/>
                <w:highlight w:val="none"/>
              </w:rPr>
            </w:pPr>
            <w:r>
              <w:rPr>
                <w:kern w:val="0"/>
                <w:szCs w:val="21"/>
                <w:highlight w:val="none"/>
              </w:rPr>
              <w:t>45.2%</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11" w:type="pct"/>
            <w:noWrap/>
            <w:vAlign w:val="center"/>
          </w:tcPr>
          <w:p>
            <w:pPr>
              <w:jc w:val="center"/>
              <w:rPr>
                <w:spacing w:val="8"/>
                <w:szCs w:val="21"/>
                <w:highlight w:val="none"/>
              </w:rPr>
            </w:pPr>
            <w:r>
              <w:rPr>
                <w:spacing w:val="8"/>
                <w:szCs w:val="21"/>
                <w:highlight w:val="none"/>
              </w:rPr>
              <w:t>铁路</w:t>
            </w:r>
          </w:p>
        </w:tc>
        <w:tc>
          <w:tcPr>
            <w:tcW w:w="1194" w:type="pct"/>
            <w:noWrap/>
            <w:vAlign w:val="center"/>
          </w:tcPr>
          <w:p>
            <w:pPr>
              <w:widowControl/>
              <w:jc w:val="center"/>
              <w:rPr>
                <w:kern w:val="0"/>
                <w:szCs w:val="21"/>
                <w:highlight w:val="none"/>
              </w:rPr>
            </w:pPr>
            <w:r>
              <w:rPr>
                <w:kern w:val="0"/>
                <w:szCs w:val="21"/>
                <w:highlight w:val="none"/>
              </w:rPr>
              <w:t>35</w:t>
            </w:r>
          </w:p>
        </w:tc>
        <w:tc>
          <w:tcPr>
            <w:tcW w:w="896" w:type="pct"/>
            <w:noWrap/>
            <w:vAlign w:val="center"/>
          </w:tcPr>
          <w:p>
            <w:pPr>
              <w:widowControl/>
              <w:jc w:val="center"/>
              <w:rPr>
                <w:kern w:val="0"/>
                <w:szCs w:val="21"/>
                <w:highlight w:val="none"/>
              </w:rPr>
            </w:pPr>
            <w:r>
              <w:rPr>
                <w:kern w:val="0"/>
                <w:szCs w:val="21"/>
                <w:highlight w:val="none"/>
              </w:rPr>
              <w:t>3.5%</w:t>
            </w:r>
          </w:p>
        </w:tc>
        <w:tc>
          <w:tcPr>
            <w:tcW w:w="1273" w:type="pct"/>
            <w:noWrap/>
            <w:vAlign w:val="center"/>
          </w:tcPr>
          <w:p>
            <w:pPr>
              <w:widowControl/>
              <w:jc w:val="center"/>
              <w:rPr>
                <w:kern w:val="0"/>
                <w:szCs w:val="21"/>
                <w:highlight w:val="none"/>
              </w:rPr>
            </w:pPr>
            <w:r>
              <w:rPr>
                <w:kern w:val="0"/>
                <w:szCs w:val="21"/>
                <w:highlight w:val="none"/>
              </w:rPr>
              <w:t>160</w:t>
            </w:r>
          </w:p>
        </w:tc>
        <w:tc>
          <w:tcPr>
            <w:tcW w:w="926" w:type="pct"/>
            <w:noWrap/>
            <w:vAlign w:val="center"/>
          </w:tcPr>
          <w:p>
            <w:pPr>
              <w:widowControl/>
              <w:jc w:val="center"/>
              <w:rPr>
                <w:kern w:val="0"/>
                <w:szCs w:val="21"/>
                <w:highlight w:val="none"/>
              </w:rPr>
            </w:pPr>
            <w:r>
              <w:rPr>
                <w:kern w:val="0"/>
                <w:szCs w:val="21"/>
                <w:highlight w:val="none"/>
              </w:rPr>
              <w:t>4.8%</w:t>
            </w:r>
          </w:p>
        </w:tc>
      </w:tr>
    </w:tbl>
    <w:p>
      <w:pPr>
        <w:spacing w:before="312" w:beforeLines="100"/>
        <w:ind w:firstLine="500"/>
        <w:rPr>
          <w:sz w:val="28"/>
          <w:szCs w:val="28"/>
          <w:highlight w:val="none"/>
        </w:rPr>
      </w:pPr>
      <w:r>
        <w:rPr>
          <w:sz w:val="28"/>
          <w:szCs w:val="28"/>
          <w:highlight w:val="none"/>
        </w:rPr>
        <w:t>未来乐山港分货类集疏运情况见表2.5-6。</w:t>
      </w:r>
    </w:p>
    <w:p>
      <w:pPr>
        <w:pStyle w:val="2"/>
        <w:rPr>
          <w:rFonts w:ascii="Times New Roman" w:cs="Times New Roman"/>
          <w:color w:val="auto"/>
          <w:highlight w:val="none"/>
        </w:rPr>
      </w:pPr>
    </w:p>
    <w:p>
      <w:pPr>
        <w:pStyle w:val="2"/>
        <w:rPr>
          <w:rFonts w:ascii="Times New Roman" w:cs="Times New Roman"/>
          <w:color w:val="auto"/>
          <w:highlight w:val="none"/>
        </w:rPr>
      </w:pPr>
    </w:p>
    <w:p>
      <w:pPr>
        <w:pStyle w:val="2"/>
        <w:rPr>
          <w:rFonts w:ascii="Times New Roman" w:cs="Times New Roman"/>
          <w:color w:val="auto"/>
          <w:highlight w:val="none"/>
        </w:rPr>
        <w:sectPr>
          <w:pgSz w:w="11906" w:h="16838"/>
          <w:pgMar w:top="1440" w:right="1418" w:bottom="1440" w:left="1418" w:header="851" w:footer="992" w:gutter="0"/>
          <w:cols w:space="425" w:num="1"/>
          <w:docGrid w:type="lines" w:linePitch="312" w:charSpace="0"/>
        </w:sectPr>
      </w:pPr>
    </w:p>
    <w:p>
      <w:pPr>
        <w:wordWrap w:val="0"/>
        <w:snapToGrid w:val="0"/>
        <w:jc w:val="right"/>
        <w:rPr>
          <w:rFonts w:eastAsia="黑体"/>
          <w:b/>
          <w:sz w:val="28"/>
          <w:szCs w:val="28"/>
          <w:highlight w:val="none"/>
        </w:rPr>
      </w:pPr>
      <w:r>
        <w:rPr>
          <w:rFonts w:eastAsia="黑体"/>
          <w:sz w:val="28"/>
          <w:szCs w:val="28"/>
          <w:highlight w:val="none"/>
        </w:rPr>
        <w:t xml:space="preserve">表2.5-6 乐山港集疏运量预测表  </w:t>
      </w:r>
      <w:r>
        <w:rPr>
          <w:rFonts w:eastAsia="黑体"/>
          <w:b/>
          <w:sz w:val="24"/>
          <w:highlight w:val="none"/>
        </w:rPr>
        <w:t xml:space="preserve">                           </w:t>
      </w:r>
      <w:r>
        <w:rPr>
          <w:rFonts w:eastAsiaTheme="minorEastAsia"/>
          <w:szCs w:val="21"/>
          <w:highlight w:val="none"/>
        </w:rPr>
        <w:t>单位：万t、万TEU</w:t>
      </w:r>
    </w:p>
    <w:tbl>
      <w:tblPr>
        <w:tblStyle w:val="32"/>
        <w:tblW w:w="5000" w:type="pct"/>
        <w:jc w:val="center"/>
        <w:tblLayout w:type="autofit"/>
        <w:tblCellMar>
          <w:top w:w="0" w:type="dxa"/>
          <w:left w:w="108" w:type="dxa"/>
          <w:bottom w:w="0" w:type="dxa"/>
          <w:right w:w="108" w:type="dxa"/>
        </w:tblCellMar>
      </w:tblPr>
      <w:tblGrid>
        <w:gridCol w:w="1865"/>
        <w:gridCol w:w="873"/>
        <w:gridCol w:w="680"/>
        <w:gridCol w:w="680"/>
        <w:gridCol w:w="859"/>
        <w:gridCol w:w="873"/>
        <w:gridCol w:w="859"/>
        <w:gridCol w:w="618"/>
        <w:gridCol w:w="686"/>
        <w:gridCol w:w="1091"/>
        <w:gridCol w:w="680"/>
        <w:gridCol w:w="680"/>
        <w:gridCol w:w="862"/>
        <w:gridCol w:w="680"/>
        <w:gridCol w:w="860"/>
        <w:gridCol w:w="681"/>
        <w:gridCol w:w="647"/>
      </w:tblGrid>
      <w:tr>
        <w:tblPrEx>
          <w:tblCellMar>
            <w:top w:w="0" w:type="dxa"/>
            <w:left w:w="108" w:type="dxa"/>
            <w:bottom w:w="0" w:type="dxa"/>
            <w:right w:w="108" w:type="dxa"/>
          </w:tblCellMar>
        </w:tblPrEx>
        <w:trPr>
          <w:trHeight w:val="367" w:hRule="atLeast"/>
          <w:jc w:val="center"/>
        </w:trPr>
        <w:tc>
          <w:tcPr>
            <w:tcW w:w="658" w:type="pct"/>
            <w:tcBorders>
              <w:top w:val="thinThickSmallGap" w:color="auto" w:sz="18" w:space="0"/>
              <w:bottom w:val="single" w:color="auto" w:sz="4" w:space="0"/>
              <w:right w:val="single" w:color="auto" w:sz="4" w:space="0"/>
            </w:tcBorders>
            <w:noWrap/>
            <w:vAlign w:val="center"/>
          </w:tcPr>
          <w:p>
            <w:pPr>
              <w:widowControl/>
              <w:jc w:val="center"/>
              <w:rPr>
                <w:kern w:val="0"/>
                <w:sz w:val="18"/>
                <w:szCs w:val="18"/>
                <w:highlight w:val="none"/>
              </w:rPr>
            </w:pPr>
            <w:r>
              <w:rPr>
                <w:kern w:val="0"/>
                <w:sz w:val="18"/>
                <w:szCs w:val="18"/>
                <w:highlight w:val="none"/>
              </w:rPr>
              <w:t>水平年</w:t>
            </w:r>
          </w:p>
        </w:tc>
        <w:tc>
          <w:tcPr>
            <w:tcW w:w="2162" w:type="pct"/>
            <w:gridSpan w:val="8"/>
            <w:tcBorders>
              <w:top w:val="thinThickSmallGap" w:color="auto" w:sz="18" w:space="0"/>
              <w:left w:val="single" w:color="auto" w:sz="4" w:space="0"/>
              <w:bottom w:val="single" w:color="auto" w:sz="4" w:space="0"/>
              <w:right w:val="single" w:color="auto" w:sz="4" w:space="0"/>
            </w:tcBorders>
            <w:noWrap/>
            <w:vAlign w:val="center"/>
          </w:tcPr>
          <w:p>
            <w:pPr>
              <w:widowControl/>
              <w:jc w:val="center"/>
              <w:rPr>
                <w:kern w:val="0"/>
                <w:sz w:val="18"/>
                <w:szCs w:val="18"/>
                <w:highlight w:val="none"/>
              </w:rPr>
            </w:pPr>
            <w:r>
              <w:rPr>
                <w:kern w:val="0"/>
                <w:sz w:val="18"/>
                <w:szCs w:val="18"/>
                <w:highlight w:val="none"/>
              </w:rPr>
              <w:t>2025年</w:t>
            </w:r>
          </w:p>
        </w:tc>
        <w:tc>
          <w:tcPr>
            <w:tcW w:w="2180" w:type="pct"/>
            <w:gridSpan w:val="8"/>
            <w:tcBorders>
              <w:top w:val="thinThickSmallGap" w:color="auto" w:sz="18" w:space="0"/>
              <w:left w:val="single" w:color="auto" w:sz="4" w:space="0"/>
              <w:bottom w:val="single" w:color="auto" w:sz="4" w:space="0"/>
            </w:tcBorders>
            <w:vAlign w:val="center"/>
          </w:tcPr>
          <w:p>
            <w:pPr>
              <w:widowControl/>
              <w:jc w:val="center"/>
              <w:rPr>
                <w:kern w:val="0"/>
                <w:sz w:val="18"/>
                <w:szCs w:val="18"/>
                <w:highlight w:val="none"/>
              </w:rPr>
            </w:pPr>
            <w:r>
              <w:rPr>
                <w:kern w:val="0"/>
                <w:sz w:val="18"/>
                <w:szCs w:val="18"/>
                <w:highlight w:val="none"/>
              </w:rPr>
              <w:t>2035年</w:t>
            </w:r>
          </w:p>
        </w:tc>
      </w:tr>
      <w:tr>
        <w:tblPrEx>
          <w:tblCellMar>
            <w:top w:w="0" w:type="dxa"/>
            <w:left w:w="108" w:type="dxa"/>
            <w:bottom w:w="0" w:type="dxa"/>
            <w:right w:w="108" w:type="dxa"/>
          </w:tblCellMar>
        </w:tblPrEx>
        <w:trPr>
          <w:trHeight w:val="367" w:hRule="atLeast"/>
          <w:jc w:val="center"/>
        </w:trPr>
        <w:tc>
          <w:tcPr>
            <w:tcW w:w="658" w:type="pct"/>
            <w:vMerge w:val="restart"/>
            <w:tcBorders>
              <w:top w:val="single" w:color="auto" w:sz="4" w:space="0"/>
              <w:bottom w:val="single" w:color="auto" w:sz="4" w:space="0"/>
              <w:right w:val="single" w:color="auto" w:sz="4" w:space="0"/>
            </w:tcBorders>
            <w:noWrap/>
            <w:vAlign w:val="center"/>
          </w:tcPr>
          <w:p>
            <w:pPr>
              <w:widowControl/>
              <w:jc w:val="center"/>
              <w:rPr>
                <w:kern w:val="0"/>
                <w:sz w:val="18"/>
                <w:szCs w:val="18"/>
                <w:highlight w:val="none"/>
              </w:rPr>
            </w:pPr>
            <w:r>
              <w:rPr>
                <w:kern w:val="0"/>
                <w:sz w:val="18"/>
                <w:szCs w:val="18"/>
                <w:highlight w:val="none"/>
              </w:rPr>
              <w:t>货种</w:t>
            </w:r>
          </w:p>
        </w:tc>
        <w:tc>
          <w:tcPr>
            <w:tcW w:w="1091" w:type="pct"/>
            <w:gridSpan w:val="4"/>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18"/>
                <w:szCs w:val="18"/>
                <w:highlight w:val="none"/>
              </w:rPr>
            </w:pPr>
            <w:r>
              <w:rPr>
                <w:kern w:val="0"/>
                <w:sz w:val="18"/>
                <w:szCs w:val="18"/>
                <w:highlight w:val="none"/>
              </w:rPr>
              <w:t>集运量</w:t>
            </w:r>
          </w:p>
        </w:tc>
        <w:tc>
          <w:tcPr>
            <w:tcW w:w="1070" w:type="pct"/>
            <w:gridSpan w:val="4"/>
            <w:tcBorders>
              <w:top w:val="single" w:color="auto" w:sz="4" w:space="0"/>
              <w:left w:val="single" w:color="auto" w:sz="4" w:space="0"/>
              <w:bottom w:val="single" w:color="auto" w:sz="4" w:space="0"/>
              <w:right w:val="single" w:color="auto" w:sz="4" w:space="0"/>
            </w:tcBorders>
            <w:vAlign w:val="center"/>
          </w:tcPr>
          <w:p>
            <w:pPr>
              <w:widowControl/>
              <w:jc w:val="center"/>
              <w:rPr>
                <w:kern w:val="0"/>
                <w:sz w:val="18"/>
                <w:szCs w:val="18"/>
                <w:highlight w:val="none"/>
              </w:rPr>
            </w:pPr>
            <w:r>
              <w:rPr>
                <w:kern w:val="0"/>
                <w:sz w:val="18"/>
                <w:szCs w:val="18"/>
                <w:highlight w:val="none"/>
              </w:rPr>
              <w:t>疏运量</w:t>
            </w:r>
          </w:p>
        </w:tc>
        <w:tc>
          <w:tcPr>
            <w:tcW w:w="1169" w:type="pct"/>
            <w:gridSpan w:val="4"/>
            <w:tcBorders>
              <w:top w:val="single" w:color="auto" w:sz="4" w:space="0"/>
              <w:left w:val="single" w:color="auto" w:sz="4" w:space="0"/>
              <w:bottom w:val="single" w:color="auto" w:sz="4" w:space="0"/>
              <w:right w:val="single" w:color="auto" w:sz="4" w:space="0"/>
            </w:tcBorders>
            <w:vAlign w:val="center"/>
          </w:tcPr>
          <w:p>
            <w:pPr>
              <w:widowControl/>
              <w:jc w:val="center"/>
              <w:rPr>
                <w:kern w:val="0"/>
                <w:sz w:val="18"/>
                <w:szCs w:val="18"/>
                <w:highlight w:val="none"/>
              </w:rPr>
            </w:pPr>
            <w:r>
              <w:rPr>
                <w:kern w:val="0"/>
                <w:sz w:val="18"/>
                <w:szCs w:val="18"/>
                <w:highlight w:val="none"/>
              </w:rPr>
              <w:t>集运量</w:t>
            </w:r>
          </w:p>
        </w:tc>
        <w:tc>
          <w:tcPr>
            <w:tcW w:w="1012" w:type="pct"/>
            <w:gridSpan w:val="4"/>
            <w:tcBorders>
              <w:top w:val="single" w:color="auto" w:sz="4" w:space="0"/>
              <w:left w:val="single" w:color="auto" w:sz="4" w:space="0"/>
              <w:bottom w:val="single" w:color="auto" w:sz="4" w:space="0"/>
            </w:tcBorders>
            <w:vAlign w:val="center"/>
          </w:tcPr>
          <w:p>
            <w:pPr>
              <w:widowControl/>
              <w:jc w:val="center"/>
              <w:rPr>
                <w:kern w:val="0"/>
                <w:sz w:val="18"/>
                <w:szCs w:val="18"/>
                <w:highlight w:val="none"/>
              </w:rPr>
            </w:pPr>
            <w:r>
              <w:rPr>
                <w:kern w:val="0"/>
                <w:sz w:val="18"/>
                <w:szCs w:val="18"/>
                <w:highlight w:val="none"/>
              </w:rPr>
              <w:t>疏运量</w:t>
            </w:r>
          </w:p>
        </w:tc>
      </w:tr>
      <w:tr>
        <w:tblPrEx>
          <w:tblCellMar>
            <w:top w:w="0" w:type="dxa"/>
            <w:left w:w="108" w:type="dxa"/>
            <w:bottom w:w="0" w:type="dxa"/>
            <w:right w:w="108" w:type="dxa"/>
          </w:tblCellMar>
        </w:tblPrEx>
        <w:trPr>
          <w:trHeight w:val="367" w:hRule="atLeast"/>
          <w:jc w:val="center"/>
        </w:trPr>
        <w:tc>
          <w:tcPr>
            <w:tcW w:w="658" w:type="pct"/>
            <w:vMerge w:val="continue"/>
            <w:tcBorders>
              <w:top w:val="single" w:color="auto" w:sz="4" w:space="0"/>
              <w:bottom w:val="single" w:color="000000" w:sz="4" w:space="0"/>
              <w:right w:val="single" w:color="auto" w:sz="4" w:space="0"/>
            </w:tcBorders>
            <w:vAlign w:val="center"/>
          </w:tcPr>
          <w:p>
            <w:pPr>
              <w:widowControl/>
              <w:jc w:val="center"/>
              <w:rPr>
                <w:kern w:val="0"/>
                <w:sz w:val="18"/>
                <w:szCs w:val="18"/>
                <w:highlight w:val="none"/>
              </w:rPr>
            </w:pPr>
          </w:p>
        </w:tc>
        <w:tc>
          <w:tcPr>
            <w:tcW w:w="308" w:type="pct"/>
            <w:tcBorders>
              <w:top w:val="single" w:color="auto" w:sz="4" w:space="0"/>
              <w:left w:val="single" w:color="auto" w:sz="4" w:space="0"/>
              <w:bottom w:val="single" w:color="auto" w:sz="4" w:space="0"/>
              <w:right w:val="single" w:color="auto" w:sz="4" w:space="0"/>
            </w:tcBorders>
            <w:vAlign w:val="center"/>
          </w:tcPr>
          <w:p>
            <w:pPr>
              <w:widowControl/>
              <w:jc w:val="center"/>
              <w:rPr>
                <w:kern w:val="0"/>
                <w:sz w:val="18"/>
                <w:szCs w:val="18"/>
                <w:highlight w:val="none"/>
              </w:rPr>
            </w:pPr>
            <w:r>
              <w:rPr>
                <w:kern w:val="0"/>
                <w:sz w:val="18"/>
                <w:szCs w:val="18"/>
                <w:highlight w:val="none"/>
              </w:rPr>
              <w:t>合计</w:t>
            </w:r>
          </w:p>
        </w:tc>
        <w:tc>
          <w:tcPr>
            <w:tcW w:w="240" w:type="pct"/>
            <w:tcBorders>
              <w:top w:val="single" w:color="auto" w:sz="4" w:space="0"/>
              <w:left w:val="single" w:color="auto" w:sz="4" w:space="0"/>
              <w:bottom w:val="single" w:color="auto" w:sz="4" w:space="0"/>
              <w:right w:val="single" w:color="auto" w:sz="4" w:space="0"/>
            </w:tcBorders>
            <w:vAlign w:val="center"/>
          </w:tcPr>
          <w:p>
            <w:pPr>
              <w:widowControl/>
              <w:jc w:val="center"/>
              <w:rPr>
                <w:kern w:val="0"/>
                <w:sz w:val="18"/>
                <w:szCs w:val="18"/>
                <w:highlight w:val="none"/>
              </w:rPr>
            </w:pPr>
            <w:r>
              <w:rPr>
                <w:kern w:val="0"/>
                <w:sz w:val="18"/>
                <w:szCs w:val="18"/>
                <w:highlight w:val="none"/>
              </w:rPr>
              <w:t>公路</w:t>
            </w:r>
          </w:p>
        </w:tc>
        <w:tc>
          <w:tcPr>
            <w:tcW w:w="240" w:type="pct"/>
            <w:tcBorders>
              <w:top w:val="single" w:color="auto" w:sz="4" w:space="0"/>
              <w:left w:val="single" w:color="auto" w:sz="4" w:space="0"/>
              <w:bottom w:val="single" w:color="auto" w:sz="4" w:space="0"/>
              <w:right w:val="single" w:color="auto" w:sz="4" w:space="0"/>
            </w:tcBorders>
            <w:vAlign w:val="center"/>
          </w:tcPr>
          <w:p>
            <w:pPr>
              <w:widowControl/>
              <w:jc w:val="center"/>
              <w:rPr>
                <w:kern w:val="0"/>
                <w:sz w:val="18"/>
                <w:szCs w:val="18"/>
                <w:highlight w:val="none"/>
              </w:rPr>
            </w:pPr>
            <w:r>
              <w:rPr>
                <w:kern w:val="0"/>
                <w:sz w:val="18"/>
                <w:szCs w:val="18"/>
                <w:highlight w:val="none"/>
              </w:rPr>
              <w:t>铁路</w:t>
            </w:r>
          </w:p>
        </w:tc>
        <w:tc>
          <w:tcPr>
            <w:tcW w:w="303" w:type="pct"/>
            <w:tcBorders>
              <w:top w:val="single" w:color="auto" w:sz="4" w:space="0"/>
              <w:left w:val="single" w:color="auto" w:sz="4" w:space="0"/>
              <w:bottom w:val="single" w:color="auto" w:sz="4" w:space="0"/>
              <w:right w:val="single" w:color="auto" w:sz="4" w:space="0"/>
            </w:tcBorders>
            <w:vAlign w:val="center"/>
          </w:tcPr>
          <w:p>
            <w:pPr>
              <w:widowControl/>
              <w:jc w:val="center"/>
              <w:rPr>
                <w:kern w:val="0"/>
                <w:sz w:val="18"/>
                <w:szCs w:val="18"/>
                <w:highlight w:val="none"/>
              </w:rPr>
            </w:pPr>
            <w:r>
              <w:rPr>
                <w:kern w:val="0"/>
                <w:sz w:val="18"/>
                <w:szCs w:val="18"/>
                <w:highlight w:val="none"/>
              </w:rPr>
              <w:t>水运</w:t>
            </w:r>
          </w:p>
        </w:tc>
        <w:tc>
          <w:tcPr>
            <w:tcW w:w="308" w:type="pct"/>
            <w:tcBorders>
              <w:top w:val="single" w:color="auto" w:sz="4" w:space="0"/>
              <w:left w:val="single" w:color="auto" w:sz="4" w:space="0"/>
              <w:bottom w:val="single" w:color="auto" w:sz="4" w:space="0"/>
              <w:right w:val="single" w:color="auto" w:sz="4" w:space="0"/>
            </w:tcBorders>
            <w:vAlign w:val="center"/>
          </w:tcPr>
          <w:p>
            <w:pPr>
              <w:widowControl/>
              <w:jc w:val="center"/>
              <w:rPr>
                <w:kern w:val="0"/>
                <w:sz w:val="18"/>
                <w:szCs w:val="18"/>
                <w:highlight w:val="none"/>
              </w:rPr>
            </w:pPr>
            <w:r>
              <w:rPr>
                <w:kern w:val="0"/>
                <w:sz w:val="18"/>
                <w:szCs w:val="18"/>
                <w:highlight w:val="none"/>
              </w:rPr>
              <w:t>合计</w:t>
            </w:r>
          </w:p>
        </w:tc>
        <w:tc>
          <w:tcPr>
            <w:tcW w:w="303" w:type="pct"/>
            <w:tcBorders>
              <w:top w:val="single" w:color="auto" w:sz="4" w:space="0"/>
              <w:left w:val="single" w:color="auto" w:sz="4" w:space="0"/>
              <w:bottom w:val="single" w:color="auto" w:sz="4" w:space="0"/>
              <w:right w:val="single" w:color="auto" w:sz="4" w:space="0"/>
            </w:tcBorders>
            <w:vAlign w:val="center"/>
          </w:tcPr>
          <w:p>
            <w:pPr>
              <w:widowControl/>
              <w:jc w:val="center"/>
              <w:rPr>
                <w:kern w:val="0"/>
                <w:sz w:val="18"/>
                <w:szCs w:val="18"/>
                <w:highlight w:val="none"/>
              </w:rPr>
            </w:pPr>
            <w:r>
              <w:rPr>
                <w:kern w:val="0"/>
                <w:sz w:val="18"/>
                <w:szCs w:val="18"/>
                <w:highlight w:val="none"/>
              </w:rPr>
              <w:t>公路</w:t>
            </w:r>
          </w:p>
        </w:tc>
        <w:tc>
          <w:tcPr>
            <w:tcW w:w="218" w:type="pct"/>
            <w:tcBorders>
              <w:top w:val="single" w:color="auto" w:sz="4" w:space="0"/>
              <w:left w:val="single" w:color="auto" w:sz="4" w:space="0"/>
              <w:bottom w:val="single" w:color="auto" w:sz="4" w:space="0"/>
              <w:right w:val="single" w:color="auto" w:sz="4" w:space="0"/>
            </w:tcBorders>
            <w:vAlign w:val="center"/>
          </w:tcPr>
          <w:p>
            <w:pPr>
              <w:widowControl/>
              <w:jc w:val="center"/>
              <w:rPr>
                <w:kern w:val="0"/>
                <w:sz w:val="18"/>
                <w:szCs w:val="18"/>
                <w:highlight w:val="none"/>
              </w:rPr>
            </w:pPr>
            <w:r>
              <w:rPr>
                <w:kern w:val="0"/>
                <w:sz w:val="18"/>
                <w:szCs w:val="18"/>
                <w:highlight w:val="none"/>
              </w:rPr>
              <w:t>铁路</w:t>
            </w:r>
          </w:p>
        </w:tc>
        <w:tc>
          <w:tcPr>
            <w:tcW w:w="241" w:type="pct"/>
            <w:tcBorders>
              <w:top w:val="single" w:color="auto" w:sz="4" w:space="0"/>
              <w:left w:val="single" w:color="auto" w:sz="4" w:space="0"/>
              <w:bottom w:val="single" w:color="auto" w:sz="4" w:space="0"/>
              <w:right w:val="single" w:color="auto" w:sz="4" w:space="0"/>
            </w:tcBorders>
            <w:vAlign w:val="center"/>
          </w:tcPr>
          <w:p>
            <w:pPr>
              <w:widowControl/>
              <w:jc w:val="center"/>
              <w:rPr>
                <w:kern w:val="0"/>
                <w:sz w:val="18"/>
                <w:szCs w:val="18"/>
                <w:highlight w:val="none"/>
              </w:rPr>
            </w:pPr>
            <w:r>
              <w:rPr>
                <w:kern w:val="0"/>
                <w:sz w:val="18"/>
                <w:szCs w:val="18"/>
                <w:highlight w:val="none"/>
              </w:rPr>
              <w:t>水运</w:t>
            </w:r>
          </w:p>
        </w:tc>
        <w:tc>
          <w:tcPr>
            <w:tcW w:w="385" w:type="pct"/>
            <w:tcBorders>
              <w:top w:val="single" w:color="auto" w:sz="4" w:space="0"/>
              <w:left w:val="single" w:color="auto" w:sz="4" w:space="0"/>
              <w:bottom w:val="single" w:color="auto" w:sz="4" w:space="0"/>
              <w:right w:val="single" w:color="auto" w:sz="4" w:space="0"/>
            </w:tcBorders>
            <w:vAlign w:val="center"/>
          </w:tcPr>
          <w:p>
            <w:pPr>
              <w:widowControl/>
              <w:jc w:val="center"/>
              <w:rPr>
                <w:kern w:val="0"/>
                <w:sz w:val="18"/>
                <w:szCs w:val="18"/>
                <w:highlight w:val="none"/>
              </w:rPr>
            </w:pPr>
            <w:r>
              <w:rPr>
                <w:kern w:val="0"/>
                <w:sz w:val="18"/>
                <w:szCs w:val="18"/>
                <w:highlight w:val="none"/>
              </w:rPr>
              <w:t>合计</w:t>
            </w:r>
          </w:p>
        </w:tc>
        <w:tc>
          <w:tcPr>
            <w:tcW w:w="240" w:type="pct"/>
            <w:tcBorders>
              <w:top w:val="single" w:color="auto" w:sz="4" w:space="0"/>
              <w:left w:val="single" w:color="auto" w:sz="4" w:space="0"/>
              <w:bottom w:val="single" w:color="auto" w:sz="4" w:space="0"/>
              <w:right w:val="single" w:color="auto" w:sz="4" w:space="0"/>
            </w:tcBorders>
            <w:vAlign w:val="center"/>
          </w:tcPr>
          <w:p>
            <w:pPr>
              <w:widowControl/>
              <w:jc w:val="center"/>
              <w:rPr>
                <w:kern w:val="0"/>
                <w:sz w:val="18"/>
                <w:szCs w:val="18"/>
                <w:highlight w:val="none"/>
              </w:rPr>
            </w:pPr>
            <w:r>
              <w:rPr>
                <w:kern w:val="0"/>
                <w:sz w:val="18"/>
                <w:szCs w:val="18"/>
                <w:highlight w:val="none"/>
              </w:rPr>
              <w:t>公路</w:t>
            </w:r>
          </w:p>
        </w:tc>
        <w:tc>
          <w:tcPr>
            <w:tcW w:w="240" w:type="pct"/>
            <w:tcBorders>
              <w:top w:val="single" w:color="auto" w:sz="4" w:space="0"/>
              <w:left w:val="single" w:color="auto" w:sz="4" w:space="0"/>
              <w:bottom w:val="single" w:color="auto" w:sz="4" w:space="0"/>
              <w:right w:val="single" w:color="auto" w:sz="4" w:space="0"/>
            </w:tcBorders>
            <w:vAlign w:val="center"/>
          </w:tcPr>
          <w:p>
            <w:pPr>
              <w:widowControl/>
              <w:jc w:val="center"/>
              <w:rPr>
                <w:kern w:val="0"/>
                <w:sz w:val="18"/>
                <w:szCs w:val="18"/>
                <w:highlight w:val="none"/>
              </w:rPr>
            </w:pPr>
            <w:r>
              <w:rPr>
                <w:kern w:val="0"/>
                <w:sz w:val="18"/>
                <w:szCs w:val="18"/>
                <w:highlight w:val="none"/>
              </w:rPr>
              <w:t>铁路</w:t>
            </w:r>
          </w:p>
        </w:tc>
        <w:tc>
          <w:tcPr>
            <w:tcW w:w="303" w:type="pct"/>
            <w:tcBorders>
              <w:top w:val="single" w:color="auto" w:sz="4" w:space="0"/>
              <w:left w:val="single" w:color="auto" w:sz="4" w:space="0"/>
              <w:bottom w:val="single" w:color="auto" w:sz="4" w:space="0"/>
              <w:right w:val="single" w:color="auto" w:sz="4" w:space="0"/>
            </w:tcBorders>
            <w:vAlign w:val="center"/>
          </w:tcPr>
          <w:p>
            <w:pPr>
              <w:widowControl/>
              <w:jc w:val="center"/>
              <w:rPr>
                <w:kern w:val="0"/>
                <w:sz w:val="18"/>
                <w:szCs w:val="18"/>
                <w:highlight w:val="none"/>
              </w:rPr>
            </w:pPr>
            <w:r>
              <w:rPr>
                <w:kern w:val="0"/>
                <w:sz w:val="18"/>
                <w:szCs w:val="18"/>
                <w:highlight w:val="none"/>
              </w:rPr>
              <w:t>水运</w:t>
            </w:r>
          </w:p>
        </w:tc>
        <w:tc>
          <w:tcPr>
            <w:tcW w:w="240" w:type="pct"/>
            <w:tcBorders>
              <w:top w:val="single" w:color="auto" w:sz="4" w:space="0"/>
              <w:left w:val="single" w:color="auto" w:sz="4" w:space="0"/>
              <w:bottom w:val="single" w:color="auto" w:sz="4" w:space="0"/>
              <w:right w:val="single" w:color="auto" w:sz="4" w:space="0"/>
            </w:tcBorders>
            <w:vAlign w:val="center"/>
          </w:tcPr>
          <w:p>
            <w:pPr>
              <w:widowControl/>
              <w:jc w:val="center"/>
              <w:rPr>
                <w:kern w:val="0"/>
                <w:sz w:val="18"/>
                <w:szCs w:val="18"/>
                <w:highlight w:val="none"/>
              </w:rPr>
            </w:pPr>
            <w:r>
              <w:rPr>
                <w:kern w:val="0"/>
                <w:sz w:val="18"/>
                <w:szCs w:val="18"/>
                <w:highlight w:val="none"/>
              </w:rPr>
              <w:t>合计</w:t>
            </w:r>
          </w:p>
        </w:tc>
        <w:tc>
          <w:tcPr>
            <w:tcW w:w="303" w:type="pct"/>
            <w:tcBorders>
              <w:top w:val="single" w:color="auto" w:sz="4" w:space="0"/>
              <w:left w:val="single" w:color="auto" w:sz="4" w:space="0"/>
              <w:bottom w:val="single" w:color="auto" w:sz="4" w:space="0"/>
              <w:right w:val="single" w:color="auto" w:sz="4" w:space="0"/>
            </w:tcBorders>
            <w:vAlign w:val="center"/>
          </w:tcPr>
          <w:p>
            <w:pPr>
              <w:widowControl/>
              <w:jc w:val="center"/>
              <w:rPr>
                <w:kern w:val="0"/>
                <w:sz w:val="18"/>
                <w:szCs w:val="18"/>
                <w:highlight w:val="none"/>
              </w:rPr>
            </w:pPr>
            <w:r>
              <w:rPr>
                <w:kern w:val="0"/>
                <w:sz w:val="18"/>
                <w:szCs w:val="18"/>
                <w:highlight w:val="none"/>
              </w:rPr>
              <w:t>公路</w:t>
            </w:r>
          </w:p>
        </w:tc>
        <w:tc>
          <w:tcPr>
            <w:tcW w:w="240" w:type="pct"/>
            <w:tcBorders>
              <w:top w:val="single" w:color="auto" w:sz="4" w:space="0"/>
              <w:left w:val="single" w:color="auto" w:sz="4" w:space="0"/>
              <w:bottom w:val="single" w:color="auto" w:sz="4" w:space="0"/>
              <w:right w:val="single" w:color="auto" w:sz="4" w:space="0"/>
            </w:tcBorders>
            <w:vAlign w:val="center"/>
          </w:tcPr>
          <w:p>
            <w:pPr>
              <w:widowControl/>
              <w:jc w:val="center"/>
              <w:rPr>
                <w:kern w:val="0"/>
                <w:sz w:val="18"/>
                <w:szCs w:val="18"/>
                <w:highlight w:val="none"/>
              </w:rPr>
            </w:pPr>
            <w:r>
              <w:rPr>
                <w:kern w:val="0"/>
                <w:sz w:val="18"/>
                <w:szCs w:val="18"/>
                <w:highlight w:val="none"/>
              </w:rPr>
              <w:t>铁路</w:t>
            </w:r>
          </w:p>
        </w:tc>
        <w:tc>
          <w:tcPr>
            <w:tcW w:w="228" w:type="pct"/>
            <w:tcBorders>
              <w:top w:val="single" w:color="auto" w:sz="4" w:space="0"/>
              <w:left w:val="single" w:color="auto" w:sz="4" w:space="0"/>
              <w:bottom w:val="single" w:color="auto" w:sz="4" w:space="0"/>
            </w:tcBorders>
            <w:vAlign w:val="center"/>
          </w:tcPr>
          <w:p>
            <w:pPr>
              <w:widowControl/>
              <w:jc w:val="center"/>
              <w:rPr>
                <w:kern w:val="0"/>
                <w:sz w:val="18"/>
                <w:szCs w:val="18"/>
                <w:highlight w:val="none"/>
              </w:rPr>
            </w:pPr>
            <w:r>
              <w:rPr>
                <w:kern w:val="0"/>
                <w:sz w:val="18"/>
                <w:szCs w:val="18"/>
                <w:highlight w:val="none"/>
              </w:rPr>
              <w:t>水运</w:t>
            </w:r>
          </w:p>
        </w:tc>
      </w:tr>
      <w:tr>
        <w:tblPrEx>
          <w:tblCellMar>
            <w:top w:w="0" w:type="dxa"/>
            <w:left w:w="108" w:type="dxa"/>
            <w:bottom w:w="0" w:type="dxa"/>
            <w:right w:w="108" w:type="dxa"/>
          </w:tblCellMar>
        </w:tblPrEx>
        <w:trPr>
          <w:trHeight w:val="367" w:hRule="atLeast"/>
          <w:jc w:val="center"/>
        </w:trPr>
        <w:tc>
          <w:tcPr>
            <w:tcW w:w="658" w:type="pct"/>
            <w:tcBorders>
              <w:top w:val="nil"/>
              <w:bottom w:val="single" w:color="auto" w:sz="4" w:space="0"/>
              <w:right w:val="single" w:color="auto" w:sz="4" w:space="0"/>
            </w:tcBorders>
            <w:vAlign w:val="center"/>
          </w:tcPr>
          <w:p>
            <w:pPr>
              <w:widowControl/>
              <w:jc w:val="center"/>
              <w:rPr>
                <w:kern w:val="0"/>
                <w:sz w:val="18"/>
                <w:szCs w:val="18"/>
                <w:highlight w:val="none"/>
              </w:rPr>
            </w:pPr>
            <w:r>
              <w:rPr>
                <w:kern w:val="0"/>
                <w:sz w:val="18"/>
                <w:szCs w:val="18"/>
                <w:highlight w:val="none"/>
              </w:rPr>
              <w:t>合计</w:t>
            </w:r>
          </w:p>
        </w:tc>
        <w:tc>
          <w:tcPr>
            <w:tcW w:w="308" w:type="pct"/>
            <w:tcBorders>
              <w:top w:val="nil"/>
              <w:left w:val="nil"/>
              <w:bottom w:val="single" w:color="auto" w:sz="4" w:space="0"/>
              <w:right w:val="single" w:color="auto" w:sz="4" w:space="0"/>
            </w:tcBorders>
            <w:noWrap/>
            <w:vAlign w:val="center"/>
          </w:tcPr>
          <w:p>
            <w:pPr>
              <w:jc w:val="center"/>
              <w:rPr>
                <w:sz w:val="22"/>
                <w:highlight w:val="none"/>
              </w:rPr>
            </w:pPr>
            <w:r>
              <w:rPr>
                <w:kern w:val="0"/>
                <w:szCs w:val="21"/>
                <w:highlight w:val="none"/>
              </w:rPr>
              <w:t>500</w:t>
            </w:r>
          </w:p>
        </w:tc>
        <w:tc>
          <w:tcPr>
            <w:tcW w:w="240" w:type="pct"/>
            <w:tcBorders>
              <w:top w:val="nil"/>
              <w:left w:val="nil"/>
              <w:bottom w:val="single" w:color="auto" w:sz="4" w:space="0"/>
              <w:right w:val="single" w:color="auto" w:sz="4" w:space="0"/>
            </w:tcBorders>
            <w:noWrap/>
            <w:vAlign w:val="center"/>
          </w:tcPr>
          <w:p>
            <w:pPr>
              <w:jc w:val="center"/>
              <w:rPr>
                <w:sz w:val="22"/>
                <w:highlight w:val="none"/>
              </w:rPr>
            </w:pPr>
            <w:r>
              <w:rPr>
                <w:kern w:val="0"/>
                <w:szCs w:val="21"/>
                <w:highlight w:val="none"/>
              </w:rPr>
              <w:t>165</w:t>
            </w:r>
          </w:p>
        </w:tc>
        <w:tc>
          <w:tcPr>
            <w:tcW w:w="240" w:type="pct"/>
            <w:tcBorders>
              <w:top w:val="nil"/>
              <w:left w:val="nil"/>
              <w:bottom w:val="single" w:color="auto" w:sz="4" w:space="0"/>
              <w:right w:val="single" w:color="auto" w:sz="4" w:space="0"/>
            </w:tcBorders>
            <w:noWrap/>
            <w:vAlign w:val="center"/>
          </w:tcPr>
          <w:p>
            <w:pPr>
              <w:jc w:val="center"/>
              <w:rPr>
                <w:sz w:val="22"/>
                <w:highlight w:val="none"/>
              </w:rPr>
            </w:pPr>
            <w:r>
              <w:rPr>
                <w:kern w:val="0"/>
                <w:szCs w:val="21"/>
                <w:highlight w:val="none"/>
              </w:rPr>
              <w:t>30</w:t>
            </w:r>
          </w:p>
        </w:tc>
        <w:tc>
          <w:tcPr>
            <w:tcW w:w="303" w:type="pct"/>
            <w:tcBorders>
              <w:top w:val="nil"/>
              <w:left w:val="nil"/>
              <w:bottom w:val="single" w:color="auto" w:sz="4" w:space="0"/>
              <w:right w:val="single" w:color="auto" w:sz="4" w:space="0"/>
            </w:tcBorders>
            <w:noWrap/>
            <w:vAlign w:val="center"/>
          </w:tcPr>
          <w:p>
            <w:pPr>
              <w:jc w:val="center"/>
              <w:rPr>
                <w:sz w:val="22"/>
                <w:highlight w:val="none"/>
              </w:rPr>
            </w:pPr>
            <w:r>
              <w:rPr>
                <w:kern w:val="0"/>
                <w:szCs w:val="21"/>
                <w:highlight w:val="none"/>
              </w:rPr>
              <w:t>455</w:t>
            </w:r>
          </w:p>
        </w:tc>
        <w:tc>
          <w:tcPr>
            <w:tcW w:w="308" w:type="pct"/>
            <w:tcBorders>
              <w:top w:val="nil"/>
              <w:left w:val="nil"/>
              <w:bottom w:val="single" w:color="auto" w:sz="4" w:space="0"/>
              <w:right w:val="single" w:color="auto" w:sz="4" w:space="0"/>
            </w:tcBorders>
            <w:noWrap/>
            <w:vAlign w:val="center"/>
          </w:tcPr>
          <w:p>
            <w:pPr>
              <w:jc w:val="center"/>
              <w:rPr>
                <w:sz w:val="22"/>
                <w:highlight w:val="none"/>
              </w:rPr>
            </w:pPr>
            <w:r>
              <w:rPr>
                <w:kern w:val="0"/>
                <w:szCs w:val="21"/>
                <w:highlight w:val="none"/>
              </w:rPr>
              <w:t>500</w:t>
            </w:r>
          </w:p>
        </w:tc>
        <w:tc>
          <w:tcPr>
            <w:tcW w:w="303" w:type="pct"/>
            <w:tcBorders>
              <w:top w:val="nil"/>
              <w:left w:val="nil"/>
              <w:bottom w:val="single" w:color="auto" w:sz="4" w:space="0"/>
              <w:right w:val="single" w:color="auto" w:sz="4" w:space="0"/>
            </w:tcBorders>
            <w:noWrap/>
            <w:vAlign w:val="center"/>
          </w:tcPr>
          <w:p>
            <w:pPr>
              <w:jc w:val="center"/>
              <w:rPr>
                <w:sz w:val="22"/>
                <w:highlight w:val="none"/>
              </w:rPr>
            </w:pPr>
            <w:r>
              <w:rPr>
                <w:kern w:val="0"/>
                <w:szCs w:val="21"/>
                <w:highlight w:val="none"/>
              </w:rPr>
              <w:t>450</w:t>
            </w:r>
          </w:p>
        </w:tc>
        <w:tc>
          <w:tcPr>
            <w:tcW w:w="218" w:type="pct"/>
            <w:tcBorders>
              <w:top w:val="nil"/>
              <w:left w:val="nil"/>
              <w:bottom w:val="single" w:color="auto" w:sz="4" w:space="0"/>
              <w:right w:val="single" w:color="auto" w:sz="4" w:space="0"/>
            </w:tcBorders>
            <w:noWrap/>
            <w:vAlign w:val="center"/>
          </w:tcPr>
          <w:p>
            <w:pPr>
              <w:jc w:val="center"/>
              <w:rPr>
                <w:sz w:val="22"/>
                <w:highlight w:val="none"/>
              </w:rPr>
            </w:pPr>
            <w:r>
              <w:rPr>
                <w:kern w:val="0"/>
                <w:szCs w:val="21"/>
                <w:highlight w:val="none"/>
              </w:rPr>
              <w:t>5</w:t>
            </w:r>
          </w:p>
        </w:tc>
        <w:tc>
          <w:tcPr>
            <w:tcW w:w="241" w:type="pct"/>
            <w:tcBorders>
              <w:top w:val="nil"/>
              <w:left w:val="nil"/>
              <w:bottom w:val="single" w:color="auto" w:sz="4" w:space="0"/>
              <w:right w:val="single" w:color="auto" w:sz="4" w:space="0"/>
            </w:tcBorders>
            <w:noWrap/>
            <w:vAlign w:val="center"/>
          </w:tcPr>
          <w:p>
            <w:pPr>
              <w:jc w:val="center"/>
              <w:rPr>
                <w:sz w:val="22"/>
                <w:highlight w:val="none"/>
              </w:rPr>
            </w:pPr>
            <w:r>
              <w:rPr>
                <w:kern w:val="0"/>
                <w:szCs w:val="21"/>
                <w:highlight w:val="none"/>
              </w:rPr>
              <w:t>195</w:t>
            </w:r>
          </w:p>
        </w:tc>
        <w:tc>
          <w:tcPr>
            <w:tcW w:w="385" w:type="pct"/>
            <w:tcBorders>
              <w:top w:val="nil"/>
              <w:left w:val="nil"/>
              <w:bottom w:val="single" w:color="auto" w:sz="4" w:space="0"/>
              <w:right w:val="single" w:color="auto" w:sz="4" w:space="0"/>
            </w:tcBorders>
            <w:noWrap/>
            <w:vAlign w:val="center"/>
          </w:tcPr>
          <w:p>
            <w:pPr>
              <w:jc w:val="center"/>
              <w:rPr>
                <w:sz w:val="22"/>
                <w:highlight w:val="none"/>
              </w:rPr>
            </w:pPr>
            <w:r>
              <w:rPr>
                <w:rFonts w:eastAsia="等线"/>
                <w:sz w:val="22"/>
                <w:szCs w:val="22"/>
                <w:highlight w:val="none"/>
              </w:rPr>
              <w:t>1650</w:t>
            </w:r>
          </w:p>
        </w:tc>
        <w:tc>
          <w:tcPr>
            <w:tcW w:w="240" w:type="pct"/>
            <w:tcBorders>
              <w:top w:val="nil"/>
              <w:left w:val="nil"/>
              <w:bottom w:val="single" w:color="auto" w:sz="4" w:space="0"/>
              <w:right w:val="single" w:color="auto" w:sz="4" w:space="0"/>
            </w:tcBorders>
            <w:noWrap/>
            <w:vAlign w:val="center"/>
          </w:tcPr>
          <w:p>
            <w:pPr>
              <w:jc w:val="center"/>
              <w:rPr>
                <w:sz w:val="22"/>
                <w:highlight w:val="none"/>
              </w:rPr>
            </w:pPr>
            <w:r>
              <w:rPr>
                <w:kern w:val="0"/>
                <w:szCs w:val="21"/>
                <w:highlight w:val="none"/>
              </w:rPr>
              <w:t>635</w:t>
            </w:r>
          </w:p>
        </w:tc>
        <w:tc>
          <w:tcPr>
            <w:tcW w:w="240" w:type="pct"/>
            <w:tcBorders>
              <w:top w:val="nil"/>
              <w:left w:val="nil"/>
              <w:bottom w:val="single" w:color="auto" w:sz="4" w:space="0"/>
              <w:right w:val="single" w:color="auto" w:sz="4" w:space="0"/>
            </w:tcBorders>
            <w:noWrap/>
            <w:vAlign w:val="center"/>
          </w:tcPr>
          <w:p>
            <w:pPr>
              <w:widowControl/>
              <w:jc w:val="center"/>
              <w:rPr>
                <w:sz w:val="22"/>
                <w:highlight w:val="none"/>
              </w:rPr>
            </w:pPr>
            <w:r>
              <w:rPr>
                <w:kern w:val="0"/>
                <w:szCs w:val="21"/>
                <w:highlight w:val="none"/>
              </w:rPr>
              <w:t>100</w:t>
            </w:r>
          </w:p>
        </w:tc>
        <w:tc>
          <w:tcPr>
            <w:tcW w:w="303" w:type="pct"/>
            <w:tcBorders>
              <w:top w:val="nil"/>
              <w:left w:val="nil"/>
              <w:bottom w:val="single" w:color="auto" w:sz="4" w:space="0"/>
              <w:right w:val="single" w:color="auto" w:sz="4" w:space="0"/>
            </w:tcBorders>
            <w:noWrap/>
            <w:vAlign w:val="center"/>
          </w:tcPr>
          <w:p>
            <w:pPr>
              <w:jc w:val="center"/>
              <w:rPr>
                <w:sz w:val="22"/>
                <w:highlight w:val="none"/>
              </w:rPr>
            </w:pPr>
            <w:r>
              <w:rPr>
                <w:kern w:val="0"/>
                <w:szCs w:val="21"/>
                <w:highlight w:val="none"/>
              </w:rPr>
              <w:t>865</w:t>
            </w:r>
          </w:p>
        </w:tc>
        <w:tc>
          <w:tcPr>
            <w:tcW w:w="240" w:type="pct"/>
            <w:tcBorders>
              <w:top w:val="nil"/>
              <w:left w:val="nil"/>
              <w:bottom w:val="single" w:color="auto" w:sz="4" w:space="0"/>
              <w:right w:val="single" w:color="auto" w:sz="4" w:space="0"/>
            </w:tcBorders>
            <w:noWrap/>
            <w:vAlign w:val="center"/>
          </w:tcPr>
          <w:p>
            <w:pPr>
              <w:jc w:val="center"/>
              <w:rPr>
                <w:sz w:val="22"/>
                <w:highlight w:val="none"/>
              </w:rPr>
            </w:pPr>
            <w:r>
              <w:rPr>
                <w:rFonts w:eastAsia="等线"/>
                <w:sz w:val="22"/>
                <w:szCs w:val="22"/>
                <w:highlight w:val="none"/>
              </w:rPr>
              <w:t>1650</w:t>
            </w:r>
          </w:p>
        </w:tc>
        <w:tc>
          <w:tcPr>
            <w:tcW w:w="303" w:type="pct"/>
            <w:tcBorders>
              <w:top w:val="nil"/>
              <w:left w:val="nil"/>
              <w:bottom w:val="single" w:color="auto" w:sz="4" w:space="0"/>
              <w:right w:val="single" w:color="auto" w:sz="4" w:space="0"/>
            </w:tcBorders>
            <w:noWrap/>
            <w:vAlign w:val="center"/>
          </w:tcPr>
          <w:p>
            <w:pPr>
              <w:jc w:val="center"/>
              <w:rPr>
                <w:sz w:val="22"/>
                <w:highlight w:val="none"/>
              </w:rPr>
            </w:pPr>
            <w:r>
              <w:rPr>
                <w:kern w:val="0"/>
                <w:szCs w:val="21"/>
                <w:highlight w:val="none"/>
              </w:rPr>
              <w:t>855</w:t>
            </w:r>
          </w:p>
        </w:tc>
        <w:tc>
          <w:tcPr>
            <w:tcW w:w="240" w:type="pct"/>
            <w:tcBorders>
              <w:top w:val="nil"/>
              <w:left w:val="nil"/>
              <w:bottom w:val="single" w:color="auto" w:sz="4" w:space="0"/>
              <w:right w:val="single" w:color="auto" w:sz="4" w:space="0"/>
            </w:tcBorders>
            <w:noWrap/>
            <w:vAlign w:val="center"/>
          </w:tcPr>
          <w:p>
            <w:pPr>
              <w:widowControl/>
              <w:jc w:val="center"/>
              <w:rPr>
                <w:sz w:val="22"/>
                <w:highlight w:val="none"/>
              </w:rPr>
            </w:pPr>
            <w:r>
              <w:rPr>
                <w:kern w:val="0"/>
                <w:szCs w:val="21"/>
                <w:highlight w:val="none"/>
              </w:rPr>
              <w:t>10</w:t>
            </w:r>
          </w:p>
        </w:tc>
        <w:tc>
          <w:tcPr>
            <w:tcW w:w="228" w:type="pct"/>
            <w:tcBorders>
              <w:top w:val="nil"/>
              <w:left w:val="nil"/>
              <w:bottom w:val="single" w:color="auto" w:sz="4" w:space="0"/>
            </w:tcBorders>
            <w:noWrap/>
            <w:vAlign w:val="center"/>
          </w:tcPr>
          <w:p>
            <w:pPr>
              <w:jc w:val="center"/>
              <w:rPr>
                <w:sz w:val="22"/>
                <w:highlight w:val="none"/>
              </w:rPr>
            </w:pPr>
            <w:r>
              <w:rPr>
                <w:kern w:val="0"/>
                <w:szCs w:val="21"/>
                <w:highlight w:val="none"/>
              </w:rPr>
              <w:t>735</w:t>
            </w:r>
          </w:p>
        </w:tc>
      </w:tr>
      <w:tr>
        <w:tblPrEx>
          <w:tblCellMar>
            <w:top w:w="0" w:type="dxa"/>
            <w:left w:w="108" w:type="dxa"/>
            <w:bottom w:w="0" w:type="dxa"/>
            <w:right w:w="108" w:type="dxa"/>
          </w:tblCellMar>
        </w:tblPrEx>
        <w:trPr>
          <w:trHeight w:val="367" w:hRule="atLeast"/>
          <w:jc w:val="center"/>
        </w:trPr>
        <w:tc>
          <w:tcPr>
            <w:tcW w:w="658" w:type="pct"/>
            <w:tcBorders>
              <w:top w:val="nil"/>
              <w:bottom w:val="single" w:color="auto" w:sz="4" w:space="0"/>
              <w:right w:val="single" w:color="auto" w:sz="4" w:space="0"/>
            </w:tcBorders>
            <w:vAlign w:val="center"/>
          </w:tcPr>
          <w:p>
            <w:pPr>
              <w:widowControl/>
              <w:rPr>
                <w:kern w:val="0"/>
                <w:sz w:val="18"/>
                <w:szCs w:val="18"/>
                <w:highlight w:val="none"/>
              </w:rPr>
            </w:pPr>
            <w:r>
              <w:rPr>
                <w:kern w:val="0"/>
                <w:sz w:val="18"/>
                <w:szCs w:val="18"/>
                <w:highlight w:val="none"/>
              </w:rPr>
              <w:t>1.煤炭及制品</w:t>
            </w:r>
          </w:p>
        </w:tc>
        <w:tc>
          <w:tcPr>
            <w:tcW w:w="308" w:type="pct"/>
            <w:tcBorders>
              <w:top w:val="nil"/>
              <w:left w:val="nil"/>
              <w:bottom w:val="single" w:color="auto" w:sz="4" w:space="0"/>
              <w:right w:val="single" w:color="auto" w:sz="4" w:space="0"/>
            </w:tcBorders>
            <w:vAlign w:val="center"/>
          </w:tcPr>
          <w:p>
            <w:pPr>
              <w:jc w:val="center"/>
              <w:rPr>
                <w:sz w:val="22"/>
                <w:highlight w:val="none"/>
              </w:rPr>
            </w:pPr>
            <w:r>
              <w:rPr>
                <w:rFonts w:eastAsia="等线"/>
                <w:sz w:val="22"/>
                <w:szCs w:val="22"/>
                <w:highlight w:val="none"/>
              </w:rPr>
              <w:t>10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5</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303"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5</w:t>
            </w:r>
          </w:p>
        </w:tc>
        <w:tc>
          <w:tcPr>
            <w:tcW w:w="308" w:type="pct"/>
            <w:tcBorders>
              <w:top w:val="nil"/>
              <w:left w:val="nil"/>
              <w:bottom w:val="single" w:color="auto" w:sz="4" w:space="0"/>
              <w:right w:val="single" w:color="auto" w:sz="4" w:space="0"/>
            </w:tcBorders>
            <w:vAlign w:val="center"/>
          </w:tcPr>
          <w:p>
            <w:pPr>
              <w:jc w:val="center"/>
              <w:rPr>
                <w:sz w:val="22"/>
                <w:highlight w:val="none"/>
              </w:rPr>
            </w:pPr>
            <w:r>
              <w:rPr>
                <w:rFonts w:eastAsia="等线"/>
                <w:sz w:val="22"/>
                <w:szCs w:val="22"/>
                <w:highlight w:val="none"/>
              </w:rPr>
              <w:t>10</w:t>
            </w:r>
          </w:p>
        </w:tc>
        <w:tc>
          <w:tcPr>
            <w:tcW w:w="303"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5</w:t>
            </w:r>
          </w:p>
        </w:tc>
        <w:tc>
          <w:tcPr>
            <w:tcW w:w="218"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241"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5</w:t>
            </w:r>
          </w:p>
        </w:tc>
        <w:tc>
          <w:tcPr>
            <w:tcW w:w="385" w:type="pct"/>
            <w:tcBorders>
              <w:top w:val="nil"/>
              <w:left w:val="nil"/>
              <w:bottom w:val="single" w:color="auto" w:sz="4" w:space="0"/>
              <w:right w:val="single" w:color="auto" w:sz="4" w:space="0"/>
            </w:tcBorders>
            <w:vAlign w:val="center"/>
          </w:tcPr>
          <w:p>
            <w:pPr>
              <w:jc w:val="center"/>
              <w:rPr>
                <w:sz w:val="22"/>
                <w:highlight w:val="none"/>
              </w:rPr>
            </w:pPr>
            <w:r>
              <w:rPr>
                <w:rFonts w:eastAsia="等线"/>
                <w:sz w:val="22"/>
                <w:szCs w:val="22"/>
                <w:highlight w:val="none"/>
              </w:rPr>
              <w:t>20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10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303"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10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rFonts w:eastAsia="等线"/>
                <w:sz w:val="22"/>
                <w:szCs w:val="22"/>
                <w:highlight w:val="none"/>
              </w:rPr>
              <w:t>20</w:t>
            </w:r>
          </w:p>
        </w:tc>
        <w:tc>
          <w:tcPr>
            <w:tcW w:w="303"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10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228" w:type="pct"/>
            <w:tcBorders>
              <w:top w:val="nil"/>
              <w:left w:val="nil"/>
              <w:bottom w:val="single" w:color="auto" w:sz="4" w:space="0"/>
            </w:tcBorders>
            <w:vAlign w:val="center"/>
          </w:tcPr>
          <w:p>
            <w:pPr>
              <w:jc w:val="center"/>
              <w:rPr>
                <w:sz w:val="22"/>
                <w:highlight w:val="none"/>
              </w:rPr>
            </w:pPr>
            <w:r>
              <w:rPr>
                <w:kern w:val="0"/>
                <w:szCs w:val="21"/>
                <w:highlight w:val="none"/>
              </w:rPr>
              <w:t>10</w:t>
            </w:r>
          </w:p>
        </w:tc>
      </w:tr>
      <w:tr>
        <w:tblPrEx>
          <w:tblCellMar>
            <w:top w:w="0" w:type="dxa"/>
            <w:left w:w="108" w:type="dxa"/>
            <w:bottom w:w="0" w:type="dxa"/>
            <w:right w:w="108" w:type="dxa"/>
          </w:tblCellMar>
        </w:tblPrEx>
        <w:trPr>
          <w:trHeight w:val="367" w:hRule="atLeast"/>
          <w:jc w:val="center"/>
        </w:trPr>
        <w:tc>
          <w:tcPr>
            <w:tcW w:w="658" w:type="pct"/>
            <w:tcBorders>
              <w:top w:val="nil"/>
              <w:bottom w:val="single" w:color="auto" w:sz="4" w:space="0"/>
              <w:right w:val="single" w:color="auto" w:sz="4" w:space="0"/>
            </w:tcBorders>
            <w:vAlign w:val="center"/>
          </w:tcPr>
          <w:p>
            <w:pPr>
              <w:widowControl/>
              <w:rPr>
                <w:kern w:val="0"/>
                <w:sz w:val="18"/>
                <w:szCs w:val="18"/>
                <w:highlight w:val="none"/>
              </w:rPr>
            </w:pPr>
            <w:r>
              <w:rPr>
                <w:kern w:val="0"/>
                <w:sz w:val="18"/>
                <w:szCs w:val="18"/>
                <w:highlight w:val="none"/>
              </w:rPr>
              <w:t>2.金属矿石</w:t>
            </w:r>
          </w:p>
        </w:tc>
        <w:tc>
          <w:tcPr>
            <w:tcW w:w="308" w:type="pct"/>
            <w:tcBorders>
              <w:top w:val="nil"/>
              <w:left w:val="nil"/>
              <w:bottom w:val="single" w:color="auto" w:sz="4" w:space="0"/>
              <w:right w:val="single" w:color="auto" w:sz="4" w:space="0"/>
            </w:tcBorders>
            <w:vAlign w:val="center"/>
          </w:tcPr>
          <w:p>
            <w:pPr>
              <w:jc w:val="center"/>
              <w:rPr>
                <w:sz w:val="22"/>
                <w:highlight w:val="none"/>
              </w:rPr>
            </w:pPr>
            <w:r>
              <w:rPr>
                <w:rFonts w:eastAsia="等线"/>
                <w:sz w:val="22"/>
                <w:szCs w:val="22"/>
                <w:highlight w:val="none"/>
              </w:rPr>
              <w:t>10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10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303"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308" w:type="pct"/>
            <w:tcBorders>
              <w:top w:val="nil"/>
              <w:left w:val="nil"/>
              <w:bottom w:val="single" w:color="auto" w:sz="4" w:space="0"/>
              <w:right w:val="single" w:color="auto" w:sz="4" w:space="0"/>
            </w:tcBorders>
            <w:vAlign w:val="center"/>
          </w:tcPr>
          <w:p>
            <w:pPr>
              <w:jc w:val="center"/>
              <w:rPr>
                <w:sz w:val="22"/>
                <w:highlight w:val="none"/>
              </w:rPr>
            </w:pPr>
            <w:r>
              <w:rPr>
                <w:rFonts w:eastAsia="等线"/>
                <w:sz w:val="22"/>
                <w:szCs w:val="22"/>
                <w:highlight w:val="none"/>
              </w:rPr>
              <w:t>10</w:t>
            </w:r>
          </w:p>
        </w:tc>
        <w:tc>
          <w:tcPr>
            <w:tcW w:w="303"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218"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241"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10</w:t>
            </w:r>
          </w:p>
        </w:tc>
        <w:tc>
          <w:tcPr>
            <w:tcW w:w="385" w:type="pct"/>
            <w:tcBorders>
              <w:top w:val="nil"/>
              <w:left w:val="nil"/>
              <w:bottom w:val="single" w:color="auto" w:sz="4" w:space="0"/>
              <w:right w:val="single" w:color="auto" w:sz="4" w:space="0"/>
            </w:tcBorders>
            <w:vAlign w:val="center"/>
          </w:tcPr>
          <w:p>
            <w:pPr>
              <w:jc w:val="center"/>
              <w:rPr>
                <w:sz w:val="22"/>
                <w:highlight w:val="none"/>
              </w:rPr>
            </w:pPr>
            <w:r>
              <w:rPr>
                <w:rFonts w:eastAsia="等线"/>
                <w:sz w:val="22"/>
                <w:szCs w:val="22"/>
                <w:highlight w:val="none"/>
              </w:rPr>
              <w:t>50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10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303"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40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rFonts w:eastAsia="等线"/>
                <w:sz w:val="22"/>
                <w:szCs w:val="22"/>
                <w:highlight w:val="none"/>
              </w:rPr>
              <w:t>50</w:t>
            </w:r>
          </w:p>
        </w:tc>
        <w:tc>
          <w:tcPr>
            <w:tcW w:w="303"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40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228" w:type="pct"/>
            <w:tcBorders>
              <w:top w:val="nil"/>
              <w:left w:val="nil"/>
              <w:bottom w:val="single" w:color="auto" w:sz="4" w:space="0"/>
            </w:tcBorders>
            <w:vAlign w:val="center"/>
          </w:tcPr>
          <w:p>
            <w:pPr>
              <w:jc w:val="center"/>
              <w:rPr>
                <w:sz w:val="22"/>
                <w:highlight w:val="none"/>
              </w:rPr>
            </w:pPr>
            <w:r>
              <w:rPr>
                <w:kern w:val="0"/>
                <w:szCs w:val="21"/>
                <w:highlight w:val="none"/>
              </w:rPr>
              <w:t>10</w:t>
            </w:r>
          </w:p>
        </w:tc>
      </w:tr>
      <w:tr>
        <w:tblPrEx>
          <w:tblCellMar>
            <w:top w:w="0" w:type="dxa"/>
            <w:left w:w="108" w:type="dxa"/>
            <w:bottom w:w="0" w:type="dxa"/>
            <w:right w:w="108" w:type="dxa"/>
          </w:tblCellMar>
        </w:tblPrEx>
        <w:trPr>
          <w:trHeight w:val="367" w:hRule="atLeast"/>
          <w:jc w:val="center"/>
        </w:trPr>
        <w:tc>
          <w:tcPr>
            <w:tcW w:w="658" w:type="pct"/>
            <w:tcBorders>
              <w:top w:val="nil"/>
              <w:bottom w:val="single" w:color="auto" w:sz="4" w:space="0"/>
              <w:right w:val="single" w:color="auto" w:sz="4" w:space="0"/>
            </w:tcBorders>
            <w:vAlign w:val="center"/>
          </w:tcPr>
          <w:p>
            <w:pPr>
              <w:widowControl/>
              <w:rPr>
                <w:kern w:val="0"/>
                <w:sz w:val="18"/>
                <w:szCs w:val="18"/>
                <w:highlight w:val="none"/>
              </w:rPr>
            </w:pPr>
            <w:r>
              <w:rPr>
                <w:kern w:val="0"/>
                <w:sz w:val="18"/>
                <w:szCs w:val="18"/>
                <w:highlight w:val="none"/>
              </w:rPr>
              <w:t>3.钢铁</w:t>
            </w:r>
          </w:p>
        </w:tc>
        <w:tc>
          <w:tcPr>
            <w:tcW w:w="308" w:type="pct"/>
            <w:tcBorders>
              <w:top w:val="nil"/>
              <w:left w:val="nil"/>
              <w:bottom w:val="single" w:color="auto" w:sz="4" w:space="0"/>
              <w:right w:val="single" w:color="auto" w:sz="4" w:space="0"/>
            </w:tcBorders>
            <w:vAlign w:val="center"/>
          </w:tcPr>
          <w:p>
            <w:pPr>
              <w:jc w:val="center"/>
              <w:rPr>
                <w:sz w:val="22"/>
                <w:highlight w:val="none"/>
              </w:rPr>
            </w:pPr>
            <w:r>
              <w:rPr>
                <w:rFonts w:eastAsia="等线"/>
                <w:sz w:val="22"/>
                <w:szCs w:val="22"/>
                <w:highlight w:val="none"/>
              </w:rPr>
              <w:t>10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303"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10</w:t>
            </w:r>
          </w:p>
        </w:tc>
        <w:tc>
          <w:tcPr>
            <w:tcW w:w="308" w:type="pct"/>
            <w:tcBorders>
              <w:top w:val="nil"/>
              <w:left w:val="nil"/>
              <w:bottom w:val="single" w:color="auto" w:sz="4" w:space="0"/>
              <w:right w:val="single" w:color="auto" w:sz="4" w:space="0"/>
            </w:tcBorders>
            <w:vAlign w:val="center"/>
          </w:tcPr>
          <w:p>
            <w:pPr>
              <w:jc w:val="center"/>
              <w:rPr>
                <w:sz w:val="22"/>
                <w:highlight w:val="none"/>
              </w:rPr>
            </w:pPr>
            <w:r>
              <w:rPr>
                <w:rFonts w:eastAsia="等线"/>
                <w:sz w:val="22"/>
                <w:szCs w:val="22"/>
                <w:highlight w:val="none"/>
              </w:rPr>
              <w:t>10</w:t>
            </w:r>
          </w:p>
        </w:tc>
        <w:tc>
          <w:tcPr>
            <w:tcW w:w="303"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10</w:t>
            </w:r>
          </w:p>
        </w:tc>
        <w:tc>
          <w:tcPr>
            <w:tcW w:w="218"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241"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385" w:type="pct"/>
            <w:tcBorders>
              <w:top w:val="nil"/>
              <w:left w:val="nil"/>
              <w:bottom w:val="single" w:color="auto" w:sz="4" w:space="0"/>
              <w:right w:val="single" w:color="auto" w:sz="4" w:space="0"/>
            </w:tcBorders>
            <w:vAlign w:val="center"/>
          </w:tcPr>
          <w:p>
            <w:pPr>
              <w:jc w:val="center"/>
              <w:rPr>
                <w:sz w:val="22"/>
                <w:highlight w:val="none"/>
              </w:rPr>
            </w:pPr>
            <w:r>
              <w:rPr>
                <w:rFonts w:eastAsia="等线"/>
                <w:sz w:val="22"/>
                <w:szCs w:val="22"/>
                <w:highlight w:val="none"/>
              </w:rPr>
              <w:t>90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50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303"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40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rFonts w:eastAsia="等线"/>
                <w:sz w:val="22"/>
                <w:szCs w:val="22"/>
                <w:highlight w:val="none"/>
              </w:rPr>
              <w:t>90</w:t>
            </w:r>
          </w:p>
        </w:tc>
        <w:tc>
          <w:tcPr>
            <w:tcW w:w="303"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40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228" w:type="pct"/>
            <w:tcBorders>
              <w:top w:val="nil"/>
              <w:left w:val="nil"/>
              <w:bottom w:val="single" w:color="auto" w:sz="4" w:space="0"/>
            </w:tcBorders>
            <w:vAlign w:val="center"/>
          </w:tcPr>
          <w:p>
            <w:pPr>
              <w:jc w:val="center"/>
              <w:rPr>
                <w:sz w:val="22"/>
                <w:highlight w:val="none"/>
              </w:rPr>
            </w:pPr>
            <w:r>
              <w:rPr>
                <w:kern w:val="0"/>
                <w:szCs w:val="21"/>
                <w:highlight w:val="none"/>
              </w:rPr>
              <w:t>50</w:t>
            </w:r>
          </w:p>
        </w:tc>
      </w:tr>
      <w:tr>
        <w:tblPrEx>
          <w:tblCellMar>
            <w:top w:w="0" w:type="dxa"/>
            <w:left w:w="108" w:type="dxa"/>
            <w:bottom w:w="0" w:type="dxa"/>
            <w:right w:w="108" w:type="dxa"/>
          </w:tblCellMar>
        </w:tblPrEx>
        <w:trPr>
          <w:trHeight w:val="367" w:hRule="atLeast"/>
          <w:jc w:val="center"/>
        </w:trPr>
        <w:tc>
          <w:tcPr>
            <w:tcW w:w="658" w:type="pct"/>
            <w:tcBorders>
              <w:top w:val="nil"/>
              <w:bottom w:val="single" w:color="auto" w:sz="4" w:space="0"/>
              <w:right w:val="single" w:color="auto" w:sz="4" w:space="0"/>
            </w:tcBorders>
            <w:vAlign w:val="center"/>
          </w:tcPr>
          <w:p>
            <w:pPr>
              <w:widowControl/>
              <w:rPr>
                <w:kern w:val="0"/>
                <w:sz w:val="18"/>
                <w:szCs w:val="18"/>
                <w:highlight w:val="none"/>
              </w:rPr>
            </w:pPr>
            <w:r>
              <w:rPr>
                <w:kern w:val="0"/>
                <w:sz w:val="18"/>
                <w:szCs w:val="18"/>
                <w:highlight w:val="none"/>
              </w:rPr>
              <w:t>4.矿建材料</w:t>
            </w:r>
          </w:p>
        </w:tc>
        <w:tc>
          <w:tcPr>
            <w:tcW w:w="308" w:type="pct"/>
            <w:tcBorders>
              <w:top w:val="nil"/>
              <w:left w:val="nil"/>
              <w:bottom w:val="single" w:color="auto" w:sz="4" w:space="0"/>
              <w:right w:val="single" w:color="auto" w:sz="4" w:space="0"/>
            </w:tcBorders>
            <w:vAlign w:val="center"/>
          </w:tcPr>
          <w:p>
            <w:pPr>
              <w:jc w:val="center"/>
              <w:rPr>
                <w:sz w:val="22"/>
                <w:highlight w:val="none"/>
              </w:rPr>
            </w:pPr>
            <w:r>
              <w:rPr>
                <w:rFonts w:eastAsia="等线"/>
                <w:sz w:val="22"/>
                <w:szCs w:val="22"/>
                <w:highlight w:val="none"/>
              </w:rPr>
              <w:t>250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303"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250</w:t>
            </w:r>
          </w:p>
        </w:tc>
        <w:tc>
          <w:tcPr>
            <w:tcW w:w="308" w:type="pct"/>
            <w:tcBorders>
              <w:top w:val="nil"/>
              <w:left w:val="nil"/>
              <w:bottom w:val="single" w:color="auto" w:sz="4" w:space="0"/>
              <w:right w:val="single" w:color="auto" w:sz="4" w:space="0"/>
            </w:tcBorders>
            <w:vAlign w:val="center"/>
          </w:tcPr>
          <w:p>
            <w:pPr>
              <w:jc w:val="center"/>
              <w:rPr>
                <w:sz w:val="22"/>
                <w:highlight w:val="none"/>
              </w:rPr>
            </w:pPr>
            <w:r>
              <w:rPr>
                <w:rFonts w:eastAsia="等线"/>
                <w:sz w:val="22"/>
                <w:szCs w:val="22"/>
                <w:highlight w:val="none"/>
              </w:rPr>
              <w:t>250</w:t>
            </w:r>
          </w:p>
        </w:tc>
        <w:tc>
          <w:tcPr>
            <w:tcW w:w="303"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250</w:t>
            </w:r>
          </w:p>
        </w:tc>
        <w:tc>
          <w:tcPr>
            <w:tcW w:w="218"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241"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385" w:type="pct"/>
            <w:tcBorders>
              <w:top w:val="nil"/>
              <w:left w:val="nil"/>
              <w:bottom w:val="single" w:color="auto" w:sz="4" w:space="0"/>
              <w:right w:val="single" w:color="auto" w:sz="4" w:space="0"/>
            </w:tcBorders>
            <w:vAlign w:val="center"/>
          </w:tcPr>
          <w:p>
            <w:pPr>
              <w:jc w:val="center"/>
              <w:rPr>
                <w:sz w:val="22"/>
                <w:highlight w:val="none"/>
              </w:rPr>
            </w:pPr>
            <w:r>
              <w:rPr>
                <w:rFonts w:eastAsia="等线"/>
                <w:sz w:val="22"/>
                <w:szCs w:val="22"/>
                <w:highlight w:val="none"/>
              </w:rPr>
              <w:t>685</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303"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685</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rFonts w:eastAsia="等线"/>
                <w:sz w:val="22"/>
                <w:szCs w:val="22"/>
                <w:highlight w:val="none"/>
              </w:rPr>
              <w:t>685</w:t>
            </w:r>
          </w:p>
        </w:tc>
        <w:tc>
          <w:tcPr>
            <w:tcW w:w="303"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685</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228" w:type="pct"/>
            <w:tcBorders>
              <w:top w:val="nil"/>
              <w:left w:val="nil"/>
              <w:bottom w:val="single" w:color="auto" w:sz="4" w:space="0"/>
            </w:tcBorders>
            <w:vAlign w:val="center"/>
          </w:tcPr>
          <w:p>
            <w:pPr>
              <w:jc w:val="center"/>
              <w:rPr>
                <w:sz w:val="22"/>
                <w:highlight w:val="none"/>
              </w:rPr>
            </w:pPr>
            <w:r>
              <w:rPr>
                <w:kern w:val="0"/>
                <w:szCs w:val="21"/>
                <w:highlight w:val="none"/>
              </w:rPr>
              <w:t>0</w:t>
            </w:r>
          </w:p>
        </w:tc>
      </w:tr>
      <w:tr>
        <w:tblPrEx>
          <w:tblCellMar>
            <w:top w:w="0" w:type="dxa"/>
            <w:left w:w="108" w:type="dxa"/>
            <w:bottom w:w="0" w:type="dxa"/>
            <w:right w:w="108" w:type="dxa"/>
          </w:tblCellMar>
        </w:tblPrEx>
        <w:trPr>
          <w:trHeight w:val="367" w:hRule="atLeast"/>
          <w:jc w:val="center"/>
        </w:trPr>
        <w:tc>
          <w:tcPr>
            <w:tcW w:w="658" w:type="pct"/>
            <w:tcBorders>
              <w:top w:val="nil"/>
              <w:bottom w:val="single" w:color="auto" w:sz="4" w:space="0"/>
              <w:right w:val="single" w:color="auto" w:sz="4" w:space="0"/>
            </w:tcBorders>
            <w:vAlign w:val="center"/>
          </w:tcPr>
          <w:p>
            <w:pPr>
              <w:widowControl/>
              <w:rPr>
                <w:kern w:val="0"/>
                <w:sz w:val="18"/>
                <w:szCs w:val="18"/>
                <w:highlight w:val="none"/>
              </w:rPr>
            </w:pPr>
            <w:r>
              <w:rPr>
                <w:kern w:val="0"/>
                <w:sz w:val="18"/>
                <w:szCs w:val="18"/>
                <w:highlight w:val="none"/>
              </w:rPr>
              <w:t>5.水泥</w:t>
            </w:r>
          </w:p>
        </w:tc>
        <w:tc>
          <w:tcPr>
            <w:tcW w:w="308" w:type="pct"/>
            <w:tcBorders>
              <w:top w:val="nil"/>
              <w:left w:val="nil"/>
              <w:bottom w:val="single" w:color="auto" w:sz="4" w:space="0"/>
              <w:right w:val="single" w:color="auto" w:sz="4" w:space="0"/>
            </w:tcBorders>
            <w:vAlign w:val="center"/>
          </w:tcPr>
          <w:p>
            <w:pPr>
              <w:jc w:val="center"/>
              <w:rPr>
                <w:sz w:val="22"/>
                <w:highlight w:val="none"/>
              </w:rPr>
            </w:pPr>
            <w:r>
              <w:rPr>
                <w:rFonts w:eastAsia="等线"/>
                <w:sz w:val="22"/>
                <w:szCs w:val="22"/>
                <w:highlight w:val="none"/>
              </w:rPr>
              <w:t>20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20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303"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308" w:type="pct"/>
            <w:tcBorders>
              <w:top w:val="nil"/>
              <w:left w:val="nil"/>
              <w:bottom w:val="single" w:color="auto" w:sz="4" w:space="0"/>
              <w:right w:val="single" w:color="auto" w:sz="4" w:space="0"/>
            </w:tcBorders>
            <w:vAlign w:val="center"/>
          </w:tcPr>
          <w:p>
            <w:pPr>
              <w:jc w:val="center"/>
              <w:rPr>
                <w:sz w:val="22"/>
                <w:highlight w:val="none"/>
              </w:rPr>
            </w:pPr>
            <w:r>
              <w:rPr>
                <w:rFonts w:eastAsia="等线"/>
                <w:sz w:val="22"/>
                <w:szCs w:val="22"/>
                <w:highlight w:val="none"/>
              </w:rPr>
              <w:t>20</w:t>
            </w:r>
          </w:p>
        </w:tc>
        <w:tc>
          <w:tcPr>
            <w:tcW w:w="303"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218"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241"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20</w:t>
            </w:r>
          </w:p>
        </w:tc>
        <w:tc>
          <w:tcPr>
            <w:tcW w:w="385" w:type="pct"/>
            <w:tcBorders>
              <w:top w:val="nil"/>
              <w:left w:val="nil"/>
              <w:bottom w:val="single" w:color="auto" w:sz="4" w:space="0"/>
              <w:right w:val="single" w:color="auto" w:sz="4" w:space="0"/>
            </w:tcBorders>
            <w:vAlign w:val="center"/>
          </w:tcPr>
          <w:p>
            <w:pPr>
              <w:jc w:val="center"/>
              <w:rPr>
                <w:sz w:val="22"/>
                <w:highlight w:val="none"/>
              </w:rPr>
            </w:pPr>
            <w:r>
              <w:rPr>
                <w:rFonts w:eastAsia="等线"/>
                <w:sz w:val="22"/>
                <w:szCs w:val="22"/>
                <w:highlight w:val="none"/>
              </w:rPr>
              <w:t>60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60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303"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rFonts w:eastAsia="等线"/>
                <w:sz w:val="22"/>
                <w:szCs w:val="22"/>
                <w:highlight w:val="none"/>
              </w:rPr>
              <w:t>60</w:t>
            </w:r>
          </w:p>
        </w:tc>
        <w:tc>
          <w:tcPr>
            <w:tcW w:w="303"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228" w:type="pct"/>
            <w:tcBorders>
              <w:top w:val="nil"/>
              <w:left w:val="nil"/>
              <w:bottom w:val="single" w:color="auto" w:sz="4" w:space="0"/>
            </w:tcBorders>
            <w:vAlign w:val="center"/>
          </w:tcPr>
          <w:p>
            <w:pPr>
              <w:jc w:val="center"/>
              <w:rPr>
                <w:sz w:val="22"/>
                <w:highlight w:val="none"/>
              </w:rPr>
            </w:pPr>
            <w:r>
              <w:rPr>
                <w:kern w:val="0"/>
                <w:szCs w:val="21"/>
                <w:highlight w:val="none"/>
              </w:rPr>
              <w:t>60</w:t>
            </w:r>
          </w:p>
        </w:tc>
      </w:tr>
      <w:tr>
        <w:tblPrEx>
          <w:tblCellMar>
            <w:top w:w="0" w:type="dxa"/>
            <w:left w:w="108" w:type="dxa"/>
            <w:bottom w:w="0" w:type="dxa"/>
            <w:right w:w="108" w:type="dxa"/>
          </w:tblCellMar>
        </w:tblPrEx>
        <w:trPr>
          <w:trHeight w:val="367" w:hRule="atLeast"/>
          <w:jc w:val="center"/>
        </w:trPr>
        <w:tc>
          <w:tcPr>
            <w:tcW w:w="658" w:type="pct"/>
            <w:tcBorders>
              <w:top w:val="nil"/>
              <w:bottom w:val="single" w:color="auto" w:sz="4" w:space="0"/>
              <w:right w:val="single" w:color="auto" w:sz="4" w:space="0"/>
            </w:tcBorders>
            <w:vAlign w:val="center"/>
          </w:tcPr>
          <w:p>
            <w:pPr>
              <w:widowControl/>
              <w:rPr>
                <w:kern w:val="0"/>
                <w:sz w:val="18"/>
                <w:szCs w:val="18"/>
                <w:highlight w:val="none"/>
              </w:rPr>
            </w:pPr>
            <w:r>
              <w:rPr>
                <w:kern w:val="0"/>
                <w:sz w:val="18"/>
                <w:szCs w:val="18"/>
                <w:highlight w:val="none"/>
              </w:rPr>
              <w:t>6.非金属矿石</w:t>
            </w:r>
          </w:p>
        </w:tc>
        <w:tc>
          <w:tcPr>
            <w:tcW w:w="308" w:type="pct"/>
            <w:tcBorders>
              <w:top w:val="nil"/>
              <w:left w:val="nil"/>
              <w:bottom w:val="single" w:color="auto" w:sz="4" w:space="0"/>
              <w:right w:val="single" w:color="auto" w:sz="4" w:space="0"/>
            </w:tcBorders>
            <w:vAlign w:val="center"/>
          </w:tcPr>
          <w:p>
            <w:pPr>
              <w:jc w:val="center"/>
              <w:rPr>
                <w:sz w:val="22"/>
                <w:highlight w:val="none"/>
              </w:rPr>
            </w:pPr>
            <w:r>
              <w:rPr>
                <w:rFonts w:eastAsia="等线"/>
                <w:sz w:val="22"/>
                <w:szCs w:val="22"/>
                <w:highlight w:val="none"/>
              </w:rPr>
              <w:t>50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30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20</w:t>
            </w:r>
          </w:p>
        </w:tc>
        <w:tc>
          <w:tcPr>
            <w:tcW w:w="303"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308" w:type="pct"/>
            <w:tcBorders>
              <w:top w:val="nil"/>
              <w:left w:val="nil"/>
              <w:bottom w:val="single" w:color="auto" w:sz="4" w:space="0"/>
              <w:right w:val="single" w:color="auto" w:sz="4" w:space="0"/>
            </w:tcBorders>
            <w:vAlign w:val="center"/>
          </w:tcPr>
          <w:p>
            <w:pPr>
              <w:jc w:val="center"/>
              <w:rPr>
                <w:sz w:val="22"/>
                <w:highlight w:val="none"/>
              </w:rPr>
            </w:pPr>
            <w:r>
              <w:rPr>
                <w:rFonts w:eastAsia="等线"/>
                <w:sz w:val="22"/>
                <w:szCs w:val="22"/>
                <w:highlight w:val="none"/>
              </w:rPr>
              <w:t>50</w:t>
            </w:r>
          </w:p>
        </w:tc>
        <w:tc>
          <w:tcPr>
            <w:tcW w:w="303"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218"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241"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50</w:t>
            </w:r>
          </w:p>
        </w:tc>
        <w:tc>
          <w:tcPr>
            <w:tcW w:w="385" w:type="pct"/>
            <w:tcBorders>
              <w:top w:val="nil"/>
              <w:left w:val="nil"/>
              <w:bottom w:val="single" w:color="auto" w:sz="4" w:space="0"/>
              <w:right w:val="single" w:color="auto" w:sz="4" w:space="0"/>
            </w:tcBorders>
            <w:vAlign w:val="center"/>
          </w:tcPr>
          <w:p>
            <w:pPr>
              <w:jc w:val="center"/>
              <w:rPr>
                <w:sz w:val="22"/>
                <w:highlight w:val="none"/>
              </w:rPr>
            </w:pPr>
            <w:r>
              <w:rPr>
                <w:rFonts w:eastAsia="等线"/>
                <w:sz w:val="22"/>
                <w:szCs w:val="22"/>
                <w:highlight w:val="none"/>
              </w:rPr>
              <w:t>340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230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80</w:t>
            </w:r>
          </w:p>
        </w:tc>
        <w:tc>
          <w:tcPr>
            <w:tcW w:w="303"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30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rFonts w:eastAsia="等线"/>
                <w:sz w:val="22"/>
                <w:szCs w:val="22"/>
                <w:highlight w:val="none"/>
              </w:rPr>
              <w:t>340</w:t>
            </w:r>
          </w:p>
        </w:tc>
        <w:tc>
          <w:tcPr>
            <w:tcW w:w="303"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30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228" w:type="pct"/>
            <w:tcBorders>
              <w:top w:val="nil"/>
              <w:left w:val="nil"/>
              <w:bottom w:val="single" w:color="auto" w:sz="4" w:space="0"/>
            </w:tcBorders>
            <w:vAlign w:val="center"/>
          </w:tcPr>
          <w:p>
            <w:pPr>
              <w:jc w:val="center"/>
              <w:rPr>
                <w:sz w:val="22"/>
                <w:highlight w:val="none"/>
              </w:rPr>
            </w:pPr>
            <w:r>
              <w:rPr>
                <w:kern w:val="0"/>
                <w:szCs w:val="21"/>
                <w:highlight w:val="none"/>
              </w:rPr>
              <w:t>310</w:t>
            </w:r>
          </w:p>
        </w:tc>
      </w:tr>
      <w:tr>
        <w:tblPrEx>
          <w:tblCellMar>
            <w:top w:w="0" w:type="dxa"/>
            <w:left w:w="108" w:type="dxa"/>
            <w:bottom w:w="0" w:type="dxa"/>
            <w:right w:w="108" w:type="dxa"/>
          </w:tblCellMar>
        </w:tblPrEx>
        <w:trPr>
          <w:trHeight w:val="367" w:hRule="atLeast"/>
          <w:jc w:val="center"/>
        </w:trPr>
        <w:tc>
          <w:tcPr>
            <w:tcW w:w="658" w:type="pct"/>
            <w:tcBorders>
              <w:top w:val="nil"/>
              <w:bottom w:val="single" w:color="auto" w:sz="4" w:space="0"/>
              <w:right w:val="single" w:color="auto" w:sz="4" w:space="0"/>
            </w:tcBorders>
            <w:vAlign w:val="center"/>
          </w:tcPr>
          <w:p>
            <w:pPr>
              <w:widowControl/>
              <w:rPr>
                <w:kern w:val="0"/>
                <w:sz w:val="18"/>
                <w:szCs w:val="18"/>
                <w:highlight w:val="none"/>
              </w:rPr>
            </w:pPr>
            <w:r>
              <w:rPr>
                <w:kern w:val="0"/>
                <w:sz w:val="18"/>
                <w:szCs w:val="18"/>
                <w:highlight w:val="none"/>
              </w:rPr>
              <w:t>7.盐</w:t>
            </w:r>
          </w:p>
        </w:tc>
        <w:tc>
          <w:tcPr>
            <w:tcW w:w="308" w:type="pct"/>
            <w:tcBorders>
              <w:top w:val="nil"/>
              <w:left w:val="nil"/>
              <w:bottom w:val="single" w:color="auto" w:sz="4" w:space="0"/>
              <w:right w:val="single" w:color="auto" w:sz="4" w:space="0"/>
            </w:tcBorders>
            <w:vAlign w:val="center"/>
          </w:tcPr>
          <w:p>
            <w:pPr>
              <w:jc w:val="center"/>
              <w:rPr>
                <w:sz w:val="22"/>
                <w:highlight w:val="none"/>
              </w:rPr>
            </w:pPr>
            <w:r>
              <w:rPr>
                <w:rFonts w:eastAsia="等线"/>
                <w:sz w:val="22"/>
                <w:szCs w:val="22"/>
                <w:highlight w:val="none"/>
              </w:rPr>
              <w:t>20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20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303"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308" w:type="pct"/>
            <w:tcBorders>
              <w:top w:val="nil"/>
              <w:left w:val="nil"/>
              <w:bottom w:val="single" w:color="auto" w:sz="4" w:space="0"/>
              <w:right w:val="single" w:color="auto" w:sz="4" w:space="0"/>
            </w:tcBorders>
            <w:vAlign w:val="center"/>
          </w:tcPr>
          <w:p>
            <w:pPr>
              <w:jc w:val="center"/>
              <w:rPr>
                <w:sz w:val="22"/>
                <w:highlight w:val="none"/>
              </w:rPr>
            </w:pPr>
            <w:r>
              <w:rPr>
                <w:rFonts w:eastAsia="等线"/>
                <w:sz w:val="22"/>
                <w:szCs w:val="22"/>
                <w:highlight w:val="none"/>
              </w:rPr>
              <w:t>20</w:t>
            </w:r>
          </w:p>
        </w:tc>
        <w:tc>
          <w:tcPr>
            <w:tcW w:w="303"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218"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241"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20</w:t>
            </w:r>
          </w:p>
        </w:tc>
        <w:tc>
          <w:tcPr>
            <w:tcW w:w="385" w:type="pct"/>
            <w:tcBorders>
              <w:top w:val="nil"/>
              <w:left w:val="nil"/>
              <w:bottom w:val="single" w:color="auto" w:sz="4" w:space="0"/>
              <w:right w:val="single" w:color="auto" w:sz="4" w:space="0"/>
            </w:tcBorders>
            <w:vAlign w:val="center"/>
          </w:tcPr>
          <w:p>
            <w:pPr>
              <w:jc w:val="center"/>
              <w:rPr>
                <w:sz w:val="22"/>
                <w:highlight w:val="none"/>
              </w:rPr>
            </w:pPr>
            <w:r>
              <w:rPr>
                <w:rFonts w:eastAsia="等线"/>
                <w:sz w:val="22"/>
                <w:szCs w:val="22"/>
                <w:highlight w:val="none"/>
              </w:rPr>
              <w:t>50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50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303"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rFonts w:eastAsia="等线"/>
                <w:sz w:val="22"/>
                <w:szCs w:val="22"/>
                <w:highlight w:val="none"/>
              </w:rPr>
              <w:t>50</w:t>
            </w:r>
          </w:p>
        </w:tc>
        <w:tc>
          <w:tcPr>
            <w:tcW w:w="303"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228" w:type="pct"/>
            <w:tcBorders>
              <w:top w:val="nil"/>
              <w:left w:val="nil"/>
              <w:bottom w:val="single" w:color="auto" w:sz="4" w:space="0"/>
            </w:tcBorders>
            <w:vAlign w:val="center"/>
          </w:tcPr>
          <w:p>
            <w:pPr>
              <w:jc w:val="center"/>
              <w:rPr>
                <w:sz w:val="22"/>
                <w:highlight w:val="none"/>
              </w:rPr>
            </w:pPr>
            <w:r>
              <w:rPr>
                <w:kern w:val="0"/>
                <w:szCs w:val="21"/>
                <w:highlight w:val="none"/>
              </w:rPr>
              <w:t>50</w:t>
            </w:r>
          </w:p>
        </w:tc>
      </w:tr>
      <w:tr>
        <w:tblPrEx>
          <w:tblCellMar>
            <w:top w:w="0" w:type="dxa"/>
            <w:left w:w="108" w:type="dxa"/>
            <w:bottom w:w="0" w:type="dxa"/>
            <w:right w:w="108" w:type="dxa"/>
          </w:tblCellMar>
        </w:tblPrEx>
        <w:trPr>
          <w:trHeight w:val="367" w:hRule="atLeast"/>
          <w:jc w:val="center"/>
        </w:trPr>
        <w:tc>
          <w:tcPr>
            <w:tcW w:w="658" w:type="pct"/>
            <w:tcBorders>
              <w:top w:val="nil"/>
              <w:bottom w:val="single" w:color="auto" w:sz="4" w:space="0"/>
              <w:right w:val="single" w:color="auto" w:sz="4" w:space="0"/>
            </w:tcBorders>
            <w:vAlign w:val="center"/>
          </w:tcPr>
          <w:p>
            <w:pPr>
              <w:widowControl/>
              <w:rPr>
                <w:kern w:val="0"/>
                <w:sz w:val="18"/>
                <w:szCs w:val="18"/>
                <w:highlight w:val="none"/>
              </w:rPr>
            </w:pPr>
            <w:r>
              <w:rPr>
                <w:kern w:val="0"/>
                <w:sz w:val="18"/>
                <w:szCs w:val="18"/>
                <w:highlight w:val="none"/>
              </w:rPr>
              <w:t>8.粮食</w:t>
            </w:r>
          </w:p>
        </w:tc>
        <w:tc>
          <w:tcPr>
            <w:tcW w:w="308" w:type="pct"/>
            <w:tcBorders>
              <w:top w:val="nil"/>
              <w:left w:val="nil"/>
              <w:bottom w:val="single" w:color="auto" w:sz="4" w:space="0"/>
              <w:right w:val="single" w:color="auto" w:sz="4" w:space="0"/>
            </w:tcBorders>
            <w:vAlign w:val="center"/>
          </w:tcPr>
          <w:p>
            <w:pPr>
              <w:jc w:val="center"/>
              <w:rPr>
                <w:sz w:val="22"/>
                <w:highlight w:val="none"/>
              </w:rPr>
            </w:pPr>
            <w:r>
              <w:rPr>
                <w:rFonts w:eastAsia="等线"/>
                <w:sz w:val="22"/>
                <w:szCs w:val="22"/>
                <w:highlight w:val="none"/>
              </w:rPr>
              <w:t>30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10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303"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20</w:t>
            </w:r>
          </w:p>
        </w:tc>
        <w:tc>
          <w:tcPr>
            <w:tcW w:w="308" w:type="pct"/>
            <w:tcBorders>
              <w:top w:val="nil"/>
              <w:left w:val="nil"/>
              <w:bottom w:val="single" w:color="auto" w:sz="4" w:space="0"/>
              <w:right w:val="single" w:color="auto" w:sz="4" w:space="0"/>
            </w:tcBorders>
            <w:vAlign w:val="center"/>
          </w:tcPr>
          <w:p>
            <w:pPr>
              <w:jc w:val="center"/>
              <w:rPr>
                <w:sz w:val="22"/>
                <w:highlight w:val="none"/>
              </w:rPr>
            </w:pPr>
            <w:r>
              <w:rPr>
                <w:rFonts w:eastAsia="等线"/>
                <w:sz w:val="22"/>
                <w:szCs w:val="22"/>
                <w:highlight w:val="none"/>
              </w:rPr>
              <w:t>30</w:t>
            </w:r>
          </w:p>
        </w:tc>
        <w:tc>
          <w:tcPr>
            <w:tcW w:w="303"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20</w:t>
            </w:r>
          </w:p>
        </w:tc>
        <w:tc>
          <w:tcPr>
            <w:tcW w:w="218"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241"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10</w:t>
            </w:r>
          </w:p>
        </w:tc>
        <w:tc>
          <w:tcPr>
            <w:tcW w:w="385" w:type="pct"/>
            <w:tcBorders>
              <w:top w:val="nil"/>
              <w:left w:val="nil"/>
              <w:bottom w:val="single" w:color="auto" w:sz="4" w:space="0"/>
              <w:right w:val="single" w:color="auto" w:sz="4" w:space="0"/>
            </w:tcBorders>
            <w:vAlign w:val="center"/>
          </w:tcPr>
          <w:p>
            <w:pPr>
              <w:jc w:val="center"/>
              <w:rPr>
                <w:sz w:val="22"/>
                <w:highlight w:val="none"/>
              </w:rPr>
            </w:pPr>
            <w:r>
              <w:rPr>
                <w:rFonts w:eastAsia="等线"/>
                <w:sz w:val="22"/>
                <w:szCs w:val="22"/>
                <w:highlight w:val="none"/>
              </w:rPr>
              <w:t>80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30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303"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50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rFonts w:eastAsia="等线"/>
                <w:sz w:val="22"/>
                <w:szCs w:val="22"/>
                <w:highlight w:val="none"/>
              </w:rPr>
              <w:t>80</w:t>
            </w:r>
          </w:p>
        </w:tc>
        <w:tc>
          <w:tcPr>
            <w:tcW w:w="303"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50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228" w:type="pct"/>
            <w:tcBorders>
              <w:top w:val="nil"/>
              <w:left w:val="nil"/>
              <w:bottom w:val="single" w:color="auto" w:sz="4" w:space="0"/>
            </w:tcBorders>
            <w:vAlign w:val="center"/>
          </w:tcPr>
          <w:p>
            <w:pPr>
              <w:jc w:val="center"/>
              <w:rPr>
                <w:sz w:val="22"/>
                <w:highlight w:val="none"/>
              </w:rPr>
            </w:pPr>
            <w:r>
              <w:rPr>
                <w:kern w:val="0"/>
                <w:szCs w:val="21"/>
                <w:highlight w:val="none"/>
              </w:rPr>
              <w:t>30</w:t>
            </w:r>
          </w:p>
        </w:tc>
      </w:tr>
      <w:tr>
        <w:tblPrEx>
          <w:tblCellMar>
            <w:top w:w="0" w:type="dxa"/>
            <w:left w:w="108" w:type="dxa"/>
            <w:bottom w:w="0" w:type="dxa"/>
            <w:right w:w="108" w:type="dxa"/>
          </w:tblCellMar>
        </w:tblPrEx>
        <w:trPr>
          <w:trHeight w:val="367" w:hRule="atLeast"/>
          <w:jc w:val="center"/>
        </w:trPr>
        <w:tc>
          <w:tcPr>
            <w:tcW w:w="658" w:type="pct"/>
            <w:tcBorders>
              <w:top w:val="nil"/>
              <w:bottom w:val="single" w:color="auto" w:sz="4" w:space="0"/>
              <w:right w:val="single" w:color="auto" w:sz="4" w:space="0"/>
            </w:tcBorders>
            <w:vAlign w:val="center"/>
          </w:tcPr>
          <w:p>
            <w:pPr>
              <w:widowControl/>
              <w:rPr>
                <w:kern w:val="0"/>
                <w:sz w:val="18"/>
                <w:szCs w:val="18"/>
                <w:highlight w:val="none"/>
              </w:rPr>
            </w:pPr>
            <w:r>
              <w:rPr>
                <w:kern w:val="0"/>
                <w:sz w:val="18"/>
                <w:szCs w:val="18"/>
                <w:highlight w:val="none"/>
              </w:rPr>
              <w:t>9．机械设备电器</w:t>
            </w:r>
          </w:p>
        </w:tc>
        <w:tc>
          <w:tcPr>
            <w:tcW w:w="308" w:type="pct"/>
            <w:tcBorders>
              <w:top w:val="nil"/>
              <w:left w:val="nil"/>
              <w:bottom w:val="single" w:color="auto" w:sz="4" w:space="0"/>
              <w:right w:val="single" w:color="auto" w:sz="4" w:space="0"/>
            </w:tcBorders>
            <w:vAlign w:val="center"/>
          </w:tcPr>
          <w:p>
            <w:pPr>
              <w:jc w:val="center"/>
              <w:rPr>
                <w:sz w:val="22"/>
                <w:highlight w:val="none"/>
              </w:rPr>
            </w:pPr>
            <w:r>
              <w:rPr>
                <w:rFonts w:eastAsia="等线"/>
                <w:sz w:val="22"/>
                <w:szCs w:val="22"/>
                <w:highlight w:val="none"/>
              </w:rPr>
              <w:t>40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20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10</w:t>
            </w:r>
          </w:p>
        </w:tc>
        <w:tc>
          <w:tcPr>
            <w:tcW w:w="303"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10</w:t>
            </w:r>
          </w:p>
        </w:tc>
        <w:tc>
          <w:tcPr>
            <w:tcW w:w="308" w:type="pct"/>
            <w:tcBorders>
              <w:top w:val="nil"/>
              <w:left w:val="nil"/>
              <w:bottom w:val="single" w:color="auto" w:sz="4" w:space="0"/>
              <w:right w:val="single" w:color="auto" w:sz="4" w:space="0"/>
            </w:tcBorders>
            <w:vAlign w:val="center"/>
          </w:tcPr>
          <w:p>
            <w:pPr>
              <w:jc w:val="center"/>
              <w:rPr>
                <w:sz w:val="22"/>
                <w:highlight w:val="none"/>
              </w:rPr>
            </w:pPr>
            <w:r>
              <w:rPr>
                <w:rFonts w:eastAsia="等线"/>
                <w:sz w:val="22"/>
                <w:szCs w:val="22"/>
                <w:highlight w:val="none"/>
              </w:rPr>
              <w:t>40</w:t>
            </w:r>
          </w:p>
        </w:tc>
        <w:tc>
          <w:tcPr>
            <w:tcW w:w="303"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5</w:t>
            </w:r>
          </w:p>
        </w:tc>
        <w:tc>
          <w:tcPr>
            <w:tcW w:w="218"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5</w:t>
            </w:r>
          </w:p>
        </w:tc>
        <w:tc>
          <w:tcPr>
            <w:tcW w:w="241"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30</w:t>
            </w:r>
          </w:p>
        </w:tc>
        <w:tc>
          <w:tcPr>
            <w:tcW w:w="385" w:type="pct"/>
            <w:tcBorders>
              <w:top w:val="nil"/>
              <w:left w:val="nil"/>
              <w:bottom w:val="single" w:color="auto" w:sz="4" w:space="0"/>
              <w:right w:val="single" w:color="auto" w:sz="4" w:space="0"/>
            </w:tcBorders>
            <w:vAlign w:val="center"/>
          </w:tcPr>
          <w:p>
            <w:pPr>
              <w:jc w:val="center"/>
              <w:rPr>
                <w:sz w:val="22"/>
                <w:highlight w:val="none"/>
              </w:rPr>
            </w:pPr>
            <w:r>
              <w:rPr>
                <w:rFonts w:eastAsia="等线"/>
                <w:sz w:val="22"/>
                <w:szCs w:val="22"/>
                <w:highlight w:val="none"/>
              </w:rPr>
              <w:t>95</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55</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20</w:t>
            </w:r>
          </w:p>
        </w:tc>
        <w:tc>
          <w:tcPr>
            <w:tcW w:w="303"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20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rFonts w:eastAsia="等线"/>
                <w:sz w:val="22"/>
                <w:szCs w:val="22"/>
                <w:highlight w:val="none"/>
              </w:rPr>
              <w:t>95</w:t>
            </w:r>
          </w:p>
        </w:tc>
        <w:tc>
          <w:tcPr>
            <w:tcW w:w="303"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10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10</w:t>
            </w:r>
          </w:p>
        </w:tc>
        <w:tc>
          <w:tcPr>
            <w:tcW w:w="228" w:type="pct"/>
            <w:tcBorders>
              <w:top w:val="nil"/>
              <w:left w:val="nil"/>
              <w:bottom w:val="single" w:color="auto" w:sz="4" w:space="0"/>
            </w:tcBorders>
            <w:vAlign w:val="center"/>
          </w:tcPr>
          <w:p>
            <w:pPr>
              <w:jc w:val="center"/>
              <w:rPr>
                <w:sz w:val="22"/>
                <w:highlight w:val="none"/>
              </w:rPr>
            </w:pPr>
            <w:r>
              <w:rPr>
                <w:kern w:val="0"/>
                <w:szCs w:val="21"/>
                <w:highlight w:val="none"/>
              </w:rPr>
              <w:t>75</w:t>
            </w:r>
          </w:p>
        </w:tc>
      </w:tr>
      <w:tr>
        <w:tblPrEx>
          <w:tblCellMar>
            <w:top w:w="0" w:type="dxa"/>
            <w:left w:w="108" w:type="dxa"/>
            <w:bottom w:w="0" w:type="dxa"/>
            <w:right w:w="108" w:type="dxa"/>
          </w:tblCellMar>
        </w:tblPrEx>
        <w:trPr>
          <w:trHeight w:val="367" w:hRule="atLeast"/>
          <w:jc w:val="center"/>
        </w:trPr>
        <w:tc>
          <w:tcPr>
            <w:tcW w:w="658" w:type="pct"/>
            <w:tcBorders>
              <w:top w:val="nil"/>
              <w:bottom w:val="single" w:color="auto" w:sz="4" w:space="0"/>
              <w:right w:val="single" w:color="auto" w:sz="4" w:space="0"/>
            </w:tcBorders>
            <w:vAlign w:val="center"/>
          </w:tcPr>
          <w:p>
            <w:pPr>
              <w:widowControl/>
              <w:jc w:val="right"/>
              <w:rPr>
                <w:kern w:val="0"/>
                <w:sz w:val="18"/>
                <w:szCs w:val="18"/>
                <w:highlight w:val="none"/>
              </w:rPr>
            </w:pPr>
            <w:r>
              <w:rPr>
                <w:kern w:val="0"/>
                <w:sz w:val="18"/>
                <w:szCs w:val="18"/>
                <w:highlight w:val="none"/>
              </w:rPr>
              <w:t>其中重大件</w:t>
            </w:r>
          </w:p>
        </w:tc>
        <w:tc>
          <w:tcPr>
            <w:tcW w:w="308" w:type="pct"/>
            <w:tcBorders>
              <w:top w:val="nil"/>
              <w:left w:val="nil"/>
              <w:bottom w:val="single" w:color="auto" w:sz="4" w:space="0"/>
              <w:right w:val="single" w:color="auto" w:sz="4" w:space="0"/>
            </w:tcBorders>
            <w:vAlign w:val="center"/>
          </w:tcPr>
          <w:p>
            <w:pPr>
              <w:jc w:val="center"/>
              <w:rPr>
                <w:sz w:val="22"/>
                <w:highlight w:val="none"/>
              </w:rPr>
            </w:pPr>
            <w:r>
              <w:rPr>
                <w:rFonts w:eastAsia="等线"/>
                <w:sz w:val="22"/>
                <w:szCs w:val="22"/>
                <w:highlight w:val="none"/>
              </w:rPr>
              <w:t>5</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5</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303"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308" w:type="pct"/>
            <w:tcBorders>
              <w:top w:val="nil"/>
              <w:left w:val="nil"/>
              <w:bottom w:val="single" w:color="auto" w:sz="4" w:space="0"/>
              <w:right w:val="single" w:color="auto" w:sz="4" w:space="0"/>
            </w:tcBorders>
            <w:vAlign w:val="center"/>
          </w:tcPr>
          <w:p>
            <w:pPr>
              <w:jc w:val="center"/>
              <w:rPr>
                <w:sz w:val="22"/>
                <w:highlight w:val="none"/>
              </w:rPr>
            </w:pPr>
            <w:r>
              <w:rPr>
                <w:rFonts w:eastAsia="等线"/>
                <w:sz w:val="22"/>
                <w:szCs w:val="22"/>
                <w:highlight w:val="none"/>
              </w:rPr>
              <w:t>5</w:t>
            </w:r>
          </w:p>
        </w:tc>
        <w:tc>
          <w:tcPr>
            <w:tcW w:w="303"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218"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241"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5</w:t>
            </w:r>
          </w:p>
        </w:tc>
        <w:tc>
          <w:tcPr>
            <w:tcW w:w="385" w:type="pct"/>
            <w:tcBorders>
              <w:top w:val="nil"/>
              <w:left w:val="nil"/>
              <w:bottom w:val="single" w:color="auto" w:sz="4" w:space="0"/>
              <w:right w:val="single" w:color="auto" w:sz="4" w:space="0"/>
            </w:tcBorders>
            <w:vAlign w:val="center"/>
          </w:tcPr>
          <w:p>
            <w:pPr>
              <w:jc w:val="center"/>
              <w:rPr>
                <w:sz w:val="22"/>
                <w:highlight w:val="none"/>
              </w:rPr>
            </w:pPr>
            <w:r>
              <w:rPr>
                <w:rFonts w:eastAsia="等线"/>
                <w:sz w:val="22"/>
                <w:szCs w:val="22"/>
                <w:highlight w:val="none"/>
              </w:rPr>
              <w:t>15</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15</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303"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rFonts w:eastAsia="等线"/>
                <w:sz w:val="22"/>
                <w:szCs w:val="22"/>
                <w:highlight w:val="none"/>
              </w:rPr>
              <w:t>15</w:t>
            </w:r>
          </w:p>
        </w:tc>
        <w:tc>
          <w:tcPr>
            <w:tcW w:w="303"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228" w:type="pct"/>
            <w:tcBorders>
              <w:top w:val="nil"/>
              <w:left w:val="nil"/>
              <w:bottom w:val="single" w:color="auto" w:sz="4" w:space="0"/>
            </w:tcBorders>
            <w:vAlign w:val="center"/>
          </w:tcPr>
          <w:p>
            <w:pPr>
              <w:jc w:val="center"/>
              <w:rPr>
                <w:sz w:val="22"/>
                <w:highlight w:val="none"/>
              </w:rPr>
            </w:pPr>
            <w:r>
              <w:rPr>
                <w:kern w:val="0"/>
                <w:szCs w:val="21"/>
                <w:highlight w:val="none"/>
              </w:rPr>
              <w:t>15</w:t>
            </w:r>
          </w:p>
        </w:tc>
      </w:tr>
      <w:tr>
        <w:tblPrEx>
          <w:tblCellMar>
            <w:top w:w="0" w:type="dxa"/>
            <w:left w:w="108" w:type="dxa"/>
            <w:bottom w:w="0" w:type="dxa"/>
            <w:right w:w="108" w:type="dxa"/>
          </w:tblCellMar>
        </w:tblPrEx>
        <w:trPr>
          <w:trHeight w:val="367" w:hRule="atLeast"/>
          <w:jc w:val="center"/>
        </w:trPr>
        <w:tc>
          <w:tcPr>
            <w:tcW w:w="658" w:type="pct"/>
            <w:tcBorders>
              <w:top w:val="nil"/>
              <w:bottom w:val="single" w:color="auto" w:sz="4" w:space="0"/>
              <w:right w:val="single" w:color="auto" w:sz="4" w:space="0"/>
            </w:tcBorders>
            <w:vAlign w:val="center"/>
          </w:tcPr>
          <w:p>
            <w:pPr>
              <w:widowControl/>
              <w:rPr>
                <w:kern w:val="0"/>
                <w:sz w:val="18"/>
                <w:szCs w:val="18"/>
                <w:highlight w:val="none"/>
              </w:rPr>
            </w:pPr>
            <w:r>
              <w:rPr>
                <w:kern w:val="0"/>
                <w:sz w:val="18"/>
                <w:szCs w:val="18"/>
                <w:highlight w:val="none"/>
              </w:rPr>
              <w:t>10．化工原料及制品</w:t>
            </w:r>
          </w:p>
        </w:tc>
        <w:tc>
          <w:tcPr>
            <w:tcW w:w="308" w:type="pct"/>
            <w:tcBorders>
              <w:top w:val="nil"/>
              <w:left w:val="nil"/>
              <w:bottom w:val="single" w:color="auto" w:sz="4" w:space="0"/>
              <w:right w:val="single" w:color="auto" w:sz="4" w:space="0"/>
            </w:tcBorders>
            <w:vAlign w:val="center"/>
          </w:tcPr>
          <w:p>
            <w:pPr>
              <w:jc w:val="center"/>
              <w:rPr>
                <w:sz w:val="22"/>
                <w:highlight w:val="none"/>
              </w:rPr>
            </w:pPr>
            <w:r>
              <w:rPr>
                <w:rFonts w:eastAsia="等线"/>
                <w:sz w:val="22"/>
                <w:szCs w:val="22"/>
                <w:highlight w:val="none"/>
              </w:rPr>
              <w:t>40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40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303"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308" w:type="pct"/>
            <w:tcBorders>
              <w:top w:val="nil"/>
              <w:left w:val="nil"/>
              <w:bottom w:val="single" w:color="auto" w:sz="4" w:space="0"/>
              <w:right w:val="single" w:color="auto" w:sz="4" w:space="0"/>
            </w:tcBorders>
            <w:vAlign w:val="center"/>
          </w:tcPr>
          <w:p>
            <w:pPr>
              <w:jc w:val="center"/>
              <w:rPr>
                <w:sz w:val="22"/>
                <w:highlight w:val="none"/>
              </w:rPr>
            </w:pPr>
            <w:r>
              <w:rPr>
                <w:rFonts w:eastAsia="等线"/>
                <w:sz w:val="22"/>
                <w:szCs w:val="22"/>
                <w:highlight w:val="none"/>
              </w:rPr>
              <w:t>40</w:t>
            </w:r>
          </w:p>
        </w:tc>
        <w:tc>
          <w:tcPr>
            <w:tcW w:w="303"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218"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241"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40</w:t>
            </w:r>
          </w:p>
        </w:tc>
        <w:tc>
          <w:tcPr>
            <w:tcW w:w="385" w:type="pct"/>
            <w:tcBorders>
              <w:top w:val="nil"/>
              <w:left w:val="nil"/>
              <w:bottom w:val="single" w:color="auto" w:sz="4" w:space="0"/>
              <w:right w:val="single" w:color="auto" w:sz="4" w:space="0"/>
            </w:tcBorders>
            <w:vAlign w:val="center"/>
          </w:tcPr>
          <w:p>
            <w:pPr>
              <w:jc w:val="center"/>
              <w:rPr>
                <w:sz w:val="22"/>
                <w:highlight w:val="none"/>
              </w:rPr>
            </w:pPr>
            <w:r>
              <w:rPr>
                <w:rFonts w:eastAsia="等线"/>
                <w:sz w:val="22"/>
                <w:szCs w:val="22"/>
                <w:highlight w:val="none"/>
              </w:rPr>
              <w:t>110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110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303"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rFonts w:eastAsia="等线"/>
                <w:sz w:val="22"/>
                <w:szCs w:val="22"/>
                <w:highlight w:val="none"/>
              </w:rPr>
              <w:t>110</w:t>
            </w:r>
          </w:p>
        </w:tc>
        <w:tc>
          <w:tcPr>
            <w:tcW w:w="303"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228" w:type="pct"/>
            <w:tcBorders>
              <w:top w:val="nil"/>
              <w:left w:val="nil"/>
              <w:bottom w:val="single" w:color="auto" w:sz="4" w:space="0"/>
            </w:tcBorders>
            <w:vAlign w:val="center"/>
          </w:tcPr>
          <w:p>
            <w:pPr>
              <w:jc w:val="center"/>
              <w:rPr>
                <w:sz w:val="22"/>
                <w:highlight w:val="none"/>
              </w:rPr>
            </w:pPr>
            <w:r>
              <w:rPr>
                <w:kern w:val="0"/>
                <w:szCs w:val="21"/>
                <w:highlight w:val="none"/>
              </w:rPr>
              <w:t>110</w:t>
            </w:r>
          </w:p>
        </w:tc>
      </w:tr>
      <w:tr>
        <w:tblPrEx>
          <w:tblCellMar>
            <w:top w:w="0" w:type="dxa"/>
            <w:left w:w="108" w:type="dxa"/>
            <w:bottom w:w="0" w:type="dxa"/>
            <w:right w:w="108" w:type="dxa"/>
          </w:tblCellMar>
        </w:tblPrEx>
        <w:trPr>
          <w:trHeight w:val="367" w:hRule="atLeast"/>
          <w:jc w:val="center"/>
        </w:trPr>
        <w:tc>
          <w:tcPr>
            <w:tcW w:w="658" w:type="pct"/>
            <w:tcBorders>
              <w:top w:val="nil"/>
              <w:bottom w:val="single" w:color="auto" w:sz="4" w:space="0"/>
              <w:right w:val="single" w:color="auto" w:sz="4" w:space="0"/>
            </w:tcBorders>
            <w:vAlign w:val="center"/>
          </w:tcPr>
          <w:p>
            <w:pPr>
              <w:widowControl/>
              <w:rPr>
                <w:kern w:val="0"/>
                <w:sz w:val="18"/>
                <w:szCs w:val="18"/>
                <w:highlight w:val="none"/>
              </w:rPr>
            </w:pPr>
            <w:r>
              <w:rPr>
                <w:kern w:val="0"/>
                <w:sz w:val="18"/>
                <w:szCs w:val="18"/>
                <w:highlight w:val="none"/>
              </w:rPr>
              <w:t>11.其他</w:t>
            </w:r>
          </w:p>
        </w:tc>
        <w:tc>
          <w:tcPr>
            <w:tcW w:w="308" w:type="pct"/>
            <w:tcBorders>
              <w:top w:val="nil"/>
              <w:left w:val="nil"/>
              <w:bottom w:val="single" w:color="auto" w:sz="4" w:space="0"/>
              <w:right w:val="single" w:color="auto" w:sz="4" w:space="0"/>
            </w:tcBorders>
            <w:vAlign w:val="center"/>
          </w:tcPr>
          <w:p>
            <w:pPr>
              <w:jc w:val="center"/>
              <w:rPr>
                <w:sz w:val="22"/>
                <w:highlight w:val="none"/>
              </w:rPr>
            </w:pPr>
            <w:r>
              <w:rPr>
                <w:rFonts w:eastAsia="等线"/>
                <w:sz w:val="22"/>
                <w:szCs w:val="22"/>
                <w:highlight w:val="none"/>
              </w:rPr>
              <w:t>20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10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303"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10</w:t>
            </w:r>
          </w:p>
        </w:tc>
        <w:tc>
          <w:tcPr>
            <w:tcW w:w="308" w:type="pct"/>
            <w:tcBorders>
              <w:top w:val="nil"/>
              <w:left w:val="nil"/>
              <w:bottom w:val="single" w:color="auto" w:sz="4" w:space="0"/>
              <w:right w:val="single" w:color="auto" w:sz="4" w:space="0"/>
            </w:tcBorders>
            <w:vAlign w:val="center"/>
          </w:tcPr>
          <w:p>
            <w:pPr>
              <w:jc w:val="center"/>
              <w:rPr>
                <w:sz w:val="22"/>
                <w:highlight w:val="none"/>
              </w:rPr>
            </w:pPr>
            <w:r>
              <w:rPr>
                <w:rFonts w:eastAsia="等线"/>
                <w:sz w:val="22"/>
                <w:szCs w:val="22"/>
                <w:highlight w:val="none"/>
              </w:rPr>
              <w:t>20</w:t>
            </w:r>
          </w:p>
        </w:tc>
        <w:tc>
          <w:tcPr>
            <w:tcW w:w="303"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10</w:t>
            </w:r>
          </w:p>
        </w:tc>
        <w:tc>
          <w:tcPr>
            <w:tcW w:w="218"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241"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10</w:t>
            </w:r>
          </w:p>
        </w:tc>
        <w:tc>
          <w:tcPr>
            <w:tcW w:w="385" w:type="pct"/>
            <w:tcBorders>
              <w:top w:val="nil"/>
              <w:left w:val="nil"/>
              <w:bottom w:val="single" w:color="auto" w:sz="4" w:space="0"/>
              <w:right w:val="single" w:color="auto" w:sz="4" w:space="0"/>
            </w:tcBorders>
            <w:vAlign w:val="center"/>
          </w:tcPr>
          <w:p>
            <w:pPr>
              <w:jc w:val="center"/>
              <w:rPr>
                <w:sz w:val="22"/>
                <w:highlight w:val="none"/>
              </w:rPr>
            </w:pPr>
            <w:r>
              <w:rPr>
                <w:rFonts w:eastAsia="等线"/>
                <w:sz w:val="22"/>
                <w:szCs w:val="22"/>
                <w:highlight w:val="none"/>
              </w:rPr>
              <w:t>70</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35</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303"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35</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rFonts w:eastAsia="等线"/>
                <w:sz w:val="22"/>
                <w:szCs w:val="22"/>
                <w:highlight w:val="none"/>
              </w:rPr>
              <w:t>70</w:t>
            </w:r>
          </w:p>
        </w:tc>
        <w:tc>
          <w:tcPr>
            <w:tcW w:w="303"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35</w:t>
            </w:r>
          </w:p>
        </w:tc>
        <w:tc>
          <w:tcPr>
            <w:tcW w:w="240" w:type="pct"/>
            <w:tcBorders>
              <w:top w:val="nil"/>
              <w:left w:val="nil"/>
              <w:bottom w:val="single" w:color="auto" w:sz="4" w:space="0"/>
              <w:right w:val="single" w:color="auto" w:sz="4" w:space="0"/>
            </w:tcBorders>
            <w:vAlign w:val="center"/>
          </w:tcPr>
          <w:p>
            <w:pPr>
              <w:jc w:val="center"/>
              <w:rPr>
                <w:sz w:val="22"/>
                <w:highlight w:val="none"/>
              </w:rPr>
            </w:pPr>
            <w:r>
              <w:rPr>
                <w:kern w:val="0"/>
                <w:szCs w:val="21"/>
                <w:highlight w:val="none"/>
              </w:rPr>
              <w:t>0</w:t>
            </w:r>
          </w:p>
        </w:tc>
        <w:tc>
          <w:tcPr>
            <w:tcW w:w="228" w:type="pct"/>
            <w:tcBorders>
              <w:top w:val="nil"/>
              <w:left w:val="nil"/>
              <w:bottom w:val="single" w:color="auto" w:sz="4" w:space="0"/>
            </w:tcBorders>
            <w:vAlign w:val="center"/>
          </w:tcPr>
          <w:p>
            <w:pPr>
              <w:jc w:val="center"/>
              <w:rPr>
                <w:sz w:val="22"/>
                <w:highlight w:val="none"/>
              </w:rPr>
            </w:pPr>
            <w:r>
              <w:rPr>
                <w:kern w:val="0"/>
                <w:szCs w:val="21"/>
                <w:highlight w:val="none"/>
              </w:rPr>
              <w:t>35</w:t>
            </w:r>
          </w:p>
        </w:tc>
      </w:tr>
      <w:tr>
        <w:tblPrEx>
          <w:tblCellMar>
            <w:top w:w="0" w:type="dxa"/>
            <w:left w:w="108" w:type="dxa"/>
            <w:bottom w:w="0" w:type="dxa"/>
            <w:right w:w="108" w:type="dxa"/>
          </w:tblCellMar>
        </w:tblPrEx>
        <w:trPr>
          <w:trHeight w:val="367" w:hRule="atLeast"/>
          <w:jc w:val="center"/>
        </w:trPr>
        <w:tc>
          <w:tcPr>
            <w:tcW w:w="658" w:type="pct"/>
            <w:tcBorders>
              <w:top w:val="nil"/>
              <w:bottom w:val="thickThinSmallGap" w:color="auto" w:sz="18" w:space="0"/>
              <w:right w:val="single" w:color="auto" w:sz="4" w:space="0"/>
            </w:tcBorders>
            <w:vAlign w:val="center"/>
          </w:tcPr>
          <w:p>
            <w:pPr>
              <w:widowControl/>
              <w:jc w:val="right"/>
              <w:rPr>
                <w:kern w:val="0"/>
                <w:sz w:val="18"/>
                <w:szCs w:val="18"/>
                <w:highlight w:val="none"/>
              </w:rPr>
            </w:pPr>
            <w:r>
              <w:rPr>
                <w:kern w:val="0"/>
                <w:sz w:val="18"/>
                <w:szCs w:val="18"/>
                <w:highlight w:val="none"/>
              </w:rPr>
              <w:t>其中：集装箱</w:t>
            </w:r>
          </w:p>
        </w:tc>
        <w:tc>
          <w:tcPr>
            <w:tcW w:w="308" w:type="pct"/>
            <w:tcBorders>
              <w:top w:val="nil"/>
              <w:left w:val="nil"/>
              <w:bottom w:val="thickThinSmallGap" w:color="auto" w:sz="18" w:space="0"/>
              <w:right w:val="single" w:color="auto" w:sz="4" w:space="0"/>
            </w:tcBorders>
            <w:vAlign w:val="center"/>
          </w:tcPr>
          <w:p>
            <w:pPr>
              <w:jc w:val="center"/>
              <w:rPr>
                <w:sz w:val="22"/>
                <w:highlight w:val="none"/>
              </w:rPr>
            </w:pPr>
            <w:r>
              <w:rPr>
                <w:sz w:val="22"/>
                <w:highlight w:val="none"/>
              </w:rPr>
              <w:t>0</w:t>
            </w:r>
          </w:p>
        </w:tc>
        <w:tc>
          <w:tcPr>
            <w:tcW w:w="240" w:type="pct"/>
            <w:tcBorders>
              <w:top w:val="nil"/>
              <w:left w:val="nil"/>
              <w:bottom w:val="thickThinSmallGap" w:color="auto" w:sz="18" w:space="0"/>
              <w:right w:val="single" w:color="auto" w:sz="4" w:space="0"/>
            </w:tcBorders>
            <w:vAlign w:val="center"/>
          </w:tcPr>
          <w:p>
            <w:pPr>
              <w:jc w:val="center"/>
              <w:rPr>
                <w:sz w:val="22"/>
                <w:highlight w:val="none"/>
              </w:rPr>
            </w:pPr>
            <w:r>
              <w:rPr>
                <w:sz w:val="22"/>
                <w:highlight w:val="none"/>
              </w:rPr>
              <w:t>0</w:t>
            </w:r>
          </w:p>
        </w:tc>
        <w:tc>
          <w:tcPr>
            <w:tcW w:w="240" w:type="pct"/>
            <w:tcBorders>
              <w:top w:val="nil"/>
              <w:left w:val="nil"/>
              <w:bottom w:val="thickThinSmallGap" w:color="auto" w:sz="18" w:space="0"/>
              <w:right w:val="single" w:color="auto" w:sz="4" w:space="0"/>
            </w:tcBorders>
            <w:vAlign w:val="center"/>
          </w:tcPr>
          <w:p>
            <w:pPr>
              <w:jc w:val="center"/>
              <w:rPr>
                <w:sz w:val="22"/>
                <w:highlight w:val="none"/>
              </w:rPr>
            </w:pPr>
            <w:r>
              <w:rPr>
                <w:sz w:val="22"/>
                <w:highlight w:val="none"/>
              </w:rPr>
              <w:t>0</w:t>
            </w:r>
          </w:p>
        </w:tc>
        <w:tc>
          <w:tcPr>
            <w:tcW w:w="303" w:type="pct"/>
            <w:tcBorders>
              <w:top w:val="nil"/>
              <w:left w:val="nil"/>
              <w:bottom w:val="thickThinSmallGap" w:color="auto" w:sz="18" w:space="0"/>
              <w:right w:val="single" w:color="auto" w:sz="4" w:space="0"/>
            </w:tcBorders>
            <w:vAlign w:val="center"/>
          </w:tcPr>
          <w:p>
            <w:pPr>
              <w:jc w:val="center"/>
              <w:rPr>
                <w:sz w:val="22"/>
                <w:highlight w:val="none"/>
              </w:rPr>
            </w:pPr>
            <w:r>
              <w:rPr>
                <w:sz w:val="22"/>
                <w:highlight w:val="none"/>
              </w:rPr>
              <w:t>0</w:t>
            </w:r>
          </w:p>
        </w:tc>
        <w:tc>
          <w:tcPr>
            <w:tcW w:w="308" w:type="pct"/>
            <w:tcBorders>
              <w:top w:val="nil"/>
              <w:left w:val="nil"/>
              <w:bottom w:val="thickThinSmallGap" w:color="auto" w:sz="18" w:space="0"/>
              <w:right w:val="single" w:color="auto" w:sz="4" w:space="0"/>
            </w:tcBorders>
            <w:vAlign w:val="center"/>
          </w:tcPr>
          <w:p>
            <w:pPr>
              <w:jc w:val="center"/>
              <w:rPr>
                <w:sz w:val="22"/>
                <w:highlight w:val="none"/>
              </w:rPr>
            </w:pPr>
            <w:r>
              <w:rPr>
                <w:sz w:val="22"/>
                <w:highlight w:val="none"/>
              </w:rPr>
              <w:t>0</w:t>
            </w:r>
          </w:p>
        </w:tc>
        <w:tc>
          <w:tcPr>
            <w:tcW w:w="303" w:type="pct"/>
            <w:tcBorders>
              <w:top w:val="nil"/>
              <w:left w:val="nil"/>
              <w:bottom w:val="thickThinSmallGap" w:color="auto" w:sz="18" w:space="0"/>
              <w:right w:val="single" w:color="auto" w:sz="4" w:space="0"/>
            </w:tcBorders>
            <w:vAlign w:val="center"/>
          </w:tcPr>
          <w:p>
            <w:pPr>
              <w:jc w:val="center"/>
              <w:rPr>
                <w:sz w:val="22"/>
                <w:highlight w:val="none"/>
              </w:rPr>
            </w:pPr>
            <w:r>
              <w:rPr>
                <w:sz w:val="22"/>
                <w:highlight w:val="none"/>
              </w:rPr>
              <w:t>0</w:t>
            </w:r>
          </w:p>
        </w:tc>
        <w:tc>
          <w:tcPr>
            <w:tcW w:w="218" w:type="pct"/>
            <w:tcBorders>
              <w:top w:val="nil"/>
              <w:left w:val="nil"/>
              <w:bottom w:val="thickThinSmallGap" w:color="auto" w:sz="18" w:space="0"/>
              <w:right w:val="single" w:color="auto" w:sz="4" w:space="0"/>
            </w:tcBorders>
            <w:vAlign w:val="center"/>
          </w:tcPr>
          <w:p>
            <w:pPr>
              <w:jc w:val="center"/>
              <w:rPr>
                <w:sz w:val="22"/>
                <w:highlight w:val="none"/>
              </w:rPr>
            </w:pPr>
            <w:r>
              <w:rPr>
                <w:sz w:val="22"/>
                <w:highlight w:val="none"/>
              </w:rPr>
              <w:t>0</w:t>
            </w:r>
          </w:p>
        </w:tc>
        <w:tc>
          <w:tcPr>
            <w:tcW w:w="241" w:type="pct"/>
            <w:tcBorders>
              <w:top w:val="nil"/>
              <w:left w:val="nil"/>
              <w:bottom w:val="thickThinSmallGap" w:color="auto" w:sz="18" w:space="0"/>
              <w:right w:val="single" w:color="auto" w:sz="4" w:space="0"/>
            </w:tcBorders>
            <w:vAlign w:val="center"/>
          </w:tcPr>
          <w:p>
            <w:pPr>
              <w:jc w:val="center"/>
              <w:rPr>
                <w:sz w:val="22"/>
                <w:highlight w:val="none"/>
              </w:rPr>
            </w:pPr>
            <w:r>
              <w:rPr>
                <w:sz w:val="22"/>
                <w:highlight w:val="none"/>
              </w:rPr>
              <w:t>0</w:t>
            </w:r>
          </w:p>
        </w:tc>
        <w:tc>
          <w:tcPr>
            <w:tcW w:w="385" w:type="pct"/>
            <w:tcBorders>
              <w:top w:val="nil"/>
              <w:left w:val="nil"/>
              <w:bottom w:val="thickThinSmallGap" w:color="auto" w:sz="18" w:space="0"/>
              <w:right w:val="single" w:color="auto" w:sz="4" w:space="0"/>
            </w:tcBorders>
            <w:vAlign w:val="center"/>
          </w:tcPr>
          <w:p>
            <w:pPr>
              <w:jc w:val="center"/>
              <w:rPr>
                <w:sz w:val="22"/>
                <w:highlight w:val="none"/>
              </w:rPr>
            </w:pPr>
            <w:r>
              <w:rPr>
                <w:rFonts w:eastAsia="等线"/>
                <w:sz w:val="22"/>
                <w:szCs w:val="22"/>
                <w:highlight w:val="none"/>
              </w:rPr>
              <w:t>20</w:t>
            </w:r>
          </w:p>
        </w:tc>
        <w:tc>
          <w:tcPr>
            <w:tcW w:w="240" w:type="pct"/>
            <w:tcBorders>
              <w:top w:val="nil"/>
              <w:left w:val="nil"/>
              <w:bottom w:val="thickThinSmallGap" w:color="auto" w:sz="18" w:space="0"/>
              <w:right w:val="single" w:color="auto" w:sz="4" w:space="0"/>
            </w:tcBorders>
            <w:vAlign w:val="center"/>
          </w:tcPr>
          <w:p>
            <w:pPr>
              <w:jc w:val="center"/>
              <w:rPr>
                <w:sz w:val="22"/>
                <w:highlight w:val="none"/>
              </w:rPr>
            </w:pPr>
            <w:r>
              <w:rPr>
                <w:kern w:val="0"/>
                <w:szCs w:val="21"/>
                <w:highlight w:val="none"/>
              </w:rPr>
              <w:t>7.5</w:t>
            </w:r>
          </w:p>
        </w:tc>
        <w:tc>
          <w:tcPr>
            <w:tcW w:w="240" w:type="pct"/>
            <w:tcBorders>
              <w:top w:val="nil"/>
              <w:left w:val="nil"/>
              <w:bottom w:val="thickThinSmallGap" w:color="auto" w:sz="18" w:space="0"/>
              <w:right w:val="single" w:color="auto" w:sz="4" w:space="0"/>
            </w:tcBorders>
            <w:vAlign w:val="center"/>
          </w:tcPr>
          <w:p>
            <w:pPr>
              <w:jc w:val="center"/>
              <w:rPr>
                <w:sz w:val="22"/>
                <w:highlight w:val="none"/>
              </w:rPr>
            </w:pPr>
            <w:r>
              <w:rPr>
                <w:kern w:val="0"/>
                <w:szCs w:val="21"/>
                <w:highlight w:val="none"/>
              </w:rPr>
              <w:t>2.5</w:t>
            </w:r>
          </w:p>
        </w:tc>
        <w:tc>
          <w:tcPr>
            <w:tcW w:w="303" w:type="pct"/>
            <w:tcBorders>
              <w:top w:val="nil"/>
              <w:left w:val="nil"/>
              <w:bottom w:val="thickThinSmallGap" w:color="auto" w:sz="18" w:space="0"/>
              <w:right w:val="single" w:color="auto" w:sz="4" w:space="0"/>
            </w:tcBorders>
            <w:vAlign w:val="center"/>
          </w:tcPr>
          <w:p>
            <w:pPr>
              <w:jc w:val="center"/>
              <w:rPr>
                <w:sz w:val="22"/>
                <w:highlight w:val="none"/>
              </w:rPr>
            </w:pPr>
            <w:r>
              <w:rPr>
                <w:kern w:val="0"/>
                <w:szCs w:val="21"/>
                <w:highlight w:val="none"/>
              </w:rPr>
              <w:t>10</w:t>
            </w:r>
          </w:p>
        </w:tc>
        <w:tc>
          <w:tcPr>
            <w:tcW w:w="240" w:type="pct"/>
            <w:tcBorders>
              <w:top w:val="nil"/>
              <w:left w:val="nil"/>
              <w:bottom w:val="thickThinSmallGap" w:color="auto" w:sz="18" w:space="0"/>
              <w:right w:val="single" w:color="auto" w:sz="4" w:space="0"/>
            </w:tcBorders>
            <w:vAlign w:val="center"/>
          </w:tcPr>
          <w:p>
            <w:pPr>
              <w:jc w:val="center"/>
              <w:rPr>
                <w:sz w:val="22"/>
                <w:highlight w:val="none"/>
              </w:rPr>
            </w:pPr>
            <w:r>
              <w:rPr>
                <w:rFonts w:eastAsia="等线"/>
                <w:sz w:val="22"/>
                <w:szCs w:val="22"/>
                <w:highlight w:val="none"/>
              </w:rPr>
              <w:t>20</w:t>
            </w:r>
          </w:p>
        </w:tc>
        <w:tc>
          <w:tcPr>
            <w:tcW w:w="303" w:type="pct"/>
            <w:tcBorders>
              <w:top w:val="nil"/>
              <w:left w:val="nil"/>
              <w:bottom w:val="thickThinSmallGap" w:color="auto" w:sz="18" w:space="0"/>
              <w:right w:val="single" w:color="auto" w:sz="4" w:space="0"/>
            </w:tcBorders>
            <w:vAlign w:val="center"/>
          </w:tcPr>
          <w:p>
            <w:pPr>
              <w:jc w:val="center"/>
              <w:rPr>
                <w:sz w:val="22"/>
                <w:highlight w:val="none"/>
              </w:rPr>
            </w:pPr>
            <w:r>
              <w:rPr>
                <w:kern w:val="0"/>
                <w:szCs w:val="21"/>
                <w:highlight w:val="none"/>
              </w:rPr>
              <w:t>7.5</w:t>
            </w:r>
          </w:p>
        </w:tc>
        <w:tc>
          <w:tcPr>
            <w:tcW w:w="240" w:type="pct"/>
            <w:tcBorders>
              <w:top w:val="nil"/>
              <w:left w:val="nil"/>
              <w:bottom w:val="thickThinSmallGap" w:color="auto" w:sz="18" w:space="0"/>
              <w:right w:val="single" w:color="auto" w:sz="4" w:space="0"/>
            </w:tcBorders>
            <w:vAlign w:val="center"/>
          </w:tcPr>
          <w:p>
            <w:pPr>
              <w:jc w:val="center"/>
              <w:rPr>
                <w:sz w:val="22"/>
                <w:highlight w:val="none"/>
              </w:rPr>
            </w:pPr>
            <w:r>
              <w:rPr>
                <w:kern w:val="0"/>
                <w:szCs w:val="21"/>
                <w:highlight w:val="none"/>
              </w:rPr>
              <w:t>2.5</w:t>
            </w:r>
          </w:p>
        </w:tc>
        <w:tc>
          <w:tcPr>
            <w:tcW w:w="228" w:type="pct"/>
            <w:tcBorders>
              <w:top w:val="nil"/>
              <w:left w:val="nil"/>
              <w:bottom w:val="thickThinSmallGap" w:color="auto" w:sz="18" w:space="0"/>
            </w:tcBorders>
            <w:vAlign w:val="center"/>
          </w:tcPr>
          <w:p>
            <w:pPr>
              <w:jc w:val="center"/>
              <w:rPr>
                <w:sz w:val="22"/>
                <w:highlight w:val="none"/>
              </w:rPr>
            </w:pPr>
            <w:r>
              <w:rPr>
                <w:kern w:val="0"/>
                <w:szCs w:val="21"/>
                <w:highlight w:val="none"/>
              </w:rPr>
              <w:t>10</w:t>
            </w:r>
          </w:p>
        </w:tc>
      </w:tr>
    </w:tbl>
    <w:p>
      <w:pPr>
        <w:pStyle w:val="2"/>
        <w:rPr>
          <w:rFonts w:ascii="Times New Roman" w:cs="Times New Roman"/>
          <w:color w:val="auto"/>
          <w:highlight w:val="none"/>
        </w:rPr>
      </w:pPr>
    </w:p>
    <w:p>
      <w:pPr>
        <w:pStyle w:val="2"/>
        <w:rPr>
          <w:rFonts w:ascii="Times New Roman" w:cs="Times New Roman"/>
          <w:color w:val="auto"/>
          <w:highlight w:val="none"/>
        </w:rPr>
        <w:sectPr>
          <w:pgSz w:w="16838" w:h="11906" w:orient="landscape"/>
          <w:pgMar w:top="1418" w:right="1440" w:bottom="1418" w:left="1440" w:header="851" w:footer="992" w:gutter="0"/>
          <w:cols w:space="425" w:num="1"/>
          <w:docGrid w:type="linesAndChars" w:linePitch="312" w:charSpace="0"/>
        </w:sectPr>
      </w:pPr>
    </w:p>
    <w:p>
      <w:pPr>
        <w:spacing w:before="156" w:beforeLines="50" w:after="156" w:afterLines="50" w:line="520" w:lineRule="exact"/>
        <w:jc w:val="center"/>
        <w:outlineLvl w:val="1"/>
        <w:rPr>
          <w:rFonts w:eastAsia="黑体"/>
          <w:b/>
          <w:sz w:val="30"/>
          <w:highlight w:val="none"/>
        </w:rPr>
      </w:pPr>
      <w:bookmarkStart w:id="174" w:name="_Toc77781902"/>
      <w:r>
        <w:rPr>
          <w:rFonts w:eastAsia="黑体"/>
          <w:b/>
          <w:sz w:val="30"/>
          <w:highlight w:val="none"/>
        </w:rPr>
        <w:t>第六节船型发展预测</w:t>
      </w:r>
      <w:bookmarkEnd w:id="174"/>
    </w:p>
    <w:p>
      <w:pPr>
        <w:spacing w:line="360" w:lineRule="auto"/>
        <w:ind w:firstLine="562" w:firstLineChars="200"/>
        <w:rPr>
          <w:rFonts w:eastAsia="黑体"/>
          <w:b/>
          <w:sz w:val="28"/>
          <w:szCs w:val="28"/>
          <w:highlight w:val="none"/>
        </w:rPr>
      </w:pPr>
      <w:r>
        <w:rPr>
          <w:rFonts w:eastAsia="黑体"/>
          <w:b/>
          <w:sz w:val="28"/>
          <w:szCs w:val="28"/>
          <w:highlight w:val="none"/>
        </w:rPr>
        <w:t>一、国内外运输船舶发展趋势</w:t>
      </w:r>
    </w:p>
    <w:p>
      <w:pPr>
        <w:pStyle w:val="14"/>
        <w:spacing w:after="0" w:line="360" w:lineRule="auto"/>
        <w:ind w:firstLine="562" w:firstLineChars="200"/>
        <w:rPr>
          <w:rFonts w:ascii="Times New Roman" w:hAnsi="Times New Roman" w:cs="Times New Roman"/>
          <w:b/>
          <w:szCs w:val="28"/>
          <w:highlight w:val="none"/>
        </w:rPr>
      </w:pPr>
      <w:r>
        <w:rPr>
          <w:rFonts w:ascii="Times New Roman" w:hAnsi="Times New Roman" w:cs="Times New Roman"/>
          <w:b/>
          <w:sz w:val="28"/>
          <w:szCs w:val="28"/>
          <w:highlight w:val="none"/>
        </w:rPr>
        <w:t>（一）国内外运输船舶</w:t>
      </w:r>
    </w:p>
    <w:p>
      <w:pPr>
        <w:spacing w:line="360" w:lineRule="auto"/>
        <w:ind w:firstLine="560" w:firstLineChars="200"/>
        <w:rPr>
          <w:sz w:val="28"/>
          <w:szCs w:val="28"/>
          <w:highlight w:val="none"/>
          <w:lang w:val="en-GB"/>
        </w:rPr>
      </w:pPr>
      <w:r>
        <w:rPr>
          <w:sz w:val="28"/>
          <w:szCs w:val="28"/>
          <w:highlight w:val="none"/>
          <w:lang w:val="en-GB"/>
        </w:rPr>
        <w:t>世界发达国家一直非常重视内河航运发展，航运战略地位突出、作用明显。美国政府将内河运输发展作为一项基本国策，已基本建成以密西西比河为主干、以运河连接五大湖区的发达航道网，并匹配标准化和系列化船队；欧洲内河航运发展快速，近几年西北欧内河航运投资甚至超过了海运。欧洲干线航道及其主要支流均已实现千吨级船舶畅通无阻，其内河船队已成为世界上大型的现代化船队。支小河流运输主要采用小型船舶，有相当部分的船队由1000吨级以下船舶组成。国外内河运输以干货船为主，近年来油轮和集装箱船增长较快。</w:t>
      </w:r>
    </w:p>
    <w:p>
      <w:pPr>
        <w:spacing w:line="360" w:lineRule="auto"/>
        <w:ind w:firstLine="560" w:firstLineChars="200"/>
        <w:rPr>
          <w:sz w:val="28"/>
          <w:szCs w:val="28"/>
          <w:highlight w:val="none"/>
          <w:lang w:val="en-GB"/>
        </w:rPr>
      </w:pPr>
      <w:r>
        <w:rPr>
          <w:sz w:val="28"/>
          <w:szCs w:val="28"/>
          <w:highlight w:val="none"/>
          <w:lang w:val="en-GB"/>
        </w:rPr>
        <w:t>2000年前欧洲内河最大船舶为3500</w:t>
      </w:r>
      <w:r>
        <w:rPr>
          <w:sz w:val="28"/>
          <w:szCs w:val="28"/>
          <w:highlight w:val="none"/>
        </w:rPr>
        <w:t>吨级</w:t>
      </w:r>
      <w:r>
        <w:rPr>
          <w:sz w:val="28"/>
          <w:szCs w:val="28"/>
          <w:highlight w:val="none"/>
          <w:lang w:val="en-GB"/>
        </w:rPr>
        <w:t>，集装箱船最大为200TEU，而目前大量4000～5000</w:t>
      </w:r>
      <w:r>
        <w:rPr>
          <w:sz w:val="28"/>
          <w:szCs w:val="28"/>
          <w:highlight w:val="none"/>
        </w:rPr>
        <w:t>吨级</w:t>
      </w:r>
      <w:r>
        <w:rPr>
          <w:sz w:val="28"/>
          <w:szCs w:val="28"/>
          <w:highlight w:val="none"/>
          <w:lang w:val="en-GB"/>
        </w:rPr>
        <w:t>船舶及500TEU集装箱船相继出现，最大的内河油轮达到8000</w:t>
      </w:r>
      <w:r>
        <w:rPr>
          <w:sz w:val="28"/>
          <w:szCs w:val="28"/>
          <w:highlight w:val="none"/>
        </w:rPr>
        <w:t>吨级</w:t>
      </w:r>
      <w:r>
        <w:rPr>
          <w:sz w:val="28"/>
          <w:szCs w:val="28"/>
          <w:highlight w:val="none"/>
          <w:lang w:val="en-GB"/>
        </w:rPr>
        <w:t>，欧洲船舶大型化趋势逐步明显。同时，欧洲300～4500t机动货船主要有16种基本船型，驳船有4种船型，欧洲船舶标准化已全部实现。</w:t>
      </w:r>
    </w:p>
    <w:p>
      <w:pPr>
        <w:pStyle w:val="2"/>
        <w:ind w:firstLine="560" w:firstLineChars="200"/>
        <w:rPr>
          <w:rFonts w:ascii="Times New Roman" w:cs="Times New Roman"/>
          <w:color w:val="auto"/>
          <w:kern w:val="2"/>
          <w:sz w:val="28"/>
          <w:szCs w:val="28"/>
          <w:highlight w:val="none"/>
          <w:lang w:val="en-GB"/>
        </w:rPr>
      </w:pPr>
      <w:r>
        <w:rPr>
          <w:rFonts w:ascii="Times New Roman" w:cs="Times New Roman"/>
          <w:color w:val="auto"/>
          <w:kern w:val="2"/>
          <w:sz w:val="28"/>
          <w:szCs w:val="28"/>
          <w:highlight w:val="none"/>
          <w:lang w:val="en-GB"/>
        </w:rPr>
        <w:t>内河游轮作为目前对于国内水上旅游市场比较小众的一种方式，在欧美非常盛行。随着国人对出国旅游的热情越来越高，乘坐内河游轮的旅游方式也渐渐的进入了大家的视野。相比于豪华邮轮，内河游轮是以岸上旅游观光为主，游轮上活动为辅。内河游轮旅游作为一种便捷的深度旅游方式，其机动而短暂的航行模式留给了游客们更充分的时间去体验岸上的观光行程。作为内河游轮之冠，维京游轮已经将它的内河航线遍布欧洲莱茵河、多瑙河、杜罗河以及亚洲的湄公河沿线的各大主要城市及港口，目前有65艘内河游轮，主要有190客位、174客位、106客位、98客位，船舶吨位介于1000吨~5000吨之间。</w:t>
      </w:r>
    </w:p>
    <w:p>
      <w:pPr>
        <w:spacing w:line="360" w:lineRule="auto"/>
        <w:ind w:firstLine="560" w:firstLineChars="200"/>
        <w:rPr>
          <w:sz w:val="28"/>
          <w:szCs w:val="28"/>
          <w:highlight w:val="none"/>
          <w:lang w:val="en-GB"/>
        </w:rPr>
      </w:pPr>
      <w:r>
        <w:rPr>
          <w:sz w:val="28"/>
          <w:szCs w:val="28"/>
          <w:highlight w:val="none"/>
          <w:lang w:val="en-GB"/>
        </w:rPr>
        <w:t>近年来，我国内河水运建设与运输船舶发展取得了显著成绩。国内政府借鉴内河运输发达国家推广船型标准化的成功经验，相继出台了《内河标准船型船舶技术管理指导意见》、《全国内河船型标准化发展纲要》、《长江水系过闸运输船舶标准船型的主尺度系列》、《内河运输船舶标准化管理规定》、《内河过闸运输船舶标准船型主尺度系列》（GB38031-2019）等相关文件。目前，长江船舶运输的发展呈现出标准化、大型化、专业化、智能化及集约化趋势，机动船舶发展迅猛，集装箱船、液货船、干散货船、滚装船等专业化运输船舶得到快速发展，船舶技术水平稳步提升。同时，内河船舶动力向液化天然气、太阳能、电力等清洁能源发展，节能环保、绿色高效能船舶发展迅速。</w:t>
      </w:r>
    </w:p>
    <w:p>
      <w:pPr>
        <w:pStyle w:val="14"/>
        <w:spacing w:after="0" w:line="360" w:lineRule="auto"/>
        <w:ind w:firstLine="562" w:firstLineChars="200"/>
        <w:rPr>
          <w:rFonts w:ascii="Times New Roman" w:hAnsi="Times New Roman" w:cs="Times New Roman"/>
          <w:b/>
          <w:szCs w:val="28"/>
          <w:highlight w:val="none"/>
          <w:lang w:val="en-GB"/>
        </w:rPr>
      </w:pPr>
      <w:r>
        <w:rPr>
          <w:rFonts w:ascii="Times New Roman" w:hAnsi="Times New Roman" w:cs="Times New Roman"/>
          <w:b/>
          <w:sz w:val="28"/>
          <w:szCs w:val="28"/>
          <w:highlight w:val="none"/>
          <w:lang w:val="en-GB"/>
        </w:rPr>
        <w:t>（二）四川境内运输船舶</w:t>
      </w:r>
    </w:p>
    <w:p>
      <w:pPr>
        <w:spacing w:line="360" w:lineRule="auto"/>
        <w:ind w:firstLine="560" w:firstLineChars="200"/>
        <w:rPr>
          <w:sz w:val="28"/>
          <w:szCs w:val="28"/>
          <w:highlight w:val="none"/>
          <w:lang w:val="en-GB"/>
        </w:rPr>
      </w:pPr>
      <w:r>
        <w:rPr>
          <w:sz w:val="28"/>
          <w:szCs w:val="28"/>
          <w:highlight w:val="none"/>
          <w:lang w:val="en-GB"/>
        </w:rPr>
        <w:t>四川省内河水运资源十分丰富，拥有通航河流176条，通航水库、湖泊147个，通航里程达10540km，居西部之首。</w:t>
      </w:r>
      <w:r>
        <w:rPr>
          <w:rFonts w:hint="eastAsia"/>
          <w:sz w:val="28"/>
          <w:szCs w:val="28"/>
          <w:highlight w:val="none"/>
          <w:lang w:val="en-GB"/>
        </w:rPr>
        <w:t>目前，四川省拥有运输船舶4718艘，总运力达135万载重吨。全省共有千吨级船舶308艘、平均吨位2911t。</w:t>
      </w:r>
      <w:r>
        <w:rPr>
          <w:sz w:val="28"/>
          <w:szCs w:val="28"/>
          <w:highlight w:val="none"/>
          <w:lang w:val="en-GB"/>
        </w:rPr>
        <w:t>全省运输船舶向标准化、系列化、大型化、专业化、现代化方向迅速发展，建有干散货船、散货船、砂石自卸船、液体化工船、集散两用船、油船、大件运输船等专用船舶，自主开发了2000吨级、3000吨级干散货船、108TEU集装箱船、1000吨级油船等船型，船舶主尺度均满足《川江及三峡库区运输船舶标准船型主尺度系列》要求，标准船型系列船舶所占比重逐年增长。</w:t>
      </w:r>
    </w:p>
    <w:p>
      <w:pPr>
        <w:spacing w:line="360" w:lineRule="auto"/>
        <w:ind w:firstLine="560" w:firstLineChars="200"/>
        <w:rPr>
          <w:sz w:val="28"/>
          <w:szCs w:val="28"/>
          <w:highlight w:val="none"/>
          <w:lang w:val="en-GB"/>
        </w:rPr>
      </w:pPr>
      <w:r>
        <w:rPr>
          <w:sz w:val="28"/>
          <w:szCs w:val="28"/>
          <w:highlight w:val="none"/>
          <w:lang w:val="en-GB"/>
        </w:rPr>
        <w:t>根据《四川交通强省总体发展战略研究》、《</w:t>
      </w:r>
      <w:r>
        <w:rPr>
          <w:rFonts w:hint="eastAsia"/>
          <w:sz w:val="28"/>
          <w:szCs w:val="28"/>
          <w:highlight w:val="none"/>
          <w:lang w:val="en-GB"/>
        </w:rPr>
        <w:t>四川</w:t>
      </w:r>
      <w:r>
        <w:rPr>
          <w:sz w:val="28"/>
          <w:szCs w:val="28"/>
          <w:highlight w:val="none"/>
          <w:lang w:val="en-GB"/>
        </w:rPr>
        <w:t>省内河水运发展规划（</w:t>
      </w:r>
      <w:r>
        <w:rPr>
          <w:rFonts w:hint="eastAsia"/>
          <w:sz w:val="28"/>
          <w:szCs w:val="28"/>
          <w:highlight w:val="none"/>
          <w:lang w:val="en-GB"/>
        </w:rPr>
        <w:t>2</w:t>
      </w:r>
      <w:r>
        <w:rPr>
          <w:sz w:val="28"/>
          <w:szCs w:val="28"/>
          <w:highlight w:val="none"/>
          <w:lang w:val="en-GB"/>
        </w:rPr>
        <w:t>022~2035年）》，船舶作为内河航运发展的装备要素，应逐步优化全省船舶运力结构，健全内河标准船型指标体系和验证方法，引导非标准船舶逐步退出市场，实现过闸运输船舶船型标准统一，推进船舶向标准化、专业化、智能化、绿色化方向发展，大力发展集装箱、LNG、化学品运输等专业化船舶，积极发展密闭式散货运输，加快大型休闲度假豪华游轮发展和中短途休闲客船、观光游特色游艇等船型研制，形成标准统一、结构合理、技术先进、绿色高效的内河运输船舶体系。</w:t>
      </w:r>
    </w:p>
    <w:p>
      <w:pPr>
        <w:pStyle w:val="14"/>
        <w:spacing w:after="0" w:line="360" w:lineRule="auto"/>
        <w:ind w:firstLine="562" w:firstLineChars="200"/>
        <w:rPr>
          <w:rFonts w:ascii="Times New Roman" w:hAnsi="Times New Roman" w:cs="Times New Roman"/>
          <w:b/>
          <w:szCs w:val="28"/>
          <w:highlight w:val="none"/>
          <w:lang w:val="en-GB"/>
        </w:rPr>
      </w:pPr>
      <w:r>
        <w:rPr>
          <w:rFonts w:ascii="Times New Roman" w:hAnsi="Times New Roman" w:cs="Times New Roman"/>
          <w:b/>
          <w:sz w:val="28"/>
          <w:szCs w:val="28"/>
          <w:highlight w:val="none"/>
          <w:lang w:val="en-GB"/>
        </w:rPr>
        <w:t>（三）乐山市运输船舶</w:t>
      </w:r>
    </w:p>
    <w:p>
      <w:pPr>
        <w:spacing w:line="360" w:lineRule="auto"/>
        <w:ind w:firstLine="560" w:firstLineChars="200"/>
        <w:rPr>
          <w:sz w:val="28"/>
          <w:szCs w:val="28"/>
          <w:highlight w:val="none"/>
        </w:rPr>
      </w:pPr>
      <w:r>
        <w:rPr>
          <w:sz w:val="28"/>
          <w:szCs w:val="28"/>
          <w:highlight w:val="none"/>
          <w:lang w:val="en-GB"/>
        </w:rPr>
        <w:t>根据乐山市港航中心统计数据，</w:t>
      </w:r>
      <w:r>
        <w:rPr>
          <w:sz w:val="28"/>
          <w:szCs w:val="28"/>
          <w:highlight w:val="none"/>
        </w:rPr>
        <w:t>乐山市共有船舶</w:t>
      </w:r>
      <w:r>
        <w:rPr>
          <w:rFonts w:hint="eastAsia"/>
          <w:sz w:val="28"/>
          <w:szCs w:val="28"/>
          <w:highlight w:val="none"/>
        </w:rPr>
        <w:t>301</w:t>
      </w:r>
      <w:r>
        <w:rPr>
          <w:sz w:val="28"/>
          <w:szCs w:val="28"/>
          <w:highlight w:val="none"/>
        </w:rPr>
        <w:t>艘，其中客船</w:t>
      </w:r>
      <w:r>
        <w:rPr>
          <w:rFonts w:hint="eastAsia"/>
          <w:sz w:val="28"/>
          <w:szCs w:val="28"/>
          <w:highlight w:val="none"/>
        </w:rPr>
        <w:t>100</w:t>
      </w:r>
      <w:r>
        <w:rPr>
          <w:sz w:val="28"/>
          <w:szCs w:val="28"/>
          <w:highlight w:val="none"/>
        </w:rPr>
        <w:t>艘，货船</w:t>
      </w:r>
      <w:r>
        <w:rPr>
          <w:rFonts w:hint="eastAsia"/>
          <w:sz w:val="28"/>
          <w:szCs w:val="28"/>
          <w:highlight w:val="none"/>
        </w:rPr>
        <w:t>201</w:t>
      </w:r>
      <w:r>
        <w:rPr>
          <w:sz w:val="28"/>
          <w:szCs w:val="28"/>
          <w:highlight w:val="none"/>
        </w:rPr>
        <w:t>艘，无驳船和拖船。其中，营业性客船主要集中在大佛景区、沙湾区、沐川县、峨边</w:t>
      </w:r>
      <w:r>
        <w:rPr>
          <w:rFonts w:hint="eastAsia"/>
          <w:sz w:val="28"/>
          <w:szCs w:val="28"/>
          <w:highlight w:val="none"/>
        </w:rPr>
        <w:t>彝族自治</w:t>
      </w:r>
      <w:r>
        <w:rPr>
          <w:sz w:val="28"/>
          <w:szCs w:val="28"/>
          <w:highlight w:val="none"/>
        </w:rPr>
        <w:t>县、峨眉山市等地；非营业性客渡船主要集中在市中区、犍为县、夹江县；货运船舶主要集中在市中区、犍为县、沙湾区等地。</w:t>
      </w:r>
    </w:p>
    <w:p>
      <w:pPr>
        <w:spacing w:line="360" w:lineRule="auto"/>
        <w:ind w:firstLine="560" w:firstLineChars="200"/>
        <w:rPr>
          <w:sz w:val="28"/>
          <w:szCs w:val="28"/>
          <w:highlight w:val="none"/>
          <w:lang w:val="en-GB"/>
        </w:rPr>
      </w:pPr>
      <w:r>
        <w:rPr>
          <w:sz w:val="28"/>
          <w:szCs w:val="28"/>
          <w:highlight w:val="none"/>
          <w:lang w:val="en-GB"/>
        </w:rPr>
        <w:t>目前，</w:t>
      </w:r>
      <w:r>
        <w:rPr>
          <w:sz w:val="28"/>
          <w:szCs w:val="28"/>
          <w:highlight w:val="none"/>
        </w:rPr>
        <w:t>岷江乐山段航道满足Ⅳ级航道标准，可常年通航500吨级船舶，中洪水期可通航1000~3000吨级船舶。</w:t>
      </w:r>
      <w:r>
        <w:rPr>
          <w:sz w:val="28"/>
          <w:szCs w:val="28"/>
          <w:highlight w:val="none"/>
          <w:lang w:val="en-GB"/>
        </w:rPr>
        <w:t>乐山港到港客运船舶以</w:t>
      </w:r>
      <w:r>
        <w:rPr>
          <w:sz w:val="28"/>
          <w:szCs w:val="28"/>
          <w:highlight w:val="none"/>
        </w:rPr>
        <w:t>30、60、80客位</w:t>
      </w:r>
      <w:r>
        <w:rPr>
          <w:sz w:val="28"/>
          <w:szCs w:val="28"/>
          <w:highlight w:val="none"/>
          <w:lang w:val="en-GB"/>
        </w:rPr>
        <w:t>旅游客船为主，渡运船舶以</w:t>
      </w:r>
      <w:r>
        <w:rPr>
          <w:sz w:val="28"/>
          <w:szCs w:val="28"/>
          <w:highlight w:val="none"/>
        </w:rPr>
        <w:t>20客位、60客位、80客位为主，最大为250客位渡船</w:t>
      </w:r>
      <w:r>
        <w:rPr>
          <w:sz w:val="28"/>
          <w:szCs w:val="28"/>
          <w:highlight w:val="none"/>
          <w:lang w:val="en-GB"/>
        </w:rPr>
        <w:t>；货运船舶以</w:t>
      </w:r>
      <w:r>
        <w:rPr>
          <w:sz w:val="28"/>
          <w:szCs w:val="28"/>
          <w:highlight w:val="none"/>
        </w:rPr>
        <w:t>300吨级以下</w:t>
      </w:r>
      <w:r>
        <w:rPr>
          <w:sz w:val="28"/>
          <w:szCs w:val="28"/>
          <w:highlight w:val="none"/>
          <w:lang w:val="en-GB"/>
        </w:rPr>
        <w:t>短途砂石运输船舶和</w:t>
      </w:r>
      <w:r>
        <w:rPr>
          <w:sz w:val="28"/>
          <w:szCs w:val="28"/>
          <w:highlight w:val="none"/>
        </w:rPr>
        <w:t>500吨级以上</w:t>
      </w:r>
      <w:r>
        <w:rPr>
          <w:sz w:val="28"/>
          <w:szCs w:val="28"/>
          <w:highlight w:val="none"/>
          <w:lang w:val="en-GB"/>
        </w:rPr>
        <w:t>中长途货运船舶为主，最大货船为犍为县</w:t>
      </w:r>
      <w:r>
        <w:rPr>
          <w:sz w:val="28"/>
          <w:szCs w:val="28"/>
          <w:highlight w:val="none"/>
        </w:rPr>
        <w:t>青龙616，载货量可达6000t左右</w:t>
      </w:r>
      <w:r>
        <w:rPr>
          <w:sz w:val="28"/>
          <w:szCs w:val="28"/>
          <w:highlight w:val="none"/>
          <w:lang w:val="en-GB"/>
        </w:rPr>
        <w:t>。</w:t>
      </w:r>
    </w:p>
    <w:p>
      <w:pPr>
        <w:snapToGrid w:val="0"/>
        <w:jc w:val="center"/>
        <w:rPr>
          <w:rFonts w:eastAsia="黑体"/>
          <w:sz w:val="28"/>
          <w:szCs w:val="28"/>
          <w:highlight w:val="none"/>
          <w:lang w:val="en-GB"/>
        </w:rPr>
      </w:pPr>
      <w:r>
        <w:rPr>
          <w:rFonts w:eastAsia="黑体"/>
          <w:spacing w:val="5"/>
          <w:sz w:val="28"/>
          <w:szCs w:val="28"/>
          <w:highlight w:val="none"/>
        </w:rPr>
        <w:t>表2.6-1</w:t>
      </w:r>
      <w:r>
        <w:rPr>
          <w:rFonts w:eastAsia="黑体"/>
          <w:sz w:val="28"/>
          <w:szCs w:val="28"/>
          <w:highlight w:val="none"/>
          <w:lang w:val="en-GB"/>
        </w:rPr>
        <w:t>乐山港现有主要到港船型技术指标表</w:t>
      </w:r>
    </w:p>
    <w:tbl>
      <w:tblPr>
        <w:tblStyle w:val="32"/>
        <w:tblW w:w="4998" w:type="pct"/>
        <w:tblInd w:w="0" w:type="dxa"/>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Layout w:type="fixed"/>
        <w:tblCellMar>
          <w:top w:w="57" w:type="dxa"/>
          <w:left w:w="85" w:type="dxa"/>
          <w:bottom w:w="57" w:type="dxa"/>
          <w:right w:w="85" w:type="dxa"/>
        </w:tblCellMar>
      </w:tblPr>
      <w:tblGrid>
        <w:gridCol w:w="2563"/>
        <w:gridCol w:w="2081"/>
        <w:gridCol w:w="1558"/>
        <w:gridCol w:w="1522"/>
        <w:gridCol w:w="1513"/>
      </w:tblGrid>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57" w:type="dxa"/>
            <w:left w:w="85" w:type="dxa"/>
            <w:bottom w:w="57" w:type="dxa"/>
            <w:right w:w="85" w:type="dxa"/>
          </w:tblCellMar>
        </w:tblPrEx>
        <w:trPr>
          <w:cantSplit/>
          <w:trHeight w:val="20" w:hRule="atLeast"/>
          <w:tblHeader/>
        </w:trPr>
        <w:tc>
          <w:tcPr>
            <w:tcW w:w="1386" w:type="pct"/>
            <w:noWrap/>
            <w:vAlign w:val="center"/>
          </w:tcPr>
          <w:p>
            <w:pPr>
              <w:jc w:val="center"/>
              <w:rPr>
                <w:sz w:val="24"/>
                <w:highlight w:val="none"/>
                <w:lang w:val="en-GB"/>
              </w:rPr>
            </w:pPr>
            <w:r>
              <w:rPr>
                <w:sz w:val="24"/>
                <w:highlight w:val="none"/>
                <w:lang w:val="en-GB"/>
              </w:rPr>
              <w:t>船型</w:t>
            </w:r>
            <w:r>
              <w:rPr>
                <w:sz w:val="24"/>
                <w:highlight w:val="none"/>
              </w:rPr>
              <w:t>/</w:t>
            </w:r>
            <w:r>
              <w:rPr>
                <w:sz w:val="24"/>
                <w:highlight w:val="none"/>
                <w:lang w:val="en-GB"/>
              </w:rPr>
              <w:t>船名</w:t>
            </w:r>
          </w:p>
        </w:tc>
        <w:tc>
          <w:tcPr>
            <w:tcW w:w="1126" w:type="pct"/>
            <w:noWrap/>
            <w:vAlign w:val="center"/>
          </w:tcPr>
          <w:p>
            <w:pPr>
              <w:jc w:val="center"/>
              <w:rPr>
                <w:sz w:val="24"/>
                <w:highlight w:val="none"/>
                <w:lang w:val="en-GB"/>
              </w:rPr>
            </w:pPr>
            <w:r>
              <w:rPr>
                <w:sz w:val="24"/>
                <w:highlight w:val="none"/>
                <w:lang w:val="en-GB"/>
              </w:rPr>
              <w:t>总长</w:t>
            </w:r>
          </w:p>
          <w:p>
            <w:pPr>
              <w:jc w:val="center"/>
              <w:rPr>
                <w:sz w:val="24"/>
                <w:highlight w:val="none"/>
                <w:lang w:val="en-GB"/>
              </w:rPr>
            </w:pPr>
            <w:r>
              <w:rPr>
                <w:sz w:val="24"/>
                <w:highlight w:val="none"/>
                <w:lang w:val="en-GB"/>
              </w:rPr>
              <w:t>(m)</w:t>
            </w:r>
          </w:p>
        </w:tc>
        <w:tc>
          <w:tcPr>
            <w:tcW w:w="843" w:type="pct"/>
            <w:noWrap/>
            <w:vAlign w:val="center"/>
          </w:tcPr>
          <w:p>
            <w:pPr>
              <w:jc w:val="center"/>
              <w:rPr>
                <w:sz w:val="24"/>
                <w:highlight w:val="none"/>
                <w:lang w:val="en-GB"/>
              </w:rPr>
            </w:pPr>
            <w:r>
              <w:rPr>
                <w:sz w:val="24"/>
                <w:highlight w:val="none"/>
                <w:lang w:val="en-GB"/>
              </w:rPr>
              <w:t>型宽(m)</w:t>
            </w:r>
          </w:p>
        </w:tc>
        <w:tc>
          <w:tcPr>
            <w:tcW w:w="824" w:type="pct"/>
            <w:noWrap/>
            <w:vAlign w:val="center"/>
          </w:tcPr>
          <w:p>
            <w:pPr>
              <w:jc w:val="center"/>
              <w:rPr>
                <w:sz w:val="24"/>
                <w:highlight w:val="none"/>
                <w:lang w:val="en-GB"/>
              </w:rPr>
            </w:pPr>
            <w:r>
              <w:rPr>
                <w:sz w:val="24"/>
                <w:highlight w:val="none"/>
                <w:lang w:val="en-GB"/>
              </w:rPr>
              <w:t>吃水(m)</w:t>
            </w:r>
          </w:p>
        </w:tc>
        <w:tc>
          <w:tcPr>
            <w:tcW w:w="819" w:type="pct"/>
            <w:noWrap/>
            <w:vAlign w:val="center"/>
          </w:tcPr>
          <w:p>
            <w:pPr>
              <w:jc w:val="center"/>
              <w:rPr>
                <w:sz w:val="24"/>
                <w:highlight w:val="none"/>
              </w:rPr>
            </w:pPr>
            <w:r>
              <w:rPr>
                <w:rFonts w:hint="eastAsia"/>
                <w:sz w:val="24"/>
                <w:highlight w:val="none"/>
              </w:rPr>
              <w:t>所属区县</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57" w:type="dxa"/>
            <w:left w:w="85" w:type="dxa"/>
            <w:bottom w:w="57" w:type="dxa"/>
            <w:right w:w="85" w:type="dxa"/>
          </w:tblCellMar>
        </w:tblPrEx>
        <w:trPr>
          <w:cantSplit/>
          <w:trHeight w:val="20" w:hRule="atLeast"/>
          <w:tblHeader/>
        </w:trPr>
        <w:tc>
          <w:tcPr>
            <w:tcW w:w="1386" w:type="pct"/>
            <w:noWrap/>
            <w:vAlign w:val="center"/>
          </w:tcPr>
          <w:p>
            <w:pPr>
              <w:jc w:val="center"/>
              <w:rPr>
                <w:sz w:val="24"/>
                <w:highlight w:val="none"/>
                <w:lang w:val="en-GB"/>
              </w:rPr>
            </w:pPr>
            <w:r>
              <w:rPr>
                <w:rFonts w:hint="eastAsia"/>
                <w:sz w:val="24"/>
                <w:highlight w:val="none"/>
                <w:lang w:val="en-GB"/>
              </w:rPr>
              <w:t>3</w:t>
            </w:r>
            <w:r>
              <w:rPr>
                <w:sz w:val="24"/>
                <w:highlight w:val="none"/>
                <w:lang w:val="en-GB"/>
              </w:rPr>
              <w:t>0客位客渡船</w:t>
            </w:r>
          </w:p>
        </w:tc>
        <w:tc>
          <w:tcPr>
            <w:tcW w:w="1126" w:type="pct"/>
            <w:noWrap/>
            <w:vAlign w:val="center"/>
          </w:tcPr>
          <w:p>
            <w:pPr>
              <w:jc w:val="center"/>
              <w:rPr>
                <w:sz w:val="24"/>
                <w:highlight w:val="none"/>
                <w:lang w:val="en-GB"/>
              </w:rPr>
            </w:pPr>
            <w:r>
              <w:rPr>
                <w:rFonts w:hint="eastAsia"/>
                <w:sz w:val="24"/>
                <w:highlight w:val="none"/>
                <w:lang w:val="en-GB"/>
              </w:rPr>
              <w:t>1</w:t>
            </w:r>
            <w:r>
              <w:rPr>
                <w:sz w:val="24"/>
                <w:highlight w:val="none"/>
                <w:lang w:val="en-GB"/>
              </w:rPr>
              <w:t>2.3</w:t>
            </w:r>
          </w:p>
        </w:tc>
        <w:tc>
          <w:tcPr>
            <w:tcW w:w="843" w:type="pct"/>
            <w:noWrap/>
            <w:vAlign w:val="center"/>
          </w:tcPr>
          <w:p>
            <w:pPr>
              <w:jc w:val="center"/>
              <w:rPr>
                <w:sz w:val="24"/>
                <w:highlight w:val="none"/>
                <w:lang w:val="en-GB"/>
              </w:rPr>
            </w:pPr>
            <w:r>
              <w:rPr>
                <w:rFonts w:hint="eastAsia"/>
                <w:sz w:val="24"/>
                <w:highlight w:val="none"/>
                <w:lang w:val="en-GB"/>
              </w:rPr>
              <w:t>3</w:t>
            </w:r>
            <w:r>
              <w:rPr>
                <w:sz w:val="24"/>
                <w:highlight w:val="none"/>
                <w:lang w:val="en-GB"/>
              </w:rPr>
              <w:t>.7</w:t>
            </w:r>
          </w:p>
        </w:tc>
        <w:tc>
          <w:tcPr>
            <w:tcW w:w="824" w:type="pct"/>
            <w:noWrap/>
            <w:vAlign w:val="center"/>
          </w:tcPr>
          <w:p>
            <w:pPr>
              <w:jc w:val="center"/>
              <w:rPr>
                <w:sz w:val="24"/>
                <w:highlight w:val="none"/>
                <w:lang w:val="en-GB"/>
              </w:rPr>
            </w:pPr>
            <w:r>
              <w:rPr>
                <w:rFonts w:hint="eastAsia"/>
                <w:sz w:val="24"/>
                <w:highlight w:val="none"/>
                <w:lang w:val="en-GB"/>
              </w:rPr>
              <w:t>1</w:t>
            </w:r>
            <w:r>
              <w:rPr>
                <w:sz w:val="24"/>
                <w:highlight w:val="none"/>
                <w:lang w:val="en-GB"/>
              </w:rPr>
              <w:t>.05</w:t>
            </w:r>
          </w:p>
        </w:tc>
        <w:tc>
          <w:tcPr>
            <w:tcW w:w="819" w:type="pct"/>
            <w:noWrap/>
            <w:vAlign w:val="center"/>
          </w:tcPr>
          <w:p>
            <w:pPr>
              <w:jc w:val="center"/>
              <w:rPr>
                <w:sz w:val="24"/>
                <w:highlight w:val="none"/>
              </w:rPr>
            </w:pPr>
            <w:r>
              <w:rPr>
                <w:rFonts w:hint="eastAsia"/>
                <w:sz w:val="24"/>
                <w:highlight w:val="none"/>
              </w:rPr>
              <w:t>全市</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57" w:type="dxa"/>
            <w:left w:w="85" w:type="dxa"/>
            <w:bottom w:w="57" w:type="dxa"/>
            <w:right w:w="85" w:type="dxa"/>
          </w:tblCellMar>
        </w:tblPrEx>
        <w:trPr>
          <w:cantSplit/>
          <w:trHeight w:val="20" w:hRule="atLeast"/>
        </w:trPr>
        <w:tc>
          <w:tcPr>
            <w:tcW w:w="1386" w:type="pct"/>
            <w:noWrap/>
            <w:vAlign w:val="center"/>
          </w:tcPr>
          <w:p>
            <w:pPr>
              <w:jc w:val="center"/>
              <w:rPr>
                <w:sz w:val="24"/>
                <w:highlight w:val="none"/>
              </w:rPr>
            </w:pPr>
            <w:r>
              <w:rPr>
                <w:rFonts w:hint="eastAsia"/>
                <w:sz w:val="24"/>
                <w:highlight w:val="none"/>
              </w:rPr>
              <w:t>40客位以下</w:t>
            </w:r>
            <w:r>
              <w:rPr>
                <w:sz w:val="24"/>
                <w:highlight w:val="none"/>
              </w:rPr>
              <w:t>客渡船</w:t>
            </w:r>
          </w:p>
        </w:tc>
        <w:tc>
          <w:tcPr>
            <w:tcW w:w="1126" w:type="pct"/>
            <w:noWrap/>
            <w:vAlign w:val="center"/>
          </w:tcPr>
          <w:p>
            <w:pPr>
              <w:jc w:val="center"/>
              <w:rPr>
                <w:sz w:val="24"/>
                <w:highlight w:val="none"/>
              </w:rPr>
            </w:pPr>
            <w:r>
              <w:rPr>
                <w:rFonts w:hint="eastAsia"/>
                <w:sz w:val="24"/>
                <w:highlight w:val="none"/>
              </w:rPr>
              <w:t>12</w:t>
            </w:r>
            <w:r>
              <w:rPr>
                <w:sz w:val="24"/>
                <w:highlight w:val="none"/>
              </w:rPr>
              <w:t>~15.50</w:t>
            </w:r>
          </w:p>
        </w:tc>
        <w:tc>
          <w:tcPr>
            <w:tcW w:w="843" w:type="pct"/>
            <w:noWrap/>
            <w:vAlign w:val="center"/>
          </w:tcPr>
          <w:p>
            <w:pPr>
              <w:jc w:val="center"/>
              <w:rPr>
                <w:sz w:val="24"/>
                <w:highlight w:val="none"/>
              </w:rPr>
            </w:pPr>
            <w:r>
              <w:rPr>
                <w:rFonts w:hint="eastAsia"/>
                <w:sz w:val="24"/>
                <w:highlight w:val="none"/>
              </w:rPr>
              <w:t>2.2~</w:t>
            </w:r>
            <w:r>
              <w:rPr>
                <w:sz w:val="24"/>
                <w:highlight w:val="none"/>
              </w:rPr>
              <w:t>3.2</w:t>
            </w:r>
          </w:p>
        </w:tc>
        <w:tc>
          <w:tcPr>
            <w:tcW w:w="824" w:type="pct"/>
            <w:noWrap/>
            <w:vAlign w:val="center"/>
          </w:tcPr>
          <w:p>
            <w:pPr>
              <w:jc w:val="center"/>
              <w:rPr>
                <w:sz w:val="24"/>
                <w:highlight w:val="none"/>
              </w:rPr>
            </w:pPr>
            <w:r>
              <w:rPr>
                <w:sz w:val="24"/>
                <w:highlight w:val="none"/>
              </w:rPr>
              <w:t>0.4</w:t>
            </w:r>
          </w:p>
        </w:tc>
        <w:tc>
          <w:tcPr>
            <w:tcW w:w="819" w:type="pct"/>
            <w:vMerge w:val="restart"/>
            <w:noWrap/>
            <w:vAlign w:val="center"/>
          </w:tcPr>
          <w:p>
            <w:pPr>
              <w:jc w:val="center"/>
              <w:rPr>
                <w:sz w:val="24"/>
                <w:highlight w:val="none"/>
                <w:lang w:val="en-GB"/>
              </w:rPr>
            </w:pPr>
            <w:r>
              <w:rPr>
                <w:sz w:val="24"/>
                <w:highlight w:val="none"/>
              </w:rPr>
              <w:t>市中区</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57" w:type="dxa"/>
            <w:left w:w="85" w:type="dxa"/>
            <w:bottom w:w="57" w:type="dxa"/>
            <w:right w:w="85" w:type="dxa"/>
          </w:tblCellMar>
        </w:tblPrEx>
        <w:trPr>
          <w:cantSplit/>
          <w:trHeight w:val="20" w:hRule="atLeast"/>
        </w:trPr>
        <w:tc>
          <w:tcPr>
            <w:tcW w:w="1386" w:type="pct"/>
            <w:noWrap/>
            <w:vAlign w:val="center"/>
          </w:tcPr>
          <w:p>
            <w:pPr>
              <w:jc w:val="center"/>
              <w:rPr>
                <w:sz w:val="24"/>
                <w:highlight w:val="none"/>
              </w:rPr>
            </w:pPr>
            <w:r>
              <w:rPr>
                <w:rFonts w:hint="eastAsia"/>
                <w:sz w:val="24"/>
                <w:highlight w:val="none"/>
              </w:rPr>
              <w:t>60客位</w:t>
            </w:r>
            <w:r>
              <w:rPr>
                <w:sz w:val="24"/>
                <w:highlight w:val="none"/>
              </w:rPr>
              <w:t>客渡船</w:t>
            </w:r>
          </w:p>
        </w:tc>
        <w:tc>
          <w:tcPr>
            <w:tcW w:w="1126" w:type="pct"/>
            <w:noWrap/>
            <w:vAlign w:val="center"/>
          </w:tcPr>
          <w:p>
            <w:pPr>
              <w:jc w:val="center"/>
              <w:rPr>
                <w:sz w:val="24"/>
                <w:highlight w:val="none"/>
              </w:rPr>
            </w:pPr>
            <w:r>
              <w:rPr>
                <w:sz w:val="24"/>
                <w:highlight w:val="none"/>
              </w:rPr>
              <w:t>18.90</w:t>
            </w:r>
          </w:p>
        </w:tc>
        <w:tc>
          <w:tcPr>
            <w:tcW w:w="843" w:type="pct"/>
            <w:noWrap/>
            <w:vAlign w:val="center"/>
          </w:tcPr>
          <w:p>
            <w:pPr>
              <w:jc w:val="center"/>
              <w:rPr>
                <w:sz w:val="24"/>
                <w:highlight w:val="none"/>
              </w:rPr>
            </w:pPr>
            <w:r>
              <w:rPr>
                <w:sz w:val="24"/>
                <w:highlight w:val="none"/>
              </w:rPr>
              <w:t>4.0</w:t>
            </w:r>
          </w:p>
        </w:tc>
        <w:tc>
          <w:tcPr>
            <w:tcW w:w="824" w:type="pct"/>
            <w:noWrap/>
            <w:vAlign w:val="center"/>
          </w:tcPr>
          <w:p>
            <w:pPr>
              <w:jc w:val="center"/>
              <w:rPr>
                <w:sz w:val="24"/>
                <w:highlight w:val="none"/>
              </w:rPr>
            </w:pPr>
            <w:r>
              <w:rPr>
                <w:sz w:val="24"/>
                <w:highlight w:val="none"/>
              </w:rPr>
              <w:t>0.4</w:t>
            </w:r>
          </w:p>
        </w:tc>
        <w:tc>
          <w:tcPr>
            <w:tcW w:w="819" w:type="pct"/>
            <w:vMerge w:val="continue"/>
            <w:noWrap/>
            <w:vAlign w:val="center"/>
          </w:tcPr>
          <w:p>
            <w:pPr>
              <w:jc w:val="center"/>
              <w:rPr>
                <w:sz w:val="24"/>
                <w:highlight w:val="none"/>
                <w:lang w:val="en-GB"/>
              </w:rPr>
            </w:pP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57" w:type="dxa"/>
            <w:left w:w="85" w:type="dxa"/>
            <w:bottom w:w="57" w:type="dxa"/>
            <w:right w:w="85" w:type="dxa"/>
          </w:tblCellMar>
        </w:tblPrEx>
        <w:trPr>
          <w:cantSplit/>
          <w:trHeight w:val="20" w:hRule="atLeast"/>
        </w:trPr>
        <w:tc>
          <w:tcPr>
            <w:tcW w:w="1386" w:type="pct"/>
            <w:noWrap/>
            <w:vAlign w:val="center"/>
          </w:tcPr>
          <w:p>
            <w:pPr>
              <w:jc w:val="center"/>
              <w:rPr>
                <w:sz w:val="24"/>
                <w:highlight w:val="none"/>
                <w:lang w:val="en-GB"/>
              </w:rPr>
            </w:pPr>
            <w:r>
              <w:rPr>
                <w:rFonts w:hint="eastAsia"/>
                <w:sz w:val="24"/>
                <w:highlight w:val="none"/>
              </w:rPr>
              <w:t>26客位</w:t>
            </w:r>
            <w:r>
              <w:rPr>
                <w:sz w:val="24"/>
                <w:highlight w:val="none"/>
              </w:rPr>
              <w:t>旅游客船</w:t>
            </w:r>
          </w:p>
        </w:tc>
        <w:tc>
          <w:tcPr>
            <w:tcW w:w="1126" w:type="pct"/>
            <w:noWrap/>
            <w:vAlign w:val="center"/>
          </w:tcPr>
          <w:p>
            <w:pPr>
              <w:jc w:val="center"/>
              <w:rPr>
                <w:sz w:val="24"/>
                <w:highlight w:val="none"/>
              </w:rPr>
            </w:pPr>
            <w:r>
              <w:rPr>
                <w:sz w:val="24"/>
                <w:highlight w:val="none"/>
              </w:rPr>
              <w:t>19.00</w:t>
            </w:r>
          </w:p>
        </w:tc>
        <w:tc>
          <w:tcPr>
            <w:tcW w:w="843" w:type="pct"/>
            <w:noWrap/>
            <w:vAlign w:val="center"/>
          </w:tcPr>
          <w:p>
            <w:pPr>
              <w:jc w:val="center"/>
              <w:rPr>
                <w:sz w:val="24"/>
                <w:highlight w:val="none"/>
              </w:rPr>
            </w:pPr>
            <w:r>
              <w:rPr>
                <w:sz w:val="24"/>
                <w:highlight w:val="none"/>
              </w:rPr>
              <w:t xml:space="preserve">4.68 </w:t>
            </w:r>
          </w:p>
        </w:tc>
        <w:tc>
          <w:tcPr>
            <w:tcW w:w="824" w:type="pct"/>
            <w:noWrap/>
            <w:vAlign w:val="center"/>
          </w:tcPr>
          <w:p>
            <w:pPr>
              <w:jc w:val="center"/>
              <w:rPr>
                <w:sz w:val="24"/>
                <w:highlight w:val="none"/>
              </w:rPr>
            </w:pPr>
            <w:r>
              <w:rPr>
                <w:sz w:val="24"/>
                <w:highlight w:val="none"/>
              </w:rPr>
              <w:t xml:space="preserve">0.82 </w:t>
            </w:r>
          </w:p>
        </w:tc>
        <w:tc>
          <w:tcPr>
            <w:tcW w:w="819" w:type="pct"/>
            <w:vMerge w:val="restart"/>
            <w:noWrap/>
            <w:vAlign w:val="center"/>
          </w:tcPr>
          <w:p>
            <w:pPr>
              <w:jc w:val="center"/>
              <w:rPr>
                <w:sz w:val="24"/>
                <w:highlight w:val="none"/>
                <w:lang w:val="en-GB"/>
              </w:rPr>
            </w:pPr>
            <w:r>
              <w:rPr>
                <w:sz w:val="24"/>
                <w:highlight w:val="none"/>
              </w:rPr>
              <w:t>大佛景区</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57" w:type="dxa"/>
            <w:left w:w="85" w:type="dxa"/>
            <w:bottom w:w="57" w:type="dxa"/>
            <w:right w:w="85" w:type="dxa"/>
          </w:tblCellMar>
        </w:tblPrEx>
        <w:trPr>
          <w:cantSplit/>
          <w:trHeight w:val="20" w:hRule="atLeast"/>
        </w:trPr>
        <w:tc>
          <w:tcPr>
            <w:tcW w:w="1386" w:type="pct"/>
            <w:noWrap/>
            <w:vAlign w:val="center"/>
          </w:tcPr>
          <w:p>
            <w:pPr>
              <w:jc w:val="center"/>
              <w:rPr>
                <w:sz w:val="24"/>
                <w:highlight w:val="none"/>
              </w:rPr>
            </w:pPr>
            <w:r>
              <w:rPr>
                <w:rFonts w:hint="eastAsia"/>
                <w:sz w:val="24"/>
                <w:highlight w:val="none"/>
              </w:rPr>
              <w:t>45客位</w:t>
            </w:r>
            <w:r>
              <w:rPr>
                <w:sz w:val="24"/>
                <w:highlight w:val="none"/>
              </w:rPr>
              <w:t>旅游客船</w:t>
            </w:r>
          </w:p>
        </w:tc>
        <w:tc>
          <w:tcPr>
            <w:tcW w:w="1126" w:type="pct"/>
            <w:noWrap/>
            <w:vAlign w:val="center"/>
          </w:tcPr>
          <w:p>
            <w:pPr>
              <w:jc w:val="center"/>
              <w:rPr>
                <w:sz w:val="24"/>
                <w:highlight w:val="none"/>
                <w:lang w:val="en-GB"/>
              </w:rPr>
            </w:pPr>
            <w:r>
              <w:rPr>
                <w:sz w:val="24"/>
                <w:highlight w:val="none"/>
              </w:rPr>
              <w:t xml:space="preserve">26.00 </w:t>
            </w:r>
          </w:p>
        </w:tc>
        <w:tc>
          <w:tcPr>
            <w:tcW w:w="843" w:type="pct"/>
            <w:noWrap/>
            <w:vAlign w:val="center"/>
          </w:tcPr>
          <w:p>
            <w:pPr>
              <w:jc w:val="center"/>
              <w:rPr>
                <w:sz w:val="24"/>
                <w:highlight w:val="none"/>
                <w:lang w:val="en-GB"/>
              </w:rPr>
            </w:pPr>
            <w:r>
              <w:rPr>
                <w:sz w:val="24"/>
                <w:highlight w:val="none"/>
              </w:rPr>
              <w:t xml:space="preserve">5.00 </w:t>
            </w:r>
          </w:p>
        </w:tc>
        <w:tc>
          <w:tcPr>
            <w:tcW w:w="824" w:type="pct"/>
            <w:noWrap/>
            <w:vAlign w:val="center"/>
          </w:tcPr>
          <w:p>
            <w:pPr>
              <w:jc w:val="center"/>
              <w:rPr>
                <w:sz w:val="24"/>
                <w:highlight w:val="none"/>
                <w:lang w:val="en-GB"/>
              </w:rPr>
            </w:pPr>
            <w:r>
              <w:rPr>
                <w:sz w:val="24"/>
                <w:highlight w:val="none"/>
              </w:rPr>
              <w:t xml:space="preserve">0.80 </w:t>
            </w:r>
          </w:p>
        </w:tc>
        <w:tc>
          <w:tcPr>
            <w:tcW w:w="819" w:type="pct"/>
            <w:vMerge w:val="continue"/>
            <w:noWrap/>
            <w:vAlign w:val="center"/>
          </w:tcPr>
          <w:p>
            <w:pPr>
              <w:jc w:val="center"/>
              <w:rPr>
                <w:sz w:val="24"/>
                <w:highlight w:val="none"/>
                <w:lang w:val="en-GB"/>
              </w:rPr>
            </w:pP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57" w:type="dxa"/>
            <w:left w:w="85" w:type="dxa"/>
            <w:bottom w:w="57" w:type="dxa"/>
            <w:right w:w="85" w:type="dxa"/>
          </w:tblCellMar>
        </w:tblPrEx>
        <w:trPr>
          <w:cantSplit/>
          <w:trHeight w:val="20" w:hRule="atLeast"/>
        </w:trPr>
        <w:tc>
          <w:tcPr>
            <w:tcW w:w="1386" w:type="pct"/>
            <w:noWrap/>
            <w:vAlign w:val="center"/>
          </w:tcPr>
          <w:p>
            <w:pPr>
              <w:jc w:val="center"/>
              <w:rPr>
                <w:sz w:val="24"/>
                <w:highlight w:val="none"/>
                <w:lang w:val="en-GB"/>
              </w:rPr>
            </w:pPr>
            <w:r>
              <w:rPr>
                <w:rFonts w:hint="eastAsia"/>
                <w:sz w:val="24"/>
                <w:highlight w:val="none"/>
              </w:rPr>
              <w:t>50-60客位</w:t>
            </w:r>
            <w:r>
              <w:rPr>
                <w:sz w:val="24"/>
                <w:highlight w:val="none"/>
              </w:rPr>
              <w:t>客渡船</w:t>
            </w:r>
          </w:p>
        </w:tc>
        <w:tc>
          <w:tcPr>
            <w:tcW w:w="1126" w:type="pct"/>
            <w:noWrap/>
            <w:vAlign w:val="center"/>
          </w:tcPr>
          <w:p>
            <w:pPr>
              <w:jc w:val="center"/>
              <w:rPr>
                <w:sz w:val="24"/>
                <w:highlight w:val="none"/>
              </w:rPr>
            </w:pPr>
            <w:r>
              <w:rPr>
                <w:sz w:val="24"/>
                <w:highlight w:val="none"/>
              </w:rPr>
              <w:t>14.8~18.9</w:t>
            </w:r>
          </w:p>
        </w:tc>
        <w:tc>
          <w:tcPr>
            <w:tcW w:w="843" w:type="pct"/>
            <w:noWrap/>
            <w:vAlign w:val="center"/>
          </w:tcPr>
          <w:p>
            <w:pPr>
              <w:jc w:val="center"/>
              <w:rPr>
                <w:sz w:val="24"/>
                <w:highlight w:val="none"/>
              </w:rPr>
            </w:pPr>
            <w:r>
              <w:rPr>
                <w:sz w:val="24"/>
                <w:highlight w:val="none"/>
              </w:rPr>
              <w:t>3.40~4.00</w:t>
            </w:r>
          </w:p>
        </w:tc>
        <w:tc>
          <w:tcPr>
            <w:tcW w:w="824" w:type="pct"/>
            <w:noWrap/>
            <w:vAlign w:val="center"/>
          </w:tcPr>
          <w:p>
            <w:pPr>
              <w:jc w:val="center"/>
              <w:rPr>
                <w:sz w:val="24"/>
                <w:highlight w:val="none"/>
                <w:lang w:val="en-GB"/>
              </w:rPr>
            </w:pPr>
            <w:r>
              <w:rPr>
                <w:sz w:val="24"/>
                <w:highlight w:val="none"/>
              </w:rPr>
              <w:t xml:space="preserve">0.55 </w:t>
            </w:r>
          </w:p>
        </w:tc>
        <w:tc>
          <w:tcPr>
            <w:tcW w:w="819" w:type="pct"/>
            <w:vMerge w:val="continue"/>
            <w:noWrap/>
            <w:vAlign w:val="center"/>
          </w:tcPr>
          <w:p>
            <w:pPr>
              <w:jc w:val="center"/>
              <w:rPr>
                <w:sz w:val="24"/>
                <w:highlight w:val="none"/>
                <w:lang w:val="en-GB"/>
              </w:rPr>
            </w:pP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57" w:type="dxa"/>
            <w:left w:w="85" w:type="dxa"/>
            <w:bottom w:w="57" w:type="dxa"/>
            <w:right w:w="85" w:type="dxa"/>
          </w:tblCellMar>
        </w:tblPrEx>
        <w:trPr>
          <w:cantSplit/>
          <w:trHeight w:val="20" w:hRule="atLeast"/>
        </w:trPr>
        <w:tc>
          <w:tcPr>
            <w:tcW w:w="1386" w:type="pct"/>
            <w:noWrap/>
            <w:vAlign w:val="center"/>
          </w:tcPr>
          <w:p>
            <w:pPr>
              <w:jc w:val="center"/>
              <w:rPr>
                <w:sz w:val="24"/>
                <w:highlight w:val="none"/>
                <w:lang w:val="en-GB"/>
              </w:rPr>
            </w:pPr>
            <w:r>
              <w:rPr>
                <w:rFonts w:hint="eastAsia"/>
                <w:sz w:val="24"/>
                <w:highlight w:val="none"/>
              </w:rPr>
              <w:t>60客位</w:t>
            </w:r>
            <w:r>
              <w:rPr>
                <w:sz w:val="24"/>
                <w:highlight w:val="none"/>
              </w:rPr>
              <w:t>旅游客船</w:t>
            </w:r>
          </w:p>
        </w:tc>
        <w:tc>
          <w:tcPr>
            <w:tcW w:w="1126" w:type="pct"/>
            <w:noWrap/>
            <w:vAlign w:val="center"/>
          </w:tcPr>
          <w:p>
            <w:pPr>
              <w:jc w:val="center"/>
              <w:rPr>
                <w:sz w:val="24"/>
                <w:highlight w:val="none"/>
                <w:lang w:val="en-GB"/>
              </w:rPr>
            </w:pPr>
            <w:r>
              <w:rPr>
                <w:sz w:val="24"/>
                <w:highlight w:val="none"/>
              </w:rPr>
              <w:t xml:space="preserve">33.00 </w:t>
            </w:r>
          </w:p>
        </w:tc>
        <w:tc>
          <w:tcPr>
            <w:tcW w:w="843" w:type="pct"/>
            <w:noWrap/>
            <w:vAlign w:val="center"/>
          </w:tcPr>
          <w:p>
            <w:pPr>
              <w:jc w:val="center"/>
              <w:rPr>
                <w:sz w:val="24"/>
                <w:highlight w:val="none"/>
                <w:lang w:val="en-GB"/>
              </w:rPr>
            </w:pPr>
            <w:r>
              <w:rPr>
                <w:sz w:val="24"/>
                <w:highlight w:val="none"/>
              </w:rPr>
              <w:t xml:space="preserve">8.00 </w:t>
            </w:r>
          </w:p>
        </w:tc>
        <w:tc>
          <w:tcPr>
            <w:tcW w:w="824" w:type="pct"/>
            <w:noWrap/>
            <w:vAlign w:val="center"/>
          </w:tcPr>
          <w:p>
            <w:pPr>
              <w:jc w:val="center"/>
              <w:rPr>
                <w:sz w:val="24"/>
                <w:highlight w:val="none"/>
                <w:lang w:val="en-GB"/>
              </w:rPr>
            </w:pPr>
            <w:r>
              <w:rPr>
                <w:sz w:val="24"/>
                <w:highlight w:val="none"/>
              </w:rPr>
              <w:t xml:space="preserve">0.90 </w:t>
            </w:r>
          </w:p>
        </w:tc>
        <w:tc>
          <w:tcPr>
            <w:tcW w:w="819" w:type="pct"/>
            <w:vMerge w:val="continue"/>
            <w:noWrap/>
            <w:vAlign w:val="center"/>
          </w:tcPr>
          <w:p>
            <w:pPr>
              <w:jc w:val="center"/>
              <w:rPr>
                <w:sz w:val="24"/>
                <w:highlight w:val="none"/>
                <w:lang w:val="en-GB"/>
              </w:rPr>
            </w:pP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57" w:type="dxa"/>
            <w:left w:w="85" w:type="dxa"/>
            <w:bottom w:w="57" w:type="dxa"/>
            <w:right w:w="85" w:type="dxa"/>
          </w:tblCellMar>
        </w:tblPrEx>
        <w:trPr>
          <w:cantSplit/>
          <w:trHeight w:val="20" w:hRule="atLeast"/>
        </w:trPr>
        <w:tc>
          <w:tcPr>
            <w:tcW w:w="1386" w:type="pct"/>
            <w:noWrap/>
            <w:vAlign w:val="center"/>
          </w:tcPr>
          <w:p>
            <w:pPr>
              <w:jc w:val="center"/>
              <w:rPr>
                <w:sz w:val="24"/>
                <w:highlight w:val="none"/>
              </w:rPr>
            </w:pPr>
            <w:r>
              <w:rPr>
                <w:rFonts w:hint="eastAsia"/>
                <w:sz w:val="24"/>
                <w:highlight w:val="none"/>
              </w:rPr>
              <w:t>70客位</w:t>
            </w:r>
            <w:r>
              <w:rPr>
                <w:sz w:val="24"/>
                <w:highlight w:val="none"/>
              </w:rPr>
              <w:t>旅游客船</w:t>
            </w:r>
          </w:p>
        </w:tc>
        <w:tc>
          <w:tcPr>
            <w:tcW w:w="1126" w:type="pct"/>
            <w:noWrap/>
            <w:vAlign w:val="center"/>
          </w:tcPr>
          <w:p>
            <w:pPr>
              <w:jc w:val="center"/>
              <w:rPr>
                <w:sz w:val="24"/>
                <w:highlight w:val="none"/>
                <w:lang w:val="en-GB"/>
              </w:rPr>
            </w:pPr>
            <w:r>
              <w:rPr>
                <w:sz w:val="24"/>
                <w:highlight w:val="none"/>
              </w:rPr>
              <w:t>20.6~21.25</w:t>
            </w:r>
          </w:p>
        </w:tc>
        <w:tc>
          <w:tcPr>
            <w:tcW w:w="843" w:type="pct"/>
            <w:noWrap/>
            <w:vAlign w:val="center"/>
          </w:tcPr>
          <w:p>
            <w:pPr>
              <w:jc w:val="center"/>
              <w:rPr>
                <w:sz w:val="24"/>
                <w:highlight w:val="none"/>
                <w:lang w:val="en-GB"/>
              </w:rPr>
            </w:pPr>
            <w:r>
              <w:rPr>
                <w:sz w:val="24"/>
                <w:highlight w:val="none"/>
              </w:rPr>
              <w:t xml:space="preserve">4.0~4.20 </w:t>
            </w:r>
          </w:p>
        </w:tc>
        <w:tc>
          <w:tcPr>
            <w:tcW w:w="824" w:type="pct"/>
            <w:noWrap/>
            <w:vAlign w:val="center"/>
          </w:tcPr>
          <w:p>
            <w:pPr>
              <w:jc w:val="center"/>
              <w:rPr>
                <w:sz w:val="24"/>
                <w:highlight w:val="none"/>
                <w:lang w:val="en-GB"/>
              </w:rPr>
            </w:pPr>
            <w:r>
              <w:rPr>
                <w:sz w:val="24"/>
                <w:highlight w:val="none"/>
              </w:rPr>
              <w:t>0.65~0.7</w:t>
            </w:r>
          </w:p>
        </w:tc>
        <w:tc>
          <w:tcPr>
            <w:tcW w:w="819" w:type="pct"/>
            <w:vMerge w:val="continue"/>
            <w:noWrap/>
            <w:vAlign w:val="center"/>
          </w:tcPr>
          <w:p>
            <w:pPr>
              <w:jc w:val="center"/>
              <w:rPr>
                <w:sz w:val="24"/>
                <w:highlight w:val="none"/>
              </w:rPr>
            </w:pP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57" w:type="dxa"/>
            <w:left w:w="85" w:type="dxa"/>
            <w:bottom w:w="57" w:type="dxa"/>
            <w:right w:w="85" w:type="dxa"/>
          </w:tblCellMar>
        </w:tblPrEx>
        <w:trPr>
          <w:cantSplit/>
          <w:trHeight w:val="20" w:hRule="atLeast"/>
        </w:trPr>
        <w:tc>
          <w:tcPr>
            <w:tcW w:w="1386" w:type="pct"/>
            <w:noWrap/>
            <w:vAlign w:val="center"/>
          </w:tcPr>
          <w:p>
            <w:pPr>
              <w:jc w:val="center"/>
              <w:rPr>
                <w:sz w:val="24"/>
                <w:highlight w:val="none"/>
                <w:lang w:val="en-GB"/>
              </w:rPr>
            </w:pPr>
            <w:r>
              <w:rPr>
                <w:rFonts w:hint="eastAsia"/>
                <w:sz w:val="24"/>
                <w:highlight w:val="none"/>
              </w:rPr>
              <w:t>80-100客位</w:t>
            </w:r>
            <w:r>
              <w:rPr>
                <w:sz w:val="24"/>
                <w:highlight w:val="none"/>
              </w:rPr>
              <w:t>旅游客船</w:t>
            </w:r>
          </w:p>
        </w:tc>
        <w:tc>
          <w:tcPr>
            <w:tcW w:w="1126" w:type="pct"/>
            <w:noWrap/>
            <w:vAlign w:val="center"/>
          </w:tcPr>
          <w:p>
            <w:pPr>
              <w:jc w:val="center"/>
              <w:rPr>
                <w:sz w:val="24"/>
                <w:highlight w:val="none"/>
                <w:lang w:val="en-GB"/>
              </w:rPr>
            </w:pPr>
            <w:r>
              <w:rPr>
                <w:sz w:val="24"/>
                <w:highlight w:val="none"/>
              </w:rPr>
              <w:t>24.24~33.0</w:t>
            </w:r>
          </w:p>
        </w:tc>
        <w:tc>
          <w:tcPr>
            <w:tcW w:w="843" w:type="pct"/>
            <w:noWrap/>
            <w:vAlign w:val="center"/>
          </w:tcPr>
          <w:p>
            <w:pPr>
              <w:jc w:val="center"/>
              <w:rPr>
                <w:sz w:val="24"/>
                <w:highlight w:val="none"/>
                <w:lang w:val="en-GB"/>
              </w:rPr>
            </w:pPr>
            <w:r>
              <w:rPr>
                <w:sz w:val="24"/>
                <w:highlight w:val="none"/>
              </w:rPr>
              <w:t>4.8~6.8</w:t>
            </w:r>
          </w:p>
        </w:tc>
        <w:tc>
          <w:tcPr>
            <w:tcW w:w="824" w:type="pct"/>
            <w:noWrap/>
            <w:vAlign w:val="center"/>
          </w:tcPr>
          <w:p>
            <w:pPr>
              <w:jc w:val="center"/>
              <w:rPr>
                <w:sz w:val="24"/>
                <w:highlight w:val="none"/>
                <w:lang w:val="en-GB"/>
              </w:rPr>
            </w:pPr>
            <w:r>
              <w:rPr>
                <w:sz w:val="24"/>
                <w:highlight w:val="none"/>
              </w:rPr>
              <w:t>0.7~0.8</w:t>
            </w:r>
          </w:p>
        </w:tc>
        <w:tc>
          <w:tcPr>
            <w:tcW w:w="819" w:type="pct"/>
            <w:vMerge w:val="continue"/>
            <w:noWrap/>
            <w:vAlign w:val="center"/>
          </w:tcPr>
          <w:p>
            <w:pPr>
              <w:jc w:val="center"/>
              <w:rPr>
                <w:sz w:val="24"/>
                <w:highlight w:val="none"/>
                <w:lang w:val="en-GB"/>
              </w:rPr>
            </w:pP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57" w:type="dxa"/>
            <w:left w:w="85" w:type="dxa"/>
            <w:bottom w:w="57" w:type="dxa"/>
            <w:right w:w="85" w:type="dxa"/>
          </w:tblCellMar>
        </w:tblPrEx>
        <w:trPr>
          <w:cantSplit/>
          <w:trHeight w:val="20" w:hRule="atLeast"/>
        </w:trPr>
        <w:tc>
          <w:tcPr>
            <w:tcW w:w="1386" w:type="pct"/>
            <w:noWrap/>
            <w:vAlign w:val="center"/>
          </w:tcPr>
          <w:p>
            <w:pPr>
              <w:jc w:val="center"/>
              <w:rPr>
                <w:sz w:val="24"/>
                <w:highlight w:val="none"/>
              </w:rPr>
            </w:pPr>
            <w:r>
              <w:rPr>
                <w:rFonts w:hint="eastAsia"/>
                <w:sz w:val="24"/>
                <w:highlight w:val="none"/>
              </w:rPr>
              <w:t>20-40客位</w:t>
            </w:r>
            <w:r>
              <w:rPr>
                <w:sz w:val="24"/>
                <w:highlight w:val="none"/>
              </w:rPr>
              <w:t>客渡船</w:t>
            </w:r>
          </w:p>
        </w:tc>
        <w:tc>
          <w:tcPr>
            <w:tcW w:w="1126" w:type="pct"/>
            <w:noWrap/>
            <w:vAlign w:val="center"/>
          </w:tcPr>
          <w:p>
            <w:pPr>
              <w:jc w:val="center"/>
              <w:rPr>
                <w:sz w:val="24"/>
                <w:highlight w:val="none"/>
              </w:rPr>
            </w:pPr>
            <w:r>
              <w:rPr>
                <w:sz w:val="24"/>
                <w:highlight w:val="none"/>
              </w:rPr>
              <w:t>13.00~14.9</w:t>
            </w:r>
          </w:p>
        </w:tc>
        <w:tc>
          <w:tcPr>
            <w:tcW w:w="843" w:type="pct"/>
            <w:noWrap/>
            <w:vAlign w:val="center"/>
          </w:tcPr>
          <w:p>
            <w:pPr>
              <w:jc w:val="center"/>
              <w:rPr>
                <w:sz w:val="24"/>
                <w:highlight w:val="none"/>
              </w:rPr>
            </w:pPr>
            <w:r>
              <w:rPr>
                <w:sz w:val="24"/>
                <w:highlight w:val="none"/>
              </w:rPr>
              <w:t>2.6~3.2</w:t>
            </w:r>
          </w:p>
        </w:tc>
        <w:tc>
          <w:tcPr>
            <w:tcW w:w="824" w:type="pct"/>
            <w:noWrap/>
            <w:vAlign w:val="center"/>
          </w:tcPr>
          <w:p>
            <w:pPr>
              <w:jc w:val="center"/>
              <w:rPr>
                <w:sz w:val="24"/>
                <w:highlight w:val="none"/>
              </w:rPr>
            </w:pPr>
            <w:r>
              <w:rPr>
                <w:sz w:val="24"/>
                <w:highlight w:val="none"/>
              </w:rPr>
              <w:t>0.40~0.5</w:t>
            </w:r>
          </w:p>
        </w:tc>
        <w:tc>
          <w:tcPr>
            <w:tcW w:w="819" w:type="pct"/>
            <w:noWrap/>
            <w:vAlign w:val="bottom"/>
          </w:tcPr>
          <w:p>
            <w:pPr>
              <w:jc w:val="center"/>
              <w:rPr>
                <w:sz w:val="24"/>
                <w:highlight w:val="none"/>
                <w:lang w:val="en-GB"/>
              </w:rPr>
            </w:pPr>
            <w:r>
              <w:rPr>
                <w:sz w:val="24"/>
                <w:highlight w:val="none"/>
              </w:rPr>
              <w:t>五通桥区</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57" w:type="dxa"/>
            <w:left w:w="85" w:type="dxa"/>
            <w:bottom w:w="57" w:type="dxa"/>
            <w:right w:w="85" w:type="dxa"/>
          </w:tblCellMar>
        </w:tblPrEx>
        <w:trPr>
          <w:cantSplit/>
          <w:trHeight w:val="20" w:hRule="atLeast"/>
        </w:trPr>
        <w:tc>
          <w:tcPr>
            <w:tcW w:w="1386" w:type="pct"/>
            <w:noWrap/>
            <w:vAlign w:val="center"/>
          </w:tcPr>
          <w:p>
            <w:pPr>
              <w:tabs>
                <w:tab w:val="left" w:pos="634"/>
              </w:tabs>
              <w:jc w:val="center"/>
              <w:rPr>
                <w:sz w:val="24"/>
                <w:highlight w:val="none"/>
              </w:rPr>
            </w:pPr>
            <w:r>
              <w:rPr>
                <w:rFonts w:hint="eastAsia"/>
                <w:sz w:val="24"/>
                <w:highlight w:val="none"/>
              </w:rPr>
              <w:t>18-30客位</w:t>
            </w:r>
            <w:r>
              <w:rPr>
                <w:sz w:val="24"/>
                <w:highlight w:val="none"/>
              </w:rPr>
              <w:t>客渡船</w:t>
            </w:r>
          </w:p>
        </w:tc>
        <w:tc>
          <w:tcPr>
            <w:tcW w:w="1126" w:type="pct"/>
            <w:noWrap/>
            <w:vAlign w:val="center"/>
          </w:tcPr>
          <w:p>
            <w:pPr>
              <w:jc w:val="center"/>
              <w:rPr>
                <w:sz w:val="24"/>
                <w:highlight w:val="none"/>
              </w:rPr>
            </w:pPr>
            <w:r>
              <w:rPr>
                <w:sz w:val="24"/>
                <w:highlight w:val="none"/>
              </w:rPr>
              <w:t>9.2~15.32</w:t>
            </w:r>
          </w:p>
        </w:tc>
        <w:tc>
          <w:tcPr>
            <w:tcW w:w="843" w:type="pct"/>
            <w:noWrap/>
            <w:vAlign w:val="center"/>
          </w:tcPr>
          <w:p>
            <w:pPr>
              <w:jc w:val="center"/>
              <w:rPr>
                <w:sz w:val="24"/>
                <w:highlight w:val="none"/>
              </w:rPr>
            </w:pPr>
            <w:r>
              <w:rPr>
                <w:sz w:val="24"/>
                <w:highlight w:val="none"/>
              </w:rPr>
              <w:t>2.1~4.5</w:t>
            </w:r>
          </w:p>
        </w:tc>
        <w:tc>
          <w:tcPr>
            <w:tcW w:w="824" w:type="pct"/>
            <w:noWrap/>
            <w:vAlign w:val="center"/>
          </w:tcPr>
          <w:p>
            <w:pPr>
              <w:jc w:val="center"/>
              <w:rPr>
                <w:sz w:val="24"/>
                <w:highlight w:val="none"/>
              </w:rPr>
            </w:pPr>
            <w:r>
              <w:rPr>
                <w:sz w:val="24"/>
                <w:highlight w:val="none"/>
              </w:rPr>
              <w:t>0.38~0.75</w:t>
            </w:r>
          </w:p>
        </w:tc>
        <w:tc>
          <w:tcPr>
            <w:tcW w:w="819" w:type="pct"/>
            <w:vMerge w:val="restart"/>
            <w:noWrap/>
            <w:vAlign w:val="center"/>
          </w:tcPr>
          <w:p>
            <w:pPr>
              <w:tabs>
                <w:tab w:val="left" w:pos="634"/>
              </w:tabs>
              <w:jc w:val="center"/>
              <w:rPr>
                <w:sz w:val="24"/>
                <w:highlight w:val="none"/>
              </w:rPr>
            </w:pPr>
            <w:r>
              <w:rPr>
                <w:sz w:val="24"/>
                <w:highlight w:val="none"/>
              </w:rPr>
              <w:t>犍为县</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57" w:type="dxa"/>
            <w:left w:w="85" w:type="dxa"/>
            <w:bottom w:w="57" w:type="dxa"/>
            <w:right w:w="85" w:type="dxa"/>
          </w:tblCellMar>
        </w:tblPrEx>
        <w:trPr>
          <w:cantSplit/>
          <w:trHeight w:val="20" w:hRule="atLeast"/>
        </w:trPr>
        <w:tc>
          <w:tcPr>
            <w:tcW w:w="1386" w:type="pct"/>
            <w:noWrap/>
            <w:vAlign w:val="center"/>
          </w:tcPr>
          <w:p>
            <w:pPr>
              <w:tabs>
                <w:tab w:val="left" w:pos="634"/>
              </w:tabs>
              <w:jc w:val="center"/>
              <w:rPr>
                <w:sz w:val="24"/>
                <w:highlight w:val="none"/>
              </w:rPr>
            </w:pPr>
            <w:r>
              <w:rPr>
                <w:rFonts w:hint="eastAsia"/>
                <w:sz w:val="24"/>
                <w:highlight w:val="none"/>
              </w:rPr>
              <w:t>60-70客位</w:t>
            </w:r>
            <w:r>
              <w:rPr>
                <w:sz w:val="24"/>
                <w:highlight w:val="none"/>
              </w:rPr>
              <w:t>客渡船</w:t>
            </w:r>
          </w:p>
        </w:tc>
        <w:tc>
          <w:tcPr>
            <w:tcW w:w="1126" w:type="pct"/>
            <w:noWrap/>
            <w:vAlign w:val="center"/>
          </w:tcPr>
          <w:p>
            <w:pPr>
              <w:tabs>
                <w:tab w:val="left" w:pos="634"/>
              </w:tabs>
              <w:jc w:val="center"/>
              <w:rPr>
                <w:sz w:val="24"/>
                <w:highlight w:val="none"/>
                <w:lang w:val="en-GB"/>
              </w:rPr>
            </w:pPr>
            <w:r>
              <w:rPr>
                <w:sz w:val="24"/>
                <w:highlight w:val="none"/>
              </w:rPr>
              <w:t>15.4~22.16</w:t>
            </w:r>
          </w:p>
        </w:tc>
        <w:tc>
          <w:tcPr>
            <w:tcW w:w="843" w:type="pct"/>
            <w:noWrap/>
            <w:vAlign w:val="center"/>
          </w:tcPr>
          <w:p>
            <w:pPr>
              <w:tabs>
                <w:tab w:val="left" w:pos="634"/>
              </w:tabs>
              <w:jc w:val="center"/>
              <w:rPr>
                <w:sz w:val="24"/>
                <w:highlight w:val="none"/>
                <w:lang w:val="en-GB"/>
              </w:rPr>
            </w:pPr>
            <w:r>
              <w:rPr>
                <w:sz w:val="24"/>
                <w:highlight w:val="none"/>
              </w:rPr>
              <w:t>3.2~3.8</w:t>
            </w:r>
          </w:p>
        </w:tc>
        <w:tc>
          <w:tcPr>
            <w:tcW w:w="824" w:type="pct"/>
            <w:noWrap/>
            <w:vAlign w:val="center"/>
          </w:tcPr>
          <w:p>
            <w:pPr>
              <w:tabs>
                <w:tab w:val="left" w:pos="634"/>
              </w:tabs>
              <w:jc w:val="center"/>
              <w:rPr>
                <w:sz w:val="24"/>
                <w:highlight w:val="none"/>
              </w:rPr>
            </w:pPr>
            <w:r>
              <w:rPr>
                <w:sz w:val="24"/>
                <w:highlight w:val="none"/>
              </w:rPr>
              <w:t>0.5~0.6</w:t>
            </w:r>
          </w:p>
        </w:tc>
        <w:tc>
          <w:tcPr>
            <w:tcW w:w="819" w:type="pct"/>
            <w:vMerge w:val="continue"/>
            <w:noWrap/>
            <w:vAlign w:val="center"/>
          </w:tcPr>
          <w:p>
            <w:pPr>
              <w:tabs>
                <w:tab w:val="left" w:pos="634"/>
              </w:tabs>
              <w:jc w:val="center"/>
              <w:rPr>
                <w:sz w:val="24"/>
                <w:highlight w:val="none"/>
              </w:rPr>
            </w:pP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57" w:type="dxa"/>
            <w:left w:w="85" w:type="dxa"/>
            <w:bottom w:w="57" w:type="dxa"/>
            <w:right w:w="85" w:type="dxa"/>
          </w:tblCellMar>
        </w:tblPrEx>
        <w:trPr>
          <w:cantSplit/>
          <w:trHeight w:val="20" w:hRule="atLeast"/>
        </w:trPr>
        <w:tc>
          <w:tcPr>
            <w:tcW w:w="1386" w:type="pct"/>
            <w:noWrap/>
            <w:vAlign w:val="center"/>
          </w:tcPr>
          <w:p>
            <w:pPr>
              <w:tabs>
                <w:tab w:val="left" w:pos="634"/>
              </w:tabs>
              <w:jc w:val="center"/>
              <w:rPr>
                <w:sz w:val="24"/>
                <w:highlight w:val="none"/>
                <w:lang w:val="en-GB"/>
              </w:rPr>
            </w:pPr>
            <w:r>
              <w:rPr>
                <w:rFonts w:hint="eastAsia"/>
                <w:sz w:val="24"/>
                <w:highlight w:val="none"/>
              </w:rPr>
              <w:t>250客位</w:t>
            </w:r>
            <w:r>
              <w:rPr>
                <w:sz w:val="24"/>
                <w:highlight w:val="none"/>
              </w:rPr>
              <w:t>客渡船</w:t>
            </w:r>
          </w:p>
        </w:tc>
        <w:tc>
          <w:tcPr>
            <w:tcW w:w="1126" w:type="pct"/>
            <w:noWrap/>
            <w:vAlign w:val="center"/>
          </w:tcPr>
          <w:p>
            <w:pPr>
              <w:tabs>
                <w:tab w:val="left" w:pos="634"/>
              </w:tabs>
              <w:jc w:val="center"/>
              <w:rPr>
                <w:sz w:val="24"/>
                <w:highlight w:val="none"/>
                <w:lang w:val="en-GB"/>
              </w:rPr>
            </w:pPr>
            <w:r>
              <w:rPr>
                <w:sz w:val="24"/>
                <w:highlight w:val="none"/>
              </w:rPr>
              <w:t>26.82</w:t>
            </w:r>
          </w:p>
        </w:tc>
        <w:tc>
          <w:tcPr>
            <w:tcW w:w="843" w:type="pct"/>
            <w:noWrap/>
            <w:vAlign w:val="center"/>
          </w:tcPr>
          <w:p>
            <w:pPr>
              <w:tabs>
                <w:tab w:val="left" w:pos="634"/>
              </w:tabs>
              <w:jc w:val="center"/>
              <w:rPr>
                <w:sz w:val="24"/>
                <w:highlight w:val="none"/>
                <w:lang w:val="en-GB"/>
              </w:rPr>
            </w:pPr>
            <w:r>
              <w:rPr>
                <w:sz w:val="24"/>
                <w:highlight w:val="none"/>
              </w:rPr>
              <w:t>5.00</w:t>
            </w:r>
          </w:p>
        </w:tc>
        <w:tc>
          <w:tcPr>
            <w:tcW w:w="824" w:type="pct"/>
            <w:noWrap/>
            <w:vAlign w:val="center"/>
          </w:tcPr>
          <w:p>
            <w:pPr>
              <w:tabs>
                <w:tab w:val="left" w:pos="634"/>
              </w:tabs>
              <w:jc w:val="center"/>
              <w:rPr>
                <w:sz w:val="24"/>
                <w:highlight w:val="none"/>
                <w:lang w:val="en-GB"/>
              </w:rPr>
            </w:pPr>
            <w:r>
              <w:rPr>
                <w:sz w:val="24"/>
                <w:highlight w:val="none"/>
              </w:rPr>
              <w:t>0.80</w:t>
            </w:r>
          </w:p>
        </w:tc>
        <w:tc>
          <w:tcPr>
            <w:tcW w:w="819" w:type="pct"/>
            <w:vMerge w:val="continue"/>
            <w:noWrap/>
            <w:vAlign w:val="center"/>
          </w:tcPr>
          <w:p>
            <w:pPr>
              <w:jc w:val="center"/>
              <w:rPr>
                <w:sz w:val="24"/>
                <w:highlight w:val="none"/>
              </w:rPr>
            </w:pP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57" w:type="dxa"/>
            <w:left w:w="85" w:type="dxa"/>
            <w:bottom w:w="57" w:type="dxa"/>
            <w:right w:w="85" w:type="dxa"/>
          </w:tblCellMar>
        </w:tblPrEx>
        <w:trPr>
          <w:cantSplit/>
          <w:trHeight w:val="20" w:hRule="atLeast"/>
        </w:trPr>
        <w:tc>
          <w:tcPr>
            <w:tcW w:w="1386" w:type="pct"/>
            <w:noWrap/>
            <w:vAlign w:val="center"/>
          </w:tcPr>
          <w:p>
            <w:pPr>
              <w:tabs>
                <w:tab w:val="left" w:pos="634"/>
              </w:tabs>
              <w:jc w:val="center"/>
              <w:rPr>
                <w:sz w:val="24"/>
                <w:highlight w:val="none"/>
                <w:lang w:val="en-GB"/>
              </w:rPr>
            </w:pPr>
            <w:r>
              <w:rPr>
                <w:rFonts w:hint="eastAsia"/>
                <w:sz w:val="24"/>
                <w:highlight w:val="none"/>
              </w:rPr>
              <w:t>30-40客位</w:t>
            </w:r>
            <w:r>
              <w:rPr>
                <w:sz w:val="24"/>
                <w:highlight w:val="none"/>
              </w:rPr>
              <w:t>客渡船</w:t>
            </w:r>
          </w:p>
        </w:tc>
        <w:tc>
          <w:tcPr>
            <w:tcW w:w="1126" w:type="pct"/>
            <w:noWrap/>
            <w:vAlign w:val="center"/>
          </w:tcPr>
          <w:p>
            <w:pPr>
              <w:tabs>
                <w:tab w:val="left" w:pos="634"/>
              </w:tabs>
              <w:jc w:val="center"/>
              <w:rPr>
                <w:sz w:val="24"/>
                <w:highlight w:val="none"/>
                <w:lang w:val="en-GB"/>
              </w:rPr>
            </w:pPr>
            <w:r>
              <w:rPr>
                <w:sz w:val="24"/>
                <w:highlight w:val="none"/>
              </w:rPr>
              <w:t>12.00~15.5</w:t>
            </w:r>
          </w:p>
        </w:tc>
        <w:tc>
          <w:tcPr>
            <w:tcW w:w="843" w:type="pct"/>
            <w:noWrap/>
            <w:vAlign w:val="center"/>
          </w:tcPr>
          <w:p>
            <w:pPr>
              <w:tabs>
                <w:tab w:val="left" w:pos="634"/>
              </w:tabs>
              <w:jc w:val="center"/>
              <w:rPr>
                <w:sz w:val="24"/>
                <w:highlight w:val="none"/>
                <w:lang w:val="en-GB"/>
              </w:rPr>
            </w:pPr>
            <w:r>
              <w:rPr>
                <w:sz w:val="24"/>
                <w:highlight w:val="none"/>
              </w:rPr>
              <w:t>2.3~3.2</w:t>
            </w:r>
          </w:p>
        </w:tc>
        <w:tc>
          <w:tcPr>
            <w:tcW w:w="824" w:type="pct"/>
            <w:noWrap/>
            <w:vAlign w:val="center"/>
          </w:tcPr>
          <w:p>
            <w:pPr>
              <w:tabs>
                <w:tab w:val="left" w:pos="634"/>
              </w:tabs>
              <w:jc w:val="center"/>
              <w:rPr>
                <w:sz w:val="24"/>
                <w:highlight w:val="none"/>
                <w:lang w:val="en-GB"/>
              </w:rPr>
            </w:pPr>
            <w:r>
              <w:rPr>
                <w:sz w:val="24"/>
                <w:highlight w:val="none"/>
              </w:rPr>
              <w:t>0.4~0.5</w:t>
            </w:r>
          </w:p>
        </w:tc>
        <w:tc>
          <w:tcPr>
            <w:tcW w:w="819" w:type="pct"/>
            <w:noWrap/>
            <w:vAlign w:val="center"/>
          </w:tcPr>
          <w:p>
            <w:pPr>
              <w:jc w:val="center"/>
              <w:rPr>
                <w:sz w:val="24"/>
                <w:highlight w:val="none"/>
              </w:rPr>
            </w:pPr>
            <w:r>
              <w:rPr>
                <w:sz w:val="24"/>
                <w:highlight w:val="none"/>
              </w:rPr>
              <w:t>沙湾区</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57" w:type="dxa"/>
            <w:left w:w="85" w:type="dxa"/>
            <w:bottom w:w="57" w:type="dxa"/>
            <w:right w:w="85" w:type="dxa"/>
          </w:tblCellMar>
        </w:tblPrEx>
        <w:trPr>
          <w:cantSplit/>
          <w:trHeight w:val="20" w:hRule="atLeast"/>
        </w:trPr>
        <w:tc>
          <w:tcPr>
            <w:tcW w:w="1386" w:type="pct"/>
            <w:noWrap/>
            <w:vAlign w:val="center"/>
          </w:tcPr>
          <w:p>
            <w:pPr>
              <w:jc w:val="center"/>
              <w:rPr>
                <w:sz w:val="24"/>
                <w:highlight w:val="none"/>
                <w:lang w:val="en-GB"/>
              </w:rPr>
            </w:pPr>
            <w:r>
              <w:rPr>
                <w:rFonts w:hint="eastAsia"/>
                <w:sz w:val="24"/>
                <w:highlight w:val="none"/>
              </w:rPr>
              <w:t>15-35客位</w:t>
            </w:r>
            <w:r>
              <w:rPr>
                <w:sz w:val="24"/>
                <w:highlight w:val="none"/>
              </w:rPr>
              <w:t>客渡船</w:t>
            </w:r>
          </w:p>
        </w:tc>
        <w:tc>
          <w:tcPr>
            <w:tcW w:w="1126" w:type="pct"/>
            <w:noWrap/>
            <w:vAlign w:val="center"/>
          </w:tcPr>
          <w:p>
            <w:pPr>
              <w:jc w:val="center"/>
              <w:rPr>
                <w:sz w:val="24"/>
                <w:highlight w:val="none"/>
                <w:lang w:val="en-GB"/>
              </w:rPr>
            </w:pPr>
            <w:r>
              <w:rPr>
                <w:sz w:val="24"/>
                <w:highlight w:val="none"/>
              </w:rPr>
              <w:t>9.6~12.45</w:t>
            </w:r>
          </w:p>
        </w:tc>
        <w:tc>
          <w:tcPr>
            <w:tcW w:w="843" w:type="pct"/>
            <w:noWrap/>
            <w:vAlign w:val="center"/>
          </w:tcPr>
          <w:p>
            <w:pPr>
              <w:jc w:val="center"/>
              <w:rPr>
                <w:sz w:val="24"/>
                <w:highlight w:val="none"/>
                <w:lang w:val="en-GB"/>
              </w:rPr>
            </w:pPr>
            <w:r>
              <w:rPr>
                <w:sz w:val="24"/>
                <w:highlight w:val="none"/>
              </w:rPr>
              <w:t>2.2~2.8</w:t>
            </w:r>
          </w:p>
        </w:tc>
        <w:tc>
          <w:tcPr>
            <w:tcW w:w="824" w:type="pct"/>
            <w:noWrap/>
            <w:vAlign w:val="center"/>
          </w:tcPr>
          <w:p>
            <w:pPr>
              <w:jc w:val="center"/>
              <w:rPr>
                <w:sz w:val="24"/>
                <w:highlight w:val="none"/>
              </w:rPr>
            </w:pPr>
            <w:r>
              <w:rPr>
                <w:sz w:val="24"/>
                <w:highlight w:val="none"/>
              </w:rPr>
              <w:t>0.4~0.5</w:t>
            </w:r>
          </w:p>
        </w:tc>
        <w:tc>
          <w:tcPr>
            <w:tcW w:w="819" w:type="pct"/>
            <w:noWrap/>
            <w:vAlign w:val="center"/>
          </w:tcPr>
          <w:p>
            <w:pPr>
              <w:jc w:val="center"/>
              <w:rPr>
                <w:sz w:val="24"/>
                <w:highlight w:val="none"/>
              </w:rPr>
            </w:pPr>
            <w:r>
              <w:rPr>
                <w:sz w:val="24"/>
                <w:highlight w:val="none"/>
              </w:rPr>
              <w:t>夹江县</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57" w:type="dxa"/>
            <w:left w:w="85" w:type="dxa"/>
            <w:bottom w:w="57" w:type="dxa"/>
            <w:right w:w="85" w:type="dxa"/>
          </w:tblCellMar>
        </w:tblPrEx>
        <w:trPr>
          <w:cantSplit/>
          <w:trHeight w:val="20" w:hRule="atLeast"/>
        </w:trPr>
        <w:tc>
          <w:tcPr>
            <w:tcW w:w="1386" w:type="pct"/>
            <w:noWrap/>
            <w:vAlign w:val="center"/>
          </w:tcPr>
          <w:p>
            <w:pPr>
              <w:jc w:val="center"/>
              <w:rPr>
                <w:sz w:val="24"/>
                <w:highlight w:val="none"/>
              </w:rPr>
            </w:pPr>
            <w:r>
              <w:rPr>
                <w:rFonts w:hint="eastAsia"/>
                <w:sz w:val="24"/>
                <w:highlight w:val="none"/>
              </w:rPr>
              <w:t>20-30客位</w:t>
            </w:r>
            <w:r>
              <w:rPr>
                <w:sz w:val="24"/>
                <w:highlight w:val="none"/>
              </w:rPr>
              <w:t>客渡船</w:t>
            </w:r>
          </w:p>
        </w:tc>
        <w:tc>
          <w:tcPr>
            <w:tcW w:w="1126" w:type="pct"/>
            <w:noWrap/>
            <w:vAlign w:val="center"/>
          </w:tcPr>
          <w:p>
            <w:pPr>
              <w:jc w:val="center"/>
              <w:rPr>
                <w:sz w:val="24"/>
                <w:highlight w:val="none"/>
                <w:lang w:val="en-GB"/>
              </w:rPr>
            </w:pPr>
            <w:r>
              <w:rPr>
                <w:sz w:val="24"/>
                <w:highlight w:val="none"/>
              </w:rPr>
              <w:t>10~14</w:t>
            </w:r>
          </w:p>
        </w:tc>
        <w:tc>
          <w:tcPr>
            <w:tcW w:w="843" w:type="pct"/>
            <w:noWrap/>
            <w:vAlign w:val="center"/>
          </w:tcPr>
          <w:p>
            <w:pPr>
              <w:jc w:val="center"/>
              <w:rPr>
                <w:sz w:val="24"/>
                <w:highlight w:val="none"/>
                <w:lang w:val="en-GB"/>
              </w:rPr>
            </w:pPr>
            <w:r>
              <w:rPr>
                <w:sz w:val="24"/>
                <w:highlight w:val="none"/>
              </w:rPr>
              <w:t>2.4~2.8</w:t>
            </w:r>
          </w:p>
        </w:tc>
        <w:tc>
          <w:tcPr>
            <w:tcW w:w="824" w:type="pct"/>
            <w:noWrap/>
            <w:vAlign w:val="center"/>
          </w:tcPr>
          <w:p>
            <w:pPr>
              <w:jc w:val="center"/>
              <w:rPr>
                <w:sz w:val="24"/>
                <w:highlight w:val="none"/>
                <w:lang w:val="en-GB"/>
              </w:rPr>
            </w:pPr>
            <w:r>
              <w:rPr>
                <w:sz w:val="24"/>
                <w:highlight w:val="none"/>
              </w:rPr>
              <w:t>0.35~0.6</w:t>
            </w:r>
          </w:p>
        </w:tc>
        <w:tc>
          <w:tcPr>
            <w:tcW w:w="819" w:type="pct"/>
            <w:vMerge w:val="restart"/>
            <w:noWrap/>
            <w:vAlign w:val="center"/>
          </w:tcPr>
          <w:p>
            <w:pPr>
              <w:jc w:val="center"/>
              <w:rPr>
                <w:sz w:val="24"/>
                <w:highlight w:val="none"/>
              </w:rPr>
            </w:pPr>
            <w:r>
              <w:rPr>
                <w:sz w:val="24"/>
                <w:highlight w:val="none"/>
              </w:rPr>
              <w:t>沐川县</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57" w:type="dxa"/>
            <w:left w:w="85" w:type="dxa"/>
            <w:bottom w:w="57" w:type="dxa"/>
            <w:right w:w="85" w:type="dxa"/>
          </w:tblCellMar>
        </w:tblPrEx>
        <w:trPr>
          <w:cantSplit/>
          <w:trHeight w:val="20" w:hRule="atLeast"/>
        </w:trPr>
        <w:tc>
          <w:tcPr>
            <w:tcW w:w="1386" w:type="pct"/>
            <w:noWrap/>
            <w:vAlign w:val="center"/>
          </w:tcPr>
          <w:p>
            <w:pPr>
              <w:jc w:val="center"/>
              <w:rPr>
                <w:sz w:val="24"/>
                <w:highlight w:val="none"/>
              </w:rPr>
            </w:pPr>
            <w:r>
              <w:rPr>
                <w:rFonts w:hint="eastAsia"/>
                <w:sz w:val="24"/>
                <w:highlight w:val="none"/>
              </w:rPr>
              <w:t>40客位</w:t>
            </w:r>
            <w:r>
              <w:rPr>
                <w:sz w:val="24"/>
                <w:highlight w:val="none"/>
              </w:rPr>
              <w:t>客渡船</w:t>
            </w:r>
          </w:p>
        </w:tc>
        <w:tc>
          <w:tcPr>
            <w:tcW w:w="1126" w:type="pct"/>
            <w:noWrap/>
            <w:vAlign w:val="center"/>
          </w:tcPr>
          <w:p>
            <w:pPr>
              <w:jc w:val="center"/>
              <w:rPr>
                <w:sz w:val="24"/>
                <w:highlight w:val="none"/>
                <w:lang w:val="en-GB"/>
              </w:rPr>
            </w:pPr>
            <w:r>
              <w:rPr>
                <w:sz w:val="24"/>
                <w:highlight w:val="none"/>
              </w:rPr>
              <w:t>12.4~12.45</w:t>
            </w:r>
          </w:p>
        </w:tc>
        <w:tc>
          <w:tcPr>
            <w:tcW w:w="843" w:type="pct"/>
            <w:noWrap/>
            <w:vAlign w:val="center"/>
          </w:tcPr>
          <w:p>
            <w:pPr>
              <w:jc w:val="center"/>
              <w:rPr>
                <w:sz w:val="24"/>
                <w:highlight w:val="none"/>
                <w:lang w:val="en-GB"/>
              </w:rPr>
            </w:pPr>
            <w:r>
              <w:rPr>
                <w:sz w:val="24"/>
                <w:highlight w:val="none"/>
              </w:rPr>
              <w:t>2.6~2.7</w:t>
            </w:r>
          </w:p>
        </w:tc>
        <w:tc>
          <w:tcPr>
            <w:tcW w:w="824" w:type="pct"/>
            <w:noWrap/>
            <w:vAlign w:val="center"/>
          </w:tcPr>
          <w:p>
            <w:pPr>
              <w:jc w:val="center"/>
              <w:rPr>
                <w:sz w:val="24"/>
                <w:highlight w:val="none"/>
                <w:lang w:val="en-GB"/>
              </w:rPr>
            </w:pPr>
            <w:r>
              <w:rPr>
                <w:sz w:val="24"/>
                <w:highlight w:val="none"/>
              </w:rPr>
              <w:t>0.40~0.5</w:t>
            </w:r>
          </w:p>
        </w:tc>
        <w:tc>
          <w:tcPr>
            <w:tcW w:w="819" w:type="pct"/>
            <w:vMerge w:val="continue"/>
            <w:noWrap/>
            <w:vAlign w:val="center"/>
          </w:tcPr>
          <w:p>
            <w:pPr>
              <w:jc w:val="center"/>
              <w:rPr>
                <w:sz w:val="24"/>
                <w:highlight w:val="none"/>
              </w:rPr>
            </w:pP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57" w:type="dxa"/>
            <w:left w:w="85" w:type="dxa"/>
            <w:bottom w:w="57" w:type="dxa"/>
            <w:right w:w="85" w:type="dxa"/>
          </w:tblCellMar>
        </w:tblPrEx>
        <w:trPr>
          <w:cantSplit/>
          <w:trHeight w:val="20" w:hRule="atLeast"/>
        </w:trPr>
        <w:tc>
          <w:tcPr>
            <w:tcW w:w="1386" w:type="pct"/>
            <w:noWrap/>
            <w:vAlign w:val="center"/>
          </w:tcPr>
          <w:p>
            <w:pPr>
              <w:jc w:val="center"/>
              <w:rPr>
                <w:sz w:val="24"/>
                <w:highlight w:val="none"/>
              </w:rPr>
            </w:pPr>
            <w:r>
              <w:rPr>
                <w:rFonts w:hint="eastAsia"/>
                <w:sz w:val="24"/>
                <w:highlight w:val="none"/>
              </w:rPr>
              <w:t>60客位</w:t>
            </w:r>
            <w:r>
              <w:rPr>
                <w:sz w:val="24"/>
                <w:highlight w:val="none"/>
              </w:rPr>
              <w:t>客渡船</w:t>
            </w:r>
          </w:p>
        </w:tc>
        <w:tc>
          <w:tcPr>
            <w:tcW w:w="1126" w:type="pct"/>
            <w:noWrap/>
            <w:vAlign w:val="center"/>
          </w:tcPr>
          <w:p>
            <w:pPr>
              <w:jc w:val="center"/>
              <w:rPr>
                <w:sz w:val="24"/>
                <w:highlight w:val="none"/>
                <w:lang w:val="en-GB"/>
              </w:rPr>
            </w:pPr>
            <w:r>
              <w:rPr>
                <w:sz w:val="24"/>
                <w:highlight w:val="none"/>
              </w:rPr>
              <w:t>16.3~16.82</w:t>
            </w:r>
          </w:p>
        </w:tc>
        <w:tc>
          <w:tcPr>
            <w:tcW w:w="843" w:type="pct"/>
            <w:noWrap/>
            <w:vAlign w:val="center"/>
          </w:tcPr>
          <w:p>
            <w:pPr>
              <w:jc w:val="center"/>
              <w:rPr>
                <w:sz w:val="24"/>
                <w:highlight w:val="none"/>
                <w:lang w:val="en-GB"/>
              </w:rPr>
            </w:pPr>
            <w:r>
              <w:rPr>
                <w:sz w:val="24"/>
                <w:highlight w:val="none"/>
              </w:rPr>
              <w:t>3.2</w:t>
            </w:r>
          </w:p>
        </w:tc>
        <w:tc>
          <w:tcPr>
            <w:tcW w:w="824" w:type="pct"/>
            <w:noWrap/>
            <w:vAlign w:val="center"/>
          </w:tcPr>
          <w:p>
            <w:pPr>
              <w:jc w:val="center"/>
              <w:rPr>
                <w:sz w:val="24"/>
                <w:highlight w:val="none"/>
                <w:lang w:val="en-GB"/>
              </w:rPr>
            </w:pPr>
            <w:r>
              <w:rPr>
                <w:sz w:val="24"/>
                <w:highlight w:val="none"/>
              </w:rPr>
              <w:t>0.6</w:t>
            </w:r>
          </w:p>
        </w:tc>
        <w:tc>
          <w:tcPr>
            <w:tcW w:w="819" w:type="pct"/>
            <w:vMerge w:val="continue"/>
            <w:noWrap/>
            <w:vAlign w:val="center"/>
          </w:tcPr>
          <w:p>
            <w:pPr>
              <w:jc w:val="center"/>
              <w:rPr>
                <w:sz w:val="24"/>
                <w:highlight w:val="none"/>
              </w:rPr>
            </w:pP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57" w:type="dxa"/>
            <w:left w:w="85" w:type="dxa"/>
            <w:bottom w:w="57" w:type="dxa"/>
            <w:right w:w="85" w:type="dxa"/>
          </w:tblCellMar>
        </w:tblPrEx>
        <w:trPr>
          <w:cantSplit/>
          <w:trHeight w:val="20" w:hRule="atLeast"/>
        </w:trPr>
        <w:tc>
          <w:tcPr>
            <w:tcW w:w="1386" w:type="pct"/>
            <w:noWrap/>
            <w:vAlign w:val="center"/>
          </w:tcPr>
          <w:p>
            <w:pPr>
              <w:jc w:val="center"/>
              <w:rPr>
                <w:sz w:val="24"/>
                <w:highlight w:val="none"/>
              </w:rPr>
            </w:pPr>
            <w:r>
              <w:rPr>
                <w:rFonts w:hint="eastAsia"/>
                <w:sz w:val="24"/>
                <w:highlight w:val="none"/>
              </w:rPr>
              <w:t>10-20客位</w:t>
            </w:r>
            <w:r>
              <w:rPr>
                <w:sz w:val="24"/>
                <w:highlight w:val="none"/>
              </w:rPr>
              <w:t>客渡船</w:t>
            </w:r>
          </w:p>
        </w:tc>
        <w:tc>
          <w:tcPr>
            <w:tcW w:w="1126" w:type="pct"/>
            <w:noWrap/>
            <w:vAlign w:val="center"/>
          </w:tcPr>
          <w:p>
            <w:pPr>
              <w:jc w:val="center"/>
              <w:rPr>
                <w:sz w:val="24"/>
                <w:highlight w:val="none"/>
              </w:rPr>
            </w:pPr>
            <w:r>
              <w:rPr>
                <w:sz w:val="24"/>
                <w:highlight w:val="none"/>
              </w:rPr>
              <w:t>7.7~10.8</w:t>
            </w:r>
          </w:p>
        </w:tc>
        <w:tc>
          <w:tcPr>
            <w:tcW w:w="843" w:type="pct"/>
            <w:noWrap/>
            <w:vAlign w:val="center"/>
          </w:tcPr>
          <w:p>
            <w:pPr>
              <w:jc w:val="center"/>
              <w:rPr>
                <w:sz w:val="24"/>
                <w:highlight w:val="none"/>
              </w:rPr>
            </w:pPr>
            <w:r>
              <w:rPr>
                <w:sz w:val="24"/>
                <w:highlight w:val="none"/>
              </w:rPr>
              <w:t>1.85~2.8</w:t>
            </w:r>
          </w:p>
        </w:tc>
        <w:tc>
          <w:tcPr>
            <w:tcW w:w="824" w:type="pct"/>
            <w:noWrap/>
            <w:vAlign w:val="center"/>
          </w:tcPr>
          <w:p>
            <w:pPr>
              <w:jc w:val="center"/>
              <w:rPr>
                <w:sz w:val="24"/>
                <w:highlight w:val="none"/>
              </w:rPr>
            </w:pPr>
            <w:r>
              <w:rPr>
                <w:sz w:val="24"/>
                <w:highlight w:val="none"/>
              </w:rPr>
              <w:t>0.50~0.75</w:t>
            </w:r>
          </w:p>
        </w:tc>
        <w:tc>
          <w:tcPr>
            <w:tcW w:w="819" w:type="pct"/>
            <w:noWrap/>
            <w:vAlign w:val="center"/>
          </w:tcPr>
          <w:p>
            <w:pPr>
              <w:jc w:val="center"/>
              <w:rPr>
                <w:sz w:val="24"/>
                <w:highlight w:val="none"/>
              </w:rPr>
            </w:pPr>
            <w:r>
              <w:rPr>
                <w:sz w:val="24"/>
                <w:highlight w:val="none"/>
              </w:rPr>
              <w:t>井研县</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57" w:type="dxa"/>
            <w:left w:w="85" w:type="dxa"/>
            <w:bottom w:w="57" w:type="dxa"/>
            <w:right w:w="85" w:type="dxa"/>
          </w:tblCellMar>
        </w:tblPrEx>
        <w:trPr>
          <w:cantSplit/>
          <w:trHeight w:val="20" w:hRule="atLeast"/>
        </w:trPr>
        <w:tc>
          <w:tcPr>
            <w:tcW w:w="1386" w:type="pct"/>
            <w:noWrap/>
            <w:vAlign w:val="center"/>
          </w:tcPr>
          <w:p>
            <w:pPr>
              <w:jc w:val="center"/>
              <w:rPr>
                <w:sz w:val="24"/>
                <w:highlight w:val="none"/>
                <w:lang w:val="en-GB"/>
              </w:rPr>
            </w:pPr>
            <w:r>
              <w:rPr>
                <w:rFonts w:hint="eastAsia"/>
                <w:sz w:val="24"/>
                <w:highlight w:val="none"/>
              </w:rPr>
              <w:t>25-35客位</w:t>
            </w:r>
            <w:r>
              <w:rPr>
                <w:sz w:val="24"/>
                <w:highlight w:val="none"/>
              </w:rPr>
              <w:t>客渡船</w:t>
            </w:r>
          </w:p>
        </w:tc>
        <w:tc>
          <w:tcPr>
            <w:tcW w:w="1126" w:type="pct"/>
            <w:noWrap/>
            <w:vAlign w:val="center"/>
          </w:tcPr>
          <w:p>
            <w:pPr>
              <w:widowControl/>
              <w:jc w:val="center"/>
              <w:textAlignment w:val="center"/>
              <w:rPr>
                <w:sz w:val="24"/>
                <w:highlight w:val="none"/>
                <w:lang w:val="en-GB"/>
              </w:rPr>
            </w:pPr>
            <w:r>
              <w:rPr>
                <w:sz w:val="24"/>
                <w:highlight w:val="none"/>
              </w:rPr>
              <w:t>12~14</w:t>
            </w:r>
          </w:p>
        </w:tc>
        <w:tc>
          <w:tcPr>
            <w:tcW w:w="843" w:type="pct"/>
            <w:noWrap/>
            <w:vAlign w:val="center"/>
          </w:tcPr>
          <w:p>
            <w:pPr>
              <w:widowControl/>
              <w:jc w:val="center"/>
              <w:textAlignment w:val="center"/>
              <w:rPr>
                <w:sz w:val="24"/>
                <w:highlight w:val="none"/>
                <w:lang w:val="en-GB"/>
              </w:rPr>
            </w:pPr>
            <w:r>
              <w:rPr>
                <w:sz w:val="24"/>
                <w:highlight w:val="none"/>
              </w:rPr>
              <w:t>2.20~2.50</w:t>
            </w:r>
          </w:p>
        </w:tc>
        <w:tc>
          <w:tcPr>
            <w:tcW w:w="824" w:type="pct"/>
            <w:noWrap/>
            <w:vAlign w:val="center"/>
          </w:tcPr>
          <w:p>
            <w:pPr>
              <w:widowControl/>
              <w:jc w:val="center"/>
              <w:textAlignment w:val="center"/>
              <w:rPr>
                <w:sz w:val="24"/>
                <w:highlight w:val="none"/>
                <w:lang w:val="en-GB"/>
              </w:rPr>
            </w:pPr>
            <w:r>
              <w:rPr>
                <w:sz w:val="24"/>
                <w:highlight w:val="none"/>
              </w:rPr>
              <w:t>0.8~0.90</w:t>
            </w:r>
          </w:p>
        </w:tc>
        <w:tc>
          <w:tcPr>
            <w:tcW w:w="819" w:type="pct"/>
            <w:noWrap/>
            <w:vAlign w:val="center"/>
          </w:tcPr>
          <w:p>
            <w:pPr>
              <w:jc w:val="center"/>
              <w:rPr>
                <w:sz w:val="24"/>
                <w:highlight w:val="none"/>
              </w:rPr>
            </w:pPr>
            <w:r>
              <w:rPr>
                <w:sz w:val="24"/>
                <w:highlight w:val="none"/>
              </w:rPr>
              <w:t>峨眉山市</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57" w:type="dxa"/>
            <w:left w:w="85" w:type="dxa"/>
            <w:bottom w:w="57" w:type="dxa"/>
            <w:right w:w="85" w:type="dxa"/>
          </w:tblCellMar>
        </w:tblPrEx>
        <w:trPr>
          <w:cantSplit/>
          <w:trHeight w:val="20" w:hRule="atLeast"/>
        </w:trPr>
        <w:tc>
          <w:tcPr>
            <w:tcW w:w="1386" w:type="pct"/>
            <w:noWrap/>
            <w:vAlign w:val="center"/>
          </w:tcPr>
          <w:p>
            <w:pPr>
              <w:widowControl/>
              <w:jc w:val="center"/>
              <w:textAlignment w:val="center"/>
              <w:rPr>
                <w:sz w:val="24"/>
                <w:highlight w:val="none"/>
                <w:lang w:val="en-GB"/>
              </w:rPr>
            </w:pPr>
            <w:r>
              <w:rPr>
                <w:rFonts w:hint="eastAsia"/>
                <w:sz w:val="24"/>
                <w:highlight w:val="none"/>
              </w:rPr>
              <w:t>30-40客位</w:t>
            </w:r>
            <w:r>
              <w:rPr>
                <w:sz w:val="24"/>
                <w:highlight w:val="none"/>
              </w:rPr>
              <w:t>旅游客船</w:t>
            </w:r>
          </w:p>
        </w:tc>
        <w:tc>
          <w:tcPr>
            <w:tcW w:w="1126" w:type="pct"/>
            <w:noWrap/>
            <w:vAlign w:val="center"/>
          </w:tcPr>
          <w:p>
            <w:pPr>
              <w:widowControl/>
              <w:jc w:val="center"/>
              <w:textAlignment w:val="center"/>
              <w:rPr>
                <w:sz w:val="24"/>
                <w:highlight w:val="none"/>
                <w:lang w:val="en-GB"/>
              </w:rPr>
            </w:pPr>
            <w:r>
              <w:rPr>
                <w:sz w:val="24"/>
                <w:highlight w:val="none"/>
              </w:rPr>
              <w:t>12.0~14.0</w:t>
            </w:r>
          </w:p>
        </w:tc>
        <w:tc>
          <w:tcPr>
            <w:tcW w:w="843" w:type="pct"/>
            <w:noWrap/>
            <w:vAlign w:val="center"/>
          </w:tcPr>
          <w:p>
            <w:pPr>
              <w:widowControl/>
              <w:jc w:val="center"/>
              <w:textAlignment w:val="center"/>
              <w:rPr>
                <w:sz w:val="24"/>
                <w:highlight w:val="none"/>
                <w:lang w:val="en-GB"/>
              </w:rPr>
            </w:pPr>
            <w:r>
              <w:rPr>
                <w:sz w:val="24"/>
                <w:highlight w:val="none"/>
              </w:rPr>
              <w:t>2.2~2.8</w:t>
            </w:r>
          </w:p>
        </w:tc>
        <w:tc>
          <w:tcPr>
            <w:tcW w:w="824" w:type="pct"/>
            <w:noWrap/>
            <w:vAlign w:val="center"/>
          </w:tcPr>
          <w:p>
            <w:pPr>
              <w:widowControl/>
              <w:jc w:val="center"/>
              <w:textAlignment w:val="center"/>
              <w:rPr>
                <w:sz w:val="24"/>
                <w:highlight w:val="none"/>
                <w:lang w:val="en-GB"/>
              </w:rPr>
            </w:pPr>
            <w:r>
              <w:rPr>
                <w:sz w:val="24"/>
                <w:highlight w:val="none"/>
              </w:rPr>
              <w:t xml:space="preserve">0.4~0.45 </w:t>
            </w:r>
          </w:p>
        </w:tc>
        <w:tc>
          <w:tcPr>
            <w:tcW w:w="819" w:type="pct"/>
            <w:noWrap/>
            <w:vAlign w:val="center"/>
          </w:tcPr>
          <w:p>
            <w:pPr>
              <w:jc w:val="center"/>
              <w:rPr>
                <w:sz w:val="24"/>
                <w:highlight w:val="none"/>
              </w:rPr>
            </w:pPr>
            <w:r>
              <w:rPr>
                <w:sz w:val="24"/>
                <w:highlight w:val="none"/>
              </w:rPr>
              <w:t>峨边县</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PrEx>
        <w:trPr>
          <w:cantSplit/>
          <w:trHeight w:val="20" w:hRule="atLeast"/>
        </w:trPr>
        <w:tc>
          <w:tcPr>
            <w:tcW w:w="1386" w:type="pct"/>
            <w:noWrap/>
            <w:vAlign w:val="center"/>
          </w:tcPr>
          <w:p>
            <w:pPr>
              <w:widowControl/>
              <w:jc w:val="center"/>
              <w:textAlignment w:val="center"/>
              <w:rPr>
                <w:sz w:val="24"/>
                <w:highlight w:val="none"/>
                <w:lang w:val="en-GB"/>
              </w:rPr>
            </w:pPr>
            <w:r>
              <w:rPr>
                <w:rFonts w:hint="eastAsia"/>
                <w:sz w:val="24"/>
                <w:highlight w:val="none"/>
              </w:rPr>
              <w:t>32客位</w:t>
            </w:r>
            <w:r>
              <w:rPr>
                <w:sz w:val="24"/>
                <w:highlight w:val="none"/>
              </w:rPr>
              <w:t>旅游客船</w:t>
            </w:r>
          </w:p>
        </w:tc>
        <w:tc>
          <w:tcPr>
            <w:tcW w:w="1126" w:type="pct"/>
            <w:noWrap/>
            <w:vAlign w:val="center"/>
          </w:tcPr>
          <w:p>
            <w:pPr>
              <w:widowControl/>
              <w:jc w:val="center"/>
              <w:textAlignment w:val="center"/>
              <w:rPr>
                <w:sz w:val="24"/>
                <w:highlight w:val="none"/>
                <w:lang w:val="en-GB"/>
              </w:rPr>
            </w:pPr>
            <w:r>
              <w:rPr>
                <w:sz w:val="24"/>
                <w:highlight w:val="none"/>
              </w:rPr>
              <w:t>21.1</w:t>
            </w:r>
          </w:p>
        </w:tc>
        <w:tc>
          <w:tcPr>
            <w:tcW w:w="843" w:type="pct"/>
            <w:noWrap/>
            <w:vAlign w:val="center"/>
          </w:tcPr>
          <w:p>
            <w:pPr>
              <w:widowControl/>
              <w:jc w:val="center"/>
              <w:textAlignment w:val="center"/>
              <w:rPr>
                <w:sz w:val="24"/>
                <w:highlight w:val="none"/>
                <w:lang w:val="en-GB"/>
              </w:rPr>
            </w:pPr>
            <w:r>
              <w:rPr>
                <w:sz w:val="24"/>
                <w:highlight w:val="none"/>
              </w:rPr>
              <w:t xml:space="preserve">4.49 </w:t>
            </w:r>
          </w:p>
        </w:tc>
        <w:tc>
          <w:tcPr>
            <w:tcW w:w="824" w:type="pct"/>
            <w:noWrap/>
            <w:vAlign w:val="center"/>
          </w:tcPr>
          <w:p>
            <w:pPr>
              <w:widowControl/>
              <w:jc w:val="center"/>
              <w:textAlignment w:val="center"/>
              <w:rPr>
                <w:sz w:val="24"/>
                <w:highlight w:val="none"/>
                <w:lang w:val="en-GB"/>
              </w:rPr>
            </w:pPr>
            <w:r>
              <w:rPr>
                <w:sz w:val="24"/>
                <w:highlight w:val="none"/>
              </w:rPr>
              <w:t xml:space="preserve">0.80 </w:t>
            </w:r>
          </w:p>
        </w:tc>
        <w:tc>
          <w:tcPr>
            <w:tcW w:w="819" w:type="pct"/>
            <w:noWrap/>
            <w:vAlign w:val="center"/>
          </w:tcPr>
          <w:p>
            <w:pPr>
              <w:jc w:val="center"/>
              <w:rPr>
                <w:sz w:val="24"/>
                <w:highlight w:val="none"/>
              </w:rPr>
            </w:pPr>
            <w:r>
              <w:rPr>
                <w:sz w:val="24"/>
                <w:highlight w:val="none"/>
              </w:rPr>
              <w:t>金口河区</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57" w:type="dxa"/>
            <w:left w:w="85" w:type="dxa"/>
            <w:bottom w:w="57" w:type="dxa"/>
            <w:right w:w="85" w:type="dxa"/>
          </w:tblCellMar>
        </w:tblPrEx>
        <w:trPr>
          <w:cantSplit/>
          <w:trHeight w:val="20" w:hRule="atLeast"/>
        </w:trPr>
        <w:tc>
          <w:tcPr>
            <w:tcW w:w="1386" w:type="pct"/>
            <w:noWrap/>
            <w:vAlign w:val="center"/>
          </w:tcPr>
          <w:p>
            <w:pPr>
              <w:jc w:val="center"/>
              <w:rPr>
                <w:sz w:val="24"/>
                <w:highlight w:val="none"/>
              </w:rPr>
            </w:pPr>
            <w:r>
              <w:rPr>
                <w:sz w:val="24"/>
                <w:highlight w:val="none"/>
              </w:rPr>
              <w:t>100吨以下货船</w:t>
            </w:r>
          </w:p>
        </w:tc>
        <w:tc>
          <w:tcPr>
            <w:tcW w:w="1126" w:type="pct"/>
            <w:noWrap/>
            <w:vAlign w:val="center"/>
          </w:tcPr>
          <w:p>
            <w:pPr>
              <w:jc w:val="center"/>
              <w:rPr>
                <w:sz w:val="24"/>
                <w:highlight w:val="none"/>
              </w:rPr>
            </w:pPr>
            <w:r>
              <w:rPr>
                <w:sz w:val="24"/>
                <w:highlight w:val="none"/>
              </w:rPr>
              <w:t>16.4~29.85</w:t>
            </w:r>
          </w:p>
        </w:tc>
        <w:tc>
          <w:tcPr>
            <w:tcW w:w="843" w:type="pct"/>
            <w:noWrap/>
            <w:vAlign w:val="center"/>
          </w:tcPr>
          <w:p>
            <w:pPr>
              <w:jc w:val="center"/>
              <w:rPr>
                <w:sz w:val="24"/>
                <w:highlight w:val="none"/>
              </w:rPr>
            </w:pPr>
            <w:r>
              <w:rPr>
                <w:sz w:val="24"/>
                <w:highlight w:val="none"/>
              </w:rPr>
              <w:t>3.0~5.0</w:t>
            </w:r>
          </w:p>
        </w:tc>
        <w:tc>
          <w:tcPr>
            <w:tcW w:w="824" w:type="pct"/>
            <w:noWrap/>
            <w:vAlign w:val="center"/>
          </w:tcPr>
          <w:p>
            <w:pPr>
              <w:jc w:val="center"/>
              <w:rPr>
                <w:sz w:val="24"/>
                <w:highlight w:val="none"/>
              </w:rPr>
            </w:pPr>
            <w:r>
              <w:rPr>
                <w:sz w:val="24"/>
                <w:highlight w:val="none"/>
              </w:rPr>
              <w:t>0.6~1.15</w:t>
            </w:r>
          </w:p>
        </w:tc>
        <w:tc>
          <w:tcPr>
            <w:tcW w:w="819" w:type="pct"/>
            <w:vMerge w:val="restart"/>
            <w:noWrap/>
            <w:vAlign w:val="center"/>
          </w:tcPr>
          <w:p>
            <w:pPr>
              <w:jc w:val="center"/>
              <w:rPr>
                <w:sz w:val="24"/>
                <w:highlight w:val="none"/>
              </w:rPr>
            </w:pPr>
            <w:r>
              <w:rPr>
                <w:sz w:val="24"/>
                <w:highlight w:val="none"/>
              </w:rPr>
              <w:t>市中区</w:t>
            </w:r>
          </w:p>
        </w:tc>
      </w:tr>
      <w:tr>
        <w:tblPrEx>
          <w:tblCellMar>
            <w:top w:w="57" w:type="dxa"/>
            <w:left w:w="85" w:type="dxa"/>
            <w:bottom w:w="57" w:type="dxa"/>
            <w:right w:w="85" w:type="dxa"/>
          </w:tblCellMar>
        </w:tblPrEx>
        <w:trPr>
          <w:cantSplit/>
          <w:trHeight w:val="20" w:hRule="atLeast"/>
        </w:trPr>
        <w:tc>
          <w:tcPr>
            <w:tcW w:w="1386" w:type="pct"/>
            <w:noWrap/>
            <w:vAlign w:val="center"/>
          </w:tcPr>
          <w:p>
            <w:pPr>
              <w:jc w:val="center"/>
              <w:rPr>
                <w:sz w:val="24"/>
                <w:highlight w:val="none"/>
              </w:rPr>
            </w:pPr>
            <w:r>
              <w:rPr>
                <w:sz w:val="24"/>
                <w:highlight w:val="none"/>
              </w:rPr>
              <w:t>100~500吨货船</w:t>
            </w:r>
          </w:p>
        </w:tc>
        <w:tc>
          <w:tcPr>
            <w:tcW w:w="1126" w:type="pct"/>
            <w:noWrap/>
            <w:vAlign w:val="center"/>
          </w:tcPr>
          <w:p>
            <w:pPr>
              <w:jc w:val="center"/>
              <w:rPr>
                <w:sz w:val="24"/>
                <w:highlight w:val="none"/>
              </w:rPr>
            </w:pPr>
            <w:r>
              <w:rPr>
                <w:sz w:val="24"/>
                <w:highlight w:val="none"/>
              </w:rPr>
              <w:t>31.04~46.6</w:t>
            </w:r>
          </w:p>
        </w:tc>
        <w:tc>
          <w:tcPr>
            <w:tcW w:w="843" w:type="pct"/>
            <w:noWrap/>
            <w:vAlign w:val="center"/>
          </w:tcPr>
          <w:p>
            <w:pPr>
              <w:jc w:val="center"/>
              <w:rPr>
                <w:sz w:val="24"/>
                <w:highlight w:val="none"/>
              </w:rPr>
            </w:pPr>
            <w:r>
              <w:rPr>
                <w:sz w:val="24"/>
                <w:highlight w:val="none"/>
              </w:rPr>
              <w:t>5.0~7.2</w:t>
            </w:r>
          </w:p>
        </w:tc>
        <w:tc>
          <w:tcPr>
            <w:tcW w:w="824" w:type="pct"/>
            <w:noWrap/>
            <w:vAlign w:val="center"/>
          </w:tcPr>
          <w:p>
            <w:pPr>
              <w:jc w:val="center"/>
              <w:rPr>
                <w:sz w:val="24"/>
                <w:highlight w:val="none"/>
              </w:rPr>
            </w:pPr>
            <w:r>
              <w:rPr>
                <w:sz w:val="24"/>
                <w:highlight w:val="none"/>
              </w:rPr>
              <w:t>1.15~1.95</w:t>
            </w:r>
          </w:p>
        </w:tc>
        <w:tc>
          <w:tcPr>
            <w:tcW w:w="819" w:type="pct"/>
            <w:vMerge w:val="continue"/>
            <w:noWrap/>
            <w:vAlign w:val="center"/>
          </w:tcPr>
          <w:p>
            <w:pPr>
              <w:jc w:val="center"/>
              <w:rPr>
                <w:sz w:val="24"/>
                <w:highlight w:val="none"/>
              </w:rPr>
            </w:pP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57" w:type="dxa"/>
            <w:left w:w="85" w:type="dxa"/>
            <w:bottom w:w="57" w:type="dxa"/>
            <w:right w:w="85" w:type="dxa"/>
          </w:tblCellMar>
        </w:tblPrEx>
        <w:trPr>
          <w:cantSplit/>
          <w:trHeight w:val="20" w:hRule="atLeast"/>
        </w:trPr>
        <w:tc>
          <w:tcPr>
            <w:tcW w:w="1386" w:type="pct"/>
            <w:noWrap/>
            <w:vAlign w:val="center"/>
          </w:tcPr>
          <w:p>
            <w:pPr>
              <w:jc w:val="center"/>
              <w:rPr>
                <w:sz w:val="24"/>
                <w:highlight w:val="none"/>
              </w:rPr>
            </w:pPr>
            <w:r>
              <w:rPr>
                <w:sz w:val="24"/>
                <w:highlight w:val="none"/>
              </w:rPr>
              <w:t>500~1000吨货船</w:t>
            </w:r>
          </w:p>
        </w:tc>
        <w:tc>
          <w:tcPr>
            <w:tcW w:w="1126" w:type="pct"/>
            <w:noWrap/>
            <w:vAlign w:val="center"/>
          </w:tcPr>
          <w:p>
            <w:pPr>
              <w:jc w:val="center"/>
              <w:rPr>
                <w:sz w:val="24"/>
                <w:highlight w:val="none"/>
              </w:rPr>
            </w:pPr>
            <w:r>
              <w:rPr>
                <w:sz w:val="24"/>
                <w:highlight w:val="none"/>
              </w:rPr>
              <w:t>52.2~56.85</w:t>
            </w:r>
          </w:p>
        </w:tc>
        <w:tc>
          <w:tcPr>
            <w:tcW w:w="843" w:type="pct"/>
            <w:noWrap/>
            <w:vAlign w:val="center"/>
          </w:tcPr>
          <w:p>
            <w:pPr>
              <w:jc w:val="center"/>
              <w:rPr>
                <w:sz w:val="24"/>
                <w:highlight w:val="none"/>
              </w:rPr>
            </w:pPr>
            <w:r>
              <w:rPr>
                <w:sz w:val="24"/>
                <w:highlight w:val="none"/>
              </w:rPr>
              <w:t>8.15~10.8</w:t>
            </w:r>
          </w:p>
        </w:tc>
        <w:tc>
          <w:tcPr>
            <w:tcW w:w="824" w:type="pct"/>
            <w:noWrap/>
            <w:vAlign w:val="center"/>
          </w:tcPr>
          <w:p>
            <w:pPr>
              <w:jc w:val="center"/>
              <w:rPr>
                <w:sz w:val="24"/>
                <w:highlight w:val="none"/>
              </w:rPr>
            </w:pPr>
            <w:r>
              <w:rPr>
                <w:sz w:val="24"/>
                <w:highlight w:val="none"/>
              </w:rPr>
              <w:t>2.08~2.7</w:t>
            </w:r>
          </w:p>
        </w:tc>
        <w:tc>
          <w:tcPr>
            <w:tcW w:w="819" w:type="pct"/>
            <w:vMerge w:val="continue"/>
            <w:noWrap/>
            <w:vAlign w:val="center"/>
          </w:tcPr>
          <w:p>
            <w:pPr>
              <w:jc w:val="center"/>
              <w:rPr>
                <w:sz w:val="24"/>
                <w:highlight w:val="none"/>
                <w:lang w:val="en-GB"/>
              </w:rPr>
            </w:pP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57" w:type="dxa"/>
            <w:left w:w="85" w:type="dxa"/>
            <w:bottom w:w="57" w:type="dxa"/>
            <w:right w:w="85" w:type="dxa"/>
          </w:tblCellMar>
        </w:tblPrEx>
        <w:trPr>
          <w:cantSplit/>
          <w:trHeight w:val="20" w:hRule="atLeast"/>
        </w:trPr>
        <w:tc>
          <w:tcPr>
            <w:tcW w:w="1386" w:type="pct"/>
            <w:noWrap/>
            <w:vAlign w:val="center"/>
          </w:tcPr>
          <w:p>
            <w:pPr>
              <w:jc w:val="center"/>
              <w:rPr>
                <w:sz w:val="24"/>
                <w:highlight w:val="none"/>
              </w:rPr>
            </w:pPr>
            <w:r>
              <w:rPr>
                <w:rFonts w:hint="eastAsia"/>
                <w:sz w:val="24"/>
                <w:highlight w:val="none"/>
              </w:rPr>
              <w:t>1500吨级货船</w:t>
            </w:r>
          </w:p>
        </w:tc>
        <w:tc>
          <w:tcPr>
            <w:tcW w:w="1126" w:type="pct"/>
            <w:noWrap/>
            <w:vAlign w:val="center"/>
          </w:tcPr>
          <w:p>
            <w:pPr>
              <w:jc w:val="center"/>
              <w:rPr>
                <w:sz w:val="24"/>
                <w:highlight w:val="none"/>
              </w:rPr>
            </w:pPr>
            <w:r>
              <w:rPr>
                <w:sz w:val="24"/>
                <w:highlight w:val="none"/>
              </w:rPr>
              <w:t xml:space="preserve">65.50 </w:t>
            </w:r>
          </w:p>
        </w:tc>
        <w:tc>
          <w:tcPr>
            <w:tcW w:w="843" w:type="pct"/>
            <w:noWrap/>
            <w:vAlign w:val="center"/>
          </w:tcPr>
          <w:p>
            <w:pPr>
              <w:jc w:val="center"/>
              <w:rPr>
                <w:sz w:val="24"/>
                <w:highlight w:val="none"/>
              </w:rPr>
            </w:pPr>
            <w:r>
              <w:rPr>
                <w:sz w:val="24"/>
                <w:highlight w:val="none"/>
              </w:rPr>
              <w:t xml:space="preserve">10.8 </w:t>
            </w:r>
          </w:p>
        </w:tc>
        <w:tc>
          <w:tcPr>
            <w:tcW w:w="824" w:type="pct"/>
            <w:noWrap/>
            <w:vAlign w:val="center"/>
          </w:tcPr>
          <w:p>
            <w:pPr>
              <w:jc w:val="center"/>
              <w:rPr>
                <w:sz w:val="24"/>
                <w:highlight w:val="none"/>
              </w:rPr>
            </w:pPr>
            <w:r>
              <w:rPr>
                <w:sz w:val="24"/>
                <w:highlight w:val="none"/>
              </w:rPr>
              <w:t xml:space="preserve">3.10 </w:t>
            </w:r>
          </w:p>
        </w:tc>
        <w:tc>
          <w:tcPr>
            <w:tcW w:w="819" w:type="pct"/>
            <w:vMerge w:val="continue"/>
            <w:noWrap/>
            <w:vAlign w:val="center"/>
          </w:tcPr>
          <w:p>
            <w:pPr>
              <w:jc w:val="center"/>
              <w:rPr>
                <w:sz w:val="24"/>
                <w:highlight w:val="none"/>
              </w:rPr>
            </w:pP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57" w:type="dxa"/>
            <w:left w:w="85" w:type="dxa"/>
            <w:bottom w:w="57" w:type="dxa"/>
            <w:right w:w="85" w:type="dxa"/>
          </w:tblCellMar>
        </w:tblPrEx>
        <w:trPr>
          <w:cantSplit/>
          <w:trHeight w:val="20" w:hRule="atLeast"/>
        </w:trPr>
        <w:tc>
          <w:tcPr>
            <w:tcW w:w="1386" w:type="pct"/>
            <w:noWrap/>
            <w:vAlign w:val="center"/>
          </w:tcPr>
          <w:p>
            <w:pPr>
              <w:jc w:val="center"/>
              <w:rPr>
                <w:sz w:val="24"/>
                <w:highlight w:val="none"/>
              </w:rPr>
            </w:pPr>
            <w:r>
              <w:rPr>
                <w:rFonts w:hint="eastAsia"/>
                <w:sz w:val="24"/>
                <w:highlight w:val="none"/>
              </w:rPr>
              <w:t>3000吨级以上货船</w:t>
            </w:r>
          </w:p>
        </w:tc>
        <w:tc>
          <w:tcPr>
            <w:tcW w:w="1126" w:type="pct"/>
            <w:noWrap/>
            <w:vAlign w:val="center"/>
          </w:tcPr>
          <w:p>
            <w:pPr>
              <w:jc w:val="center"/>
              <w:rPr>
                <w:sz w:val="24"/>
                <w:highlight w:val="none"/>
              </w:rPr>
            </w:pPr>
            <w:r>
              <w:rPr>
                <w:sz w:val="24"/>
                <w:highlight w:val="none"/>
              </w:rPr>
              <w:t xml:space="preserve">87.00 </w:t>
            </w:r>
          </w:p>
        </w:tc>
        <w:tc>
          <w:tcPr>
            <w:tcW w:w="843" w:type="pct"/>
            <w:noWrap/>
            <w:vAlign w:val="center"/>
          </w:tcPr>
          <w:p>
            <w:pPr>
              <w:jc w:val="center"/>
              <w:rPr>
                <w:sz w:val="24"/>
                <w:highlight w:val="none"/>
              </w:rPr>
            </w:pPr>
            <w:r>
              <w:rPr>
                <w:sz w:val="24"/>
                <w:highlight w:val="none"/>
              </w:rPr>
              <w:t xml:space="preserve">14.2 </w:t>
            </w:r>
          </w:p>
        </w:tc>
        <w:tc>
          <w:tcPr>
            <w:tcW w:w="824" w:type="pct"/>
            <w:noWrap/>
            <w:vAlign w:val="center"/>
          </w:tcPr>
          <w:p>
            <w:pPr>
              <w:jc w:val="center"/>
              <w:rPr>
                <w:sz w:val="24"/>
                <w:highlight w:val="none"/>
              </w:rPr>
            </w:pPr>
            <w:r>
              <w:rPr>
                <w:sz w:val="24"/>
                <w:highlight w:val="none"/>
              </w:rPr>
              <w:t xml:space="preserve">3.90 </w:t>
            </w:r>
          </w:p>
        </w:tc>
        <w:tc>
          <w:tcPr>
            <w:tcW w:w="819" w:type="pct"/>
            <w:vMerge w:val="continue"/>
            <w:noWrap/>
            <w:vAlign w:val="center"/>
          </w:tcPr>
          <w:p>
            <w:pPr>
              <w:jc w:val="center"/>
              <w:rPr>
                <w:sz w:val="24"/>
                <w:highlight w:val="none"/>
              </w:rPr>
            </w:pP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57" w:type="dxa"/>
            <w:left w:w="85" w:type="dxa"/>
            <w:bottom w:w="57" w:type="dxa"/>
            <w:right w:w="85" w:type="dxa"/>
          </w:tblCellMar>
        </w:tblPrEx>
        <w:trPr>
          <w:cantSplit/>
          <w:trHeight w:val="20" w:hRule="atLeast"/>
        </w:trPr>
        <w:tc>
          <w:tcPr>
            <w:tcW w:w="1386" w:type="pct"/>
            <w:noWrap/>
            <w:vAlign w:val="center"/>
          </w:tcPr>
          <w:p>
            <w:pPr>
              <w:jc w:val="center"/>
              <w:rPr>
                <w:sz w:val="24"/>
                <w:highlight w:val="none"/>
              </w:rPr>
            </w:pPr>
            <w:r>
              <w:rPr>
                <w:rFonts w:hint="eastAsia"/>
                <w:sz w:val="24"/>
                <w:highlight w:val="none"/>
              </w:rPr>
              <w:t>4000吨级以上货船</w:t>
            </w:r>
          </w:p>
        </w:tc>
        <w:tc>
          <w:tcPr>
            <w:tcW w:w="1126" w:type="pct"/>
            <w:noWrap/>
            <w:vAlign w:val="center"/>
          </w:tcPr>
          <w:p>
            <w:pPr>
              <w:jc w:val="center"/>
              <w:rPr>
                <w:sz w:val="24"/>
                <w:highlight w:val="none"/>
              </w:rPr>
            </w:pPr>
            <w:r>
              <w:rPr>
                <w:sz w:val="24"/>
                <w:highlight w:val="none"/>
              </w:rPr>
              <w:t xml:space="preserve">98.00 </w:t>
            </w:r>
          </w:p>
        </w:tc>
        <w:tc>
          <w:tcPr>
            <w:tcW w:w="843" w:type="pct"/>
            <w:noWrap/>
            <w:vAlign w:val="center"/>
          </w:tcPr>
          <w:p>
            <w:pPr>
              <w:jc w:val="center"/>
              <w:rPr>
                <w:sz w:val="24"/>
                <w:highlight w:val="none"/>
              </w:rPr>
            </w:pPr>
            <w:r>
              <w:rPr>
                <w:sz w:val="24"/>
                <w:highlight w:val="none"/>
              </w:rPr>
              <w:t xml:space="preserve">16.2 </w:t>
            </w:r>
          </w:p>
        </w:tc>
        <w:tc>
          <w:tcPr>
            <w:tcW w:w="824" w:type="pct"/>
            <w:noWrap/>
            <w:vAlign w:val="center"/>
          </w:tcPr>
          <w:p>
            <w:pPr>
              <w:jc w:val="center"/>
              <w:rPr>
                <w:sz w:val="24"/>
                <w:highlight w:val="none"/>
              </w:rPr>
            </w:pPr>
            <w:r>
              <w:rPr>
                <w:sz w:val="24"/>
                <w:highlight w:val="none"/>
              </w:rPr>
              <w:t xml:space="preserve">4.20 </w:t>
            </w:r>
          </w:p>
        </w:tc>
        <w:tc>
          <w:tcPr>
            <w:tcW w:w="819" w:type="pct"/>
            <w:vMerge w:val="continue"/>
            <w:noWrap/>
            <w:vAlign w:val="center"/>
          </w:tcPr>
          <w:p>
            <w:pPr>
              <w:jc w:val="center"/>
              <w:rPr>
                <w:sz w:val="24"/>
                <w:highlight w:val="none"/>
              </w:rPr>
            </w:pP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57" w:type="dxa"/>
            <w:left w:w="85" w:type="dxa"/>
            <w:bottom w:w="57" w:type="dxa"/>
            <w:right w:w="85" w:type="dxa"/>
          </w:tblCellMar>
        </w:tblPrEx>
        <w:trPr>
          <w:cantSplit/>
          <w:trHeight w:val="20" w:hRule="atLeast"/>
        </w:trPr>
        <w:tc>
          <w:tcPr>
            <w:tcW w:w="1386" w:type="pct"/>
            <w:noWrap/>
            <w:vAlign w:val="center"/>
          </w:tcPr>
          <w:p>
            <w:pPr>
              <w:jc w:val="center"/>
              <w:rPr>
                <w:sz w:val="24"/>
                <w:highlight w:val="none"/>
              </w:rPr>
            </w:pPr>
            <w:r>
              <w:rPr>
                <w:rFonts w:hint="eastAsia"/>
                <w:sz w:val="24"/>
                <w:highlight w:val="none"/>
              </w:rPr>
              <w:t>5000吨级以上货船</w:t>
            </w:r>
          </w:p>
        </w:tc>
        <w:tc>
          <w:tcPr>
            <w:tcW w:w="1126" w:type="pct"/>
            <w:noWrap/>
            <w:vAlign w:val="center"/>
          </w:tcPr>
          <w:p>
            <w:pPr>
              <w:jc w:val="center"/>
              <w:rPr>
                <w:sz w:val="24"/>
                <w:highlight w:val="none"/>
              </w:rPr>
            </w:pPr>
            <w:r>
              <w:rPr>
                <w:sz w:val="24"/>
                <w:highlight w:val="none"/>
              </w:rPr>
              <w:t xml:space="preserve">99.80 </w:t>
            </w:r>
          </w:p>
        </w:tc>
        <w:tc>
          <w:tcPr>
            <w:tcW w:w="843" w:type="pct"/>
            <w:noWrap/>
            <w:vAlign w:val="center"/>
          </w:tcPr>
          <w:p>
            <w:pPr>
              <w:jc w:val="center"/>
              <w:rPr>
                <w:sz w:val="24"/>
                <w:highlight w:val="none"/>
              </w:rPr>
            </w:pPr>
            <w:r>
              <w:rPr>
                <w:sz w:val="24"/>
                <w:highlight w:val="none"/>
              </w:rPr>
              <w:t xml:space="preserve">16.2 </w:t>
            </w:r>
          </w:p>
        </w:tc>
        <w:tc>
          <w:tcPr>
            <w:tcW w:w="824" w:type="pct"/>
            <w:noWrap/>
            <w:vAlign w:val="center"/>
          </w:tcPr>
          <w:p>
            <w:pPr>
              <w:jc w:val="center"/>
              <w:rPr>
                <w:sz w:val="24"/>
                <w:highlight w:val="none"/>
              </w:rPr>
            </w:pPr>
            <w:r>
              <w:rPr>
                <w:sz w:val="24"/>
                <w:highlight w:val="none"/>
              </w:rPr>
              <w:t xml:space="preserve">4.60 </w:t>
            </w:r>
          </w:p>
        </w:tc>
        <w:tc>
          <w:tcPr>
            <w:tcW w:w="819" w:type="pct"/>
            <w:vMerge w:val="continue"/>
            <w:noWrap/>
            <w:vAlign w:val="center"/>
          </w:tcPr>
          <w:p>
            <w:pPr>
              <w:jc w:val="center"/>
              <w:rPr>
                <w:sz w:val="24"/>
                <w:highlight w:val="none"/>
              </w:rPr>
            </w:pP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57" w:type="dxa"/>
            <w:left w:w="85" w:type="dxa"/>
            <w:bottom w:w="57" w:type="dxa"/>
            <w:right w:w="85" w:type="dxa"/>
          </w:tblCellMar>
        </w:tblPrEx>
        <w:trPr>
          <w:cantSplit/>
          <w:trHeight w:val="90" w:hRule="atLeast"/>
        </w:trPr>
        <w:tc>
          <w:tcPr>
            <w:tcW w:w="1386" w:type="pct"/>
            <w:noWrap/>
            <w:vAlign w:val="center"/>
          </w:tcPr>
          <w:p>
            <w:pPr>
              <w:jc w:val="center"/>
              <w:rPr>
                <w:sz w:val="24"/>
                <w:highlight w:val="none"/>
                <w:lang w:val="en-GB"/>
              </w:rPr>
            </w:pPr>
            <w:r>
              <w:rPr>
                <w:sz w:val="24"/>
                <w:highlight w:val="none"/>
              </w:rPr>
              <w:t>100吨以下货船</w:t>
            </w:r>
          </w:p>
        </w:tc>
        <w:tc>
          <w:tcPr>
            <w:tcW w:w="1126" w:type="pct"/>
            <w:noWrap/>
            <w:vAlign w:val="center"/>
          </w:tcPr>
          <w:p>
            <w:pPr>
              <w:jc w:val="center"/>
              <w:rPr>
                <w:sz w:val="24"/>
                <w:highlight w:val="none"/>
              </w:rPr>
            </w:pPr>
            <w:r>
              <w:rPr>
                <w:sz w:val="24"/>
                <w:highlight w:val="none"/>
              </w:rPr>
              <w:t xml:space="preserve">18.06 </w:t>
            </w:r>
          </w:p>
        </w:tc>
        <w:tc>
          <w:tcPr>
            <w:tcW w:w="843" w:type="pct"/>
            <w:noWrap/>
            <w:vAlign w:val="center"/>
          </w:tcPr>
          <w:p>
            <w:pPr>
              <w:jc w:val="center"/>
              <w:rPr>
                <w:sz w:val="24"/>
                <w:highlight w:val="none"/>
                <w:lang w:val="en-GB"/>
              </w:rPr>
            </w:pPr>
            <w:r>
              <w:rPr>
                <w:sz w:val="24"/>
                <w:highlight w:val="none"/>
              </w:rPr>
              <w:t xml:space="preserve">3.44 </w:t>
            </w:r>
          </w:p>
        </w:tc>
        <w:tc>
          <w:tcPr>
            <w:tcW w:w="824" w:type="pct"/>
            <w:noWrap/>
            <w:vAlign w:val="center"/>
          </w:tcPr>
          <w:p>
            <w:pPr>
              <w:jc w:val="center"/>
              <w:rPr>
                <w:sz w:val="24"/>
                <w:highlight w:val="none"/>
                <w:lang w:val="en-GB"/>
              </w:rPr>
            </w:pPr>
            <w:r>
              <w:rPr>
                <w:sz w:val="24"/>
                <w:highlight w:val="none"/>
              </w:rPr>
              <w:t xml:space="preserve">0.80 </w:t>
            </w:r>
          </w:p>
        </w:tc>
        <w:tc>
          <w:tcPr>
            <w:tcW w:w="819" w:type="pct"/>
            <w:noWrap/>
            <w:vAlign w:val="center"/>
          </w:tcPr>
          <w:p>
            <w:pPr>
              <w:jc w:val="center"/>
              <w:rPr>
                <w:sz w:val="24"/>
                <w:highlight w:val="none"/>
                <w:lang w:val="en-GB"/>
              </w:rPr>
            </w:pPr>
            <w:r>
              <w:rPr>
                <w:sz w:val="24"/>
                <w:highlight w:val="none"/>
              </w:rPr>
              <w:t>五通桥区</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57" w:type="dxa"/>
            <w:left w:w="85" w:type="dxa"/>
            <w:bottom w:w="57" w:type="dxa"/>
            <w:right w:w="85" w:type="dxa"/>
          </w:tblCellMar>
        </w:tblPrEx>
        <w:trPr>
          <w:cantSplit/>
          <w:trHeight w:val="20" w:hRule="atLeast"/>
        </w:trPr>
        <w:tc>
          <w:tcPr>
            <w:tcW w:w="1386" w:type="pct"/>
            <w:noWrap/>
            <w:vAlign w:val="center"/>
          </w:tcPr>
          <w:p>
            <w:pPr>
              <w:jc w:val="center"/>
              <w:rPr>
                <w:sz w:val="24"/>
                <w:highlight w:val="none"/>
                <w:lang w:val="en-GB"/>
              </w:rPr>
            </w:pPr>
            <w:r>
              <w:rPr>
                <w:sz w:val="24"/>
                <w:highlight w:val="none"/>
              </w:rPr>
              <w:t>100吨以下货船</w:t>
            </w:r>
          </w:p>
        </w:tc>
        <w:tc>
          <w:tcPr>
            <w:tcW w:w="1126" w:type="pct"/>
            <w:noWrap/>
            <w:vAlign w:val="center"/>
          </w:tcPr>
          <w:p>
            <w:pPr>
              <w:jc w:val="center"/>
              <w:rPr>
                <w:sz w:val="24"/>
                <w:highlight w:val="none"/>
              </w:rPr>
            </w:pPr>
            <w:r>
              <w:rPr>
                <w:sz w:val="24"/>
                <w:highlight w:val="none"/>
              </w:rPr>
              <w:t>17.48~25.2</w:t>
            </w:r>
          </w:p>
        </w:tc>
        <w:tc>
          <w:tcPr>
            <w:tcW w:w="843" w:type="pct"/>
            <w:noWrap/>
            <w:vAlign w:val="center"/>
          </w:tcPr>
          <w:p>
            <w:pPr>
              <w:jc w:val="center"/>
              <w:rPr>
                <w:sz w:val="24"/>
                <w:highlight w:val="none"/>
              </w:rPr>
            </w:pPr>
            <w:r>
              <w:rPr>
                <w:sz w:val="24"/>
                <w:highlight w:val="none"/>
              </w:rPr>
              <w:t>3.40~3.9</w:t>
            </w:r>
          </w:p>
        </w:tc>
        <w:tc>
          <w:tcPr>
            <w:tcW w:w="824" w:type="pct"/>
            <w:noWrap/>
            <w:vAlign w:val="center"/>
          </w:tcPr>
          <w:p>
            <w:pPr>
              <w:jc w:val="center"/>
              <w:rPr>
                <w:sz w:val="24"/>
                <w:highlight w:val="none"/>
              </w:rPr>
            </w:pPr>
            <w:r>
              <w:rPr>
                <w:sz w:val="24"/>
                <w:highlight w:val="none"/>
              </w:rPr>
              <w:t>0.9</w:t>
            </w:r>
          </w:p>
        </w:tc>
        <w:tc>
          <w:tcPr>
            <w:tcW w:w="819" w:type="pct"/>
            <w:vMerge w:val="restart"/>
            <w:noWrap/>
            <w:vAlign w:val="center"/>
          </w:tcPr>
          <w:p>
            <w:pPr>
              <w:jc w:val="center"/>
              <w:rPr>
                <w:sz w:val="24"/>
                <w:highlight w:val="none"/>
              </w:rPr>
            </w:pPr>
            <w:r>
              <w:rPr>
                <w:sz w:val="24"/>
                <w:highlight w:val="none"/>
                <w:lang w:val="en-GB"/>
              </w:rPr>
              <w:t>犍为县</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57" w:type="dxa"/>
            <w:left w:w="85" w:type="dxa"/>
            <w:bottom w:w="57" w:type="dxa"/>
            <w:right w:w="85" w:type="dxa"/>
          </w:tblCellMar>
        </w:tblPrEx>
        <w:trPr>
          <w:cantSplit/>
          <w:trHeight w:val="20" w:hRule="atLeast"/>
        </w:trPr>
        <w:tc>
          <w:tcPr>
            <w:tcW w:w="1386" w:type="pct"/>
            <w:noWrap/>
            <w:vAlign w:val="center"/>
          </w:tcPr>
          <w:p>
            <w:pPr>
              <w:jc w:val="center"/>
              <w:rPr>
                <w:sz w:val="24"/>
                <w:highlight w:val="none"/>
              </w:rPr>
            </w:pPr>
            <w:r>
              <w:rPr>
                <w:sz w:val="24"/>
                <w:highlight w:val="none"/>
              </w:rPr>
              <w:t>100~500吨货船</w:t>
            </w:r>
          </w:p>
        </w:tc>
        <w:tc>
          <w:tcPr>
            <w:tcW w:w="1126" w:type="pct"/>
            <w:noWrap/>
            <w:vAlign w:val="center"/>
          </w:tcPr>
          <w:p>
            <w:pPr>
              <w:jc w:val="center"/>
              <w:rPr>
                <w:sz w:val="24"/>
                <w:highlight w:val="none"/>
                <w:lang w:val="en-GB"/>
              </w:rPr>
            </w:pPr>
            <w:r>
              <w:rPr>
                <w:sz w:val="24"/>
                <w:highlight w:val="none"/>
              </w:rPr>
              <w:t>32.00~45.8</w:t>
            </w:r>
          </w:p>
        </w:tc>
        <w:tc>
          <w:tcPr>
            <w:tcW w:w="843" w:type="pct"/>
            <w:noWrap/>
            <w:vAlign w:val="center"/>
          </w:tcPr>
          <w:p>
            <w:pPr>
              <w:jc w:val="center"/>
              <w:rPr>
                <w:sz w:val="24"/>
                <w:highlight w:val="none"/>
                <w:lang w:val="en-GB"/>
              </w:rPr>
            </w:pPr>
            <w:r>
              <w:rPr>
                <w:sz w:val="24"/>
                <w:highlight w:val="none"/>
              </w:rPr>
              <w:t>5.40~8.0</w:t>
            </w:r>
          </w:p>
        </w:tc>
        <w:tc>
          <w:tcPr>
            <w:tcW w:w="824" w:type="pct"/>
            <w:noWrap/>
            <w:vAlign w:val="center"/>
          </w:tcPr>
          <w:p>
            <w:pPr>
              <w:jc w:val="center"/>
              <w:rPr>
                <w:sz w:val="24"/>
                <w:highlight w:val="none"/>
              </w:rPr>
            </w:pPr>
            <w:r>
              <w:rPr>
                <w:sz w:val="24"/>
                <w:highlight w:val="none"/>
              </w:rPr>
              <w:t>1.40~2.35</w:t>
            </w:r>
          </w:p>
        </w:tc>
        <w:tc>
          <w:tcPr>
            <w:tcW w:w="819" w:type="pct"/>
            <w:vMerge w:val="continue"/>
            <w:noWrap/>
            <w:vAlign w:val="center"/>
          </w:tcPr>
          <w:p>
            <w:pPr>
              <w:jc w:val="center"/>
              <w:rPr>
                <w:sz w:val="24"/>
                <w:highlight w:val="none"/>
              </w:rPr>
            </w:pP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PrEx>
        <w:trPr>
          <w:cantSplit/>
          <w:trHeight w:val="20" w:hRule="atLeast"/>
        </w:trPr>
        <w:tc>
          <w:tcPr>
            <w:tcW w:w="1386" w:type="pct"/>
            <w:noWrap/>
            <w:vAlign w:val="center"/>
          </w:tcPr>
          <w:p>
            <w:pPr>
              <w:jc w:val="center"/>
              <w:rPr>
                <w:sz w:val="24"/>
                <w:highlight w:val="none"/>
              </w:rPr>
            </w:pPr>
            <w:r>
              <w:rPr>
                <w:sz w:val="24"/>
                <w:highlight w:val="none"/>
              </w:rPr>
              <w:t>500~1000吨货船</w:t>
            </w:r>
          </w:p>
        </w:tc>
        <w:tc>
          <w:tcPr>
            <w:tcW w:w="1126" w:type="pct"/>
            <w:noWrap/>
            <w:vAlign w:val="center"/>
          </w:tcPr>
          <w:p>
            <w:pPr>
              <w:jc w:val="center"/>
              <w:rPr>
                <w:sz w:val="24"/>
                <w:highlight w:val="none"/>
              </w:rPr>
            </w:pPr>
            <w:r>
              <w:rPr>
                <w:sz w:val="24"/>
                <w:highlight w:val="none"/>
              </w:rPr>
              <w:t>46.28~58.0</w:t>
            </w:r>
          </w:p>
        </w:tc>
        <w:tc>
          <w:tcPr>
            <w:tcW w:w="843" w:type="pct"/>
            <w:noWrap/>
            <w:vAlign w:val="center"/>
          </w:tcPr>
          <w:p>
            <w:pPr>
              <w:jc w:val="center"/>
              <w:rPr>
                <w:sz w:val="24"/>
                <w:highlight w:val="none"/>
              </w:rPr>
            </w:pPr>
            <w:r>
              <w:rPr>
                <w:sz w:val="24"/>
                <w:highlight w:val="none"/>
              </w:rPr>
              <w:t>7.60~11</w:t>
            </w:r>
          </w:p>
        </w:tc>
        <w:tc>
          <w:tcPr>
            <w:tcW w:w="824" w:type="pct"/>
            <w:noWrap/>
            <w:vAlign w:val="center"/>
          </w:tcPr>
          <w:p>
            <w:pPr>
              <w:jc w:val="center"/>
              <w:rPr>
                <w:sz w:val="24"/>
                <w:highlight w:val="none"/>
              </w:rPr>
            </w:pPr>
            <w:r>
              <w:rPr>
                <w:sz w:val="24"/>
                <w:highlight w:val="none"/>
              </w:rPr>
              <w:t>2.10~2.80</w:t>
            </w:r>
          </w:p>
        </w:tc>
        <w:tc>
          <w:tcPr>
            <w:tcW w:w="819" w:type="pct"/>
            <w:vMerge w:val="continue"/>
            <w:noWrap/>
            <w:vAlign w:val="center"/>
          </w:tcPr>
          <w:p>
            <w:pPr>
              <w:jc w:val="center"/>
              <w:rPr>
                <w:sz w:val="24"/>
                <w:highlight w:val="none"/>
              </w:rPr>
            </w:pP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57" w:type="dxa"/>
            <w:left w:w="85" w:type="dxa"/>
            <w:bottom w:w="57" w:type="dxa"/>
            <w:right w:w="85" w:type="dxa"/>
          </w:tblCellMar>
        </w:tblPrEx>
        <w:trPr>
          <w:cantSplit/>
          <w:trHeight w:val="20" w:hRule="atLeast"/>
        </w:trPr>
        <w:tc>
          <w:tcPr>
            <w:tcW w:w="1386" w:type="pct"/>
            <w:noWrap/>
            <w:vAlign w:val="center"/>
          </w:tcPr>
          <w:p>
            <w:pPr>
              <w:jc w:val="distribute"/>
              <w:rPr>
                <w:sz w:val="24"/>
                <w:highlight w:val="none"/>
              </w:rPr>
            </w:pPr>
            <w:r>
              <w:rPr>
                <w:sz w:val="24"/>
                <w:highlight w:val="none"/>
              </w:rPr>
              <w:t>1000~3000吨货船</w:t>
            </w:r>
          </w:p>
        </w:tc>
        <w:tc>
          <w:tcPr>
            <w:tcW w:w="1126" w:type="pct"/>
            <w:noWrap/>
            <w:vAlign w:val="center"/>
          </w:tcPr>
          <w:p>
            <w:pPr>
              <w:jc w:val="center"/>
              <w:rPr>
                <w:sz w:val="24"/>
                <w:highlight w:val="none"/>
              </w:rPr>
            </w:pPr>
            <w:r>
              <w:rPr>
                <w:sz w:val="24"/>
                <w:highlight w:val="none"/>
              </w:rPr>
              <w:t>56.60~86.8</w:t>
            </w:r>
          </w:p>
        </w:tc>
        <w:tc>
          <w:tcPr>
            <w:tcW w:w="843" w:type="pct"/>
            <w:noWrap/>
            <w:vAlign w:val="center"/>
          </w:tcPr>
          <w:p>
            <w:pPr>
              <w:jc w:val="center"/>
              <w:rPr>
                <w:sz w:val="24"/>
                <w:highlight w:val="none"/>
              </w:rPr>
            </w:pPr>
            <w:r>
              <w:rPr>
                <w:sz w:val="24"/>
                <w:highlight w:val="none"/>
              </w:rPr>
              <w:t>10.8~14.6</w:t>
            </w:r>
          </w:p>
        </w:tc>
        <w:tc>
          <w:tcPr>
            <w:tcW w:w="824" w:type="pct"/>
            <w:noWrap/>
            <w:vAlign w:val="center"/>
          </w:tcPr>
          <w:p>
            <w:pPr>
              <w:jc w:val="center"/>
              <w:rPr>
                <w:sz w:val="24"/>
                <w:highlight w:val="none"/>
              </w:rPr>
            </w:pPr>
            <w:r>
              <w:rPr>
                <w:sz w:val="24"/>
                <w:highlight w:val="none"/>
              </w:rPr>
              <w:t>2.50~3.5</w:t>
            </w:r>
          </w:p>
        </w:tc>
        <w:tc>
          <w:tcPr>
            <w:tcW w:w="819" w:type="pct"/>
            <w:vMerge w:val="continue"/>
            <w:noWrap/>
            <w:vAlign w:val="center"/>
          </w:tcPr>
          <w:p>
            <w:pPr>
              <w:jc w:val="center"/>
              <w:rPr>
                <w:sz w:val="24"/>
                <w:highlight w:val="none"/>
              </w:rPr>
            </w:pP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57" w:type="dxa"/>
            <w:left w:w="85" w:type="dxa"/>
            <w:bottom w:w="57" w:type="dxa"/>
            <w:right w:w="85" w:type="dxa"/>
          </w:tblCellMar>
        </w:tblPrEx>
        <w:trPr>
          <w:cantSplit/>
          <w:trHeight w:val="20" w:hRule="atLeast"/>
        </w:trPr>
        <w:tc>
          <w:tcPr>
            <w:tcW w:w="1386" w:type="pct"/>
            <w:noWrap/>
            <w:vAlign w:val="center"/>
          </w:tcPr>
          <w:p>
            <w:pPr>
              <w:jc w:val="center"/>
              <w:rPr>
                <w:sz w:val="24"/>
                <w:highlight w:val="none"/>
              </w:rPr>
            </w:pPr>
            <w:r>
              <w:rPr>
                <w:rFonts w:hint="eastAsia"/>
                <w:sz w:val="24"/>
                <w:highlight w:val="none"/>
              </w:rPr>
              <w:t>5000吨级以上货船</w:t>
            </w:r>
          </w:p>
        </w:tc>
        <w:tc>
          <w:tcPr>
            <w:tcW w:w="1126" w:type="pct"/>
            <w:noWrap/>
            <w:vAlign w:val="center"/>
          </w:tcPr>
          <w:p>
            <w:pPr>
              <w:jc w:val="center"/>
              <w:rPr>
                <w:sz w:val="24"/>
                <w:highlight w:val="none"/>
              </w:rPr>
            </w:pPr>
            <w:r>
              <w:rPr>
                <w:sz w:val="24"/>
                <w:highlight w:val="none"/>
              </w:rPr>
              <w:t xml:space="preserve">105.00 </w:t>
            </w:r>
          </w:p>
        </w:tc>
        <w:tc>
          <w:tcPr>
            <w:tcW w:w="843" w:type="pct"/>
            <w:noWrap/>
            <w:vAlign w:val="center"/>
          </w:tcPr>
          <w:p>
            <w:pPr>
              <w:jc w:val="center"/>
              <w:rPr>
                <w:sz w:val="24"/>
                <w:highlight w:val="none"/>
              </w:rPr>
            </w:pPr>
            <w:r>
              <w:rPr>
                <w:sz w:val="24"/>
                <w:highlight w:val="none"/>
              </w:rPr>
              <w:t xml:space="preserve">17.2 </w:t>
            </w:r>
          </w:p>
        </w:tc>
        <w:tc>
          <w:tcPr>
            <w:tcW w:w="824" w:type="pct"/>
            <w:noWrap/>
            <w:vAlign w:val="center"/>
          </w:tcPr>
          <w:p>
            <w:pPr>
              <w:jc w:val="center"/>
              <w:rPr>
                <w:sz w:val="24"/>
                <w:highlight w:val="none"/>
              </w:rPr>
            </w:pPr>
            <w:r>
              <w:rPr>
                <w:sz w:val="24"/>
                <w:highlight w:val="none"/>
              </w:rPr>
              <w:t xml:space="preserve">4.65 </w:t>
            </w:r>
          </w:p>
        </w:tc>
        <w:tc>
          <w:tcPr>
            <w:tcW w:w="819" w:type="pct"/>
            <w:vMerge w:val="continue"/>
            <w:noWrap/>
            <w:vAlign w:val="center"/>
          </w:tcPr>
          <w:p>
            <w:pPr>
              <w:jc w:val="center"/>
              <w:rPr>
                <w:sz w:val="24"/>
                <w:highlight w:val="none"/>
              </w:rPr>
            </w:pP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57" w:type="dxa"/>
            <w:left w:w="85" w:type="dxa"/>
            <w:bottom w:w="57" w:type="dxa"/>
            <w:right w:w="85" w:type="dxa"/>
          </w:tblCellMar>
        </w:tblPrEx>
        <w:trPr>
          <w:cantSplit/>
          <w:trHeight w:val="20" w:hRule="atLeast"/>
        </w:trPr>
        <w:tc>
          <w:tcPr>
            <w:tcW w:w="1386" w:type="pct"/>
            <w:noWrap/>
            <w:vAlign w:val="center"/>
          </w:tcPr>
          <w:p>
            <w:pPr>
              <w:jc w:val="center"/>
              <w:rPr>
                <w:sz w:val="24"/>
                <w:highlight w:val="none"/>
              </w:rPr>
            </w:pPr>
            <w:r>
              <w:rPr>
                <w:sz w:val="24"/>
                <w:highlight w:val="none"/>
              </w:rPr>
              <w:t>100吨以下货船</w:t>
            </w:r>
          </w:p>
        </w:tc>
        <w:tc>
          <w:tcPr>
            <w:tcW w:w="1126" w:type="pct"/>
            <w:noWrap/>
            <w:vAlign w:val="center"/>
          </w:tcPr>
          <w:p>
            <w:pPr>
              <w:jc w:val="center"/>
              <w:rPr>
                <w:sz w:val="24"/>
                <w:highlight w:val="none"/>
              </w:rPr>
            </w:pPr>
            <w:r>
              <w:rPr>
                <w:sz w:val="24"/>
                <w:highlight w:val="none"/>
              </w:rPr>
              <w:t>16.7~30.09</w:t>
            </w:r>
          </w:p>
        </w:tc>
        <w:tc>
          <w:tcPr>
            <w:tcW w:w="843" w:type="pct"/>
            <w:noWrap/>
            <w:vAlign w:val="center"/>
          </w:tcPr>
          <w:p>
            <w:pPr>
              <w:jc w:val="center"/>
              <w:rPr>
                <w:sz w:val="24"/>
                <w:highlight w:val="none"/>
              </w:rPr>
            </w:pPr>
            <w:r>
              <w:rPr>
                <w:sz w:val="24"/>
                <w:highlight w:val="none"/>
              </w:rPr>
              <w:t>3.1~5.4</w:t>
            </w:r>
          </w:p>
        </w:tc>
        <w:tc>
          <w:tcPr>
            <w:tcW w:w="824" w:type="pct"/>
            <w:noWrap/>
            <w:vAlign w:val="center"/>
          </w:tcPr>
          <w:p>
            <w:pPr>
              <w:jc w:val="center"/>
              <w:rPr>
                <w:sz w:val="24"/>
                <w:highlight w:val="none"/>
              </w:rPr>
            </w:pPr>
            <w:r>
              <w:rPr>
                <w:sz w:val="24"/>
                <w:highlight w:val="none"/>
              </w:rPr>
              <w:t>0.60~1.2</w:t>
            </w:r>
          </w:p>
        </w:tc>
        <w:tc>
          <w:tcPr>
            <w:tcW w:w="819" w:type="pct"/>
            <w:vMerge w:val="restart"/>
            <w:noWrap/>
            <w:vAlign w:val="center"/>
          </w:tcPr>
          <w:p>
            <w:pPr>
              <w:jc w:val="center"/>
              <w:rPr>
                <w:sz w:val="24"/>
                <w:highlight w:val="none"/>
                <w:lang w:val="en-GB"/>
              </w:rPr>
            </w:pPr>
            <w:r>
              <w:rPr>
                <w:sz w:val="24"/>
                <w:highlight w:val="none"/>
              </w:rPr>
              <w:t>沙湾区</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57" w:type="dxa"/>
            <w:left w:w="85" w:type="dxa"/>
            <w:bottom w:w="57" w:type="dxa"/>
            <w:right w:w="85" w:type="dxa"/>
          </w:tblCellMar>
        </w:tblPrEx>
        <w:trPr>
          <w:cantSplit/>
          <w:trHeight w:val="20" w:hRule="atLeast"/>
        </w:trPr>
        <w:tc>
          <w:tcPr>
            <w:tcW w:w="1386" w:type="pct"/>
            <w:noWrap/>
            <w:vAlign w:val="center"/>
          </w:tcPr>
          <w:p>
            <w:pPr>
              <w:jc w:val="center"/>
              <w:rPr>
                <w:sz w:val="24"/>
                <w:highlight w:val="none"/>
              </w:rPr>
            </w:pPr>
            <w:r>
              <w:rPr>
                <w:sz w:val="24"/>
                <w:highlight w:val="none"/>
              </w:rPr>
              <w:t>100~500吨货船</w:t>
            </w:r>
          </w:p>
        </w:tc>
        <w:tc>
          <w:tcPr>
            <w:tcW w:w="1126" w:type="pct"/>
            <w:noWrap/>
            <w:vAlign w:val="center"/>
          </w:tcPr>
          <w:p>
            <w:pPr>
              <w:jc w:val="center"/>
              <w:rPr>
                <w:sz w:val="24"/>
                <w:highlight w:val="none"/>
              </w:rPr>
            </w:pPr>
            <w:r>
              <w:rPr>
                <w:sz w:val="24"/>
                <w:highlight w:val="none"/>
              </w:rPr>
              <w:t>30.75~45.8</w:t>
            </w:r>
          </w:p>
        </w:tc>
        <w:tc>
          <w:tcPr>
            <w:tcW w:w="843" w:type="pct"/>
            <w:noWrap/>
            <w:vAlign w:val="center"/>
          </w:tcPr>
          <w:p>
            <w:pPr>
              <w:jc w:val="center"/>
              <w:rPr>
                <w:sz w:val="24"/>
                <w:highlight w:val="none"/>
              </w:rPr>
            </w:pPr>
            <w:r>
              <w:rPr>
                <w:sz w:val="24"/>
                <w:highlight w:val="none"/>
              </w:rPr>
              <w:t>5.0~8.0</w:t>
            </w:r>
          </w:p>
        </w:tc>
        <w:tc>
          <w:tcPr>
            <w:tcW w:w="824" w:type="pct"/>
            <w:noWrap/>
            <w:vAlign w:val="center"/>
          </w:tcPr>
          <w:p>
            <w:pPr>
              <w:jc w:val="center"/>
              <w:rPr>
                <w:sz w:val="24"/>
                <w:highlight w:val="none"/>
              </w:rPr>
            </w:pPr>
            <w:r>
              <w:rPr>
                <w:sz w:val="24"/>
                <w:highlight w:val="none"/>
              </w:rPr>
              <w:t>1.17~2.16</w:t>
            </w:r>
          </w:p>
        </w:tc>
        <w:tc>
          <w:tcPr>
            <w:tcW w:w="819" w:type="pct"/>
            <w:vMerge w:val="continue"/>
            <w:noWrap/>
            <w:vAlign w:val="center"/>
          </w:tcPr>
          <w:p>
            <w:pPr>
              <w:jc w:val="center"/>
              <w:rPr>
                <w:sz w:val="24"/>
                <w:highlight w:val="none"/>
              </w:rPr>
            </w:pP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57" w:type="dxa"/>
            <w:left w:w="85" w:type="dxa"/>
            <w:bottom w:w="57" w:type="dxa"/>
            <w:right w:w="85" w:type="dxa"/>
          </w:tblCellMar>
        </w:tblPrEx>
        <w:trPr>
          <w:cantSplit/>
          <w:trHeight w:val="20" w:hRule="atLeast"/>
        </w:trPr>
        <w:tc>
          <w:tcPr>
            <w:tcW w:w="1386" w:type="pct"/>
            <w:noWrap/>
            <w:vAlign w:val="center"/>
          </w:tcPr>
          <w:p>
            <w:pPr>
              <w:jc w:val="center"/>
              <w:rPr>
                <w:sz w:val="24"/>
                <w:highlight w:val="none"/>
              </w:rPr>
            </w:pPr>
            <w:r>
              <w:rPr>
                <w:sz w:val="24"/>
                <w:highlight w:val="none"/>
              </w:rPr>
              <w:t>500吨以上货船</w:t>
            </w:r>
          </w:p>
        </w:tc>
        <w:tc>
          <w:tcPr>
            <w:tcW w:w="1126" w:type="pct"/>
            <w:noWrap/>
            <w:vAlign w:val="center"/>
          </w:tcPr>
          <w:p>
            <w:pPr>
              <w:jc w:val="center"/>
              <w:rPr>
                <w:sz w:val="24"/>
                <w:highlight w:val="none"/>
              </w:rPr>
            </w:pPr>
            <w:r>
              <w:rPr>
                <w:sz w:val="24"/>
                <w:highlight w:val="none"/>
              </w:rPr>
              <w:t>52.8~55.63</w:t>
            </w:r>
          </w:p>
        </w:tc>
        <w:tc>
          <w:tcPr>
            <w:tcW w:w="843" w:type="pct"/>
            <w:noWrap/>
            <w:vAlign w:val="center"/>
          </w:tcPr>
          <w:p>
            <w:pPr>
              <w:jc w:val="center"/>
              <w:rPr>
                <w:sz w:val="24"/>
                <w:highlight w:val="none"/>
              </w:rPr>
            </w:pPr>
            <w:r>
              <w:rPr>
                <w:sz w:val="24"/>
                <w:highlight w:val="none"/>
              </w:rPr>
              <w:t>9.2~9.6</w:t>
            </w:r>
          </w:p>
        </w:tc>
        <w:tc>
          <w:tcPr>
            <w:tcW w:w="824" w:type="pct"/>
            <w:noWrap/>
            <w:vAlign w:val="center"/>
          </w:tcPr>
          <w:p>
            <w:pPr>
              <w:jc w:val="center"/>
              <w:rPr>
                <w:sz w:val="24"/>
                <w:highlight w:val="none"/>
              </w:rPr>
            </w:pPr>
            <w:r>
              <w:rPr>
                <w:sz w:val="24"/>
                <w:highlight w:val="none"/>
              </w:rPr>
              <w:t>2.45~2.51</w:t>
            </w:r>
          </w:p>
        </w:tc>
        <w:tc>
          <w:tcPr>
            <w:tcW w:w="819" w:type="pct"/>
            <w:vMerge w:val="continue"/>
            <w:noWrap/>
            <w:vAlign w:val="center"/>
          </w:tcPr>
          <w:p>
            <w:pPr>
              <w:jc w:val="center"/>
              <w:rPr>
                <w:sz w:val="24"/>
                <w:highlight w:val="none"/>
                <w:lang w:val="en-GB"/>
              </w:rPr>
            </w:pP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57" w:type="dxa"/>
            <w:left w:w="85" w:type="dxa"/>
            <w:bottom w:w="57" w:type="dxa"/>
            <w:right w:w="85" w:type="dxa"/>
          </w:tblCellMar>
        </w:tblPrEx>
        <w:trPr>
          <w:cantSplit/>
          <w:trHeight w:val="20" w:hRule="atLeast"/>
        </w:trPr>
        <w:tc>
          <w:tcPr>
            <w:tcW w:w="1386" w:type="pct"/>
            <w:noWrap/>
            <w:vAlign w:val="center"/>
          </w:tcPr>
          <w:p>
            <w:pPr>
              <w:jc w:val="center"/>
              <w:rPr>
                <w:sz w:val="24"/>
                <w:highlight w:val="none"/>
              </w:rPr>
            </w:pPr>
            <w:r>
              <w:rPr>
                <w:sz w:val="24"/>
                <w:highlight w:val="none"/>
              </w:rPr>
              <w:t>500~1000吨货船</w:t>
            </w:r>
          </w:p>
        </w:tc>
        <w:tc>
          <w:tcPr>
            <w:tcW w:w="1126" w:type="pct"/>
            <w:noWrap/>
            <w:vAlign w:val="center"/>
          </w:tcPr>
          <w:p>
            <w:pPr>
              <w:jc w:val="center"/>
              <w:rPr>
                <w:sz w:val="24"/>
                <w:highlight w:val="none"/>
              </w:rPr>
            </w:pPr>
            <w:r>
              <w:rPr>
                <w:sz w:val="24"/>
                <w:highlight w:val="none"/>
              </w:rPr>
              <w:t>51.36~60</w:t>
            </w:r>
          </w:p>
        </w:tc>
        <w:tc>
          <w:tcPr>
            <w:tcW w:w="843" w:type="pct"/>
            <w:noWrap/>
            <w:vAlign w:val="center"/>
          </w:tcPr>
          <w:p>
            <w:pPr>
              <w:jc w:val="center"/>
              <w:rPr>
                <w:sz w:val="24"/>
                <w:highlight w:val="none"/>
              </w:rPr>
            </w:pPr>
            <w:r>
              <w:rPr>
                <w:sz w:val="24"/>
                <w:highlight w:val="none"/>
              </w:rPr>
              <w:t>8.6~10.8</w:t>
            </w:r>
          </w:p>
        </w:tc>
        <w:tc>
          <w:tcPr>
            <w:tcW w:w="824" w:type="pct"/>
            <w:noWrap/>
            <w:vAlign w:val="center"/>
          </w:tcPr>
          <w:p>
            <w:pPr>
              <w:jc w:val="center"/>
              <w:rPr>
                <w:sz w:val="24"/>
                <w:highlight w:val="none"/>
              </w:rPr>
            </w:pPr>
            <w:r>
              <w:rPr>
                <w:sz w:val="24"/>
                <w:highlight w:val="none"/>
              </w:rPr>
              <w:t>2.20~2.65</w:t>
            </w:r>
          </w:p>
        </w:tc>
        <w:tc>
          <w:tcPr>
            <w:tcW w:w="819" w:type="pct"/>
            <w:vMerge w:val="restart"/>
            <w:noWrap/>
            <w:vAlign w:val="center"/>
          </w:tcPr>
          <w:p>
            <w:pPr>
              <w:jc w:val="center"/>
              <w:rPr>
                <w:sz w:val="24"/>
                <w:highlight w:val="none"/>
                <w:lang w:val="en-GB"/>
              </w:rPr>
            </w:pPr>
            <w:r>
              <w:rPr>
                <w:sz w:val="24"/>
                <w:highlight w:val="none"/>
              </w:rPr>
              <w:t>夹江县</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57" w:type="dxa"/>
            <w:left w:w="85" w:type="dxa"/>
            <w:bottom w:w="57" w:type="dxa"/>
            <w:right w:w="85" w:type="dxa"/>
          </w:tblCellMar>
        </w:tblPrEx>
        <w:trPr>
          <w:cantSplit/>
          <w:trHeight w:val="20" w:hRule="atLeast"/>
        </w:trPr>
        <w:tc>
          <w:tcPr>
            <w:tcW w:w="1386" w:type="pct"/>
            <w:noWrap/>
            <w:vAlign w:val="center"/>
          </w:tcPr>
          <w:p>
            <w:pPr>
              <w:jc w:val="center"/>
              <w:rPr>
                <w:sz w:val="24"/>
                <w:highlight w:val="none"/>
              </w:rPr>
            </w:pPr>
            <w:r>
              <w:rPr>
                <w:sz w:val="24"/>
                <w:highlight w:val="none"/>
              </w:rPr>
              <w:t>1000~3000吨货船</w:t>
            </w:r>
          </w:p>
        </w:tc>
        <w:tc>
          <w:tcPr>
            <w:tcW w:w="1126" w:type="pct"/>
            <w:noWrap/>
            <w:vAlign w:val="center"/>
          </w:tcPr>
          <w:p>
            <w:pPr>
              <w:jc w:val="center"/>
              <w:rPr>
                <w:sz w:val="24"/>
                <w:highlight w:val="none"/>
              </w:rPr>
            </w:pPr>
            <w:r>
              <w:rPr>
                <w:sz w:val="24"/>
                <w:highlight w:val="none"/>
              </w:rPr>
              <w:t>56.85~</w:t>
            </w:r>
            <w:r>
              <w:rPr>
                <w:rFonts w:hint="eastAsia"/>
                <w:sz w:val="24"/>
                <w:highlight w:val="none"/>
              </w:rPr>
              <w:t>87.6</w:t>
            </w:r>
          </w:p>
        </w:tc>
        <w:tc>
          <w:tcPr>
            <w:tcW w:w="843" w:type="pct"/>
            <w:noWrap/>
            <w:vAlign w:val="center"/>
          </w:tcPr>
          <w:p>
            <w:pPr>
              <w:jc w:val="center"/>
              <w:rPr>
                <w:sz w:val="24"/>
                <w:highlight w:val="none"/>
              </w:rPr>
            </w:pPr>
            <w:r>
              <w:rPr>
                <w:sz w:val="24"/>
                <w:highlight w:val="none"/>
              </w:rPr>
              <w:t>10.8~13.6</w:t>
            </w:r>
          </w:p>
        </w:tc>
        <w:tc>
          <w:tcPr>
            <w:tcW w:w="824" w:type="pct"/>
            <w:noWrap/>
            <w:vAlign w:val="center"/>
          </w:tcPr>
          <w:p>
            <w:pPr>
              <w:jc w:val="center"/>
              <w:rPr>
                <w:sz w:val="24"/>
                <w:highlight w:val="none"/>
              </w:rPr>
            </w:pPr>
            <w:r>
              <w:rPr>
                <w:sz w:val="24"/>
                <w:highlight w:val="none"/>
              </w:rPr>
              <w:t>2.39~</w:t>
            </w:r>
            <w:r>
              <w:rPr>
                <w:rFonts w:hint="eastAsia"/>
                <w:sz w:val="24"/>
                <w:highlight w:val="none"/>
              </w:rPr>
              <w:t>3</w:t>
            </w:r>
            <w:r>
              <w:rPr>
                <w:sz w:val="24"/>
                <w:highlight w:val="none"/>
              </w:rPr>
              <w:t>.7</w:t>
            </w:r>
          </w:p>
        </w:tc>
        <w:tc>
          <w:tcPr>
            <w:tcW w:w="819" w:type="pct"/>
            <w:vMerge w:val="continue"/>
            <w:noWrap/>
            <w:vAlign w:val="center"/>
          </w:tcPr>
          <w:p>
            <w:pPr>
              <w:jc w:val="center"/>
              <w:rPr>
                <w:sz w:val="24"/>
                <w:highlight w:val="none"/>
                <w:lang w:val="en-GB"/>
              </w:rPr>
            </w:pP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57" w:type="dxa"/>
            <w:left w:w="85" w:type="dxa"/>
            <w:bottom w:w="57" w:type="dxa"/>
            <w:right w:w="85" w:type="dxa"/>
          </w:tblCellMar>
        </w:tblPrEx>
        <w:trPr>
          <w:cantSplit/>
          <w:trHeight w:val="20" w:hRule="atLeast"/>
        </w:trPr>
        <w:tc>
          <w:tcPr>
            <w:tcW w:w="1386" w:type="pct"/>
            <w:noWrap/>
            <w:vAlign w:val="center"/>
          </w:tcPr>
          <w:p>
            <w:pPr>
              <w:jc w:val="center"/>
              <w:rPr>
                <w:sz w:val="24"/>
                <w:highlight w:val="none"/>
              </w:rPr>
            </w:pPr>
            <w:r>
              <w:rPr>
                <w:rFonts w:hint="eastAsia"/>
                <w:sz w:val="24"/>
                <w:highlight w:val="none"/>
              </w:rPr>
              <w:t>5000吨级以上货船</w:t>
            </w:r>
          </w:p>
        </w:tc>
        <w:tc>
          <w:tcPr>
            <w:tcW w:w="1126" w:type="pct"/>
            <w:noWrap/>
            <w:vAlign w:val="center"/>
          </w:tcPr>
          <w:p>
            <w:pPr>
              <w:jc w:val="center"/>
              <w:rPr>
                <w:sz w:val="24"/>
                <w:highlight w:val="none"/>
              </w:rPr>
            </w:pPr>
            <w:r>
              <w:rPr>
                <w:sz w:val="24"/>
                <w:highlight w:val="none"/>
              </w:rPr>
              <w:t>99.6</w:t>
            </w:r>
          </w:p>
        </w:tc>
        <w:tc>
          <w:tcPr>
            <w:tcW w:w="843" w:type="pct"/>
            <w:noWrap/>
            <w:vAlign w:val="center"/>
          </w:tcPr>
          <w:p>
            <w:pPr>
              <w:jc w:val="center"/>
              <w:rPr>
                <w:sz w:val="24"/>
                <w:highlight w:val="none"/>
              </w:rPr>
            </w:pPr>
            <w:r>
              <w:rPr>
                <w:sz w:val="24"/>
                <w:highlight w:val="none"/>
              </w:rPr>
              <w:t>16.2</w:t>
            </w:r>
          </w:p>
        </w:tc>
        <w:tc>
          <w:tcPr>
            <w:tcW w:w="824" w:type="pct"/>
            <w:noWrap/>
            <w:vAlign w:val="center"/>
          </w:tcPr>
          <w:p>
            <w:pPr>
              <w:jc w:val="center"/>
              <w:rPr>
                <w:sz w:val="24"/>
                <w:highlight w:val="none"/>
              </w:rPr>
            </w:pPr>
            <w:r>
              <w:rPr>
                <w:sz w:val="24"/>
                <w:highlight w:val="none"/>
              </w:rPr>
              <w:t>4.8</w:t>
            </w:r>
          </w:p>
        </w:tc>
        <w:tc>
          <w:tcPr>
            <w:tcW w:w="819" w:type="pct"/>
            <w:vMerge w:val="continue"/>
            <w:noWrap/>
            <w:vAlign w:val="center"/>
          </w:tcPr>
          <w:p>
            <w:pPr>
              <w:jc w:val="center"/>
              <w:rPr>
                <w:sz w:val="24"/>
                <w:highlight w:val="none"/>
                <w:lang w:val="en-GB"/>
              </w:rPr>
            </w:pP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57" w:type="dxa"/>
            <w:left w:w="85" w:type="dxa"/>
            <w:bottom w:w="57" w:type="dxa"/>
            <w:right w:w="85" w:type="dxa"/>
          </w:tblCellMar>
        </w:tblPrEx>
        <w:trPr>
          <w:cantSplit/>
          <w:trHeight w:val="20" w:hRule="atLeast"/>
        </w:trPr>
        <w:tc>
          <w:tcPr>
            <w:tcW w:w="1386" w:type="pct"/>
            <w:noWrap/>
            <w:vAlign w:val="center"/>
          </w:tcPr>
          <w:p>
            <w:pPr>
              <w:jc w:val="center"/>
              <w:rPr>
                <w:sz w:val="24"/>
                <w:highlight w:val="none"/>
                <w:lang w:val="en-GB"/>
              </w:rPr>
            </w:pPr>
            <w:r>
              <w:rPr>
                <w:sz w:val="24"/>
                <w:highlight w:val="none"/>
              </w:rPr>
              <w:t>100~500吨货船</w:t>
            </w:r>
          </w:p>
        </w:tc>
        <w:tc>
          <w:tcPr>
            <w:tcW w:w="1126" w:type="pct"/>
            <w:noWrap/>
            <w:vAlign w:val="center"/>
          </w:tcPr>
          <w:p>
            <w:pPr>
              <w:jc w:val="center"/>
              <w:rPr>
                <w:sz w:val="24"/>
                <w:highlight w:val="none"/>
              </w:rPr>
            </w:pPr>
            <w:r>
              <w:rPr>
                <w:sz w:val="24"/>
                <w:highlight w:val="none"/>
              </w:rPr>
              <w:t>33.80~40</w:t>
            </w:r>
          </w:p>
        </w:tc>
        <w:tc>
          <w:tcPr>
            <w:tcW w:w="843" w:type="pct"/>
            <w:noWrap/>
            <w:vAlign w:val="center"/>
          </w:tcPr>
          <w:p>
            <w:pPr>
              <w:jc w:val="center"/>
              <w:rPr>
                <w:sz w:val="24"/>
                <w:highlight w:val="none"/>
              </w:rPr>
            </w:pPr>
            <w:r>
              <w:rPr>
                <w:sz w:val="24"/>
                <w:highlight w:val="none"/>
              </w:rPr>
              <w:t>5.3~7.4</w:t>
            </w:r>
          </w:p>
        </w:tc>
        <w:tc>
          <w:tcPr>
            <w:tcW w:w="824" w:type="pct"/>
            <w:noWrap/>
            <w:vAlign w:val="center"/>
          </w:tcPr>
          <w:p>
            <w:pPr>
              <w:jc w:val="center"/>
              <w:rPr>
                <w:sz w:val="24"/>
                <w:highlight w:val="none"/>
                <w:lang w:val="en-GB"/>
              </w:rPr>
            </w:pPr>
            <w:r>
              <w:rPr>
                <w:sz w:val="24"/>
                <w:highlight w:val="none"/>
              </w:rPr>
              <w:t>1.25~2.2</w:t>
            </w:r>
          </w:p>
        </w:tc>
        <w:tc>
          <w:tcPr>
            <w:tcW w:w="819" w:type="pct"/>
            <w:noWrap/>
            <w:vAlign w:val="center"/>
          </w:tcPr>
          <w:p>
            <w:pPr>
              <w:jc w:val="center"/>
              <w:rPr>
                <w:sz w:val="24"/>
                <w:highlight w:val="none"/>
                <w:lang w:val="en-GB"/>
              </w:rPr>
            </w:pPr>
            <w:r>
              <w:rPr>
                <w:sz w:val="24"/>
                <w:highlight w:val="none"/>
              </w:rPr>
              <w:t>峨边彝族自治县</w:t>
            </w:r>
          </w:p>
        </w:tc>
      </w:tr>
    </w:tbl>
    <w:p>
      <w:pPr>
        <w:spacing w:before="312" w:beforeLines="100" w:line="360" w:lineRule="auto"/>
        <w:ind w:firstLine="562" w:firstLineChars="200"/>
        <w:rPr>
          <w:rFonts w:eastAsia="黑体"/>
          <w:b/>
          <w:sz w:val="28"/>
          <w:szCs w:val="28"/>
          <w:highlight w:val="none"/>
        </w:rPr>
      </w:pPr>
      <w:r>
        <w:rPr>
          <w:rFonts w:eastAsia="黑体"/>
          <w:b/>
          <w:sz w:val="28"/>
          <w:szCs w:val="28"/>
          <w:highlight w:val="none"/>
        </w:rPr>
        <w:t>二、到港船型预测</w:t>
      </w:r>
    </w:p>
    <w:p>
      <w:pPr>
        <w:spacing w:line="360" w:lineRule="auto"/>
        <w:ind w:firstLine="560" w:firstLineChars="200"/>
        <w:rPr>
          <w:sz w:val="28"/>
          <w:szCs w:val="28"/>
          <w:highlight w:val="none"/>
        </w:rPr>
      </w:pPr>
      <w:r>
        <w:rPr>
          <w:sz w:val="28"/>
          <w:szCs w:val="28"/>
          <w:highlight w:val="none"/>
        </w:rPr>
        <w:t>根据《四川省综合立体交通网规划纲要（2021-20</w:t>
      </w:r>
      <w:r>
        <w:rPr>
          <w:rFonts w:hint="eastAsia"/>
          <w:sz w:val="28"/>
          <w:szCs w:val="28"/>
          <w:highlight w:val="none"/>
        </w:rPr>
        <w:t>35</w:t>
      </w:r>
      <w:r>
        <w:rPr>
          <w:sz w:val="28"/>
          <w:szCs w:val="28"/>
          <w:highlight w:val="none"/>
        </w:rPr>
        <w:t>年）水运专项规划》，规划至2035年，岷江乐山至宜宾162km达到Ⅲ级航道标准。</w:t>
      </w:r>
      <w:r>
        <w:rPr>
          <w:rFonts w:hint="eastAsia"/>
          <w:sz w:val="28"/>
          <w:szCs w:val="28"/>
          <w:highlight w:val="none"/>
        </w:rPr>
        <w:t>根据本次运量预测结论，规划水平年2025年、2035年乐山港旅客吞吐量分别为400万人次、</w:t>
      </w:r>
      <w:r>
        <w:rPr>
          <w:sz w:val="28"/>
          <w:szCs w:val="28"/>
          <w:highlight w:val="none"/>
        </w:rPr>
        <w:t>12</w:t>
      </w:r>
      <w:r>
        <w:rPr>
          <w:rFonts w:hint="eastAsia"/>
          <w:sz w:val="28"/>
          <w:szCs w:val="28"/>
          <w:highlight w:val="none"/>
        </w:rPr>
        <w:t>00万人次；港口货物吞吐量分别为</w:t>
      </w:r>
      <w:r>
        <w:rPr>
          <w:sz w:val="28"/>
          <w:szCs w:val="28"/>
          <w:highlight w:val="none"/>
        </w:rPr>
        <w:t>500</w:t>
      </w:r>
      <w:r>
        <w:rPr>
          <w:rFonts w:hint="eastAsia"/>
          <w:sz w:val="28"/>
          <w:szCs w:val="28"/>
          <w:highlight w:val="none"/>
        </w:rPr>
        <w:t>万t、</w:t>
      </w:r>
      <w:r>
        <w:rPr>
          <w:sz w:val="28"/>
          <w:szCs w:val="28"/>
          <w:highlight w:val="none"/>
        </w:rPr>
        <w:t>165</w:t>
      </w:r>
      <w:r>
        <w:rPr>
          <w:rFonts w:hint="eastAsia"/>
          <w:sz w:val="28"/>
          <w:szCs w:val="28"/>
          <w:highlight w:val="none"/>
        </w:rPr>
        <w:t>0万t，其中2</w:t>
      </w:r>
      <w:r>
        <w:rPr>
          <w:sz w:val="28"/>
          <w:szCs w:val="28"/>
          <w:highlight w:val="none"/>
        </w:rPr>
        <w:t>035年</w:t>
      </w:r>
      <w:r>
        <w:rPr>
          <w:rFonts w:hint="eastAsia"/>
          <w:sz w:val="28"/>
          <w:szCs w:val="28"/>
          <w:highlight w:val="none"/>
        </w:rPr>
        <w:t>集装箱吞吐量为20万TEU。</w:t>
      </w:r>
      <w:r>
        <w:rPr>
          <w:sz w:val="28"/>
          <w:szCs w:val="28"/>
          <w:highlight w:val="none"/>
        </w:rPr>
        <w:t>港口主要运输货种为集装箱、矿建材料（砂石）、非金属矿石、化工原料及制品、机械设备及电器等。结合港口未来运输特点及发展需求，预测乐山港到港船型如下：</w:t>
      </w:r>
    </w:p>
    <w:p>
      <w:pPr>
        <w:pStyle w:val="14"/>
        <w:spacing w:after="0" w:line="360" w:lineRule="auto"/>
        <w:ind w:firstLine="562" w:firstLineChars="200"/>
        <w:rPr>
          <w:rFonts w:ascii="Times New Roman" w:hAnsi="Times New Roman" w:cs="Times New Roman"/>
          <w:b/>
          <w:szCs w:val="28"/>
          <w:highlight w:val="none"/>
          <w:lang w:val="en-GB"/>
        </w:rPr>
      </w:pPr>
      <w:r>
        <w:rPr>
          <w:rFonts w:ascii="Times New Roman" w:hAnsi="Times New Roman" w:cs="Times New Roman"/>
          <w:b/>
          <w:sz w:val="28"/>
          <w:szCs w:val="28"/>
          <w:highlight w:val="none"/>
          <w:lang w:val="en-GB"/>
        </w:rPr>
        <w:t>（一）客船</w:t>
      </w:r>
    </w:p>
    <w:p>
      <w:pPr>
        <w:spacing w:line="360" w:lineRule="auto"/>
        <w:ind w:firstLine="562" w:firstLineChars="200"/>
        <w:rPr>
          <w:b/>
          <w:sz w:val="28"/>
          <w:szCs w:val="28"/>
          <w:highlight w:val="none"/>
        </w:rPr>
      </w:pPr>
      <w:r>
        <w:rPr>
          <w:b/>
          <w:sz w:val="28"/>
          <w:szCs w:val="28"/>
          <w:highlight w:val="none"/>
        </w:rPr>
        <w:t>1.渡船</w:t>
      </w:r>
    </w:p>
    <w:p>
      <w:pPr>
        <w:spacing w:line="360" w:lineRule="auto"/>
        <w:ind w:firstLine="560" w:firstLineChars="200"/>
        <w:rPr>
          <w:sz w:val="28"/>
          <w:szCs w:val="28"/>
          <w:highlight w:val="none"/>
        </w:rPr>
      </w:pPr>
      <w:r>
        <w:rPr>
          <w:sz w:val="28"/>
          <w:szCs w:val="28"/>
          <w:highlight w:val="none"/>
        </w:rPr>
        <w:t>依据四川省已发布的新指标体系（第三代）客渡船标准，预测乐山到港客渡船为</w:t>
      </w:r>
      <w:r>
        <w:rPr>
          <w:rFonts w:hint="eastAsia"/>
          <w:sz w:val="28"/>
          <w:szCs w:val="28"/>
          <w:highlight w:val="none"/>
        </w:rPr>
        <w:t>2</w:t>
      </w:r>
      <w:r>
        <w:rPr>
          <w:sz w:val="28"/>
          <w:szCs w:val="28"/>
          <w:highlight w:val="none"/>
        </w:rPr>
        <w:t>0、</w:t>
      </w:r>
      <w:r>
        <w:rPr>
          <w:rFonts w:hint="eastAsia"/>
          <w:sz w:val="28"/>
          <w:szCs w:val="28"/>
          <w:highlight w:val="none"/>
        </w:rPr>
        <w:t>3</w:t>
      </w:r>
      <w:r>
        <w:rPr>
          <w:sz w:val="28"/>
          <w:szCs w:val="28"/>
          <w:highlight w:val="none"/>
        </w:rPr>
        <w:t>0、</w:t>
      </w:r>
      <w:r>
        <w:rPr>
          <w:rFonts w:hint="eastAsia"/>
          <w:sz w:val="28"/>
          <w:szCs w:val="28"/>
          <w:highlight w:val="none"/>
        </w:rPr>
        <w:t>4</w:t>
      </w:r>
      <w:r>
        <w:rPr>
          <w:sz w:val="28"/>
          <w:szCs w:val="28"/>
          <w:highlight w:val="none"/>
        </w:rPr>
        <w:t>0、60客位客渡船。同时，从环保节能的角度鼓励推广按新能源客船船型更新，分期分梯度推进客船标准化更新和新能源船型更新，以满足各乡镇渡口的差异化需求，让广大人民群众充分分享国家社会发展成果。</w:t>
      </w:r>
    </w:p>
    <w:p>
      <w:pPr>
        <w:spacing w:line="360" w:lineRule="auto"/>
        <w:ind w:firstLine="562" w:firstLineChars="200"/>
        <w:rPr>
          <w:b/>
          <w:sz w:val="28"/>
          <w:szCs w:val="28"/>
          <w:highlight w:val="none"/>
        </w:rPr>
      </w:pPr>
      <w:r>
        <w:rPr>
          <w:b/>
          <w:sz w:val="28"/>
          <w:szCs w:val="28"/>
          <w:highlight w:val="none"/>
        </w:rPr>
        <w:t>2.旅游客船</w:t>
      </w:r>
    </w:p>
    <w:p>
      <w:pPr>
        <w:spacing w:line="360" w:lineRule="auto"/>
        <w:ind w:firstLine="560" w:firstLineChars="200"/>
        <w:rPr>
          <w:sz w:val="28"/>
          <w:szCs w:val="28"/>
          <w:highlight w:val="none"/>
          <w:lang w:val="en-GB"/>
        </w:rPr>
      </w:pPr>
      <w:r>
        <w:rPr>
          <w:sz w:val="28"/>
          <w:szCs w:val="28"/>
          <w:highlight w:val="none"/>
          <w:lang w:val="en-GB"/>
        </w:rPr>
        <w:t>根据《四川省船舶发展规划（2005-2050）》，参照国内外重要旅游城市休闲观光旅游的发展情况及船舶营运组织方式，规划以中小客位舒适、便捷旅游客船为主，根据乐山市及周边地区旅游客船建造和发展情况，发展玻璃钢游船（艇）、钢制游船，预测乐山港到港客船为50、80、160客位旅游船和106客位游轮。</w:t>
      </w:r>
    </w:p>
    <w:p>
      <w:pPr>
        <w:spacing w:line="360" w:lineRule="auto"/>
        <w:ind w:firstLine="560" w:firstLineChars="200"/>
        <w:rPr>
          <w:sz w:val="28"/>
          <w:szCs w:val="28"/>
          <w:highlight w:val="none"/>
          <w:lang w:val="en-GB"/>
        </w:rPr>
      </w:pPr>
      <w:r>
        <w:rPr>
          <w:sz w:val="28"/>
          <w:szCs w:val="28"/>
          <w:highlight w:val="none"/>
          <w:lang w:val="en-GB"/>
        </w:rPr>
        <w:t>同时，在乐山市加快建设世界重要旅游目的地的大背景下，发展功能（景观、娱乐、餐饮、住宿）较为齐全的内河游轮十分必要。依据国内长江、珠江沿线港口及欧洲内河游轮发展情况，考虑乐山市航道条件及大型旅游景区的水路客运需求，预测乐山港到港游轮为106客位旅游船。</w:t>
      </w:r>
    </w:p>
    <w:p>
      <w:pPr>
        <w:spacing w:line="360" w:lineRule="auto"/>
        <w:ind w:firstLine="560" w:firstLineChars="200"/>
        <w:rPr>
          <w:sz w:val="28"/>
          <w:szCs w:val="28"/>
          <w:highlight w:val="none"/>
          <w:lang w:val="en-GB"/>
        </w:rPr>
      </w:pPr>
      <w:r>
        <w:rPr>
          <w:sz w:val="28"/>
          <w:szCs w:val="28"/>
          <w:highlight w:val="none"/>
          <w:lang w:val="en-GB"/>
        </w:rPr>
        <w:t>按照“提高安全技术标准、兼备地方人文特色、保障生态可持续发展”的理念，旅游船应为兼具乐山市各地水上旅游景区特点，如结合乐山大佛、金口河大渡河大峡谷等景区特色的画舫、游艇、游轮等，以满足游客的个性化水上旅游需求。</w:t>
      </w:r>
    </w:p>
    <w:p>
      <w:pPr>
        <w:spacing w:line="360" w:lineRule="auto"/>
        <w:ind w:firstLine="562" w:firstLineChars="200"/>
        <w:rPr>
          <w:b/>
          <w:bCs/>
          <w:sz w:val="28"/>
          <w:szCs w:val="28"/>
          <w:highlight w:val="none"/>
        </w:rPr>
      </w:pPr>
      <w:r>
        <w:rPr>
          <w:b/>
          <w:bCs/>
          <w:sz w:val="28"/>
          <w:szCs w:val="28"/>
          <w:highlight w:val="none"/>
        </w:rPr>
        <w:t>（二）货船</w:t>
      </w:r>
    </w:p>
    <w:p>
      <w:pPr>
        <w:spacing w:line="360" w:lineRule="auto"/>
        <w:ind w:firstLine="560" w:firstLineChars="200"/>
        <w:rPr>
          <w:sz w:val="28"/>
          <w:szCs w:val="28"/>
          <w:highlight w:val="none"/>
        </w:rPr>
      </w:pPr>
      <w:r>
        <w:rPr>
          <w:sz w:val="28"/>
          <w:szCs w:val="28"/>
          <w:highlight w:val="none"/>
        </w:rPr>
        <w:t>货船预测</w:t>
      </w:r>
      <w:r>
        <w:rPr>
          <w:sz w:val="28"/>
          <w:szCs w:val="28"/>
          <w:highlight w:val="none"/>
          <w:lang w:val="en-GB"/>
        </w:rPr>
        <w:t>应考虑</w:t>
      </w:r>
      <w:r>
        <w:rPr>
          <w:sz w:val="28"/>
          <w:szCs w:val="28"/>
          <w:highlight w:val="none"/>
        </w:rPr>
        <w:t>岷江、大渡河</w:t>
      </w:r>
      <w:r>
        <w:rPr>
          <w:sz w:val="28"/>
          <w:szCs w:val="28"/>
          <w:highlight w:val="none"/>
          <w:lang w:val="en-GB"/>
        </w:rPr>
        <w:t>航道通航建筑物有效尺度要求及通航净空高度对船舶的限制。</w:t>
      </w:r>
    </w:p>
    <w:p>
      <w:pPr>
        <w:spacing w:line="360" w:lineRule="auto"/>
        <w:ind w:firstLine="562" w:firstLineChars="200"/>
        <w:rPr>
          <w:b/>
          <w:sz w:val="28"/>
          <w:szCs w:val="28"/>
          <w:highlight w:val="none"/>
        </w:rPr>
      </w:pPr>
      <w:r>
        <w:rPr>
          <w:b/>
          <w:sz w:val="28"/>
          <w:szCs w:val="28"/>
          <w:highlight w:val="none"/>
        </w:rPr>
        <w:t>1.集装箱船</w:t>
      </w:r>
    </w:p>
    <w:p>
      <w:pPr>
        <w:spacing w:line="360" w:lineRule="auto"/>
        <w:ind w:firstLine="560" w:firstLineChars="200"/>
        <w:rPr>
          <w:sz w:val="28"/>
          <w:szCs w:val="28"/>
          <w:highlight w:val="none"/>
          <w:lang w:val="en-GB"/>
        </w:rPr>
      </w:pPr>
      <w:r>
        <w:rPr>
          <w:sz w:val="28"/>
          <w:szCs w:val="28"/>
          <w:highlight w:val="none"/>
        </w:rPr>
        <w:t>乐山港集装箱货源来自乐山市及其经济腹地，主要为运往长江中下游地区的内贸集装箱和运往上海的外贸集装箱。到港船型预测2025年主要为40TEU、60TEU集装箱船；2035年将发展100TEU集装箱船。集装箱船预测需根据交通部</w:t>
      </w:r>
      <w:r>
        <w:rPr>
          <w:sz w:val="28"/>
          <w:szCs w:val="28"/>
          <w:highlight w:val="none"/>
          <w:lang w:val="en-GB"/>
        </w:rPr>
        <w:t>《内河过闸运输船舶标准船型主尺度系列》（GB38031-2019）确定船舶主尺度。</w:t>
      </w:r>
    </w:p>
    <w:p>
      <w:pPr>
        <w:spacing w:line="360" w:lineRule="auto"/>
        <w:ind w:firstLine="562" w:firstLineChars="200"/>
        <w:rPr>
          <w:b/>
          <w:sz w:val="28"/>
          <w:szCs w:val="28"/>
          <w:highlight w:val="none"/>
        </w:rPr>
      </w:pPr>
      <w:r>
        <w:rPr>
          <w:b/>
          <w:sz w:val="28"/>
          <w:szCs w:val="28"/>
          <w:highlight w:val="none"/>
        </w:rPr>
        <w:t>2.干散货船</w:t>
      </w:r>
    </w:p>
    <w:p>
      <w:pPr>
        <w:spacing w:line="360" w:lineRule="auto"/>
        <w:ind w:firstLine="560" w:firstLineChars="200"/>
        <w:rPr>
          <w:sz w:val="28"/>
          <w:szCs w:val="28"/>
          <w:highlight w:val="none"/>
        </w:rPr>
      </w:pPr>
      <w:r>
        <w:rPr>
          <w:sz w:val="28"/>
          <w:szCs w:val="28"/>
          <w:highlight w:val="none"/>
        </w:rPr>
        <w:t>根据运量预测，乐山港进出川的到港货船船型主要干散货船。到港船舶预测2025年为500～1000吨级船舶；2035年将主要发展1000吨级船舶，中洪水兼顾3000吨级船舶。干散货船预测需根据交通部</w:t>
      </w:r>
      <w:r>
        <w:rPr>
          <w:sz w:val="28"/>
          <w:szCs w:val="28"/>
          <w:highlight w:val="none"/>
          <w:lang w:val="en-GB"/>
        </w:rPr>
        <w:t>《内河过闸运输船舶标准船型主尺度系列》（GB38031-2019）确定船舶主尺度。</w:t>
      </w:r>
    </w:p>
    <w:p>
      <w:pPr>
        <w:spacing w:line="360" w:lineRule="auto"/>
        <w:ind w:firstLine="562" w:firstLineChars="200"/>
        <w:rPr>
          <w:b/>
          <w:sz w:val="28"/>
          <w:szCs w:val="28"/>
          <w:highlight w:val="none"/>
        </w:rPr>
      </w:pPr>
      <w:r>
        <w:rPr>
          <w:b/>
          <w:sz w:val="28"/>
          <w:szCs w:val="28"/>
          <w:highlight w:val="none"/>
        </w:rPr>
        <w:t>3.自卸砂船</w:t>
      </w:r>
    </w:p>
    <w:p>
      <w:pPr>
        <w:spacing w:line="360" w:lineRule="auto"/>
        <w:ind w:firstLine="560" w:firstLineChars="200"/>
        <w:rPr>
          <w:sz w:val="28"/>
          <w:szCs w:val="28"/>
          <w:highlight w:val="none"/>
        </w:rPr>
      </w:pPr>
      <w:r>
        <w:rPr>
          <w:sz w:val="28"/>
          <w:szCs w:val="28"/>
          <w:highlight w:val="none"/>
        </w:rPr>
        <w:t>乐山境内岷江、大渡河、青衣江航道内短途运输主要为砂石自卸船，预测到港船型主要为300~1000吨级船舶。自卸砂船预测需根据交通部</w:t>
      </w:r>
      <w:r>
        <w:rPr>
          <w:sz w:val="28"/>
          <w:szCs w:val="28"/>
          <w:highlight w:val="none"/>
          <w:lang w:val="en-GB"/>
        </w:rPr>
        <w:t>《内河过闸运输船舶标准船型主尺度系列》（GB38031-2019）确定船舶主尺度。</w:t>
      </w:r>
    </w:p>
    <w:p>
      <w:pPr>
        <w:snapToGrid w:val="0"/>
        <w:jc w:val="center"/>
        <w:rPr>
          <w:rFonts w:eastAsia="黑体"/>
          <w:sz w:val="28"/>
          <w:szCs w:val="28"/>
          <w:highlight w:val="none"/>
          <w:lang w:val="en-GB"/>
        </w:rPr>
      </w:pPr>
      <w:r>
        <w:rPr>
          <w:rFonts w:eastAsia="黑体"/>
          <w:spacing w:val="8"/>
          <w:sz w:val="28"/>
          <w:szCs w:val="28"/>
          <w:highlight w:val="none"/>
        </w:rPr>
        <w:t>表2.</w:t>
      </w:r>
      <w:r>
        <w:rPr>
          <w:rFonts w:hint="eastAsia" w:eastAsia="黑体"/>
          <w:spacing w:val="8"/>
          <w:sz w:val="28"/>
          <w:szCs w:val="28"/>
          <w:highlight w:val="none"/>
        </w:rPr>
        <w:t>6</w:t>
      </w:r>
      <w:r>
        <w:rPr>
          <w:rFonts w:eastAsia="黑体"/>
          <w:spacing w:val="8"/>
          <w:sz w:val="28"/>
          <w:szCs w:val="28"/>
          <w:highlight w:val="none"/>
        </w:rPr>
        <w:t xml:space="preserve">-2  </w:t>
      </w:r>
      <w:r>
        <w:rPr>
          <w:rFonts w:eastAsia="黑体"/>
          <w:sz w:val="28"/>
          <w:szCs w:val="28"/>
          <w:highlight w:val="none"/>
          <w:lang w:val="en-GB"/>
        </w:rPr>
        <w:t>乐山港到港船型预测表</w:t>
      </w:r>
    </w:p>
    <w:tbl>
      <w:tblPr>
        <w:tblStyle w:val="32"/>
        <w:tblW w:w="8473" w:type="dxa"/>
        <w:jc w:val="center"/>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Layout w:type="fixed"/>
        <w:tblCellMar>
          <w:top w:w="28" w:type="dxa"/>
          <w:left w:w="85" w:type="dxa"/>
          <w:bottom w:w="28" w:type="dxa"/>
          <w:right w:w="85" w:type="dxa"/>
        </w:tblCellMar>
      </w:tblPr>
      <w:tblGrid>
        <w:gridCol w:w="1588"/>
        <w:gridCol w:w="1362"/>
        <w:gridCol w:w="1178"/>
        <w:gridCol w:w="1073"/>
        <w:gridCol w:w="1210"/>
        <w:gridCol w:w="2062"/>
      </w:tblGrid>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28" w:type="dxa"/>
            <w:left w:w="85" w:type="dxa"/>
            <w:bottom w:w="28" w:type="dxa"/>
            <w:right w:w="85" w:type="dxa"/>
          </w:tblCellMar>
        </w:tblPrEx>
        <w:trPr>
          <w:cantSplit/>
          <w:trHeight w:val="284" w:hRule="atLeast"/>
          <w:tblHeader/>
          <w:jc w:val="center"/>
        </w:trPr>
        <w:tc>
          <w:tcPr>
            <w:tcW w:w="1588" w:type="dxa"/>
            <w:noWrap/>
            <w:vAlign w:val="center"/>
          </w:tcPr>
          <w:p>
            <w:pPr>
              <w:jc w:val="center"/>
              <w:rPr>
                <w:highlight w:val="none"/>
                <w:lang w:val="en-GB"/>
              </w:rPr>
            </w:pPr>
            <w:r>
              <w:rPr>
                <w:highlight w:val="none"/>
                <w:lang w:val="en-GB"/>
              </w:rPr>
              <w:t>船型</w:t>
            </w:r>
          </w:p>
        </w:tc>
        <w:tc>
          <w:tcPr>
            <w:tcW w:w="1362" w:type="dxa"/>
            <w:vAlign w:val="center"/>
          </w:tcPr>
          <w:p>
            <w:pPr>
              <w:jc w:val="center"/>
              <w:rPr>
                <w:highlight w:val="none"/>
                <w:lang w:val="en-GB"/>
              </w:rPr>
            </w:pPr>
            <w:r>
              <w:rPr>
                <w:highlight w:val="none"/>
                <w:lang w:val="en-GB"/>
              </w:rPr>
              <w:t>载货(客)量</w:t>
            </w:r>
          </w:p>
        </w:tc>
        <w:tc>
          <w:tcPr>
            <w:tcW w:w="1178" w:type="dxa"/>
            <w:noWrap/>
            <w:vAlign w:val="center"/>
          </w:tcPr>
          <w:p>
            <w:pPr>
              <w:jc w:val="center"/>
              <w:rPr>
                <w:highlight w:val="none"/>
                <w:lang w:val="en-GB"/>
              </w:rPr>
            </w:pPr>
            <w:r>
              <w:rPr>
                <w:highlight w:val="none"/>
                <w:lang w:val="en-GB"/>
              </w:rPr>
              <w:t>总长(m)</w:t>
            </w:r>
          </w:p>
        </w:tc>
        <w:tc>
          <w:tcPr>
            <w:tcW w:w="1073" w:type="dxa"/>
            <w:noWrap/>
            <w:vAlign w:val="center"/>
          </w:tcPr>
          <w:p>
            <w:pPr>
              <w:jc w:val="center"/>
              <w:rPr>
                <w:highlight w:val="none"/>
                <w:lang w:val="en-GB"/>
              </w:rPr>
            </w:pPr>
            <w:r>
              <w:rPr>
                <w:highlight w:val="none"/>
                <w:lang w:val="en-GB"/>
              </w:rPr>
              <w:t>总宽(m)</w:t>
            </w:r>
          </w:p>
        </w:tc>
        <w:tc>
          <w:tcPr>
            <w:tcW w:w="1210" w:type="dxa"/>
            <w:noWrap/>
            <w:vAlign w:val="center"/>
          </w:tcPr>
          <w:p>
            <w:pPr>
              <w:jc w:val="center"/>
              <w:rPr>
                <w:highlight w:val="none"/>
                <w:lang w:val="en-GB"/>
              </w:rPr>
            </w:pPr>
            <w:r>
              <w:rPr>
                <w:highlight w:val="none"/>
                <w:lang w:val="en-GB"/>
              </w:rPr>
              <w:t>吃水(m)</w:t>
            </w:r>
          </w:p>
        </w:tc>
        <w:tc>
          <w:tcPr>
            <w:tcW w:w="2062" w:type="dxa"/>
            <w:noWrap/>
            <w:vAlign w:val="center"/>
          </w:tcPr>
          <w:p>
            <w:pPr>
              <w:jc w:val="center"/>
              <w:rPr>
                <w:highlight w:val="none"/>
                <w:lang w:val="en-GB"/>
              </w:rPr>
            </w:pPr>
            <w:r>
              <w:rPr>
                <w:highlight w:val="none"/>
                <w:lang w:val="en-GB"/>
              </w:rPr>
              <w:t>备注</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28" w:type="dxa"/>
            <w:left w:w="85" w:type="dxa"/>
            <w:bottom w:w="28" w:type="dxa"/>
            <w:right w:w="85" w:type="dxa"/>
          </w:tblCellMar>
        </w:tblPrEx>
        <w:trPr>
          <w:cantSplit/>
          <w:trHeight w:val="284" w:hRule="atLeast"/>
          <w:jc w:val="center"/>
        </w:trPr>
        <w:tc>
          <w:tcPr>
            <w:tcW w:w="8473" w:type="dxa"/>
            <w:gridSpan w:val="6"/>
            <w:noWrap/>
            <w:vAlign w:val="center"/>
          </w:tcPr>
          <w:p>
            <w:pPr>
              <w:rPr>
                <w:highlight w:val="none"/>
                <w:lang w:val="en-GB"/>
              </w:rPr>
            </w:pPr>
            <w:r>
              <w:rPr>
                <w:highlight w:val="none"/>
                <w:lang w:val="en-GB"/>
              </w:rPr>
              <w:t>一、客船</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28" w:type="dxa"/>
            <w:left w:w="85" w:type="dxa"/>
            <w:bottom w:w="28" w:type="dxa"/>
            <w:right w:w="85" w:type="dxa"/>
          </w:tblCellMar>
        </w:tblPrEx>
        <w:trPr>
          <w:cantSplit/>
          <w:trHeight w:val="284" w:hRule="atLeast"/>
          <w:jc w:val="center"/>
        </w:trPr>
        <w:tc>
          <w:tcPr>
            <w:tcW w:w="8473" w:type="dxa"/>
            <w:gridSpan w:val="6"/>
            <w:noWrap/>
            <w:vAlign w:val="center"/>
          </w:tcPr>
          <w:p>
            <w:pPr>
              <w:rPr>
                <w:highlight w:val="none"/>
              </w:rPr>
            </w:pPr>
            <w:r>
              <w:rPr>
                <w:highlight w:val="none"/>
              </w:rPr>
              <w:t>1.客渡船</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28" w:type="dxa"/>
            <w:left w:w="85" w:type="dxa"/>
            <w:bottom w:w="28" w:type="dxa"/>
            <w:right w:w="85" w:type="dxa"/>
          </w:tblCellMar>
        </w:tblPrEx>
        <w:trPr>
          <w:cantSplit/>
          <w:trHeight w:val="523" w:hRule="atLeast"/>
          <w:jc w:val="center"/>
        </w:trPr>
        <w:tc>
          <w:tcPr>
            <w:tcW w:w="1588" w:type="dxa"/>
            <w:noWrap/>
            <w:vAlign w:val="center"/>
          </w:tcPr>
          <w:p>
            <w:pPr>
              <w:jc w:val="center"/>
              <w:rPr>
                <w:highlight w:val="none"/>
                <w:lang w:val="en-GB"/>
              </w:rPr>
            </w:pPr>
            <w:r>
              <w:rPr>
                <w:rFonts w:hint="eastAsia"/>
                <w:highlight w:val="none"/>
                <w:lang w:val="en-GB"/>
              </w:rPr>
              <w:t>2</w:t>
            </w:r>
            <w:r>
              <w:rPr>
                <w:highlight w:val="none"/>
                <w:lang w:val="en-GB"/>
              </w:rPr>
              <w:t>0客位新能源渡船</w:t>
            </w:r>
          </w:p>
        </w:tc>
        <w:tc>
          <w:tcPr>
            <w:tcW w:w="1362" w:type="dxa"/>
            <w:noWrap/>
            <w:vAlign w:val="center"/>
          </w:tcPr>
          <w:p>
            <w:pPr>
              <w:jc w:val="center"/>
              <w:rPr>
                <w:highlight w:val="none"/>
              </w:rPr>
            </w:pPr>
            <w:r>
              <w:rPr>
                <w:rFonts w:hint="eastAsia"/>
                <w:highlight w:val="none"/>
              </w:rPr>
              <w:t>2</w:t>
            </w:r>
            <w:r>
              <w:rPr>
                <w:highlight w:val="none"/>
              </w:rPr>
              <w:t>0客位</w:t>
            </w:r>
          </w:p>
        </w:tc>
        <w:tc>
          <w:tcPr>
            <w:tcW w:w="1178" w:type="dxa"/>
            <w:noWrap/>
            <w:vAlign w:val="center"/>
          </w:tcPr>
          <w:p>
            <w:pPr>
              <w:jc w:val="center"/>
              <w:rPr>
                <w:highlight w:val="none"/>
              </w:rPr>
            </w:pPr>
            <w:r>
              <w:rPr>
                <w:rFonts w:hint="eastAsia"/>
                <w:highlight w:val="none"/>
              </w:rPr>
              <w:t>1</w:t>
            </w:r>
            <w:r>
              <w:rPr>
                <w:highlight w:val="none"/>
              </w:rPr>
              <w:t>4.06</w:t>
            </w:r>
          </w:p>
        </w:tc>
        <w:tc>
          <w:tcPr>
            <w:tcW w:w="1073" w:type="dxa"/>
            <w:noWrap/>
            <w:vAlign w:val="center"/>
          </w:tcPr>
          <w:p>
            <w:pPr>
              <w:jc w:val="center"/>
              <w:rPr>
                <w:highlight w:val="none"/>
              </w:rPr>
            </w:pPr>
            <w:r>
              <w:rPr>
                <w:rFonts w:hint="eastAsia"/>
                <w:highlight w:val="none"/>
              </w:rPr>
              <w:t>4</w:t>
            </w:r>
            <w:r>
              <w:rPr>
                <w:highlight w:val="none"/>
              </w:rPr>
              <w:t>.28</w:t>
            </w:r>
          </w:p>
        </w:tc>
        <w:tc>
          <w:tcPr>
            <w:tcW w:w="1210" w:type="dxa"/>
            <w:noWrap/>
            <w:vAlign w:val="center"/>
          </w:tcPr>
          <w:p>
            <w:pPr>
              <w:jc w:val="center"/>
              <w:rPr>
                <w:highlight w:val="none"/>
                <w:lang w:val="en-GB"/>
              </w:rPr>
            </w:pPr>
            <w:r>
              <w:rPr>
                <w:rFonts w:hint="eastAsia"/>
                <w:highlight w:val="none"/>
                <w:lang w:val="en-GB"/>
              </w:rPr>
              <w:t>1</w:t>
            </w:r>
            <w:r>
              <w:rPr>
                <w:highlight w:val="none"/>
                <w:lang w:val="en-GB"/>
              </w:rPr>
              <w:t>.3</w:t>
            </w:r>
          </w:p>
        </w:tc>
        <w:tc>
          <w:tcPr>
            <w:tcW w:w="2062" w:type="dxa"/>
            <w:noWrap/>
            <w:vAlign w:val="center"/>
          </w:tcPr>
          <w:p>
            <w:pPr>
              <w:jc w:val="center"/>
              <w:rPr>
                <w:highlight w:val="none"/>
                <w:lang w:val="en-GB"/>
              </w:rPr>
            </w:pP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28" w:type="dxa"/>
            <w:left w:w="85" w:type="dxa"/>
            <w:bottom w:w="28" w:type="dxa"/>
            <w:right w:w="85" w:type="dxa"/>
          </w:tblCellMar>
        </w:tblPrEx>
        <w:trPr>
          <w:cantSplit/>
          <w:trHeight w:val="284" w:hRule="atLeast"/>
          <w:jc w:val="center"/>
        </w:trPr>
        <w:tc>
          <w:tcPr>
            <w:tcW w:w="1588" w:type="dxa"/>
            <w:noWrap/>
            <w:vAlign w:val="center"/>
          </w:tcPr>
          <w:p>
            <w:pPr>
              <w:jc w:val="center"/>
              <w:rPr>
                <w:highlight w:val="none"/>
                <w:lang w:val="en-GB"/>
              </w:rPr>
            </w:pPr>
            <w:r>
              <w:rPr>
                <w:rFonts w:hint="eastAsia"/>
                <w:highlight w:val="none"/>
                <w:lang w:val="en-GB"/>
              </w:rPr>
              <w:t>2</w:t>
            </w:r>
            <w:r>
              <w:rPr>
                <w:highlight w:val="none"/>
                <w:lang w:val="en-GB"/>
              </w:rPr>
              <w:t>0客位渡船</w:t>
            </w:r>
          </w:p>
        </w:tc>
        <w:tc>
          <w:tcPr>
            <w:tcW w:w="1362" w:type="dxa"/>
            <w:noWrap/>
            <w:vAlign w:val="center"/>
          </w:tcPr>
          <w:p>
            <w:pPr>
              <w:jc w:val="center"/>
              <w:rPr>
                <w:highlight w:val="none"/>
              </w:rPr>
            </w:pPr>
            <w:r>
              <w:rPr>
                <w:rFonts w:hint="eastAsia"/>
                <w:highlight w:val="none"/>
              </w:rPr>
              <w:t>2</w:t>
            </w:r>
            <w:r>
              <w:rPr>
                <w:highlight w:val="none"/>
              </w:rPr>
              <w:t>0客位</w:t>
            </w:r>
          </w:p>
        </w:tc>
        <w:tc>
          <w:tcPr>
            <w:tcW w:w="1178" w:type="dxa"/>
            <w:noWrap/>
            <w:vAlign w:val="center"/>
          </w:tcPr>
          <w:p>
            <w:pPr>
              <w:jc w:val="center"/>
              <w:rPr>
                <w:highlight w:val="none"/>
              </w:rPr>
            </w:pPr>
            <w:r>
              <w:rPr>
                <w:rFonts w:hint="eastAsia"/>
                <w:highlight w:val="none"/>
              </w:rPr>
              <w:t>1</w:t>
            </w:r>
            <w:r>
              <w:rPr>
                <w:highlight w:val="none"/>
              </w:rPr>
              <w:t>1.16</w:t>
            </w:r>
          </w:p>
        </w:tc>
        <w:tc>
          <w:tcPr>
            <w:tcW w:w="1073" w:type="dxa"/>
            <w:noWrap/>
            <w:vAlign w:val="center"/>
          </w:tcPr>
          <w:p>
            <w:pPr>
              <w:jc w:val="center"/>
              <w:rPr>
                <w:highlight w:val="none"/>
              </w:rPr>
            </w:pPr>
            <w:r>
              <w:rPr>
                <w:rFonts w:hint="eastAsia"/>
                <w:highlight w:val="none"/>
              </w:rPr>
              <w:t>3</w:t>
            </w:r>
            <w:r>
              <w:rPr>
                <w:highlight w:val="none"/>
              </w:rPr>
              <w:t>.4</w:t>
            </w:r>
          </w:p>
        </w:tc>
        <w:tc>
          <w:tcPr>
            <w:tcW w:w="1210" w:type="dxa"/>
            <w:noWrap/>
            <w:vAlign w:val="center"/>
          </w:tcPr>
          <w:p>
            <w:pPr>
              <w:jc w:val="center"/>
              <w:rPr>
                <w:highlight w:val="none"/>
                <w:lang w:val="en-GB"/>
              </w:rPr>
            </w:pPr>
            <w:r>
              <w:rPr>
                <w:rFonts w:hint="eastAsia"/>
                <w:highlight w:val="none"/>
                <w:lang w:val="en-GB"/>
              </w:rPr>
              <w:t>0</w:t>
            </w:r>
            <w:r>
              <w:rPr>
                <w:highlight w:val="none"/>
                <w:lang w:val="en-GB"/>
              </w:rPr>
              <w:t>.95</w:t>
            </w:r>
          </w:p>
        </w:tc>
        <w:tc>
          <w:tcPr>
            <w:tcW w:w="2062" w:type="dxa"/>
            <w:noWrap/>
            <w:vAlign w:val="center"/>
          </w:tcPr>
          <w:p>
            <w:pPr>
              <w:jc w:val="center"/>
              <w:rPr>
                <w:highlight w:val="none"/>
                <w:lang w:val="en-GB"/>
              </w:rPr>
            </w:pP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PrEx>
        <w:trPr>
          <w:cantSplit/>
          <w:trHeight w:val="284" w:hRule="atLeast"/>
          <w:jc w:val="center"/>
        </w:trPr>
        <w:tc>
          <w:tcPr>
            <w:tcW w:w="1588" w:type="dxa"/>
            <w:noWrap/>
            <w:vAlign w:val="center"/>
          </w:tcPr>
          <w:p>
            <w:pPr>
              <w:jc w:val="center"/>
              <w:rPr>
                <w:highlight w:val="none"/>
                <w:lang w:val="en-GB"/>
              </w:rPr>
            </w:pPr>
            <w:r>
              <w:rPr>
                <w:rFonts w:hint="eastAsia"/>
                <w:highlight w:val="none"/>
                <w:lang w:val="en-GB"/>
              </w:rPr>
              <w:t>3</w:t>
            </w:r>
            <w:r>
              <w:rPr>
                <w:highlight w:val="none"/>
                <w:lang w:val="en-GB"/>
              </w:rPr>
              <w:t>0客位新能源渡船</w:t>
            </w:r>
          </w:p>
        </w:tc>
        <w:tc>
          <w:tcPr>
            <w:tcW w:w="1362" w:type="dxa"/>
            <w:noWrap/>
            <w:vAlign w:val="center"/>
          </w:tcPr>
          <w:p>
            <w:pPr>
              <w:jc w:val="center"/>
              <w:rPr>
                <w:highlight w:val="none"/>
              </w:rPr>
            </w:pPr>
            <w:r>
              <w:rPr>
                <w:rFonts w:hint="eastAsia"/>
                <w:highlight w:val="none"/>
              </w:rPr>
              <w:t>3</w:t>
            </w:r>
            <w:r>
              <w:rPr>
                <w:highlight w:val="none"/>
              </w:rPr>
              <w:t>0客位</w:t>
            </w:r>
          </w:p>
        </w:tc>
        <w:tc>
          <w:tcPr>
            <w:tcW w:w="1178" w:type="dxa"/>
            <w:noWrap/>
            <w:vAlign w:val="center"/>
          </w:tcPr>
          <w:p>
            <w:pPr>
              <w:jc w:val="center"/>
              <w:rPr>
                <w:highlight w:val="none"/>
              </w:rPr>
            </w:pPr>
            <w:r>
              <w:rPr>
                <w:rFonts w:hint="eastAsia"/>
                <w:highlight w:val="none"/>
              </w:rPr>
              <w:t>1</w:t>
            </w:r>
            <w:r>
              <w:rPr>
                <w:highlight w:val="none"/>
              </w:rPr>
              <w:t>8.21</w:t>
            </w:r>
          </w:p>
        </w:tc>
        <w:tc>
          <w:tcPr>
            <w:tcW w:w="1073" w:type="dxa"/>
            <w:noWrap/>
            <w:vAlign w:val="center"/>
          </w:tcPr>
          <w:p>
            <w:pPr>
              <w:jc w:val="center"/>
              <w:rPr>
                <w:highlight w:val="none"/>
                <w:lang w:val="en-GB"/>
              </w:rPr>
            </w:pPr>
            <w:r>
              <w:rPr>
                <w:rFonts w:hint="eastAsia"/>
                <w:highlight w:val="none"/>
                <w:lang w:val="en-GB"/>
              </w:rPr>
              <w:t>4</w:t>
            </w:r>
            <w:r>
              <w:rPr>
                <w:highlight w:val="none"/>
                <w:lang w:val="en-GB"/>
              </w:rPr>
              <w:t>.8</w:t>
            </w:r>
          </w:p>
        </w:tc>
        <w:tc>
          <w:tcPr>
            <w:tcW w:w="1210" w:type="dxa"/>
            <w:noWrap/>
            <w:vAlign w:val="center"/>
          </w:tcPr>
          <w:p>
            <w:pPr>
              <w:jc w:val="center"/>
              <w:rPr>
                <w:highlight w:val="none"/>
                <w:lang w:val="en-GB"/>
              </w:rPr>
            </w:pPr>
            <w:r>
              <w:rPr>
                <w:rFonts w:hint="eastAsia"/>
                <w:highlight w:val="none"/>
                <w:lang w:val="en-GB"/>
              </w:rPr>
              <w:t>1</w:t>
            </w:r>
            <w:r>
              <w:rPr>
                <w:highlight w:val="none"/>
                <w:lang w:val="en-GB"/>
              </w:rPr>
              <w:t>.25</w:t>
            </w:r>
          </w:p>
        </w:tc>
        <w:tc>
          <w:tcPr>
            <w:tcW w:w="2062" w:type="dxa"/>
            <w:noWrap/>
            <w:vAlign w:val="center"/>
          </w:tcPr>
          <w:p>
            <w:pPr>
              <w:jc w:val="center"/>
              <w:rPr>
                <w:highlight w:val="none"/>
                <w:lang w:val="en-GB"/>
              </w:rPr>
            </w:pP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28" w:type="dxa"/>
            <w:left w:w="85" w:type="dxa"/>
            <w:bottom w:w="28" w:type="dxa"/>
            <w:right w:w="85" w:type="dxa"/>
          </w:tblCellMar>
        </w:tblPrEx>
        <w:trPr>
          <w:cantSplit/>
          <w:trHeight w:val="284" w:hRule="atLeast"/>
          <w:jc w:val="center"/>
        </w:trPr>
        <w:tc>
          <w:tcPr>
            <w:tcW w:w="1588" w:type="dxa"/>
            <w:noWrap/>
            <w:vAlign w:val="center"/>
          </w:tcPr>
          <w:p>
            <w:pPr>
              <w:jc w:val="center"/>
              <w:rPr>
                <w:highlight w:val="none"/>
                <w:lang w:val="en-GB"/>
              </w:rPr>
            </w:pPr>
            <w:r>
              <w:rPr>
                <w:rFonts w:hint="eastAsia"/>
                <w:highlight w:val="none"/>
                <w:lang w:val="en-GB"/>
              </w:rPr>
              <w:t>3</w:t>
            </w:r>
            <w:r>
              <w:rPr>
                <w:highlight w:val="none"/>
                <w:lang w:val="en-GB"/>
              </w:rPr>
              <w:t>0客位渡船</w:t>
            </w:r>
          </w:p>
        </w:tc>
        <w:tc>
          <w:tcPr>
            <w:tcW w:w="1362" w:type="dxa"/>
            <w:noWrap/>
            <w:vAlign w:val="center"/>
          </w:tcPr>
          <w:p>
            <w:pPr>
              <w:jc w:val="center"/>
              <w:rPr>
                <w:highlight w:val="none"/>
              </w:rPr>
            </w:pPr>
            <w:r>
              <w:rPr>
                <w:rFonts w:hint="eastAsia"/>
                <w:highlight w:val="none"/>
              </w:rPr>
              <w:t>3</w:t>
            </w:r>
            <w:r>
              <w:rPr>
                <w:highlight w:val="none"/>
              </w:rPr>
              <w:t>0客位</w:t>
            </w:r>
          </w:p>
        </w:tc>
        <w:tc>
          <w:tcPr>
            <w:tcW w:w="1178" w:type="dxa"/>
            <w:noWrap/>
            <w:vAlign w:val="center"/>
          </w:tcPr>
          <w:p>
            <w:pPr>
              <w:jc w:val="center"/>
              <w:rPr>
                <w:highlight w:val="none"/>
                <w:lang w:val="en-GB"/>
              </w:rPr>
            </w:pPr>
            <w:r>
              <w:rPr>
                <w:rFonts w:hint="eastAsia"/>
                <w:highlight w:val="none"/>
                <w:lang w:val="en-GB"/>
              </w:rPr>
              <w:t>1</w:t>
            </w:r>
            <w:r>
              <w:rPr>
                <w:highlight w:val="none"/>
                <w:lang w:val="en-GB"/>
              </w:rPr>
              <w:t>2.3</w:t>
            </w:r>
          </w:p>
        </w:tc>
        <w:tc>
          <w:tcPr>
            <w:tcW w:w="1073" w:type="dxa"/>
            <w:noWrap/>
            <w:vAlign w:val="center"/>
          </w:tcPr>
          <w:p>
            <w:pPr>
              <w:jc w:val="center"/>
              <w:rPr>
                <w:highlight w:val="none"/>
                <w:lang w:val="en-GB"/>
              </w:rPr>
            </w:pPr>
            <w:r>
              <w:rPr>
                <w:rFonts w:hint="eastAsia"/>
                <w:highlight w:val="none"/>
                <w:lang w:val="en-GB"/>
              </w:rPr>
              <w:t>3</w:t>
            </w:r>
            <w:r>
              <w:rPr>
                <w:highlight w:val="none"/>
                <w:lang w:val="en-GB"/>
              </w:rPr>
              <w:t>.7</w:t>
            </w:r>
          </w:p>
        </w:tc>
        <w:tc>
          <w:tcPr>
            <w:tcW w:w="1210" w:type="dxa"/>
            <w:noWrap/>
            <w:vAlign w:val="center"/>
          </w:tcPr>
          <w:p>
            <w:pPr>
              <w:jc w:val="center"/>
              <w:rPr>
                <w:highlight w:val="none"/>
                <w:lang w:val="en-GB"/>
              </w:rPr>
            </w:pPr>
            <w:r>
              <w:rPr>
                <w:rFonts w:hint="eastAsia"/>
                <w:highlight w:val="none"/>
                <w:lang w:val="en-GB"/>
              </w:rPr>
              <w:t>1</w:t>
            </w:r>
            <w:r>
              <w:rPr>
                <w:highlight w:val="none"/>
                <w:lang w:val="en-GB"/>
              </w:rPr>
              <w:t>.05</w:t>
            </w:r>
          </w:p>
        </w:tc>
        <w:tc>
          <w:tcPr>
            <w:tcW w:w="2062" w:type="dxa"/>
            <w:noWrap/>
            <w:vAlign w:val="center"/>
          </w:tcPr>
          <w:p>
            <w:pPr>
              <w:jc w:val="center"/>
              <w:rPr>
                <w:highlight w:val="none"/>
                <w:lang w:val="en-GB"/>
              </w:rPr>
            </w:pP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28" w:type="dxa"/>
            <w:left w:w="85" w:type="dxa"/>
            <w:bottom w:w="28" w:type="dxa"/>
            <w:right w:w="85" w:type="dxa"/>
          </w:tblCellMar>
        </w:tblPrEx>
        <w:trPr>
          <w:cantSplit/>
          <w:trHeight w:val="284" w:hRule="atLeast"/>
          <w:jc w:val="center"/>
        </w:trPr>
        <w:tc>
          <w:tcPr>
            <w:tcW w:w="1588" w:type="dxa"/>
            <w:noWrap/>
            <w:vAlign w:val="center"/>
          </w:tcPr>
          <w:p>
            <w:pPr>
              <w:jc w:val="center"/>
              <w:rPr>
                <w:highlight w:val="none"/>
                <w:lang w:val="en-GB"/>
              </w:rPr>
            </w:pPr>
            <w:r>
              <w:rPr>
                <w:rFonts w:hint="eastAsia"/>
                <w:highlight w:val="none"/>
                <w:lang w:val="en-GB"/>
              </w:rPr>
              <w:t>4</w:t>
            </w:r>
            <w:r>
              <w:rPr>
                <w:highlight w:val="none"/>
                <w:lang w:val="en-GB"/>
              </w:rPr>
              <w:t>0客位渡船</w:t>
            </w:r>
          </w:p>
        </w:tc>
        <w:tc>
          <w:tcPr>
            <w:tcW w:w="1362" w:type="dxa"/>
            <w:noWrap/>
            <w:vAlign w:val="center"/>
          </w:tcPr>
          <w:p>
            <w:pPr>
              <w:jc w:val="center"/>
              <w:rPr>
                <w:highlight w:val="none"/>
              </w:rPr>
            </w:pPr>
            <w:r>
              <w:rPr>
                <w:rFonts w:hint="eastAsia"/>
                <w:highlight w:val="none"/>
              </w:rPr>
              <w:t>4</w:t>
            </w:r>
            <w:r>
              <w:rPr>
                <w:highlight w:val="none"/>
              </w:rPr>
              <w:t>0客位</w:t>
            </w:r>
          </w:p>
        </w:tc>
        <w:tc>
          <w:tcPr>
            <w:tcW w:w="1178" w:type="dxa"/>
            <w:noWrap/>
            <w:vAlign w:val="center"/>
          </w:tcPr>
          <w:p>
            <w:pPr>
              <w:jc w:val="center"/>
              <w:rPr>
                <w:highlight w:val="none"/>
                <w:lang w:val="en-GB"/>
              </w:rPr>
            </w:pPr>
            <w:r>
              <w:rPr>
                <w:rFonts w:hint="eastAsia"/>
                <w:highlight w:val="none"/>
                <w:lang w:val="en-GB"/>
              </w:rPr>
              <w:t>1</w:t>
            </w:r>
            <w:r>
              <w:rPr>
                <w:highlight w:val="none"/>
                <w:lang w:val="en-GB"/>
              </w:rPr>
              <w:t>7</w:t>
            </w:r>
          </w:p>
        </w:tc>
        <w:tc>
          <w:tcPr>
            <w:tcW w:w="1073" w:type="dxa"/>
            <w:noWrap/>
            <w:vAlign w:val="center"/>
          </w:tcPr>
          <w:p>
            <w:pPr>
              <w:jc w:val="center"/>
              <w:rPr>
                <w:highlight w:val="none"/>
                <w:lang w:val="en-GB"/>
              </w:rPr>
            </w:pPr>
            <w:r>
              <w:rPr>
                <w:rFonts w:hint="eastAsia"/>
                <w:highlight w:val="none"/>
                <w:lang w:val="en-GB"/>
              </w:rPr>
              <w:t>4</w:t>
            </w:r>
          </w:p>
        </w:tc>
        <w:tc>
          <w:tcPr>
            <w:tcW w:w="1210" w:type="dxa"/>
            <w:noWrap/>
            <w:vAlign w:val="center"/>
          </w:tcPr>
          <w:p>
            <w:pPr>
              <w:jc w:val="center"/>
              <w:rPr>
                <w:highlight w:val="none"/>
                <w:lang w:val="en-GB"/>
              </w:rPr>
            </w:pPr>
            <w:r>
              <w:rPr>
                <w:rFonts w:hint="eastAsia"/>
                <w:highlight w:val="none"/>
                <w:lang w:val="en-GB"/>
              </w:rPr>
              <w:t>1</w:t>
            </w:r>
            <w:r>
              <w:rPr>
                <w:highlight w:val="none"/>
                <w:lang w:val="en-GB"/>
              </w:rPr>
              <w:t>.3</w:t>
            </w:r>
          </w:p>
        </w:tc>
        <w:tc>
          <w:tcPr>
            <w:tcW w:w="2062" w:type="dxa"/>
            <w:noWrap/>
            <w:vAlign w:val="center"/>
          </w:tcPr>
          <w:p>
            <w:pPr>
              <w:jc w:val="center"/>
              <w:rPr>
                <w:highlight w:val="none"/>
                <w:lang w:val="en-GB"/>
              </w:rPr>
            </w:pP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28" w:type="dxa"/>
            <w:left w:w="85" w:type="dxa"/>
            <w:bottom w:w="28" w:type="dxa"/>
            <w:right w:w="85" w:type="dxa"/>
          </w:tblCellMar>
        </w:tblPrEx>
        <w:trPr>
          <w:cantSplit/>
          <w:trHeight w:val="284" w:hRule="atLeast"/>
          <w:jc w:val="center"/>
        </w:trPr>
        <w:tc>
          <w:tcPr>
            <w:tcW w:w="1588" w:type="dxa"/>
            <w:noWrap/>
            <w:vAlign w:val="center"/>
          </w:tcPr>
          <w:p>
            <w:pPr>
              <w:jc w:val="center"/>
              <w:rPr>
                <w:highlight w:val="none"/>
                <w:lang w:val="en-GB"/>
              </w:rPr>
            </w:pPr>
            <w:r>
              <w:rPr>
                <w:rFonts w:hint="eastAsia"/>
                <w:highlight w:val="none"/>
                <w:lang w:val="en-GB"/>
              </w:rPr>
              <w:t>6</w:t>
            </w:r>
            <w:r>
              <w:rPr>
                <w:highlight w:val="none"/>
                <w:lang w:val="en-GB"/>
              </w:rPr>
              <w:t>0客位新能源渡船</w:t>
            </w:r>
          </w:p>
        </w:tc>
        <w:tc>
          <w:tcPr>
            <w:tcW w:w="1362" w:type="dxa"/>
            <w:noWrap/>
            <w:vAlign w:val="center"/>
          </w:tcPr>
          <w:p>
            <w:pPr>
              <w:jc w:val="center"/>
              <w:rPr>
                <w:highlight w:val="none"/>
              </w:rPr>
            </w:pPr>
            <w:r>
              <w:rPr>
                <w:highlight w:val="none"/>
              </w:rPr>
              <w:t>60客位</w:t>
            </w:r>
          </w:p>
        </w:tc>
        <w:tc>
          <w:tcPr>
            <w:tcW w:w="1178" w:type="dxa"/>
            <w:noWrap/>
            <w:vAlign w:val="center"/>
          </w:tcPr>
          <w:p>
            <w:pPr>
              <w:jc w:val="center"/>
              <w:rPr>
                <w:highlight w:val="none"/>
                <w:lang w:val="en-GB"/>
              </w:rPr>
            </w:pPr>
            <w:r>
              <w:rPr>
                <w:rFonts w:hint="eastAsia"/>
                <w:highlight w:val="none"/>
                <w:lang w:val="en-GB"/>
              </w:rPr>
              <w:t>1</w:t>
            </w:r>
            <w:r>
              <w:rPr>
                <w:highlight w:val="none"/>
                <w:lang w:val="en-GB"/>
              </w:rPr>
              <w:t>9.8</w:t>
            </w:r>
          </w:p>
        </w:tc>
        <w:tc>
          <w:tcPr>
            <w:tcW w:w="1073" w:type="dxa"/>
            <w:noWrap/>
            <w:vAlign w:val="center"/>
          </w:tcPr>
          <w:p>
            <w:pPr>
              <w:jc w:val="center"/>
              <w:rPr>
                <w:highlight w:val="none"/>
                <w:lang w:val="en-GB"/>
              </w:rPr>
            </w:pPr>
            <w:r>
              <w:rPr>
                <w:rFonts w:hint="eastAsia"/>
                <w:highlight w:val="none"/>
                <w:lang w:val="en-GB"/>
              </w:rPr>
              <w:t>6</w:t>
            </w:r>
          </w:p>
        </w:tc>
        <w:tc>
          <w:tcPr>
            <w:tcW w:w="1210" w:type="dxa"/>
            <w:noWrap/>
            <w:vAlign w:val="center"/>
          </w:tcPr>
          <w:p>
            <w:pPr>
              <w:jc w:val="center"/>
              <w:rPr>
                <w:highlight w:val="none"/>
                <w:lang w:val="en-GB"/>
              </w:rPr>
            </w:pPr>
            <w:r>
              <w:rPr>
                <w:rFonts w:hint="eastAsia"/>
                <w:highlight w:val="none"/>
                <w:lang w:val="en-GB"/>
              </w:rPr>
              <w:t>1</w:t>
            </w:r>
            <w:r>
              <w:rPr>
                <w:highlight w:val="none"/>
                <w:lang w:val="en-GB"/>
              </w:rPr>
              <w:t>.5</w:t>
            </w:r>
          </w:p>
        </w:tc>
        <w:tc>
          <w:tcPr>
            <w:tcW w:w="2062" w:type="dxa"/>
            <w:noWrap/>
            <w:vAlign w:val="center"/>
          </w:tcPr>
          <w:p>
            <w:pPr>
              <w:jc w:val="center"/>
              <w:rPr>
                <w:highlight w:val="none"/>
                <w:lang w:val="en-GB"/>
              </w:rPr>
            </w:pP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28" w:type="dxa"/>
            <w:left w:w="85" w:type="dxa"/>
            <w:bottom w:w="28" w:type="dxa"/>
            <w:right w:w="85" w:type="dxa"/>
          </w:tblCellMar>
        </w:tblPrEx>
        <w:trPr>
          <w:cantSplit/>
          <w:trHeight w:val="284" w:hRule="atLeast"/>
          <w:jc w:val="center"/>
        </w:trPr>
        <w:tc>
          <w:tcPr>
            <w:tcW w:w="1588" w:type="dxa"/>
            <w:noWrap/>
            <w:vAlign w:val="center"/>
          </w:tcPr>
          <w:p>
            <w:pPr>
              <w:jc w:val="center"/>
              <w:rPr>
                <w:highlight w:val="none"/>
                <w:lang w:val="en-GB"/>
              </w:rPr>
            </w:pPr>
            <w:r>
              <w:rPr>
                <w:highlight w:val="none"/>
                <w:lang w:val="en-GB"/>
              </w:rPr>
              <w:t>60</w:t>
            </w:r>
            <w:r>
              <w:rPr>
                <w:rFonts w:hint="eastAsia"/>
                <w:highlight w:val="none"/>
                <w:lang w:val="en-GB"/>
              </w:rPr>
              <w:t>客位</w:t>
            </w:r>
            <w:r>
              <w:rPr>
                <w:highlight w:val="none"/>
                <w:lang w:val="en-GB"/>
              </w:rPr>
              <w:t>渡船</w:t>
            </w:r>
          </w:p>
        </w:tc>
        <w:tc>
          <w:tcPr>
            <w:tcW w:w="1362" w:type="dxa"/>
            <w:noWrap/>
            <w:vAlign w:val="center"/>
          </w:tcPr>
          <w:p>
            <w:pPr>
              <w:jc w:val="center"/>
              <w:rPr>
                <w:highlight w:val="none"/>
              </w:rPr>
            </w:pPr>
            <w:r>
              <w:rPr>
                <w:highlight w:val="none"/>
              </w:rPr>
              <w:t>60客位</w:t>
            </w:r>
          </w:p>
        </w:tc>
        <w:tc>
          <w:tcPr>
            <w:tcW w:w="1178" w:type="dxa"/>
            <w:noWrap/>
            <w:vAlign w:val="center"/>
          </w:tcPr>
          <w:p>
            <w:pPr>
              <w:jc w:val="center"/>
              <w:rPr>
                <w:highlight w:val="none"/>
                <w:lang w:val="en-GB"/>
              </w:rPr>
            </w:pPr>
            <w:r>
              <w:rPr>
                <w:highlight w:val="none"/>
                <w:lang w:val="en-GB"/>
              </w:rPr>
              <w:t>19.8</w:t>
            </w:r>
          </w:p>
        </w:tc>
        <w:tc>
          <w:tcPr>
            <w:tcW w:w="1073" w:type="dxa"/>
            <w:noWrap/>
            <w:vAlign w:val="center"/>
          </w:tcPr>
          <w:p>
            <w:pPr>
              <w:jc w:val="center"/>
              <w:rPr>
                <w:highlight w:val="none"/>
                <w:lang w:val="en-GB"/>
              </w:rPr>
            </w:pPr>
            <w:r>
              <w:rPr>
                <w:highlight w:val="none"/>
                <w:lang w:val="en-GB"/>
              </w:rPr>
              <w:t>4</w:t>
            </w:r>
          </w:p>
        </w:tc>
        <w:tc>
          <w:tcPr>
            <w:tcW w:w="1210" w:type="dxa"/>
            <w:noWrap/>
            <w:vAlign w:val="center"/>
          </w:tcPr>
          <w:p>
            <w:pPr>
              <w:jc w:val="center"/>
              <w:rPr>
                <w:highlight w:val="none"/>
                <w:lang w:val="en-GB"/>
              </w:rPr>
            </w:pPr>
            <w:r>
              <w:rPr>
                <w:highlight w:val="none"/>
                <w:lang w:val="en-GB"/>
              </w:rPr>
              <w:t>1.4</w:t>
            </w:r>
          </w:p>
        </w:tc>
        <w:tc>
          <w:tcPr>
            <w:tcW w:w="2062" w:type="dxa"/>
            <w:noWrap/>
            <w:vAlign w:val="center"/>
          </w:tcPr>
          <w:p>
            <w:pPr>
              <w:jc w:val="center"/>
              <w:rPr>
                <w:highlight w:val="none"/>
                <w:lang w:val="en-GB"/>
              </w:rPr>
            </w:pP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28" w:type="dxa"/>
            <w:left w:w="85" w:type="dxa"/>
            <w:bottom w:w="28" w:type="dxa"/>
            <w:right w:w="85" w:type="dxa"/>
          </w:tblCellMar>
        </w:tblPrEx>
        <w:trPr>
          <w:cantSplit/>
          <w:trHeight w:val="284" w:hRule="atLeast"/>
          <w:jc w:val="center"/>
        </w:trPr>
        <w:tc>
          <w:tcPr>
            <w:tcW w:w="8473" w:type="dxa"/>
            <w:gridSpan w:val="6"/>
            <w:noWrap/>
            <w:vAlign w:val="center"/>
          </w:tcPr>
          <w:p>
            <w:pPr>
              <w:jc w:val="left"/>
              <w:rPr>
                <w:highlight w:val="none"/>
              </w:rPr>
            </w:pPr>
            <w:r>
              <w:rPr>
                <w:highlight w:val="none"/>
              </w:rPr>
              <w:t>2.旅游客船</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28" w:type="dxa"/>
            <w:left w:w="85" w:type="dxa"/>
            <w:bottom w:w="28" w:type="dxa"/>
            <w:right w:w="85" w:type="dxa"/>
          </w:tblCellMar>
        </w:tblPrEx>
        <w:trPr>
          <w:cantSplit/>
          <w:trHeight w:val="284" w:hRule="atLeast"/>
          <w:jc w:val="center"/>
        </w:trPr>
        <w:tc>
          <w:tcPr>
            <w:tcW w:w="1588" w:type="dxa"/>
            <w:noWrap/>
            <w:vAlign w:val="center"/>
          </w:tcPr>
          <w:p>
            <w:pPr>
              <w:jc w:val="center"/>
              <w:rPr>
                <w:b/>
                <w:bCs/>
                <w:highlight w:val="none"/>
              </w:rPr>
            </w:pPr>
            <w:r>
              <w:rPr>
                <w:highlight w:val="none"/>
                <w:lang w:val="en-GB"/>
              </w:rPr>
              <w:t>50客位旅游船</w:t>
            </w:r>
          </w:p>
        </w:tc>
        <w:tc>
          <w:tcPr>
            <w:tcW w:w="1362" w:type="dxa"/>
            <w:noWrap/>
            <w:vAlign w:val="center"/>
          </w:tcPr>
          <w:p>
            <w:pPr>
              <w:jc w:val="center"/>
              <w:rPr>
                <w:b/>
                <w:bCs/>
                <w:highlight w:val="none"/>
              </w:rPr>
            </w:pPr>
            <w:r>
              <w:rPr>
                <w:highlight w:val="none"/>
                <w:lang w:val="en-GB"/>
              </w:rPr>
              <w:t>50客位</w:t>
            </w:r>
          </w:p>
        </w:tc>
        <w:tc>
          <w:tcPr>
            <w:tcW w:w="1178" w:type="dxa"/>
            <w:noWrap/>
            <w:vAlign w:val="center"/>
          </w:tcPr>
          <w:p>
            <w:pPr>
              <w:jc w:val="center"/>
              <w:rPr>
                <w:highlight w:val="none"/>
              </w:rPr>
            </w:pPr>
            <w:r>
              <w:rPr>
                <w:highlight w:val="none"/>
                <w:lang w:val="en-GB"/>
              </w:rPr>
              <w:t>22.0</w:t>
            </w:r>
          </w:p>
        </w:tc>
        <w:tc>
          <w:tcPr>
            <w:tcW w:w="1073" w:type="dxa"/>
            <w:noWrap/>
            <w:vAlign w:val="center"/>
          </w:tcPr>
          <w:p>
            <w:pPr>
              <w:jc w:val="center"/>
              <w:rPr>
                <w:highlight w:val="none"/>
              </w:rPr>
            </w:pPr>
            <w:r>
              <w:rPr>
                <w:highlight w:val="none"/>
                <w:lang w:val="en-GB"/>
              </w:rPr>
              <w:t>4.0</w:t>
            </w:r>
          </w:p>
        </w:tc>
        <w:tc>
          <w:tcPr>
            <w:tcW w:w="1210" w:type="dxa"/>
            <w:noWrap/>
            <w:vAlign w:val="center"/>
          </w:tcPr>
          <w:p>
            <w:pPr>
              <w:jc w:val="center"/>
              <w:rPr>
                <w:highlight w:val="none"/>
                <w:lang w:val="en-GB"/>
              </w:rPr>
            </w:pPr>
            <w:r>
              <w:rPr>
                <w:highlight w:val="none"/>
                <w:lang w:val="en-GB"/>
              </w:rPr>
              <w:t>0.8</w:t>
            </w:r>
          </w:p>
        </w:tc>
        <w:tc>
          <w:tcPr>
            <w:tcW w:w="2062" w:type="dxa"/>
            <w:noWrap/>
            <w:vAlign w:val="center"/>
          </w:tcPr>
          <w:p>
            <w:pPr>
              <w:jc w:val="center"/>
              <w:rPr>
                <w:b/>
                <w:bCs/>
                <w:highlight w:val="none"/>
              </w:rPr>
            </w:pPr>
            <w:r>
              <w:rPr>
                <w:highlight w:val="none"/>
                <w:lang w:val="en-GB"/>
              </w:rPr>
              <w:t>旅游客船</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28" w:type="dxa"/>
            <w:left w:w="85" w:type="dxa"/>
            <w:bottom w:w="28" w:type="dxa"/>
            <w:right w:w="85" w:type="dxa"/>
          </w:tblCellMar>
        </w:tblPrEx>
        <w:trPr>
          <w:cantSplit/>
          <w:trHeight w:val="284" w:hRule="atLeast"/>
          <w:jc w:val="center"/>
        </w:trPr>
        <w:tc>
          <w:tcPr>
            <w:tcW w:w="1588" w:type="dxa"/>
            <w:noWrap/>
            <w:vAlign w:val="center"/>
          </w:tcPr>
          <w:p>
            <w:pPr>
              <w:jc w:val="center"/>
              <w:rPr>
                <w:b/>
                <w:bCs/>
                <w:highlight w:val="none"/>
              </w:rPr>
            </w:pPr>
            <w:r>
              <w:rPr>
                <w:highlight w:val="none"/>
                <w:lang w:val="en-GB"/>
              </w:rPr>
              <w:t>80客位旅游船</w:t>
            </w:r>
          </w:p>
        </w:tc>
        <w:tc>
          <w:tcPr>
            <w:tcW w:w="1362" w:type="dxa"/>
            <w:noWrap/>
            <w:vAlign w:val="center"/>
          </w:tcPr>
          <w:p>
            <w:pPr>
              <w:jc w:val="center"/>
              <w:rPr>
                <w:b/>
                <w:bCs/>
                <w:highlight w:val="none"/>
              </w:rPr>
            </w:pPr>
            <w:r>
              <w:rPr>
                <w:highlight w:val="none"/>
                <w:lang w:val="en-GB"/>
              </w:rPr>
              <w:t>80客位</w:t>
            </w:r>
          </w:p>
        </w:tc>
        <w:tc>
          <w:tcPr>
            <w:tcW w:w="1178" w:type="dxa"/>
            <w:noWrap/>
            <w:vAlign w:val="center"/>
          </w:tcPr>
          <w:p>
            <w:pPr>
              <w:jc w:val="center"/>
              <w:rPr>
                <w:highlight w:val="none"/>
              </w:rPr>
            </w:pPr>
            <w:r>
              <w:rPr>
                <w:highlight w:val="none"/>
                <w:lang w:val="en-GB"/>
              </w:rPr>
              <w:t>35.3</w:t>
            </w:r>
          </w:p>
        </w:tc>
        <w:tc>
          <w:tcPr>
            <w:tcW w:w="1073" w:type="dxa"/>
            <w:noWrap/>
            <w:vAlign w:val="center"/>
          </w:tcPr>
          <w:p>
            <w:pPr>
              <w:jc w:val="center"/>
              <w:rPr>
                <w:highlight w:val="none"/>
              </w:rPr>
            </w:pPr>
            <w:r>
              <w:rPr>
                <w:highlight w:val="none"/>
                <w:lang w:val="en-GB"/>
              </w:rPr>
              <w:t>6.2</w:t>
            </w:r>
          </w:p>
        </w:tc>
        <w:tc>
          <w:tcPr>
            <w:tcW w:w="1210" w:type="dxa"/>
            <w:noWrap/>
            <w:vAlign w:val="center"/>
          </w:tcPr>
          <w:p>
            <w:pPr>
              <w:jc w:val="center"/>
              <w:rPr>
                <w:highlight w:val="none"/>
                <w:lang w:val="en-GB"/>
              </w:rPr>
            </w:pPr>
            <w:r>
              <w:rPr>
                <w:highlight w:val="none"/>
                <w:lang w:val="en-GB"/>
              </w:rPr>
              <w:t>0.8</w:t>
            </w:r>
          </w:p>
        </w:tc>
        <w:tc>
          <w:tcPr>
            <w:tcW w:w="2062" w:type="dxa"/>
            <w:noWrap/>
            <w:vAlign w:val="center"/>
          </w:tcPr>
          <w:p>
            <w:pPr>
              <w:jc w:val="center"/>
              <w:rPr>
                <w:b/>
                <w:bCs/>
                <w:highlight w:val="none"/>
              </w:rPr>
            </w:pPr>
            <w:r>
              <w:rPr>
                <w:highlight w:val="none"/>
                <w:lang w:val="en-GB"/>
              </w:rPr>
              <w:t>旅游客船</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28" w:type="dxa"/>
            <w:left w:w="85" w:type="dxa"/>
            <w:bottom w:w="28" w:type="dxa"/>
            <w:right w:w="85" w:type="dxa"/>
          </w:tblCellMar>
        </w:tblPrEx>
        <w:trPr>
          <w:cantSplit/>
          <w:trHeight w:val="284" w:hRule="atLeast"/>
          <w:jc w:val="center"/>
        </w:trPr>
        <w:tc>
          <w:tcPr>
            <w:tcW w:w="1588" w:type="dxa"/>
            <w:noWrap/>
            <w:vAlign w:val="center"/>
          </w:tcPr>
          <w:p>
            <w:pPr>
              <w:jc w:val="center"/>
              <w:rPr>
                <w:b/>
                <w:bCs/>
                <w:highlight w:val="none"/>
              </w:rPr>
            </w:pPr>
            <w:r>
              <w:rPr>
                <w:highlight w:val="none"/>
                <w:lang w:val="en-GB"/>
              </w:rPr>
              <w:t>160客位旅游船</w:t>
            </w:r>
          </w:p>
        </w:tc>
        <w:tc>
          <w:tcPr>
            <w:tcW w:w="1362" w:type="dxa"/>
            <w:noWrap/>
            <w:vAlign w:val="center"/>
          </w:tcPr>
          <w:p>
            <w:pPr>
              <w:jc w:val="center"/>
              <w:rPr>
                <w:b/>
                <w:bCs/>
                <w:highlight w:val="none"/>
              </w:rPr>
            </w:pPr>
            <w:r>
              <w:rPr>
                <w:highlight w:val="none"/>
                <w:lang w:val="en-GB"/>
              </w:rPr>
              <w:t>160客位</w:t>
            </w:r>
          </w:p>
        </w:tc>
        <w:tc>
          <w:tcPr>
            <w:tcW w:w="1178" w:type="dxa"/>
            <w:noWrap/>
            <w:vAlign w:val="center"/>
          </w:tcPr>
          <w:p>
            <w:pPr>
              <w:jc w:val="center"/>
              <w:rPr>
                <w:highlight w:val="none"/>
              </w:rPr>
            </w:pPr>
            <w:r>
              <w:rPr>
                <w:highlight w:val="none"/>
                <w:lang w:val="en-GB"/>
              </w:rPr>
              <w:t>46.5</w:t>
            </w:r>
          </w:p>
        </w:tc>
        <w:tc>
          <w:tcPr>
            <w:tcW w:w="1073" w:type="dxa"/>
            <w:noWrap/>
            <w:vAlign w:val="center"/>
          </w:tcPr>
          <w:p>
            <w:pPr>
              <w:jc w:val="center"/>
              <w:rPr>
                <w:highlight w:val="none"/>
              </w:rPr>
            </w:pPr>
            <w:r>
              <w:rPr>
                <w:highlight w:val="none"/>
                <w:lang w:val="en-GB"/>
              </w:rPr>
              <w:t>7.0</w:t>
            </w:r>
          </w:p>
        </w:tc>
        <w:tc>
          <w:tcPr>
            <w:tcW w:w="1210" w:type="dxa"/>
            <w:noWrap/>
            <w:vAlign w:val="center"/>
          </w:tcPr>
          <w:p>
            <w:pPr>
              <w:jc w:val="center"/>
              <w:rPr>
                <w:highlight w:val="none"/>
                <w:lang w:val="en-GB"/>
              </w:rPr>
            </w:pPr>
            <w:r>
              <w:rPr>
                <w:highlight w:val="none"/>
                <w:lang w:val="en-GB"/>
              </w:rPr>
              <w:t>0.8</w:t>
            </w:r>
          </w:p>
        </w:tc>
        <w:tc>
          <w:tcPr>
            <w:tcW w:w="2062" w:type="dxa"/>
            <w:noWrap/>
            <w:vAlign w:val="center"/>
          </w:tcPr>
          <w:p>
            <w:pPr>
              <w:jc w:val="center"/>
              <w:rPr>
                <w:b/>
                <w:bCs/>
                <w:highlight w:val="none"/>
              </w:rPr>
            </w:pPr>
            <w:r>
              <w:rPr>
                <w:highlight w:val="none"/>
                <w:lang w:val="en-GB"/>
              </w:rPr>
              <w:t>旅游客船</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28" w:type="dxa"/>
            <w:left w:w="85" w:type="dxa"/>
            <w:bottom w:w="28" w:type="dxa"/>
            <w:right w:w="85" w:type="dxa"/>
          </w:tblCellMar>
        </w:tblPrEx>
        <w:trPr>
          <w:cantSplit/>
          <w:trHeight w:val="284" w:hRule="atLeast"/>
          <w:jc w:val="center"/>
        </w:trPr>
        <w:tc>
          <w:tcPr>
            <w:tcW w:w="1588" w:type="dxa"/>
            <w:noWrap/>
            <w:vAlign w:val="center"/>
          </w:tcPr>
          <w:p>
            <w:pPr>
              <w:jc w:val="center"/>
              <w:rPr>
                <w:highlight w:val="none"/>
                <w:lang w:val="en-GB"/>
              </w:rPr>
            </w:pPr>
            <w:r>
              <w:rPr>
                <w:highlight w:val="none"/>
                <w:lang w:val="en-GB"/>
              </w:rPr>
              <w:t>106客位游轮</w:t>
            </w:r>
          </w:p>
        </w:tc>
        <w:tc>
          <w:tcPr>
            <w:tcW w:w="1362" w:type="dxa"/>
            <w:noWrap/>
            <w:vAlign w:val="center"/>
          </w:tcPr>
          <w:p>
            <w:pPr>
              <w:jc w:val="center"/>
              <w:rPr>
                <w:highlight w:val="none"/>
                <w:lang w:val="en-GB"/>
              </w:rPr>
            </w:pPr>
            <w:r>
              <w:rPr>
                <w:highlight w:val="none"/>
                <w:lang w:val="en-GB"/>
              </w:rPr>
              <w:t>106客位</w:t>
            </w:r>
          </w:p>
        </w:tc>
        <w:tc>
          <w:tcPr>
            <w:tcW w:w="1178" w:type="dxa"/>
            <w:noWrap/>
            <w:vAlign w:val="center"/>
          </w:tcPr>
          <w:p>
            <w:pPr>
              <w:jc w:val="center"/>
              <w:rPr>
                <w:highlight w:val="none"/>
                <w:lang w:val="en-GB"/>
              </w:rPr>
            </w:pPr>
            <w:r>
              <w:rPr>
                <w:highlight w:val="none"/>
                <w:lang w:val="en-GB"/>
              </w:rPr>
              <w:t>80</w:t>
            </w:r>
          </w:p>
        </w:tc>
        <w:tc>
          <w:tcPr>
            <w:tcW w:w="1073" w:type="dxa"/>
            <w:noWrap/>
            <w:vAlign w:val="center"/>
          </w:tcPr>
          <w:p>
            <w:pPr>
              <w:jc w:val="center"/>
              <w:rPr>
                <w:highlight w:val="none"/>
                <w:lang w:val="en-GB"/>
              </w:rPr>
            </w:pPr>
            <w:r>
              <w:rPr>
                <w:highlight w:val="none"/>
                <w:lang w:val="en-GB"/>
              </w:rPr>
              <w:t>11</w:t>
            </w:r>
          </w:p>
        </w:tc>
        <w:tc>
          <w:tcPr>
            <w:tcW w:w="1210" w:type="dxa"/>
            <w:noWrap/>
            <w:vAlign w:val="center"/>
          </w:tcPr>
          <w:p>
            <w:pPr>
              <w:jc w:val="center"/>
              <w:rPr>
                <w:highlight w:val="none"/>
                <w:lang w:val="en-GB"/>
              </w:rPr>
            </w:pPr>
            <w:r>
              <w:rPr>
                <w:highlight w:val="none"/>
                <w:lang w:val="en-GB"/>
              </w:rPr>
              <w:t>0.8~1</w:t>
            </w:r>
          </w:p>
        </w:tc>
        <w:tc>
          <w:tcPr>
            <w:tcW w:w="2062" w:type="dxa"/>
            <w:noWrap/>
            <w:vAlign w:val="center"/>
          </w:tcPr>
          <w:p>
            <w:pPr>
              <w:jc w:val="center"/>
              <w:rPr>
                <w:highlight w:val="none"/>
              </w:rPr>
            </w:pPr>
            <w:r>
              <w:rPr>
                <w:rFonts w:hint="eastAsia"/>
                <w:highlight w:val="none"/>
              </w:rPr>
              <w:t>游轮</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28" w:type="dxa"/>
            <w:left w:w="85" w:type="dxa"/>
            <w:bottom w:w="28" w:type="dxa"/>
            <w:right w:w="85" w:type="dxa"/>
          </w:tblCellMar>
        </w:tblPrEx>
        <w:trPr>
          <w:cantSplit/>
          <w:trHeight w:val="284" w:hRule="atLeast"/>
          <w:jc w:val="center"/>
        </w:trPr>
        <w:tc>
          <w:tcPr>
            <w:tcW w:w="8473" w:type="dxa"/>
            <w:gridSpan w:val="6"/>
            <w:noWrap/>
            <w:vAlign w:val="center"/>
          </w:tcPr>
          <w:p>
            <w:pPr>
              <w:jc w:val="left"/>
              <w:rPr>
                <w:highlight w:val="none"/>
              </w:rPr>
            </w:pPr>
            <w:r>
              <w:rPr>
                <w:highlight w:val="none"/>
                <w:lang w:val="en-GB"/>
              </w:rPr>
              <w:t>二、货船</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28" w:type="dxa"/>
            <w:left w:w="85" w:type="dxa"/>
            <w:bottom w:w="28" w:type="dxa"/>
            <w:right w:w="85" w:type="dxa"/>
          </w:tblCellMar>
        </w:tblPrEx>
        <w:trPr>
          <w:cantSplit/>
          <w:trHeight w:val="284" w:hRule="atLeast"/>
          <w:jc w:val="center"/>
        </w:trPr>
        <w:tc>
          <w:tcPr>
            <w:tcW w:w="8473" w:type="dxa"/>
            <w:gridSpan w:val="6"/>
            <w:noWrap/>
            <w:vAlign w:val="center"/>
          </w:tcPr>
          <w:p>
            <w:pPr>
              <w:jc w:val="left"/>
              <w:rPr>
                <w:highlight w:val="none"/>
              </w:rPr>
            </w:pPr>
            <w:r>
              <w:rPr>
                <w:highlight w:val="none"/>
              </w:rPr>
              <w:t>1.集装箱船</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28" w:type="dxa"/>
            <w:left w:w="85" w:type="dxa"/>
            <w:bottom w:w="28" w:type="dxa"/>
            <w:right w:w="85" w:type="dxa"/>
          </w:tblCellMar>
        </w:tblPrEx>
        <w:trPr>
          <w:cantSplit/>
          <w:trHeight w:val="284" w:hRule="atLeast"/>
          <w:jc w:val="center"/>
        </w:trPr>
        <w:tc>
          <w:tcPr>
            <w:tcW w:w="1588" w:type="dxa"/>
            <w:noWrap/>
            <w:vAlign w:val="center"/>
          </w:tcPr>
          <w:p>
            <w:pPr>
              <w:jc w:val="center"/>
              <w:rPr>
                <w:highlight w:val="none"/>
              </w:rPr>
            </w:pPr>
            <w:r>
              <w:rPr>
                <w:highlight w:val="none"/>
              </w:rPr>
              <w:t>CZ-J2</w:t>
            </w:r>
          </w:p>
        </w:tc>
        <w:tc>
          <w:tcPr>
            <w:tcW w:w="1362" w:type="dxa"/>
            <w:vAlign w:val="center"/>
          </w:tcPr>
          <w:p>
            <w:pPr>
              <w:jc w:val="center"/>
              <w:rPr>
                <w:highlight w:val="none"/>
                <w:lang w:val="en-GB"/>
              </w:rPr>
            </w:pPr>
            <w:r>
              <w:rPr>
                <w:highlight w:val="none"/>
                <w:lang w:val="en-GB"/>
              </w:rPr>
              <w:t>40TEU</w:t>
            </w:r>
          </w:p>
        </w:tc>
        <w:tc>
          <w:tcPr>
            <w:tcW w:w="1178" w:type="dxa"/>
            <w:noWrap/>
            <w:vAlign w:val="center"/>
          </w:tcPr>
          <w:p>
            <w:pPr>
              <w:jc w:val="center"/>
              <w:rPr>
                <w:highlight w:val="none"/>
              </w:rPr>
            </w:pPr>
            <w:r>
              <w:rPr>
                <w:highlight w:val="none"/>
              </w:rPr>
              <w:t>53.0</w:t>
            </w:r>
          </w:p>
        </w:tc>
        <w:tc>
          <w:tcPr>
            <w:tcW w:w="1073" w:type="dxa"/>
            <w:noWrap/>
            <w:vAlign w:val="center"/>
          </w:tcPr>
          <w:p>
            <w:pPr>
              <w:jc w:val="center"/>
              <w:rPr>
                <w:highlight w:val="none"/>
              </w:rPr>
            </w:pPr>
            <w:r>
              <w:rPr>
                <w:highlight w:val="none"/>
              </w:rPr>
              <w:t>11.0</w:t>
            </w:r>
          </w:p>
        </w:tc>
        <w:tc>
          <w:tcPr>
            <w:tcW w:w="1210" w:type="dxa"/>
            <w:noWrap/>
            <w:vAlign w:val="center"/>
          </w:tcPr>
          <w:p>
            <w:pPr>
              <w:jc w:val="center"/>
              <w:rPr>
                <w:highlight w:val="none"/>
              </w:rPr>
            </w:pPr>
            <w:r>
              <w:rPr>
                <w:highlight w:val="none"/>
              </w:rPr>
              <w:t>1.6~1.8</w:t>
            </w:r>
          </w:p>
        </w:tc>
        <w:tc>
          <w:tcPr>
            <w:tcW w:w="2062" w:type="dxa"/>
            <w:noWrap/>
            <w:vAlign w:val="center"/>
          </w:tcPr>
          <w:p>
            <w:pPr>
              <w:jc w:val="center"/>
              <w:rPr>
                <w:highlight w:val="none"/>
              </w:rPr>
            </w:pPr>
            <w:r>
              <w:rPr>
                <w:highlight w:val="none"/>
              </w:rPr>
              <w:t>近期</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28" w:type="dxa"/>
            <w:left w:w="85" w:type="dxa"/>
            <w:bottom w:w="28" w:type="dxa"/>
            <w:right w:w="85" w:type="dxa"/>
          </w:tblCellMar>
        </w:tblPrEx>
        <w:trPr>
          <w:cantSplit/>
          <w:trHeight w:val="284" w:hRule="atLeast"/>
          <w:jc w:val="center"/>
        </w:trPr>
        <w:tc>
          <w:tcPr>
            <w:tcW w:w="1588" w:type="dxa"/>
            <w:noWrap/>
            <w:vAlign w:val="center"/>
          </w:tcPr>
          <w:p>
            <w:pPr>
              <w:jc w:val="center"/>
              <w:rPr>
                <w:highlight w:val="none"/>
              </w:rPr>
            </w:pPr>
            <w:r>
              <w:rPr>
                <w:highlight w:val="none"/>
              </w:rPr>
              <w:t>CZ-J3</w:t>
            </w:r>
          </w:p>
        </w:tc>
        <w:tc>
          <w:tcPr>
            <w:tcW w:w="1362" w:type="dxa"/>
            <w:vAlign w:val="center"/>
          </w:tcPr>
          <w:p>
            <w:pPr>
              <w:jc w:val="center"/>
              <w:rPr>
                <w:highlight w:val="none"/>
                <w:lang w:val="en-GB"/>
              </w:rPr>
            </w:pPr>
            <w:r>
              <w:rPr>
                <w:highlight w:val="none"/>
                <w:lang w:val="en-GB"/>
              </w:rPr>
              <w:t>60TEU</w:t>
            </w:r>
          </w:p>
        </w:tc>
        <w:tc>
          <w:tcPr>
            <w:tcW w:w="1178" w:type="dxa"/>
            <w:noWrap/>
            <w:vAlign w:val="center"/>
          </w:tcPr>
          <w:p>
            <w:pPr>
              <w:jc w:val="center"/>
              <w:rPr>
                <w:highlight w:val="none"/>
              </w:rPr>
            </w:pPr>
            <w:r>
              <w:rPr>
                <w:highlight w:val="none"/>
              </w:rPr>
              <w:t>63.0</w:t>
            </w:r>
          </w:p>
        </w:tc>
        <w:tc>
          <w:tcPr>
            <w:tcW w:w="1073" w:type="dxa"/>
            <w:noWrap/>
            <w:vAlign w:val="center"/>
          </w:tcPr>
          <w:p>
            <w:pPr>
              <w:jc w:val="center"/>
              <w:rPr>
                <w:highlight w:val="none"/>
              </w:rPr>
            </w:pPr>
            <w:r>
              <w:rPr>
                <w:highlight w:val="none"/>
              </w:rPr>
              <w:t>11.0</w:t>
            </w:r>
          </w:p>
        </w:tc>
        <w:tc>
          <w:tcPr>
            <w:tcW w:w="1210" w:type="dxa"/>
            <w:noWrap/>
            <w:vAlign w:val="center"/>
          </w:tcPr>
          <w:p>
            <w:pPr>
              <w:jc w:val="center"/>
              <w:rPr>
                <w:highlight w:val="none"/>
              </w:rPr>
            </w:pPr>
            <w:r>
              <w:rPr>
                <w:highlight w:val="none"/>
              </w:rPr>
              <w:t>2.0~2.4</w:t>
            </w:r>
          </w:p>
        </w:tc>
        <w:tc>
          <w:tcPr>
            <w:tcW w:w="2062" w:type="dxa"/>
            <w:noWrap/>
            <w:vAlign w:val="center"/>
          </w:tcPr>
          <w:p>
            <w:pPr>
              <w:jc w:val="center"/>
              <w:rPr>
                <w:highlight w:val="none"/>
                <w:lang w:val="en-GB"/>
              </w:rPr>
            </w:pPr>
            <w:r>
              <w:rPr>
                <w:highlight w:val="none"/>
              </w:rPr>
              <w:t>近期</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28" w:type="dxa"/>
            <w:left w:w="85" w:type="dxa"/>
            <w:bottom w:w="28" w:type="dxa"/>
            <w:right w:w="85" w:type="dxa"/>
          </w:tblCellMar>
        </w:tblPrEx>
        <w:trPr>
          <w:cantSplit/>
          <w:trHeight w:val="284" w:hRule="atLeast"/>
          <w:jc w:val="center"/>
        </w:trPr>
        <w:tc>
          <w:tcPr>
            <w:tcW w:w="1588" w:type="dxa"/>
            <w:noWrap/>
            <w:vAlign w:val="center"/>
          </w:tcPr>
          <w:p>
            <w:pPr>
              <w:jc w:val="center"/>
              <w:rPr>
                <w:highlight w:val="none"/>
              </w:rPr>
            </w:pPr>
            <w:r>
              <w:rPr>
                <w:highlight w:val="none"/>
              </w:rPr>
              <w:t>CZ-J4</w:t>
            </w:r>
          </w:p>
        </w:tc>
        <w:tc>
          <w:tcPr>
            <w:tcW w:w="1362" w:type="dxa"/>
            <w:vAlign w:val="center"/>
          </w:tcPr>
          <w:p>
            <w:pPr>
              <w:jc w:val="center"/>
              <w:rPr>
                <w:highlight w:val="none"/>
                <w:lang w:val="en-GB"/>
              </w:rPr>
            </w:pPr>
            <w:r>
              <w:rPr>
                <w:highlight w:val="none"/>
              </w:rPr>
              <w:t>100</w:t>
            </w:r>
            <w:r>
              <w:rPr>
                <w:highlight w:val="none"/>
                <w:lang w:val="en-GB"/>
              </w:rPr>
              <w:t>TEU</w:t>
            </w:r>
          </w:p>
        </w:tc>
        <w:tc>
          <w:tcPr>
            <w:tcW w:w="1178" w:type="dxa"/>
            <w:noWrap/>
            <w:vAlign w:val="center"/>
          </w:tcPr>
          <w:p>
            <w:pPr>
              <w:jc w:val="center"/>
              <w:rPr>
                <w:highlight w:val="none"/>
              </w:rPr>
            </w:pPr>
            <w:r>
              <w:rPr>
                <w:highlight w:val="none"/>
              </w:rPr>
              <w:t>73.0</w:t>
            </w:r>
          </w:p>
        </w:tc>
        <w:tc>
          <w:tcPr>
            <w:tcW w:w="1073" w:type="dxa"/>
            <w:noWrap/>
            <w:vAlign w:val="center"/>
          </w:tcPr>
          <w:p>
            <w:pPr>
              <w:jc w:val="center"/>
              <w:rPr>
                <w:highlight w:val="none"/>
                <w:lang w:val="en-GB"/>
              </w:rPr>
            </w:pPr>
            <w:r>
              <w:rPr>
                <w:highlight w:val="none"/>
                <w:lang w:val="en-GB"/>
              </w:rPr>
              <w:t>13.</w:t>
            </w:r>
            <w:r>
              <w:rPr>
                <w:highlight w:val="none"/>
              </w:rPr>
              <w:t>8</w:t>
            </w:r>
          </w:p>
        </w:tc>
        <w:tc>
          <w:tcPr>
            <w:tcW w:w="1210" w:type="dxa"/>
            <w:noWrap/>
            <w:vAlign w:val="center"/>
          </w:tcPr>
          <w:p>
            <w:pPr>
              <w:jc w:val="center"/>
              <w:rPr>
                <w:highlight w:val="none"/>
                <w:lang w:val="en-GB"/>
              </w:rPr>
            </w:pPr>
            <w:r>
              <w:rPr>
                <w:highlight w:val="none"/>
              </w:rPr>
              <w:t>2.0~3.0</w:t>
            </w:r>
          </w:p>
        </w:tc>
        <w:tc>
          <w:tcPr>
            <w:tcW w:w="2062" w:type="dxa"/>
            <w:noWrap/>
            <w:vAlign w:val="center"/>
          </w:tcPr>
          <w:p>
            <w:pPr>
              <w:jc w:val="center"/>
              <w:rPr>
                <w:highlight w:val="none"/>
                <w:lang w:val="en-GB"/>
              </w:rPr>
            </w:pPr>
            <w:r>
              <w:rPr>
                <w:highlight w:val="none"/>
                <w:lang w:val="en-GB"/>
              </w:rPr>
              <w:t>远期</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28" w:type="dxa"/>
            <w:left w:w="85" w:type="dxa"/>
            <w:bottom w:w="28" w:type="dxa"/>
            <w:right w:w="85" w:type="dxa"/>
          </w:tblCellMar>
        </w:tblPrEx>
        <w:trPr>
          <w:cantSplit/>
          <w:trHeight w:val="284" w:hRule="atLeast"/>
          <w:jc w:val="center"/>
        </w:trPr>
        <w:tc>
          <w:tcPr>
            <w:tcW w:w="8473" w:type="dxa"/>
            <w:gridSpan w:val="6"/>
            <w:noWrap/>
            <w:vAlign w:val="center"/>
          </w:tcPr>
          <w:p>
            <w:pPr>
              <w:rPr>
                <w:highlight w:val="none"/>
                <w:lang w:val="en-GB"/>
              </w:rPr>
            </w:pPr>
            <w:r>
              <w:rPr>
                <w:highlight w:val="none"/>
              </w:rPr>
              <w:t>2.</w:t>
            </w:r>
            <w:r>
              <w:rPr>
                <w:highlight w:val="none"/>
                <w:lang w:val="en-GB"/>
              </w:rPr>
              <w:t>干散货船</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28" w:type="dxa"/>
            <w:left w:w="85" w:type="dxa"/>
            <w:bottom w:w="28" w:type="dxa"/>
            <w:right w:w="85" w:type="dxa"/>
          </w:tblCellMar>
        </w:tblPrEx>
        <w:trPr>
          <w:cantSplit/>
          <w:trHeight w:val="284" w:hRule="atLeast"/>
          <w:jc w:val="center"/>
        </w:trPr>
        <w:tc>
          <w:tcPr>
            <w:tcW w:w="1588" w:type="dxa"/>
            <w:noWrap/>
            <w:vAlign w:val="center"/>
          </w:tcPr>
          <w:p>
            <w:pPr>
              <w:jc w:val="center"/>
              <w:rPr>
                <w:highlight w:val="none"/>
              </w:rPr>
            </w:pPr>
            <w:r>
              <w:rPr>
                <w:highlight w:val="none"/>
              </w:rPr>
              <w:t>CZ-H5</w:t>
            </w:r>
          </w:p>
        </w:tc>
        <w:tc>
          <w:tcPr>
            <w:tcW w:w="1362" w:type="dxa"/>
            <w:vAlign w:val="center"/>
          </w:tcPr>
          <w:p>
            <w:pPr>
              <w:jc w:val="center"/>
              <w:rPr>
                <w:highlight w:val="none"/>
                <w:lang w:val="en-GB"/>
              </w:rPr>
            </w:pPr>
            <w:r>
              <w:rPr>
                <w:highlight w:val="none"/>
              </w:rPr>
              <w:t>500t</w:t>
            </w:r>
          </w:p>
        </w:tc>
        <w:tc>
          <w:tcPr>
            <w:tcW w:w="1178" w:type="dxa"/>
            <w:noWrap/>
            <w:vAlign w:val="center"/>
          </w:tcPr>
          <w:p>
            <w:pPr>
              <w:jc w:val="center"/>
              <w:rPr>
                <w:highlight w:val="none"/>
              </w:rPr>
            </w:pPr>
            <w:r>
              <w:rPr>
                <w:highlight w:val="none"/>
              </w:rPr>
              <w:t>53.0</w:t>
            </w:r>
          </w:p>
        </w:tc>
        <w:tc>
          <w:tcPr>
            <w:tcW w:w="1073" w:type="dxa"/>
            <w:noWrap/>
            <w:vAlign w:val="center"/>
          </w:tcPr>
          <w:p>
            <w:pPr>
              <w:jc w:val="center"/>
              <w:rPr>
                <w:highlight w:val="none"/>
              </w:rPr>
            </w:pPr>
            <w:r>
              <w:rPr>
                <w:highlight w:val="none"/>
              </w:rPr>
              <w:t>10.0</w:t>
            </w:r>
          </w:p>
        </w:tc>
        <w:tc>
          <w:tcPr>
            <w:tcW w:w="1210" w:type="dxa"/>
            <w:noWrap/>
            <w:vAlign w:val="center"/>
          </w:tcPr>
          <w:p>
            <w:pPr>
              <w:jc w:val="center"/>
              <w:rPr>
                <w:highlight w:val="none"/>
              </w:rPr>
            </w:pPr>
            <w:r>
              <w:rPr>
                <w:highlight w:val="none"/>
              </w:rPr>
              <w:t>1.6~2.0</w:t>
            </w:r>
          </w:p>
        </w:tc>
        <w:tc>
          <w:tcPr>
            <w:tcW w:w="2062" w:type="dxa"/>
            <w:noWrap/>
            <w:vAlign w:val="center"/>
          </w:tcPr>
          <w:p>
            <w:pPr>
              <w:jc w:val="center"/>
              <w:rPr>
                <w:highlight w:val="none"/>
                <w:lang w:val="en-GB"/>
              </w:rPr>
            </w:pPr>
            <w:r>
              <w:rPr>
                <w:highlight w:val="none"/>
              </w:rPr>
              <w:t>近期</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28" w:type="dxa"/>
            <w:left w:w="85" w:type="dxa"/>
            <w:bottom w:w="28" w:type="dxa"/>
            <w:right w:w="85" w:type="dxa"/>
          </w:tblCellMar>
        </w:tblPrEx>
        <w:trPr>
          <w:cantSplit/>
          <w:trHeight w:val="284" w:hRule="atLeast"/>
          <w:jc w:val="center"/>
        </w:trPr>
        <w:tc>
          <w:tcPr>
            <w:tcW w:w="1588" w:type="dxa"/>
            <w:noWrap/>
            <w:vAlign w:val="center"/>
          </w:tcPr>
          <w:p>
            <w:pPr>
              <w:jc w:val="center"/>
              <w:rPr>
                <w:highlight w:val="none"/>
              </w:rPr>
            </w:pPr>
            <w:r>
              <w:rPr>
                <w:highlight w:val="none"/>
              </w:rPr>
              <w:t>CZ-H6</w:t>
            </w:r>
          </w:p>
        </w:tc>
        <w:tc>
          <w:tcPr>
            <w:tcW w:w="1362" w:type="dxa"/>
            <w:vAlign w:val="center"/>
          </w:tcPr>
          <w:p>
            <w:pPr>
              <w:jc w:val="center"/>
              <w:rPr>
                <w:highlight w:val="none"/>
                <w:lang w:val="en-GB"/>
              </w:rPr>
            </w:pPr>
            <w:r>
              <w:rPr>
                <w:highlight w:val="none"/>
              </w:rPr>
              <w:t>900t</w:t>
            </w:r>
          </w:p>
        </w:tc>
        <w:tc>
          <w:tcPr>
            <w:tcW w:w="1178" w:type="dxa"/>
            <w:noWrap/>
            <w:vAlign w:val="center"/>
          </w:tcPr>
          <w:p>
            <w:pPr>
              <w:jc w:val="center"/>
              <w:rPr>
                <w:highlight w:val="none"/>
                <w:lang w:val="en-GB"/>
              </w:rPr>
            </w:pPr>
            <w:r>
              <w:rPr>
                <w:highlight w:val="none"/>
              </w:rPr>
              <w:t>63.0</w:t>
            </w:r>
          </w:p>
        </w:tc>
        <w:tc>
          <w:tcPr>
            <w:tcW w:w="1073" w:type="dxa"/>
            <w:noWrap/>
            <w:vAlign w:val="center"/>
          </w:tcPr>
          <w:p>
            <w:pPr>
              <w:jc w:val="center"/>
              <w:rPr>
                <w:highlight w:val="none"/>
                <w:lang w:val="en-GB"/>
              </w:rPr>
            </w:pPr>
            <w:r>
              <w:rPr>
                <w:highlight w:val="none"/>
              </w:rPr>
              <w:t>10.0</w:t>
            </w:r>
          </w:p>
        </w:tc>
        <w:tc>
          <w:tcPr>
            <w:tcW w:w="1210" w:type="dxa"/>
            <w:noWrap/>
            <w:vAlign w:val="center"/>
          </w:tcPr>
          <w:p>
            <w:pPr>
              <w:jc w:val="center"/>
              <w:rPr>
                <w:highlight w:val="none"/>
              </w:rPr>
            </w:pPr>
            <w:r>
              <w:rPr>
                <w:highlight w:val="none"/>
              </w:rPr>
              <w:t>2.0~2.4</w:t>
            </w:r>
          </w:p>
        </w:tc>
        <w:tc>
          <w:tcPr>
            <w:tcW w:w="2062" w:type="dxa"/>
            <w:noWrap/>
            <w:vAlign w:val="center"/>
          </w:tcPr>
          <w:p>
            <w:pPr>
              <w:jc w:val="center"/>
              <w:rPr>
                <w:highlight w:val="none"/>
                <w:lang w:val="en-GB"/>
              </w:rPr>
            </w:pPr>
            <w:r>
              <w:rPr>
                <w:highlight w:val="none"/>
              </w:rPr>
              <w:t>近期</w:t>
            </w:r>
            <w:r>
              <w:rPr>
                <w:highlight w:val="none"/>
                <w:lang w:val="en-GB"/>
              </w:rPr>
              <w:t>，</w:t>
            </w:r>
            <w:r>
              <w:rPr>
                <w:highlight w:val="none"/>
              </w:rPr>
              <w:t>中洪水兼顾</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28" w:type="dxa"/>
            <w:left w:w="85" w:type="dxa"/>
            <w:bottom w:w="28" w:type="dxa"/>
            <w:right w:w="85" w:type="dxa"/>
          </w:tblCellMar>
        </w:tblPrEx>
        <w:trPr>
          <w:cantSplit/>
          <w:trHeight w:val="284" w:hRule="atLeast"/>
          <w:jc w:val="center"/>
        </w:trPr>
        <w:tc>
          <w:tcPr>
            <w:tcW w:w="1588" w:type="dxa"/>
            <w:noWrap/>
            <w:vAlign w:val="center"/>
          </w:tcPr>
          <w:p>
            <w:pPr>
              <w:jc w:val="center"/>
              <w:rPr>
                <w:highlight w:val="none"/>
              </w:rPr>
            </w:pPr>
            <w:r>
              <w:rPr>
                <w:highlight w:val="none"/>
              </w:rPr>
              <w:t>CZ-H7</w:t>
            </w:r>
          </w:p>
        </w:tc>
        <w:tc>
          <w:tcPr>
            <w:tcW w:w="1362" w:type="dxa"/>
            <w:vAlign w:val="center"/>
          </w:tcPr>
          <w:p>
            <w:pPr>
              <w:jc w:val="center"/>
              <w:rPr>
                <w:highlight w:val="none"/>
                <w:lang w:val="en-GB"/>
              </w:rPr>
            </w:pPr>
            <w:r>
              <w:rPr>
                <w:highlight w:val="none"/>
              </w:rPr>
              <w:t>1000t</w:t>
            </w:r>
          </w:p>
        </w:tc>
        <w:tc>
          <w:tcPr>
            <w:tcW w:w="1178" w:type="dxa"/>
            <w:noWrap/>
            <w:vAlign w:val="center"/>
          </w:tcPr>
          <w:p>
            <w:pPr>
              <w:jc w:val="center"/>
              <w:rPr>
                <w:highlight w:val="none"/>
                <w:lang w:val="en-GB"/>
              </w:rPr>
            </w:pPr>
            <w:r>
              <w:rPr>
                <w:highlight w:val="none"/>
              </w:rPr>
              <w:t>63.0</w:t>
            </w:r>
          </w:p>
        </w:tc>
        <w:tc>
          <w:tcPr>
            <w:tcW w:w="1073" w:type="dxa"/>
            <w:noWrap/>
            <w:vAlign w:val="center"/>
          </w:tcPr>
          <w:p>
            <w:pPr>
              <w:jc w:val="center"/>
              <w:rPr>
                <w:highlight w:val="none"/>
                <w:lang w:val="en-GB"/>
              </w:rPr>
            </w:pPr>
            <w:r>
              <w:rPr>
                <w:highlight w:val="none"/>
              </w:rPr>
              <w:t>11.0</w:t>
            </w:r>
          </w:p>
        </w:tc>
        <w:tc>
          <w:tcPr>
            <w:tcW w:w="1210" w:type="dxa"/>
            <w:noWrap/>
            <w:vAlign w:val="center"/>
          </w:tcPr>
          <w:p>
            <w:pPr>
              <w:jc w:val="center"/>
              <w:rPr>
                <w:highlight w:val="none"/>
                <w:lang w:val="en-GB"/>
              </w:rPr>
            </w:pPr>
            <w:r>
              <w:rPr>
                <w:highlight w:val="none"/>
              </w:rPr>
              <w:t>2.2~2.6</w:t>
            </w:r>
          </w:p>
        </w:tc>
        <w:tc>
          <w:tcPr>
            <w:tcW w:w="2062" w:type="dxa"/>
            <w:noWrap/>
            <w:vAlign w:val="center"/>
          </w:tcPr>
          <w:p>
            <w:pPr>
              <w:jc w:val="center"/>
              <w:rPr>
                <w:highlight w:val="none"/>
                <w:lang w:val="en-GB"/>
              </w:rPr>
            </w:pPr>
            <w:r>
              <w:rPr>
                <w:highlight w:val="none"/>
                <w:lang w:val="en-GB"/>
              </w:rPr>
              <w:t>远期</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28" w:type="dxa"/>
            <w:left w:w="85" w:type="dxa"/>
            <w:bottom w:w="28" w:type="dxa"/>
            <w:right w:w="85" w:type="dxa"/>
          </w:tblCellMar>
        </w:tblPrEx>
        <w:trPr>
          <w:cantSplit/>
          <w:trHeight w:val="284" w:hRule="atLeast"/>
          <w:jc w:val="center"/>
        </w:trPr>
        <w:tc>
          <w:tcPr>
            <w:tcW w:w="1588" w:type="dxa"/>
            <w:noWrap/>
            <w:vAlign w:val="center"/>
          </w:tcPr>
          <w:p>
            <w:pPr>
              <w:jc w:val="center"/>
              <w:rPr>
                <w:highlight w:val="none"/>
                <w:lang w:val="en-GB"/>
              </w:rPr>
            </w:pPr>
            <w:r>
              <w:rPr>
                <w:highlight w:val="none"/>
                <w:lang w:val="en-GB"/>
              </w:rPr>
              <w:t>CZ-H10</w:t>
            </w:r>
          </w:p>
        </w:tc>
        <w:tc>
          <w:tcPr>
            <w:tcW w:w="1362" w:type="dxa"/>
            <w:vAlign w:val="center"/>
          </w:tcPr>
          <w:p>
            <w:pPr>
              <w:jc w:val="center"/>
              <w:rPr>
                <w:highlight w:val="none"/>
                <w:lang w:val="en-GB"/>
              </w:rPr>
            </w:pPr>
            <w:r>
              <w:rPr>
                <w:highlight w:val="none"/>
                <w:lang w:val="en-GB"/>
              </w:rPr>
              <w:t>1000</w:t>
            </w:r>
            <w:r>
              <w:rPr>
                <w:highlight w:val="none"/>
              </w:rPr>
              <w:t>t</w:t>
            </w:r>
          </w:p>
        </w:tc>
        <w:tc>
          <w:tcPr>
            <w:tcW w:w="1178" w:type="dxa"/>
            <w:noWrap/>
            <w:vAlign w:val="center"/>
          </w:tcPr>
          <w:p>
            <w:pPr>
              <w:jc w:val="center"/>
              <w:rPr>
                <w:highlight w:val="none"/>
                <w:lang w:val="en-GB"/>
              </w:rPr>
            </w:pPr>
            <w:r>
              <w:rPr>
                <w:highlight w:val="none"/>
                <w:lang w:val="en-GB"/>
              </w:rPr>
              <w:t>53.0</w:t>
            </w:r>
          </w:p>
        </w:tc>
        <w:tc>
          <w:tcPr>
            <w:tcW w:w="1073" w:type="dxa"/>
            <w:noWrap/>
            <w:vAlign w:val="center"/>
          </w:tcPr>
          <w:p>
            <w:pPr>
              <w:jc w:val="center"/>
              <w:rPr>
                <w:highlight w:val="none"/>
                <w:lang w:val="en-GB"/>
              </w:rPr>
            </w:pPr>
            <w:r>
              <w:rPr>
                <w:highlight w:val="none"/>
                <w:lang w:val="en-GB"/>
              </w:rPr>
              <w:t>12.0</w:t>
            </w:r>
          </w:p>
        </w:tc>
        <w:tc>
          <w:tcPr>
            <w:tcW w:w="1210" w:type="dxa"/>
            <w:noWrap/>
            <w:vAlign w:val="center"/>
          </w:tcPr>
          <w:p>
            <w:pPr>
              <w:jc w:val="center"/>
              <w:rPr>
                <w:highlight w:val="none"/>
                <w:lang w:val="en-GB"/>
              </w:rPr>
            </w:pPr>
            <w:r>
              <w:rPr>
                <w:highlight w:val="none"/>
              </w:rPr>
              <w:t>2.2~2.6</w:t>
            </w:r>
          </w:p>
        </w:tc>
        <w:tc>
          <w:tcPr>
            <w:tcW w:w="2062" w:type="dxa"/>
            <w:noWrap/>
            <w:vAlign w:val="center"/>
          </w:tcPr>
          <w:p>
            <w:pPr>
              <w:jc w:val="center"/>
              <w:rPr>
                <w:highlight w:val="none"/>
              </w:rPr>
            </w:pPr>
            <w:r>
              <w:rPr>
                <w:highlight w:val="none"/>
                <w:lang w:val="en-GB"/>
              </w:rPr>
              <w:t>远期；建议支流发展</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PrEx>
        <w:trPr>
          <w:cantSplit/>
          <w:trHeight w:val="284" w:hRule="atLeast"/>
          <w:jc w:val="center"/>
        </w:trPr>
        <w:tc>
          <w:tcPr>
            <w:tcW w:w="1588" w:type="dxa"/>
            <w:noWrap/>
            <w:vAlign w:val="center"/>
          </w:tcPr>
          <w:p>
            <w:pPr>
              <w:jc w:val="center"/>
              <w:rPr>
                <w:highlight w:val="none"/>
                <w:lang w:val="en-GB"/>
              </w:rPr>
            </w:pPr>
            <w:r>
              <w:rPr>
                <w:highlight w:val="none"/>
                <w:lang w:val="en-GB"/>
              </w:rPr>
              <w:t>CZ-H11</w:t>
            </w:r>
          </w:p>
        </w:tc>
        <w:tc>
          <w:tcPr>
            <w:tcW w:w="1362" w:type="dxa"/>
            <w:vAlign w:val="center"/>
          </w:tcPr>
          <w:p>
            <w:pPr>
              <w:jc w:val="center"/>
              <w:rPr>
                <w:highlight w:val="none"/>
                <w:lang w:val="en-GB"/>
              </w:rPr>
            </w:pPr>
            <w:r>
              <w:rPr>
                <w:highlight w:val="none"/>
                <w:lang w:val="en-GB"/>
              </w:rPr>
              <w:t>1500</w:t>
            </w:r>
            <w:r>
              <w:rPr>
                <w:highlight w:val="none"/>
              </w:rPr>
              <w:t>t</w:t>
            </w:r>
          </w:p>
        </w:tc>
        <w:tc>
          <w:tcPr>
            <w:tcW w:w="1178" w:type="dxa"/>
            <w:noWrap/>
            <w:vAlign w:val="center"/>
          </w:tcPr>
          <w:p>
            <w:pPr>
              <w:jc w:val="center"/>
              <w:rPr>
                <w:highlight w:val="none"/>
                <w:lang w:val="en-GB"/>
              </w:rPr>
            </w:pPr>
            <w:r>
              <w:rPr>
                <w:highlight w:val="none"/>
                <w:lang w:val="en-GB"/>
              </w:rPr>
              <w:t>63.0</w:t>
            </w:r>
          </w:p>
        </w:tc>
        <w:tc>
          <w:tcPr>
            <w:tcW w:w="1073" w:type="dxa"/>
            <w:noWrap/>
            <w:vAlign w:val="center"/>
          </w:tcPr>
          <w:p>
            <w:pPr>
              <w:jc w:val="center"/>
              <w:rPr>
                <w:highlight w:val="none"/>
                <w:lang w:val="en-GB"/>
              </w:rPr>
            </w:pPr>
            <w:r>
              <w:rPr>
                <w:highlight w:val="none"/>
                <w:lang w:val="en-GB"/>
              </w:rPr>
              <w:t>13.0</w:t>
            </w:r>
          </w:p>
        </w:tc>
        <w:tc>
          <w:tcPr>
            <w:tcW w:w="1210" w:type="dxa"/>
            <w:noWrap/>
            <w:vAlign w:val="center"/>
          </w:tcPr>
          <w:p>
            <w:pPr>
              <w:jc w:val="center"/>
              <w:rPr>
                <w:highlight w:val="none"/>
                <w:lang w:val="en-GB"/>
              </w:rPr>
            </w:pPr>
            <w:r>
              <w:rPr>
                <w:highlight w:val="none"/>
              </w:rPr>
              <w:t>2.2~3.0</w:t>
            </w:r>
          </w:p>
        </w:tc>
        <w:tc>
          <w:tcPr>
            <w:tcW w:w="2062" w:type="dxa"/>
            <w:noWrap/>
            <w:vAlign w:val="center"/>
          </w:tcPr>
          <w:p>
            <w:pPr>
              <w:jc w:val="center"/>
              <w:rPr>
                <w:highlight w:val="none"/>
              </w:rPr>
            </w:pPr>
            <w:r>
              <w:rPr>
                <w:highlight w:val="none"/>
                <w:lang w:val="en-GB"/>
              </w:rPr>
              <w:t>远期，</w:t>
            </w:r>
            <w:r>
              <w:rPr>
                <w:highlight w:val="none"/>
              </w:rPr>
              <w:t>中洪水兼顾</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28" w:type="dxa"/>
            <w:left w:w="85" w:type="dxa"/>
            <w:bottom w:w="28" w:type="dxa"/>
            <w:right w:w="85" w:type="dxa"/>
          </w:tblCellMar>
        </w:tblPrEx>
        <w:trPr>
          <w:cantSplit/>
          <w:trHeight w:val="284" w:hRule="atLeast"/>
          <w:jc w:val="center"/>
        </w:trPr>
        <w:tc>
          <w:tcPr>
            <w:tcW w:w="1588" w:type="dxa"/>
            <w:noWrap/>
            <w:vAlign w:val="center"/>
          </w:tcPr>
          <w:p>
            <w:pPr>
              <w:jc w:val="center"/>
              <w:rPr>
                <w:highlight w:val="none"/>
              </w:rPr>
            </w:pPr>
            <w:r>
              <w:rPr>
                <w:highlight w:val="none"/>
                <w:lang w:val="en-GB"/>
              </w:rPr>
              <w:t>CZ-H1</w:t>
            </w:r>
            <w:r>
              <w:rPr>
                <w:highlight w:val="none"/>
              </w:rPr>
              <w:t>3</w:t>
            </w:r>
          </w:p>
        </w:tc>
        <w:tc>
          <w:tcPr>
            <w:tcW w:w="1362" w:type="dxa"/>
            <w:vAlign w:val="center"/>
          </w:tcPr>
          <w:p>
            <w:pPr>
              <w:jc w:val="center"/>
              <w:rPr>
                <w:highlight w:val="none"/>
                <w:lang w:val="en-GB"/>
              </w:rPr>
            </w:pPr>
            <w:r>
              <w:rPr>
                <w:highlight w:val="none"/>
                <w:lang w:val="en-GB"/>
              </w:rPr>
              <w:t>2000</w:t>
            </w:r>
          </w:p>
        </w:tc>
        <w:tc>
          <w:tcPr>
            <w:tcW w:w="1178" w:type="dxa"/>
            <w:noWrap/>
            <w:vAlign w:val="center"/>
          </w:tcPr>
          <w:p>
            <w:pPr>
              <w:jc w:val="center"/>
              <w:rPr>
                <w:highlight w:val="none"/>
                <w:lang w:val="en-GB"/>
              </w:rPr>
            </w:pPr>
            <w:r>
              <w:rPr>
                <w:highlight w:val="none"/>
                <w:lang w:val="en-GB"/>
              </w:rPr>
              <w:t>63.0</w:t>
            </w:r>
          </w:p>
        </w:tc>
        <w:tc>
          <w:tcPr>
            <w:tcW w:w="1073" w:type="dxa"/>
            <w:noWrap/>
            <w:vAlign w:val="center"/>
          </w:tcPr>
          <w:p>
            <w:pPr>
              <w:jc w:val="center"/>
              <w:rPr>
                <w:highlight w:val="none"/>
                <w:lang w:val="en-GB"/>
              </w:rPr>
            </w:pPr>
            <w:r>
              <w:rPr>
                <w:highlight w:val="none"/>
                <w:lang w:val="en-GB"/>
              </w:rPr>
              <w:t>13.8</w:t>
            </w:r>
          </w:p>
        </w:tc>
        <w:tc>
          <w:tcPr>
            <w:tcW w:w="1210" w:type="dxa"/>
            <w:noWrap/>
            <w:vAlign w:val="center"/>
          </w:tcPr>
          <w:p>
            <w:pPr>
              <w:jc w:val="center"/>
              <w:rPr>
                <w:highlight w:val="none"/>
              </w:rPr>
            </w:pPr>
            <w:r>
              <w:rPr>
                <w:highlight w:val="none"/>
              </w:rPr>
              <w:t>2.4~3.5</w:t>
            </w:r>
          </w:p>
        </w:tc>
        <w:tc>
          <w:tcPr>
            <w:tcW w:w="2062" w:type="dxa"/>
            <w:noWrap/>
            <w:vAlign w:val="center"/>
          </w:tcPr>
          <w:p>
            <w:pPr>
              <w:jc w:val="center"/>
              <w:rPr>
                <w:highlight w:val="none"/>
                <w:lang w:val="en-GB"/>
              </w:rPr>
            </w:pPr>
            <w:r>
              <w:rPr>
                <w:highlight w:val="none"/>
                <w:lang w:val="en-GB"/>
              </w:rPr>
              <w:t>远期，</w:t>
            </w:r>
            <w:r>
              <w:rPr>
                <w:highlight w:val="none"/>
              </w:rPr>
              <w:t>中洪水兼顾</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28" w:type="dxa"/>
            <w:left w:w="85" w:type="dxa"/>
            <w:bottom w:w="28" w:type="dxa"/>
            <w:right w:w="85" w:type="dxa"/>
          </w:tblCellMar>
        </w:tblPrEx>
        <w:trPr>
          <w:cantSplit/>
          <w:trHeight w:val="284" w:hRule="atLeast"/>
          <w:jc w:val="center"/>
        </w:trPr>
        <w:tc>
          <w:tcPr>
            <w:tcW w:w="1588" w:type="dxa"/>
            <w:noWrap/>
            <w:vAlign w:val="center"/>
          </w:tcPr>
          <w:p>
            <w:pPr>
              <w:jc w:val="center"/>
              <w:rPr>
                <w:highlight w:val="none"/>
              </w:rPr>
            </w:pPr>
            <w:r>
              <w:rPr>
                <w:highlight w:val="none"/>
                <w:lang w:val="en-GB"/>
              </w:rPr>
              <w:t>CZ-H1</w:t>
            </w:r>
            <w:r>
              <w:rPr>
                <w:highlight w:val="none"/>
              </w:rPr>
              <w:t>6</w:t>
            </w:r>
          </w:p>
        </w:tc>
        <w:tc>
          <w:tcPr>
            <w:tcW w:w="1362" w:type="dxa"/>
            <w:vAlign w:val="center"/>
          </w:tcPr>
          <w:p>
            <w:pPr>
              <w:jc w:val="center"/>
              <w:rPr>
                <w:highlight w:val="none"/>
                <w:lang w:val="en-GB"/>
              </w:rPr>
            </w:pPr>
            <w:r>
              <w:rPr>
                <w:highlight w:val="none"/>
                <w:lang w:val="en-GB"/>
              </w:rPr>
              <w:t>2500</w:t>
            </w:r>
          </w:p>
        </w:tc>
        <w:tc>
          <w:tcPr>
            <w:tcW w:w="1178" w:type="dxa"/>
            <w:noWrap/>
            <w:vAlign w:val="center"/>
          </w:tcPr>
          <w:p>
            <w:pPr>
              <w:jc w:val="center"/>
              <w:rPr>
                <w:highlight w:val="none"/>
                <w:lang w:val="en-GB"/>
              </w:rPr>
            </w:pPr>
            <w:r>
              <w:rPr>
                <w:highlight w:val="none"/>
                <w:lang w:val="en-GB"/>
              </w:rPr>
              <w:t>88.0</w:t>
            </w:r>
          </w:p>
        </w:tc>
        <w:tc>
          <w:tcPr>
            <w:tcW w:w="1073" w:type="dxa"/>
            <w:noWrap/>
            <w:vAlign w:val="center"/>
          </w:tcPr>
          <w:p>
            <w:pPr>
              <w:jc w:val="center"/>
              <w:rPr>
                <w:highlight w:val="none"/>
                <w:lang w:val="en-GB"/>
              </w:rPr>
            </w:pPr>
            <w:r>
              <w:rPr>
                <w:highlight w:val="none"/>
                <w:lang w:val="en-GB"/>
              </w:rPr>
              <w:t>15.0</w:t>
            </w:r>
          </w:p>
        </w:tc>
        <w:tc>
          <w:tcPr>
            <w:tcW w:w="1210" w:type="dxa"/>
            <w:noWrap/>
            <w:vAlign w:val="center"/>
          </w:tcPr>
          <w:p>
            <w:pPr>
              <w:jc w:val="center"/>
              <w:rPr>
                <w:highlight w:val="none"/>
              </w:rPr>
            </w:pPr>
            <w:r>
              <w:rPr>
                <w:highlight w:val="none"/>
              </w:rPr>
              <w:t>2.8~3.5</w:t>
            </w:r>
          </w:p>
        </w:tc>
        <w:tc>
          <w:tcPr>
            <w:tcW w:w="2062" w:type="dxa"/>
            <w:noWrap/>
            <w:vAlign w:val="center"/>
          </w:tcPr>
          <w:p>
            <w:pPr>
              <w:jc w:val="center"/>
              <w:rPr>
                <w:highlight w:val="none"/>
                <w:lang w:val="en-GB"/>
              </w:rPr>
            </w:pPr>
            <w:r>
              <w:rPr>
                <w:highlight w:val="none"/>
                <w:lang w:val="en-GB"/>
              </w:rPr>
              <w:t>远期，</w:t>
            </w:r>
            <w:r>
              <w:rPr>
                <w:highlight w:val="none"/>
              </w:rPr>
              <w:t>中洪水兼顾</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28" w:type="dxa"/>
            <w:left w:w="85" w:type="dxa"/>
            <w:bottom w:w="28" w:type="dxa"/>
            <w:right w:w="85" w:type="dxa"/>
          </w:tblCellMar>
        </w:tblPrEx>
        <w:trPr>
          <w:cantSplit/>
          <w:trHeight w:val="284" w:hRule="atLeast"/>
          <w:jc w:val="center"/>
        </w:trPr>
        <w:tc>
          <w:tcPr>
            <w:tcW w:w="1588" w:type="dxa"/>
            <w:noWrap/>
            <w:vAlign w:val="center"/>
          </w:tcPr>
          <w:p>
            <w:pPr>
              <w:jc w:val="center"/>
              <w:rPr>
                <w:highlight w:val="none"/>
              </w:rPr>
            </w:pPr>
            <w:r>
              <w:rPr>
                <w:highlight w:val="none"/>
                <w:lang w:val="en-GB"/>
              </w:rPr>
              <w:t>CZ-H1</w:t>
            </w:r>
            <w:r>
              <w:rPr>
                <w:highlight w:val="none"/>
              </w:rPr>
              <w:t>7</w:t>
            </w:r>
          </w:p>
        </w:tc>
        <w:tc>
          <w:tcPr>
            <w:tcW w:w="1362" w:type="dxa"/>
            <w:vAlign w:val="center"/>
          </w:tcPr>
          <w:p>
            <w:pPr>
              <w:jc w:val="center"/>
              <w:rPr>
                <w:highlight w:val="none"/>
                <w:lang w:val="en-GB"/>
              </w:rPr>
            </w:pPr>
            <w:r>
              <w:rPr>
                <w:highlight w:val="none"/>
                <w:lang w:val="en-GB"/>
              </w:rPr>
              <w:t>3000</w:t>
            </w:r>
          </w:p>
        </w:tc>
        <w:tc>
          <w:tcPr>
            <w:tcW w:w="1178" w:type="dxa"/>
            <w:noWrap/>
            <w:vAlign w:val="center"/>
          </w:tcPr>
          <w:p>
            <w:pPr>
              <w:jc w:val="center"/>
              <w:rPr>
                <w:highlight w:val="none"/>
                <w:lang w:val="en-GB"/>
              </w:rPr>
            </w:pPr>
            <w:r>
              <w:rPr>
                <w:highlight w:val="none"/>
                <w:lang w:val="en-GB"/>
              </w:rPr>
              <w:t>88.0</w:t>
            </w:r>
          </w:p>
        </w:tc>
        <w:tc>
          <w:tcPr>
            <w:tcW w:w="1073" w:type="dxa"/>
            <w:noWrap/>
            <w:vAlign w:val="center"/>
          </w:tcPr>
          <w:p>
            <w:pPr>
              <w:jc w:val="center"/>
              <w:rPr>
                <w:highlight w:val="none"/>
                <w:lang w:val="en-GB"/>
              </w:rPr>
            </w:pPr>
            <w:r>
              <w:rPr>
                <w:highlight w:val="none"/>
                <w:lang w:val="en-GB"/>
              </w:rPr>
              <w:t>16.3</w:t>
            </w:r>
          </w:p>
        </w:tc>
        <w:tc>
          <w:tcPr>
            <w:tcW w:w="1210" w:type="dxa"/>
            <w:noWrap/>
            <w:vAlign w:val="center"/>
          </w:tcPr>
          <w:p>
            <w:pPr>
              <w:jc w:val="center"/>
              <w:rPr>
                <w:highlight w:val="none"/>
              </w:rPr>
            </w:pPr>
            <w:r>
              <w:rPr>
                <w:highlight w:val="none"/>
              </w:rPr>
              <w:t>3.3~4.3</w:t>
            </w:r>
          </w:p>
        </w:tc>
        <w:tc>
          <w:tcPr>
            <w:tcW w:w="2062" w:type="dxa"/>
            <w:noWrap/>
            <w:vAlign w:val="center"/>
          </w:tcPr>
          <w:p>
            <w:pPr>
              <w:jc w:val="center"/>
              <w:rPr>
                <w:highlight w:val="none"/>
                <w:lang w:val="en-GB"/>
              </w:rPr>
            </w:pPr>
            <w:r>
              <w:rPr>
                <w:highlight w:val="none"/>
                <w:lang w:val="en-GB"/>
              </w:rPr>
              <w:t>远期，</w:t>
            </w:r>
            <w:r>
              <w:rPr>
                <w:highlight w:val="none"/>
              </w:rPr>
              <w:t>中洪水兼顾</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28" w:type="dxa"/>
            <w:left w:w="85" w:type="dxa"/>
            <w:bottom w:w="28" w:type="dxa"/>
            <w:right w:w="85" w:type="dxa"/>
          </w:tblCellMar>
        </w:tblPrEx>
        <w:trPr>
          <w:cantSplit/>
          <w:trHeight w:val="284" w:hRule="atLeast"/>
          <w:jc w:val="center"/>
        </w:trPr>
        <w:tc>
          <w:tcPr>
            <w:tcW w:w="8473" w:type="dxa"/>
            <w:gridSpan w:val="6"/>
            <w:noWrap/>
            <w:vAlign w:val="center"/>
          </w:tcPr>
          <w:p>
            <w:pPr>
              <w:rPr>
                <w:highlight w:val="none"/>
                <w:lang w:val="en-GB"/>
              </w:rPr>
            </w:pPr>
            <w:r>
              <w:rPr>
                <w:highlight w:val="none"/>
              </w:rPr>
              <w:t>3.</w:t>
            </w:r>
            <w:r>
              <w:rPr>
                <w:highlight w:val="none"/>
                <w:lang w:val="en-GB"/>
              </w:rPr>
              <w:t>自卸砂船</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28" w:type="dxa"/>
            <w:left w:w="85" w:type="dxa"/>
            <w:bottom w:w="28" w:type="dxa"/>
            <w:right w:w="85" w:type="dxa"/>
          </w:tblCellMar>
        </w:tblPrEx>
        <w:trPr>
          <w:cantSplit/>
          <w:trHeight w:val="364" w:hRule="atLeast"/>
          <w:jc w:val="center"/>
        </w:trPr>
        <w:tc>
          <w:tcPr>
            <w:tcW w:w="1588" w:type="dxa"/>
            <w:noWrap/>
            <w:vAlign w:val="center"/>
          </w:tcPr>
          <w:p>
            <w:pPr>
              <w:jc w:val="center"/>
              <w:rPr>
                <w:highlight w:val="none"/>
                <w:lang w:val="en-GB"/>
              </w:rPr>
            </w:pPr>
            <w:r>
              <w:rPr>
                <w:highlight w:val="none"/>
                <w:lang w:val="en-GB"/>
              </w:rPr>
              <w:t>长江水系货-2</w:t>
            </w:r>
          </w:p>
        </w:tc>
        <w:tc>
          <w:tcPr>
            <w:tcW w:w="1362" w:type="dxa"/>
            <w:vAlign w:val="center"/>
          </w:tcPr>
          <w:p>
            <w:pPr>
              <w:jc w:val="center"/>
              <w:rPr>
                <w:highlight w:val="none"/>
              </w:rPr>
            </w:pPr>
            <w:r>
              <w:rPr>
                <w:highlight w:val="none"/>
              </w:rPr>
              <w:t>300t</w:t>
            </w:r>
          </w:p>
        </w:tc>
        <w:tc>
          <w:tcPr>
            <w:tcW w:w="1178" w:type="dxa"/>
            <w:noWrap/>
            <w:vAlign w:val="center"/>
          </w:tcPr>
          <w:p>
            <w:pPr>
              <w:jc w:val="center"/>
              <w:rPr>
                <w:highlight w:val="none"/>
              </w:rPr>
            </w:pPr>
            <w:r>
              <w:rPr>
                <w:highlight w:val="none"/>
              </w:rPr>
              <w:t>36~44</w:t>
            </w:r>
          </w:p>
        </w:tc>
        <w:tc>
          <w:tcPr>
            <w:tcW w:w="1073" w:type="dxa"/>
            <w:noWrap/>
            <w:vAlign w:val="center"/>
          </w:tcPr>
          <w:p>
            <w:pPr>
              <w:jc w:val="center"/>
              <w:rPr>
                <w:highlight w:val="none"/>
              </w:rPr>
            </w:pPr>
            <w:r>
              <w:rPr>
                <w:highlight w:val="none"/>
              </w:rPr>
              <w:t>7.0</w:t>
            </w:r>
          </w:p>
        </w:tc>
        <w:tc>
          <w:tcPr>
            <w:tcW w:w="1210" w:type="dxa"/>
            <w:noWrap/>
            <w:vAlign w:val="center"/>
          </w:tcPr>
          <w:p>
            <w:pPr>
              <w:jc w:val="center"/>
              <w:rPr>
                <w:highlight w:val="none"/>
              </w:rPr>
            </w:pPr>
            <w:r>
              <w:rPr>
                <w:highlight w:val="none"/>
              </w:rPr>
              <w:t>1.3~2.0</w:t>
            </w:r>
          </w:p>
        </w:tc>
        <w:tc>
          <w:tcPr>
            <w:tcW w:w="2062" w:type="dxa"/>
            <w:noWrap/>
            <w:vAlign w:val="center"/>
          </w:tcPr>
          <w:p>
            <w:pPr>
              <w:jc w:val="center"/>
              <w:rPr>
                <w:highlight w:val="none"/>
              </w:rPr>
            </w:pPr>
            <w:r>
              <w:rPr>
                <w:highlight w:val="none"/>
              </w:rPr>
              <w:t>适用大渡河</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28" w:type="dxa"/>
            <w:left w:w="85" w:type="dxa"/>
            <w:bottom w:w="28" w:type="dxa"/>
            <w:right w:w="85" w:type="dxa"/>
          </w:tblCellMar>
        </w:tblPrEx>
        <w:trPr>
          <w:cantSplit/>
          <w:trHeight w:val="330" w:hRule="atLeast"/>
          <w:jc w:val="center"/>
        </w:trPr>
        <w:tc>
          <w:tcPr>
            <w:tcW w:w="1588" w:type="dxa"/>
            <w:noWrap/>
            <w:vAlign w:val="center"/>
          </w:tcPr>
          <w:p>
            <w:pPr>
              <w:jc w:val="center"/>
              <w:rPr>
                <w:highlight w:val="none"/>
              </w:rPr>
            </w:pPr>
            <w:r>
              <w:rPr>
                <w:highlight w:val="none"/>
                <w:lang w:val="en-GB"/>
              </w:rPr>
              <w:t>C</w:t>
            </w:r>
            <w:r>
              <w:rPr>
                <w:highlight w:val="none"/>
              </w:rPr>
              <w:t>Z-Z2</w:t>
            </w:r>
          </w:p>
        </w:tc>
        <w:tc>
          <w:tcPr>
            <w:tcW w:w="1362" w:type="dxa"/>
            <w:vAlign w:val="center"/>
          </w:tcPr>
          <w:p>
            <w:pPr>
              <w:jc w:val="center"/>
              <w:rPr>
                <w:highlight w:val="none"/>
                <w:lang w:val="en-GB"/>
              </w:rPr>
            </w:pPr>
            <w:r>
              <w:rPr>
                <w:highlight w:val="none"/>
              </w:rPr>
              <w:t>500t</w:t>
            </w:r>
          </w:p>
        </w:tc>
        <w:tc>
          <w:tcPr>
            <w:tcW w:w="1178" w:type="dxa"/>
            <w:noWrap/>
            <w:vAlign w:val="center"/>
          </w:tcPr>
          <w:p>
            <w:pPr>
              <w:jc w:val="center"/>
              <w:rPr>
                <w:highlight w:val="none"/>
                <w:lang w:val="en-GB"/>
              </w:rPr>
            </w:pPr>
            <w:r>
              <w:rPr>
                <w:highlight w:val="none"/>
              </w:rPr>
              <w:t>53.0</w:t>
            </w:r>
          </w:p>
        </w:tc>
        <w:tc>
          <w:tcPr>
            <w:tcW w:w="1073" w:type="dxa"/>
            <w:noWrap/>
            <w:vAlign w:val="center"/>
          </w:tcPr>
          <w:p>
            <w:pPr>
              <w:jc w:val="center"/>
              <w:rPr>
                <w:highlight w:val="none"/>
                <w:lang w:val="en-GB"/>
              </w:rPr>
            </w:pPr>
            <w:r>
              <w:rPr>
                <w:highlight w:val="none"/>
                <w:lang w:val="en-GB"/>
              </w:rPr>
              <w:t>1</w:t>
            </w:r>
            <w:r>
              <w:rPr>
                <w:highlight w:val="none"/>
              </w:rPr>
              <w:t>0.0</w:t>
            </w:r>
          </w:p>
        </w:tc>
        <w:tc>
          <w:tcPr>
            <w:tcW w:w="1210" w:type="dxa"/>
            <w:noWrap/>
            <w:vAlign w:val="center"/>
          </w:tcPr>
          <w:p>
            <w:pPr>
              <w:jc w:val="center"/>
              <w:rPr>
                <w:highlight w:val="none"/>
              </w:rPr>
            </w:pPr>
            <w:r>
              <w:rPr>
                <w:highlight w:val="none"/>
              </w:rPr>
              <w:t>1.6~2.0</w:t>
            </w:r>
          </w:p>
        </w:tc>
        <w:tc>
          <w:tcPr>
            <w:tcW w:w="2062" w:type="dxa"/>
            <w:noWrap/>
            <w:vAlign w:val="center"/>
          </w:tcPr>
          <w:p>
            <w:pPr>
              <w:jc w:val="center"/>
              <w:rPr>
                <w:highlight w:val="none"/>
                <w:lang w:val="en-GB"/>
              </w:rPr>
            </w:pPr>
            <w:r>
              <w:rPr>
                <w:highlight w:val="none"/>
              </w:rPr>
              <w:t>近期</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28" w:type="dxa"/>
            <w:left w:w="85" w:type="dxa"/>
            <w:bottom w:w="28" w:type="dxa"/>
            <w:right w:w="85" w:type="dxa"/>
          </w:tblCellMar>
        </w:tblPrEx>
        <w:trPr>
          <w:cantSplit/>
          <w:trHeight w:val="284" w:hRule="atLeast"/>
          <w:jc w:val="center"/>
        </w:trPr>
        <w:tc>
          <w:tcPr>
            <w:tcW w:w="1588" w:type="dxa"/>
            <w:noWrap/>
            <w:vAlign w:val="center"/>
          </w:tcPr>
          <w:p>
            <w:pPr>
              <w:jc w:val="center"/>
              <w:rPr>
                <w:highlight w:val="none"/>
                <w:lang w:val="en-GB"/>
              </w:rPr>
            </w:pPr>
            <w:r>
              <w:rPr>
                <w:highlight w:val="none"/>
                <w:lang w:val="en-GB"/>
              </w:rPr>
              <w:t>C</w:t>
            </w:r>
            <w:r>
              <w:rPr>
                <w:highlight w:val="none"/>
              </w:rPr>
              <w:t>Z-Z3</w:t>
            </w:r>
          </w:p>
        </w:tc>
        <w:tc>
          <w:tcPr>
            <w:tcW w:w="1362" w:type="dxa"/>
            <w:vAlign w:val="center"/>
          </w:tcPr>
          <w:p>
            <w:pPr>
              <w:jc w:val="center"/>
              <w:rPr>
                <w:highlight w:val="none"/>
                <w:lang w:val="en-GB"/>
              </w:rPr>
            </w:pPr>
            <w:r>
              <w:rPr>
                <w:highlight w:val="none"/>
              </w:rPr>
              <w:t>800t</w:t>
            </w:r>
          </w:p>
        </w:tc>
        <w:tc>
          <w:tcPr>
            <w:tcW w:w="1178" w:type="dxa"/>
            <w:noWrap/>
            <w:vAlign w:val="center"/>
          </w:tcPr>
          <w:p>
            <w:pPr>
              <w:jc w:val="center"/>
              <w:rPr>
                <w:highlight w:val="none"/>
                <w:lang w:val="en-GB"/>
              </w:rPr>
            </w:pPr>
            <w:r>
              <w:rPr>
                <w:highlight w:val="none"/>
              </w:rPr>
              <w:t>53.0</w:t>
            </w:r>
          </w:p>
        </w:tc>
        <w:tc>
          <w:tcPr>
            <w:tcW w:w="1073" w:type="dxa"/>
            <w:noWrap/>
            <w:vAlign w:val="center"/>
          </w:tcPr>
          <w:p>
            <w:pPr>
              <w:jc w:val="center"/>
              <w:rPr>
                <w:highlight w:val="none"/>
                <w:lang w:val="en-GB"/>
              </w:rPr>
            </w:pPr>
            <w:r>
              <w:rPr>
                <w:highlight w:val="none"/>
                <w:lang w:val="en-GB"/>
              </w:rPr>
              <w:t>1</w:t>
            </w:r>
            <w:r>
              <w:rPr>
                <w:highlight w:val="none"/>
              </w:rPr>
              <w:t>1.0</w:t>
            </w:r>
          </w:p>
        </w:tc>
        <w:tc>
          <w:tcPr>
            <w:tcW w:w="1210" w:type="dxa"/>
            <w:noWrap/>
            <w:vAlign w:val="center"/>
          </w:tcPr>
          <w:p>
            <w:pPr>
              <w:jc w:val="center"/>
              <w:rPr>
                <w:highlight w:val="none"/>
              </w:rPr>
            </w:pPr>
            <w:r>
              <w:rPr>
                <w:highlight w:val="none"/>
              </w:rPr>
              <w:t>2.0~2.4</w:t>
            </w:r>
          </w:p>
        </w:tc>
        <w:tc>
          <w:tcPr>
            <w:tcW w:w="2062" w:type="dxa"/>
            <w:noWrap/>
            <w:vAlign w:val="center"/>
          </w:tcPr>
          <w:p>
            <w:pPr>
              <w:jc w:val="center"/>
              <w:rPr>
                <w:highlight w:val="none"/>
                <w:lang w:val="en-GB"/>
              </w:rPr>
            </w:pPr>
            <w:r>
              <w:rPr>
                <w:highlight w:val="none"/>
              </w:rPr>
              <w:t>近期</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28" w:type="dxa"/>
            <w:left w:w="85" w:type="dxa"/>
            <w:bottom w:w="28" w:type="dxa"/>
            <w:right w:w="85" w:type="dxa"/>
          </w:tblCellMar>
        </w:tblPrEx>
        <w:trPr>
          <w:cantSplit/>
          <w:trHeight w:val="284" w:hRule="atLeast"/>
          <w:jc w:val="center"/>
        </w:trPr>
        <w:tc>
          <w:tcPr>
            <w:tcW w:w="1588" w:type="dxa"/>
            <w:noWrap/>
            <w:vAlign w:val="center"/>
          </w:tcPr>
          <w:p>
            <w:pPr>
              <w:jc w:val="center"/>
              <w:rPr>
                <w:highlight w:val="none"/>
                <w:lang w:val="en-GB"/>
              </w:rPr>
            </w:pPr>
            <w:r>
              <w:rPr>
                <w:highlight w:val="none"/>
                <w:lang w:val="en-GB"/>
              </w:rPr>
              <w:t>C</w:t>
            </w:r>
            <w:r>
              <w:rPr>
                <w:highlight w:val="none"/>
              </w:rPr>
              <w:t>Z-Z5</w:t>
            </w:r>
          </w:p>
        </w:tc>
        <w:tc>
          <w:tcPr>
            <w:tcW w:w="1362" w:type="dxa"/>
            <w:vAlign w:val="center"/>
          </w:tcPr>
          <w:p>
            <w:pPr>
              <w:jc w:val="center"/>
              <w:rPr>
                <w:highlight w:val="none"/>
                <w:lang w:val="en-GB"/>
              </w:rPr>
            </w:pPr>
            <w:r>
              <w:rPr>
                <w:highlight w:val="none"/>
              </w:rPr>
              <w:t>1000t</w:t>
            </w:r>
          </w:p>
        </w:tc>
        <w:tc>
          <w:tcPr>
            <w:tcW w:w="1178" w:type="dxa"/>
            <w:noWrap/>
            <w:vAlign w:val="center"/>
          </w:tcPr>
          <w:p>
            <w:pPr>
              <w:jc w:val="center"/>
              <w:rPr>
                <w:highlight w:val="none"/>
                <w:lang w:val="en-GB"/>
              </w:rPr>
            </w:pPr>
            <w:r>
              <w:rPr>
                <w:highlight w:val="none"/>
              </w:rPr>
              <w:t>66.0</w:t>
            </w:r>
          </w:p>
        </w:tc>
        <w:tc>
          <w:tcPr>
            <w:tcW w:w="1073" w:type="dxa"/>
            <w:noWrap/>
            <w:vAlign w:val="center"/>
          </w:tcPr>
          <w:p>
            <w:pPr>
              <w:jc w:val="center"/>
              <w:rPr>
                <w:highlight w:val="none"/>
                <w:lang w:val="en-GB"/>
              </w:rPr>
            </w:pPr>
            <w:r>
              <w:rPr>
                <w:highlight w:val="none"/>
                <w:lang w:val="en-GB"/>
              </w:rPr>
              <w:t>1</w:t>
            </w:r>
            <w:r>
              <w:rPr>
                <w:highlight w:val="none"/>
              </w:rPr>
              <w:t>2.0</w:t>
            </w:r>
          </w:p>
        </w:tc>
        <w:tc>
          <w:tcPr>
            <w:tcW w:w="1210" w:type="dxa"/>
            <w:noWrap/>
            <w:vAlign w:val="center"/>
          </w:tcPr>
          <w:p>
            <w:pPr>
              <w:jc w:val="center"/>
              <w:rPr>
                <w:highlight w:val="none"/>
              </w:rPr>
            </w:pPr>
            <w:r>
              <w:rPr>
                <w:highlight w:val="none"/>
              </w:rPr>
              <w:t>2.2~2.6</w:t>
            </w:r>
          </w:p>
        </w:tc>
        <w:tc>
          <w:tcPr>
            <w:tcW w:w="2062" w:type="dxa"/>
            <w:noWrap/>
            <w:vAlign w:val="center"/>
          </w:tcPr>
          <w:p>
            <w:pPr>
              <w:jc w:val="center"/>
              <w:rPr>
                <w:highlight w:val="none"/>
                <w:lang w:val="en-GB"/>
              </w:rPr>
            </w:pPr>
            <w:r>
              <w:rPr>
                <w:highlight w:val="none"/>
              </w:rPr>
              <w:t>近期</w:t>
            </w:r>
          </w:p>
        </w:tc>
      </w:tr>
    </w:tbl>
    <w:p>
      <w:pPr>
        <w:widowControl/>
        <w:jc w:val="left"/>
        <w:rPr>
          <w:rFonts w:eastAsia="黑体"/>
          <w:b/>
          <w:sz w:val="32"/>
          <w:szCs w:val="32"/>
          <w:highlight w:val="none"/>
        </w:rPr>
      </w:pPr>
      <w:r>
        <w:rPr>
          <w:rFonts w:eastAsia="黑体"/>
          <w:b/>
          <w:sz w:val="32"/>
          <w:szCs w:val="32"/>
          <w:highlight w:val="none"/>
        </w:rPr>
        <w:br w:type="page"/>
      </w:r>
    </w:p>
    <w:p>
      <w:pPr>
        <w:pStyle w:val="14"/>
        <w:spacing w:before="156" w:beforeLines="50" w:line="520" w:lineRule="exact"/>
        <w:jc w:val="center"/>
        <w:outlineLvl w:val="0"/>
        <w:rPr>
          <w:rFonts w:ascii="Times New Roman" w:hAnsi="Times New Roman" w:eastAsia="黑体" w:cs="Times New Roman"/>
          <w:b/>
          <w:sz w:val="32"/>
          <w:szCs w:val="32"/>
          <w:highlight w:val="none"/>
        </w:rPr>
      </w:pPr>
      <w:bookmarkStart w:id="175" w:name="_Toc39688303"/>
      <w:bookmarkStart w:id="176" w:name="_Toc77781903"/>
      <w:bookmarkStart w:id="177" w:name="_Toc67908238"/>
      <w:r>
        <w:rPr>
          <w:rFonts w:ascii="Times New Roman" w:hAnsi="Times New Roman" w:eastAsia="黑体" w:cs="Times New Roman"/>
          <w:b/>
          <w:sz w:val="32"/>
          <w:szCs w:val="32"/>
          <w:highlight w:val="none"/>
        </w:rPr>
        <w:t xml:space="preserve">第三章 </w:t>
      </w:r>
      <w:r>
        <w:rPr>
          <w:rFonts w:hint="eastAsia" w:ascii="Times New Roman" w:hAnsi="Times New Roman" w:eastAsia="黑体" w:cs="Times New Roman"/>
          <w:b/>
          <w:sz w:val="32"/>
          <w:szCs w:val="32"/>
          <w:highlight w:val="none"/>
        </w:rPr>
        <w:t>港口性质与</w:t>
      </w:r>
      <w:r>
        <w:rPr>
          <w:rFonts w:ascii="Times New Roman" w:hAnsi="Times New Roman" w:eastAsia="黑体" w:cs="Times New Roman"/>
          <w:b/>
          <w:sz w:val="32"/>
          <w:szCs w:val="32"/>
          <w:highlight w:val="none"/>
        </w:rPr>
        <w:t>功能</w:t>
      </w:r>
      <w:bookmarkEnd w:id="175"/>
      <w:bookmarkEnd w:id="176"/>
      <w:bookmarkEnd w:id="177"/>
    </w:p>
    <w:p>
      <w:pPr>
        <w:spacing w:before="156" w:beforeLines="50" w:after="156" w:afterLines="50" w:line="520" w:lineRule="exact"/>
        <w:jc w:val="center"/>
        <w:outlineLvl w:val="1"/>
        <w:rPr>
          <w:rFonts w:eastAsia="黑体"/>
          <w:b/>
          <w:sz w:val="30"/>
          <w:highlight w:val="none"/>
        </w:rPr>
      </w:pPr>
      <w:bookmarkStart w:id="178" w:name="_Toc77781904"/>
      <w:bookmarkStart w:id="179" w:name="_Toc67908240"/>
      <w:r>
        <w:rPr>
          <w:rFonts w:eastAsia="黑体"/>
          <w:b/>
          <w:sz w:val="30"/>
          <w:highlight w:val="none"/>
        </w:rPr>
        <w:t>第</w:t>
      </w:r>
      <w:r>
        <w:rPr>
          <w:rFonts w:hint="eastAsia" w:eastAsia="黑体"/>
          <w:b/>
          <w:sz w:val="30"/>
          <w:highlight w:val="none"/>
        </w:rPr>
        <w:t>一</w:t>
      </w:r>
      <w:r>
        <w:rPr>
          <w:rFonts w:eastAsia="黑体"/>
          <w:b/>
          <w:sz w:val="30"/>
          <w:highlight w:val="none"/>
        </w:rPr>
        <w:t>节</w:t>
      </w:r>
      <w:r>
        <w:rPr>
          <w:rFonts w:hint="eastAsia" w:eastAsia="黑体"/>
          <w:b/>
          <w:sz w:val="30"/>
          <w:highlight w:val="none"/>
        </w:rPr>
        <w:t xml:space="preserve"> </w:t>
      </w:r>
      <w:r>
        <w:rPr>
          <w:rFonts w:eastAsia="黑体"/>
          <w:b/>
          <w:sz w:val="30"/>
          <w:highlight w:val="none"/>
        </w:rPr>
        <w:t>港口</w:t>
      </w:r>
      <w:r>
        <w:rPr>
          <w:rFonts w:hint="eastAsia" w:eastAsia="黑体"/>
          <w:b/>
          <w:sz w:val="30"/>
          <w:highlight w:val="none"/>
        </w:rPr>
        <w:t>的</w:t>
      </w:r>
      <w:r>
        <w:rPr>
          <w:rFonts w:eastAsia="黑体"/>
          <w:b/>
          <w:sz w:val="30"/>
          <w:highlight w:val="none"/>
        </w:rPr>
        <w:t>性质</w:t>
      </w:r>
      <w:bookmarkEnd w:id="178"/>
      <w:bookmarkEnd w:id="179"/>
    </w:p>
    <w:p>
      <w:pPr>
        <w:spacing w:line="360" w:lineRule="auto"/>
        <w:ind w:firstLine="562" w:firstLineChars="200"/>
        <w:rPr>
          <w:rFonts w:eastAsia="黑体"/>
          <w:b/>
          <w:sz w:val="28"/>
          <w:szCs w:val="28"/>
          <w:highlight w:val="none"/>
        </w:rPr>
      </w:pPr>
      <w:r>
        <w:rPr>
          <w:rFonts w:eastAsia="黑体"/>
          <w:b/>
          <w:sz w:val="28"/>
          <w:szCs w:val="28"/>
          <w:highlight w:val="none"/>
        </w:rPr>
        <w:t>一、发展条件</w:t>
      </w:r>
    </w:p>
    <w:p>
      <w:pPr>
        <w:pStyle w:val="14"/>
        <w:spacing w:after="0" w:line="360" w:lineRule="auto"/>
        <w:ind w:firstLine="560" w:firstLineChars="200"/>
        <w:rPr>
          <w:rFonts w:ascii="Times New Roman" w:hAnsi="Times New Roman" w:eastAsia="宋体" w:cs="Times New Roman"/>
          <w:sz w:val="28"/>
          <w:szCs w:val="28"/>
          <w:highlight w:val="none"/>
        </w:rPr>
      </w:pPr>
      <w:r>
        <w:rPr>
          <w:rFonts w:ascii="Times New Roman" w:hAnsi="Times New Roman" w:eastAsia="宋体" w:cs="Times New Roman"/>
          <w:sz w:val="28"/>
          <w:szCs w:val="28"/>
          <w:highlight w:val="none"/>
        </w:rPr>
        <w:t>乐山市拥有整个成都平原经济区稀缺的水运资源，从空间形态来看，以青衣江、大渡河、岷江为骨架，沐溪河、马边河、箭板河（龙溪河）、茫溪河等其他航道和大佛水库、红星水库等通航湖库区为补充，共同构成的“H”型水网体系，是整个乐山城市拥江发展的主体脉络。岷江是成都平原经济区联系长江黄金水道、实现通江达海的天然纽带，是成都平原产业原材料和产成品进出的大运量、低成本运输通道，是顺应全域对外开放趋势、深度参与国内外分工的途径。乐山港处于成渝地区双城经济圈中成德绵乐城市带和长江沿江城市带的交汇处，起着承上启下，水陆连接的重要作用。</w:t>
      </w:r>
      <w:r>
        <w:rPr>
          <w:rFonts w:ascii="Times New Roman" w:hAnsi="Times New Roman" w:cs="Times New Roman"/>
          <w:sz w:val="28"/>
          <w:szCs w:val="28"/>
          <w:highlight w:val="none"/>
        </w:rPr>
        <w:t>乐山市是成都平原经济区南向通道的门户，</w:t>
      </w:r>
      <w:r>
        <w:rPr>
          <w:rFonts w:ascii="Times New Roman" w:hAnsi="Times New Roman" w:eastAsia="宋体" w:cs="Times New Roman"/>
          <w:sz w:val="28"/>
          <w:szCs w:val="28"/>
          <w:highlight w:val="none"/>
        </w:rPr>
        <w:t>凭着</w:t>
      </w:r>
      <w:r>
        <w:rPr>
          <w:rFonts w:ascii="Times New Roman" w:hAnsi="Times New Roman" w:cs="Times New Roman"/>
          <w:sz w:val="28"/>
          <w:szCs w:val="28"/>
          <w:highlight w:val="none"/>
        </w:rPr>
        <w:t>地处长江经济带和成都平原经济区交汇点的区位优势和与成都平原经济区交织成网的交通条件，乐山港有条件升级打造为成都港。</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乐山港区位优势突出、区域腹地广阔、建港条件优良、临港产业和水上旅游资源开发等依托条件较好，具体表现在：</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（一）战略地位突出，区位优势独特</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乐山位于岷江下游，处在“一带一路”中南丝绸之路与“长江经济带”交汇点，内河航运可直达宜宾、重庆甚至上海，境内成昆铁路贯通南北，是成渝经济区与云南、西藏地区联系的重要交通节点。乐山处于成都平原城市群、川南城市群和攀西城镇群省内三大城镇群的交汇地带，也处于成都平原地区南向发展的主通道上，具有承东启西、连接南北的区位优势，也是成都平原、川南地区经济影响力向攀西地区、乌蒙贫困地区辐射的战略支点。乐山处于成渝地区双城经济圈中成德绵乐经济带和长江沿江经济带的交汇处，起着承上启下，水陆连接的重要作用，是成都平原经济区唯一的铁公水综合交通枢纽，是成都平原经济区和康藏地区最便捷的出海口岸。</w:t>
      </w:r>
      <w:r>
        <w:rPr>
          <w:rFonts w:ascii="Times New Roman" w:cs="Times New Roman"/>
          <w:color w:val="auto"/>
          <w:kern w:val="2"/>
          <w:sz w:val="28"/>
          <w:szCs w:val="28"/>
          <w:highlight w:val="none"/>
        </w:rPr>
        <w:t>作为成渝地区双城经济圈的“双核”之一，成都是四川省经济规模最大、综合实力最强、发展最为活跃的区域，</w:t>
      </w:r>
      <w:r>
        <w:rPr>
          <w:rFonts w:ascii="Times New Roman" w:cs="Times New Roman"/>
          <w:color w:val="auto"/>
          <w:sz w:val="28"/>
          <w:szCs w:val="28"/>
          <w:highlight w:val="none"/>
        </w:rPr>
        <w:t>乐山距成都陆路距离约120km，处于成都“极核”产业转移和辐射的最佳地带。</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（二）水陆交通便捷，集散能力充分</w:t>
      </w:r>
    </w:p>
    <w:p>
      <w:pPr>
        <w:spacing w:line="360" w:lineRule="auto"/>
        <w:ind w:firstLine="560" w:firstLineChars="200"/>
        <w:rPr>
          <w:sz w:val="28"/>
          <w:szCs w:val="28"/>
          <w:highlight w:val="none"/>
        </w:rPr>
      </w:pPr>
      <w:r>
        <w:rPr>
          <w:sz w:val="28"/>
          <w:szCs w:val="28"/>
          <w:highlight w:val="none"/>
        </w:rPr>
        <w:t>乐山境内由高速公路以及</w:t>
      </w:r>
      <w:r>
        <w:rPr>
          <w:bCs/>
          <w:sz w:val="28"/>
          <w:szCs w:val="28"/>
          <w:highlight w:val="none"/>
        </w:rPr>
        <w:t>国省干道</w:t>
      </w:r>
      <w:r>
        <w:rPr>
          <w:sz w:val="28"/>
          <w:szCs w:val="28"/>
          <w:highlight w:val="none"/>
        </w:rPr>
        <w:t>组成联系成都、眉山、德阳、自贡、宜宾、雅安、甘孜等地的公路网，“H”形铁路架构通往成都、宜宾、攀枝花、昆明、贵阳等地。乐山港位于长江黄金水道重要支流岷江干流下游，沿岷江而下可至宜宾、泸州、重庆乃至长江中下游。未来，随着在建的</w:t>
      </w:r>
      <w:r>
        <w:rPr>
          <w:bCs/>
          <w:sz w:val="28"/>
          <w:szCs w:val="28"/>
          <w:highlight w:val="none"/>
        </w:rPr>
        <w:t>仁沐新高速、峨汉、乐西和规划的天府新区至乐山高速、乐山至重庆高速、川藏高速以及雅眉乐自（隆）城际铁路、成昆高铁、乐宜铁路、川藏铁路</w:t>
      </w:r>
      <w:r>
        <w:rPr>
          <w:sz w:val="28"/>
          <w:szCs w:val="28"/>
          <w:highlight w:val="none"/>
        </w:rPr>
        <w:t>的陆续建成，乐山将进一步强化与云南、西藏、贵州等地的联系。乐山至眉山、成都方向通道10条，至眉山、雅安、康藏方向通道9条，至自贡通道5条，至凉山州通道4条，至宜宾、云南、贵州方向通道4条，为乐山港集聚货源辐射周边地区提供了良好的集疏运条件。</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（三）区域腹地广阔，货源支撑强劲</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乐山港腹地矿产种类多、储量大，磷矿、岩盐、钾长石、建陶原料等优势矿产突出，马边、峨边、犍为、峨眉山等地是乐山能源、非金属和重要金属矿产资源的开发基地，眉山市芒硝储量达到650亿吨，已经成为我国著名的元明粉基地。成都平原经济区拥有食品饮料、电子信息、汽车制造等传统优势产业，也形成了新一代信息技术、航空航天与燃机、高效发电和核技术应用等先进制造业,将逐步建成四川省乃至我国西部最强最大的经济密集区和人口密集区。乐山已经形成以盐磷化工、冶金建材和农产品加工为主的三大传统优势产业，基本建成在国内具有影响力的西部瓷都、不锈钢城、精细盐磷化工循环产业基地、畜牧加工基地、茶产业基地和纺织工装基地。目前腹地已经拥有德胜、和邦、永祥股份、明星电缆、福华、新中源陶瓷、永丰纸业等骨干企业，每年拥有适水货物超过千万吨，运输需求巨大。腹地的磷矿、岩盐、玄武岩、陶瓷制品、钢材、化工产品及装备制造等原材料及工业产品均为适水物资，货源支撑强劲。</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（四）建港条件优越，开发潜力较大</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岷江是国家内河高等级航道，目前岷江下段犍为、龙溪口航电枢纽及下段航道整治均已启动建设，东风岩、老木孔枢纽前期工作正加快推进，预计2025年前，岷江下段162km将建成Ⅲ级航道，常年通航1000吨级以上船舶，可实现与长江中上游干支直达。据统计乐山港宜港岸线总长约16.075km，岷江港航电项目建成后，岷江水域条件良好，岸线资源较为丰富，具备建设大规模货运码头的岸线为3处，岸线长达5km，尤其是高石坝作业区可利用岸线长达3km，后方陆域纵深超过500m，承载能力达2000万t，是建设现代化大型综合港口的理想港址。乐山市拥有整个成都平原经济区稀缺的水运资源，良好的航道条件和丰富的岸线资源给乐山港发展提供了优越的建港条件。</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（五）园区沿江布局，港口依托良好</w:t>
      </w:r>
    </w:p>
    <w:p>
      <w:pPr>
        <w:spacing w:line="360" w:lineRule="auto"/>
        <w:ind w:firstLine="560" w:firstLineChars="200"/>
        <w:rPr>
          <w:sz w:val="28"/>
          <w:szCs w:val="28"/>
          <w:highlight w:val="none"/>
        </w:rPr>
      </w:pPr>
      <w:r>
        <w:rPr>
          <w:sz w:val="28"/>
          <w:szCs w:val="28"/>
          <w:highlight w:val="none"/>
        </w:rPr>
        <w:t>乐山市工业园区中乐山高新区、五通桥新型工业基地、犍为新型工业基地、沙湾冶金建材产业基地以及规划的乐山市保税物流园、五通桥空港物流园、犍为乐山港物流园、</w:t>
      </w:r>
      <w:r>
        <w:rPr>
          <w:rFonts w:eastAsiaTheme="minorEastAsia"/>
          <w:sz w:val="28"/>
          <w:szCs w:val="28"/>
          <w:highlight w:val="none"/>
        </w:rPr>
        <w:t>沙湾西南不锈钢物流中心</w:t>
      </w:r>
      <w:r>
        <w:rPr>
          <w:sz w:val="28"/>
          <w:szCs w:val="28"/>
          <w:highlight w:val="none"/>
        </w:rPr>
        <w:t>等园区均沿江布局，夹江核技术应用产业基地、井研经济开发区、峨眉山工业集中区以及规划的</w:t>
      </w:r>
      <w:r>
        <w:rPr>
          <w:rFonts w:eastAsiaTheme="minorEastAsia"/>
          <w:sz w:val="28"/>
          <w:szCs w:val="28"/>
          <w:highlight w:val="none"/>
        </w:rPr>
        <w:t>峨眉山燕岗铁路物流园、夹江乐山北站物流园、峨眉山市综合物流中心、井研综合物流中心</w:t>
      </w:r>
      <w:r>
        <w:rPr>
          <w:sz w:val="28"/>
          <w:szCs w:val="28"/>
          <w:highlight w:val="none"/>
        </w:rPr>
        <w:t>均距港口较近，园区重点发展新能源汽车及汽车零部件、晶硅光伏、精细盐化工、稀土、节能环保、先进装备、特色轻工、新型建材、医药健康、核电装备、高性能复合材料、军工配套、钢材、陶瓷等产业等，随着岷江航道等级的提高，产业园区和物流园区规模的逐渐扩大，预计将有大量适水物资通过乐山港进出，有利于形成港产互动的局面。</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（六）旅游资源丰富，客运需求强烈</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 xml:space="preserve">乐山与成都重庆组成了成渝地区双城经济圈世界重要旅游目的地“金三角”。乐山市域内拥有山脉峡谷、河流湖泊、珍稀生物等特色自然资源，也有历史遗址、宗教文化、茶文化、彝族文化等多元化的文化资源。乐山市旅游资源品位一流，旅游经济总量居全省第二位，拥有三处世界遗产的城市。乐山是自然景观和文化景观高度融合的聚集地，世界级和国家级旅游资源密度达每万平方公里25个，是全省平均值的3.6倍。乐山市水利风景资源同样丰富，拥有通航河流12条、通航水库29座，水系骨架明晰，水域生态环境良好，人文景观众多，水文化特色明显，乐山大佛景区、大渡河金口河大峡谷国家地质公园、大渡河风景道等景区均对水上旅游客运提出了强烈的需求。随着乐山重要旅游目的地的建设，将吸引更多的游客前来休闲度假，以乐山港为载体的水上旅游客运将呈现旺盛的需求。 </w:t>
      </w:r>
    </w:p>
    <w:p>
      <w:pPr>
        <w:spacing w:line="360" w:lineRule="auto"/>
        <w:ind w:firstLine="562" w:firstLineChars="200"/>
        <w:rPr>
          <w:rFonts w:eastAsia="黑体"/>
          <w:b/>
          <w:sz w:val="28"/>
          <w:szCs w:val="28"/>
          <w:highlight w:val="none"/>
        </w:rPr>
      </w:pPr>
      <w:r>
        <w:rPr>
          <w:rFonts w:eastAsia="黑体"/>
          <w:b/>
          <w:sz w:val="28"/>
          <w:szCs w:val="28"/>
          <w:highlight w:val="none"/>
        </w:rPr>
        <w:t>二、港口的性质</w:t>
      </w:r>
    </w:p>
    <w:p>
      <w:pPr>
        <w:spacing w:line="360" w:lineRule="auto"/>
        <w:ind w:firstLine="560" w:firstLineChars="200"/>
        <w:rPr>
          <w:b/>
          <w:sz w:val="28"/>
          <w:szCs w:val="28"/>
          <w:highlight w:val="none"/>
        </w:rPr>
      </w:pPr>
      <w:r>
        <w:rPr>
          <w:kern w:val="0"/>
          <w:sz w:val="28"/>
          <w:szCs w:val="28"/>
          <w:highlight w:val="none"/>
        </w:rPr>
        <w:t>乐山港岸线资源丰富、建港条件优越，是成都平原经济区最便捷的出海口。</w:t>
      </w:r>
      <w:r>
        <w:rPr>
          <w:rFonts w:hint="eastAsia"/>
          <w:kern w:val="0"/>
          <w:sz w:val="28"/>
          <w:szCs w:val="28"/>
          <w:highlight w:val="none"/>
        </w:rPr>
        <w:t>乐山港作为我省的地区重要港口，是</w:t>
      </w:r>
      <w:r>
        <w:rPr>
          <w:rFonts w:hint="eastAsia"/>
          <w:sz w:val="28"/>
          <w:szCs w:val="28"/>
          <w:highlight w:val="none"/>
        </w:rPr>
        <w:t>四川重大装备运输的核心组成、乐山港国际旅游中心、“产业强市、旅游兴市”重要支撑、成都平原南向开放门户、长江上游航运中心的重要组成</w:t>
      </w:r>
      <w:r>
        <w:rPr>
          <w:b/>
          <w:sz w:val="28"/>
          <w:szCs w:val="28"/>
          <w:highlight w:val="none"/>
        </w:rPr>
        <w:t>。</w:t>
      </w:r>
    </w:p>
    <w:p>
      <w:pPr>
        <w:pStyle w:val="2"/>
        <w:spacing w:line="360" w:lineRule="auto"/>
        <w:ind w:firstLine="562" w:firstLineChars="200"/>
        <w:rPr>
          <w:rFonts w:ascii="Times New Roman" w:cs="Times New Roman"/>
          <w:color w:val="auto"/>
          <w:sz w:val="28"/>
          <w:szCs w:val="28"/>
          <w:highlight w:val="none"/>
        </w:rPr>
      </w:pPr>
      <w:r>
        <w:rPr>
          <w:rFonts w:ascii="Times New Roman" w:cs="Times New Roman"/>
          <w:b/>
          <w:color w:val="auto"/>
          <w:kern w:val="2"/>
          <w:sz w:val="28"/>
          <w:szCs w:val="28"/>
          <w:highlight w:val="none"/>
        </w:rPr>
        <w:t>四川</w:t>
      </w:r>
      <w:r>
        <w:rPr>
          <w:rFonts w:hint="eastAsia" w:ascii="Times New Roman" w:cs="Times New Roman"/>
          <w:b/>
          <w:color w:val="auto"/>
          <w:kern w:val="2"/>
          <w:sz w:val="28"/>
          <w:szCs w:val="28"/>
          <w:highlight w:val="none"/>
        </w:rPr>
        <w:t>重大装备运输的核心组成</w:t>
      </w:r>
      <w:r>
        <w:rPr>
          <w:rFonts w:ascii="Times New Roman" w:cs="Times New Roman"/>
          <w:b/>
          <w:color w:val="auto"/>
          <w:sz w:val="28"/>
          <w:szCs w:val="28"/>
          <w:highlight w:val="none"/>
        </w:rPr>
        <w:t>：</w:t>
      </w:r>
      <w:r>
        <w:rPr>
          <w:rFonts w:ascii="Times New Roman" w:cs="Times New Roman"/>
          <w:color w:val="auto"/>
          <w:sz w:val="28"/>
          <w:szCs w:val="28"/>
          <w:highlight w:val="none"/>
        </w:rPr>
        <w:t>大件运输是乐山港的传统特色，历年来承担和完成了各种水电、火电、核电、石化、建材等重装设备的吊装运输，为四川重装产业的发展壮大，做出了不可替代的贡献，岷江下段航道建成后可常年通行千吨级以上船舶，乐山港可满足四川重装设备常年运输的需求，是国家重型装备和战略资源开发的重要保障。</w:t>
      </w:r>
    </w:p>
    <w:p>
      <w:pPr>
        <w:pStyle w:val="2"/>
        <w:spacing w:line="360" w:lineRule="auto"/>
        <w:ind w:firstLine="562" w:firstLineChars="200"/>
        <w:rPr>
          <w:rFonts w:ascii="Times New Roman" w:cs="Times New Roman"/>
          <w:bCs/>
          <w:color w:val="auto"/>
          <w:sz w:val="28"/>
          <w:szCs w:val="28"/>
          <w:highlight w:val="none"/>
        </w:rPr>
      </w:pPr>
      <w:r>
        <w:rPr>
          <w:rFonts w:hint="eastAsia" w:ascii="Times New Roman" w:cs="Times New Roman"/>
          <w:b/>
          <w:color w:val="auto"/>
          <w:kern w:val="2"/>
          <w:sz w:val="28"/>
          <w:szCs w:val="28"/>
          <w:highlight w:val="none"/>
        </w:rPr>
        <w:t>乐山</w:t>
      </w:r>
      <w:r>
        <w:rPr>
          <w:rFonts w:ascii="Times New Roman" w:cs="Times New Roman"/>
          <w:b/>
          <w:color w:val="auto"/>
          <w:kern w:val="2"/>
          <w:sz w:val="28"/>
          <w:szCs w:val="28"/>
          <w:highlight w:val="none"/>
        </w:rPr>
        <w:t>港国际旅游中心</w:t>
      </w:r>
      <w:r>
        <w:rPr>
          <w:rFonts w:ascii="Times New Roman" w:cs="Times New Roman"/>
          <w:color w:val="auto"/>
          <w:kern w:val="2"/>
          <w:sz w:val="28"/>
          <w:szCs w:val="28"/>
          <w:highlight w:val="none"/>
        </w:rPr>
        <w:t>：</w:t>
      </w:r>
      <w:r>
        <w:rPr>
          <w:rFonts w:ascii="Times New Roman" w:cs="Times New Roman"/>
          <w:bCs/>
          <w:color w:val="auto"/>
          <w:sz w:val="28"/>
          <w:szCs w:val="28"/>
          <w:highlight w:val="none"/>
        </w:rPr>
        <w:t>乐山市</w:t>
      </w:r>
      <w:r>
        <w:rPr>
          <w:rFonts w:ascii="Times New Roman" w:cs="Times New Roman"/>
          <w:color w:val="auto"/>
          <w:sz w:val="28"/>
          <w:szCs w:val="28"/>
          <w:highlight w:val="none"/>
        </w:rPr>
        <w:t>旅游资源丰富、品位一流，旅游经济总量居全省第二位，一直以来以乐山大佛为依托的“水上看大佛”是四川水路客运发展的增长点。但同时乐山旅游也存在节点式观光占据主导、客源地覆盖半径较小、产业融合度不高，乐山港升级为成都港后，将依托丰富和高品位的旅游资源，发展高端游轮游艇经济，促进交旅深度融合，延伸旅游产业链，推动旅游业扩容提质、向全域旅游发展，建成</w:t>
      </w:r>
      <w:r>
        <w:rPr>
          <w:rFonts w:hint="eastAsia" w:ascii="Times New Roman" w:cs="Times New Roman"/>
          <w:color w:val="auto"/>
          <w:sz w:val="28"/>
          <w:szCs w:val="28"/>
          <w:highlight w:val="none"/>
        </w:rPr>
        <w:t>乐山</w:t>
      </w:r>
      <w:r>
        <w:rPr>
          <w:rFonts w:ascii="Times New Roman" w:cs="Times New Roman"/>
          <w:color w:val="auto"/>
          <w:sz w:val="28"/>
          <w:szCs w:val="28"/>
          <w:highlight w:val="none"/>
        </w:rPr>
        <w:t>港国际旅游中心,助力乐山建设巴蜀文化旅游走廊世界重要旅游目的地，</w:t>
      </w:r>
      <w:r>
        <w:rPr>
          <w:rFonts w:ascii="Times New Roman" w:cs="Times New Roman"/>
          <w:bCs/>
          <w:color w:val="auto"/>
          <w:sz w:val="28"/>
          <w:szCs w:val="28"/>
          <w:highlight w:val="none"/>
        </w:rPr>
        <w:t>与成都、重庆共建成渝地区双城经济圈旅游金三角。</w:t>
      </w:r>
    </w:p>
    <w:p>
      <w:pPr>
        <w:pStyle w:val="2"/>
        <w:spacing w:line="360" w:lineRule="auto"/>
        <w:ind w:firstLine="562" w:firstLineChars="200"/>
        <w:rPr>
          <w:color w:val="auto"/>
          <w:sz w:val="28"/>
          <w:szCs w:val="28"/>
          <w:highlight w:val="none"/>
        </w:rPr>
      </w:pPr>
      <w:r>
        <w:rPr>
          <w:b/>
          <w:color w:val="auto"/>
          <w:sz w:val="28"/>
          <w:szCs w:val="28"/>
          <w:highlight w:val="none"/>
        </w:rPr>
        <w:t>“</w:t>
      </w:r>
      <w:r>
        <w:rPr>
          <w:rFonts w:hint="eastAsia"/>
          <w:b/>
          <w:color w:val="auto"/>
          <w:sz w:val="28"/>
          <w:szCs w:val="28"/>
          <w:highlight w:val="none"/>
        </w:rPr>
        <w:t>产业强市、旅游兴市</w:t>
      </w:r>
      <w:r>
        <w:rPr>
          <w:b/>
          <w:color w:val="auto"/>
          <w:sz w:val="28"/>
          <w:szCs w:val="28"/>
          <w:highlight w:val="none"/>
        </w:rPr>
        <w:t>”重要支撑：</w:t>
      </w:r>
      <w:r>
        <w:rPr>
          <w:rFonts w:hint="eastAsia"/>
          <w:color w:val="auto"/>
          <w:sz w:val="28"/>
          <w:szCs w:val="28"/>
          <w:highlight w:val="none"/>
        </w:rPr>
        <w:t>“十四五”期间，</w:t>
      </w:r>
      <w:r>
        <w:rPr>
          <w:rFonts w:hint="eastAsia" w:ascii="Times New Roman" w:cs="Times New Roman"/>
          <w:color w:val="auto"/>
          <w:kern w:val="2"/>
          <w:sz w:val="28"/>
          <w:szCs w:val="28"/>
          <w:highlight w:val="none"/>
        </w:rPr>
        <w:t>乐山将实施“产业强市、旅游兴市”发展战略，坚持“345”工作思路，大力实施“11456”经济工作方案。</w:t>
      </w:r>
      <w:r>
        <w:rPr>
          <w:color w:val="auto"/>
          <w:sz w:val="28"/>
          <w:szCs w:val="28"/>
          <w:highlight w:val="none"/>
        </w:rPr>
        <w:t>港口是外向型经济的载体，具有集聚产业和辐射腹地经济的功能，乐山港建成后</w:t>
      </w:r>
      <w:r>
        <w:rPr>
          <w:rFonts w:hint="eastAsia"/>
          <w:color w:val="auto"/>
          <w:sz w:val="28"/>
          <w:szCs w:val="28"/>
          <w:highlight w:val="none"/>
        </w:rPr>
        <w:t>，乐山将成为成都平原经济区唯一的铁公水航综合交通枢纽，乐山港国际旅游中心的建设也将促进乐山多样化个性化旅游的发展，助力乐山建设世界重要旅游目的地，同时也</w:t>
      </w:r>
      <w:r>
        <w:rPr>
          <w:color w:val="auto"/>
          <w:sz w:val="28"/>
          <w:szCs w:val="28"/>
          <w:highlight w:val="none"/>
        </w:rPr>
        <w:t>将</w:t>
      </w:r>
      <w:r>
        <w:rPr>
          <w:rFonts w:hint="eastAsia"/>
          <w:color w:val="auto"/>
          <w:sz w:val="28"/>
          <w:szCs w:val="28"/>
          <w:highlight w:val="none"/>
        </w:rPr>
        <w:t>吸引腹地</w:t>
      </w:r>
      <w:r>
        <w:rPr>
          <w:color w:val="auto"/>
          <w:sz w:val="28"/>
          <w:szCs w:val="28"/>
          <w:highlight w:val="none"/>
        </w:rPr>
        <w:t>化工、机械设备、粮食加工、食品饮料等适水产业转移</w:t>
      </w:r>
      <w:r>
        <w:rPr>
          <w:rFonts w:hint="eastAsia"/>
          <w:color w:val="auto"/>
          <w:sz w:val="28"/>
          <w:szCs w:val="28"/>
          <w:highlight w:val="none"/>
        </w:rPr>
        <w:t>至乐山</w:t>
      </w:r>
      <w:r>
        <w:rPr>
          <w:color w:val="auto"/>
          <w:sz w:val="28"/>
          <w:szCs w:val="28"/>
          <w:highlight w:val="none"/>
        </w:rPr>
        <w:t>，成为乐山奋力打造“</w:t>
      </w:r>
      <w:r>
        <w:rPr>
          <w:rFonts w:hint="eastAsia"/>
          <w:color w:val="auto"/>
          <w:sz w:val="28"/>
          <w:szCs w:val="28"/>
          <w:highlight w:val="none"/>
        </w:rPr>
        <w:t>产业强市、旅游兴市</w:t>
      </w:r>
      <w:r>
        <w:rPr>
          <w:color w:val="auto"/>
          <w:sz w:val="28"/>
          <w:szCs w:val="28"/>
          <w:highlight w:val="none"/>
        </w:rPr>
        <w:t>”的重要支撑。</w:t>
      </w:r>
    </w:p>
    <w:p>
      <w:pPr>
        <w:pStyle w:val="2"/>
        <w:snapToGrid w:val="0"/>
        <w:spacing w:line="600" w:lineRule="exact"/>
        <w:ind w:firstLine="562" w:firstLineChars="200"/>
        <w:rPr>
          <w:rFonts w:ascii="Times New Roman" w:cs="Times New Roman"/>
          <w:color w:val="auto"/>
          <w:sz w:val="28"/>
          <w:szCs w:val="28"/>
          <w:highlight w:val="none"/>
        </w:rPr>
      </w:pPr>
      <w:r>
        <w:rPr>
          <w:rFonts w:ascii="Times New Roman" w:cs="Times New Roman"/>
          <w:b/>
          <w:color w:val="auto"/>
          <w:kern w:val="2"/>
          <w:sz w:val="28"/>
          <w:szCs w:val="28"/>
          <w:highlight w:val="none"/>
        </w:rPr>
        <w:t>成都平原南向开放门户：</w:t>
      </w:r>
      <w:r>
        <w:rPr>
          <w:rFonts w:ascii="Times New Roman" w:cs="Times New Roman"/>
          <w:color w:val="auto"/>
          <w:kern w:val="2"/>
          <w:sz w:val="28"/>
          <w:szCs w:val="28"/>
          <w:highlight w:val="none"/>
        </w:rPr>
        <w:t>乐山为成都平原城市群南部区域中心城市，</w:t>
      </w:r>
      <w:r>
        <w:rPr>
          <w:rFonts w:ascii="Times New Roman" w:cs="Times New Roman"/>
          <w:color w:val="auto"/>
          <w:sz w:val="28"/>
          <w:szCs w:val="28"/>
          <w:highlight w:val="none"/>
        </w:rPr>
        <w:t>处于成都平原地区南向发展的主通道上，乐山港是成都平原经济区最便捷的“通江达海”水运口岸，</w:t>
      </w:r>
      <w:r>
        <w:rPr>
          <w:rFonts w:hint="eastAsia" w:ascii="Times New Roman" w:cs="Times New Roman"/>
          <w:color w:val="auto"/>
          <w:sz w:val="28"/>
          <w:szCs w:val="28"/>
          <w:highlight w:val="none"/>
        </w:rPr>
        <w:t>也</w:t>
      </w:r>
      <w:r>
        <w:rPr>
          <w:color w:val="auto"/>
          <w:sz w:val="28"/>
          <w:szCs w:val="28"/>
          <w:highlight w:val="none"/>
        </w:rPr>
        <w:t>是康藏地区最近的出海口岸</w:t>
      </w:r>
      <w:r>
        <w:rPr>
          <w:rFonts w:hint="eastAsia"/>
          <w:color w:val="auto"/>
          <w:sz w:val="28"/>
          <w:szCs w:val="28"/>
          <w:highlight w:val="none"/>
        </w:rPr>
        <w:t>，</w:t>
      </w:r>
      <w:r>
        <w:rPr>
          <w:rFonts w:ascii="Times New Roman" w:cs="Times New Roman"/>
          <w:color w:val="auto"/>
          <w:sz w:val="28"/>
          <w:szCs w:val="28"/>
          <w:highlight w:val="none"/>
        </w:rPr>
        <w:t>是发展现代物流、临港产业、沿江经济的重要战略资源，是促进腹地对外开放、深度参与国内外分工的重要平台，是成都平原南向开放的门户。</w:t>
      </w:r>
    </w:p>
    <w:p>
      <w:pPr>
        <w:snapToGrid w:val="0"/>
        <w:spacing w:line="600" w:lineRule="exact"/>
        <w:ind w:firstLine="562" w:firstLineChars="200"/>
        <w:rPr>
          <w:sz w:val="28"/>
          <w:szCs w:val="28"/>
          <w:highlight w:val="none"/>
        </w:rPr>
      </w:pPr>
      <w:r>
        <w:rPr>
          <w:b/>
          <w:sz w:val="28"/>
          <w:szCs w:val="28"/>
          <w:highlight w:val="none"/>
        </w:rPr>
        <w:t>长江上游航运中心重要组成：</w:t>
      </w:r>
      <w:r>
        <w:rPr>
          <w:sz w:val="28"/>
          <w:szCs w:val="28"/>
          <w:highlight w:val="none"/>
        </w:rPr>
        <w:t>乐山港是长江上游航运中心“</w:t>
      </w:r>
      <w:r>
        <w:rPr>
          <w:rFonts w:hint="eastAsia"/>
          <w:sz w:val="28"/>
          <w:szCs w:val="28"/>
          <w:highlight w:val="none"/>
        </w:rPr>
        <w:t>三</w:t>
      </w:r>
      <w:r>
        <w:rPr>
          <w:sz w:val="28"/>
          <w:szCs w:val="28"/>
          <w:highlight w:val="none"/>
        </w:rPr>
        <w:t>核</w:t>
      </w:r>
      <w:r>
        <w:rPr>
          <w:rFonts w:hint="eastAsia"/>
          <w:sz w:val="28"/>
          <w:szCs w:val="28"/>
          <w:highlight w:val="none"/>
        </w:rPr>
        <w:t>两</w:t>
      </w:r>
      <w:r>
        <w:rPr>
          <w:sz w:val="28"/>
          <w:szCs w:val="28"/>
          <w:highlight w:val="none"/>
        </w:rPr>
        <w:t>副</w:t>
      </w:r>
      <w:r>
        <w:rPr>
          <w:rFonts w:hint="eastAsia"/>
          <w:sz w:val="28"/>
          <w:szCs w:val="28"/>
          <w:highlight w:val="none"/>
        </w:rPr>
        <w:t>多</w:t>
      </w:r>
      <w:r>
        <w:rPr>
          <w:sz w:val="28"/>
          <w:szCs w:val="28"/>
          <w:highlight w:val="none"/>
        </w:rPr>
        <w:t>点”布局中的“支点”之一，是长江干线集装箱枢纽港的重要喂给港。乐山</w:t>
      </w:r>
      <w:r>
        <w:rPr>
          <w:rFonts w:hint="eastAsia"/>
          <w:sz w:val="28"/>
          <w:szCs w:val="28"/>
          <w:highlight w:val="none"/>
        </w:rPr>
        <w:t>港是乐山</w:t>
      </w:r>
      <w:r>
        <w:rPr>
          <w:sz w:val="28"/>
          <w:szCs w:val="28"/>
          <w:highlight w:val="none"/>
        </w:rPr>
        <w:t>综合交通枢纽“一廊一心四通道”</w:t>
      </w:r>
      <w:r>
        <w:rPr>
          <w:rFonts w:hint="eastAsia"/>
          <w:sz w:val="28"/>
          <w:szCs w:val="28"/>
          <w:highlight w:val="none"/>
        </w:rPr>
        <w:t>的重要组成</w:t>
      </w:r>
      <w:r>
        <w:rPr>
          <w:sz w:val="28"/>
          <w:szCs w:val="28"/>
          <w:highlight w:val="none"/>
        </w:rPr>
        <w:t>， “一心”即为</w:t>
      </w:r>
      <w:r>
        <w:rPr>
          <w:rFonts w:hint="eastAsia"/>
          <w:sz w:val="28"/>
          <w:szCs w:val="28"/>
          <w:highlight w:val="none"/>
        </w:rPr>
        <w:t>通过建设乐山港</w:t>
      </w:r>
      <w:r>
        <w:rPr>
          <w:sz w:val="28"/>
          <w:szCs w:val="28"/>
          <w:highlight w:val="none"/>
        </w:rPr>
        <w:t>扩容增效“航运中心”,乐山港建成后，将</w:t>
      </w:r>
      <w:r>
        <w:rPr>
          <w:kern w:val="0"/>
          <w:sz w:val="28"/>
          <w:szCs w:val="28"/>
          <w:highlight w:val="none"/>
        </w:rPr>
        <w:t>强化与沿江重要港口协作，重点推动与泸州、宜宾两地港口优势互补错位发展，促进攀乐宜泸沿江经济带发展，促进长江上游航运中心扩容增效。</w:t>
      </w:r>
    </w:p>
    <w:p>
      <w:pPr>
        <w:pStyle w:val="2"/>
        <w:snapToGrid w:val="0"/>
        <w:spacing w:line="600" w:lineRule="exact"/>
        <w:ind w:firstLine="560" w:firstLineChars="200"/>
        <w:rPr>
          <w:rFonts w:ascii="Times New Roman" w:cs="Times New Roman"/>
          <w:color w:val="auto"/>
          <w:kern w:val="2"/>
          <w:sz w:val="28"/>
          <w:szCs w:val="28"/>
          <w:highlight w:val="none"/>
        </w:rPr>
      </w:pPr>
      <w:r>
        <w:rPr>
          <w:rFonts w:ascii="Times New Roman" w:cs="Times New Roman"/>
          <w:color w:val="auto"/>
          <w:kern w:val="2"/>
          <w:sz w:val="28"/>
          <w:szCs w:val="28"/>
          <w:highlight w:val="none"/>
        </w:rPr>
        <w:t>综合分析腹地经济社会发展对港口的要求、港口在综合交通体系中的地位和作用、港口的发展条件以及乐山港的性质，明确</w:t>
      </w:r>
      <w:r>
        <w:rPr>
          <w:rFonts w:ascii="Times New Roman" w:cs="Times New Roman"/>
          <w:b/>
          <w:color w:val="auto"/>
          <w:kern w:val="2"/>
          <w:sz w:val="28"/>
          <w:szCs w:val="28"/>
          <w:highlight w:val="none"/>
        </w:rPr>
        <w:t>乐山港的发展方向为</w:t>
      </w:r>
      <w:r>
        <w:rPr>
          <w:rFonts w:ascii="Times New Roman" w:cs="Times New Roman"/>
          <w:color w:val="auto"/>
          <w:kern w:val="2"/>
          <w:sz w:val="28"/>
          <w:szCs w:val="28"/>
          <w:highlight w:val="none"/>
        </w:rPr>
        <w:t>：根据港口资源整合、转型升级的要求，科学谋划乐山港在全省港口分工定位，积极融入全省港口“一盘棋”。通过完善航道和港口等基础设施，构建“双核两带多点”的港口布局体系；加快港口结构优化，建设集装箱、件杂、散货运输等规模化、专业化码头泊位，更好地适应腹地相关产业布局、临港工业园发展需要；推进交旅融合发展，加快建设旅游客运码头，创新水运旅游产品、拓展水运服务功能，满足人民群众对旅游交通多样化的需求；开展零散砂石清理、规范、整合，加强管理，逐步消除安全隐患、提高岸线利用率；统筹推进公共锚地、水上服务区等公共资源的规划、建设和管理；完善作业区及码头集疏运体系，推进重点作业区与铁路和干线公路的有效衔接。促进港产城协同发展，加强港口与后方物流园区、工业园区规划统筹、功能配套，以大项目与大企业引领，引导机械制造、粮油加工、新能源新材料等产业依托港口发展，优势资源向沿江集聚，推动产业沿江布局，促进乐山外向型经济的发展。</w:t>
      </w:r>
    </w:p>
    <w:p>
      <w:pPr>
        <w:spacing w:before="156" w:beforeLines="50" w:after="156" w:afterLines="50" w:line="520" w:lineRule="exact"/>
        <w:jc w:val="center"/>
        <w:outlineLvl w:val="1"/>
        <w:rPr>
          <w:rFonts w:eastAsia="黑体"/>
          <w:b/>
          <w:sz w:val="30"/>
          <w:highlight w:val="none"/>
        </w:rPr>
      </w:pPr>
      <w:bookmarkStart w:id="180" w:name="_Toc77781905"/>
      <w:r>
        <w:rPr>
          <w:rFonts w:eastAsia="黑体"/>
          <w:b/>
          <w:sz w:val="30"/>
          <w:highlight w:val="none"/>
        </w:rPr>
        <w:t>第</w:t>
      </w:r>
      <w:r>
        <w:rPr>
          <w:rFonts w:hint="eastAsia" w:eastAsia="黑体"/>
          <w:b/>
          <w:sz w:val="30"/>
          <w:highlight w:val="none"/>
        </w:rPr>
        <w:t>二</w:t>
      </w:r>
      <w:r>
        <w:rPr>
          <w:rFonts w:eastAsia="黑体"/>
          <w:b/>
          <w:sz w:val="30"/>
          <w:highlight w:val="none"/>
        </w:rPr>
        <w:t>节</w:t>
      </w:r>
      <w:r>
        <w:rPr>
          <w:rFonts w:hint="eastAsia" w:eastAsia="黑体"/>
          <w:b/>
          <w:sz w:val="30"/>
          <w:highlight w:val="none"/>
        </w:rPr>
        <w:t xml:space="preserve"> </w:t>
      </w:r>
      <w:r>
        <w:rPr>
          <w:rFonts w:eastAsia="黑体"/>
          <w:b/>
          <w:sz w:val="30"/>
          <w:highlight w:val="none"/>
        </w:rPr>
        <w:t>港口</w:t>
      </w:r>
      <w:r>
        <w:rPr>
          <w:rFonts w:hint="eastAsia" w:eastAsia="黑体"/>
          <w:b/>
          <w:sz w:val="30"/>
          <w:highlight w:val="none"/>
        </w:rPr>
        <w:t>的功能</w:t>
      </w:r>
      <w:bookmarkEnd w:id="180"/>
    </w:p>
    <w:p>
      <w:pPr>
        <w:spacing w:line="360" w:lineRule="auto"/>
        <w:ind w:firstLine="560" w:firstLineChars="200"/>
        <w:rPr>
          <w:sz w:val="28"/>
          <w:szCs w:val="28"/>
          <w:highlight w:val="none"/>
        </w:rPr>
      </w:pPr>
      <w:r>
        <w:rPr>
          <w:sz w:val="28"/>
          <w:szCs w:val="28"/>
          <w:highlight w:val="none"/>
        </w:rPr>
        <w:t>根据乐山港的现实基础、性质、作用及经济社会对其发展要求，乐山港处于由第二代港口向第三代港口过渡阶段，应具备以下功能：</w:t>
      </w:r>
    </w:p>
    <w:p>
      <w:pPr>
        <w:ind w:firstLine="560"/>
        <w:outlineLvl w:val="0"/>
        <w:rPr>
          <w:b/>
          <w:sz w:val="28"/>
          <w:szCs w:val="28"/>
          <w:highlight w:val="none"/>
        </w:rPr>
      </w:pPr>
      <w:bookmarkStart w:id="181" w:name="_Toc77781906"/>
      <w:bookmarkStart w:id="182" w:name="_Toc53089218"/>
      <w:bookmarkStart w:id="183" w:name="_Toc67924645"/>
      <w:bookmarkStart w:id="184" w:name="_Toc67908241"/>
      <w:r>
        <w:rPr>
          <w:rFonts w:hint="eastAsia"/>
          <w:b/>
          <w:sz w:val="28"/>
          <w:szCs w:val="28"/>
          <w:highlight w:val="none"/>
        </w:rPr>
        <w:t>一、</w:t>
      </w:r>
      <w:r>
        <w:rPr>
          <w:b/>
          <w:sz w:val="28"/>
          <w:szCs w:val="28"/>
          <w:highlight w:val="none"/>
        </w:rPr>
        <w:t>第二代港口功能</w:t>
      </w:r>
      <w:bookmarkEnd w:id="181"/>
      <w:bookmarkEnd w:id="182"/>
      <w:bookmarkEnd w:id="183"/>
      <w:bookmarkEnd w:id="184"/>
    </w:p>
    <w:p>
      <w:pPr>
        <w:spacing w:line="360" w:lineRule="auto"/>
        <w:ind w:firstLine="560" w:firstLineChars="200"/>
        <w:rPr>
          <w:sz w:val="28"/>
          <w:szCs w:val="28"/>
          <w:highlight w:val="none"/>
        </w:rPr>
      </w:pPr>
      <w:r>
        <w:rPr>
          <w:sz w:val="28"/>
          <w:szCs w:val="28"/>
          <w:highlight w:val="none"/>
        </w:rPr>
        <w:t>1.装卸存储功能</w:t>
      </w:r>
    </w:p>
    <w:p>
      <w:pPr>
        <w:spacing w:line="360" w:lineRule="auto"/>
        <w:ind w:firstLine="560" w:firstLineChars="200"/>
        <w:rPr>
          <w:sz w:val="28"/>
          <w:szCs w:val="28"/>
          <w:highlight w:val="none"/>
        </w:rPr>
      </w:pPr>
      <w:r>
        <w:rPr>
          <w:sz w:val="28"/>
          <w:szCs w:val="28"/>
          <w:highlight w:val="none"/>
        </w:rPr>
        <w:t>为保障车、船高效率运转，乐山港必须具备现代化、高效率的装卸手段，充足的仓库堆场，使港口能以最快的速度、最优的装卸质量、安全可靠的存储设备，完成货物的装卸与存储任务。</w:t>
      </w:r>
    </w:p>
    <w:p>
      <w:pPr>
        <w:spacing w:line="360" w:lineRule="auto"/>
        <w:ind w:firstLine="560" w:firstLineChars="200"/>
        <w:rPr>
          <w:sz w:val="28"/>
          <w:szCs w:val="28"/>
          <w:highlight w:val="none"/>
        </w:rPr>
      </w:pPr>
      <w:r>
        <w:rPr>
          <w:sz w:val="28"/>
          <w:szCs w:val="28"/>
          <w:highlight w:val="none"/>
        </w:rPr>
        <w:t>2.中转换装功能</w:t>
      </w:r>
    </w:p>
    <w:p>
      <w:pPr>
        <w:spacing w:line="360" w:lineRule="auto"/>
        <w:ind w:firstLine="560" w:firstLineChars="200"/>
        <w:rPr>
          <w:sz w:val="28"/>
          <w:szCs w:val="28"/>
          <w:highlight w:val="none"/>
        </w:rPr>
      </w:pPr>
      <w:r>
        <w:rPr>
          <w:sz w:val="28"/>
          <w:szCs w:val="28"/>
          <w:highlight w:val="none"/>
        </w:rPr>
        <w:t>港口不是客货运输的终点，而是由一种运输方式转换为另一种运输方式的起点，因此，港口必须具备中转换装功能。为此乐山港必须具备较高标准的码头泊位、装卸设备、堆场及高效率的换装手段，有通达的公路、水路、铁路等集疏运通道，保障车、船、港、站、路与用户之间畅通无阻，并通过有效的运输组织和管理手段，实现货物的多式联运。</w:t>
      </w:r>
    </w:p>
    <w:p>
      <w:pPr>
        <w:spacing w:line="360" w:lineRule="auto"/>
        <w:ind w:firstLine="560" w:firstLineChars="200"/>
        <w:rPr>
          <w:sz w:val="28"/>
          <w:szCs w:val="28"/>
          <w:highlight w:val="none"/>
        </w:rPr>
      </w:pPr>
      <w:r>
        <w:rPr>
          <w:sz w:val="28"/>
          <w:szCs w:val="28"/>
          <w:highlight w:val="none"/>
        </w:rPr>
        <w:t>3.运输组织管理功能</w:t>
      </w:r>
    </w:p>
    <w:p>
      <w:pPr>
        <w:spacing w:line="360" w:lineRule="auto"/>
        <w:ind w:firstLine="560" w:firstLineChars="200"/>
        <w:rPr>
          <w:sz w:val="28"/>
          <w:szCs w:val="28"/>
          <w:highlight w:val="none"/>
        </w:rPr>
      </w:pPr>
      <w:r>
        <w:rPr>
          <w:sz w:val="28"/>
          <w:szCs w:val="28"/>
          <w:highlight w:val="none"/>
        </w:rPr>
        <w:t>港口必须具备科学的运输组织管理功能，围绕港口的集疏运、装卸、储存、转运、配送、加工等形成运输组织管理中心，在用户与货源地之间建立严密的运输组织管理系统，通过通信、信息等科学的管理手段，将用户、运输企业、公路货运站、铁路货运站和港口等有机联系起来，组织合理的运输及相应的服务，实现货物安全、准时、高效的全程运输、组织管理和服务。</w:t>
      </w:r>
    </w:p>
    <w:p>
      <w:pPr>
        <w:spacing w:line="360" w:lineRule="auto"/>
        <w:ind w:firstLine="560" w:firstLineChars="200"/>
        <w:rPr>
          <w:sz w:val="28"/>
          <w:szCs w:val="28"/>
          <w:highlight w:val="none"/>
        </w:rPr>
      </w:pPr>
      <w:r>
        <w:rPr>
          <w:sz w:val="28"/>
          <w:szCs w:val="28"/>
          <w:highlight w:val="none"/>
        </w:rPr>
        <w:t>4.旅游服务</w:t>
      </w:r>
    </w:p>
    <w:p>
      <w:pPr>
        <w:spacing w:line="360" w:lineRule="auto"/>
        <w:ind w:firstLine="560" w:firstLineChars="200"/>
        <w:rPr>
          <w:sz w:val="28"/>
          <w:szCs w:val="28"/>
          <w:highlight w:val="none"/>
        </w:rPr>
      </w:pPr>
      <w:r>
        <w:rPr>
          <w:sz w:val="28"/>
          <w:szCs w:val="28"/>
          <w:highlight w:val="none"/>
        </w:rPr>
        <w:t>为充分开发乐山市境内丰富的旅游资源，打造世界重要旅游目的地，与之相配套的旅游客运港口必不可少。乐山旅游客运港口应满足乐山市“旅游兴市”的要求，与沿江人文自然景观相协调，具有开展水上旅游、旅客集散、商务会议、旅游接待等服务功能。</w:t>
      </w:r>
    </w:p>
    <w:p>
      <w:pPr>
        <w:spacing w:line="360" w:lineRule="auto"/>
        <w:ind w:firstLine="560" w:firstLineChars="200"/>
        <w:rPr>
          <w:sz w:val="28"/>
          <w:szCs w:val="28"/>
          <w:highlight w:val="none"/>
        </w:rPr>
      </w:pPr>
      <w:r>
        <w:rPr>
          <w:sz w:val="28"/>
          <w:szCs w:val="28"/>
          <w:highlight w:val="none"/>
        </w:rPr>
        <w:t>5.通信信息功能</w:t>
      </w:r>
    </w:p>
    <w:p>
      <w:pPr>
        <w:spacing w:line="360" w:lineRule="auto"/>
        <w:ind w:firstLine="560" w:firstLineChars="200"/>
        <w:rPr>
          <w:sz w:val="28"/>
          <w:szCs w:val="28"/>
          <w:highlight w:val="none"/>
        </w:rPr>
      </w:pPr>
      <w:r>
        <w:rPr>
          <w:sz w:val="28"/>
          <w:szCs w:val="28"/>
          <w:highlight w:val="none"/>
        </w:rPr>
        <w:t>随着科学技术的发展，以及Internet、EDI、GIS等广泛地应用于港口，港口不仅成为交通运输的信息中心，也使港口在金融、贸易、生产等社会发展领域中发挥重要作用。乐山港应装备方便、快速的现代通信设施和通畅、安全的信息网络系统，具有及时、准确的信息收集、处理和传递手段，提供通信、信息服务，保证运输组织管理机制正常运行和现代物流功能正常发挥。</w:t>
      </w:r>
    </w:p>
    <w:p>
      <w:pPr>
        <w:spacing w:line="360" w:lineRule="auto"/>
        <w:ind w:firstLine="560" w:firstLineChars="200"/>
        <w:rPr>
          <w:sz w:val="28"/>
          <w:szCs w:val="28"/>
          <w:highlight w:val="none"/>
        </w:rPr>
      </w:pPr>
      <w:r>
        <w:rPr>
          <w:sz w:val="28"/>
          <w:szCs w:val="28"/>
          <w:highlight w:val="none"/>
        </w:rPr>
        <w:t>6.商贸、城市休闲功能</w:t>
      </w:r>
    </w:p>
    <w:p>
      <w:pPr>
        <w:pStyle w:val="19"/>
        <w:ind w:firstLine="560"/>
        <w:rPr>
          <w:rFonts w:ascii="Times New Roman" w:hAnsi="Times New Roman" w:cs="Times New Roman"/>
          <w:szCs w:val="28"/>
          <w:highlight w:val="none"/>
        </w:rPr>
      </w:pPr>
      <w:r>
        <w:rPr>
          <w:rFonts w:ascii="Times New Roman" w:hAnsi="Times New Roman" w:cs="Times New Roman"/>
          <w:szCs w:val="28"/>
          <w:highlight w:val="none"/>
        </w:rPr>
        <w:t>乐山港是重要的物资集散地，随着现代物流服务功能的日益强化和完善，港口物流服务区将不可避免地逐步成为产品或商品推介、分销、采购、洽谈、交易等商贸活动的重要场所。同时，随着城市化发展和人民生活水平的提高，要求港口结合城市岸线的合理开发利用，为发展多种临江水上休闲、娱乐设施创造良好的条件。</w:t>
      </w:r>
    </w:p>
    <w:p>
      <w:pPr>
        <w:ind w:firstLine="560"/>
        <w:outlineLvl w:val="0"/>
        <w:rPr>
          <w:b/>
          <w:sz w:val="28"/>
          <w:szCs w:val="28"/>
          <w:highlight w:val="none"/>
        </w:rPr>
      </w:pPr>
      <w:bookmarkStart w:id="185" w:name="_Toc67924646"/>
      <w:bookmarkStart w:id="186" w:name="_Toc53089219"/>
      <w:bookmarkStart w:id="187" w:name="_Toc67908242"/>
      <w:bookmarkStart w:id="188" w:name="_Toc77781907"/>
      <w:r>
        <w:rPr>
          <w:rFonts w:hint="eastAsia"/>
          <w:b/>
          <w:sz w:val="28"/>
          <w:szCs w:val="28"/>
          <w:highlight w:val="none"/>
        </w:rPr>
        <w:t>二、</w:t>
      </w:r>
      <w:r>
        <w:rPr>
          <w:b/>
          <w:sz w:val="28"/>
          <w:szCs w:val="28"/>
          <w:highlight w:val="none"/>
        </w:rPr>
        <w:t>第三代港口功能</w:t>
      </w:r>
      <w:bookmarkEnd w:id="185"/>
      <w:bookmarkEnd w:id="186"/>
      <w:bookmarkEnd w:id="187"/>
      <w:bookmarkEnd w:id="188"/>
    </w:p>
    <w:p>
      <w:pPr>
        <w:spacing w:line="360" w:lineRule="auto"/>
        <w:ind w:firstLine="560" w:firstLineChars="200"/>
        <w:rPr>
          <w:sz w:val="28"/>
          <w:szCs w:val="28"/>
          <w:highlight w:val="none"/>
        </w:rPr>
      </w:pPr>
      <w:r>
        <w:rPr>
          <w:sz w:val="28"/>
          <w:szCs w:val="28"/>
          <w:highlight w:val="none"/>
        </w:rPr>
        <w:t>1.现代航运服务功能</w:t>
      </w:r>
    </w:p>
    <w:p>
      <w:pPr>
        <w:spacing w:line="360" w:lineRule="auto"/>
        <w:ind w:firstLine="560" w:firstLineChars="200"/>
        <w:rPr>
          <w:sz w:val="28"/>
          <w:szCs w:val="28"/>
          <w:highlight w:val="none"/>
        </w:rPr>
      </w:pPr>
      <w:r>
        <w:rPr>
          <w:sz w:val="28"/>
          <w:szCs w:val="28"/>
          <w:highlight w:val="none"/>
        </w:rPr>
        <w:t>港口运输生产和严密的运输组织必须由完善的服务系统做保证。乐山港应做好向用户提供代理、金融、保险、法律服务、通讯、航运交易等商业服务；做好边防检查、海关检查、动植物检疫等口岸服务及船舶检验、维修、设备检修等生产服务；做好船员、货运及客商在港口良好的生活服务等。</w:t>
      </w:r>
    </w:p>
    <w:p>
      <w:pPr>
        <w:spacing w:line="360" w:lineRule="auto"/>
        <w:ind w:firstLine="560" w:firstLineChars="200"/>
        <w:rPr>
          <w:sz w:val="28"/>
          <w:szCs w:val="28"/>
          <w:highlight w:val="none"/>
        </w:rPr>
      </w:pPr>
      <w:r>
        <w:rPr>
          <w:sz w:val="28"/>
          <w:szCs w:val="28"/>
          <w:highlight w:val="none"/>
        </w:rPr>
        <w:t>2.现代物流服务</w:t>
      </w:r>
    </w:p>
    <w:p>
      <w:pPr>
        <w:spacing w:line="360" w:lineRule="auto"/>
        <w:ind w:firstLine="560" w:firstLineChars="200"/>
        <w:rPr>
          <w:sz w:val="28"/>
          <w:szCs w:val="28"/>
          <w:highlight w:val="none"/>
        </w:rPr>
      </w:pPr>
      <w:r>
        <w:rPr>
          <w:sz w:val="28"/>
          <w:szCs w:val="28"/>
          <w:highlight w:val="none"/>
        </w:rPr>
        <w:t>随着经济全球化进程加快，港口作为物流链上的重要节点，在现代物流业当中的平台作用越来越突出。乐山港具备发展综合物流业的良好基础和条件，可以成为汇集信息流、贸易流、物资流于一体的物流中心。因此，乐山港应大力发展集装箱、件杂、散货运输，目前高石坝作业区、罗家坝作业区后方均规划有临港物流园区，充分发挥港口在现代物流中的基础平台作用，向社会提供运输、仓储、加工、配送、保税、信息交换等现代物流服务。</w:t>
      </w:r>
    </w:p>
    <w:p>
      <w:pPr>
        <w:spacing w:line="360" w:lineRule="auto"/>
        <w:ind w:firstLine="560" w:firstLineChars="200"/>
        <w:rPr>
          <w:sz w:val="28"/>
          <w:szCs w:val="28"/>
          <w:highlight w:val="none"/>
        </w:rPr>
      </w:pPr>
      <w:r>
        <w:rPr>
          <w:sz w:val="28"/>
          <w:szCs w:val="28"/>
          <w:highlight w:val="none"/>
        </w:rPr>
        <w:t>3.临港工业开发服务</w:t>
      </w:r>
    </w:p>
    <w:p>
      <w:pPr>
        <w:spacing w:line="360" w:lineRule="auto"/>
        <w:ind w:firstLine="560" w:firstLineChars="200"/>
        <w:rPr>
          <w:sz w:val="28"/>
          <w:szCs w:val="28"/>
          <w:highlight w:val="none"/>
        </w:rPr>
      </w:pPr>
      <w:r>
        <w:rPr>
          <w:sz w:val="28"/>
          <w:szCs w:val="28"/>
          <w:highlight w:val="none"/>
        </w:rPr>
        <w:t>乐山港位于岷江下游，为成都平原经济区区域中心城市，沿江产业为新能源汽车及汽车零部件、精细盐化工、节能环保、先进装备、特色轻工、新型建材、核电装备、钢材、陶瓷等产业，这些产业的原材料和产成品有大量的适水物资。依托乐山港的集聚辐射功能和水运低成本的优势，可以吸引更多的适水产业临港布局，增强乐山的要素集聚度、辐射带动力、综合竞争力。</w:t>
      </w:r>
    </w:p>
    <w:p>
      <w:pPr>
        <w:pStyle w:val="2"/>
        <w:spacing w:line="360" w:lineRule="auto"/>
        <w:ind w:firstLine="560" w:firstLineChars="200"/>
        <w:rPr>
          <w:rFonts w:ascii="Times New Roman" w:cs="Times New Roman"/>
          <w:color w:val="auto"/>
          <w:kern w:val="2"/>
          <w:sz w:val="28"/>
          <w:szCs w:val="28"/>
          <w:highlight w:val="none"/>
        </w:rPr>
      </w:pPr>
      <w:r>
        <w:rPr>
          <w:rFonts w:ascii="Times New Roman" w:cs="Times New Roman"/>
          <w:color w:val="auto"/>
          <w:kern w:val="2"/>
          <w:sz w:val="28"/>
          <w:szCs w:val="28"/>
          <w:highlight w:val="none"/>
        </w:rPr>
        <w:t>乐山港将依托岷江高等级航道及其支流航道建设“双核两带多点”港口布局体系，</w:t>
      </w:r>
      <w:r>
        <w:rPr>
          <w:rFonts w:ascii="Times New Roman" w:cs="Times New Roman"/>
          <w:b/>
          <w:color w:val="auto"/>
          <w:kern w:val="2"/>
          <w:sz w:val="28"/>
          <w:szCs w:val="28"/>
          <w:highlight w:val="none"/>
        </w:rPr>
        <w:t>将以集装箱、散货、重大件运输和旅游客运为重点，通过巩固和强化乐山港装卸储存、中转换装等传统功能，完善航运金融、游艇旅游等现代航运服务功能，拓展现代物流、临港工业、保税仓储、综合服务等功能，发展成为布局合理、能力充分、功能完善、安全绿色、智慧创新、港城协调的成都平原经济区航运枢纽。</w:t>
      </w:r>
    </w:p>
    <w:p>
      <w:pPr>
        <w:ind w:firstLine="560"/>
        <w:outlineLvl w:val="0"/>
        <w:rPr>
          <w:b/>
          <w:sz w:val="28"/>
          <w:szCs w:val="28"/>
          <w:highlight w:val="none"/>
        </w:rPr>
      </w:pPr>
      <w:bookmarkStart w:id="189" w:name="_Toc77781908"/>
      <w:bookmarkStart w:id="190" w:name="_Toc6495787"/>
      <w:r>
        <w:rPr>
          <w:rFonts w:hint="eastAsia"/>
          <w:b/>
          <w:sz w:val="28"/>
          <w:szCs w:val="28"/>
          <w:highlight w:val="none"/>
        </w:rPr>
        <w:t>三</w:t>
      </w:r>
      <w:r>
        <w:rPr>
          <w:b/>
          <w:sz w:val="28"/>
          <w:szCs w:val="28"/>
          <w:highlight w:val="none"/>
        </w:rPr>
        <w:t>、服务方向</w:t>
      </w:r>
      <w:bookmarkEnd w:id="189"/>
    </w:p>
    <w:p>
      <w:pPr>
        <w:pStyle w:val="2"/>
        <w:ind w:firstLine="560" w:firstLineChars="200"/>
        <w:rPr>
          <w:rFonts w:ascii="Times New Roman" w:eastAsia="黑体" w:cs="Times New Roman"/>
          <w:b/>
          <w:color w:val="auto"/>
          <w:sz w:val="32"/>
          <w:szCs w:val="32"/>
          <w:highlight w:val="none"/>
        </w:rPr>
      </w:pPr>
      <w:r>
        <w:rPr>
          <w:rFonts w:ascii="Times New Roman" w:cs="Times New Roman"/>
          <w:color w:val="auto"/>
          <w:kern w:val="2"/>
          <w:sz w:val="28"/>
          <w:szCs w:val="28"/>
          <w:highlight w:val="none"/>
        </w:rPr>
        <w:t>乐山港以服务乐山、眉山、雅安和成都等成都平原经济区为主，兼顾服务</w:t>
      </w:r>
      <w:r>
        <w:rPr>
          <w:rFonts w:ascii="Times New Roman" w:cs="Times New Roman"/>
          <w:bCs/>
          <w:color w:val="auto"/>
          <w:sz w:val="28"/>
          <w:szCs w:val="28"/>
          <w:highlight w:val="none"/>
        </w:rPr>
        <w:t>大小凉山地区</w:t>
      </w:r>
      <w:r>
        <w:rPr>
          <w:rFonts w:ascii="Times New Roman" w:cs="Times New Roman"/>
          <w:color w:val="auto"/>
          <w:kern w:val="2"/>
          <w:sz w:val="28"/>
          <w:szCs w:val="28"/>
          <w:highlight w:val="none"/>
        </w:rPr>
        <w:t>，</w:t>
      </w:r>
      <w:r>
        <w:rPr>
          <w:rFonts w:ascii="Times New Roman" w:cs="Times New Roman"/>
          <w:bCs/>
          <w:color w:val="auto"/>
          <w:sz w:val="28"/>
          <w:szCs w:val="28"/>
          <w:highlight w:val="none"/>
        </w:rPr>
        <w:t>远期随着川藏铁路的建成，服务范围将延伸至康藏地区。</w:t>
      </w:r>
      <w:r>
        <w:rPr>
          <w:rFonts w:ascii="Times New Roman" w:cs="Times New Roman"/>
          <w:color w:val="auto"/>
          <w:kern w:val="2"/>
          <w:sz w:val="28"/>
          <w:szCs w:val="28"/>
          <w:highlight w:val="none"/>
        </w:rPr>
        <w:t>运输货类以集装箱、散货、重大件等为主，兼顾旅游客运功能，逐步拓展集装箱内外贸支线。随着腹地经济、临港产业和集疏运系统的不断完善，乐山港将逐步发展成为以重装运输及旅游运输为特色、多功能、现代化综合性港口。</w:t>
      </w:r>
      <w:r>
        <w:rPr>
          <w:rFonts w:ascii="Times New Roman" w:eastAsia="黑体" w:cs="Times New Roman"/>
          <w:b/>
          <w:color w:val="auto"/>
          <w:sz w:val="32"/>
          <w:szCs w:val="32"/>
          <w:highlight w:val="none"/>
        </w:rPr>
        <w:br w:type="page"/>
      </w:r>
    </w:p>
    <w:p>
      <w:pPr>
        <w:pStyle w:val="14"/>
        <w:spacing w:before="156" w:beforeLines="50" w:line="520" w:lineRule="exact"/>
        <w:jc w:val="center"/>
        <w:outlineLvl w:val="0"/>
        <w:rPr>
          <w:rFonts w:ascii="Times New Roman" w:hAnsi="Times New Roman" w:eastAsia="黑体" w:cs="Times New Roman"/>
          <w:b/>
          <w:sz w:val="32"/>
          <w:szCs w:val="32"/>
          <w:highlight w:val="none"/>
        </w:rPr>
      </w:pPr>
      <w:bookmarkStart w:id="191" w:name="_Toc77781909"/>
      <w:bookmarkStart w:id="192" w:name="_Toc53089252"/>
      <w:bookmarkStart w:id="193" w:name="_Toc39688305"/>
      <w:r>
        <w:rPr>
          <w:rFonts w:ascii="Times New Roman" w:hAnsi="Times New Roman" w:eastAsia="黑体" w:cs="Times New Roman"/>
          <w:b/>
          <w:sz w:val="32"/>
          <w:szCs w:val="32"/>
          <w:highlight w:val="none"/>
        </w:rPr>
        <w:t>第</w:t>
      </w:r>
      <w:r>
        <w:rPr>
          <w:rFonts w:hint="eastAsia" w:ascii="Times New Roman" w:hAnsi="Times New Roman" w:eastAsia="黑体" w:cs="Times New Roman"/>
          <w:b/>
          <w:sz w:val="32"/>
          <w:szCs w:val="32"/>
          <w:highlight w:val="none"/>
        </w:rPr>
        <w:t>四</w:t>
      </w:r>
      <w:r>
        <w:rPr>
          <w:rFonts w:ascii="Times New Roman" w:hAnsi="Times New Roman" w:eastAsia="黑体" w:cs="Times New Roman"/>
          <w:b/>
          <w:sz w:val="32"/>
          <w:szCs w:val="32"/>
          <w:highlight w:val="none"/>
        </w:rPr>
        <w:t>章</w:t>
      </w:r>
      <w:r>
        <w:rPr>
          <w:rFonts w:hint="eastAsia" w:ascii="Times New Roman" w:hAnsi="Times New Roman" w:eastAsia="黑体" w:cs="Times New Roman"/>
          <w:b/>
          <w:sz w:val="32"/>
          <w:szCs w:val="32"/>
          <w:highlight w:val="none"/>
        </w:rPr>
        <w:t xml:space="preserve"> </w:t>
      </w:r>
      <w:r>
        <w:rPr>
          <w:rFonts w:ascii="Times New Roman" w:hAnsi="Times New Roman" w:eastAsia="黑体" w:cs="Times New Roman"/>
          <w:b/>
          <w:sz w:val="32"/>
          <w:szCs w:val="32"/>
          <w:highlight w:val="none"/>
        </w:rPr>
        <w:t>港口岸线利用规划</w:t>
      </w:r>
      <w:bookmarkEnd w:id="191"/>
    </w:p>
    <w:p>
      <w:pPr>
        <w:spacing w:before="156" w:beforeLines="50" w:after="156" w:afterLines="50" w:line="520" w:lineRule="exact"/>
        <w:jc w:val="center"/>
        <w:outlineLvl w:val="1"/>
        <w:rPr>
          <w:rFonts w:eastAsia="黑体"/>
          <w:b/>
          <w:sz w:val="30"/>
          <w:highlight w:val="none"/>
        </w:rPr>
      </w:pPr>
      <w:bookmarkStart w:id="194" w:name="_Toc77781910"/>
      <w:r>
        <w:rPr>
          <w:rFonts w:eastAsia="黑体"/>
          <w:b/>
          <w:sz w:val="30"/>
          <w:highlight w:val="none"/>
        </w:rPr>
        <w:t>第一节</w:t>
      </w:r>
      <w:r>
        <w:rPr>
          <w:rFonts w:hint="eastAsia" w:eastAsia="黑体"/>
          <w:b/>
          <w:sz w:val="30"/>
          <w:highlight w:val="none"/>
        </w:rPr>
        <w:t xml:space="preserve"> </w:t>
      </w:r>
      <w:r>
        <w:rPr>
          <w:rFonts w:eastAsia="黑体"/>
          <w:b/>
          <w:sz w:val="30"/>
          <w:highlight w:val="none"/>
        </w:rPr>
        <w:t>岸线资源评价</w:t>
      </w:r>
      <w:bookmarkEnd w:id="194"/>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乐山境内岷江、大渡河、青衣江、沐溪河等规划河段属于典型的山区河流，汛期水位陡涨陡落，枯水期水位相对稳定，河床多为沙卵石河床。天然状态下，在宽谷河段，江心洲及边滩较发育，汊濠众多，平面形态复杂多变，河势易变；在窄深河段，两岸及河床一般为基岩形态。</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本次规划在上版规划嘉州</w:t>
      </w:r>
      <w:r>
        <w:rPr>
          <w:rFonts w:hint="eastAsia" w:ascii="Times New Roman" w:cs="Times New Roman"/>
          <w:color w:val="auto"/>
          <w:sz w:val="28"/>
          <w:szCs w:val="28"/>
          <w:highlight w:val="none"/>
        </w:rPr>
        <w:t>段</w:t>
      </w:r>
      <w:r>
        <w:rPr>
          <w:rFonts w:ascii="Times New Roman" w:cs="Times New Roman"/>
          <w:color w:val="auto"/>
          <w:sz w:val="28"/>
          <w:szCs w:val="28"/>
          <w:highlight w:val="none"/>
        </w:rPr>
        <w:t>岸线、五通桥</w:t>
      </w:r>
      <w:r>
        <w:rPr>
          <w:rFonts w:hint="eastAsia" w:ascii="Times New Roman" w:cs="Times New Roman"/>
          <w:color w:val="auto"/>
          <w:sz w:val="28"/>
          <w:szCs w:val="28"/>
          <w:highlight w:val="none"/>
        </w:rPr>
        <w:t>段</w:t>
      </w:r>
      <w:r>
        <w:rPr>
          <w:rFonts w:ascii="Times New Roman" w:cs="Times New Roman"/>
          <w:color w:val="auto"/>
          <w:sz w:val="28"/>
          <w:szCs w:val="28"/>
          <w:highlight w:val="none"/>
        </w:rPr>
        <w:t>岸线、犍为</w:t>
      </w:r>
      <w:r>
        <w:rPr>
          <w:rFonts w:hint="eastAsia" w:ascii="Times New Roman" w:cs="Times New Roman"/>
          <w:color w:val="auto"/>
          <w:sz w:val="28"/>
          <w:szCs w:val="28"/>
          <w:highlight w:val="none"/>
        </w:rPr>
        <w:t>段</w:t>
      </w:r>
      <w:r>
        <w:rPr>
          <w:rFonts w:ascii="Times New Roman" w:cs="Times New Roman"/>
          <w:color w:val="auto"/>
          <w:sz w:val="28"/>
          <w:szCs w:val="28"/>
          <w:highlight w:val="none"/>
        </w:rPr>
        <w:t>岸线、沙湾</w:t>
      </w:r>
      <w:r>
        <w:rPr>
          <w:rFonts w:hint="eastAsia" w:ascii="Times New Roman" w:cs="Times New Roman"/>
          <w:color w:val="auto"/>
          <w:sz w:val="28"/>
          <w:szCs w:val="28"/>
          <w:highlight w:val="none"/>
        </w:rPr>
        <w:t>段</w:t>
      </w:r>
      <w:r>
        <w:rPr>
          <w:rFonts w:ascii="Times New Roman" w:cs="Times New Roman"/>
          <w:color w:val="auto"/>
          <w:sz w:val="28"/>
          <w:szCs w:val="28"/>
          <w:highlight w:val="none"/>
        </w:rPr>
        <w:t>岸线等4个港区岸线的基础上，新增了沐川</w:t>
      </w:r>
      <w:r>
        <w:rPr>
          <w:rFonts w:hint="eastAsia" w:ascii="Times New Roman" w:cs="Times New Roman"/>
          <w:color w:val="auto"/>
          <w:sz w:val="28"/>
          <w:szCs w:val="28"/>
          <w:highlight w:val="none"/>
        </w:rPr>
        <w:t>段</w:t>
      </w:r>
      <w:r>
        <w:rPr>
          <w:rFonts w:ascii="Times New Roman" w:cs="Times New Roman"/>
          <w:color w:val="auto"/>
          <w:sz w:val="28"/>
          <w:szCs w:val="28"/>
          <w:highlight w:val="none"/>
        </w:rPr>
        <w:t>岸线、峨边</w:t>
      </w:r>
      <w:r>
        <w:rPr>
          <w:rFonts w:hint="eastAsia" w:ascii="Times New Roman" w:cs="Times New Roman"/>
          <w:color w:val="auto"/>
          <w:sz w:val="28"/>
          <w:szCs w:val="28"/>
          <w:highlight w:val="none"/>
        </w:rPr>
        <w:t>段</w:t>
      </w:r>
      <w:r>
        <w:rPr>
          <w:rFonts w:ascii="Times New Roman" w:cs="Times New Roman"/>
          <w:color w:val="auto"/>
          <w:sz w:val="28"/>
          <w:szCs w:val="28"/>
          <w:highlight w:val="none"/>
        </w:rPr>
        <w:t>岸线、金口河</w:t>
      </w:r>
      <w:r>
        <w:rPr>
          <w:rFonts w:hint="eastAsia" w:ascii="Times New Roman" w:cs="Times New Roman"/>
          <w:color w:val="auto"/>
          <w:sz w:val="28"/>
          <w:szCs w:val="28"/>
          <w:highlight w:val="none"/>
        </w:rPr>
        <w:t>段</w:t>
      </w:r>
      <w:r>
        <w:rPr>
          <w:rFonts w:ascii="Times New Roman" w:cs="Times New Roman"/>
          <w:color w:val="auto"/>
          <w:sz w:val="28"/>
          <w:szCs w:val="28"/>
          <w:highlight w:val="none"/>
        </w:rPr>
        <w:t>岸线、夹江</w:t>
      </w:r>
      <w:r>
        <w:rPr>
          <w:rFonts w:hint="eastAsia" w:ascii="Times New Roman" w:cs="Times New Roman"/>
          <w:color w:val="auto"/>
          <w:sz w:val="28"/>
          <w:szCs w:val="28"/>
          <w:highlight w:val="none"/>
        </w:rPr>
        <w:t>段</w:t>
      </w:r>
      <w:r>
        <w:rPr>
          <w:rFonts w:ascii="Times New Roman" w:cs="Times New Roman"/>
          <w:color w:val="auto"/>
          <w:sz w:val="28"/>
          <w:szCs w:val="28"/>
          <w:highlight w:val="none"/>
        </w:rPr>
        <w:t>岸线等4个港区岸线</w:t>
      </w:r>
      <w:r>
        <w:rPr>
          <w:rFonts w:hint="eastAsia" w:ascii="Times New Roman" w:cs="Times New Roman"/>
          <w:color w:val="auto"/>
          <w:sz w:val="28"/>
          <w:szCs w:val="28"/>
          <w:highlight w:val="none"/>
        </w:rPr>
        <w:t>；原规划岸线主要位于岷江、大渡河上；本次规划根据产业及旅游发展，新增了沐溪河、青衣江、马边河、金王寺水库等支流及湖库区岸线</w:t>
      </w:r>
      <w:r>
        <w:rPr>
          <w:rFonts w:ascii="Times New Roman" w:cs="Times New Roman"/>
          <w:color w:val="auto"/>
          <w:sz w:val="28"/>
          <w:szCs w:val="28"/>
          <w:highlight w:val="none"/>
        </w:rPr>
        <w:t>。岸线资源多位于已建或规划梯级枢纽库区内，水深、河宽、水流条件较好。各港区岸线资源现状及利用情况如下：</w:t>
      </w:r>
    </w:p>
    <w:p>
      <w:pPr>
        <w:pStyle w:val="2"/>
        <w:spacing w:line="360" w:lineRule="auto"/>
        <w:ind w:firstLine="562" w:firstLineChars="200"/>
        <w:outlineLvl w:val="2"/>
        <w:rPr>
          <w:rFonts w:ascii="Times New Roman" w:eastAsia="黑体" w:cs="Times New Roman"/>
          <w:b/>
          <w:color w:val="auto"/>
          <w:kern w:val="2"/>
          <w:sz w:val="28"/>
          <w:szCs w:val="28"/>
          <w:highlight w:val="none"/>
        </w:rPr>
      </w:pPr>
      <w:bookmarkStart w:id="195" w:name="_Toc77781911"/>
      <w:r>
        <w:rPr>
          <w:rFonts w:ascii="Times New Roman" w:eastAsia="黑体" w:cs="Times New Roman"/>
          <w:b/>
          <w:color w:val="auto"/>
          <w:kern w:val="2"/>
          <w:sz w:val="28"/>
          <w:szCs w:val="28"/>
          <w:highlight w:val="none"/>
        </w:rPr>
        <w:t>一、岸线自然资源评价</w:t>
      </w:r>
      <w:bookmarkEnd w:id="195"/>
    </w:p>
    <w:p>
      <w:pPr>
        <w:pStyle w:val="2"/>
        <w:spacing w:line="360" w:lineRule="auto"/>
        <w:ind w:firstLine="561"/>
        <w:outlineLvl w:val="3"/>
        <w:rPr>
          <w:rFonts w:ascii="Times New Roman" w:cs="Times New Roman"/>
          <w:b/>
          <w:color w:val="auto"/>
          <w:sz w:val="28"/>
          <w:szCs w:val="28"/>
          <w:highlight w:val="none"/>
        </w:rPr>
      </w:pPr>
      <w:r>
        <w:rPr>
          <w:rFonts w:ascii="Times New Roman" w:cs="Times New Roman"/>
          <w:b/>
          <w:color w:val="auto"/>
          <w:sz w:val="28"/>
          <w:szCs w:val="28"/>
          <w:highlight w:val="none"/>
        </w:rPr>
        <w:t>（一）嘉州段岸线</w:t>
      </w:r>
    </w:p>
    <w:p>
      <w:pPr>
        <w:pStyle w:val="2"/>
        <w:spacing w:line="360" w:lineRule="auto"/>
        <w:ind w:firstLine="562" w:firstLineChars="200"/>
        <w:rPr>
          <w:rFonts w:ascii="Times New Roman" w:cs="Times New Roman"/>
          <w:color w:val="auto"/>
          <w:sz w:val="28"/>
          <w:szCs w:val="28"/>
          <w:highlight w:val="none"/>
        </w:rPr>
      </w:pPr>
      <w:r>
        <w:rPr>
          <w:rFonts w:ascii="Times New Roman" w:cs="Times New Roman"/>
          <w:b/>
          <w:color w:val="auto"/>
          <w:sz w:val="28"/>
          <w:szCs w:val="28"/>
          <w:highlight w:val="none"/>
        </w:rPr>
        <w:t>规划岸线范围</w:t>
      </w:r>
      <w:r>
        <w:rPr>
          <w:rFonts w:ascii="Times New Roman" w:cs="Times New Roman"/>
          <w:color w:val="auto"/>
          <w:sz w:val="28"/>
          <w:szCs w:val="28"/>
          <w:highlight w:val="none"/>
        </w:rPr>
        <w:t>：</w:t>
      </w:r>
      <w:r>
        <w:rPr>
          <w:rFonts w:ascii="Times New Roman" w:cs="Times New Roman"/>
          <w:b/>
          <w:color w:val="auto"/>
          <w:sz w:val="28"/>
          <w:szCs w:val="28"/>
          <w:highlight w:val="none"/>
        </w:rPr>
        <w:t>岷江</w:t>
      </w:r>
      <w:r>
        <w:rPr>
          <w:rFonts w:ascii="Times New Roman" w:cs="Times New Roman"/>
          <w:color w:val="auto"/>
          <w:sz w:val="28"/>
          <w:szCs w:val="28"/>
          <w:highlight w:val="none"/>
        </w:rPr>
        <w:t>右岸悦来乡断颈佛至五通桥冠英镇徐坝村老木孔坝址50.2km，左岸关庙乡新桥至五通桥牛华镇易坝村老木孔坝址45.3km；</w:t>
      </w:r>
      <w:r>
        <w:rPr>
          <w:rFonts w:ascii="Times New Roman" w:cs="Times New Roman"/>
          <w:b/>
          <w:color w:val="auto"/>
          <w:sz w:val="28"/>
          <w:szCs w:val="28"/>
          <w:highlight w:val="none"/>
        </w:rPr>
        <w:t>大渡河</w:t>
      </w:r>
      <w:r>
        <w:rPr>
          <w:rFonts w:ascii="Times New Roman" w:cs="Times New Roman"/>
          <w:color w:val="auto"/>
          <w:sz w:val="28"/>
          <w:szCs w:val="28"/>
          <w:highlight w:val="none"/>
        </w:rPr>
        <w:t>左右岸安谷坝址上游1.9km至新槽口滩左顺坝17.6km左右两岸；</w:t>
      </w:r>
      <w:r>
        <w:rPr>
          <w:rFonts w:ascii="Times New Roman" w:cs="Times New Roman"/>
          <w:b/>
          <w:color w:val="auto"/>
          <w:sz w:val="28"/>
          <w:szCs w:val="28"/>
          <w:highlight w:val="none"/>
        </w:rPr>
        <w:t>青衣江</w:t>
      </w:r>
      <w:r>
        <w:rPr>
          <w:rFonts w:ascii="Times New Roman" w:cs="Times New Roman"/>
          <w:color w:val="auto"/>
          <w:sz w:val="28"/>
          <w:szCs w:val="28"/>
          <w:highlight w:val="none"/>
        </w:rPr>
        <w:t>右岸杨湾乡牛头堰至汇合口18.2km，左岸棉竹乡刘湾至汇合口14.1km。</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规划范围内岷江河段属于岷江中游段的尾部及岷江下游段的起始段。该河段属于规划中的板桥枢纽、老木孔枢纽库区，目前为天然河段，沙卵石河床，河段平均水面比降0.67‰，流速1～3m/s。其中板桥枢纽库区主要为平羌小三峡段，现状航道等级Ⅵ级；夹岸青山，蜿蜒迂回，河宽130m～200m；河段上游大部分位于国家级种质资源保护区内，可开发利用岸线主要集中在大河坝附近；岸线基本为天然状态，未开发利用，主要为成片集中耕地，耕地利用率高。</w:t>
      </w:r>
      <w:r>
        <w:rPr>
          <w:rFonts w:hint="eastAsia" w:ascii="Times New Roman" w:cs="Times New Roman"/>
          <w:color w:val="auto"/>
          <w:sz w:val="28"/>
          <w:szCs w:val="28"/>
          <w:highlight w:val="none"/>
        </w:rPr>
        <w:t>岷江</w:t>
      </w:r>
      <w:r>
        <w:rPr>
          <w:rFonts w:ascii="Times New Roman" w:cs="Times New Roman"/>
          <w:color w:val="auto"/>
          <w:sz w:val="28"/>
          <w:szCs w:val="28"/>
          <w:highlight w:val="none"/>
        </w:rPr>
        <w:t>过峡谷后于肖公嘴与大渡河合流，为乐山市主城区河段，两岸修建有防洪堤，岸线顺直、水面开阔，约300m～500m；由于岸线位于城区，后方交通便捷，但城市建设利用率高，岸线陆域纵深不足，且河段下游位于乐山大佛风景名胜区内，无法建设货运作业区。岷江肖公嘴至老木孔坝址段，河谷开敞，江心洲、河漫滩发育，多汊道，流水散乱；该河段上游部分右岸规划有三江湿地公园，左岸有著名的乐山大佛风景区；可开发利用岸线主要位于老江坝江心洲两侧，但右岸岸线需要与规划城市建设发展规划相协调，岸线当前为天然状态，现状航道等级Ⅳ级。两岸城市道路相互沟通，连接高速、铁路枢纽，集疏运条件良好。</w:t>
      </w:r>
    </w:p>
    <w:p>
      <w:pPr>
        <w:pStyle w:val="2"/>
        <w:spacing w:line="360" w:lineRule="auto"/>
        <w:ind w:firstLine="560"/>
        <w:rPr>
          <w:rFonts w:ascii="Times New Roman" w:cs="Times New Roman"/>
          <w:color w:val="auto"/>
          <w:sz w:val="28"/>
          <w:szCs w:val="28"/>
          <w:highlight w:val="none"/>
        </w:rPr>
      </w:pPr>
      <w:r>
        <w:rPr>
          <w:rFonts w:ascii="Times New Roman" w:cs="Times New Roman"/>
          <w:color w:val="auto"/>
          <w:sz w:val="28"/>
          <w:szCs w:val="28"/>
          <w:highlight w:val="none"/>
        </w:rPr>
        <w:t>规划范围内大渡河河段属于大渡河下游段尾部，现状航道等级Ⅵ级，大部分位于乐山市第一水厂饮用水水源保护地。该河段安谷枢纽坝址至青衣江河口修建有长约9.6km的安谷枢纽尾水渠，采取长防洪堤并结合河道疏浚的方法将复杂的分汊型河道合并为单一河道，尾水渠宽约120m，水流为电站发电下泄流量，受电站下泄非恒定流影响。青衣江河口至大渡河河口段位于乐山大佛风景区，右岸规划有三江湿地公园；江心洲发育，河口存在凤洲岛江心洲、新槽口滩，将河道一分为三；宜港岸线主要位于凤洲岛两侧，岸线成自然状态，陆域纵深足够。生态大道、乐沙大道沿河左右分布，城市道路相互沟通，集疏运条件好。</w:t>
      </w:r>
    </w:p>
    <w:p>
      <w:pPr>
        <w:pStyle w:val="2"/>
        <w:spacing w:line="360" w:lineRule="auto"/>
        <w:ind w:firstLine="560"/>
        <w:jc w:val="both"/>
        <w:rPr>
          <w:rFonts w:ascii="Times New Roman" w:cs="Times New Roman"/>
          <w:color w:val="auto"/>
          <w:sz w:val="28"/>
          <w:szCs w:val="28"/>
          <w:highlight w:val="none"/>
        </w:rPr>
      </w:pPr>
      <w:r>
        <w:rPr>
          <w:rFonts w:ascii="Times New Roman" w:cs="Times New Roman"/>
          <w:color w:val="auto"/>
          <w:sz w:val="28"/>
          <w:szCs w:val="28"/>
          <w:highlight w:val="none"/>
        </w:rPr>
        <w:t>规划范围内青衣江河段属于青衣江下游段尾部，现状航道等级Ⅶ级。属于成都平原南面的低丘区，地势低平，水流滞缓，水道分岔，冲积阶地高出江30～40m。洪水期水面宽1000～2000m，常水期水面宽150～250m，枯水期水面宽100～150m。河床中以小卵石及砂粒为主。该河段航道等级较低，通航条件较差，岸线为自然状态，主要为成片集中耕地和城镇，城镇、耕地利用率高。两岸城市道路相互沟通，集疏运条件好。</w:t>
      </w:r>
    </w:p>
    <w:p>
      <w:pPr>
        <w:pStyle w:val="2"/>
        <w:spacing w:line="360" w:lineRule="auto"/>
        <w:ind w:firstLine="561"/>
        <w:outlineLvl w:val="3"/>
        <w:rPr>
          <w:rFonts w:ascii="Times New Roman" w:cs="Times New Roman"/>
          <w:b/>
          <w:color w:val="auto"/>
          <w:sz w:val="28"/>
          <w:szCs w:val="28"/>
          <w:highlight w:val="none"/>
        </w:rPr>
      </w:pPr>
      <w:r>
        <w:rPr>
          <w:rFonts w:ascii="Times New Roman" w:cs="Times New Roman"/>
          <w:b/>
          <w:color w:val="auto"/>
          <w:sz w:val="28"/>
          <w:szCs w:val="28"/>
          <w:highlight w:val="none"/>
        </w:rPr>
        <w:t>（二）五通桥段岸线</w:t>
      </w:r>
    </w:p>
    <w:p>
      <w:pPr>
        <w:pStyle w:val="2"/>
        <w:spacing w:line="360" w:lineRule="auto"/>
        <w:ind w:firstLine="560"/>
        <w:rPr>
          <w:rFonts w:ascii="Times New Roman" w:cs="Times New Roman"/>
          <w:color w:val="auto"/>
          <w:sz w:val="28"/>
          <w:szCs w:val="28"/>
          <w:highlight w:val="none"/>
        </w:rPr>
      </w:pPr>
      <w:r>
        <w:rPr>
          <w:rFonts w:ascii="Times New Roman" w:cs="Times New Roman"/>
          <w:b/>
          <w:color w:val="auto"/>
          <w:sz w:val="28"/>
          <w:szCs w:val="28"/>
          <w:highlight w:val="none"/>
        </w:rPr>
        <w:t>规划岸线范围</w:t>
      </w:r>
      <w:r>
        <w:rPr>
          <w:rFonts w:ascii="Times New Roman" w:cs="Times New Roman"/>
          <w:color w:val="auto"/>
          <w:sz w:val="28"/>
          <w:szCs w:val="28"/>
          <w:highlight w:val="none"/>
        </w:rPr>
        <w:t>：</w:t>
      </w:r>
      <w:r>
        <w:rPr>
          <w:rFonts w:ascii="Times New Roman" w:cs="Times New Roman"/>
          <w:b/>
          <w:color w:val="auto"/>
          <w:sz w:val="28"/>
          <w:szCs w:val="28"/>
          <w:highlight w:val="none"/>
        </w:rPr>
        <w:t>岷江</w:t>
      </w:r>
      <w:r>
        <w:rPr>
          <w:rFonts w:ascii="Times New Roman" w:cs="Times New Roman"/>
          <w:color w:val="auto"/>
          <w:sz w:val="28"/>
          <w:szCs w:val="28"/>
          <w:highlight w:val="none"/>
        </w:rPr>
        <w:t>右岸五通桥冠英镇徐坝村老木孔坝址至西坝镇曾武山17.1km，左岸五通桥牛华镇易坝村老木孔坝址至金粟镇三尖石18.8km；</w:t>
      </w:r>
      <w:r>
        <w:rPr>
          <w:rFonts w:ascii="Times New Roman" w:cs="Times New Roman"/>
          <w:b/>
          <w:color w:val="auto"/>
          <w:sz w:val="28"/>
          <w:szCs w:val="28"/>
          <w:highlight w:val="none"/>
        </w:rPr>
        <w:t>茫溪河</w:t>
      </w:r>
      <w:r>
        <w:rPr>
          <w:rFonts w:ascii="Times New Roman" w:cs="Times New Roman"/>
          <w:color w:val="auto"/>
          <w:sz w:val="28"/>
          <w:szCs w:val="28"/>
          <w:highlight w:val="none"/>
        </w:rPr>
        <w:t>观音滩至汇合口18km河段左右两岸。</w:t>
      </w:r>
    </w:p>
    <w:p>
      <w:pPr>
        <w:pStyle w:val="2"/>
        <w:spacing w:line="360" w:lineRule="auto"/>
        <w:ind w:firstLine="560"/>
        <w:jc w:val="both"/>
        <w:rPr>
          <w:rFonts w:ascii="Times New Roman" w:cs="Times New Roman"/>
          <w:color w:val="auto"/>
          <w:sz w:val="28"/>
          <w:szCs w:val="28"/>
          <w:highlight w:val="none"/>
        </w:rPr>
      </w:pPr>
      <w:r>
        <w:rPr>
          <w:rFonts w:ascii="Times New Roman" w:cs="Times New Roman"/>
          <w:color w:val="auto"/>
          <w:sz w:val="28"/>
          <w:szCs w:val="28"/>
          <w:highlight w:val="none"/>
        </w:rPr>
        <w:t>规划范围内岷江河段属于岷江下游段，现状航道等级Ⅳ级。该河段主要</w:t>
      </w:r>
      <w:r>
        <w:rPr>
          <w:rFonts w:hint="eastAsia" w:ascii="Times New Roman" w:cs="Times New Roman"/>
          <w:color w:val="auto"/>
          <w:sz w:val="28"/>
          <w:szCs w:val="28"/>
          <w:highlight w:val="none"/>
        </w:rPr>
        <w:t>位于</w:t>
      </w:r>
      <w:r>
        <w:rPr>
          <w:rFonts w:ascii="Times New Roman" w:cs="Times New Roman"/>
          <w:color w:val="auto"/>
          <w:sz w:val="28"/>
          <w:szCs w:val="28"/>
          <w:highlight w:val="none"/>
        </w:rPr>
        <w:t>规划的东风岩枢纽库区，目前为天然河段，沙卵石河床，平均水面比降0.6‰，滩段比降1.35‰，流速1.5～3.0m/s。河谷开敞，江心洲、河漫滩发育，多汊道，流水散乱。河道两岸主要为城镇，后方为丘陵地形，东风岩枢纽建成蓄水后，结合防洪堤建设，沿岸可开发利用岸线较少，主要位于西坝、桥沟等顺直河段，河宽200～400m，其中西坝镇岸线修建有防洪堤，后方居民区，现状陆域纵深较小。国道G213、G93乐宜高速沿江而行，城市道路相互连通，集疏运条件好。</w:t>
      </w:r>
    </w:p>
    <w:p>
      <w:pPr>
        <w:pStyle w:val="2"/>
        <w:spacing w:line="360" w:lineRule="auto"/>
        <w:ind w:firstLine="560"/>
        <w:jc w:val="both"/>
        <w:rPr>
          <w:rFonts w:ascii="Times New Roman" w:cs="Times New Roman"/>
          <w:color w:val="auto"/>
          <w:sz w:val="28"/>
          <w:szCs w:val="28"/>
          <w:highlight w:val="none"/>
        </w:rPr>
      </w:pPr>
      <w:r>
        <w:rPr>
          <w:rFonts w:ascii="Times New Roman" w:cs="Times New Roman"/>
          <w:color w:val="auto"/>
          <w:sz w:val="28"/>
          <w:szCs w:val="28"/>
          <w:highlight w:val="none"/>
        </w:rPr>
        <w:t>规划范围内茫溪河位于规划东风岩枢纽回水区，现状航道等级Ⅶ级。目前为天然河段，河宽20～50m，航道等级低，在船舶大型化的趋势下，不适宜建设货运作业区。岸线为自然状态，乡镇、成片集中耕地沿河分布。国道G213沿河道左岸而行，右岸有乡道分布，集疏运条件较好。</w:t>
      </w:r>
    </w:p>
    <w:p>
      <w:pPr>
        <w:pStyle w:val="2"/>
        <w:spacing w:line="360" w:lineRule="auto"/>
        <w:ind w:firstLine="561"/>
        <w:outlineLvl w:val="3"/>
        <w:rPr>
          <w:rFonts w:ascii="Times New Roman" w:cs="Times New Roman"/>
          <w:b/>
          <w:color w:val="auto"/>
          <w:sz w:val="28"/>
          <w:szCs w:val="28"/>
          <w:highlight w:val="none"/>
        </w:rPr>
      </w:pPr>
      <w:r>
        <w:rPr>
          <w:rFonts w:ascii="Times New Roman" w:cs="Times New Roman"/>
          <w:b/>
          <w:color w:val="auto"/>
          <w:sz w:val="28"/>
          <w:szCs w:val="28"/>
          <w:highlight w:val="none"/>
        </w:rPr>
        <w:t>（三）犍为段岸线</w:t>
      </w:r>
    </w:p>
    <w:p>
      <w:pPr>
        <w:pStyle w:val="2"/>
        <w:spacing w:line="360" w:lineRule="auto"/>
        <w:ind w:firstLine="562" w:firstLineChars="200"/>
        <w:jc w:val="both"/>
        <w:rPr>
          <w:rFonts w:ascii="Times New Roman" w:cs="Times New Roman"/>
          <w:color w:val="auto"/>
          <w:sz w:val="28"/>
          <w:szCs w:val="28"/>
          <w:highlight w:val="none"/>
        </w:rPr>
      </w:pPr>
      <w:r>
        <w:rPr>
          <w:rFonts w:ascii="Times New Roman" w:cs="Times New Roman"/>
          <w:b/>
          <w:color w:val="auto"/>
          <w:sz w:val="28"/>
          <w:szCs w:val="28"/>
          <w:highlight w:val="none"/>
        </w:rPr>
        <w:t>规划岸线范围</w:t>
      </w:r>
      <w:r>
        <w:rPr>
          <w:rFonts w:ascii="Times New Roman" w:cs="Times New Roman"/>
          <w:color w:val="auto"/>
          <w:sz w:val="28"/>
          <w:szCs w:val="28"/>
          <w:highlight w:val="none"/>
        </w:rPr>
        <w:t>：</w:t>
      </w:r>
      <w:r>
        <w:rPr>
          <w:rFonts w:ascii="Times New Roman" w:cs="Times New Roman"/>
          <w:b/>
          <w:color w:val="auto"/>
          <w:sz w:val="28"/>
          <w:szCs w:val="28"/>
          <w:highlight w:val="none"/>
        </w:rPr>
        <w:t>岷江</w:t>
      </w:r>
      <w:r>
        <w:rPr>
          <w:rFonts w:ascii="Times New Roman" w:cs="Times New Roman"/>
          <w:color w:val="auto"/>
          <w:sz w:val="28"/>
          <w:szCs w:val="28"/>
          <w:highlight w:val="none"/>
        </w:rPr>
        <w:t>右岸石溪镇石火盆至铁炉乡龙溪河河口56.8km，左岸岷东乡芭蕉湾至新民镇河尖山54.5km；</w:t>
      </w:r>
      <w:r>
        <w:rPr>
          <w:rFonts w:ascii="Times New Roman" w:cs="Times New Roman"/>
          <w:b/>
          <w:color w:val="auto"/>
          <w:sz w:val="28"/>
          <w:szCs w:val="28"/>
          <w:highlight w:val="none"/>
        </w:rPr>
        <w:t>马边河</w:t>
      </w:r>
      <w:r>
        <w:rPr>
          <w:rFonts w:ascii="Times New Roman" w:cs="Times New Roman"/>
          <w:color w:val="auto"/>
          <w:sz w:val="28"/>
          <w:szCs w:val="28"/>
          <w:highlight w:val="none"/>
        </w:rPr>
        <w:t>板板桥至河口32.7km左右两岸；</w:t>
      </w:r>
      <w:r>
        <w:rPr>
          <w:rFonts w:ascii="Times New Roman" w:cs="Times New Roman"/>
          <w:b/>
          <w:color w:val="auto"/>
          <w:sz w:val="28"/>
          <w:szCs w:val="28"/>
          <w:highlight w:val="none"/>
        </w:rPr>
        <w:t>沐溪河</w:t>
      </w:r>
      <w:r>
        <w:rPr>
          <w:rFonts w:ascii="Times New Roman" w:cs="Times New Roman"/>
          <w:color w:val="auto"/>
          <w:sz w:val="28"/>
          <w:szCs w:val="28"/>
          <w:highlight w:val="none"/>
        </w:rPr>
        <w:t>罗家坝至汇合口11.6km左右两岸。</w:t>
      </w:r>
    </w:p>
    <w:p>
      <w:pPr>
        <w:pStyle w:val="2"/>
        <w:spacing w:line="360" w:lineRule="auto"/>
        <w:ind w:firstLine="560"/>
        <w:jc w:val="both"/>
        <w:rPr>
          <w:rFonts w:ascii="Times New Roman" w:cs="Times New Roman"/>
          <w:color w:val="auto"/>
          <w:sz w:val="28"/>
          <w:szCs w:val="28"/>
          <w:highlight w:val="none"/>
        </w:rPr>
      </w:pPr>
      <w:r>
        <w:rPr>
          <w:rFonts w:ascii="Times New Roman" w:cs="Times New Roman"/>
          <w:color w:val="auto"/>
          <w:sz w:val="28"/>
          <w:szCs w:val="28"/>
          <w:highlight w:val="none"/>
        </w:rPr>
        <w:t>规划范围内岷江河段属于岷江下游段，现状航道等级Ⅳ级。该河段主要属于规划中的犍为枢纽、龙溪口枢纽库区，目前犍为枢纽基本建成，龙溪口枢纽正在建设。枢纽建成蓄水后，航道等级提升为Ⅲ级，河道宽度、水深等航道条件得到根本性改善，可常年通行1000吨级大型船舶。当前岸线多为自然状态，成片集中耕地沿河分布，耕地利用率高，陆域纵深足够，适宜布置大型货运作业区。G93乐宜高速、国道G213、县道S215等沿河分布，集疏运条件好。</w:t>
      </w:r>
    </w:p>
    <w:p>
      <w:pPr>
        <w:pStyle w:val="2"/>
        <w:spacing w:line="360" w:lineRule="auto"/>
        <w:ind w:firstLine="560"/>
        <w:jc w:val="both"/>
        <w:rPr>
          <w:rFonts w:ascii="Times New Roman" w:cs="Times New Roman"/>
          <w:color w:val="auto"/>
          <w:sz w:val="28"/>
          <w:szCs w:val="28"/>
          <w:highlight w:val="none"/>
        </w:rPr>
      </w:pPr>
      <w:r>
        <w:rPr>
          <w:rFonts w:ascii="Times New Roman" w:cs="Times New Roman"/>
          <w:color w:val="auto"/>
          <w:sz w:val="28"/>
          <w:szCs w:val="28"/>
          <w:highlight w:val="none"/>
        </w:rPr>
        <w:t>规划范围内马边河现状航道等级Ⅶ级，其中下段部分位于在建龙溪口枢纽常年回水区，上段15.3km属于已建坛罐窑电站库区。河床为卵石、岩石相间，平均纵比降1.8‰，航道弯曲狭窄，礁石密布。龙溪口枢纽蓄水前，枯水时，航道水深0.6m，槽宽12m，通航条件差。龙溪口蓄水后下游河段滩险大部分将被淹没，水深、河宽及弯曲半径条件得到较大改善，航行条件较好。乡道沿河间断分布，集疏运条件一般。</w:t>
      </w:r>
    </w:p>
    <w:p>
      <w:pPr>
        <w:pStyle w:val="2"/>
        <w:spacing w:line="360" w:lineRule="auto"/>
        <w:ind w:firstLine="560"/>
        <w:jc w:val="both"/>
        <w:rPr>
          <w:rFonts w:ascii="Times New Roman" w:cs="Times New Roman"/>
          <w:color w:val="auto"/>
          <w:sz w:val="28"/>
          <w:szCs w:val="28"/>
          <w:highlight w:val="none"/>
        </w:rPr>
      </w:pPr>
      <w:r>
        <w:rPr>
          <w:rFonts w:ascii="Times New Roman" w:cs="Times New Roman"/>
          <w:color w:val="auto"/>
          <w:sz w:val="28"/>
          <w:szCs w:val="28"/>
          <w:highlight w:val="none"/>
        </w:rPr>
        <w:t>规划范围内沐溪河位于在建龙溪口枢纽常年回水区尾端，主要位于铁炉乡，现状航道等级Ⅶ级，龙溪口枢纽建成后航道等级可提升至Ⅲ级。龙溪口枢纽蓄水前，沐溪河最小航道水深为0.7m，最小宽度为12m，最小弯曲半径为120m，通航条件差。龙溪口蓄水后滩险大部分将被淹没，河段水深较好，河宽40～70m，航行条件较好。该河段砂卵石、石质河床，相对稳定的，历年来河床未发生强烈的冲淤；枢纽蓄水后，常年回水区泥沙淤积影响小，河势基本稳定。两岸地形较陡峭，除位于左岸的铁炉传统村落，其他岸线植被茂密。左右岸后方乡道沿河分布，现状集疏运条件一般。</w:t>
      </w:r>
    </w:p>
    <w:p>
      <w:pPr>
        <w:pStyle w:val="2"/>
        <w:spacing w:line="360" w:lineRule="auto"/>
        <w:ind w:firstLine="561"/>
        <w:outlineLvl w:val="3"/>
        <w:rPr>
          <w:rFonts w:ascii="Times New Roman" w:cs="Times New Roman"/>
          <w:b/>
          <w:color w:val="auto"/>
          <w:sz w:val="28"/>
          <w:szCs w:val="28"/>
          <w:highlight w:val="none"/>
        </w:rPr>
      </w:pPr>
      <w:r>
        <w:rPr>
          <w:rFonts w:ascii="Times New Roman" w:cs="Times New Roman"/>
          <w:b/>
          <w:color w:val="auto"/>
          <w:sz w:val="28"/>
          <w:szCs w:val="28"/>
          <w:highlight w:val="none"/>
        </w:rPr>
        <w:t>（四）沐川段岸线</w:t>
      </w:r>
    </w:p>
    <w:p>
      <w:pPr>
        <w:pStyle w:val="2"/>
        <w:spacing w:line="360" w:lineRule="auto"/>
        <w:ind w:firstLine="560"/>
        <w:jc w:val="both"/>
        <w:rPr>
          <w:rFonts w:ascii="Times New Roman" w:cs="Times New Roman"/>
          <w:color w:val="auto"/>
          <w:sz w:val="28"/>
          <w:szCs w:val="28"/>
          <w:highlight w:val="none"/>
        </w:rPr>
      </w:pPr>
      <w:r>
        <w:rPr>
          <w:rFonts w:ascii="Times New Roman" w:cs="Times New Roman"/>
          <w:b/>
          <w:color w:val="auto"/>
          <w:sz w:val="28"/>
          <w:szCs w:val="28"/>
          <w:highlight w:val="none"/>
        </w:rPr>
        <w:t>规划岸线范围</w:t>
      </w:r>
      <w:r>
        <w:rPr>
          <w:rFonts w:ascii="Times New Roman" w:cs="Times New Roman"/>
          <w:color w:val="auto"/>
          <w:sz w:val="28"/>
          <w:szCs w:val="28"/>
          <w:highlight w:val="none"/>
        </w:rPr>
        <w:t>：</w:t>
      </w:r>
      <w:r>
        <w:rPr>
          <w:rFonts w:ascii="Times New Roman" w:cs="Times New Roman"/>
          <w:b/>
          <w:color w:val="auto"/>
          <w:sz w:val="28"/>
          <w:szCs w:val="28"/>
          <w:highlight w:val="none"/>
        </w:rPr>
        <w:t>沐溪河</w:t>
      </w:r>
      <w:r>
        <w:rPr>
          <w:rFonts w:ascii="Times New Roman" w:cs="Times New Roman"/>
          <w:color w:val="auto"/>
          <w:sz w:val="28"/>
          <w:szCs w:val="28"/>
          <w:highlight w:val="none"/>
        </w:rPr>
        <w:t>炭库乡王华村至友谊村2.9km左右两岸；</w:t>
      </w:r>
      <w:r>
        <w:rPr>
          <w:rFonts w:ascii="Times New Roman" w:cs="Times New Roman"/>
          <w:b/>
          <w:color w:val="auto"/>
          <w:sz w:val="28"/>
          <w:szCs w:val="28"/>
          <w:highlight w:val="none"/>
        </w:rPr>
        <w:t>大渡河</w:t>
      </w:r>
      <w:r>
        <w:rPr>
          <w:rFonts w:ascii="Times New Roman" w:cs="Times New Roman"/>
          <w:color w:val="auto"/>
          <w:sz w:val="28"/>
          <w:szCs w:val="28"/>
          <w:highlight w:val="none"/>
        </w:rPr>
        <w:t>铜街子库区右岸大沙坝至水碾沟7.7km。</w:t>
      </w:r>
    </w:p>
    <w:p>
      <w:pPr>
        <w:pStyle w:val="2"/>
        <w:spacing w:line="360" w:lineRule="auto"/>
        <w:ind w:firstLine="560"/>
        <w:jc w:val="both"/>
        <w:rPr>
          <w:rFonts w:ascii="Times New Roman" w:cs="Times New Roman"/>
          <w:color w:val="auto"/>
          <w:sz w:val="28"/>
          <w:szCs w:val="28"/>
          <w:highlight w:val="none"/>
        </w:rPr>
      </w:pPr>
      <w:r>
        <w:rPr>
          <w:rFonts w:ascii="Times New Roman" w:cs="Times New Roman"/>
          <w:color w:val="auto"/>
          <w:sz w:val="28"/>
          <w:szCs w:val="28"/>
          <w:highlight w:val="none"/>
        </w:rPr>
        <w:t>规划范围内沐溪河位于在建龙溪口枢纽常年回水区尾端，主要位于炭库乡，现状航道等级Ⅶ级，龙溪口枢纽建成后航道等级可提升至Ⅲ级。龙溪口枢纽蓄水前，沐溪河最小航道水深为0.7m，最小宽度为12m，最小弯曲半径为120m，最大流速为1.5m/s，最大流速相应比降为5.3%，通航条件差。龙溪口蓄水后滩险大部分将被淹没，水深、河宽及弯曲半径条件得到较大改善，航行条件较好。该河段砂卵石、石质河床，相对稳定的，没有产生过异常急剧的演变过程，历年来河床未发生强烈的冲淤。龙溪口枢纽蓄水后，河段水深较好，河宽40～70m，常年回水区泥沙淤积影响小，河势基本稳定。两岸地形较陡峭，植被树木茂密；罗家坝段右岸地形平缓，陆域纵深相对充足。右岸岸线后方乡道沿河分布，现状集疏运条件一般。</w:t>
      </w:r>
    </w:p>
    <w:p>
      <w:pPr>
        <w:pStyle w:val="2"/>
        <w:spacing w:line="360" w:lineRule="auto"/>
        <w:ind w:firstLine="560"/>
        <w:jc w:val="both"/>
        <w:rPr>
          <w:rFonts w:ascii="Times New Roman" w:cs="Times New Roman"/>
          <w:color w:val="auto"/>
          <w:sz w:val="28"/>
          <w:szCs w:val="28"/>
          <w:highlight w:val="none"/>
        </w:rPr>
      </w:pPr>
      <w:r>
        <w:rPr>
          <w:rFonts w:ascii="Times New Roman" w:cs="Times New Roman"/>
          <w:color w:val="auto"/>
          <w:sz w:val="28"/>
          <w:szCs w:val="28"/>
          <w:highlight w:val="none"/>
        </w:rPr>
        <w:t>规划范围内大渡河河段属于大渡河中游段尾端，位于已建大渡河铜街子枢纽库区。河段水深好，河宽200～400m，属于河湾入口段，河势基本稳定。当前岸线多为自然状态，属于四川盆地西南部的平原丘陵地形。由于铜街子枢纽未建通航建筑物，该河段岸线仅能发展库区航运。岸线后方乡道沿河分布，国道G348沟通沐川县城，集疏运条件较好。</w:t>
      </w:r>
    </w:p>
    <w:p>
      <w:pPr>
        <w:pStyle w:val="2"/>
        <w:spacing w:line="360" w:lineRule="auto"/>
        <w:ind w:firstLine="561"/>
        <w:outlineLvl w:val="3"/>
        <w:rPr>
          <w:rFonts w:ascii="Times New Roman" w:cs="Times New Roman"/>
          <w:b/>
          <w:color w:val="auto"/>
          <w:sz w:val="28"/>
          <w:szCs w:val="28"/>
          <w:highlight w:val="none"/>
        </w:rPr>
      </w:pPr>
      <w:r>
        <w:rPr>
          <w:rFonts w:ascii="Times New Roman" w:cs="Times New Roman"/>
          <w:b/>
          <w:color w:val="auto"/>
          <w:sz w:val="28"/>
          <w:szCs w:val="28"/>
          <w:highlight w:val="none"/>
        </w:rPr>
        <w:t>（五）沙湾段岸线</w:t>
      </w:r>
    </w:p>
    <w:p>
      <w:pPr>
        <w:pStyle w:val="2"/>
        <w:spacing w:line="360" w:lineRule="auto"/>
        <w:ind w:firstLine="562" w:firstLineChars="200"/>
        <w:jc w:val="both"/>
        <w:rPr>
          <w:rFonts w:ascii="Times New Roman" w:cs="Times New Roman"/>
          <w:color w:val="auto"/>
          <w:sz w:val="28"/>
          <w:szCs w:val="28"/>
          <w:highlight w:val="none"/>
        </w:rPr>
      </w:pPr>
      <w:r>
        <w:rPr>
          <w:rFonts w:ascii="Times New Roman" w:cs="Times New Roman"/>
          <w:b/>
          <w:color w:val="auto"/>
          <w:sz w:val="28"/>
          <w:szCs w:val="28"/>
          <w:highlight w:val="none"/>
        </w:rPr>
        <w:t>规划岸线范围</w:t>
      </w:r>
      <w:r>
        <w:rPr>
          <w:rFonts w:ascii="Times New Roman" w:cs="Times New Roman"/>
          <w:color w:val="auto"/>
          <w:sz w:val="28"/>
          <w:szCs w:val="28"/>
          <w:highlight w:val="none"/>
        </w:rPr>
        <w:t>：</w:t>
      </w:r>
      <w:r>
        <w:rPr>
          <w:rFonts w:ascii="Times New Roman" w:cs="Times New Roman"/>
          <w:b/>
          <w:color w:val="auto"/>
          <w:sz w:val="28"/>
          <w:szCs w:val="28"/>
          <w:highlight w:val="none"/>
        </w:rPr>
        <w:t>大渡河</w:t>
      </w:r>
      <w:r>
        <w:rPr>
          <w:rFonts w:ascii="Times New Roman" w:cs="Times New Roman"/>
          <w:color w:val="auto"/>
          <w:sz w:val="28"/>
          <w:szCs w:val="28"/>
          <w:highlight w:val="none"/>
        </w:rPr>
        <w:t>左岸火坝沟至冯坝90.6km，右岸水碾沟至上坝56.9km。</w:t>
      </w:r>
    </w:p>
    <w:p>
      <w:pPr>
        <w:pStyle w:val="2"/>
        <w:spacing w:line="360" w:lineRule="auto"/>
        <w:ind w:firstLine="560"/>
        <w:jc w:val="both"/>
        <w:rPr>
          <w:rFonts w:ascii="Times New Roman" w:cs="Times New Roman"/>
          <w:color w:val="auto"/>
          <w:sz w:val="28"/>
          <w:szCs w:val="28"/>
          <w:highlight w:val="none"/>
        </w:rPr>
      </w:pPr>
      <w:r>
        <w:rPr>
          <w:rFonts w:ascii="Times New Roman" w:cs="Times New Roman"/>
          <w:color w:val="auto"/>
          <w:sz w:val="28"/>
          <w:szCs w:val="28"/>
          <w:highlight w:val="none"/>
        </w:rPr>
        <w:t>规划范围内大渡河河段属于大渡河中游段尾端及大渡河下游段，位于已建大渡河铜街子枢纽、沙湾枢纽、安谷枢纽库区。其中铜街子、沙湾枢纽库区河段水深好，河宽180～550m，河势基本稳定，属于四川盆地西南部的平原丘陵地带，岸线多为自然状态，成片集中耕地、城镇沿河分布，耕地利用率高，陆域平缓。沙湾枢纽坝下修建有长约9km尾水渠，采取长防洪堤并结合河道疏浚的方法将复杂的分汊型河道合并为单一河道，尾水渠宽约120m。尾水渠后大渡河进入沙湾城区段，该河段左岸建有防洪堤，城镇、工厂沿河分布，可利用岸线少，现状条下岸线陆域纵深不足。出沙湾城区，该河段属于安谷枢纽库区，左岸结合已建生态大道修筑有防洪堤，右岸太平镇段也修建有防洪堤，河宽超过500m，水深较好。由于沙湾、安谷枢纽均未建通航建筑物，该河段岸线仅能发展库区航运。国道348、省道S103、城市道路沿河分布，集疏运条件好。</w:t>
      </w:r>
    </w:p>
    <w:p>
      <w:pPr>
        <w:pStyle w:val="2"/>
        <w:spacing w:line="360" w:lineRule="auto"/>
        <w:ind w:firstLine="561"/>
        <w:outlineLvl w:val="3"/>
        <w:rPr>
          <w:rFonts w:ascii="Times New Roman" w:cs="Times New Roman"/>
          <w:b/>
          <w:color w:val="auto"/>
          <w:sz w:val="28"/>
          <w:szCs w:val="28"/>
          <w:highlight w:val="none"/>
        </w:rPr>
      </w:pPr>
      <w:r>
        <w:rPr>
          <w:rFonts w:ascii="Times New Roman" w:cs="Times New Roman"/>
          <w:b/>
          <w:color w:val="auto"/>
          <w:sz w:val="28"/>
          <w:szCs w:val="28"/>
          <w:highlight w:val="none"/>
        </w:rPr>
        <w:t>（六）峨边段岸线</w:t>
      </w:r>
    </w:p>
    <w:p>
      <w:pPr>
        <w:pStyle w:val="2"/>
        <w:spacing w:line="360" w:lineRule="auto"/>
        <w:ind w:firstLine="562" w:firstLineChars="200"/>
        <w:jc w:val="both"/>
        <w:rPr>
          <w:rFonts w:ascii="Times New Roman" w:cs="Times New Roman"/>
          <w:color w:val="auto"/>
          <w:sz w:val="28"/>
          <w:szCs w:val="28"/>
          <w:highlight w:val="none"/>
        </w:rPr>
      </w:pPr>
      <w:r>
        <w:rPr>
          <w:rFonts w:ascii="Times New Roman" w:cs="Times New Roman"/>
          <w:b/>
          <w:color w:val="auto"/>
          <w:sz w:val="28"/>
          <w:szCs w:val="28"/>
          <w:highlight w:val="none"/>
        </w:rPr>
        <w:t>规划岸线范围</w:t>
      </w:r>
      <w:r>
        <w:rPr>
          <w:rFonts w:ascii="Times New Roman" w:cs="Times New Roman"/>
          <w:color w:val="auto"/>
          <w:sz w:val="28"/>
          <w:szCs w:val="28"/>
          <w:highlight w:val="none"/>
        </w:rPr>
        <w:t>：</w:t>
      </w:r>
      <w:r>
        <w:rPr>
          <w:rFonts w:ascii="Times New Roman" w:cs="Times New Roman"/>
          <w:b/>
          <w:color w:val="auto"/>
          <w:sz w:val="28"/>
          <w:szCs w:val="28"/>
          <w:highlight w:val="none"/>
        </w:rPr>
        <w:t>大渡河</w:t>
      </w:r>
      <w:r>
        <w:rPr>
          <w:rFonts w:ascii="Times New Roman" w:cs="Times New Roman"/>
          <w:color w:val="auto"/>
          <w:sz w:val="28"/>
          <w:szCs w:val="28"/>
          <w:highlight w:val="none"/>
        </w:rPr>
        <w:t>右岸罐口至大沙坝52.1km，左岸马嘶溪码头至石板溪13.4km。</w:t>
      </w:r>
    </w:p>
    <w:p>
      <w:pPr>
        <w:pStyle w:val="2"/>
        <w:spacing w:line="360" w:lineRule="auto"/>
        <w:ind w:firstLine="560" w:firstLineChars="200"/>
        <w:jc w:val="both"/>
        <w:rPr>
          <w:rFonts w:ascii="Times New Roman" w:cs="Times New Roman"/>
          <w:color w:val="auto"/>
          <w:sz w:val="28"/>
          <w:szCs w:val="28"/>
          <w:highlight w:val="none"/>
        </w:rPr>
      </w:pPr>
      <w:r>
        <w:rPr>
          <w:rFonts w:ascii="Times New Roman" w:cs="Times New Roman"/>
          <w:color w:val="auto"/>
          <w:sz w:val="28"/>
          <w:szCs w:val="28"/>
          <w:highlight w:val="none"/>
        </w:rPr>
        <w:t>规划范围内大渡河河段属于大渡河中游段尾端，位于已建大渡河龚嘴枢纽和铜街子枢纽库区。河段水深好，河宽100～450m；属于典型山区河流，河道弯道多，河势基本稳定。当前岸线多为自然状态，属于四川盆地西南部的平原丘陵地形，沿河地势平坦区域多为城镇，可大规模开发利用岸线较少，适宜根据需求小规模开发利用。由于龚嘴枢纽、铜街子枢纽未建通航建筑物，该河段岸线仅能发展库区航运。河道右岸有S306（G245）沿河而行，左岸有乡道和成昆铁路沿河布设，集疏运条件较好。</w:t>
      </w:r>
    </w:p>
    <w:p>
      <w:pPr>
        <w:pStyle w:val="2"/>
        <w:spacing w:line="360" w:lineRule="auto"/>
        <w:ind w:firstLine="561"/>
        <w:outlineLvl w:val="3"/>
        <w:rPr>
          <w:rFonts w:ascii="Times New Roman" w:cs="Times New Roman"/>
          <w:b/>
          <w:color w:val="auto"/>
          <w:sz w:val="28"/>
          <w:szCs w:val="28"/>
          <w:highlight w:val="none"/>
        </w:rPr>
      </w:pPr>
      <w:r>
        <w:rPr>
          <w:rFonts w:ascii="Times New Roman" w:cs="Times New Roman"/>
          <w:b/>
          <w:color w:val="auto"/>
          <w:sz w:val="28"/>
          <w:szCs w:val="28"/>
          <w:highlight w:val="none"/>
        </w:rPr>
        <w:t>（七）金口河段岸线</w:t>
      </w:r>
    </w:p>
    <w:p>
      <w:pPr>
        <w:pStyle w:val="2"/>
        <w:spacing w:line="360" w:lineRule="auto"/>
        <w:ind w:firstLine="562" w:firstLineChars="200"/>
        <w:jc w:val="both"/>
        <w:rPr>
          <w:rFonts w:ascii="Times New Roman" w:cs="Times New Roman"/>
          <w:color w:val="auto"/>
          <w:sz w:val="28"/>
          <w:szCs w:val="28"/>
          <w:highlight w:val="none"/>
        </w:rPr>
      </w:pPr>
      <w:r>
        <w:rPr>
          <w:rFonts w:ascii="Times New Roman" w:cs="Times New Roman"/>
          <w:b/>
          <w:color w:val="auto"/>
          <w:sz w:val="28"/>
          <w:szCs w:val="28"/>
          <w:highlight w:val="none"/>
        </w:rPr>
        <w:t>规划岸线范围</w:t>
      </w:r>
      <w:r>
        <w:rPr>
          <w:rFonts w:ascii="Times New Roman" w:cs="Times New Roman"/>
          <w:color w:val="auto"/>
          <w:sz w:val="28"/>
          <w:szCs w:val="28"/>
          <w:highlight w:val="none"/>
        </w:rPr>
        <w:t>：大渡河右岸宝水溪河口至</w:t>
      </w:r>
      <w:r>
        <w:rPr>
          <w:rFonts w:hint="eastAsia" w:ascii="Times New Roman" w:cs="Times New Roman"/>
          <w:color w:val="auto"/>
          <w:sz w:val="28"/>
          <w:szCs w:val="28"/>
          <w:highlight w:val="none"/>
        </w:rPr>
        <w:t>泉水村</w:t>
      </w:r>
      <w:r>
        <w:rPr>
          <w:rFonts w:ascii="Times New Roman" w:cs="Times New Roman"/>
          <w:color w:val="auto"/>
          <w:sz w:val="28"/>
          <w:szCs w:val="28"/>
          <w:highlight w:val="none"/>
        </w:rPr>
        <w:t>22.6km，左岸白熊沟至</w:t>
      </w:r>
      <w:r>
        <w:rPr>
          <w:rFonts w:hint="eastAsia" w:ascii="Times New Roman" w:cs="Times New Roman"/>
          <w:color w:val="auto"/>
          <w:sz w:val="28"/>
          <w:szCs w:val="28"/>
          <w:highlight w:val="none"/>
        </w:rPr>
        <w:t>沙坪</w:t>
      </w:r>
      <w:r>
        <w:rPr>
          <w:rFonts w:ascii="Times New Roman" w:cs="Times New Roman"/>
          <w:color w:val="auto"/>
          <w:sz w:val="28"/>
          <w:szCs w:val="28"/>
          <w:highlight w:val="none"/>
        </w:rPr>
        <w:t>二级电站大坝38.7km。</w:t>
      </w:r>
    </w:p>
    <w:p>
      <w:pPr>
        <w:pStyle w:val="2"/>
        <w:spacing w:line="360" w:lineRule="auto"/>
        <w:ind w:firstLine="560" w:firstLineChars="200"/>
        <w:jc w:val="both"/>
        <w:rPr>
          <w:rFonts w:ascii="Times New Roman" w:cs="Times New Roman"/>
          <w:color w:val="auto"/>
          <w:sz w:val="28"/>
          <w:szCs w:val="28"/>
          <w:highlight w:val="none"/>
        </w:rPr>
      </w:pPr>
      <w:r>
        <w:rPr>
          <w:rFonts w:ascii="Times New Roman" w:cs="Times New Roman"/>
          <w:color w:val="auto"/>
          <w:sz w:val="28"/>
          <w:szCs w:val="28"/>
          <w:highlight w:val="none"/>
        </w:rPr>
        <w:t>规划范围内大渡河河段属于大渡河中游段，位于已建大渡河枕头坝至沙坪二级电站。枕头坝一级、沙坪二级已经成库，河段水深好，河宽90～300m，河道弯道多，河势基本稳定，枕头坝一级至沙坪一级之间因枕头坝二级、沙坪坝</w:t>
      </w:r>
      <w:r>
        <w:rPr>
          <w:rFonts w:hint="eastAsia" w:ascii="Times New Roman" w:cs="Times New Roman"/>
          <w:color w:val="auto"/>
          <w:sz w:val="28"/>
          <w:szCs w:val="28"/>
          <w:highlight w:val="none"/>
        </w:rPr>
        <w:t>一</w:t>
      </w:r>
      <w:r>
        <w:rPr>
          <w:rFonts w:ascii="Times New Roman" w:cs="Times New Roman"/>
          <w:color w:val="auto"/>
          <w:sz w:val="28"/>
          <w:szCs w:val="28"/>
          <w:highlight w:val="none"/>
        </w:rPr>
        <w:t>级正在建设中，目前该段河道为天然河道，河道较窄，水深较浅，但河势较为稳定；沿岸属于高山峡谷型地貌，谷坡陡峻，基岩裸露，开发利用岸线少。由于枕头坝、沙坪枢纽均未建通航建筑物，该河段岸线仅能发展库区航运。河道左岸有S306沿河而行，右岸有乡道，集疏运条件较好。</w:t>
      </w:r>
    </w:p>
    <w:p>
      <w:pPr>
        <w:pStyle w:val="2"/>
        <w:spacing w:line="360" w:lineRule="auto"/>
        <w:ind w:firstLine="561"/>
        <w:outlineLvl w:val="3"/>
        <w:rPr>
          <w:rFonts w:ascii="Times New Roman" w:cs="Times New Roman"/>
          <w:b/>
          <w:color w:val="auto"/>
          <w:sz w:val="28"/>
          <w:szCs w:val="28"/>
          <w:highlight w:val="none"/>
        </w:rPr>
      </w:pPr>
      <w:r>
        <w:rPr>
          <w:rFonts w:ascii="Times New Roman" w:cs="Times New Roman"/>
          <w:b/>
          <w:color w:val="auto"/>
          <w:sz w:val="28"/>
          <w:szCs w:val="28"/>
          <w:highlight w:val="none"/>
        </w:rPr>
        <w:t>（八）夹江段岸线</w:t>
      </w:r>
    </w:p>
    <w:p>
      <w:pPr>
        <w:pStyle w:val="2"/>
        <w:spacing w:line="360" w:lineRule="auto"/>
        <w:ind w:firstLine="562" w:firstLineChars="200"/>
        <w:jc w:val="both"/>
        <w:rPr>
          <w:rFonts w:ascii="Times New Roman" w:cs="Times New Roman"/>
          <w:color w:val="auto"/>
          <w:sz w:val="28"/>
          <w:szCs w:val="28"/>
          <w:highlight w:val="none"/>
        </w:rPr>
      </w:pPr>
      <w:r>
        <w:rPr>
          <w:rFonts w:ascii="Times New Roman" w:cs="Times New Roman"/>
          <w:b/>
          <w:color w:val="auto"/>
          <w:sz w:val="28"/>
          <w:szCs w:val="28"/>
          <w:highlight w:val="none"/>
        </w:rPr>
        <w:t>规划岸线范围</w:t>
      </w:r>
      <w:r>
        <w:rPr>
          <w:rFonts w:ascii="Times New Roman" w:cs="Times New Roman"/>
          <w:color w:val="auto"/>
          <w:sz w:val="28"/>
          <w:szCs w:val="28"/>
          <w:highlight w:val="none"/>
        </w:rPr>
        <w:t>：</w:t>
      </w:r>
      <w:r>
        <w:rPr>
          <w:rFonts w:ascii="Times New Roman" w:cs="Times New Roman"/>
          <w:b/>
          <w:color w:val="auto"/>
          <w:sz w:val="28"/>
          <w:szCs w:val="28"/>
          <w:highlight w:val="none"/>
        </w:rPr>
        <w:t>青衣江</w:t>
      </w:r>
      <w:r>
        <w:rPr>
          <w:rFonts w:ascii="Times New Roman" w:cs="Times New Roman"/>
          <w:color w:val="auto"/>
          <w:sz w:val="28"/>
          <w:szCs w:val="28"/>
          <w:highlight w:val="none"/>
        </w:rPr>
        <w:t>右岸石棉渡口至牛头堰37.7km，左岸芦溪口下游400m至刘湾37.3km。</w:t>
      </w:r>
    </w:p>
    <w:p>
      <w:pPr>
        <w:pStyle w:val="2"/>
        <w:spacing w:line="360" w:lineRule="auto"/>
        <w:ind w:firstLine="560"/>
        <w:jc w:val="both"/>
        <w:rPr>
          <w:rFonts w:ascii="Times New Roman" w:cs="Times New Roman"/>
          <w:color w:val="auto"/>
          <w:sz w:val="28"/>
          <w:szCs w:val="28"/>
          <w:highlight w:val="none"/>
        </w:rPr>
      </w:pPr>
      <w:r>
        <w:rPr>
          <w:rFonts w:ascii="Times New Roman" w:cs="Times New Roman"/>
          <w:color w:val="auto"/>
          <w:sz w:val="28"/>
          <w:szCs w:val="28"/>
          <w:highlight w:val="none"/>
        </w:rPr>
        <w:t>规划范围内青衣江河段属于青衣江下游段开始段及中游段尾端，主要位于已建千佛岩、毛滩枢纽库区，现状航道等级Ⅶ级。千佛岩库区航道水深好、河宽100～500m。千佛岩梯级坝下修建有长约7.1km尾水渠，改变原多汊、宽浅河道；至千佛岩，开阔江面被两岸山岩夹持，河道江面紧缩为100余米，是青衣江最后的一段峡谷，长约1km，两岸为著名佛教文化遗址。出千佛岩为青衣江下游段，毛滩梯级库区，河道水面宽约500m，两岸成片耕地、城镇分布。毛滩梯级坝下修建有长约5.7km、宽60m尾水渠，改变原宽浅、江心洲发育河道。由于毛滩、千佛岩梯级均未修建通航建筑物，该河段岸线仅能发展库区航运。两岸城市道路相互沟通，集疏运条件好。</w:t>
      </w:r>
    </w:p>
    <w:p>
      <w:pPr>
        <w:pStyle w:val="2"/>
        <w:spacing w:line="360" w:lineRule="auto"/>
        <w:ind w:firstLine="561"/>
        <w:outlineLvl w:val="3"/>
        <w:rPr>
          <w:rFonts w:ascii="Times New Roman" w:cs="Times New Roman"/>
          <w:b/>
          <w:color w:val="auto"/>
          <w:sz w:val="28"/>
          <w:szCs w:val="28"/>
          <w:highlight w:val="none"/>
        </w:rPr>
      </w:pPr>
      <w:r>
        <w:rPr>
          <w:rFonts w:ascii="Times New Roman" w:cs="Times New Roman"/>
          <w:b/>
          <w:color w:val="auto"/>
          <w:sz w:val="28"/>
          <w:szCs w:val="28"/>
          <w:highlight w:val="none"/>
        </w:rPr>
        <w:t>（九）峨眉段岸线</w:t>
      </w:r>
    </w:p>
    <w:p>
      <w:pPr>
        <w:pStyle w:val="2"/>
        <w:spacing w:line="360" w:lineRule="auto"/>
        <w:ind w:firstLine="562" w:firstLineChars="200"/>
        <w:rPr>
          <w:rFonts w:ascii="Times New Roman" w:cs="Times New Roman"/>
          <w:color w:val="auto"/>
          <w:sz w:val="28"/>
          <w:szCs w:val="28"/>
          <w:highlight w:val="none"/>
        </w:rPr>
      </w:pPr>
      <w:r>
        <w:rPr>
          <w:rFonts w:ascii="Times New Roman" w:cs="Times New Roman"/>
          <w:b/>
          <w:color w:val="auto"/>
          <w:sz w:val="28"/>
          <w:szCs w:val="28"/>
          <w:highlight w:val="none"/>
        </w:rPr>
        <w:t>规划岸线范围</w:t>
      </w:r>
      <w:r>
        <w:rPr>
          <w:rFonts w:ascii="Times New Roman" w:cs="Times New Roman"/>
          <w:color w:val="auto"/>
          <w:sz w:val="28"/>
          <w:szCs w:val="28"/>
          <w:highlight w:val="none"/>
        </w:rPr>
        <w:t>：</w:t>
      </w:r>
      <w:r>
        <w:rPr>
          <w:rFonts w:ascii="Times New Roman" w:cs="Times New Roman"/>
          <w:b/>
          <w:color w:val="auto"/>
          <w:sz w:val="28"/>
          <w:szCs w:val="28"/>
          <w:highlight w:val="none"/>
        </w:rPr>
        <w:t>大渡河</w:t>
      </w:r>
      <w:r>
        <w:rPr>
          <w:rFonts w:ascii="Times New Roman" w:cs="Times New Roman"/>
          <w:color w:val="auto"/>
          <w:sz w:val="28"/>
          <w:szCs w:val="28"/>
          <w:highlight w:val="none"/>
        </w:rPr>
        <w:t>左岸石板溪至火夹沟15.2km。</w:t>
      </w:r>
    </w:p>
    <w:p>
      <w:pPr>
        <w:pStyle w:val="2"/>
        <w:spacing w:line="360" w:lineRule="auto"/>
        <w:ind w:firstLine="560" w:firstLineChars="200"/>
        <w:jc w:val="both"/>
        <w:rPr>
          <w:rFonts w:ascii="Times New Roman" w:cs="Times New Roman"/>
          <w:color w:val="auto"/>
          <w:sz w:val="28"/>
          <w:szCs w:val="28"/>
          <w:highlight w:val="none"/>
        </w:rPr>
      </w:pPr>
      <w:r>
        <w:rPr>
          <w:rFonts w:ascii="Times New Roman" w:cs="Times New Roman"/>
          <w:color w:val="auto"/>
          <w:sz w:val="28"/>
          <w:szCs w:val="28"/>
          <w:highlight w:val="none"/>
        </w:rPr>
        <w:t>规划范围内大渡河河段属于大渡河中游段尾端，位于已建大渡河龚嘴枢纽左岸，是峨眉山市唯一可开发临河岸线。河段水深好，河宽100～450m；属于典型山区河流，多弯道，河势基本稳定。当前岸线多为自然状态，属于四川盆地西南部的平原丘陵地形，可开发利用岸线较少，岸线后方多为农田。由于龚嘴枢纽未建通航建筑物，该河段岸线仅能发展库区航运。该段岸线后方仅有乡道，集疏运条件一般。</w:t>
      </w:r>
    </w:p>
    <w:p>
      <w:pPr>
        <w:pStyle w:val="2"/>
        <w:spacing w:line="360" w:lineRule="auto"/>
        <w:ind w:firstLine="562" w:firstLineChars="200"/>
        <w:outlineLvl w:val="2"/>
        <w:rPr>
          <w:rFonts w:ascii="Times New Roman" w:eastAsia="黑体" w:cs="Times New Roman"/>
          <w:b/>
          <w:color w:val="auto"/>
          <w:kern w:val="2"/>
          <w:sz w:val="28"/>
          <w:szCs w:val="28"/>
          <w:highlight w:val="none"/>
        </w:rPr>
      </w:pPr>
      <w:bookmarkStart w:id="196" w:name="_Toc77781912"/>
      <w:r>
        <w:rPr>
          <w:rFonts w:ascii="Times New Roman" w:eastAsia="黑体" w:cs="Times New Roman"/>
          <w:b/>
          <w:color w:val="auto"/>
          <w:kern w:val="2"/>
          <w:sz w:val="28"/>
          <w:szCs w:val="28"/>
          <w:highlight w:val="none"/>
        </w:rPr>
        <w:t>二、岸线利用现状评价</w:t>
      </w:r>
      <w:bookmarkEnd w:id="196"/>
    </w:p>
    <w:p>
      <w:pPr>
        <w:pStyle w:val="2"/>
        <w:spacing w:line="360" w:lineRule="auto"/>
        <w:ind w:firstLine="561"/>
        <w:outlineLvl w:val="3"/>
        <w:rPr>
          <w:rFonts w:ascii="Times New Roman" w:cs="Times New Roman"/>
          <w:b/>
          <w:color w:val="auto"/>
          <w:sz w:val="28"/>
          <w:szCs w:val="28"/>
          <w:highlight w:val="none"/>
        </w:rPr>
      </w:pPr>
      <w:r>
        <w:rPr>
          <w:rFonts w:ascii="Times New Roman" w:cs="Times New Roman"/>
          <w:b/>
          <w:color w:val="auto"/>
          <w:sz w:val="28"/>
          <w:szCs w:val="28"/>
          <w:highlight w:val="none"/>
        </w:rPr>
        <w:t>（</w:t>
      </w:r>
      <w:r>
        <w:rPr>
          <w:rFonts w:hint="eastAsia" w:ascii="Times New Roman" w:cs="Times New Roman"/>
          <w:b/>
          <w:color w:val="auto"/>
          <w:sz w:val="28"/>
          <w:szCs w:val="28"/>
          <w:highlight w:val="none"/>
        </w:rPr>
        <w:t>一</w:t>
      </w:r>
      <w:r>
        <w:rPr>
          <w:rFonts w:ascii="Times New Roman" w:cs="Times New Roman"/>
          <w:b/>
          <w:color w:val="auto"/>
          <w:sz w:val="28"/>
          <w:szCs w:val="28"/>
          <w:highlight w:val="none"/>
        </w:rPr>
        <w:t>）岸线利用现状</w:t>
      </w:r>
    </w:p>
    <w:p>
      <w:pPr>
        <w:pStyle w:val="2"/>
        <w:spacing w:line="360" w:lineRule="auto"/>
        <w:ind w:firstLine="561"/>
        <w:outlineLvl w:val="4"/>
        <w:rPr>
          <w:rFonts w:ascii="Times New Roman" w:cs="Times New Roman"/>
          <w:b/>
          <w:color w:val="auto"/>
          <w:sz w:val="28"/>
          <w:szCs w:val="28"/>
          <w:highlight w:val="none"/>
        </w:rPr>
      </w:pPr>
      <w:r>
        <w:rPr>
          <w:rFonts w:ascii="Times New Roman" w:cs="Times New Roman"/>
          <w:b/>
          <w:color w:val="auto"/>
          <w:sz w:val="28"/>
          <w:szCs w:val="28"/>
          <w:highlight w:val="none"/>
        </w:rPr>
        <w:t>1.嘉州港区</w:t>
      </w:r>
    </w:p>
    <w:p>
      <w:pPr>
        <w:spacing w:line="360" w:lineRule="auto"/>
        <w:ind w:firstLine="480"/>
        <w:rPr>
          <w:sz w:val="28"/>
          <w:szCs w:val="28"/>
          <w:highlight w:val="none"/>
        </w:rPr>
      </w:pPr>
      <w:r>
        <w:rPr>
          <w:sz w:val="28"/>
          <w:szCs w:val="28"/>
          <w:highlight w:val="none"/>
        </w:rPr>
        <w:t>嘉州港区现有芭蕉林、乌尤寺、八仙洞等客运码头以及大件货运码头，主要为旅游客运、大件运输，共有泊位28个，码头占用岸线长约1545m。客运码头多为梯步斜坡码头。总体来看，该段岸线有城镇、工厂及乐山大佛风景区等占用岸线，客运岸线利用率高，可开发岸线较少。</w:t>
      </w:r>
    </w:p>
    <w:p>
      <w:pPr>
        <w:pStyle w:val="2"/>
        <w:spacing w:line="360" w:lineRule="auto"/>
        <w:ind w:firstLine="561"/>
        <w:outlineLvl w:val="4"/>
        <w:rPr>
          <w:rFonts w:ascii="Times New Roman" w:cs="Times New Roman"/>
          <w:b/>
          <w:color w:val="auto"/>
          <w:sz w:val="28"/>
          <w:szCs w:val="28"/>
          <w:highlight w:val="none"/>
        </w:rPr>
      </w:pPr>
      <w:r>
        <w:rPr>
          <w:rFonts w:ascii="Times New Roman" w:cs="Times New Roman"/>
          <w:b/>
          <w:color w:val="auto"/>
          <w:sz w:val="28"/>
          <w:szCs w:val="28"/>
          <w:highlight w:val="none"/>
        </w:rPr>
        <w:t>2.五通桥港区</w:t>
      </w:r>
    </w:p>
    <w:p>
      <w:pPr>
        <w:spacing w:line="360" w:lineRule="auto"/>
        <w:ind w:firstLine="480"/>
        <w:rPr>
          <w:sz w:val="28"/>
          <w:szCs w:val="28"/>
          <w:highlight w:val="none"/>
        </w:rPr>
      </w:pPr>
      <w:r>
        <w:rPr>
          <w:sz w:val="28"/>
          <w:szCs w:val="28"/>
          <w:highlight w:val="none"/>
        </w:rPr>
        <w:t>五通桥港区现有桥沟码头、</w:t>
      </w:r>
      <w:r>
        <w:rPr>
          <w:rFonts w:hint="eastAsia"/>
          <w:sz w:val="28"/>
          <w:szCs w:val="28"/>
          <w:highlight w:val="none"/>
        </w:rPr>
        <w:t>西坝</w:t>
      </w:r>
      <w:r>
        <w:rPr>
          <w:sz w:val="28"/>
          <w:szCs w:val="28"/>
          <w:highlight w:val="none"/>
        </w:rPr>
        <w:t>码头等2个货运码头，主要转运眉山等地的元明粉等件杂货，共有生产性泊位9个，占用岸线557m。大多利用自然岸坡进行装卸作业，利用程度不高。现状河道多汊、江心洲发育，且城镇建设、工厂沿河分布占用岸线，可开发利用岸线较少。</w:t>
      </w:r>
    </w:p>
    <w:p>
      <w:pPr>
        <w:pStyle w:val="2"/>
        <w:spacing w:line="360" w:lineRule="auto"/>
        <w:ind w:firstLine="561"/>
        <w:outlineLvl w:val="4"/>
        <w:rPr>
          <w:rFonts w:ascii="Times New Roman" w:cs="Times New Roman"/>
          <w:b/>
          <w:color w:val="auto"/>
          <w:sz w:val="28"/>
          <w:szCs w:val="28"/>
          <w:highlight w:val="none"/>
        </w:rPr>
      </w:pPr>
      <w:r>
        <w:rPr>
          <w:rFonts w:ascii="Times New Roman" w:cs="Times New Roman"/>
          <w:b/>
          <w:color w:val="auto"/>
          <w:sz w:val="28"/>
          <w:szCs w:val="28"/>
          <w:highlight w:val="none"/>
        </w:rPr>
        <w:t>3.犍为港区</w:t>
      </w:r>
    </w:p>
    <w:p>
      <w:pPr>
        <w:spacing w:line="360" w:lineRule="auto"/>
        <w:ind w:firstLine="480"/>
        <w:rPr>
          <w:highlight w:val="none"/>
        </w:rPr>
      </w:pPr>
      <w:r>
        <w:rPr>
          <w:sz w:val="28"/>
          <w:szCs w:val="28"/>
          <w:highlight w:val="none"/>
        </w:rPr>
        <w:t>犍为港区现有下渡货运码头及盐关休闲旅游码头等客运码头。货运码头主要转运当地的矿建材料、煤炭，夹江等地的瓷砖和眉山等地的元明粉，共有泊位13个，占用岸线1000m。已开发利用货运岸线均修建有水工建筑物，配备有较现代化的装卸设备，岸线利用率较高。其余岸线利用程度不高，基本保持自然状态或以农业用地为主。</w:t>
      </w:r>
    </w:p>
    <w:p>
      <w:pPr>
        <w:pStyle w:val="2"/>
        <w:spacing w:line="360" w:lineRule="auto"/>
        <w:ind w:firstLine="561"/>
        <w:outlineLvl w:val="4"/>
        <w:rPr>
          <w:rFonts w:ascii="Times New Roman" w:cs="Times New Roman"/>
          <w:b/>
          <w:color w:val="auto"/>
          <w:sz w:val="28"/>
          <w:szCs w:val="28"/>
          <w:highlight w:val="none"/>
        </w:rPr>
      </w:pPr>
      <w:r>
        <w:rPr>
          <w:rFonts w:ascii="Times New Roman" w:cs="Times New Roman"/>
          <w:b/>
          <w:color w:val="auto"/>
          <w:sz w:val="28"/>
          <w:szCs w:val="28"/>
          <w:highlight w:val="none"/>
        </w:rPr>
        <w:t>4.沙湾港区</w:t>
      </w:r>
    </w:p>
    <w:p>
      <w:pPr>
        <w:spacing w:line="360" w:lineRule="auto"/>
        <w:ind w:firstLine="480"/>
        <w:rPr>
          <w:sz w:val="28"/>
          <w:szCs w:val="28"/>
          <w:highlight w:val="none"/>
        </w:rPr>
      </w:pPr>
      <w:r>
        <w:rPr>
          <w:sz w:val="28"/>
          <w:szCs w:val="28"/>
          <w:highlight w:val="none"/>
        </w:rPr>
        <w:t>沙湾港区有刘沟码头、易坝、龙岩码头等短途客运码头。已利用岸线多利用自然岸坡进行装卸作业或仅修建简易下河梯步，岸线利用率较低。除城市建设占用岸线外，其余岸线利用程度不高，基本保持自然状态或以农业用地为主。</w:t>
      </w:r>
    </w:p>
    <w:p>
      <w:pPr>
        <w:pStyle w:val="2"/>
        <w:spacing w:line="360" w:lineRule="auto"/>
        <w:ind w:firstLine="561"/>
        <w:outlineLvl w:val="4"/>
        <w:rPr>
          <w:rFonts w:ascii="Times New Roman" w:cs="Times New Roman"/>
          <w:b/>
          <w:color w:val="auto"/>
          <w:sz w:val="28"/>
          <w:szCs w:val="28"/>
          <w:highlight w:val="none"/>
        </w:rPr>
      </w:pPr>
      <w:r>
        <w:rPr>
          <w:rFonts w:ascii="Times New Roman" w:cs="Times New Roman"/>
          <w:b/>
          <w:color w:val="auto"/>
          <w:sz w:val="28"/>
          <w:szCs w:val="28"/>
          <w:highlight w:val="none"/>
        </w:rPr>
        <w:t>5.其他</w:t>
      </w:r>
    </w:p>
    <w:p>
      <w:pPr>
        <w:pStyle w:val="2"/>
        <w:spacing w:line="360" w:lineRule="auto"/>
        <w:ind w:firstLine="560" w:firstLineChars="200"/>
        <w:rPr>
          <w:rFonts w:ascii="Times New Roman" w:cs="Times New Roman"/>
          <w:color w:val="auto"/>
          <w:kern w:val="2"/>
          <w:sz w:val="28"/>
          <w:szCs w:val="28"/>
          <w:highlight w:val="none"/>
        </w:rPr>
      </w:pPr>
      <w:r>
        <w:rPr>
          <w:rFonts w:ascii="Times New Roman" w:cs="Times New Roman"/>
          <w:color w:val="auto"/>
          <w:kern w:val="2"/>
          <w:sz w:val="28"/>
          <w:szCs w:val="28"/>
          <w:highlight w:val="none"/>
        </w:rPr>
        <w:t>金口河区现有大峡谷码头和胜利村停靠点，有客运泊位5个，占用岸线250m。乐山市现有短途客运码头51座。其中乐山市</w:t>
      </w:r>
      <w:r>
        <w:rPr>
          <w:rFonts w:ascii="Times New Roman" w:cs="Times New Roman"/>
          <w:color w:val="auto"/>
          <w:sz w:val="28"/>
          <w:szCs w:val="28"/>
          <w:highlight w:val="none"/>
        </w:rPr>
        <w:t>市中区范围内9座，犍为县范围内6座，</w:t>
      </w:r>
      <w:r>
        <w:rPr>
          <w:rFonts w:ascii="Times New Roman" w:cs="Times New Roman"/>
          <w:color w:val="auto"/>
          <w:kern w:val="2"/>
          <w:sz w:val="28"/>
          <w:szCs w:val="28"/>
          <w:highlight w:val="none"/>
        </w:rPr>
        <w:t>夹江县范围内4座，沙湾区辖区范围内10座，沐川辖区范围内14家，峨边县辖区范围内3座，峨眉山市辖区范围内5座，主要服务于两岸居民短途出行需求。已利用岸线基本均采用斜坡梯步结构，集疏运条件一般，受丘陵地形条件影响，岸线陆域条件一般，纵深较小。</w:t>
      </w:r>
    </w:p>
    <w:p>
      <w:pPr>
        <w:pStyle w:val="2"/>
        <w:spacing w:line="360" w:lineRule="auto"/>
        <w:ind w:firstLine="561"/>
        <w:outlineLvl w:val="3"/>
        <w:rPr>
          <w:rFonts w:ascii="Times New Roman" w:cs="Times New Roman"/>
          <w:color w:val="auto"/>
          <w:highlight w:val="none"/>
        </w:rPr>
      </w:pPr>
      <w:r>
        <w:rPr>
          <w:rFonts w:hint="eastAsia" w:ascii="Times New Roman" w:cs="Times New Roman"/>
          <w:b/>
          <w:color w:val="auto"/>
          <w:sz w:val="28"/>
          <w:szCs w:val="28"/>
          <w:highlight w:val="none"/>
        </w:rPr>
        <w:t>（二）岸线利用现状评价</w:t>
      </w:r>
    </w:p>
    <w:p>
      <w:pPr>
        <w:spacing w:line="360" w:lineRule="auto"/>
        <w:ind w:firstLine="480"/>
        <w:rPr>
          <w:sz w:val="28"/>
          <w:szCs w:val="28"/>
          <w:highlight w:val="none"/>
        </w:rPr>
      </w:pPr>
      <w:r>
        <w:rPr>
          <w:b/>
          <w:sz w:val="28"/>
          <w:szCs w:val="28"/>
          <w:highlight w:val="none"/>
        </w:rPr>
        <w:t>1.</w:t>
      </w:r>
      <w:r>
        <w:rPr>
          <w:rFonts w:hint="eastAsia"/>
          <w:b/>
          <w:sz w:val="28"/>
          <w:szCs w:val="28"/>
          <w:highlight w:val="none"/>
        </w:rPr>
        <w:t>原规划港口岸线开发程度总体较低。</w:t>
      </w:r>
      <w:r>
        <w:rPr>
          <w:rFonts w:hint="eastAsia"/>
          <w:sz w:val="28"/>
          <w:szCs w:val="28"/>
          <w:highlight w:val="none"/>
        </w:rPr>
        <w:t>乐山港规划岸线总长</w:t>
      </w:r>
      <w:r>
        <w:rPr>
          <w:sz w:val="28"/>
          <w:szCs w:val="28"/>
          <w:highlight w:val="none"/>
        </w:rPr>
        <w:t>14302m</w:t>
      </w:r>
      <w:r>
        <w:rPr>
          <w:rFonts w:hint="eastAsia"/>
          <w:sz w:val="28"/>
          <w:szCs w:val="28"/>
          <w:highlight w:val="none"/>
        </w:rPr>
        <w:t>，截止</w:t>
      </w:r>
      <w:r>
        <w:rPr>
          <w:sz w:val="28"/>
          <w:szCs w:val="28"/>
          <w:highlight w:val="none"/>
        </w:rPr>
        <w:t>2021</w:t>
      </w:r>
      <w:r>
        <w:rPr>
          <w:rFonts w:hint="eastAsia"/>
          <w:sz w:val="28"/>
          <w:szCs w:val="28"/>
          <w:highlight w:val="none"/>
        </w:rPr>
        <w:t>年，已利用岸线</w:t>
      </w:r>
      <w:r>
        <w:rPr>
          <w:sz w:val="28"/>
          <w:szCs w:val="28"/>
          <w:highlight w:val="none"/>
        </w:rPr>
        <w:t>3182m</w:t>
      </w:r>
      <w:r>
        <w:rPr>
          <w:rFonts w:hint="eastAsia"/>
          <w:sz w:val="28"/>
          <w:szCs w:val="28"/>
          <w:highlight w:val="none"/>
        </w:rPr>
        <w:t>，利用率约</w:t>
      </w:r>
      <w:r>
        <w:rPr>
          <w:sz w:val="28"/>
          <w:szCs w:val="28"/>
          <w:highlight w:val="none"/>
        </w:rPr>
        <w:t>22.25%</w:t>
      </w:r>
      <w:r>
        <w:rPr>
          <w:rFonts w:hint="eastAsia"/>
          <w:sz w:val="28"/>
          <w:szCs w:val="28"/>
          <w:highlight w:val="none"/>
        </w:rPr>
        <w:t>；各港区规划岸线利用率在</w:t>
      </w:r>
      <w:r>
        <w:rPr>
          <w:sz w:val="28"/>
          <w:szCs w:val="28"/>
          <w:highlight w:val="none"/>
        </w:rPr>
        <w:t>13.66%~36.00%</w:t>
      </w:r>
      <w:r>
        <w:rPr>
          <w:rFonts w:hint="eastAsia"/>
          <w:sz w:val="28"/>
          <w:szCs w:val="28"/>
          <w:highlight w:val="none"/>
        </w:rPr>
        <w:t>，原规划港口岸线开发程度总体较低。</w:t>
      </w:r>
    </w:p>
    <w:p>
      <w:pPr>
        <w:spacing w:line="360" w:lineRule="auto"/>
        <w:ind w:firstLine="480"/>
        <w:rPr>
          <w:sz w:val="28"/>
          <w:szCs w:val="28"/>
          <w:highlight w:val="none"/>
        </w:rPr>
      </w:pPr>
      <w:r>
        <w:rPr>
          <w:b/>
          <w:sz w:val="28"/>
          <w:szCs w:val="28"/>
          <w:highlight w:val="none"/>
        </w:rPr>
        <w:t>2.港口岸线利用效率不高，部分岸段利用粗放。</w:t>
      </w:r>
      <w:r>
        <w:rPr>
          <w:sz w:val="28"/>
          <w:szCs w:val="28"/>
          <w:highlight w:val="none"/>
        </w:rPr>
        <w:t>已利用的港口岸线中，货运码头仅乐山大件码头、和邦盐业码头具有较高的专业化、规模化水平，其余多数码头分布相对分散，码头装卸作业设备相对老旧、落后；旅游客运码头多数为简易下河梯步码头，相关配套设施缺乏，港口岸线利用效率不高，部分岸段利用粗放。</w:t>
      </w:r>
    </w:p>
    <w:p>
      <w:pPr>
        <w:spacing w:line="360" w:lineRule="auto"/>
        <w:ind w:firstLine="480"/>
        <w:rPr>
          <w:sz w:val="28"/>
          <w:szCs w:val="28"/>
          <w:highlight w:val="none"/>
        </w:rPr>
      </w:pPr>
      <w:r>
        <w:rPr>
          <w:b/>
          <w:sz w:val="28"/>
          <w:szCs w:val="28"/>
          <w:highlight w:val="none"/>
        </w:rPr>
        <w:t>3.已利用港口岸线水陆域空间普遍趋于紧张。</w:t>
      </w:r>
      <w:r>
        <w:rPr>
          <w:sz w:val="28"/>
          <w:szCs w:val="28"/>
          <w:highlight w:val="none"/>
        </w:rPr>
        <w:t>已开发利用港口岸线主要集中在岷江干线，大渡河、青衣江等其他支流基本未开展港口岸线开发，仅有部分非法砂石码头；岷江沿线已利用港口岸线中，主要集中在市中区大佛景区、五通桥区桥沟、犍为县城等岸段，随着城市的建设发展，已利用港口岸线的大多水陆域空间普遍趋于紧张。</w:t>
      </w:r>
    </w:p>
    <w:p>
      <w:pPr>
        <w:pStyle w:val="2"/>
        <w:spacing w:line="360" w:lineRule="auto"/>
        <w:ind w:firstLine="562" w:firstLineChars="200"/>
        <w:outlineLvl w:val="2"/>
        <w:rPr>
          <w:rFonts w:ascii="Times New Roman" w:eastAsia="黑体" w:cs="Times New Roman"/>
          <w:b/>
          <w:color w:val="auto"/>
          <w:kern w:val="2"/>
          <w:sz w:val="28"/>
          <w:szCs w:val="28"/>
          <w:highlight w:val="none"/>
        </w:rPr>
      </w:pPr>
      <w:bookmarkStart w:id="197" w:name="_Toc77781913"/>
      <w:r>
        <w:rPr>
          <w:rFonts w:ascii="Times New Roman" w:eastAsia="黑体" w:cs="Times New Roman"/>
          <w:b/>
          <w:color w:val="auto"/>
          <w:kern w:val="2"/>
          <w:sz w:val="28"/>
          <w:szCs w:val="28"/>
          <w:highlight w:val="none"/>
        </w:rPr>
        <w:t>三、港口岸线资源综合评价</w:t>
      </w:r>
      <w:bookmarkEnd w:id="197"/>
    </w:p>
    <w:p>
      <w:pPr>
        <w:spacing w:line="408" w:lineRule="auto"/>
        <w:ind w:firstLine="560" w:firstLineChars="200"/>
        <w:rPr>
          <w:kern w:val="0"/>
          <w:sz w:val="28"/>
          <w:szCs w:val="28"/>
          <w:highlight w:val="none"/>
        </w:rPr>
      </w:pPr>
      <w:r>
        <w:rPr>
          <w:kern w:val="0"/>
          <w:sz w:val="28"/>
          <w:szCs w:val="28"/>
          <w:highlight w:val="none"/>
        </w:rPr>
        <w:t>综上所述，乐山港岸线资源主要具有以下特点：</w:t>
      </w:r>
    </w:p>
    <w:p>
      <w:pPr>
        <w:pStyle w:val="2"/>
        <w:spacing w:line="360" w:lineRule="auto"/>
        <w:ind w:firstLine="562" w:firstLineChars="200"/>
        <w:rPr>
          <w:rFonts w:ascii="Times New Roman" w:cs="Times New Roman"/>
          <w:color w:val="auto"/>
          <w:sz w:val="28"/>
          <w:szCs w:val="28"/>
          <w:highlight w:val="none"/>
        </w:rPr>
      </w:pPr>
      <w:r>
        <w:rPr>
          <w:rFonts w:ascii="Times New Roman" w:cs="Times New Roman"/>
          <w:b/>
          <w:color w:val="auto"/>
          <w:sz w:val="28"/>
          <w:szCs w:val="28"/>
          <w:highlight w:val="none"/>
        </w:rPr>
        <w:t>宜港岸线资源较为丰富、开发潜力大</w:t>
      </w:r>
      <w:r>
        <w:rPr>
          <w:rFonts w:ascii="Times New Roman" w:cs="Times New Roman"/>
          <w:color w:val="auto"/>
          <w:sz w:val="28"/>
          <w:szCs w:val="28"/>
          <w:highlight w:val="none"/>
        </w:rPr>
        <w:t>。乐山境内水运资源丰富，岷江、大渡河、青衣江三江汇集。岷江航电开发正在大力推进，大渡河、青衣江等支流上梯级枢纽多数已建成，形成深水库区。未来岷江航道将达到Ⅲ级，岷江沿线支流也会形成梯级回水区，加上已建梯级库区，岸线资源较为丰富，具有水深条件较好、河势稳定、冲淤变化不大等建港优势。</w:t>
      </w:r>
    </w:p>
    <w:p>
      <w:pPr>
        <w:pStyle w:val="2"/>
        <w:spacing w:line="360" w:lineRule="auto"/>
        <w:ind w:firstLine="562" w:firstLineChars="200"/>
        <w:rPr>
          <w:rFonts w:ascii="Times New Roman" w:cs="Times New Roman"/>
          <w:color w:val="auto"/>
          <w:sz w:val="28"/>
          <w:szCs w:val="28"/>
          <w:highlight w:val="none"/>
        </w:rPr>
      </w:pPr>
      <w:r>
        <w:rPr>
          <w:rFonts w:ascii="Times New Roman" w:cs="Times New Roman"/>
          <w:b/>
          <w:color w:val="auto"/>
          <w:sz w:val="28"/>
          <w:szCs w:val="28"/>
          <w:highlight w:val="none"/>
        </w:rPr>
        <w:t>规划范围内岸线利用程度较低。</w:t>
      </w:r>
      <w:r>
        <w:rPr>
          <w:rFonts w:ascii="Times New Roman" w:cs="Times New Roman"/>
          <w:color w:val="auto"/>
          <w:sz w:val="28"/>
          <w:szCs w:val="28"/>
          <w:highlight w:val="none"/>
        </w:rPr>
        <w:t>大部分岸线为旅游码头、客渡码头、砂石码头占用，原有中小码头分布比较分散，布局不合理，造成岸线利用零乱，局部岸线资源浪费。有城镇、工厂分布和集疏运条件好的岸线开发利用程度相对较高，其余岸线利用程度不高，基本保持自然状态或以农业用地为主。</w:t>
      </w:r>
    </w:p>
    <w:p>
      <w:pPr>
        <w:pStyle w:val="2"/>
        <w:spacing w:line="360" w:lineRule="auto"/>
        <w:ind w:firstLine="562" w:firstLineChars="200"/>
        <w:rPr>
          <w:rFonts w:ascii="Times New Roman" w:cs="Times New Roman"/>
          <w:color w:val="auto"/>
          <w:sz w:val="28"/>
          <w:szCs w:val="28"/>
          <w:highlight w:val="none"/>
        </w:rPr>
      </w:pPr>
      <w:r>
        <w:rPr>
          <w:rFonts w:ascii="Times New Roman" w:cs="Times New Roman"/>
          <w:b/>
          <w:color w:val="auto"/>
          <w:sz w:val="28"/>
          <w:szCs w:val="28"/>
          <w:highlight w:val="none"/>
        </w:rPr>
        <w:t>宜港岸线资源分布不均。</w:t>
      </w:r>
      <w:r>
        <w:rPr>
          <w:rFonts w:ascii="Times New Roman" w:cs="Times New Roman"/>
          <w:color w:val="auto"/>
          <w:sz w:val="28"/>
          <w:szCs w:val="28"/>
          <w:highlight w:val="none"/>
        </w:rPr>
        <w:t>总体来看，岷江沿岸城市密集分布，占用较多岸线，且岷江上分布有岷江长吻鮠国家级水产种质资源保护区、乐山大佛风景名胜区等生态敏感因素，可开发利用岸线少；大渡河、青衣江等支流库区航道上，岸线资源比较丰富，岸线开发利用率低。此外，岷江航道上下游岸线资源分布也不均衡，上游为市中区、五通桥区，社会经济发展快，城镇、工厂密集，占用岸线较多，可开发利用岸线少，特别是货运岸线；下游犍为港区岸线开发利用程度较低，且犍为枢纽、龙溪口枢纽建设推进顺利，可大规模成片开发利用岸线较多。</w:t>
      </w:r>
    </w:p>
    <w:p>
      <w:pPr>
        <w:pStyle w:val="2"/>
        <w:spacing w:line="360" w:lineRule="auto"/>
        <w:ind w:firstLine="562" w:firstLineChars="200"/>
        <w:rPr>
          <w:rFonts w:ascii="Times New Roman" w:cs="Times New Roman"/>
          <w:color w:val="auto"/>
          <w:sz w:val="28"/>
          <w:szCs w:val="28"/>
          <w:highlight w:val="none"/>
        </w:rPr>
      </w:pPr>
      <w:r>
        <w:rPr>
          <w:rFonts w:ascii="Times New Roman" w:cs="Times New Roman"/>
          <w:b/>
          <w:color w:val="auto"/>
          <w:sz w:val="28"/>
          <w:szCs w:val="28"/>
          <w:highlight w:val="none"/>
        </w:rPr>
        <w:t>具有大规模成片开发的条件</w:t>
      </w:r>
      <w:r>
        <w:rPr>
          <w:rFonts w:ascii="Times New Roman" w:cs="Times New Roman"/>
          <w:color w:val="auto"/>
          <w:sz w:val="28"/>
          <w:szCs w:val="28"/>
          <w:highlight w:val="none"/>
        </w:rPr>
        <w:t>。因岷江航电开发推进缓慢，自《乐山港总体规划》2010年批复以来，乐山港未进行大规模开发建设，岸线资源相对丰富，特别是老江坝、高石坝等岸线，水域条件良好，后方陆域开阔，适合布置大型的综合货运作业区和临港工业，集疏运条件良好，能实现铁、公、水的有效衔接，有望成为临港工业聚集的“洼地”。</w:t>
      </w:r>
    </w:p>
    <w:p>
      <w:pPr>
        <w:pStyle w:val="2"/>
        <w:spacing w:line="360" w:lineRule="auto"/>
        <w:ind w:firstLine="562" w:firstLineChars="200"/>
        <w:rPr>
          <w:rFonts w:ascii="Times New Roman" w:cs="Times New Roman"/>
          <w:color w:val="auto"/>
          <w:sz w:val="28"/>
          <w:szCs w:val="28"/>
          <w:highlight w:val="none"/>
        </w:rPr>
      </w:pPr>
      <w:r>
        <w:rPr>
          <w:rFonts w:ascii="Times New Roman" w:cs="Times New Roman"/>
          <w:b/>
          <w:color w:val="auto"/>
          <w:sz w:val="28"/>
          <w:szCs w:val="28"/>
          <w:highlight w:val="none"/>
        </w:rPr>
        <w:t>优良宜港岸线资源有限，亟待保护</w:t>
      </w:r>
      <w:r>
        <w:rPr>
          <w:rFonts w:ascii="Times New Roman" w:cs="Times New Roman"/>
          <w:color w:val="auto"/>
          <w:sz w:val="28"/>
          <w:szCs w:val="28"/>
          <w:highlight w:val="none"/>
        </w:rPr>
        <w:t>。乐山港宜港岸线资源比较丰富，但适宜成片开发的优良宜港岸线资源有限，且岸线资源在河流之间、河流上下游分布不均衡。靠近市中区、深入成都经济区货源腹地、适宜大规模成片开发的岸线目前仅有老江坝、高石坝、罗家坝等岸线，港口岸线资源亟待加强控制和保护。</w:t>
      </w:r>
    </w:p>
    <w:p>
      <w:pPr>
        <w:spacing w:before="156" w:beforeLines="50" w:after="156" w:afterLines="50" w:line="520" w:lineRule="exact"/>
        <w:jc w:val="center"/>
        <w:outlineLvl w:val="1"/>
        <w:rPr>
          <w:rFonts w:eastAsia="黑体"/>
          <w:b/>
          <w:sz w:val="30"/>
          <w:highlight w:val="none"/>
        </w:rPr>
      </w:pPr>
      <w:bookmarkStart w:id="198" w:name="_Toc77781914"/>
      <w:r>
        <w:rPr>
          <w:rFonts w:eastAsia="黑体"/>
          <w:b/>
          <w:sz w:val="30"/>
          <w:highlight w:val="none"/>
        </w:rPr>
        <w:t>第二节</w:t>
      </w:r>
      <w:r>
        <w:rPr>
          <w:rFonts w:hint="eastAsia" w:eastAsia="黑体"/>
          <w:b/>
          <w:sz w:val="30"/>
          <w:highlight w:val="none"/>
        </w:rPr>
        <w:t xml:space="preserve"> </w:t>
      </w:r>
      <w:r>
        <w:rPr>
          <w:rFonts w:eastAsia="黑体"/>
          <w:b/>
          <w:sz w:val="30"/>
          <w:highlight w:val="none"/>
        </w:rPr>
        <w:t>港口岸线利用规划</w:t>
      </w:r>
      <w:bookmarkEnd w:id="198"/>
    </w:p>
    <w:p>
      <w:pPr>
        <w:pStyle w:val="2"/>
        <w:spacing w:line="360" w:lineRule="auto"/>
        <w:ind w:firstLine="562" w:firstLineChars="200"/>
        <w:outlineLvl w:val="2"/>
        <w:rPr>
          <w:rFonts w:ascii="Times New Roman" w:eastAsia="黑体" w:cs="Times New Roman"/>
          <w:b/>
          <w:color w:val="auto"/>
          <w:kern w:val="2"/>
          <w:sz w:val="28"/>
          <w:szCs w:val="28"/>
          <w:highlight w:val="none"/>
        </w:rPr>
      </w:pPr>
      <w:bookmarkStart w:id="199" w:name="_Toc77781915"/>
      <w:r>
        <w:rPr>
          <w:rFonts w:ascii="Times New Roman" w:eastAsia="黑体" w:cs="Times New Roman"/>
          <w:b/>
          <w:color w:val="auto"/>
          <w:kern w:val="2"/>
          <w:sz w:val="28"/>
          <w:szCs w:val="28"/>
          <w:highlight w:val="none"/>
        </w:rPr>
        <w:t>一、规划原则</w:t>
      </w:r>
      <w:bookmarkEnd w:id="199"/>
    </w:p>
    <w:p>
      <w:pPr>
        <w:pStyle w:val="2"/>
        <w:spacing w:line="360" w:lineRule="auto"/>
        <w:ind w:firstLine="561"/>
        <w:outlineLvl w:val="3"/>
        <w:rPr>
          <w:rFonts w:ascii="Times New Roman" w:cs="Times New Roman"/>
          <w:b/>
          <w:color w:val="auto"/>
          <w:sz w:val="28"/>
          <w:szCs w:val="28"/>
          <w:highlight w:val="none"/>
        </w:rPr>
      </w:pPr>
      <w:r>
        <w:rPr>
          <w:rFonts w:ascii="Times New Roman" w:cs="Times New Roman"/>
          <w:b/>
          <w:color w:val="auto"/>
          <w:sz w:val="28"/>
          <w:szCs w:val="28"/>
          <w:highlight w:val="none"/>
        </w:rPr>
        <w:t>（一）生态优先、绿色发展</w:t>
      </w:r>
    </w:p>
    <w:p>
      <w:pPr>
        <w:pStyle w:val="2"/>
        <w:spacing w:line="360" w:lineRule="auto"/>
        <w:ind w:firstLine="560"/>
        <w:rPr>
          <w:rFonts w:ascii="Times New Roman" w:cs="Times New Roman"/>
          <w:color w:val="auto"/>
          <w:sz w:val="28"/>
          <w:szCs w:val="28"/>
          <w:highlight w:val="none"/>
        </w:rPr>
      </w:pPr>
      <w:r>
        <w:rPr>
          <w:rFonts w:ascii="Times New Roman" w:cs="Times New Roman"/>
          <w:color w:val="auto"/>
          <w:sz w:val="28"/>
          <w:szCs w:val="28"/>
          <w:highlight w:val="none"/>
        </w:rPr>
        <w:t>坚持以生态优先、绿色发展为导向，注重保护生态环境，珍惜岸线资源、土地资源、临水旅游资源，主动避开环境敏感要素和永久基本农田，与生态环境协调发展。</w:t>
      </w:r>
    </w:p>
    <w:p>
      <w:pPr>
        <w:pStyle w:val="2"/>
        <w:spacing w:line="360" w:lineRule="auto"/>
        <w:ind w:firstLine="561"/>
        <w:outlineLvl w:val="3"/>
        <w:rPr>
          <w:rFonts w:ascii="Times New Roman" w:cs="Times New Roman"/>
          <w:b/>
          <w:color w:val="auto"/>
          <w:sz w:val="28"/>
          <w:szCs w:val="28"/>
          <w:highlight w:val="none"/>
        </w:rPr>
      </w:pPr>
      <w:r>
        <w:rPr>
          <w:rFonts w:ascii="Times New Roman" w:cs="Times New Roman"/>
          <w:b/>
          <w:color w:val="auto"/>
          <w:sz w:val="28"/>
          <w:szCs w:val="28"/>
          <w:highlight w:val="none"/>
        </w:rPr>
        <w:t>（二）远近结合、协调发展</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结合各地区航道条件，立足当前，着眼长远，远近结合、层次分明，既注重近期发展，又要保护港口岸线资源，为远期发展留有足够余地，使港口发展有充分的弹性，对情况变化具有较高的适应性。同时确保港口岸线规划与土地利用规划、城镇体系规划、产业布局规划和综合交通规划等相衔接，充分考虑各行业和城市发展对岸线的需求，统筹规划，保证港口岸线利用结构优化。</w:t>
      </w:r>
    </w:p>
    <w:p>
      <w:pPr>
        <w:pStyle w:val="2"/>
        <w:spacing w:line="360" w:lineRule="auto"/>
        <w:ind w:firstLine="561"/>
        <w:outlineLvl w:val="3"/>
        <w:rPr>
          <w:rFonts w:ascii="Times New Roman" w:cs="Times New Roman"/>
          <w:b/>
          <w:color w:val="auto"/>
          <w:sz w:val="28"/>
          <w:szCs w:val="28"/>
          <w:highlight w:val="none"/>
        </w:rPr>
      </w:pPr>
      <w:r>
        <w:rPr>
          <w:rFonts w:ascii="Times New Roman" w:cs="Times New Roman"/>
          <w:b/>
          <w:color w:val="auto"/>
          <w:sz w:val="28"/>
          <w:szCs w:val="28"/>
          <w:highlight w:val="none"/>
        </w:rPr>
        <w:t>（三）合理开发、有效保护</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岸线是不可再生的宝贵资源。岸线资源的开发利用要按照港口规划，结合通航枢纽工程和通航条件依序合理开发、深水深用，合理布局，科学开发岸线；要充分考虑港口未来发展需要，对规划期内暂未利用的岸线应进行有效保护，以保证港口可持续发展的需求。</w:t>
      </w:r>
    </w:p>
    <w:p>
      <w:pPr>
        <w:pStyle w:val="2"/>
        <w:spacing w:line="360" w:lineRule="auto"/>
        <w:ind w:firstLine="561"/>
        <w:outlineLvl w:val="3"/>
        <w:rPr>
          <w:rFonts w:ascii="Times New Roman" w:cs="Times New Roman"/>
          <w:b/>
          <w:color w:val="auto"/>
          <w:sz w:val="28"/>
          <w:szCs w:val="28"/>
          <w:highlight w:val="none"/>
        </w:rPr>
      </w:pPr>
      <w:r>
        <w:rPr>
          <w:rFonts w:ascii="Times New Roman" w:cs="Times New Roman"/>
          <w:b/>
          <w:color w:val="auto"/>
          <w:sz w:val="28"/>
          <w:szCs w:val="28"/>
          <w:highlight w:val="none"/>
        </w:rPr>
        <w:t>（四）调整结构、集约利用</w:t>
      </w:r>
    </w:p>
    <w:p>
      <w:pPr>
        <w:pStyle w:val="2"/>
        <w:spacing w:line="360" w:lineRule="auto"/>
        <w:ind w:firstLine="560" w:firstLineChars="200"/>
        <w:rPr>
          <w:rFonts w:ascii="Times New Roman" w:cs="Times New Roman"/>
          <w:b/>
          <w:color w:val="auto"/>
          <w:sz w:val="28"/>
          <w:szCs w:val="28"/>
          <w:highlight w:val="none"/>
        </w:rPr>
      </w:pPr>
      <w:r>
        <w:rPr>
          <w:rFonts w:ascii="Times New Roman" w:cs="Times New Roman"/>
          <w:color w:val="auto"/>
          <w:sz w:val="28"/>
          <w:szCs w:val="28"/>
          <w:highlight w:val="none"/>
        </w:rPr>
        <w:t>在推动供给侧改革、实现高质量发展的背景下，港口总体规划修编中岸线利用规划宜重点调整岸线结构，实现岸线集约利用。即在保持货运岸线规模基本不变的基础上，适当扩大规划范围、客运岸线规模，增加水上公共服务岸线、修造船岸线、城市生活岸线等功能岸线，满足经济社会发展要求，支撑“交通+旅游”融合发展，推动乐山港高质量发展。</w:t>
      </w:r>
    </w:p>
    <w:p>
      <w:pPr>
        <w:pStyle w:val="2"/>
        <w:spacing w:line="360" w:lineRule="auto"/>
        <w:ind w:firstLine="562" w:firstLineChars="200"/>
        <w:outlineLvl w:val="2"/>
        <w:rPr>
          <w:rFonts w:ascii="Times New Roman" w:eastAsia="黑体" w:cs="Times New Roman"/>
          <w:b/>
          <w:color w:val="auto"/>
          <w:kern w:val="2"/>
          <w:sz w:val="28"/>
          <w:szCs w:val="28"/>
          <w:highlight w:val="none"/>
        </w:rPr>
      </w:pPr>
      <w:bookmarkStart w:id="200" w:name="_Toc77781916"/>
      <w:r>
        <w:rPr>
          <w:rFonts w:ascii="Times New Roman" w:eastAsia="黑体" w:cs="Times New Roman"/>
          <w:b/>
          <w:color w:val="auto"/>
          <w:kern w:val="2"/>
          <w:sz w:val="28"/>
          <w:szCs w:val="28"/>
          <w:highlight w:val="none"/>
        </w:rPr>
        <w:t>二、港口岸线利用规划</w:t>
      </w:r>
      <w:bookmarkEnd w:id="200"/>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根据乐山市岸线资源特点、经济运量预测、城市总体规划、产业布局规划、旅游规划和腹地交通发展规划，综合考虑近期建设及长远发展需要，经分析比较，在规划中将岸线划分为：货运岸线、客运岸线、</w:t>
      </w:r>
      <w:r>
        <w:rPr>
          <w:rFonts w:hint="eastAsia" w:ascii="Times New Roman" w:cs="Times New Roman"/>
          <w:color w:val="auto"/>
          <w:sz w:val="28"/>
          <w:szCs w:val="28"/>
          <w:highlight w:val="none"/>
        </w:rPr>
        <w:t>支持保障岸线</w:t>
      </w:r>
      <w:r>
        <w:rPr>
          <w:rFonts w:ascii="Times New Roman" w:cs="Times New Roman"/>
          <w:color w:val="auto"/>
          <w:sz w:val="28"/>
          <w:szCs w:val="28"/>
          <w:highlight w:val="none"/>
        </w:rPr>
        <w:t>。</w:t>
      </w:r>
    </w:p>
    <w:p>
      <w:pPr>
        <w:pStyle w:val="2"/>
        <w:spacing w:line="360" w:lineRule="auto"/>
        <w:ind w:firstLine="560" w:firstLineChars="200"/>
        <w:rPr>
          <w:rFonts w:ascii="Times New Roman" w:cs="Times New Roman"/>
          <w:color w:val="auto"/>
          <w:sz w:val="28"/>
          <w:szCs w:val="28"/>
          <w:highlight w:val="none"/>
        </w:rPr>
      </w:pPr>
      <w:r>
        <w:rPr>
          <w:rFonts w:hint="eastAsia" w:ascii="Times New Roman" w:cs="Times New Roman"/>
          <w:color w:val="auto"/>
          <w:sz w:val="28"/>
          <w:szCs w:val="28"/>
          <w:highlight w:val="none"/>
        </w:rPr>
        <w:t>乐山港本次共规划各类宜港</w:t>
      </w:r>
      <w:r>
        <w:rPr>
          <w:rFonts w:hint="eastAsia" w:ascii="Times New Roman" w:cs="Times New Roman"/>
          <w:b/>
          <w:bCs/>
          <w:color w:val="auto"/>
          <w:sz w:val="28"/>
          <w:szCs w:val="28"/>
          <w:highlight w:val="none"/>
        </w:rPr>
        <w:t>岸线</w:t>
      </w:r>
      <w:r>
        <w:rPr>
          <w:rFonts w:ascii="Times New Roman" w:cs="Times New Roman"/>
          <w:b/>
          <w:bCs/>
          <w:color w:val="auto"/>
          <w:sz w:val="28"/>
          <w:szCs w:val="28"/>
          <w:highlight w:val="none"/>
        </w:rPr>
        <w:t>16075m</w:t>
      </w:r>
      <w:r>
        <w:rPr>
          <w:rFonts w:hint="eastAsia" w:ascii="Times New Roman" w:cs="Times New Roman"/>
          <w:color w:val="auto"/>
          <w:sz w:val="28"/>
          <w:szCs w:val="28"/>
          <w:highlight w:val="none"/>
        </w:rPr>
        <w:t>，其中已利用岸线</w:t>
      </w:r>
      <w:r>
        <w:rPr>
          <w:rFonts w:ascii="Times New Roman" w:cs="Times New Roman"/>
          <w:color w:val="auto"/>
          <w:sz w:val="28"/>
          <w:szCs w:val="28"/>
          <w:highlight w:val="none"/>
        </w:rPr>
        <w:t>3155m</w:t>
      </w:r>
      <w:r>
        <w:rPr>
          <w:rFonts w:hint="eastAsia" w:ascii="Times New Roman" w:cs="Times New Roman"/>
          <w:color w:val="auto"/>
          <w:sz w:val="28"/>
          <w:szCs w:val="28"/>
          <w:highlight w:val="none"/>
        </w:rPr>
        <w:t>。规划</w:t>
      </w:r>
      <w:r>
        <w:rPr>
          <w:rFonts w:hint="eastAsia" w:ascii="Times New Roman" w:cs="Times New Roman"/>
          <w:b/>
          <w:bCs/>
          <w:color w:val="auto"/>
          <w:sz w:val="28"/>
          <w:szCs w:val="28"/>
          <w:highlight w:val="none"/>
        </w:rPr>
        <w:t>客运岸线</w:t>
      </w:r>
      <w:r>
        <w:rPr>
          <w:rFonts w:ascii="Times New Roman" w:cs="Times New Roman"/>
          <w:b/>
          <w:bCs/>
          <w:color w:val="auto"/>
          <w:sz w:val="28"/>
          <w:szCs w:val="28"/>
          <w:highlight w:val="none"/>
        </w:rPr>
        <w:t>29</w:t>
      </w:r>
      <w:r>
        <w:rPr>
          <w:rFonts w:hint="eastAsia" w:ascii="Times New Roman" w:cs="Times New Roman"/>
          <w:b/>
          <w:bCs/>
          <w:color w:val="auto"/>
          <w:sz w:val="28"/>
          <w:szCs w:val="28"/>
          <w:highlight w:val="none"/>
        </w:rPr>
        <w:t>段，总长</w:t>
      </w:r>
      <w:r>
        <w:rPr>
          <w:rFonts w:ascii="Times New Roman" w:cs="Times New Roman"/>
          <w:b/>
          <w:bCs/>
          <w:color w:val="auto"/>
          <w:sz w:val="28"/>
          <w:szCs w:val="28"/>
          <w:highlight w:val="none"/>
        </w:rPr>
        <w:t>6110m</w:t>
      </w:r>
      <w:r>
        <w:rPr>
          <w:rFonts w:hint="eastAsia" w:ascii="Times New Roman" w:cs="Times New Roman"/>
          <w:b/>
          <w:bCs/>
          <w:color w:val="auto"/>
          <w:sz w:val="28"/>
          <w:szCs w:val="28"/>
          <w:highlight w:val="none"/>
        </w:rPr>
        <w:t>；规划货运岸线</w:t>
      </w:r>
      <w:r>
        <w:rPr>
          <w:rFonts w:ascii="Times New Roman" w:cs="Times New Roman"/>
          <w:b/>
          <w:bCs/>
          <w:color w:val="auto"/>
          <w:sz w:val="28"/>
          <w:szCs w:val="28"/>
          <w:highlight w:val="none"/>
        </w:rPr>
        <w:t>14</w:t>
      </w:r>
      <w:r>
        <w:rPr>
          <w:rFonts w:hint="eastAsia" w:ascii="Times New Roman" w:cs="Times New Roman"/>
          <w:b/>
          <w:bCs/>
          <w:color w:val="auto"/>
          <w:sz w:val="28"/>
          <w:szCs w:val="28"/>
          <w:highlight w:val="none"/>
        </w:rPr>
        <w:t>段，总长</w:t>
      </w:r>
      <w:r>
        <w:rPr>
          <w:rFonts w:ascii="Times New Roman" w:cs="Times New Roman"/>
          <w:b/>
          <w:bCs/>
          <w:color w:val="auto"/>
          <w:sz w:val="28"/>
          <w:szCs w:val="28"/>
          <w:highlight w:val="none"/>
        </w:rPr>
        <w:t>7990m</w:t>
      </w:r>
      <w:r>
        <w:rPr>
          <w:rFonts w:hint="eastAsia" w:ascii="Times New Roman" w:cs="Times New Roman"/>
          <w:b/>
          <w:bCs/>
          <w:color w:val="auto"/>
          <w:sz w:val="28"/>
          <w:szCs w:val="28"/>
          <w:highlight w:val="none"/>
        </w:rPr>
        <w:t>；规划支持保障岸线</w:t>
      </w:r>
      <w:r>
        <w:rPr>
          <w:rFonts w:ascii="Times New Roman" w:cs="Times New Roman"/>
          <w:b/>
          <w:bCs/>
          <w:color w:val="auto"/>
          <w:sz w:val="28"/>
          <w:szCs w:val="28"/>
          <w:highlight w:val="none"/>
        </w:rPr>
        <w:t>13</w:t>
      </w:r>
      <w:r>
        <w:rPr>
          <w:rFonts w:hint="eastAsia" w:ascii="Times New Roman" w:cs="Times New Roman"/>
          <w:b/>
          <w:bCs/>
          <w:color w:val="auto"/>
          <w:sz w:val="28"/>
          <w:szCs w:val="28"/>
          <w:highlight w:val="none"/>
        </w:rPr>
        <w:t>段，总长</w:t>
      </w:r>
      <w:r>
        <w:rPr>
          <w:rFonts w:ascii="Times New Roman" w:cs="Times New Roman"/>
          <w:b/>
          <w:bCs/>
          <w:color w:val="auto"/>
          <w:sz w:val="28"/>
          <w:szCs w:val="28"/>
          <w:highlight w:val="none"/>
        </w:rPr>
        <w:t>1975m</w:t>
      </w:r>
      <w:r>
        <w:rPr>
          <w:rFonts w:hint="eastAsia" w:ascii="Times New Roman" w:cs="Times New Roman"/>
          <w:b/>
          <w:bCs/>
          <w:color w:val="auto"/>
          <w:sz w:val="28"/>
          <w:szCs w:val="28"/>
          <w:highlight w:val="none"/>
        </w:rPr>
        <w:t>，用于港航管理、船舶修造、水上公共服务</w:t>
      </w:r>
      <w:r>
        <w:rPr>
          <w:rFonts w:hint="eastAsia" w:ascii="Times New Roman" w:cs="Times New Roman"/>
          <w:color w:val="auto"/>
          <w:sz w:val="28"/>
          <w:szCs w:val="28"/>
          <w:highlight w:val="none"/>
        </w:rPr>
        <w:t>。乐山港各江河岸线利用规划见表</w:t>
      </w:r>
      <w:r>
        <w:rPr>
          <w:rFonts w:ascii="Times New Roman" w:cs="Times New Roman"/>
          <w:color w:val="auto"/>
          <w:sz w:val="28"/>
          <w:szCs w:val="28"/>
          <w:highlight w:val="none"/>
        </w:rPr>
        <w:t>4.2-1</w:t>
      </w:r>
      <w:r>
        <w:rPr>
          <w:rFonts w:hint="eastAsia" w:ascii="Times New Roman" w:cs="Times New Roman"/>
          <w:color w:val="auto"/>
          <w:sz w:val="28"/>
          <w:szCs w:val="28"/>
          <w:highlight w:val="none"/>
        </w:rPr>
        <w:t>、表</w:t>
      </w:r>
      <w:r>
        <w:rPr>
          <w:rFonts w:ascii="Times New Roman" w:cs="Times New Roman"/>
          <w:color w:val="auto"/>
          <w:sz w:val="28"/>
          <w:szCs w:val="28"/>
          <w:highlight w:val="none"/>
        </w:rPr>
        <w:t>4.2-4</w:t>
      </w:r>
      <w:r>
        <w:rPr>
          <w:rFonts w:hint="eastAsia" w:ascii="Times New Roman" w:cs="Times New Roman"/>
          <w:color w:val="auto"/>
          <w:sz w:val="28"/>
          <w:szCs w:val="28"/>
          <w:highlight w:val="none"/>
        </w:rPr>
        <w:t>和附图</w:t>
      </w:r>
      <w:r>
        <w:rPr>
          <w:rFonts w:ascii="Times New Roman" w:cs="Times New Roman"/>
          <w:color w:val="auto"/>
          <w:sz w:val="28"/>
          <w:szCs w:val="28"/>
          <w:highlight w:val="none"/>
        </w:rPr>
        <w:t>03-1</w:t>
      </w:r>
      <w:r>
        <w:rPr>
          <w:rFonts w:hint="eastAsia" w:ascii="Times New Roman" w:cs="Times New Roman"/>
          <w:color w:val="auto"/>
          <w:sz w:val="28"/>
          <w:szCs w:val="28"/>
          <w:highlight w:val="none"/>
        </w:rPr>
        <w:t>、</w:t>
      </w:r>
      <w:r>
        <w:rPr>
          <w:rFonts w:ascii="Times New Roman" w:cs="Times New Roman"/>
          <w:color w:val="auto"/>
          <w:sz w:val="28"/>
          <w:szCs w:val="28"/>
          <w:highlight w:val="none"/>
        </w:rPr>
        <w:t>03-2</w:t>
      </w:r>
      <w:r>
        <w:rPr>
          <w:rFonts w:hint="eastAsia" w:ascii="Times New Roman" w:cs="Times New Roman"/>
          <w:color w:val="auto"/>
          <w:sz w:val="28"/>
          <w:szCs w:val="28"/>
          <w:highlight w:val="none"/>
        </w:rPr>
        <w:t>。</w:t>
      </w:r>
    </w:p>
    <w:p>
      <w:pPr>
        <w:ind w:firstLine="480"/>
        <w:jc w:val="center"/>
        <w:rPr>
          <w:kern w:val="0"/>
          <w:sz w:val="24"/>
          <w:highlight w:val="none"/>
        </w:rPr>
      </w:pPr>
      <w:r>
        <w:rPr>
          <w:rFonts w:hint="eastAsia" w:eastAsia="黑体"/>
          <w:sz w:val="28"/>
          <w:szCs w:val="28"/>
          <w:highlight w:val="none"/>
        </w:rPr>
        <w:t>表</w:t>
      </w:r>
      <w:r>
        <w:rPr>
          <w:rFonts w:eastAsia="黑体"/>
          <w:sz w:val="28"/>
          <w:szCs w:val="28"/>
          <w:highlight w:val="none"/>
        </w:rPr>
        <w:t xml:space="preserve">4.2-1 </w:t>
      </w:r>
      <w:r>
        <w:rPr>
          <w:rFonts w:hint="eastAsia" w:eastAsia="黑体"/>
          <w:sz w:val="28"/>
          <w:szCs w:val="28"/>
          <w:highlight w:val="none"/>
        </w:rPr>
        <w:t>乐山港主要岸线利用规划汇总表</w:t>
      </w:r>
    </w:p>
    <w:tbl>
      <w:tblPr>
        <w:tblStyle w:val="32"/>
        <w:tblW w:w="5000" w:type="pct"/>
        <w:tblInd w:w="0" w:type="dxa"/>
        <w:tblLayout w:type="autofit"/>
        <w:tblCellMar>
          <w:top w:w="0" w:type="dxa"/>
          <w:left w:w="108" w:type="dxa"/>
          <w:bottom w:w="0" w:type="dxa"/>
          <w:right w:w="108" w:type="dxa"/>
        </w:tblCellMar>
      </w:tblPr>
      <w:tblGrid>
        <w:gridCol w:w="2074"/>
        <w:gridCol w:w="2368"/>
        <w:gridCol w:w="2634"/>
        <w:gridCol w:w="2210"/>
      </w:tblGrid>
      <w:tr>
        <w:tblPrEx>
          <w:tblCellMar>
            <w:top w:w="0" w:type="dxa"/>
            <w:left w:w="108" w:type="dxa"/>
            <w:bottom w:w="0" w:type="dxa"/>
            <w:right w:w="108" w:type="dxa"/>
          </w:tblCellMar>
        </w:tblPrEx>
        <w:trPr>
          <w:trHeight w:val="891" w:hRule="atLeast"/>
          <w:tblHeader/>
        </w:trPr>
        <w:tc>
          <w:tcPr>
            <w:tcW w:w="1117" w:type="pct"/>
            <w:tcBorders>
              <w:top w:val="thinThickSmallGap" w:color="auto" w:sz="18" w:space="0"/>
              <w:left w:val="nil"/>
              <w:bottom w:val="single" w:color="auto" w:sz="4" w:space="0"/>
              <w:right w:val="single" w:color="auto" w:sz="8" w:space="0"/>
            </w:tcBorders>
            <w:shd w:val="clear" w:color="auto" w:fill="auto"/>
            <w:noWrap/>
            <w:vAlign w:val="center"/>
          </w:tcPr>
          <w:p>
            <w:pPr>
              <w:widowControl/>
              <w:jc w:val="center"/>
              <w:rPr>
                <w:b/>
                <w:bCs/>
                <w:kern w:val="0"/>
                <w:sz w:val="24"/>
                <w:highlight w:val="none"/>
              </w:rPr>
            </w:pPr>
            <w:r>
              <w:rPr>
                <w:rFonts w:hint="eastAsia"/>
                <w:b/>
                <w:bCs/>
                <w:kern w:val="0"/>
                <w:sz w:val="24"/>
                <w:highlight w:val="none"/>
              </w:rPr>
              <w:t>名称</w:t>
            </w:r>
          </w:p>
        </w:tc>
        <w:tc>
          <w:tcPr>
            <w:tcW w:w="1275" w:type="pct"/>
            <w:tcBorders>
              <w:top w:val="thinThickSmallGap" w:color="auto" w:sz="18" w:space="0"/>
              <w:left w:val="nil"/>
              <w:bottom w:val="single" w:color="auto" w:sz="4" w:space="0"/>
              <w:right w:val="single" w:color="auto" w:sz="8" w:space="0"/>
            </w:tcBorders>
            <w:shd w:val="clear" w:color="auto" w:fill="auto"/>
            <w:noWrap/>
            <w:vAlign w:val="center"/>
          </w:tcPr>
          <w:p>
            <w:pPr>
              <w:widowControl/>
              <w:jc w:val="center"/>
              <w:rPr>
                <w:b/>
                <w:bCs/>
                <w:kern w:val="0"/>
                <w:sz w:val="24"/>
                <w:highlight w:val="none"/>
              </w:rPr>
            </w:pPr>
            <w:r>
              <w:rPr>
                <w:rFonts w:hint="eastAsia"/>
                <w:b/>
                <w:bCs/>
                <w:kern w:val="0"/>
                <w:sz w:val="24"/>
                <w:highlight w:val="none"/>
              </w:rPr>
              <w:t>规划利用岸线长度</w:t>
            </w:r>
          </w:p>
          <w:p>
            <w:pPr>
              <w:widowControl/>
              <w:jc w:val="center"/>
              <w:rPr>
                <w:b/>
                <w:bCs/>
                <w:kern w:val="0"/>
                <w:sz w:val="24"/>
                <w:highlight w:val="none"/>
              </w:rPr>
            </w:pPr>
            <w:r>
              <w:rPr>
                <w:rFonts w:hint="eastAsia"/>
                <w:b/>
                <w:bCs/>
                <w:kern w:val="0"/>
                <w:sz w:val="24"/>
                <w:highlight w:val="none"/>
              </w:rPr>
              <w:t>（</w:t>
            </w:r>
            <w:r>
              <w:rPr>
                <w:b/>
                <w:bCs/>
                <w:kern w:val="0"/>
                <w:sz w:val="24"/>
                <w:highlight w:val="none"/>
              </w:rPr>
              <w:t>m</w:t>
            </w:r>
            <w:r>
              <w:rPr>
                <w:rFonts w:hint="eastAsia"/>
                <w:b/>
                <w:bCs/>
                <w:kern w:val="0"/>
                <w:sz w:val="24"/>
                <w:highlight w:val="none"/>
              </w:rPr>
              <w:t>）</w:t>
            </w:r>
          </w:p>
        </w:tc>
        <w:tc>
          <w:tcPr>
            <w:tcW w:w="1418" w:type="pct"/>
            <w:tcBorders>
              <w:top w:val="thinThickSmallGap" w:color="auto" w:sz="18" w:space="0"/>
              <w:left w:val="nil"/>
              <w:bottom w:val="single" w:color="auto" w:sz="4" w:space="0"/>
              <w:right w:val="single" w:color="auto" w:sz="4" w:space="0"/>
            </w:tcBorders>
            <w:shd w:val="clear" w:color="auto" w:fill="auto"/>
            <w:noWrap/>
            <w:vAlign w:val="center"/>
          </w:tcPr>
          <w:p>
            <w:pPr>
              <w:widowControl/>
              <w:jc w:val="center"/>
              <w:rPr>
                <w:b/>
                <w:bCs/>
                <w:kern w:val="0"/>
                <w:sz w:val="24"/>
                <w:highlight w:val="none"/>
              </w:rPr>
            </w:pPr>
            <w:r>
              <w:rPr>
                <w:rFonts w:hint="eastAsia"/>
                <w:b/>
                <w:bCs/>
                <w:kern w:val="0"/>
                <w:sz w:val="24"/>
                <w:highlight w:val="none"/>
              </w:rPr>
              <w:t>已利用宜港岸线长度</w:t>
            </w:r>
          </w:p>
          <w:p>
            <w:pPr>
              <w:widowControl/>
              <w:jc w:val="center"/>
              <w:rPr>
                <w:b/>
                <w:bCs/>
                <w:kern w:val="0"/>
                <w:sz w:val="24"/>
                <w:highlight w:val="none"/>
              </w:rPr>
            </w:pPr>
            <w:r>
              <w:rPr>
                <w:rFonts w:hint="eastAsia"/>
                <w:b/>
                <w:bCs/>
                <w:kern w:val="0"/>
                <w:sz w:val="24"/>
                <w:highlight w:val="none"/>
              </w:rPr>
              <w:t>（</w:t>
            </w:r>
            <w:r>
              <w:rPr>
                <w:b/>
                <w:bCs/>
                <w:kern w:val="0"/>
                <w:sz w:val="24"/>
                <w:highlight w:val="none"/>
              </w:rPr>
              <w:t>m</w:t>
            </w:r>
            <w:r>
              <w:rPr>
                <w:rFonts w:hint="eastAsia"/>
                <w:b/>
                <w:bCs/>
                <w:kern w:val="0"/>
                <w:sz w:val="24"/>
                <w:highlight w:val="none"/>
              </w:rPr>
              <w:t>）</w:t>
            </w:r>
          </w:p>
        </w:tc>
        <w:tc>
          <w:tcPr>
            <w:tcW w:w="1191" w:type="pct"/>
            <w:tcBorders>
              <w:top w:val="thinThickSmallGap" w:color="auto" w:sz="18" w:space="0"/>
              <w:left w:val="single" w:color="auto" w:sz="4" w:space="0"/>
              <w:bottom w:val="single" w:color="auto" w:sz="4" w:space="0"/>
              <w:right w:val="nil"/>
            </w:tcBorders>
            <w:vAlign w:val="center"/>
          </w:tcPr>
          <w:p>
            <w:pPr>
              <w:widowControl/>
              <w:jc w:val="center"/>
              <w:rPr>
                <w:b/>
                <w:bCs/>
                <w:kern w:val="0"/>
                <w:sz w:val="24"/>
                <w:highlight w:val="none"/>
              </w:rPr>
            </w:pPr>
            <w:r>
              <w:rPr>
                <w:rFonts w:hint="eastAsia"/>
                <w:b/>
                <w:bCs/>
                <w:kern w:val="0"/>
                <w:sz w:val="24"/>
                <w:highlight w:val="none"/>
              </w:rPr>
              <w:t>备注</w:t>
            </w:r>
          </w:p>
        </w:tc>
      </w:tr>
      <w:tr>
        <w:tblPrEx>
          <w:tblCellMar>
            <w:top w:w="0" w:type="dxa"/>
            <w:left w:w="108" w:type="dxa"/>
            <w:bottom w:w="0" w:type="dxa"/>
            <w:right w:w="108" w:type="dxa"/>
          </w:tblCellMar>
        </w:tblPrEx>
        <w:trPr>
          <w:trHeight w:val="454" w:hRule="atLeast"/>
        </w:trPr>
        <w:tc>
          <w:tcPr>
            <w:tcW w:w="1117" w:type="pct"/>
            <w:tcBorders>
              <w:top w:val="nil"/>
              <w:left w:val="nil"/>
              <w:bottom w:val="single" w:color="auto" w:sz="8" w:space="0"/>
              <w:right w:val="single" w:color="auto" w:sz="8" w:space="0"/>
            </w:tcBorders>
            <w:shd w:val="clear" w:color="auto" w:fill="auto"/>
            <w:noWrap/>
            <w:vAlign w:val="center"/>
          </w:tcPr>
          <w:p>
            <w:pPr>
              <w:widowControl/>
              <w:rPr>
                <w:kern w:val="0"/>
                <w:sz w:val="24"/>
                <w:highlight w:val="none"/>
              </w:rPr>
            </w:pPr>
            <w:r>
              <w:rPr>
                <w:rFonts w:hint="eastAsia"/>
                <w:b/>
                <w:bCs/>
                <w:kern w:val="0"/>
                <w:sz w:val="24"/>
                <w:highlight w:val="none"/>
              </w:rPr>
              <w:t>乐山港</w:t>
            </w:r>
          </w:p>
        </w:tc>
        <w:tc>
          <w:tcPr>
            <w:tcW w:w="1275" w:type="pct"/>
            <w:tcBorders>
              <w:top w:val="nil"/>
              <w:left w:val="nil"/>
              <w:bottom w:val="single" w:color="auto" w:sz="8" w:space="0"/>
              <w:right w:val="single" w:color="auto" w:sz="8" w:space="0"/>
            </w:tcBorders>
            <w:shd w:val="clear" w:color="auto" w:fill="auto"/>
            <w:noWrap/>
            <w:vAlign w:val="center"/>
          </w:tcPr>
          <w:p>
            <w:pPr>
              <w:widowControl/>
              <w:jc w:val="center"/>
              <w:rPr>
                <w:b/>
                <w:bCs/>
                <w:kern w:val="0"/>
                <w:sz w:val="24"/>
                <w:highlight w:val="none"/>
              </w:rPr>
            </w:pPr>
            <w:r>
              <w:rPr>
                <w:b/>
                <w:bCs/>
                <w:kern w:val="0"/>
                <w:sz w:val="24"/>
                <w:highlight w:val="none"/>
              </w:rPr>
              <w:t>16075</w:t>
            </w:r>
          </w:p>
        </w:tc>
        <w:tc>
          <w:tcPr>
            <w:tcW w:w="1418"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b/>
                <w:bCs/>
                <w:kern w:val="0"/>
                <w:sz w:val="24"/>
                <w:highlight w:val="none"/>
              </w:rPr>
            </w:pPr>
            <w:r>
              <w:rPr>
                <w:b/>
                <w:bCs/>
                <w:kern w:val="0"/>
                <w:sz w:val="24"/>
                <w:highlight w:val="none"/>
              </w:rPr>
              <w:t>3155</w:t>
            </w:r>
          </w:p>
        </w:tc>
        <w:tc>
          <w:tcPr>
            <w:tcW w:w="1191" w:type="pct"/>
            <w:tcBorders>
              <w:top w:val="single" w:color="auto" w:sz="4" w:space="0"/>
              <w:left w:val="single" w:color="auto" w:sz="4" w:space="0"/>
              <w:bottom w:val="single" w:color="auto" w:sz="4" w:space="0"/>
              <w:right w:val="nil"/>
            </w:tcBorders>
          </w:tcPr>
          <w:p>
            <w:pPr>
              <w:jc w:val="center"/>
              <w:rPr>
                <w:sz w:val="22"/>
                <w:szCs w:val="22"/>
                <w:highlight w:val="none"/>
              </w:rPr>
            </w:pPr>
          </w:p>
        </w:tc>
      </w:tr>
      <w:tr>
        <w:tblPrEx>
          <w:tblCellMar>
            <w:top w:w="0" w:type="dxa"/>
            <w:left w:w="108" w:type="dxa"/>
            <w:bottom w:w="0" w:type="dxa"/>
            <w:right w:w="108" w:type="dxa"/>
          </w:tblCellMar>
        </w:tblPrEx>
        <w:trPr>
          <w:trHeight w:val="454" w:hRule="atLeast"/>
        </w:trPr>
        <w:tc>
          <w:tcPr>
            <w:tcW w:w="1117" w:type="pct"/>
            <w:tcBorders>
              <w:top w:val="nil"/>
              <w:left w:val="nil"/>
              <w:bottom w:val="single" w:color="auto" w:sz="8" w:space="0"/>
              <w:right w:val="single" w:color="auto" w:sz="8" w:space="0"/>
            </w:tcBorders>
            <w:shd w:val="clear" w:color="auto" w:fill="auto"/>
            <w:noWrap/>
            <w:vAlign w:val="center"/>
          </w:tcPr>
          <w:p>
            <w:pPr>
              <w:widowControl/>
              <w:rPr>
                <w:kern w:val="0"/>
                <w:sz w:val="24"/>
                <w:highlight w:val="none"/>
              </w:rPr>
            </w:pPr>
            <w:r>
              <w:rPr>
                <w:rFonts w:hint="eastAsia"/>
                <w:b/>
                <w:bCs/>
                <w:kern w:val="0"/>
                <w:sz w:val="24"/>
                <w:highlight w:val="none"/>
              </w:rPr>
              <w:t>一、岷江</w:t>
            </w:r>
          </w:p>
        </w:tc>
        <w:tc>
          <w:tcPr>
            <w:tcW w:w="1275" w:type="pct"/>
            <w:tcBorders>
              <w:top w:val="nil"/>
              <w:left w:val="nil"/>
              <w:bottom w:val="single" w:color="auto" w:sz="8" w:space="0"/>
              <w:right w:val="single" w:color="auto" w:sz="8" w:space="0"/>
            </w:tcBorders>
            <w:shd w:val="clear" w:color="auto" w:fill="auto"/>
            <w:noWrap/>
            <w:vAlign w:val="center"/>
          </w:tcPr>
          <w:p>
            <w:pPr>
              <w:widowControl/>
              <w:jc w:val="center"/>
              <w:rPr>
                <w:b/>
                <w:bCs/>
                <w:kern w:val="0"/>
                <w:sz w:val="24"/>
                <w:highlight w:val="none"/>
              </w:rPr>
            </w:pPr>
            <w:r>
              <w:rPr>
                <w:b/>
                <w:bCs/>
                <w:kern w:val="0"/>
                <w:sz w:val="24"/>
                <w:highlight w:val="none"/>
              </w:rPr>
              <w:t>9540</w:t>
            </w:r>
          </w:p>
        </w:tc>
        <w:tc>
          <w:tcPr>
            <w:tcW w:w="1418" w:type="pct"/>
            <w:tcBorders>
              <w:top w:val="single" w:color="auto" w:sz="4" w:space="0"/>
              <w:left w:val="nil"/>
              <w:bottom w:val="single" w:color="auto" w:sz="4" w:space="0"/>
              <w:right w:val="single" w:color="auto" w:sz="4" w:space="0"/>
            </w:tcBorders>
            <w:shd w:val="clear" w:color="auto" w:fill="auto"/>
            <w:noWrap/>
            <w:vAlign w:val="center"/>
          </w:tcPr>
          <w:p>
            <w:pPr>
              <w:jc w:val="center"/>
              <w:rPr>
                <w:b/>
                <w:bCs/>
                <w:kern w:val="0"/>
                <w:sz w:val="24"/>
                <w:highlight w:val="none"/>
              </w:rPr>
            </w:pPr>
            <w:r>
              <w:rPr>
                <w:b/>
                <w:bCs/>
                <w:kern w:val="0"/>
                <w:sz w:val="24"/>
                <w:highlight w:val="none"/>
              </w:rPr>
              <w:t>2220</w:t>
            </w:r>
          </w:p>
        </w:tc>
        <w:tc>
          <w:tcPr>
            <w:tcW w:w="1191" w:type="pct"/>
            <w:tcBorders>
              <w:top w:val="single" w:color="auto" w:sz="4" w:space="0"/>
              <w:left w:val="single" w:color="auto" w:sz="4" w:space="0"/>
              <w:bottom w:val="single" w:color="auto" w:sz="4" w:space="0"/>
              <w:right w:val="nil"/>
            </w:tcBorders>
          </w:tcPr>
          <w:p>
            <w:pPr>
              <w:jc w:val="center"/>
              <w:rPr>
                <w:sz w:val="22"/>
                <w:szCs w:val="22"/>
                <w:highlight w:val="none"/>
              </w:rPr>
            </w:pPr>
          </w:p>
        </w:tc>
      </w:tr>
      <w:tr>
        <w:tblPrEx>
          <w:tblCellMar>
            <w:top w:w="0" w:type="dxa"/>
            <w:left w:w="108" w:type="dxa"/>
            <w:bottom w:w="0" w:type="dxa"/>
            <w:right w:w="108" w:type="dxa"/>
          </w:tblCellMar>
        </w:tblPrEx>
        <w:trPr>
          <w:trHeight w:val="454" w:hRule="atLeast"/>
        </w:trPr>
        <w:tc>
          <w:tcPr>
            <w:tcW w:w="1117" w:type="pct"/>
            <w:tcBorders>
              <w:top w:val="nil"/>
              <w:left w:val="nil"/>
              <w:bottom w:val="single" w:color="auto" w:sz="8" w:space="0"/>
              <w:right w:val="single" w:color="auto" w:sz="8" w:space="0"/>
            </w:tcBorders>
            <w:shd w:val="clear" w:color="auto" w:fill="auto"/>
            <w:noWrap/>
            <w:vAlign w:val="center"/>
          </w:tcPr>
          <w:p>
            <w:pPr>
              <w:widowControl/>
              <w:jc w:val="center"/>
              <w:rPr>
                <w:kern w:val="0"/>
                <w:sz w:val="24"/>
                <w:highlight w:val="none"/>
              </w:rPr>
            </w:pPr>
            <w:r>
              <w:rPr>
                <w:rFonts w:hint="eastAsia"/>
                <w:kern w:val="0"/>
                <w:sz w:val="24"/>
                <w:highlight w:val="none"/>
              </w:rPr>
              <w:t>嘉州港区</w:t>
            </w:r>
          </w:p>
        </w:tc>
        <w:tc>
          <w:tcPr>
            <w:tcW w:w="1275" w:type="pct"/>
            <w:tcBorders>
              <w:top w:val="nil"/>
              <w:left w:val="nil"/>
              <w:bottom w:val="single" w:color="auto" w:sz="8" w:space="0"/>
              <w:right w:val="single" w:color="auto" w:sz="8" w:space="0"/>
            </w:tcBorders>
            <w:shd w:val="clear" w:color="auto" w:fill="auto"/>
            <w:noWrap/>
            <w:vAlign w:val="center"/>
          </w:tcPr>
          <w:p>
            <w:pPr>
              <w:widowControl/>
              <w:jc w:val="center"/>
              <w:rPr>
                <w:kern w:val="0"/>
                <w:sz w:val="24"/>
                <w:highlight w:val="none"/>
              </w:rPr>
            </w:pPr>
            <w:r>
              <w:rPr>
                <w:kern w:val="0"/>
                <w:sz w:val="24"/>
                <w:highlight w:val="none"/>
              </w:rPr>
              <w:t>4365</w:t>
            </w:r>
          </w:p>
        </w:tc>
        <w:tc>
          <w:tcPr>
            <w:tcW w:w="1418" w:type="pct"/>
            <w:tcBorders>
              <w:top w:val="single" w:color="auto" w:sz="4" w:space="0"/>
              <w:left w:val="nil"/>
              <w:bottom w:val="single" w:color="auto" w:sz="4" w:space="0"/>
              <w:right w:val="single" w:color="auto" w:sz="4" w:space="0"/>
            </w:tcBorders>
            <w:shd w:val="clear" w:color="auto" w:fill="auto"/>
            <w:noWrap/>
            <w:vAlign w:val="center"/>
          </w:tcPr>
          <w:p>
            <w:pPr>
              <w:jc w:val="center"/>
              <w:rPr>
                <w:kern w:val="0"/>
                <w:sz w:val="24"/>
                <w:highlight w:val="none"/>
              </w:rPr>
            </w:pPr>
            <w:r>
              <w:rPr>
                <w:kern w:val="0"/>
                <w:sz w:val="24"/>
                <w:highlight w:val="none"/>
              </w:rPr>
              <w:t>915</w:t>
            </w:r>
          </w:p>
        </w:tc>
        <w:tc>
          <w:tcPr>
            <w:tcW w:w="1191" w:type="pct"/>
            <w:tcBorders>
              <w:top w:val="single" w:color="auto" w:sz="4" w:space="0"/>
              <w:left w:val="single" w:color="auto" w:sz="4" w:space="0"/>
              <w:bottom w:val="single" w:color="auto" w:sz="4" w:space="0"/>
              <w:right w:val="nil"/>
            </w:tcBorders>
          </w:tcPr>
          <w:p>
            <w:pPr>
              <w:jc w:val="center"/>
              <w:rPr>
                <w:kern w:val="0"/>
                <w:sz w:val="24"/>
                <w:highlight w:val="none"/>
              </w:rPr>
            </w:pPr>
          </w:p>
        </w:tc>
      </w:tr>
      <w:tr>
        <w:tblPrEx>
          <w:tblCellMar>
            <w:top w:w="0" w:type="dxa"/>
            <w:left w:w="108" w:type="dxa"/>
            <w:bottom w:w="0" w:type="dxa"/>
            <w:right w:w="108" w:type="dxa"/>
          </w:tblCellMar>
        </w:tblPrEx>
        <w:trPr>
          <w:trHeight w:val="454" w:hRule="atLeast"/>
        </w:trPr>
        <w:tc>
          <w:tcPr>
            <w:tcW w:w="1117" w:type="pct"/>
            <w:tcBorders>
              <w:top w:val="nil"/>
              <w:left w:val="nil"/>
              <w:bottom w:val="single" w:color="auto" w:sz="8" w:space="0"/>
              <w:right w:val="single" w:color="auto" w:sz="8" w:space="0"/>
            </w:tcBorders>
            <w:shd w:val="clear" w:color="auto" w:fill="auto"/>
            <w:noWrap/>
            <w:vAlign w:val="center"/>
          </w:tcPr>
          <w:p>
            <w:pPr>
              <w:widowControl/>
              <w:jc w:val="center"/>
              <w:rPr>
                <w:kern w:val="0"/>
                <w:sz w:val="24"/>
                <w:highlight w:val="none"/>
              </w:rPr>
            </w:pPr>
            <w:r>
              <w:rPr>
                <w:rFonts w:hint="eastAsia"/>
                <w:kern w:val="0"/>
                <w:sz w:val="24"/>
                <w:highlight w:val="none"/>
              </w:rPr>
              <w:t>五通桥港区</w:t>
            </w:r>
          </w:p>
        </w:tc>
        <w:tc>
          <w:tcPr>
            <w:tcW w:w="1275" w:type="pct"/>
            <w:tcBorders>
              <w:top w:val="nil"/>
              <w:left w:val="nil"/>
              <w:bottom w:val="single" w:color="auto" w:sz="8" w:space="0"/>
              <w:right w:val="single" w:color="auto" w:sz="8" w:space="0"/>
            </w:tcBorders>
            <w:shd w:val="clear" w:color="auto" w:fill="auto"/>
            <w:noWrap/>
            <w:vAlign w:val="center"/>
          </w:tcPr>
          <w:p>
            <w:pPr>
              <w:widowControl/>
              <w:jc w:val="center"/>
              <w:rPr>
                <w:kern w:val="0"/>
                <w:sz w:val="24"/>
                <w:highlight w:val="none"/>
              </w:rPr>
            </w:pPr>
            <w:r>
              <w:rPr>
                <w:kern w:val="0"/>
                <w:sz w:val="24"/>
                <w:highlight w:val="none"/>
              </w:rPr>
              <w:t>305</w:t>
            </w:r>
          </w:p>
        </w:tc>
        <w:tc>
          <w:tcPr>
            <w:tcW w:w="1418"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kern w:val="0"/>
                <w:sz w:val="24"/>
                <w:highlight w:val="none"/>
              </w:rPr>
            </w:pPr>
            <w:r>
              <w:rPr>
                <w:rFonts w:hint="eastAsia"/>
                <w:kern w:val="0"/>
                <w:sz w:val="24"/>
                <w:highlight w:val="none"/>
              </w:rPr>
              <w:t>3</w:t>
            </w:r>
            <w:r>
              <w:rPr>
                <w:kern w:val="0"/>
                <w:sz w:val="24"/>
                <w:highlight w:val="none"/>
              </w:rPr>
              <w:t>05</w:t>
            </w:r>
          </w:p>
        </w:tc>
        <w:tc>
          <w:tcPr>
            <w:tcW w:w="1191" w:type="pct"/>
            <w:tcBorders>
              <w:top w:val="single" w:color="auto" w:sz="4" w:space="0"/>
              <w:left w:val="single" w:color="auto" w:sz="4" w:space="0"/>
              <w:bottom w:val="single" w:color="auto" w:sz="4" w:space="0"/>
              <w:right w:val="nil"/>
            </w:tcBorders>
          </w:tcPr>
          <w:p>
            <w:pPr>
              <w:jc w:val="center"/>
              <w:rPr>
                <w:kern w:val="0"/>
                <w:sz w:val="24"/>
                <w:highlight w:val="none"/>
              </w:rPr>
            </w:pPr>
          </w:p>
        </w:tc>
      </w:tr>
      <w:tr>
        <w:tblPrEx>
          <w:tblCellMar>
            <w:top w:w="0" w:type="dxa"/>
            <w:left w:w="108" w:type="dxa"/>
            <w:bottom w:w="0" w:type="dxa"/>
            <w:right w:w="108" w:type="dxa"/>
          </w:tblCellMar>
        </w:tblPrEx>
        <w:trPr>
          <w:trHeight w:val="454" w:hRule="atLeast"/>
        </w:trPr>
        <w:tc>
          <w:tcPr>
            <w:tcW w:w="1117" w:type="pct"/>
            <w:tcBorders>
              <w:top w:val="nil"/>
              <w:left w:val="nil"/>
              <w:bottom w:val="single" w:color="auto" w:sz="8" w:space="0"/>
              <w:right w:val="single" w:color="auto" w:sz="8" w:space="0"/>
            </w:tcBorders>
            <w:shd w:val="clear" w:color="auto" w:fill="auto"/>
            <w:noWrap/>
            <w:vAlign w:val="center"/>
          </w:tcPr>
          <w:p>
            <w:pPr>
              <w:widowControl/>
              <w:jc w:val="center"/>
              <w:rPr>
                <w:kern w:val="0"/>
                <w:sz w:val="24"/>
                <w:highlight w:val="none"/>
              </w:rPr>
            </w:pPr>
            <w:r>
              <w:rPr>
                <w:rFonts w:hint="eastAsia"/>
                <w:kern w:val="0"/>
                <w:sz w:val="24"/>
                <w:highlight w:val="none"/>
              </w:rPr>
              <w:t>犍为港区</w:t>
            </w:r>
          </w:p>
        </w:tc>
        <w:tc>
          <w:tcPr>
            <w:tcW w:w="1275" w:type="pct"/>
            <w:tcBorders>
              <w:top w:val="nil"/>
              <w:left w:val="nil"/>
              <w:bottom w:val="single" w:color="auto" w:sz="8" w:space="0"/>
              <w:right w:val="single" w:color="auto" w:sz="8" w:space="0"/>
            </w:tcBorders>
            <w:shd w:val="clear" w:color="auto" w:fill="auto"/>
            <w:noWrap/>
            <w:vAlign w:val="center"/>
          </w:tcPr>
          <w:p>
            <w:pPr>
              <w:widowControl/>
              <w:jc w:val="center"/>
              <w:rPr>
                <w:kern w:val="0"/>
                <w:sz w:val="24"/>
                <w:highlight w:val="none"/>
              </w:rPr>
            </w:pPr>
            <w:r>
              <w:rPr>
                <w:kern w:val="0"/>
                <w:sz w:val="24"/>
                <w:highlight w:val="none"/>
              </w:rPr>
              <w:t>4870</w:t>
            </w:r>
          </w:p>
        </w:tc>
        <w:tc>
          <w:tcPr>
            <w:tcW w:w="1418"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kern w:val="0"/>
                <w:sz w:val="24"/>
                <w:highlight w:val="none"/>
              </w:rPr>
            </w:pPr>
            <w:r>
              <w:rPr>
                <w:kern w:val="0"/>
                <w:sz w:val="24"/>
                <w:highlight w:val="none"/>
              </w:rPr>
              <w:t>1000</w:t>
            </w:r>
          </w:p>
        </w:tc>
        <w:tc>
          <w:tcPr>
            <w:tcW w:w="1191" w:type="pct"/>
            <w:tcBorders>
              <w:top w:val="single" w:color="auto" w:sz="4" w:space="0"/>
              <w:left w:val="single" w:color="auto" w:sz="4" w:space="0"/>
              <w:bottom w:val="single" w:color="auto" w:sz="4" w:space="0"/>
              <w:right w:val="nil"/>
            </w:tcBorders>
          </w:tcPr>
          <w:p>
            <w:pPr>
              <w:widowControl/>
              <w:jc w:val="center"/>
              <w:rPr>
                <w:kern w:val="0"/>
                <w:sz w:val="24"/>
                <w:highlight w:val="none"/>
              </w:rPr>
            </w:pPr>
          </w:p>
        </w:tc>
      </w:tr>
      <w:tr>
        <w:tblPrEx>
          <w:tblCellMar>
            <w:top w:w="0" w:type="dxa"/>
            <w:left w:w="108" w:type="dxa"/>
            <w:bottom w:w="0" w:type="dxa"/>
            <w:right w:w="108" w:type="dxa"/>
          </w:tblCellMar>
        </w:tblPrEx>
        <w:trPr>
          <w:trHeight w:val="454" w:hRule="atLeast"/>
        </w:trPr>
        <w:tc>
          <w:tcPr>
            <w:tcW w:w="1117" w:type="pct"/>
            <w:tcBorders>
              <w:top w:val="nil"/>
              <w:left w:val="nil"/>
              <w:bottom w:val="single" w:color="auto" w:sz="4" w:space="0"/>
              <w:right w:val="single" w:color="auto" w:sz="8" w:space="0"/>
            </w:tcBorders>
            <w:shd w:val="clear" w:color="auto" w:fill="auto"/>
            <w:noWrap/>
            <w:vAlign w:val="center"/>
          </w:tcPr>
          <w:p>
            <w:pPr>
              <w:widowControl/>
              <w:jc w:val="left"/>
              <w:rPr>
                <w:kern w:val="0"/>
                <w:sz w:val="24"/>
                <w:highlight w:val="none"/>
              </w:rPr>
            </w:pPr>
            <w:r>
              <w:rPr>
                <w:rFonts w:hint="eastAsia"/>
                <w:b/>
                <w:bCs/>
                <w:kern w:val="0"/>
                <w:sz w:val="24"/>
                <w:highlight w:val="none"/>
              </w:rPr>
              <w:t>二、大渡河</w:t>
            </w:r>
          </w:p>
        </w:tc>
        <w:tc>
          <w:tcPr>
            <w:tcW w:w="1275" w:type="pct"/>
            <w:tcBorders>
              <w:top w:val="nil"/>
              <w:left w:val="nil"/>
              <w:bottom w:val="single" w:color="auto" w:sz="4" w:space="0"/>
              <w:right w:val="single" w:color="auto" w:sz="8" w:space="0"/>
            </w:tcBorders>
            <w:shd w:val="clear" w:color="auto" w:fill="auto"/>
            <w:noWrap/>
            <w:vAlign w:val="center"/>
          </w:tcPr>
          <w:p>
            <w:pPr>
              <w:widowControl/>
              <w:jc w:val="center"/>
              <w:rPr>
                <w:b/>
                <w:bCs/>
                <w:kern w:val="0"/>
                <w:sz w:val="24"/>
                <w:highlight w:val="none"/>
              </w:rPr>
            </w:pPr>
            <w:r>
              <w:rPr>
                <w:b/>
                <w:bCs/>
                <w:kern w:val="0"/>
                <w:sz w:val="24"/>
                <w:highlight w:val="none"/>
              </w:rPr>
              <w:t>3835</w:t>
            </w:r>
          </w:p>
        </w:tc>
        <w:tc>
          <w:tcPr>
            <w:tcW w:w="1418"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b/>
                <w:bCs/>
                <w:kern w:val="0"/>
                <w:sz w:val="24"/>
                <w:highlight w:val="none"/>
              </w:rPr>
            </w:pPr>
            <w:r>
              <w:rPr>
                <w:b/>
                <w:bCs/>
                <w:kern w:val="0"/>
                <w:sz w:val="24"/>
                <w:highlight w:val="none"/>
              </w:rPr>
              <w:t>835</w:t>
            </w:r>
          </w:p>
        </w:tc>
        <w:tc>
          <w:tcPr>
            <w:tcW w:w="1191" w:type="pct"/>
            <w:tcBorders>
              <w:top w:val="single" w:color="auto" w:sz="4" w:space="0"/>
              <w:left w:val="single" w:color="auto" w:sz="4" w:space="0"/>
              <w:bottom w:val="single" w:color="auto" w:sz="4" w:space="0"/>
              <w:right w:val="nil"/>
            </w:tcBorders>
          </w:tcPr>
          <w:p>
            <w:pPr>
              <w:widowControl/>
              <w:jc w:val="center"/>
              <w:rPr>
                <w:kern w:val="0"/>
                <w:sz w:val="24"/>
                <w:highlight w:val="none"/>
              </w:rPr>
            </w:pPr>
          </w:p>
        </w:tc>
      </w:tr>
      <w:tr>
        <w:tblPrEx>
          <w:tblCellMar>
            <w:top w:w="0" w:type="dxa"/>
            <w:left w:w="108" w:type="dxa"/>
            <w:bottom w:w="0" w:type="dxa"/>
            <w:right w:w="108" w:type="dxa"/>
          </w:tblCellMar>
        </w:tblPrEx>
        <w:trPr>
          <w:trHeight w:val="454" w:hRule="atLeast"/>
        </w:trPr>
        <w:tc>
          <w:tcPr>
            <w:tcW w:w="1117" w:type="pct"/>
            <w:tcBorders>
              <w:top w:val="nil"/>
              <w:left w:val="nil"/>
              <w:bottom w:val="single" w:color="auto" w:sz="4" w:space="0"/>
              <w:right w:val="single" w:color="auto" w:sz="8" w:space="0"/>
            </w:tcBorders>
            <w:shd w:val="clear" w:color="auto" w:fill="auto"/>
            <w:noWrap/>
            <w:vAlign w:val="center"/>
          </w:tcPr>
          <w:p>
            <w:pPr>
              <w:widowControl/>
              <w:jc w:val="center"/>
              <w:rPr>
                <w:b/>
                <w:bCs/>
                <w:kern w:val="0"/>
                <w:sz w:val="24"/>
                <w:highlight w:val="none"/>
              </w:rPr>
            </w:pPr>
            <w:r>
              <w:rPr>
                <w:rFonts w:hint="eastAsia"/>
                <w:kern w:val="0"/>
                <w:sz w:val="24"/>
                <w:highlight w:val="none"/>
              </w:rPr>
              <w:t>嘉州港区</w:t>
            </w:r>
          </w:p>
        </w:tc>
        <w:tc>
          <w:tcPr>
            <w:tcW w:w="1275" w:type="pct"/>
            <w:tcBorders>
              <w:top w:val="nil"/>
              <w:left w:val="nil"/>
              <w:bottom w:val="single" w:color="auto" w:sz="4" w:space="0"/>
              <w:right w:val="single" w:color="auto" w:sz="8" w:space="0"/>
            </w:tcBorders>
            <w:shd w:val="clear" w:color="auto" w:fill="auto"/>
            <w:noWrap/>
            <w:vAlign w:val="center"/>
          </w:tcPr>
          <w:p>
            <w:pPr>
              <w:widowControl/>
              <w:jc w:val="center"/>
              <w:rPr>
                <w:b/>
                <w:bCs/>
                <w:kern w:val="0"/>
                <w:sz w:val="24"/>
                <w:highlight w:val="none"/>
              </w:rPr>
            </w:pPr>
            <w:r>
              <w:rPr>
                <w:kern w:val="0"/>
                <w:sz w:val="24"/>
                <w:highlight w:val="none"/>
              </w:rPr>
              <w:t>625</w:t>
            </w:r>
          </w:p>
        </w:tc>
        <w:tc>
          <w:tcPr>
            <w:tcW w:w="1418" w:type="pct"/>
            <w:tcBorders>
              <w:top w:val="single" w:color="auto" w:sz="4" w:space="0"/>
              <w:left w:val="nil"/>
              <w:bottom w:val="single" w:color="auto" w:sz="4" w:space="0"/>
              <w:right w:val="single" w:color="auto" w:sz="4" w:space="0"/>
            </w:tcBorders>
            <w:shd w:val="clear" w:color="auto" w:fill="auto"/>
            <w:noWrap/>
            <w:vAlign w:val="center"/>
          </w:tcPr>
          <w:p>
            <w:pPr>
              <w:jc w:val="center"/>
              <w:rPr>
                <w:b/>
                <w:bCs/>
                <w:kern w:val="0"/>
                <w:sz w:val="24"/>
                <w:highlight w:val="none"/>
              </w:rPr>
            </w:pPr>
            <w:r>
              <w:rPr>
                <w:kern w:val="0"/>
                <w:sz w:val="24"/>
                <w:highlight w:val="none"/>
              </w:rPr>
              <w:t>225</w:t>
            </w:r>
          </w:p>
        </w:tc>
        <w:tc>
          <w:tcPr>
            <w:tcW w:w="1191" w:type="pct"/>
            <w:tcBorders>
              <w:top w:val="single" w:color="auto" w:sz="4" w:space="0"/>
              <w:left w:val="single" w:color="auto" w:sz="4" w:space="0"/>
              <w:bottom w:val="single" w:color="auto" w:sz="4" w:space="0"/>
              <w:right w:val="nil"/>
            </w:tcBorders>
          </w:tcPr>
          <w:p>
            <w:pPr>
              <w:widowControl/>
              <w:jc w:val="center"/>
              <w:rPr>
                <w:kern w:val="0"/>
                <w:sz w:val="24"/>
                <w:highlight w:val="none"/>
              </w:rPr>
            </w:pPr>
          </w:p>
        </w:tc>
      </w:tr>
      <w:tr>
        <w:tblPrEx>
          <w:tblCellMar>
            <w:top w:w="0" w:type="dxa"/>
            <w:left w:w="108" w:type="dxa"/>
            <w:bottom w:w="0" w:type="dxa"/>
            <w:right w:w="108" w:type="dxa"/>
          </w:tblCellMar>
        </w:tblPrEx>
        <w:trPr>
          <w:trHeight w:val="454" w:hRule="atLeast"/>
        </w:trPr>
        <w:tc>
          <w:tcPr>
            <w:tcW w:w="1117" w:type="pct"/>
            <w:tcBorders>
              <w:top w:val="nil"/>
              <w:left w:val="nil"/>
              <w:bottom w:val="single" w:color="auto" w:sz="4" w:space="0"/>
              <w:right w:val="single" w:color="auto" w:sz="8" w:space="0"/>
            </w:tcBorders>
            <w:shd w:val="clear" w:color="auto" w:fill="auto"/>
            <w:noWrap/>
            <w:vAlign w:val="center"/>
          </w:tcPr>
          <w:p>
            <w:pPr>
              <w:widowControl/>
              <w:jc w:val="center"/>
              <w:rPr>
                <w:kern w:val="0"/>
                <w:sz w:val="24"/>
                <w:highlight w:val="none"/>
              </w:rPr>
            </w:pPr>
            <w:r>
              <w:rPr>
                <w:rFonts w:hint="eastAsia"/>
                <w:kern w:val="0"/>
                <w:sz w:val="24"/>
                <w:highlight w:val="none"/>
              </w:rPr>
              <w:t>沐川港区</w:t>
            </w:r>
          </w:p>
        </w:tc>
        <w:tc>
          <w:tcPr>
            <w:tcW w:w="1275" w:type="pct"/>
            <w:tcBorders>
              <w:top w:val="nil"/>
              <w:left w:val="nil"/>
              <w:bottom w:val="single" w:color="auto" w:sz="4" w:space="0"/>
              <w:right w:val="single" w:color="auto" w:sz="8" w:space="0"/>
            </w:tcBorders>
            <w:shd w:val="clear" w:color="auto" w:fill="auto"/>
            <w:noWrap/>
            <w:vAlign w:val="center"/>
          </w:tcPr>
          <w:p>
            <w:pPr>
              <w:widowControl/>
              <w:jc w:val="center"/>
              <w:rPr>
                <w:kern w:val="0"/>
                <w:sz w:val="24"/>
                <w:highlight w:val="none"/>
              </w:rPr>
            </w:pPr>
            <w:r>
              <w:rPr>
                <w:kern w:val="0"/>
                <w:sz w:val="24"/>
                <w:highlight w:val="none"/>
              </w:rPr>
              <w:t>300</w:t>
            </w:r>
          </w:p>
        </w:tc>
        <w:tc>
          <w:tcPr>
            <w:tcW w:w="1418"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kern w:val="0"/>
                <w:sz w:val="24"/>
                <w:highlight w:val="none"/>
              </w:rPr>
            </w:pPr>
            <w:r>
              <w:rPr>
                <w:kern w:val="0"/>
                <w:sz w:val="24"/>
                <w:highlight w:val="none"/>
              </w:rPr>
              <w:t>0</w:t>
            </w:r>
          </w:p>
        </w:tc>
        <w:tc>
          <w:tcPr>
            <w:tcW w:w="1191" w:type="pct"/>
            <w:tcBorders>
              <w:top w:val="single" w:color="auto" w:sz="4" w:space="0"/>
              <w:left w:val="single" w:color="auto" w:sz="4" w:space="0"/>
              <w:bottom w:val="single" w:color="auto" w:sz="4" w:space="0"/>
              <w:right w:val="nil"/>
            </w:tcBorders>
          </w:tcPr>
          <w:p>
            <w:pPr>
              <w:widowControl/>
              <w:jc w:val="center"/>
              <w:rPr>
                <w:kern w:val="0"/>
                <w:sz w:val="24"/>
                <w:highlight w:val="none"/>
              </w:rPr>
            </w:pPr>
          </w:p>
        </w:tc>
      </w:tr>
      <w:tr>
        <w:tblPrEx>
          <w:tblCellMar>
            <w:top w:w="0" w:type="dxa"/>
            <w:left w:w="108" w:type="dxa"/>
            <w:bottom w:w="0" w:type="dxa"/>
            <w:right w:w="108" w:type="dxa"/>
          </w:tblCellMar>
        </w:tblPrEx>
        <w:trPr>
          <w:trHeight w:val="454" w:hRule="atLeast"/>
        </w:trPr>
        <w:tc>
          <w:tcPr>
            <w:tcW w:w="1117" w:type="pct"/>
            <w:tcBorders>
              <w:top w:val="single" w:color="auto" w:sz="4" w:space="0"/>
              <w:left w:val="nil"/>
              <w:bottom w:val="single" w:color="auto" w:sz="4" w:space="0"/>
              <w:right w:val="single" w:color="auto" w:sz="8" w:space="0"/>
            </w:tcBorders>
            <w:shd w:val="clear" w:color="auto" w:fill="auto"/>
            <w:noWrap/>
            <w:vAlign w:val="center"/>
          </w:tcPr>
          <w:p>
            <w:pPr>
              <w:widowControl/>
              <w:jc w:val="center"/>
              <w:rPr>
                <w:kern w:val="0"/>
                <w:sz w:val="24"/>
                <w:highlight w:val="none"/>
              </w:rPr>
            </w:pPr>
            <w:r>
              <w:rPr>
                <w:rFonts w:hint="eastAsia"/>
                <w:kern w:val="0"/>
                <w:sz w:val="24"/>
                <w:highlight w:val="none"/>
              </w:rPr>
              <w:t>沙湾港区</w:t>
            </w:r>
          </w:p>
        </w:tc>
        <w:tc>
          <w:tcPr>
            <w:tcW w:w="1275" w:type="pct"/>
            <w:tcBorders>
              <w:top w:val="single" w:color="auto" w:sz="4" w:space="0"/>
              <w:left w:val="nil"/>
              <w:bottom w:val="single" w:color="auto" w:sz="4" w:space="0"/>
              <w:right w:val="single" w:color="auto" w:sz="8" w:space="0"/>
            </w:tcBorders>
            <w:shd w:val="clear" w:color="auto" w:fill="auto"/>
            <w:noWrap/>
            <w:vAlign w:val="center"/>
          </w:tcPr>
          <w:p>
            <w:pPr>
              <w:widowControl/>
              <w:jc w:val="center"/>
              <w:rPr>
                <w:kern w:val="0"/>
                <w:sz w:val="24"/>
                <w:highlight w:val="none"/>
              </w:rPr>
            </w:pPr>
            <w:r>
              <w:rPr>
                <w:kern w:val="0"/>
                <w:sz w:val="24"/>
                <w:highlight w:val="none"/>
              </w:rPr>
              <w:t>960</w:t>
            </w:r>
          </w:p>
        </w:tc>
        <w:tc>
          <w:tcPr>
            <w:tcW w:w="1418"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kern w:val="0"/>
                <w:sz w:val="24"/>
                <w:highlight w:val="none"/>
              </w:rPr>
            </w:pPr>
            <w:r>
              <w:rPr>
                <w:kern w:val="0"/>
                <w:sz w:val="24"/>
                <w:highlight w:val="none"/>
              </w:rPr>
              <w:t>410</w:t>
            </w:r>
          </w:p>
        </w:tc>
        <w:tc>
          <w:tcPr>
            <w:tcW w:w="1191" w:type="pct"/>
            <w:tcBorders>
              <w:top w:val="single" w:color="auto" w:sz="4" w:space="0"/>
              <w:left w:val="single" w:color="auto" w:sz="4" w:space="0"/>
              <w:bottom w:val="single" w:color="auto" w:sz="4" w:space="0"/>
              <w:right w:val="nil"/>
            </w:tcBorders>
          </w:tcPr>
          <w:p>
            <w:pPr>
              <w:widowControl/>
              <w:jc w:val="center"/>
              <w:rPr>
                <w:kern w:val="0"/>
                <w:sz w:val="24"/>
                <w:highlight w:val="none"/>
              </w:rPr>
            </w:pPr>
          </w:p>
        </w:tc>
      </w:tr>
      <w:tr>
        <w:tblPrEx>
          <w:tblCellMar>
            <w:top w:w="0" w:type="dxa"/>
            <w:left w:w="108" w:type="dxa"/>
            <w:bottom w:w="0" w:type="dxa"/>
            <w:right w:w="108" w:type="dxa"/>
          </w:tblCellMar>
        </w:tblPrEx>
        <w:trPr>
          <w:trHeight w:val="454" w:hRule="atLeast"/>
        </w:trPr>
        <w:tc>
          <w:tcPr>
            <w:tcW w:w="1117" w:type="pct"/>
            <w:tcBorders>
              <w:top w:val="single" w:color="auto" w:sz="4" w:space="0"/>
              <w:left w:val="nil"/>
              <w:bottom w:val="single" w:color="auto" w:sz="4" w:space="0"/>
              <w:right w:val="single" w:color="auto" w:sz="8" w:space="0"/>
            </w:tcBorders>
            <w:shd w:val="clear" w:color="auto" w:fill="auto"/>
            <w:noWrap/>
            <w:vAlign w:val="center"/>
          </w:tcPr>
          <w:p>
            <w:pPr>
              <w:widowControl/>
              <w:jc w:val="center"/>
              <w:rPr>
                <w:kern w:val="0"/>
                <w:sz w:val="24"/>
                <w:highlight w:val="none"/>
              </w:rPr>
            </w:pPr>
            <w:r>
              <w:rPr>
                <w:rFonts w:hint="eastAsia"/>
                <w:kern w:val="0"/>
                <w:sz w:val="24"/>
                <w:highlight w:val="none"/>
              </w:rPr>
              <w:t>峨边港区</w:t>
            </w:r>
          </w:p>
        </w:tc>
        <w:tc>
          <w:tcPr>
            <w:tcW w:w="1275" w:type="pct"/>
            <w:tcBorders>
              <w:top w:val="single" w:color="auto" w:sz="4" w:space="0"/>
              <w:left w:val="nil"/>
              <w:bottom w:val="single" w:color="auto" w:sz="4" w:space="0"/>
              <w:right w:val="single" w:color="auto" w:sz="8" w:space="0"/>
            </w:tcBorders>
            <w:shd w:val="clear" w:color="auto" w:fill="auto"/>
            <w:noWrap/>
            <w:vAlign w:val="center"/>
          </w:tcPr>
          <w:p>
            <w:pPr>
              <w:widowControl/>
              <w:jc w:val="center"/>
              <w:rPr>
                <w:kern w:val="0"/>
                <w:sz w:val="24"/>
                <w:highlight w:val="none"/>
              </w:rPr>
            </w:pPr>
            <w:r>
              <w:rPr>
                <w:kern w:val="0"/>
                <w:sz w:val="24"/>
                <w:highlight w:val="none"/>
              </w:rPr>
              <w:t>1750</w:t>
            </w:r>
          </w:p>
        </w:tc>
        <w:tc>
          <w:tcPr>
            <w:tcW w:w="1418"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kern w:val="0"/>
                <w:sz w:val="24"/>
                <w:highlight w:val="none"/>
              </w:rPr>
            </w:pPr>
            <w:r>
              <w:rPr>
                <w:kern w:val="0"/>
                <w:sz w:val="24"/>
                <w:highlight w:val="none"/>
              </w:rPr>
              <w:t>0</w:t>
            </w:r>
          </w:p>
        </w:tc>
        <w:tc>
          <w:tcPr>
            <w:tcW w:w="1191" w:type="pct"/>
            <w:tcBorders>
              <w:top w:val="single" w:color="auto" w:sz="4" w:space="0"/>
              <w:left w:val="single" w:color="auto" w:sz="4" w:space="0"/>
              <w:bottom w:val="single" w:color="auto" w:sz="4" w:space="0"/>
              <w:right w:val="nil"/>
            </w:tcBorders>
          </w:tcPr>
          <w:p>
            <w:pPr>
              <w:widowControl/>
              <w:jc w:val="center"/>
              <w:rPr>
                <w:kern w:val="0"/>
                <w:sz w:val="24"/>
                <w:highlight w:val="none"/>
              </w:rPr>
            </w:pPr>
          </w:p>
        </w:tc>
      </w:tr>
      <w:tr>
        <w:tblPrEx>
          <w:tblCellMar>
            <w:top w:w="0" w:type="dxa"/>
            <w:left w:w="108" w:type="dxa"/>
            <w:bottom w:w="0" w:type="dxa"/>
            <w:right w:w="108" w:type="dxa"/>
          </w:tblCellMar>
        </w:tblPrEx>
        <w:trPr>
          <w:trHeight w:val="454" w:hRule="atLeast"/>
        </w:trPr>
        <w:tc>
          <w:tcPr>
            <w:tcW w:w="1117" w:type="pct"/>
            <w:tcBorders>
              <w:top w:val="single" w:color="auto" w:sz="4" w:space="0"/>
              <w:left w:val="nil"/>
              <w:bottom w:val="single" w:color="auto" w:sz="4" w:space="0"/>
              <w:right w:val="single" w:color="auto" w:sz="8" w:space="0"/>
            </w:tcBorders>
            <w:shd w:val="clear" w:color="auto" w:fill="auto"/>
            <w:noWrap/>
            <w:vAlign w:val="center"/>
          </w:tcPr>
          <w:p>
            <w:pPr>
              <w:widowControl/>
              <w:jc w:val="center"/>
              <w:rPr>
                <w:kern w:val="0"/>
                <w:sz w:val="24"/>
                <w:highlight w:val="none"/>
              </w:rPr>
            </w:pPr>
            <w:r>
              <w:rPr>
                <w:rFonts w:hint="eastAsia"/>
                <w:kern w:val="0"/>
                <w:sz w:val="24"/>
                <w:highlight w:val="none"/>
              </w:rPr>
              <w:t>金口河港区</w:t>
            </w:r>
          </w:p>
        </w:tc>
        <w:tc>
          <w:tcPr>
            <w:tcW w:w="1275" w:type="pct"/>
            <w:tcBorders>
              <w:top w:val="single" w:color="auto" w:sz="4" w:space="0"/>
              <w:left w:val="nil"/>
              <w:bottom w:val="single" w:color="auto" w:sz="4" w:space="0"/>
              <w:right w:val="single" w:color="auto" w:sz="8" w:space="0"/>
            </w:tcBorders>
            <w:shd w:val="clear" w:color="auto" w:fill="auto"/>
            <w:noWrap/>
            <w:vAlign w:val="center"/>
          </w:tcPr>
          <w:p>
            <w:pPr>
              <w:widowControl/>
              <w:jc w:val="center"/>
              <w:rPr>
                <w:kern w:val="0"/>
                <w:sz w:val="24"/>
                <w:highlight w:val="none"/>
              </w:rPr>
            </w:pPr>
            <w:r>
              <w:rPr>
                <w:kern w:val="0"/>
                <w:sz w:val="24"/>
                <w:highlight w:val="none"/>
              </w:rPr>
              <w:t>200</w:t>
            </w:r>
          </w:p>
        </w:tc>
        <w:tc>
          <w:tcPr>
            <w:tcW w:w="1418"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kern w:val="0"/>
                <w:sz w:val="24"/>
                <w:highlight w:val="none"/>
              </w:rPr>
            </w:pPr>
            <w:r>
              <w:rPr>
                <w:kern w:val="0"/>
                <w:sz w:val="24"/>
                <w:highlight w:val="none"/>
              </w:rPr>
              <w:t>200</w:t>
            </w:r>
          </w:p>
        </w:tc>
        <w:tc>
          <w:tcPr>
            <w:tcW w:w="1191" w:type="pct"/>
            <w:tcBorders>
              <w:top w:val="single" w:color="auto" w:sz="4" w:space="0"/>
              <w:left w:val="single" w:color="auto" w:sz="4" w:space="0"/>
              <w:bottom w:val="single" w:color="auto" w:sz="4" w:space="0"/>
              <w:right w:val="nil"/>
            </w:tcBorders>
          </w:tcPr>
          <w:p>
            <w:pPr>
              <w:widowControl/>
              <w:jc w:val="center"/>
              <w:rPr>
                <w:kern w:val="0"/>
                <w:sz w:val="24"/>
                <w:highlight w:val="none"/>
              </w:rPr>
            </w:pPr>
          </w:p>
        </w:tc>
      </w:tr>
      <w:tr>
        <w:tblPrEx>
          <w:tblCellMar>
            <w:top w:w="0" w:type="dxa"/>
            <w:left w:w="108" w:type="dxa"/>
            <w:bottom w:w="0" w:type="dxa"/>
            <w:right w:w="108" w:type="dxa"/>
          </w:tblCellMar>
        </w:tblPrEx>
        <w:trPr>
          <w:trHeight w:val="454" w:hRule="atLeast"/>
        </w:trPr>
        <w:tc>
          <w:tcPr>
            <w:tcW w:w="1117" w:type="pct"/>
            <w:tcBorders>
              <w:top w:val="single" w:color="auto" w:sz="4" w:space="0"/>
              <w:left w:val="nil"/>
              <w:bottom w:val="single" w:color="auto" w:sz="4" w:space="0"/>
              <w:right w:val="single" w:color="auto" w:sz="8" w:space="0"/>
            </w:tcBorders>
            <w:shd w:val="clear" w:color="auto" w:fill="auto"/>
            <w:noWrap/>
            <w:vAlign w:val="center"/>
          </w:tcPr>
          <w:p>
            <w:pPr>
              <w:widowControl/>
              <w:jc w:val="left"/>
              <w:rPr>
                <w:kern w:val="0"/>
                <w:sz w:val="24"/>
                <w:highlight w:val="none"/>
              </w:rPr>
            </w:pPr>
            <w:r>
              <w:rPr>
                <w:rFonts w:hint="eastAsia"/>
                <w:b/>
                <w:bCs/>
                <w:kern w:val="0"/>
                <w:sz w:val="24"/>
                <w:highlight w:val="none"/>
              </w:rPr>
              <w:t>三、青衣江</w:t>
            </w:r>
          </w:p>
        </w:tc>
        <w:tc>
          <w:tcPr>
            <w:tcW w:w="1275" w:type="pct"/>
            <w:tcBorders>
              <w:top w:val="single" w:color="auto" w:sz="4" w:space="0"/>
              <w:left w:val="nil"/>
              <w:bottom w:val="single" w:color="auto" w:sz="4" w:space="0"/>
              <w:right w:val="single" w:color="auto" w:sz="8" w:space="0"/>
            </w:tcBorders>
            <w:shd w:val="clear" w:color="auto" w:fill="auto"/>
            <w:noWrap/>
            <w:vAlign w:val="center"/>
          </w:tcPr>
          <w:p>
            <w:pPr>
              <w:widowControl/>
              <w:jc w:val="center"/>
              <w:rPr>
                <w:b/>
                <w:bCs/>
                <w:kern w:val="0"/>
                <w:sz w:val="24"/>
                <w:highlight w:val="none"/>
              </w:rPr>
            </w:pPr>
            <w:r>
              <w:rPr>
                <w:b/>
                <w:bCs/>
                <w:kern w:val="0"/>
                <w:sz w:val="24"/>
                <w:highlight w:val="none"/>
              </w:rPr>
              <w:t>500</w:t>
            </w:r>
          </w:p>
        </w:tc>
        <w:tc>
          <w:tcPr>
            <w:tcW w:w="1418"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b/>
                <w:bCs/>
                <w:kern w:val="0"/>
                <w:sz w:val="24"/>
                <w:highlight w:val="none"/>
              </w:rPr>
            </w:pPr>
            <w:r>
              <w:rPr>
                <w:b/>
                <w:bCs/>
                <w:kern w:val="0"/>
                <w:sz w:val="24"/>
                <w:highlight w:val="none"/>
              </w:rPr>
              <w:t>0</w:t>
            </w:r>
          </w:p>
        </w:tc>
        <w:tc>
          <w:tcPr>
            <w:tcW w:w="1191" w:type="pct"/>
            <w:tcBorders>
              <w:top w:val="single" w:color="auto" w:sz="4" w:space="0"/>
              <w:left w:val="single" w:color="auto" w:sz="4" w:space="0"/>
              <w:bottom w:val="single" w:color="auto" w:sz="4" w:space="0"/>
              <w:right w:val="nil"/>
            </w:tcBorders>
          </w:tcPr>
          <w:p>
            <w:pPr>
              <w:widowControl/>
              <w:jc w:val="center"/>
              <w:rPr>
                <w:kern w:val="0"/>
                <w:sz w:val="24"/>
                <w:highlight w:val="none"/>
              </w:rPr>
            </w:pPr>
          </w:p>
        </w:tc>
      </w:tr>
      <w:tr>
        <w:tblPrEx>
          <w:tblCellMar>
            <w:top w:w="0" w:type="dxa"/>
            <w:left w:w="108" w:type="dxa"/>
            <w:bottom w:w="0" w:type="dxa"/>
            <w:right w:w="108" w:type="dxa"/>
          </w:tblCellMar>
        </w:tblPrEx>
        <w:trPr>
          <w:trHeight w:val="454" w:hRule="atLeast"/>
        </w:trPr>
        <w:tc>
          <w:tcPr>
            <w:tcW w:w="1117" w:type="pct"/>
            <w:tcBorders>
              <w:top w:val="single" w:color="auto" w:sz="4" w:space="0"/>
              <w:left w:val="nil"/>
              <w:bottom w:val="single" w:color="auto" w:sz="4" w:space="0"/>
              <w:right w:val="single" w:color="auto" w:sz="8" w:space="0"/>
            </w:tcBorders>
            <w:shd w:val="clear" w:color="auto" w:fill="auto"/>
            <w:noWrap/>
            <w:vAlign w:val="center"/>
          </w:tcPr>
          <w:p>
            <w:pPr>
              <w:widowControl/>
              <w:jc w:val="center"/>
              <w:rPr>
                <w:kern w:val="0"/>
                <w:sz w:val="24"/>
                <w:highlight w:val="none"/>
              </w:rPr>
            </w:pPr>
            <w:r>
              <w:rPr>
                <w:rFonts w:hint="eastAsia"/>
                <w:kern w:val="0"/>
                <w:sz w:val="24"/>
                <w:highlight w:val="none"/>
              </w:rPr>
              <w:t>夹江港区</w:t>
            </w:r>
          </w:p>
        </w:tc>
        <w:tc>
          <w:tcPr>
            <w:tcW w:w="1275" w:type="pct"/>
            <w:tcBorders>
              <w:top w:val="single" w:color="auto" w:sz="4" w:space="0"/>
              <w:left w:val="nil"/>
              <w:bottom w:val="single" w:color="auto" w:sz="4" w:space="0"/>
              <w:right w:val="single" w:color="auto" w:sz="8" w:space="0"/>
            </w:tcBorders>
            <w:shd w:val="clear" w:color="auto" w:fill="auto"/>
            <w:noWrap/>
            <w:vAlign w:val="center"/>
          </w:tcPr>
          <w:p>
            <w:pPr>
              <w:widowControl/>
              <w:jc w:val="center"/>
              <w:rPr>
                <w:kern w:val="0"/>
                <w:sz w:val="24"/>
                <w:highlight w:val="none"/>
              </w:rPr>
            </w:pPr>
            <w:r>
              <w:rPr>
                <w:kern w:val="0"/>
                <w:sz w:val="24"/>
                <w:highlight w:val="none"/>
              </w:rPr>
              <w:t>500</w:t>
            </w:r>
          </w:p>
        </w:tc>
        <w:tc>
          <w:tcPr>
            <w:tcW w:w="1418"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kern w:val="0"/>
                <w:sz w:val="24"/>
                <w:highlight w:val="none"/>
              </w:rPr>
            </w:pPr>
            <w:r>
              <w:rPr>
                <w:kern w:val="0"/>
                <w:sz w:val="24"/>
                <w:highlight w:val="none"/>
              </w:rPr>
              <w:t>0</w:t>
            </w:r>
          </w:p>
        </w:tc>
        <w:tc>
          <w:tcPr>
            <w:tcW w:w="1191" w:type="pct"/>
            <w:tcBorders>
              <w:top w:val="single" w:color="auto" w:sz="4" w:space="0"/>
              <w:left w:val="single" w:color="auto" w:sz="4" w:space="0"/>
              <w:bottom w:val="single" w:color="auto" w:sz="4" w:space="0"/>
              <w:right w:val="nil"/>
            </w:tcBorders>
          </w:tcPr>
          <w:p>
            <w:pPr>
              <w:widowControl/>
              <w:jc w:val="center"/>
              <w:rPr>
                <w:kern w:val="0"/>
                <w:sz w:val="24"/>
                <w:highlight w:val="none"/>
              </w:rPr>
            </w:pPr>
          </w:p>
        </w:tc>
      </w:tr>
      <w:tr>
        <w:tblPrEx>
          <w:tblCellMar>
            <w:top w:w="0" w:type="dxa"/>
            <w:left w:w="108" w:type="dxa"/>
            <w:bottom w:w="0" w:type="dxa"/>
            <w:right w:w="108" w:type="dxa"/>
          </w:tblCellMar>
        </w:tblPrEx>
        <w:trPr>
          <w:trHeight w:val="454" w:hRule="atLeast"/>
        </w:trPr>
        <w:tc>
          <w:tcPr>
            <w:tcW w:w="1117" w:type="pct"/>
            <w:tcBorders>
              <w:top w:val="single" w:color="auto" w:sz="4" w:space="0"/>
              <w:left w:val="nil"/>
              <w:bottom w:val="single" w:color="auto" w:sz="4" w:space="0"/>
              <w:right w:val="single" w:color="auto" w:sz="8" w:space="0"/>
            </w:tcBorders>
            <w:shd w:val="clear" w:color="auto" w:fill="auto"/>
            <w:noWrap/>
            <w:vAlign w:val="center"/>
          </w:tcPr>
          <w:p>
            <w:pPr>
              <w:widowControl/>
              <w:jc w:val="left"/>
              <w:rPr>
                <w:kern w:val="0"/>
                <w:sz w:val="24"/>
                <w:highlight w:val="none"/>
              </w:rPr>
            </w:pPr>
            <w:r>
              <w:rPr>
                <w:rFonts w:hint="eastAsia"/>
                <w:b/>
                <w:bCs/>
                <w:kern w:val="0"/>
                <w:sz w:val="24"/>
                <w:highlight w:val="none"/>
              </w:rPr>
              <w:t>四、沐溪河</w:t>
            </w:r>
          </w:p>
        </w:tc>
        <w:tc>
          <w:tcPr>
            <w:tcW w:w="1275" w:type="pct"/>
            <w:tcBorders>
              <w:top w:val="single" w:color="auto" w:sz="4" w:space="0"/>
              <w:left w:val="nil"/>
              <w:bottom w:val="single" w:color="auto" w:sz="4" w:space="0"/>
              <w:right w:val="single" w:color="auto" w:sz="8" w:space="0"/>
            </w:tcBorders>
            <w:shd w:val="clear" w:color="auto" w:fill="auto"/>
            <w:noWrap/>
            <w:vAlign w:val="center"/>
          </w:tcPr>
          <w:p>
            <w:pPr>
              <w:widowControl/>
              <w:jc w:val="center"/>
              <w:rPr>
                <w:b/>
                <w:bCs/>
                <w:kern w:val="0"/>
                <w:sz w:val="24"/>
                <w:highlight w:val="none"/>
              </w:rPr>
            </w:pPr>
            <w:r>
              <w:rPr>
                <w:b/>
                <w:bCs/>
                <w:kern w:val="0"/>
                <w:sz w:val="24"/>
                <w:highlight w:val="none"/>
              </w:rPr>
              <w:t>1600</w:t>
            </w:r>
          </w:p>
        </w:tc>
        <w:tc>
          <w:tcPr>
            <w:tcW w:w="1418"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b/>
                <w:bCs/>
                <w:kern w:val="0"/>
                <w:sz w:val="24"/>
                <w:highlight w:val="none"/>
              </w:rPr>
            </w:pPr>
            <w:r>
              <w:rPr>
                <w:b/>
                <w:bCs/>
                <w:kern w:val="0"/>
                <w:sz w:val="24"/>
                <w:highlight w:val="none"/>
              </w:rPr>
              <w:t>0</w:t>
            </w:r>
          </w:p>
        </w:tc>
        <w:tc>
          <w:tcPr>
            <w:tcW w:w="1191" w:type="pct"/>
            <w:tcBorders>
              <w:top w:val="single" w:color="auto" w:sz="4" w:space="0"/>
              <w:left w:val="single" w:color="auto" w:sz="4" w:space="0"/>
              <w:bottom w:val="single" w:color="auto" w:sz="4" w:space="0"/>
              <w:right w:val="nil"/>
            </w:tcBorders>
          </w:tcPr>
          <w:p>
            <w:pPr>
              <w:widowControl/>
              <w:jc w:val="center"/>
              <w:rPr>
                <w:kern w:val="0"/>
                <w:sz w:val="24"/>
                <w:highlight w:val="none"/>
              </w:rPr>
            </w:pPr>
          </w:p>
        </w:tc>
      </w:tr>
      <w:tr>
        <w:tblPrEx>
          <w:tblCellMar>
            <w:top w:w="0" w:type="dxa"/>
            <w:left w:w="108" w:type="dxa"/>
            <w:bottom w:w="0" w:type="dxa"/>
            <w:right w:w="108" w:type="dxa"/>
          </w:tblCellMar>
        </w:tblPrEx>
        <w:trPr>
          <w:trHeight w:val="454" w:hRule="atLeast"/>
        </w:trPr>
        <w:tc>
          <w:tcPr>
            <w:tcW w:w="1117" w:type="pct"/>
            <w:tcBorders>
              <w:top w:val="single" w:color="auto" w:sz="4" w:space="0"/>
              <w:left w:val="nil"/>
              <w:bottom w:val="single" w:color="auto" w:sz="4" w:space="0"/>
              <w:right w:val="single" w:color="auto" w:sz="8" w:space="0"/>
            </w:tcBorders>
            <w:shd w:val="clear" w:color="auto" w:fill="auto"/>
            <w:noWrap/>
            <w:vAlign w:val="center"/>
          </w:tcPr>
          <w:p>
            <w:pPr>
              <w:widowControl/>
              <w:jc w:val="center"/>
              <w:rPr>
                <w:kern w:val="0"/>
                <w:sz w:val="24"/>
                <w:highlight w:val="none"/>
              </w:rPr>
            </w:pPr>
            <w:r>
              <w:rPr>
                <w:rFonts w:hint="eastAsia"/>
                <w:kern w:val="0"/>
                <w:sz w:val="24"/>
                <w:highlight w:val="none"/>
              </w:rPr>
              <w:t>沐川港区</w:t>
            </w:r>
          </w:p>
        </w:tc>
        <w:tc>
          <w:tcPr>
            <w:tcW w:w="1275" w:type="pct"/>
            <w:tcBorders>
              <w:top w:val="single" w:color="auto" w:sz="4" w:space="0"/>
              <w:left w:val="nil"/>
              <w:bottom w:val="single" w:color="auto" w:sz="4" w:space="0"/>
              <w:right w:val="single" w:color="auto" w:sz="8" w:space="0"/>
            </w:tcBorders>
            <w:shd w:val="clear" w:color="auto" w:fill="auto"/>
            <w:noWrap/>
            <w:vAlign w:val="center"/>
          </w:tcPr>
          <w:p>
            <w:pPr>
              <w:widowControl/>
              <w:jc w:val="center"/>
              <w:rPr>
                <w:kern w:val="0"/>
                <w:sz w:val="24"/>
                <w:highlight w:val="none"/>
              </w:rPr>
            </w:pPr>
            <w:r>
              <w:rPr>
                <w:kern w:val="0"/>
                <w:sz w:val="24"/>
                <w:highlight w:val="none"/>
              </w:rPr>
              <w:t>1550</w:t>
            </w:r>
          </w:p>
        </w:tc>
        <w:tc>
          <w:tcPr>
            <w:tcW w:w="1418"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kern w:val="0"/>
                <w:sz w:val="24"/>
                <w:highlight w:val="none"/>
              </w:rPr>
            </w:pPr>
            <w:r>
              <w:rPr>
                <w:kern w:val="0"/>
                <w:sz w:val="24"/>
                <w:highlight w:val="none"/>
              </w:rPr>
              <w:t>0</w:t>
            </w:r>
          </w:p>
        </w:tc>
        <w:tc>
          <w:tcPr>
            <w:tcW w:w="1191" w:type="pct"/>
            <w:tcBorders>
              <w:top w:val="single" w:color="auto" w:sz="4" w:space="0"/>
              <w:left w:val="single" w:color="auto" w:sz="4" w:space="0"/>
              <w:bottom w:val="single" w:color="auto" w:sz="4" w:space="0"/>
              <w:right w:val="nil"/>
            </w:tcBorders>
          </w:tcPr>
          <w:p>
            <w:pPr>
              <w:widowControl/>
              <w:jc w:val="center"/>
              <w:rPr>
                <w:kern w:val="0"/>
                <w:sz w:val="24"/>
                <w:highlight w:val="none"/>
              </w:rPr>
            </w:pPr>
          </w:p>
        </w:tc>
      </w:tr>
      <w:tr>
        <w:tblPrEx>
          <w:tblCellMar>
            <w:top w:w="0" w:type="dxa"/>
            <w:left w:w="108" w:type="dxa"/>
            <w:bottom w:w="0" w:type="dxa"/>
            <w:right w:w="108" w:type="dxa"/>
          </w:tblCellMar>
        </w:tblPrEx>
        <w:trPr>
          <w:trHeight w:val="454" w:hRule="atLeast"/>
        </w:trPr>
        <w:tc>
          <w:tcPr>
            <w:tcW w:w="1117" w:type="pct"/>
            <w:tcBorders>
              <w:top w:val="single" w:color="auto" w:sz="4" w:space="0"/>
              <w:left w:val="nil"/>
              <w:bottom w:val="single" w:color="auto" w:sz="4" w:space="0"/>
              <w:right w:val="single" w:color="auto" w:sz="8" w:space="0"/>
            </w:tcBorders>
            <w:shd w:val="clear" w:color="auto" w:fill="auto"/>
            <w:noWrap/>
            <w:vAlign w:val="center"/>
          </w:tcPr>
          <w:p>
            <w:pPr>
              <w:widowControl/>
              <w:jc w:val="center"/>
              <w:rPr>
                <w:kern w:val="0"/>
                <w:sz w:val="24"/>
                <w:highlight w:val="none"/>
              </w:rPr>
            </w:pPr>
            <w:r>
              <w:rPr>
                <w:rFonts w:hint="eastAsia"/>
                <w:kern w:val="0"/>
                <w:sz w:val="24"/>
                <w:highlight w:val="none"/>
              </w:rPr>
              <w:t>犍为港区</w:t>
            </w:r>
          </w:p>
        </w:tc>
        <w:tc>
          <w:tcPr>
            <w:tcW w:w="1275" w:type="pct"/>
            <w:tcBorders>
              <w:top w:val="single" w:color="auto" w:sz="4" w:space="0"/>
              <w:left w:val="nil"/>
              <w:bottom w:val="single" w:color="auto" w:sz="4" w:space="0"/>
              <w:right w:val="single" w:color="auto" w:sz="8" w:space="0"/>
            </w:tcBorders>
            <w:shd w:val="clear" w:color="auto" w:fill="auto"/>
            <w:noWrap/>
            <w:vAlign w:val="center"/>
          </w:tcPr>
          <w:p>
            <w:pPr>
              <w:widowControl/>
              <w:jc w:val="center"/>
              <w:rPr>
                <w:kern w:val="0"/>
                <w:sz w:val="24"/>
                <w:highlight w:val="none"/>
              </w:rPr>
            </w:pPr>
            <w:r>
              <w:rPr>
                <w:kern w:val="0"/>
                <w:sz w:val="24"/>
                <w:highlight w:val="none"/>
              </w:rPr>
              <w:t>50</w:t>
            </w:r>
          </w:p>
        </w:tc>
        <w:tc>
          <w:tcPr>
            <w:tcW w:w="1418"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kern w:val="0"/>
                <w:sz w:val="24"/>
                <w:highlight w:val="none"/>
              </w:rPr>
            </w:pPr>
            <w:r>
              <w:rPr>
                <w:kern w:val="0"/>
                <w:sz w:val="24"/>
                <w:highlight w:val="none"/>
              </w:rPr>
              <w:t>0</w:t>
            </w:r>
          </w:p>
        </w:tc>
        <w:tc>
          <w:tcPr>
            <w:tcW w:w="1191" w:type="pct"/>
            <w:tcBorders>
              <w:top w:val="single" w:color="auto" w:sz="4" w:space="0"/>
              <w:left w:val="single" w:color="auto" w:sz="4" w:space="0"/>
              <w:bottom w:val="single" w:color="auto" w:sz="4" w:space="0"/>
              <w:right w:val="nil"/>
            </w:tcBorders>
          </w:tcPr>
          <w:p>
            <w:pPr>
              <w:widowControl/>
              <w:jc w:val="center"/>
              <w:rPr>
                <w:kern w:val="0"/>
                <w:sz w:val="24"/>
                <w:highlight w:val="none"/>
              </w:rPr>
            </w:pPr>
          </w:p>
        </w:tc>
      </w:tr>
      <w:tr>
        <w:tblPrEx>
          <w:tblCellMar>
            <w:top w:w="0" w:type="dxa"/>
            <w:left w:w="108" w:type="dxa"/>
            <w:bottom w:w="0" w:type="dxa"/>
            <w:right w:w="108" w:type="dxa"/>
          </w:tblCellMar>
        </w:tblPrEx>
        <w:trPr>
          <w:trHeight w:val="454" w:hRule="atLeast"/>
        </w:trPr>
        <w:tc>
          <w:tcPr>
            <w:tcW w:w="1117" w:type="pct"/>
            <w:tcBorders>
              <w:top w:val="single" w:color="auto" w:sz="4" w:space="0"/>
              <w:left w:val="nil"/>
              <w:bottom w:val="single" w:color="auto" w:sz="4" w:space="0"/>
              <w:right w:val="single" w:color="auto" w:sz="8" w:space="0"/>
            </w:tcBorders>
            <w:shd w:val="clear" w:color="auto" w:fill="auto"/>
            <w:noWrap/>
            <w:vAlign w:val="center"/>
          </w:tcPr>
          <w:p>
            <w:pPr>
              <w:widowControl/>
              <w:jc w:val="left"/>
              <w:rPr>
                <w:kern w:val="0"/>
                <w:sz w:val="24"/>
                <w:highlight w:val="none"/>
              </w:rPr>
            </w:pPr>
            <w:r>
              <w:rPr>
                <w:rFonts w:hint="eastAsia"/>
                <w:b/>
                <w:bCs/>
                <w:kern w:val="0"/>
                <w:sz w:val="24"/>
                <w:highlight w:val="none"/>
              </w:rPr>
              <w:t>五、马边河</w:t>
            </w:r>
          </w:p>
        </w:tc>
        <w:tc>
          <w:tcPr>
            <w:tcW w:w="1275" w:type="pct"/>
            <w:tcBorders>
              <w:top w:val="single" w:color="auto" w:sz="4" w:space="0"/>
              <w:left w:val="nil"/>
              <w:bottom w:val="single" w:color="auto" w:sz="4" w:space="0"/>
              <w:right w:val="single" w:color="auto" w:sz="8" w:space="0"/>
            </w:tcBorders>
            <w:shd w:val="clear" w:color="auto" w:fill="auto"/>
            <w:noWrap/>
            <w:vAlign w:val="center"/>
          </w:tcPr>
          <w:p>
            <w:pPr>
              <w:widowControl/>
              <w:jc w:val="center"/>
              <w:rPr>
                <w:b/>
                <w:bCs/>
                <w:kern w:val="0"/>
                <w:sz w:val="24"/>
                <w:highlight w:val="none"/>
              </w:rPr>
            </w:pPr>
            <w:r>
              <w:rPr>
                <w:b/>
                <w:bCs/>
                <w:kern w:val="0"/>
                <w:sz w:val="24"/>
                <w:highlight w:val="none"/>
              </w:rPr>
              <w:t>300</w:t>
            </w:r>
          </w:p>
        </w:tc>
        <w:tc>
          <w:tcPr>
            <w:tcW w:w="1418"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b/>
                <w:bCs/>
                <w:kern w:val="0"/>
                <w:sz w:val="24"/>
                <w:highlight w:val="none"/>
              </w:rPr>
            </w:pPr>
            <w:r>
              <w:rPr>
                <w:b/>
                <w:bCs/>
                <w:kern w:val="0"/>
                <w:sz w:val="24"/>
                <w:highlight w:val="none"/>
              </w:rPr>
              <w:t>100</w:t>
            </w:r>
          </w:p>
        </w:tc>
        <w:tc>
          <w:tcPr>
            <w:tcW w:w="1191" w:type="pct"/>
            <w:tcBorders>
              <w:top w:val="single" w:color="auto" w:sz="4" w:space="0"/>
              <w:left w:val="single" w:color="auto" w:sz="4" w:space="0"/>
              <w:bottom w:val="single" w:color="auto" w:sz="4" w:space="0"/>
              <w:right w:val="nil"/>
            </w:tcBorders>
          </w:tcPr>
          <w:p>
            <w:pPr>
              <w:widowControl/>
              <w:jc w:val="center"/>
              <w:rPr>
                <w:kern w:val="0"/>
                <w:sz w:val="24"/>
                <w:highlight w:val="none"/>
              </w:rPr>
            </w:pPr>
          </w:p>
        </w:tc>
      </w:tr>
      <w:tr>
        <w:tblPrEx>
          <w:tblCellMar>
            <w:top w:w="0" w:type="dxa"/>
            <w:left w:w="108" w:type="dxa"/>
            <w:bottom w:w="0" w:type="dxa"/>
            <w:right w:w="108" w:type="dxa"/>
          </w:tblCellMar>
        </w:tblPrEx>
        <w:trPr>
          <w:trHeight w:val="454" w:hRule="atLeast"/>
        </w:trPr>
        <w:tc>
          <w:tcPr>
            <w:tcW w:w="1117" w:type="pct"/>
            <w:tcBorders>
              <w:top w:val="single" w:color="auto" w:sz="4" w:space="0"/>
              <w:left w:val="nil"/>
              <w:bottom w:val="single" w:color="auto" w:sz="4" w:space="0"/>
              <w:right w:val="single" w:color="auto" w:sz="8" w:space="0"/>
            </w:tcBorders>
            <w:shd w:val="clear" w:color="auto" w:fill="auto"/>
            <w:noWrap/>
            <w:vAlign w:val="center"/>
          </w:tcPr>
          <w:p>
            <w:pPr>
              <w:widowControl/>
              <w:jc w:val="center"/>
              <w:rPr>
                <w:kern w:val="0"/>
                <w:sz w:val="24"/>
                <w:highlight w:val="none"/>
              </w:rPr>
            </w:pPr>
            <w:r>
              <w:rPr>
                <w:rFonts w:hint="eastAsia"/>
                <w:kern w:val="0"/>
                <w:sz w:val="24"/>
                <w:highlight w:val="none"/>
              </w:rPr>
              <w:t>犍为港区</w:t>
            </w:r>
          </w:p>
        </w:tc>
        <w:tc>
          <w:tcPr>
            <w:tcW w:w="1275" w:type="pct"/>
            <w:tcBorders>
              <w:top w:val="single" w:color="auto" w:sz="4" w:space="0"/>
              <w:left w:val="nil"/>
              <w:bottom w:val="single" w:color="auto" w:sz="4" w:space="0"/>
              <w:right w:val="single" w:color="auto" w:sz="8" w:space="0"/>
            </w:tcBorders>
            <w:shd w:val="clear" w:color="auto" w:fill="auto"/>
            <w:noWrap/>
            <w:vAlign w:val="center"/>
          </w:tcPr>
          <w:p>
            <w:pPr>
              <w:widowControl/>
              <w:jc w:val="center"/>
              <w:rPr>
                <w:kern w:val="0"/>
                <w:sz w:val="24"/>
                <w:highlight w:val="none"/>
              </w:rPr>
            </w:pPr>
            <w:r>
              <w:rPr>
                <w:kern w:val="0"/>
                <w:sz w:val="24"/>
                <w:highlight w:val="none"/>
              </w:rPr>
              <w:t>100</w:t>
            </w:r>
          </w:p>
        </w:tc>
        <w:tc>
          <w:tcPr>
            <w:tcW w:w="1418"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kern w:val="0"/>
                <w:sz w:val="24"/>
                <w:highlight w:val="none"/>
              </w:rPr>
            </w:pPr>
            <w:r>
              <w:rPr>
                <w:kern w:val="0"/>
                <w:sz w:val="24"/>
                <w:highlight w:val="none"/>
              </w:rPr>
              <w:t>0</w:t>
            </w:r>
          </w:p>
        </w:tc>
        <w:tc>
          <w:tcPr>
            <w:tcW w:w="1191" w:type="pct"/>
            <w:tcBorders>
              <w:top w:val="single" w:color="auto" w:sz="4" w:space="0"/>
              <w:left w:val="single" w:color="auto" w:sz="4" w:space="0"/>
              <w:bottom w:val="single" w:color="auto" w:sz="4" w:space="0"/>
              <w:right w:val="nil"/>
            </w:tcBorders>
          </w:tcPr>
          <w:p>
            <w:pPr>
              <w:widowControl/>
              <w:jc w:val="center"/>
              <w:rPr>
                <w:kern w:val="0"/>
                <w:sz w:val="24"/>
                <w:highlight w:val="none"/>
              </w:rPr>
            </w:pPr>
          </w:p>
        </w:tc>
      </w:tr>
      <w:tr>
        <w:tblPrEx>
          <w:tblCellMar>
            <w:top w:w="0" w:type="dxa"/>
            <w:left w:w="108" w:type="dxa"/>
            <w:bottom w:w="0" w:type="dxa"/>
            <w:right w:w="108" w:type="dxa"/>
          </w:tblCellMar>
        </w:tblPrEx>
        <w:trPr>
          <w:trHeight w:val="454" w:hRule="atLeast"/>
        </w:trPr>
        <w:tc>
          <w:tcPr>
            <w:tcW w:w="1117" w:type="pct"/>
            <w:tcBorders>
              <w:top w:val="single" w:color="auto" w:sz="4" w:space="0"/>
              <w:left w:val="nil"/>
              <w:bottom w:val="single" w:color="auto" w:sz="4" w:space="0"/>
              <w:right w:val="single" w:color="auto" w:sz="8" w:space="0"/>
            </w:tcBorders>
            <w:shd w:val="clear" w:color="auto" w:fill="auto"/>
            <w:noWrap/>
            <w:vAlign w:val="center"/>
          </w:tcPr>
          <w:p>
            <w:pPr>
              <w:widowControl/>
              <w:jc w:val="center"/>
              <w:rPr>
                <w:kern w:val="0"/>
                <w:sz w:val="24"/>
                <w:highlight w:val="none"/>
              </w:rPr>
            </w:pPr>
            <w:r>
              <w:rPr>
                <w:rFonts w:hint="eastAsia"/>
                <w:kern w:val="0"/>
                <w:sz w:val="24"/>
                <w:highlight w:val="none"/>
              </w:rPr>
              <w:t>沐川港区</w:t>
            </w:r>
          </w:p>
        </w:tc>
        <w:tc>
          <w:tcPr>
            <w:tcW w:w="1275" w:type="pct"/>
            <w:tcBorders>
              <w:top w:val="single" w:color="auto" w:sz="4" w:space="0"/>
              <w:left w:val="nil"/>
              <w:bottom w:val="single" w:color="auto" w:sz="4" w:space="0"/>
              <w:right w:val="single" w:color="auto" w:sz="8" w:space="0"/>
            </w:tcBorders>
            <w:shd w:val="clear" w:color="auto" w:fill="auto"/>
            <w:noWrap/>
            <w:vAlign w:val="center"/>
          </w:tcPr>
          <w:p>
            <w:pPr>
              <w:widowControl/>
              <w:jc w:val="center"/>
              <w:rPr>
                <w:kern w:val="0"/>
                <w:sz w:val="24"/>
                <w:highlight w:val="none"/>
              </w:rPr>
            </w:pPr>
            <w:r>
              <w:rPr>
                <w:kern w:val="0"/>
                <w:sz w:val="24"/>
                <w:highlight w:val="none"/>
              </w:rPr>
              <w:t>200</w:t>
            </w:r>
          </w:p>
        </w:tc>
        <w:tc>
          <w:tcPr>
            <w:tcW w:w="1418"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kern w:val="0"/>
                <w:sz w:val="24"/>
                <w:highlight w:val="none"/>
              </w:rPr>
            </w:pPr>
            <w:r>
              <w:rPr>
                <w:kern w:val="0"/>
                <w:sz w:val="24"/>
                <w:highlight w:val="none"/>
              </w:rPr>
              <w:t>100</w:t>
            </w:r>
          </w:p>
        </w:tc>
        <w:tc>
          <w:tcPr>
            <w:tcW w:w="1191" w:type="pct"/>
            <w:tcBorders>
              <w:top w:val="single" w:color="auto" w:sz="4" w:space="0"/>
              <w:left w:val="single" w:color="auto" w:sz="4" w:space="0"/>
              <w:bottom w:val="single" w:color="auto" w:sz="4" w:space="0"/>
              <w:right w:val="nil"/>
            </w:tcBorders>
          </w:tcPr>
          <w:p>
            <w:pPr>
              <w:widowControl/>
              <w:jc w:val="center"/>
              <w:rPr>
                <w:kern w:val="0"/>
                <w:sz w:val="24"/>
                <w:highlight w:val="none"/>
              </w:rPr>
            </w:pPr>
          </w:p>
        </w:tc>
      </w:tr>
      <w:tr>
        <w:tblPrEx>
          <w:tblCellMar>
            <w:top w:w="0" w:type="dxa"/>
            <w:left w:w="108" w:type="dxa"/>
            <w:bottom w:w="0" w:type="dxa"/>
            <w:right w:w="108" w:type="dxa"/>
          </w:tblCellMar>
        </w:tblPrEx>
        <w:trPr>
          <w:trHeight w:val="454" w:hRule="atLeast"/>
        </w:trPr>
        <w:tc>
          <w:tcPr>
            <w:tcW w:w="1117" w:type="pct"/>
            <w:tcBorders>
              <w:top w:val="single" w:color="auto" w:sz="4" w:space="0"/>
              <w:left w:val="nil"/>
              <w:bottom w:val="single" w:color="auto" w:sz="4" w:space="0"/>
              <w:right w:val="single" w:color="auto" w:sz="8" w:space="0"/>
            </w:tcBorders>
            <w:shd w:val="clear" w:color="auto" w:fill="auto"/>
            <w:noWrap/>
            <w:vAlign w:val="center"/>
          </w:tcPr>
          <w:p>
            <w:pPr>
              <w:widowControl/>
              <w:jc w:val="left"/>
              <w:rPr>
                <w:kern w:val="0"/>
                <w:sz w:val="24"/>
                <w:highlight w:val="none"/>
              </w:rPr>
            </w:pPr>
            <w:r>
              <w:rPr>
                <w:rFonts w:hint="eastAsia"/>
                <w:b/>
                <w:bCs/>
                <w:kern w:val="0"/>
                <w:sz w:val="24"/>
                <w:highlight w:val="none"/>
              </w:rPr>
              <w:t>六、茫溪河</w:t>
            </w:r>
          </w:p>
        </w:tc>
        <w:tc>
          <w:tcPr>
            <w:tcW w:w="1275" w:type="pct"/>
            <w:tcBorders>
              <w:top w:val="single" w:color="auto" w:sz="4" w:space="0"/>
              <w:left w:val="nil"/>
              <w:bottom w:val="single" w:color="auto" w:sz="4" w:space="0"/>
              <w:right w:val="single" w:color="auto" w:sz="8" w:space="0"/>
            </w:tcBorders>
            <w:shd w:val="clear" w:color="auto" w:fill="auto"/>
            <w:noWrap/>
            <w:vAlign w:val="center"/>
          </w:tcPr>
          <w:p>
            <w:pPr>
              <w:widowControl/>
              <w:jc w:val="center"/>
              <w:rPr>
                <w:b/>
                <w:bCs/>
                <w:kern w:val="0"/>
                <w:sz w:val="24"/>
                <w:highlight w:val="none"/>
              </w:rPr>
            </w:pPr>
            <w:r>
              <w:rPr>
                <w:b/>
                <w:bCs/>
                <w:kern w:val="0"/>
                <w:sz w:val="24"/>
                <w:highlight w:val="none"/>
              </w:rPr>
              <w:t>100</w:t>
            </w:r>
          </w:p>
        </w:tc>
        <w:tc>
          <w:tcPr>
            <w:tcW w:w="1418"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b/>
                <w:bCs/>
                <w:kern w:val="0"/>
                <w:sz w:val="24"/>
                <w:highlight w:val="none"/>
              </w:rPr>
            </w:pPr>
            <w:r>
              <w:rPr>
                <w:b/>
                <w:bCs/>
                <w:kern w:val="0"/>
                <w:sz w:val="24"/>
                <w:highlight w:val="none"/>
              </w:rPr>
              <w:t>0</w:t>
            </w:r>
          </w:p>
        </w:tc>
        <w:tc>
          <w:tcPr>
            <w:tcW w:w="1191" w:type="pct"/>
            <w:tcBorders>
              <w:top w:val="single" w:color="auto" w:sz="4" w:space="0"/>
              <w:left w:val="single" w:color="auto" w:sz="4" w:space="0"/>
              <w:bottom w:val="single" w:color="auto" w:sz="4" w:space="0"/>
              <w:right w:val="nil"/>
            </w:tcBorders>
          </w:tcPr>
          <w:p>
            <w:pPr>
              <w:widowControl/>
              <w:jc w:val="center"/>
              <w:rPr>
                <w:kern w:val="0"/>
                <w:sz w:val="24"/>
                <w:highlight w:val="none"/>
              </w:rPr>
            </w:pPr>
          </w:p>
        </w:tc>
      </w:tr>
      <w:tr>
        <w:tblPrEx>
          <w:tblCellMar>
            <w:top w:w="0" w:type="dxa"/>
            <w:left w:w="108" w:type="dxa"/>
            <w:bottom w:w="0" w:type="dxa"/>
            <w:right w:w="108" w:type="dxa"/>
          </w:tblCellMar>
        </w:tblPrEx>
        <w:trPr>
          <w:trHeight w:val="454" w:hRule="atLeast"/>
        </w:trPr>
        <w:tc>
          <w:tcPr>
            <w:tcW w:w="1117" w:type="pct"/>
            <w:tcBorders>
              <w:top w:val="single" w:color="auto" w:sz="4" w:space="0"/>
              <w:left w:val="nil"/>
              <w:bottom w:val="single" w:color="auto" w:sz="4" w:space="0"/>
              <w:right w:val="single" w:color="auto" w:sz="8" w:space="0"/>
            </w:tcBorders>
            <w:shd w:val="clear" w:color="auto" w:fill="auto"/>
            <w:noWrap/>
            <w:vAlign w:val="center"/>
          </w:tcPr>
          <w:p>
            <w:pPr>
              <w:widowControl/>
              <w:jc w:val="center"/>
              <w:rPr>
                <w:kern w:val="0"/>
                <w:sz w:val="24"/>
                <w:highlight w:val="none"/>
              </w:rPr>
            </w:pPr>
            <w:r>
              <w:rPr>
                <w:rFonts w:hint="eastAsia"/>
                <w:kern w:val="0"/>
                <w:sz w:val="24"/>
                <w:highlight w:val="none"/>
              </w:rPr>
              <w:t>五通桥港区</w:t>
            </w:r>
          </w:p>
        </w:tc>
        <w:tc>
          <w:tcPr>
            <w:tcW w:w="1275" w:type="pct"/>
            <w:tcBorders>
              <w:top w:val="single" w:color="auto" w:sz="4" w:space="0"/>
              <w:left w:val="nil"/>
              <w:bottom w:val="single" w:color="auto" w:sz="4" w:space="0"/>
              <w:right w:val="single" w:color="auto" w:sz="8" w:space="0"/>
            </w:tcBorders>
            <w:shd w:val="clear" w:color="auto" w:fill="auto"/>
            <w:noWrap/>
            <w:vAlign w:val="center"/>
          </w:tcPr>
          <w:p>
            <w:pPr>
              <w:widowControl/>
              <w:jc w:val="center"/>
              <w:rPr>
                <w:kern w:val="0"/>
                <w:sz w:val="24"/>
                <w:highlight w:val="none"/>
              </w:rPr>
            </w:pPr>
            <w:r>
              <w:rPr>
                <w:kern w:val="0"/>
                <w:sz w:val="24"/>
                <w:highlight w:val="none"/>
              </w:rPr>
              <w:t>100</w:t>
            </w:r>
          </w:p>
        </w:tc>
        <w:tc>
          <w:tcPr>
            <w:tcW w:w="1418"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kern w:val="0"/>
                <w:sz w:val="24"/>
                <w:highlight w:val="none"/>
              </w:rPr>
            </w:pPr>
            <w:r>
              <w:rPr>
                <w:kern w:val="0"/>
                <w:sz w:val="24"/>
                <w:highlight w:val="none"/>
              </w:rPr>
              <w:t>0</w:t>
            </w:r>
          </w:p>
        </w:tc>
        <w:tc>
          <w:tcPr>
            <w:tcW w:w="1191" w:type="pct"/>
            <w:tcBorders>
              <w:top w:val="single" w:color="auto" w:sz="4" w:space="0"/>
              <w:left w:val="single" w:color="auto" w:sz="4" w:space="0"/>
              <w:bottom w:val="single" w:color="auto" w:sz="4" w:space="0"/>
              <w:right w:val="nil"/>
            </w:tcBorders>
          </w:tcPr>
          <w:p>
            <w:pPr>
              <w:widowControl/>
              <w:jc w:val="center"/>
              <w:rPr>
                <w:kern w:val="0"/>
                <w:sz w:val="24"/>
                <w:highlight w:val="none"/>
              </w:rPr>
            </w:pPr>
          </w:p>
        </w:tc>
      </w:tr>
      <w:tr>
        <w:tblPrEx>
          <w:tblCellMar>
            <w:top w:w="0" w:type="dxa"/>
            <w:left w:w="108" w:type="dxa"/>
            <w:bottom w:w="0" w:type="dxa"/>
            <w:right w:w="108" w:type="dxa"/>
          </w:tblCellMar>
        </w:tblPrEx>
        <w:trPr>
          <w:trHeight w:val="454" w:hRule="atLeast"/>
        </w:trPr>
        <w:tc>
          <w:tcPr>
            <w:tcW w:w="1117" w:type="pct"/>
            <w:tcBorders>
              <w:top w:val="single" w:color="auto" w:sz="4" w:space="0"/>
              <w:left w:val="nil"/>
              <w:bottom w:val="single" w:color="auto" w:sz="4" w:space="0"/>
              <w:right w:val="single" w:color="auto" w:sz="8" w:space="0"/>
            </w:tcBorders>
            <w:shd w:val="clear" w:color="auto" w:fill="auto"/>
            <w:noWrap/>
            <w:vAlign w:val="center"/>
          </w:tcPr>
          <w:p>
            <w:pPr>
              <w:widowControl/>
              <w:jc w:val="left"/>
              <w:rPr>
                <w:kern w:val="0"/>
                <w:sz w:val="24"/>
                <w:highlight w:val="none"/>
              </w:rPr>
            </w:pPr>
            <w:r>
              <w:rPr>
                <w:rFonts w:hint="eastAsia"/>
                <w:b/>
                <w:bCs/>
                <w:kern w:val="0"/>
                <w:sz w:val="24"/>
                <w:highlight w:val="none"/>
              </w:rPr>
              <w:t>七、金王寺水库</w:t>
            </w:r>
          </w:p>
        </w:tc>
        <w:tc>
          <w:tcPr>
            <w:tcW w:w="1275" w:type="pct"/>
            <w:tcBorders>
              <w:top w:val="single" w:color="auto" w:sz="4" w:space="0"/>
              <w:left w:val="nil"/>
              <w:bottom w:val="single" w:color="auto" w:sz="4" w:space="0"/>
              <w:right w:val="single" w:color="auto" w:sz="8" w:space="0"/>
            </w:tcBorders>
            <w:shd w:val="clear" w:color="auto" w:fill="auto"/>
            <w:noWrap/>
            <w:vAlign w:val="center"/>
          </w:tcPr>
          <w:p>
            <w:pPr>
              <w:widowControl/>
              <w:jc w:val="center"/>
              <w:rPr>
                <w:b/>
                <w:bCs/>
                <w:kern w:val="0"/>
                <w:sz w:val="24"/>
                <w:highlight w:val="none"/>
              </w:rPr>
            </w:pPr>
            <w:r>
              <w:rPr>
                <w:b/>
                <w:bCs/>
                <w:kern w:val="0"/>
                <w:sz w:val="24"/>
                <w:highlight w:val="none"/>
              </w:rPr>
              <w:t>200</w:t>
            </w:r>
          </w:p>
        </w:tc>
        <w:tc>
          <w:tcPr>
            <w:tcW w:w="1418"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b/>
                <w:bCs/>
                <w:kern w:val="0"/>
                <w:sz w:val="24"/>
                <w:highlight w:val="none"/>
              </w:rPr>
            </w:pPr>
            <w:r>
              <w:rPr>
                <w:b/>
                <w:bCs/>
                <w:kern w:val="0"/>
                <w:sz w:val="24"/>
                <w:highlight w:val="none"/>
              </w:rPr>
              <w:t>0</w:t>
            </w:r>
          </w:p>
        </w:tc>
        <w:tc>
          <w:tcPr>
            <w:tcW w:w="1191" w:type="pct"/>
            <w:tcBorders>
              <w:top w:val="single" w:color="auto" w:sz="4" w:space="0"/>
              <w:left w:val="single" w:color="auto" w:sz="4" w:space="0"/>
              <w:bottom w:val="single" w:color="auto" w:sz="4" w:space="0"/>
              <w:right w:val="nil"/>
            </w:tcBorders>
          </w:tcPr>
          <w:p>
            <w:pPr>
              <w:widowControl/>
              <w:jc w:val="center"/>
              <w:rPr>
                <w:kern w:val="0"/>
                <w:sz w:val="24"/>
                <w:highlight w:val="none"/>
              </w:rPr>
            </w:pPr>
          </w:p>
        </w:tc>
      </w:tr>
      <w:tr>
        <w:tblPrEx>
          <w:tblCellMar>
            <w:top w:w="0" w:type="dxa"/>
            <w:left w:w="108" w:type="dxa"/>
            <w:bottom w:w="0" w:type="dxa"/>
            <w:right w:w="108" w:type="dxa"/>
          </w:tblCellMar>
        </w:tblPrEx>
        <w:trPr>
          <w:trHeight w:val="454" w:hRule="atLeast"/>
        </w:trPr>
        <w:tc>
          <w:tcPr>
            <w:tcW w:w="1117" w:type="pct"/>
            <w:tcBorders>
              <w:top w:val="single" w:color="auto" w:sz="4" w:space="0"/>
              <w:left w:val="nil"/>
              <w:bottom w:val="thickThinSmallGap" w:color="auto" w:sz="18" w:space="0"/>
              <w:right w:val="single" w:color="auto" w:sz="8" w:space="0"/>
            </w:tcBorders>
            <w:shd w:val="clear" w:color="auto" w:fill="auto"/>
            <w:noWrap/>
            <w:vAlign w:val="center"/>
          </w:tcPr>
          <w:p>
            <w:pPr>
              <w:widowControl/>
              <w:jc w:val="center"/>
              <w:rPr>
                <w:kern w:val="0"/>
                <w:sz w:val="24"/>
                <w:highlight w:val="none"/>
              </w:rPr>
            </w:pPr>
            <w:r>
              <w:rPr>
                <w:rFonts w:hint="eastAsia"/>
                <w:kern w:val="0"/>
                <w:sz w:val="24"/>
                <w:highlight w:val="none"/>
              </w:rPr>
              <w:t>沐川港区</w:t>
            </w:r>
          </w:p>
        </w:tc>
        <w:tc>
          <w:tcPr>
            <w:tcW w:w="1275" w:type="pct"/>
            <w:tcBorders>
              <w:top w:val="single" w:color="auto" w:sz="4" w:space="0"/>
              <w:left w:val="nil"/>
              <w:bottom w:val="thickThinSmallGap" w:color="auto" w:sz="18" w:space="0"/>
              <w:right w:val="single" w:color="auto" w:sz="8" w:space="0"/>
            </w:tcBorders>
            <w:shd w:val="clear" w:color="auto" w:fill="auto"/>
            <w:noWrap/>
            <w:vAlign w:val="center"/>
          </w:tcPr>
          <w:p>
            <w:pPr>
              <w:widowControl/>
              <w:jc w:val="center"/>
              <w:rPr>
                <w:kern w:val="0"/>
                <w:sz w:val="24"/>
                <w:highlight w:val="none"/>
              </w:rPr>
            </w:pPr>
            <w:r>
              <w:rPr>
                <w:kern w:val="0"/>
                <w:sz w:val="24"/>
                <w:highlight w:val="none"/>
              </w:rPr>
              <w:t>200</w:t>
            </w:r>
          </w:p>
        </w:tc>
        <w:tc>
          <w:tcPr>
            <w:tcW w:w="1418" w:type="pct"/>
            <w:tcBorders>
              <w:top w:val="single" w:color="auto" w:sz="4" w:space="0"/>
              <w:left w:val="nil"/>
              <w:bottom w:val="thickThinSmallGap" w:color="auto" w:sz="18" w:space="0"/>
              <w:right w:val="single" w:color="auto" w:sz="4" w:space="0"/>
            </w:tcBorders>
            <w:shd w:val="clear" w:color="auto" w:fill="auto"/>
            <w:noWrap/>
            <w:vAlign w:val="center"/>
          </w:tcPr>
          <w:p>
            <w:pPr>
              <w:widowControl/>
              <w:jc w:val="center"/>
              <w:rPr>
                <w:kern w:val="0"/>
                <w:sz w:val="24"/>
                <w:highlight w:val="none"/>
              </w:rPr>
            </w:pPr>
            <w:r>
              <w:rPr>
                <w:kern w:val="0"/>
                <w:sz w:val="24"/>
                <w:highlight w:val="none"/>
              </w:rPr>
              <w:t>0</w:t>
            </w:r>
          </w:p>
        </w:tc>
        <w:tc>
          <w:tcPr>
            <w:tcW w:w="1191" w:type="pct"/>
            <w:tcBorders>
              <w:top w:val="single" w:color="auto" w:sz="4" w:space="0"/>
              <w:left w:val="single" w:color="auto" w:sz="4" w:space="0"/>
              <w:bottom w:val="thickThinSmallGap" w:color="auto" w:sz="18" w:space="0"/>
              <w:right w:val="nil"/>
            </w:tcBorders>
          </w:tcPr>
          <w:p>
            <w:pPr>
              <w:widowControl/>
              <w:jc w:val="center"/>
              <w:rPr>
                <w:kern w:val="0"/>
                <w:sz w:val="24"/>
                <w:highlight w:val="none"/>
              </w:rPr>
            </w:pPr>
          </w:p>
        </w:tc>
      </w:tr>
    </w:tbl>
    <w:p>
      <w:pPr>
        <w:pStyle w:val="2"/>
        <w:spacing w:line="360" w:lineRule="auto"/>
        <w:ind w:firstLine="560" w:firstLineChars="200"/>
        <w:rPr>
          <w:rFonts w:ascii="Times New Roman" w:cs="Times New Roman"/>
          <w:color w:val="auto"/>
          <w:sz w:val="28"/>
          <w:szCs w:val="28"/>
          <w:highlight w:val="none"/>
        </w:rPr>
      </w:pPr>
      <w:r>
        <w:rPr>
          <w:rFonts w:hint="eastAsia" w:ascii="Times New Roman" w:cs="Times New Roman"/>
          <w:color w:val="auto"/>
          <w:sz w:val="28"/>
          <w:szCs w:val="28"/>
          <w:highlight w:val="none"/>
        </w:rPr>
        <w:t>分港区来看，</w:t>
      </w:r>
      <w:r>
        <w:rPr>
          <w:rFonts w:hint="eastAsia" w:ascii="Times New Roman" w:cs="Times New Roman"/>
          <w:b/>
          <w:bCs/>
          <w:color w:val="auto"/>
          <w:sz w:val="28"/>
          <w:szCs w:val="28"/>
          <w:highlight w:val="none"/>
        </w:rPr>
        <w:t>嘉州港区</w:t>
      </w:r>
      <w:r>
        <w:rPr>
          <w:rFonts w:hint="eastAsia" w:ascii="Times New Roman" w:cs="Times New Roman"/>
          <w:color w:val="auto"/>
          <w:sz w:val="28"/>
          <w:szCs w:val="28"/>
          <w:highlight w:val="none"/>
        </w:rPr>
        <w:t>货运岸线大幅减少，旅游客运岸线大幅增加，同时增加支持保障岸线，取消城市生活岸线；</w:t>
      </w:r>
      <w:r>
        <w:rPr>
          <w:rFonts w:hint="eastAsia" w:ascii="Times New Roman" w:cs="Times New Roman"/>
          <w:b/>
          <w:bCs/>
          <w:color w:val="auto"/>
          <w:sz w:val="28"/>
          <w:szCs w:val="28"/>
          <w:highlight w:val="none"/>
        </w:rPr>
        <w:t>五通桥港区</w:t>
      </w:r>
      <w:r>
        <w:rPr>
          <w:rFonts w:hint="eastAsia" w:ascii="Times New Roman" w:cs="Times New Roman"/>
          <w:color w:val="auto"/>
          <w:sz w:val="28"/>
          <w:szCs w:val="28"/>
          <w:highlight w:val="none"/>
        </w:rPr>
        <w:t>货运岸线规模基本保持不变，同时增加旅游客运岸线、支持保障岸线，取消城市生活岸线；</w:t>
      </w:r>
      <w:r>
        <w:rPr>
          <w:rFonts w:hint="eastAsia" w:ascii="Times New Roman" w:cs="Times New Roman"/>
          <w:b/>
          <w:bCs/>
          <w:color w:val="auto"/>
          <w:sz w:val="28"/>
          <w:szCs w:val="28"/>
          <w:highlight w:val="none"/>
        </w:rPr>
        <w:t>犍为港区</w:t>
      </w:r>
      <w:r>
        <w:rPr>
          <w:rFonts w:hint="eastAsia" w:ascii="Times New Roman" w:cs="Times New Roman"/>
          <w:color w:val="auto"/>
          <w:sz w:val="28"/>
          <w:szCs w:val="28"/>
          <w:highlight w:val="none"/>
        </w:rPr>
        <w:t>货运岸线规模小幅度增加，主要是扩大原孝姑岸线规模即现在的高石坝岸线，旅游客运岸线小幅增加，同时增加船舶修造、水上服务中心岸线，取消城市生活岸线；</w:t>
      </w:r>
      <w:r>
        <w:rPr>
          <w:rFonts w:hint="eastAsia" w:ascii="Times New Roman" w:cs="Times New Roman"/>
          <w:b/>
          <w:bCs/>
          <w:color w:val="auto"/>
          <w:sz w:val="28"/>
          <w:szCs w:val="28"/>
          <w:highlight w:val="none"/>
        </w:rPr>
        <w:t>沙湾港区</w:t>
      </w:r>
      <w:r>
        <w:rPr>
          <w:rFonts w:hint="eastAsia" w:ascii="Times New Roman" w:cs="Times New Roman"/>
          <w:color w:val="auto"/>
          <w:sz w:val="28"/>
          <w:szCs w:val="28"/>
          <w:highlight w:val="none"/>
        </w:rPr>
        <w:t>货运岸线规模小幅度增加，主要是增加库区短途砂石、散货岸线，同时增加旅游客运岸线；同时本次修编增加沐川港区、峨边港区、金口河港区、夹江港区。总体来看，本次修编</w:t>
      </w:r>
      <w:r>
        <w:rPr>
          <w:rFonts w:hint="eastAsia" w:ascii="Times New Roman" w:cs="Times New Roman"/>
          <w:b/>
          <w:bCs/>
          <w:color w:val="auto"/>
          <w:sz w:val="28"/>
          <w:szCs w:val="28"/>
          <w:highlight w:val="none"/>
        </w:rPr>
        <w:t>货运岸线规模减小</w:t>
      </w:r>
      <w:r>
        <w:rPr>
          <w:rFonts w:hint="eastAsia" w:ascii="Times New Roman" w:cs="Times New Roman"/>
          <w:color w:val="auto"/>
          <w:sz w:val="28"/>
          <w:szCs w:val="28"/>
          <w:highlight w:val="none"/>
        </w:rPr>
        <w:t>，</w:t>
      </w:r>
      <w:r>
        <w:rPr>
          <w:rFonts w:hint="eastAsia" w:ascii="Times New Roman" w:cs="Times New Roman"/>
          <w:b/>
          <w:bCs/>
          <w:color w:val="auto"/>
          <w:sz w:val="28"/>
          <w:szCs w:val="28"/>
          <w:highlight w:val="none"/>
        </w:rPr>
        <w:t>降幅</w:t>
      </w:r>
      <w:r>
        <w:rPr>
          <w:rFonts w:ascii="Times New Roman" w:cs="Times New Roman"/>
          <w:b/>
          <w:bCs/>
          <w:color w:val="auto"/>
          <w:sz w:val="28"/>
          <w:szCs w:val="28"/>
          <w:highlight w:val="none"/>
        </w:rPr>
        <w:t>15.3%</w:t>
      </w:r>
      <w:r>
        <w:rPr>
          <w:rFonts w:hint="eastAsia" w:ascii="Times New Roman" w:cs="Times New Roman"/>
          <w:color w:val="auto"/>
          <w:sz w:val="28"/>
          <w:szCs w:val="28"/>
          <w:highlight w:val="none"/>
        </w:rPr>
        <w:t>；</w:t>
      </w:r>
      <w:r>
        <w:rPr>
          <w:rFonts w:hint="eastAsia" w:ascii="Times New Roman" w:cs="Times New Roman"/>
          <w:b/>
          <w:bCs/>
          <w:color w:val="auto"/>
          <w:sz w:val="28"/>
          <w:szCs w:val="28"/>
          <w:highlight w:val="none"/>
        </w:rPr>
        <w:t>客运岸线大幅增加，支撑“交通</w:t>
      </w:r>
      <w:r>
        <w:rPr>
          <w:rFonts w:ascii="Times New Roman" w:cs="Times New Roman"/>
          <w:b/>
          <w:bCs/>
          <w:color w:val="auto"/>
          <w:sz w:val="28"/>
          <w:szCs w:val="28"/>
          <w:highlight w:val="none"/>
        </w:rPr>
        <w:t>+</w:t>
      </w:r>
      <w:r>
        <w:rPr>
          <w:rFonts w:hint="eastAsia" w:ascii="Times New Roman" w:cs="Times New Roman"/>
          <w:b/>
          <w:bCs/>
          <w:color w:val="auto"/>
          <w:sz w:val="28"/>
          <w:szCs w:val="28"/>
          <w:highlight w:val="none"/>
        </w:rPr>
        <w:t>旅游”融合发展，满足人民群众美好生活需求；同时合理增加支持保障岸线，用于港航管理岸线、水上服务中心建设，取消城市生活岸线</w:t>
      </w:r>
      <w:r>
        <w:rPr>
          <w:rFonts w:hint="eastAsia" w:ascii="Times New Roman" w:cs="Times New Roman"/>
          <w:color w:val="auto"/>
          <w:sz w:val="28"/>
          <w:szCs w:val="28"/>
          <w:highlight w:val="none"/>
        </w:rPr>
        <w:t>。</w:t>
      </w:r>
    </w:p>
    <w:p>
      <w:pPr>
        <w:pStyle w:val="2"/>
        <w:spacing w:line="360" w:lineRule="auto"/>
        <w:ind w:firstLine="562" w:firstLineChars="200"/>
        <w:rPr>
          <w:rFonts w:ascii="Times New Roman" w:cs="Times New Roman"/>
          <w:color w:val="auto"/>
          <w:sz w:val="28"/>
          <w:szCs w:val="28"/>
          <w:highlight w:val="none"/>
        </w:rPr>
      </w:pPr>
      <w:r>
        <w:rPr>
          <w:rFonts w:hint="eastAsia" w:ascii="Times New Roman" w:cs="Times New Roman"/>
          <w:b/>
          <w:bCs/>
          <w:color w:val="auto"/>
          <w:sz w:val="28"/>
          <w:szCs w:val="28"/>
          <w:highlight w:val="none"/>
        </w:rPr>
        <w:t>分江河来看</w:t>
      </w:r>
      <w:r>
        <w:rPr>
          <w:rFonts w:hint="eastAsia" w:ascii="Times New Roman" w:cs="Times New Roman"/>
          <w:color w:val="auto"/>
          <w:sz w:val="28"/>
          <w:szCs w:val="28"/>
          <w:highlight w:val="none"/>
        </w:rPr>
        <w:t>，</w:t>
      </w:r>
      <w:r>
        <w:rPr>
          <w:rFonts w:hint="eastAsia" w:ascii="Times New Roman" w:cs="Times New Roman"/>
          <w:b/>
          <w:bCs/>
          <w:color w:val="auto"/>
          <w:sz w:val="28"/>
          <w:szCs w:val="28"/>
          <w:highlight w:val="none"/>
        </w:rPr>
        <w:t>岷江</w:t>
      </w:r>
      <w:r>
        <w:rPr>
          <w:rFonts w:hint="eastAsia" w:ascii="Times New Roman" w:cs="Times New Roman"/>
          <w:color w:val="auto"/>
          <w:sz w:val="28"/>
          <w:szCs w:val="28"/>
          <w:highlight w:val="none"/>
        </w:rPr>
        <w:t>上货运岸线大幅减少约</w:t>
      </w:r>
      <w:r>
        <w:rPr>
          <w:rFonts w:ascii="Times New Roman" w:cs="Times New Roman"/>
          <w:color w:val="auto"/>
          <w:sz w:val="28"/>
          <w:szCs w:val="28"/>
          <w:highlight w:val="none"/>
        </w:rPr>
        <w:t>45.6%</w:t>
      </w:r>
      <w:r>
        <w:rPr>
          <w:rFonts w:hint="eastAsia" w:ascii="Times New Roman" w:cs="Times New Roman"/>
          <w:color w:val="auto"/>
          <w:sz w:val="28"/>
          <w:szCs w:val="28"/>
          <w:highlight w:val="none"/>
        </w:rPr>
        <w:t>，旅游客运岸线大幅增加，同时增加水上服务中心岸线；</w:t>
      </w:r>
      <w:r>
        <w:rPr>
          <w:rFonts w:hint="eastAsia" w:ascii="Times New Roman" w:cs="Times New Roman"/>
          <w:b/>
          <w:bCs/>
          <w:color w:val="auto"/>
          <w:sz w:val="28"/>
          <w:szCs w:val="28"/>
          <w:highlight w:val="none"/>
        </w:rPr>
        <w:t>大渡河</w:t>
      </w:r>
      <w:r>
        <w:rPr>
          <w:rFonts w:hint="eastAsia" w:ascii="Times New Roman" w:cs="Times New Roman"/>
          <w:color w:val="auto"/>
          <w:sz w:val="28"/>
          <w:szCs w:val="28"/>
          <w:highlight w:val="none"/>
        </w:rPr>
        <w:t>上客货运岸线均大幅增加，其中货运岸线增加的原因主要是服务库区砂石、散货运输，同时增加修造船岸线、港航管理岸线，取消城市生活岸线。同时本次修编增加沐溪河、马边河、青衣江岸线。总体来看，本次修编</w:t>
      </w:r>
      <w:r>
        <w:rPr>
          <w:rFonts w:hint="eastAsia" w:ascii="Times New Roman" w:cs="Times New Roman"/>
          <w:b/>
          <w:bCs/>
          <w:color w:val="auto"/>
          <w:sz w:val="28"/>
          <w:szCs w:val="28"/>
          <w:highlight w:val="none"/>
        </w:rPr>
        <w:t>货运岸线规模变小，减少约</w:t>
      </w:r>
      <w:r>
        <w:rPr>
          <w:rFonts w:ascii="Times New Roman" w:cs="Times New Roman"/>
          <w:b/>
          <w:bCs/>
          <w:color w:val="auto"/>
          <w:sz w:val="28"/>
          <w:szCs w:val="28"/>
          <w:highlight w:val="none"/>
        </w:rPr>
        <w:t>15.3%</w:t>
      </w:r>
      <w:r>
        <w:rPr>
          <w:rFonts w:hint="eastAsia" w:ascii="Times New Roman" w:cs="Times New Roman"/>
          <w:b/>
          <w:bCs/>
          <w:color w:val="auto"/>
          <w:sz w:val="28"/>
          <w:szCs w:val="28"/>
          <w:highlight w:val="none"/>
        </w:rPr>
        <w:t>；客运岸线大幅增加，支撑“交通</w:t>
      </w:r>
      <w:r>
        <w:rPr>
          <w:rFonts w:ascii="Times New Roman" w:cs="Times New Roman"/>
          <w:b/>
          <w:bCs/>
          <w:color w:val="auto"/>
          <w:sz w:val="28"/>
          <w:szCs w:val="28"/>
          <w:highlight w:val="none"/>
        </w:rPr>
        <w:t>+</w:t>
      </w:r>
      <w:r>
        <w:rPr>
          <w:rFonts w:hint="eastAsia" w:ascii="Times New Roman" w:cs="Times New Roman"/>
          <w:b/>
          <w:bCs/>
          <w:color w:val="auto"/>
          <w:sz w:val="28"/>
          <w:szCs w:val="28"/>
          <w:highlight w:val="none"/>
        </w:rPr>
        <w:t>旅游”融合发展，满足人民群众美好生活需求；同时合理增加支持保障岸线，用于港航管理岸线、船舶修造船、水上服务中心建设，取消城市生活岸线</w:t>
      </w:r>
      <w:r>
        <w:rPr>
          <w:rFonts w:hint="eastAsia" w:ascii="Times New Roman" w:cs="Times New Roman"/>
          <w:color w:val="auto"/>
          <w:sz w:val="28"/>
          <w:szCs w:val="28"/>
          <w:highlight w:val="none"/>
        </w:rPr>
        <w:t>。</w:t>
      </w:r>
    </w:p>
    <w:p>
      <w:pPr>
        <w:pStyle w:val="2"/>
        <w:spacing w:before="156" w:beforeLines="50" w:line="360" w:lineRule="auto"/>
        <w:ind w:firstLine="562" w:firstLineChars="200"/>
        <w:rPr>
          <w:rFonts w:ascii="Times New Roman" w:cs="Times New Roman"/>
          <w:b/>
          <w:color w:val="auto"/>
          <w:sz w:val="28"/>
          <w:szCs w:val="28"/>
          <w:highlight w:val="none"/>
        </w:rPr>
      </w:pPr>
      <w:r>
        <w:rPr>
          <w:rFonts w:ascii="Times New Roman" w:cs="Times New Roman"/>
          <w:b/>
          <w:color w:val="auto"/>
          <w:sz w:val="28"/>
          <w:szCs w:val="28"/>
          <w:highlight w:val="none"/>
        </w:rPr>
        <w:t>重点岸线评价</w:t>
      </w:r>
    </w:p>
    <w:p>
      <w:pPr>
        <w:pStyle w:val="2"/>
        <w:spacing w:line="360" w:lineRule="auto"/>
        <w:ind w:firstLine="561"/>
        <w:outlineLvl w:val="3"/>
        <w:rPr>
          <w:rFonts w:ascii="Times New Roman" w:cs="Times New Roman"/>
          <w:b/>
          <w:color w:val="auto"/>
          <w:sz w:val="28"/>
          <w:szCs w:val="28"/>
          <w:highlight w:val="none"/>
        </w:rPr>
      </w:pPr>
      <w:r>
        <w:rPr>
          <w:rFonts w:ascii="Times New Roman" w:cs="Times New Roman"/>
          <w:b/>
          <w:color w:val="auto"/>
          <w:sz w:val="28"/>
          <w:szCs w:val="28"/>
          <w:highlight w:val="none"/>
        </w:rPr>
        <w:t>（一）</w:t>
      </w:r>
      <w:r>
        <w:rPr>
          <w:b/>
          <w:color w:val="auto"/>
          <w:sz w:val="28"/>
          <w:szCs w:val="28"/>
          <w:highlight w:val="none"/>
        </w:rPr>
        <w:t>岷江</w:t>
      </w:r>
    </w:p>
    <w:p>
      <w:pPr>
        <w:spacing w:line="360" w:lineRule="auto"/>
        <w:ind w:firstLine="480"/>
        <w:rPr>
          <w:sz w:val="28"/>
          <w:szCs w:val="28"/>
          <w:highlight w:val="none"/>
        </w:rPr>
      </w:pPr>
      <w:r>
        <w:rPr>
          <w:rFonts w:hint="eastAsia"/>
          <w:sz w:val="28"/>
          <w:szCs w:val="28"/>
          <w:highlight w:val="none"/>
        </w:rPr>
        <w:t>岷江段</w:t>
      </w:r>
      <w:r>
        <w:rPr>
          <w:sz w:val="28"/>
          <w:szCs w:val="28"/>
          <w:highlight w:val="none"/>
        </w:rPr>
        <w:t>规划利用岸线16段，总长度约9540m，已利用或部分利用岸线9段，已利用岸线2220m。</w:t>
      </w:r>
    </w:p>
    <w:p>
      <w:pPr>
        <w:spacing w:line="360" w:lineRule="auto"/>
        <w:ind w:firstLine="482"/>
        <w:outlineLvl w:val="4"/>
        <w:rPr>
          <w:highlight w:val="none"/>
        </w:rPr>
      </w:pPr>
      <w:r>
        <w:rPr>
          <w:b/>
          <w:sz w:val="28"/>
          <w:szCs w:val="28"/>
          <w:highlight w:val="none"/>
        </w:rPr>
        <w:t>1.嘉州港区</w:t>
      </w:r>
    </w:p>
    <w:p>
      <w:pPr>
        <w:spacing w:line="360" w:lineRule="auto"/>
        <w:ind w:firstLine="480"/>
        <w:rPr>
          <w:b/>
          <w:sz w:val="28"/>
          <w:szCs w:val="28"/>
          <w:highlight w:val="none"/>
        </w:rPr>
      </w:pPr>
      <w:r>
        <w:rPr>
          <w:sz w:val="28"/>
          <w:szCs w:val="28"/>
          <w:highlight w:val="none"/>
        </w:rPr>
        <w:t>规划可利用岸线7段，总长度约4365m</w:t>
      </w:r>
      <w:r>
        <w:rPr>
          <w:rFonts w:hint="eastAsia"/>
          <w:sz w:val="28"/>
          <w:szCs w:val="28"/>
          <w:highlight w:val="none"/>
        </w:rPr>
        <w:t>；</w:t>
      </w:r>
      <w:r>
        <w:rPr>
          <w:sz w:val="28"/>
          <w:szCs w:val="28"/>
          <w:highlight w:val="none"/>
        </w:rPr>
        <w:t>已利用岸线5段，已利用岸线915m</w:t>
      </w:r>
      <w:r>
        <w:rPr>
          <w:rFonts w:hint="eastAsia"/>
          <w:sz w:val="28"/>
          <w:szCs w:val="28"/>
          <w:highlight w:val="none"/>
        </w:rPr>
        <w:t>；综合性岸线1段，兼顾客运+货运+支持保障</w:t>
      </w:r>
      <w:r>
        <w:rPr>
          <w:sz w:val="28"/>
          <w:szCs w:val="28"/>
          <w:highlight w:val="none"/>
        </w:rPr>
        <w:t>。</w:t>
      </w:r>
      <w:r>
        <w:rPr>
          <w:rFonts w:hint="eastAsia"/>
          <w:sz w:val="28"/>
          <w:szCs w:val="28"/>
          <w:highlight w:val="none"/>
        </w:rPr>
        <w:t>共</w:t>
      </w:r>
      <w:r>
        <w:rPr>
          <w:sz w:val="28"/>
          <w:szCs w:val="28"/>
          <w:highlight w:val="none"/>
        </w:rPr>
        <w:t>规划</w:t>
      </w:r>
      <w:r>
        <w:rPr>
          <w:rFonts w:hint="eastAsia"/>
          <w:sz w:val="28"/>
          <w:szCs w:val="28"/>
          <w:highlight w:val="none"/>
        </w:rPr>
        <w:t>客运</w:t>
      </w:r>
      <w:r>
        <w:rPr>
          <w:sz w:val="28"/>
          <w:szCs w:val="28"/>
          <w:highlight w:val="none"/>
        </w:rPr>
        <w:t>岸线6段，长29</w:t>
      </w:r>
      <w:r>
        <w:rPr>
          <w:rFonts w:hint="eastAsia"/>
          <w:sz w:val="28"/>
          <w:szCs w:val="28"/>
          <w:highlight w:val="none"/>
        </w:rPr>
        <w:t>00</w:t>
      </w:r>
      <w:r>
        <w:rPr>
          <w:sz w:val="28"/>
          <w:szCs w:val="28"/>
          <w:highlight w:val="none"/>
        </w:rPr>
        <w:t>m</w:t>
      </w:r>
      <w:r>
        <w:rPr>
          <w:rFonts w:hint="eastAsia"/>
          <w:sz w:val="28"/>
          <w:szCs w:val="28"/>
          <w:highlight w:val="none"/>
        </w:rPr>
        <w:t>；支持保障岸线2段，长</w:t>
      </w:r>
      <w:r>
        <w:rPr>
          <w:sz w:val="28"/>
          <w:szCs w:val="28"/>
          <w:highlight w:val="none"/>
        </w:rPr>
        <w:t>905</w:t>
      </w:r>
      <w:r>
        <w:rPr>
          <w:rFonts w:hint="eastAsia"/>
          <w:sz w:val="28"/>
          <w:szCs w:val="28"/>
          <w:highlight w:val="none"/>
        </w:rPr>
        <w:t>m；货运岸线1段，长</w:t>
      </w:r>
      <w:r>
        <w:rPr>
          <w:sz w:val="28"/>
          <w:szCs w:val="28"/>
          <w:highlight w:val="none"/>
        </w:rPr>
        <w:t>6</w:t>
      </w:r>
      <w:r>
        <w:rPr>
          <w:rFonts w:hint="eastAsia"/>
          <w:sz w:val="28"/>
          <w:szCs w:val="28"/>
          <w:highlight w:val="none"/>
        </w:rPr>
        <w:t>00m</w:t>
      </w:r>
      <w:r>
        <w:rPr>
          <w:sz w:val="28"/>
          <w:szCs w:val="28"/>
          <w:highlight w:val="none"/>
        </w:rPr>
        <w:t>。</w:t>
      </w:r>
    </w:p>
    <w:p>
      <w:pPr>
        <w:spacing w:line="360" w:lineRule="auto"/>
        <w:ind w:firstLine="480"/>
        <w:rPr>
          <w:sz w:val="28"/>
          <w:szCs w:val="28"/>
          <w:highlight w:val="none"/>
        </w:rPr>
      </w:pPr>
      <w:r>
        <w:rPr>
          <w:rFonts w:hint="eastAsia"/>
          <w:b/>
          <w:sz w:val="28"/>
          <w:szCs w:val="28"/>
          <w:highlight w:val="none"/>
        </w:rPr>
        <w:t>牟子</w:t>
      </w:r>
      <w:r>
        <w:rPr>
          <w:b/>
          <w:sz w:val="28"/>
          <w:szCs w:val="28"/>
          <w:highlight w:val="none"/>
        </w:rPr>
        <w:t>岸线：</w:t>
      </w:r>
      <w:r>
        <w:rPr>
          <w:sz w:val="28"/>
          <w:szCs w:val="28"/>
          <w:highlight w:val="none"/>
        </w:rPr>
        <w:t>位于规划老木孔坝址上游23.</w:t>
      </w:r>
      <w:r>
        <w:rPr>
          <w:rFonts w:hint="eastAsia"/>
          <w:sz w:val="28"/>
          <w:szCs w:val="28"/>
          <w:highlight w:val="none"/>
        </w:rPr>
        <w:t>6</w:t>
      </w:r>
      <w:r>
        <w:rPr>
          <w:sz w:val="28"/>
          <w:szCs w:val="28"/>
          <w:highlight w:val="none"/>
        </w:rPr>
        <w:t>0~23.</w:t>
      </w:r>
      <w:r>
        <w:rPr>
          <w:rFonts w:hint="eastAsia"/>
          <w:sz w:val="28"/>
          <w:szCs w:val="28"/>
          <w:highlight w:val="none"/>
        </w:rPr>
        <w:t>5</w:t>
      </w:r>
      <w:r>
        <w:rPr>
          <w:sz w:val="28"/>
          <w:szCs w:val="28"/>
          <w:highlight w:val="none"/>
        </w:rPr>
        <w:t>0km处岷江</w:t>
      </w:r>
      <w:r>
        <w:rPr>
          <w:rFonts w:hint="eastAsia"/>
          <w:sz w:val="28"/>
          <w:szCs w:val="28"/>
          <w:highlight w:val="none"/>
        </w:rPr>
        <w:t>左</w:t>
      </w:r>
      <w:r>
        <w:rPr>
          <w:sz w:val="28"/>
          <w:szCs w:val="28"/>
          <w:highlight w:val="none"/>
        </w:rPr>
        <w:t>岸</w:t>
      </w:r>
      <w:r>
        <w:rPr>
          <w:rFonts w:hint="eastAsia"/>
          <w:sz w:val="28"/>
          <w:szCs w:val="28"/>
          <w:highlight w:val="none"/>
        </w:rPr>
        <w:t>牛中坝附近</w:t>
      </w:r>
      <w:r>
        <w:rPr>
          <w:sz w:val="28"/>
          <w:szCs w:val="28"/>
          <w:highlight w:val="none"/>
        </w:rPr>
        <w:t>，规划板桥枢纽下坝址下游约7</w:t>
      </w:r>
      <w:r>
        <w:rPr>
          <w:rFonts w:hint="eastAsia"/>
          <w:sz w:val="28"/>
          <w:szCs w:val="28"/>
          <w:highlight w:val="none"/>
        </w:rPr>
        <w:t>0</w:t>
      </w:r>
      <w:r>
        <w:rPr>
          <w:sz w:val="28"/>
          <w:szCs w:val="28"/>
          <w:highlight w:val="none"/>
        </w:rPr>
        <w:t>0m，岸线长度约</w:t>
      </w:r>
      <w:r>
        <w:rPr>
          <w:rFonts w:hint="eastAsia"/>
          <w:sz w:val="28"/>
          <w:szCs w:val="28"/>
          <w:highlight w:val="none"/>
        </w:rPr>
        <w:t>1</w:t>
      </w:r>
      <w:r>
        <w:rPr>
          <w:sz w:val="28"/>
          <w:szCs w:val="28"/>
          <w:highlight w:val="none"/>
        </w:rPr>
        <w:t>00m。该段岸线顺直，水域条件良好；陆域平坦，目前为自然状态，未开发利用；后方有城市道路通过，集疏运较为方便。结合大佛景区旅游航线，规划为旅游客运岸线。</w:t>
      </w:r>
    </w:p>
    <w:p>
      <w:pPr>
        <w:pStyle w:val="2"/>
        <w:jc w:val="center"/>
        <w:rPr>
          <w:rFonts w:ascii="Times New Roman" w:cs="Times New Roman"/>
          <w:color w:val="auto"/>
          <w:highlight w:val="none"/>
        </w:rPr>
      </w:pPr>
    </w:p>
    <w:p>
      <w:pPr>
        <w:spacing w:line="360" w:lineRule="auto"/>
        <w:ind w:firstLine="480"/>
        <w:rPr>
          <w:sz w:val="28"/>
          <w:szCs w:val="28"/>
          <w:highlight w:val="none"/>
        </w:rPr>
      </w:pPr>
      <w:bookmarkStart w:id="201" w:name="_Hlk105575530"/>
      <w:r>
        <w:rPr>
          <w:b/>
          <w:sz w:val="28"/>
          <w:szCs w:val="28"/>
          <w:highlight w:val="none"/>
        </w:rPr>
        <w:t>芭蕉林岸线：</w:t>
      </w:r>
      <w:r>
        <w:rPr>
          <w:sz w:val="28"/>
          <w:szCs w:val="28"/>
          <w:highlight w:val="none"/>
        </w:rPr>
        <w:t>位于规划老木孔坝址上游16.1</w:t>
      </w:r>
      <w:r>
        <w:rPr>
          <w:rFonts w:hint="eastAsia"/>
          <w:sz w:val="28"/>
          <w:szCs w:val="28"/>
          <w:highlight w:val="none"/>
        </w:rPr>
        <w:t>2</w:t>
      </w:r>
      <w:r>
        <w:rPr>
          <w:sz w:val="28"/>
          <w:szCs w:val="28"/>
          <w:highlight w:val="none"/>
        </w:rPr>
        <w:t>~15.</w:t>
      </w:r>
      <w:r>
        <w:rPr>
          <w:rFonts w:hint="eastAsia"/>
          <w:sz w:val="28"/>
          <w:szCs w:val="28"/>
          <w:highlight w:val="none"/>
        </w:rPr>
        <w:t>82</w:t>
      </w:r>
      <w:r>
        <w:rPr>
          <w:sz w:val="28"/>
          <w:szCs w:val="28"/>
          <w:highlight w:val="none"/>
        </w:rPr>
        <w:t>km处岷江左岸，</w:t>
      </w:r>
      <w:r>
        <w:rPr>
          <w:rFonts w:hint="eastAsia"/>
          <w:sz w:val="28"/>
          <w:szCs w:val="28"/>
          <w:highlight w:val="none"/>
        </w:rPr>
        <w:t>上距岷江一桥120m；</w:t>
      </w:r>
      <w:r>
        <w:rPr>
          <w:sz w:val="28"/>
          <w:szCs w:val="28"/>
          <w:highlight w:val="none"/>
        </w:rPr>
        <w:t>岸线长度约</w:t>
      </w:r>
      <w:r>
        <w:rPr>
          <w:rFonts w:hint="eastAsia"/>
          <w:sz w:val="28"/>
          <w:szCs w:val="28"/>
          <w:highlight w:val="none"/>
        </w:rPr>
        <w:t>300</w:t>
      </w:r>
      <w:r>
        <w:rPr>
          <w:sz w:val="28"/>
          <w:szCs w:val="28"/>
          <w:highlight w:val="none"/>
        </w:rPr>
        <w:t>m，已全部利用，为大佛景区旅游码头。该段岸线顺直，水域条件良好；陆域平坦，纵深约40m；后方有城市道路通过，建有停车场，集疏运方便。规划为大佛景区北门户码头旅游客运岸线。</w:t>
      </w:r>
    </w:p>
    <w:bookmarkEnd w:id="201"/>
    <w:p>
      <w:pPr>
        <w:pStyle w:val="2"/>
        <w:jc w:val="center"/>
        <w:rPr>
          <w:rFonts w:ascii="Times New Roman" w:cs="Times New Roman"/>
          <w:color w:val="auto"/>
          <w:highlight w:val="none"/>
        </w:rPr>
      </w:pPr>
    </w:p>
    <w:p>
      <w:pPr>
        <w:spacing w:line="360" w:lineRule="auto"/>
        <w:ind w:firstLine="480"/>
        <w:rPr>
          <w:sz w:val="28"/>
          <w:szCs w:val="28"/>
          <w:highlight w:val="none"/>
        </w:rPr>
      </w:pPr>
      <w:bookmarkStart w:id="202" w:name="_Hlk105575537"/>
      <w:r>
        <w:rPr>
          <w:b/>
          <w:sz w:val="28"/>
          <w:szCs w:val="28"/>
          <w:highlight w:val="none"/>
        </w:rPr>
        <w:t>乌尤寺岸线：</w:t>
      </w:r>
      <w:r>
        <w:rPr>
          <w:sz w:val="28"/>
          <w:szCs w:val="28"/>
          <w:highlight w:val="none"/>
        </w:rPr>
        <w:t>位于规划老木孔坝址上游12.91~12.48km处岷江左岸，岸线长度约</w:t>
      </w:r>
      <w:r>
        <w:rPr>
          <w:rFonts w:hint="eastAsia"/>
          <w:sz w:val="28"/>
          <w:szCs w:val="28"/>
          <w:highlight w:val="none"/>
        </w:rPr>
        <w:t>300</w:t>
      </w:r>
      <w:r>
        <w:rPr>
          <w:sz w:val="28"/>
          <w:szCs w:val="28"/>
          <w:highlight w:val="none"/>
        </w:rPr>
        <w:t>m，现状建有乌尤寺码头，岸线由上下两段组成，上段建有下河坡道，下段有游船顺岸靠泊，岸线已全部利用。该段岸线顺直，位于大渡河汇合口下游约1km，水面宽度超过450m，水域条件良好；后方陆域位于乌尤坝，陆域平坦，高程约356~358m，陆域纵深20~90m，多为河边滩地，利用率较低；后方有城市道路通过，集疏运方便。规划为旅游客运岸线。</w:t>
      </w:r>
    </w:p>
    <w:bookmarkEnd w:id="202"/>
    <w:p>
      <w:pPr>
        <w:pStyle w:val="2"/>
        <w:jc w:val="center"/>
        <w:rPr>
          <w:rFonts w:ascii="Times New Roman" w:cs="Times New Roman"/>
          <w:color w:val="auto"/>
          <w:highlight w:val="none"/>
        </w:rPr>
      </w:pPr>
    </w:p>
    <w:p>
      <w:pPr>
        <w:spacing w:line="360" w:lineRule="auto"/>
        <w:ind w:firstLine="480"/>
        <w:rPr>
          <w:sz w:val="28"/>
          <w:szCs w:val="28"/>
          <w:highlight w:val="none"/>
        </w:rPr>
      </w:pPr>
      <w:r>
        <w:rPr>
          <w:rFonts w:hint="eastAsia"/>
          <w:b/>
          <w:sz w:val="28"/>
          <w:szCs w:val="28"/>
          <w:highlight w:val="none"/>
        </w:rPr>
        <w:t>杜家场</w:t>
      </w:r>
      <w:r>
        <w:rPr>
          <w:b/>
          <w:sz w:val="28"/>
          <w:szCs w:val="28"/>
          <w:highlight w:val="none"/>
        </w:rPr>
        <w:t>岸线：</w:t>
      </w:r>
      <w:r>
        <w:rPr>
          <w:sz w:val="28"/>
          <w:szCs w:val="28"/>
          <w:highlight w:val="none"/>
        </w:rPr>
        <w:t>位于规划老木孔坝址上游</w:t>
      </w:r>
      <w:r>
        <w:rPr>
          <w:rFonts w:hint="eastAsia"/>
          <w:sz w:val="28"/>
          <w:szCs w:val="28"/>
          <w:highlight w:val="none"/>
        </w:rPr>
        <w:t>11.91</w:t>
      </w:r>
      <w:r>
        <w:rPr>
          <w:sz w:val="28"/>
          <w:szCs w:val="28"/>
          <w:highlight w:val="none"/>
        </w:rPr>
        <w:t>~</w:t>
      </w:r>
      <w:r>
        <w:rPr>
          <w:rFonts w:hint="eastAsia"/>
          <w:sz w:val="28"/>
          <w:szCs w:val="28"/>
          <w:highlight w:val="none"/>
        </w:rPr>
        <w:t>11.76</w:t>
      </w:r>
      <w:r>
        <w:rPr>
          <w:sz w:val="28"/>
          <w:szCs w:val="28"/>
          <w:highlight w:val="none"/>
        </w:rPr>
        <w:t>km处岷江</w:t>
      </w:r>
      <w:r>
        <w:rPr>
          <w:rFonts w:hint="eastAsia"/>
          <w:sz w:val="28"/>
          <w:szCs w:val="28"/>
          <w:highlight w:val="none"/>
        </w:rPr>
        <w:t>右</w:t>
      </w:r>
      <w:r>
        <w:rPr>
          <w:sz w:val="28"/>
          <w:szCs w:val="28"/>
          <w:highlight w:val="none"/>
        </w:rPr>
        <w:t>岸，岸线长度约</w:t>
      </w:r>
      <w:r>
        <w:rPr>
          <w:rFonts w:hint="eastAsia"/>
          <w:sz w:val="28"/>
          <w:szCs w:val="28"/>
          <w:highlight w:val="none"/>
        </w:rPr>
        <w:t>115</w:t>
      </w:r>
      <w:r>
        <w:rPr>
          <w:sz w:val="28"/>
          <w:szCs w:val="28"/>
          <w:highlight w:val="none"/>
        </w:rPr>
        <w:t>m。该段岸线</w:t>
      </w:r>
      <w:r>
        <w:rPr>
          <w:rFonts w:hint="eastAsia"/>
          <w:sz w:val="28"/>
          <w:szCs w:val="28"/>
          <w:highlight w:val="none"/>
        </w:rPr>
        <w:t>已全部利用</w:t>
      </w:r>
      <w:r>
        <w:rPr>
          <w:rFonts w:hint="eastAsia"/>
          <w:sz w:val="28"/>
          <w:szCs w:val="28"/>
          <w:highlight w:val="none"/>
          <w:lang w:eastAsia="zh-CN"/>
        </w:rPr>
        <w:t>，</w:t>
      </w:r>
      <w:r>
        <w:rPr>
          <w:rFonts w:hint="eastAsia"/>
          <w:sz w:val="28"/>
          <w:szCs w:val="28"/>
          <w:highlight w:val="none"/>
        </w:rPr>
        <w:t>是支持保障岸线</w:t>
      </w:r>
      <w:r>
        <w:rPr>
          <w:sz w:val="28"/>
          <w:szCs w:val="28"/>
          <w:highlight w:val="none"/>
        </w:rPr>
        <w:t>。</w:t>
      </w:r>
    </w:p>
    <w:p>
      <w:pPr>
        <w:pStyle w:val="2"/>
        <w:jc w:val="center"/>
        <w:rPr>
          <w:rFonts w:ascii="Times New Roman" w:cs="Times New Roman"/>
          <w:color w:val="auto"/>
          <w:highlight w:val="none"/>
        </w:rPr>
      </w:pPr>
    </w:p>
    <w:p>
      <w:pPr>
        <w:spacing w:line="360" w:lineRule="auto"/>
        <w:ind w:firstLine="480"/>
        <w:rPr>
          <w:sz w:val="28"/>
          <w:szCs w:val="28"/>
          <w:highlight w:val="none"/>
        </w:rPr>
      </w:pPr>
      <w:r>
        <w:rPr>
          <w:b/>
          <w:sz w:val="28"/>
          <w:szCs w:val="28"/>
          <w:highlight w:val="none"/>
        </w:rPr>
        <w:t>老江坝岸线：</w:t>
      </w:r>
      <w:r>
        <w:rPr>
          <w:sz w:val="28"/>
          <w:szCs w:val="28"/>
          <w:highlight w:val="none"/>
        </w:rPr>
        <w:t>位于规划老木孔坝址上游6.95-3.7km处岷江右岸，岸线长度约</w:t>
      </w:r>
      <w:r>
        <w:rPr>
          <w:rFonts w:hint="eastAsia"/>
          <w:sz w:val="28"/>
          <w:szCs w:val="28"/>
          <w:highlight w:val="none"/>
        </w:rPr>
        <w:t>3250</w:t>
      </w:r>
      <w:r>
        <w:rPr>
          <w:sz w:val="28"/>
          <w:szCs w:val="28"/>
          <w:highlight w:val="none"/>
        </w:rPr>
        <w:t>m。该段岸线顺直，岸线所在河段现状洲汊发育，岸线前沿主河道较窄，约230m；未来老木孔枢纽蓄水后，水域条件更加适宜建港。后方成片耕地集中分布，耕地利用率高；陆域平坦，高程约356~357m，陆域纵深充足；后方有城市道路通过，集疏运方便。</w:t>
      </w:r>
      <w:r>
        <w:rPr>
          <w:b/>
          <w:bCs/>
          <w:sz w:val="28"/>
          <w:szCs w:val="28"/>
          <w:highlight w:val="none"/>
        </w:rPr>
        <w:t>规划上段750m为</w:t>
      </w:r>
      <w:r>
        <w:rPr>
          <w:rFonts w:hint="eastAsia"/>
          <w:b/>
          <w:sz w:val="28"/>
          <w:szCs w:val="28"/>
          <w:highlight w:val="none"/>
        </w:rPr>
        <w:t>支持保障岸线</w:t>
      </w:r>
      <w:r>
        <w:rPr>
          <w:rFonts w:hint="eastAsia"/>
          <w:sz w:val="28"/>
          <w:szCs w:val="28"/>
          <w:highlight w:val="none"/>
        </w:rPr>
        <w:t>，包括应急救援、港航管理、污染物接收、船舶修造及锚泊等服务功能</w:t>
      </w:r>
      <w:r>
        <w:rPr>
          <w:sz w:val="28"/>
          <w:szCs w:val="28"/>
          <w:highlight w:val="none"/>
        </w:rPr>
        <w:t>；</w:t>
      </w:r>
      <w:r>
        <w:rPr>
          <w:b/>
          <w:bCs/>
          <w:sz w:val="28"/>
          <w:szCs w:val="28"/>
          <w:highlight w:val="none"/>
        </w:rPr>
        <w:t>规划</w:t>
      </w:r>
      <w:r>
        <w:rPr>
          <w:rFonts w:hint="eastAsia"/>
          <w:b/>
          <w:bCs/>
          <w:sz w:val="28"/>
          <w:szCs w:val="28"/>
          <w:highlight w:val="none"/>
        </w:rPr>
        <w:t>中</w:t>
      </w:r>
      <w:r>
        <w:rPr>
          <w:b/>
          <w:bCs/>
          <w:sz w:val="28"/>
          <w:szCs w:val="28"/>
          <w:highlight w:val="none"/>
        </w:rPr>
        <w:t>段2000m为旅游客运岸线</w:t>
      </w:r>
      <w:r>
        <w:rPr>
          <w:sz w:val="28"/>
          <w:szCs w:val="28"/>
          <w:highlight w:val="none"/>
        </w:rPr>
        <w:t>；</w:t>
      </w:r>
      <w:r>
        <w:rPr>
          <w:b/>
          <w:bCs/>
          <w:sz w:val="28"/>
          <w:szCs w:val="28"/>
          <w:highlight w:val="none"/>
        </w:rPr>
        <w:t>规划下段600m为</w:t>
      </w:r>
      <w:r>
        <w:rPr>
          <w:rFonts w:hint="eastAsia"/>
          <w:b/>
          <w:bCs/>
          <w:sz w:val="28"/>
          <w:szCs w:val="28"/>
          <w:highlight w:val="none"/>
        </w:rPr>
        <w:t>货运</w:t>
      </w:r>
      <w:r>
        <w:rPr>
          <w:b/>
          <w:bCs/>
          <w:sz w:val="28"/>
          <w:szCs w:val="28"/>
          <w:highlight w:val="none"/>
        </w:rPr>
        <w:t>岸线</w:t>
      </w:r>
      <w:r>
        <w:rPr>
          <w:sz w:val="28"/>
          <w:szCs w:val="28"/>
          <w:highlight w:val="none"/>
        </w:rPr>
        <w:t>，为成都市、乐山市等腹地集装箱、重大件、件杂货运输提供服务。</w:t>
      </w:r>
    </w:p>
    <w:p>
      <w:pPr>
        <w:pStyle w:val="2"/>
        <w:jc w:val="center"/>
        <w:rPr>
          <w:rFonts w:ascii="Times New Roman" w:cs="Times New Roman"/>
          <w:color w:val="auto"/>
          <w:highlight w:val="none"/>
        </w:rPr>
      </w:pPr>
    </w:p>
    <w:p>
      <w:pPr>
        <w:spacing w:line="360" w:lineRule="auto"/>
        <w:ind w:firstLine="480"/>
        <w:rPr>
          <w:highlight w:val="none"/>
        </w:rPr>
      </w:pPr>
      <w:r>
        <w:rPr>
          <w:b/>
          <w:sz w:val="28"/>
          <w:szCs w:val="28"/>
          <w:highlight w:val="none"/>
        </w:rPr>
        <w:t>其他：</w:t>
      </w:r>
      <w:r>
        <w:rPr>
          <w:sz w:val="28"/>
          <w:szCs w:val="28"/>
          <w:highlight w:val="none"/>
        </w:rPr>
        <w:t>在乌尤坝南部对岸规划</w:t>
      </w:r>
      <w:r>
        <w:rPr>
          <w:b/>
          <w:sz w:val="28"/>
          <w:szCs w:val="28"/>
          <w:highlight w:val="none"/>
        </w:rPr>
        <w:t>马鞍山岸线，</w:t>
      </w:r>
      <w:r>
        <w:rPr>
          <w:sz w:val="28"/>
          <w:szCs w:val="28"/>
          <w:highlight w:val="none"/>
        </w:rPr>
        <w:t>长度约50m，</w:t>
      </w:r>
      <w:r>
        <w:rPr>
          <w:rFonts w:hint="eastAsia"/>
          <w:sz w:val="28"/>
          <w:szCs w:val="28"/>
          <w:highlight w:val="none"/>
        </w:rPr>
        <w:t>该段</w:t>
      </w:r>
      <w:r>
        <w:rPr>
          <w:sz w:val="28"/>
          <w:szCs w:val="28"/>
          <w:highlight w:val="none"/>
        </w:rPr>
        <w:t>为码头停靠点，已全部利用。</w:t>
      </w:r>
    </w:p>
    <w:p>
      <w:pPr>
        <w:spacing w:line="360" w:lineRule="auto"/>
        <w:ind w:firstLine="482"/>
        <w:outlineLvl w:val="4"/>
        <w:rPr>
          <w:b/>
          <w:sz w:val="28"/>
          <w:szCs w:val="28"/>
          <w:highlight w:val="none"/>
        </w:rPr>
      </w:pPr>
      <w:r>
        <w:rPr>
          <w:b/>
          <w:sz w:val="28"/>
          <w:szCs w:val="28"/>
          <w:highlight w:val="none"/>
        </w:rPr>
        <w:t>2.</w:t>
      </w:r>
      <w:r>
        <w:rPr>
          <w:rFonts w:hint="eastAsia"/>
          <w:b/>
          <w:sz w:val="28"/>
          <w:szCs w:val="28"/>
          <w:highlight w:val="none"/>
        </w:rPr>
        <w:t>五通桥港区</w:t>
      </w:r>
    </w:p>
    <w:p>
      <w:pPr>
        <w:spacing w:line="360" w:lineRule="auto"/>
        <w:ind w:firstLine="480"/>
        <w:rPr>
          <w:b/>
          <w:sz w:val="28"/>
          <w:szCs w:val="28"/>
          <w:highlight w:val="none"/>
        </w:rPr>
      </w:pPr>
      <w:r>
        <w:rPr>
          <w:sz w:val="28"/>
          <w:szCs w:val="28"/>
          <w:highlight w:val="none"/>
        </w:rPr>
        <w:t>规划可利用岸线1段，总长度约305m</w:t>
      </w:r>
      <w:r>
        <w:rPr>
          <w:rFonts w:hint="eastAsia"/>
          <w:sz w:val="28"/>
          <w:szCs w:val="28"/>
          <w:highlight w:val="none"/>
        </w:rPr>
        <w:t>，规划为货运岸线，</w:t>
      </w:r>
      <w:r>
        <w:rPr>
          <w:sz w:val="28"/>
          <w:szCs w:val="28"/>
          <w:highlight w:val="none"/>
        </w:rPr>
        <w:t>已全部利用。</w:t>
      </w:r>
    </w:p>
    <w:p>
      <w:pPr>
        <w:spacing w:line="360" w:lineRule="auto"/>
        <w:ind w:firstLine="480"/>
        <w:rPr>
          <w:b/>
          <w:sz w:val="28"/>
          <w:szCs w:val="28"/>
          <w:highlight w:val="none"/>
        </w:rPr>
      </w:pPr>
      <w:r>
        <w:rPr>
          <w:b/>
          <w:sz w:val="28"/>
          <w:szCs w:val="28"/>
          <w:highlight w:val="none"/>
        </w:rPr>
        <w:t>桥沟岸线：</w:t>
      </w:r>
      <w:r>
        <w:rPr>
          <w:sz w:val="28"/>
          <w:szCs w:val="28"/>
          <w:highlight w:val="none"/>
        </w:rPr>
        <w:t>位于规划东风岩坝址上游1.95~1.6</w:t>
      </w:r>
      <w:r>
        <w:rPr>
          <w:rFonts w:hint="eastAsia"/>
          <w:sz w:val="28"/>
          <w:szCs w:val="28"/>
          <w:highlight w:val="none"/>
        </w:rPr>
        <w:t>0</w:t>
      </w:r>
      <w:r>
        <w:rPr>
          <w:sz w:val="28"/>
          <w:szCs w:val="28"/>
          <w:highlight w:val="none"/>
        </w:rPr>
        <w:t>km处岷江左岸，紧邻东方电机厂，岸线长度约30</w:t>
      </w:r>
      <w:r>
        <w:rPr>
          <w:rFonts w:hint="eastAsia"/>
          <w:sz w:val="28"/>
          <w:szCs w:val="28"/>
          <w:highlight w:val="none"/>
        </w:rPr>
        <w:t>5</w:t>
      </w:r>
      <w:r>
        <w:rPr>
          <w:sz w:val="28"/>
          <w:szCs w:val="28"/>
          <w:highlight w:val="none"/>
        </w:rPr>
        <w:t>m，原桥沟码头</w:t>
      </w:r>
      <w:r>
        <w:rPr>
          <w:rFonts w:hint="eastAsia"/>
          <w:sz w:val="28"/>
          <w:szCs w:val="28"/>
          <w:highlight w:val="none"/>
        </w:rPr>
        <w:t>已全部利用该岸线</w:t>
      </w:r>
      <w:r>
        <w:rPr>
          <w:sz w:val="28"/>
          <w:szCs w:val="28"/>
          <w:highlight w:val="none"/>
        </w:rPr>
        <w:t>。该段岸线顺直，处于岷江虎口凸嘴下游约1.3m，现状水面宽度约250m，东风岩枢纽建成蓄水后水面更加宽阔；陆域比较平坦，目前为自然岸坡，纵深约200m、高程339~349m，东风岩枢纽建成后，部分陆域将被淹没；后方有城市道路、G213通过，集疏运方便。该段岸线下游紧邻东风岩枢纽坝址，陆域纵深受淹没影响及行洪控制要求，码头规模受限。规划为货运岸线，为五通桥工业园区货物提供运输服务。</w:t>
      </w:r>
    </w:p>
    <w:p>
      <w:pPr>
        <w:spacing w:line="360" w:lineRule="auto"/>
        <w:jc w:val="center"/>
        <w:rPr>
          <w:sz w:val="28"/>
          <w:szCs w:val="28"/>
          <w:highlight w:val="none"/>
        </w:rPr>
      </w:pPr>
    </w:p>
    <w:p>
      <w:pPr>
        <w:spacing w:line="360" w:lineRule="auto"/>
        <w:ind w:firstLine="482"/>
        <w:outlineLvl w:val="4"/>
        <w:rPr>
          <w:b/>
          <w:sz w:val="28"/>
          <w:szCs w:val="28"/>
          <w:highlight w:val="none"/>
        </w:rPr>
      </w:pPr>
      <w:r>
        <w:rPr>
          <w:rFonts w:hint="eastAsia"/>
          <w:b/>
          <w:sz w:val="28"/>
          <w:szCs w:val="28"/>
          <w:highlight w:val="none"/>
        </w:rPr>
        <w:t>3</w:t>
      </w:r>
      <w:r>
        <w:rPr>
          <w:b/>
          <w:sz w:val="28"/>
          <w:szCs w:val="28"/>
          <w:highlight w:val="none"/>
        </w:rPr>
        <w:t>.</w:t>
      </w:r>
      <w:r>
        <w:rPr>
          <w:rFonts w:hint="eastAsia"/>
          <w:b/>
          <w:sz w:val="28"/>
          <w:szCs w:val="28"/>
          <w:highlight w:val="none"/>
        </w:rPr>
        <w:t>犍为港区</w:t>
      </w:r>
    </w:p>
    <w:p>
      <w:pPr>
        <w:spacing w:line="360" w:lineRule="auto"/>
        <w:ind w:firstLine="480"/>
        <w:rPr>
          <w:b/>
          <w:sz w:val="28"/>
          <w:szCs w:val="28"/>
          <w:highlight w:val="none"/>
        </w:rPr>
      </w:pPr>
      <w:r>
        <w:rPr>
          <w:sz w:val="28"/>
          <w:szCs w:val="28"/>
          <w:highlight w:val="none"/>
        </w:rPr>
        <w:t>规划可利用岸线8段，总长度约4870m，其中已</w:t>
      </w:r>
      <w:r>
        <w:rPr>
          <w:rFonts w:hint="eastAsia"/>
          <w:sz w:val="28"/>
          <w:szCs w:val="28"/>
          <w:highlight w:val="none"/>
        </w:rPr>
        <w:t>全部</w:t>
      </w:r>
      <w:r>
        <w:rPr>
          <w:sz w:val="28"/>
          <w:szCs w:val="28"/>
          <w:highlight w:val="none"/>
        </w:rPr>
        <w:t>利用岸线3段，</w:t>
      </w:r>
      <w:r>
        <w:rPr>
          <w:rFonts w:hint="eastAsia"/>
          <w:sz w:val="28"/>
          <w:szCs w:val="28"/>
          <w:highlight w:val="none"/>
        </w:rPr>
        <w:t>总长</w:t>
      </w:r>
      <w:r>
        <w:rPr>
          <w:sz w:val="28"/>
          <w:szCs w:val="28"/>
          <w:highlight w:val="none"/>
        </w:rPr>
        <w:t>1000m</w:t>
      </w:r>
      <w:r>
        <w:rPr>
          <w:rFonts w:hint="eastAsia"/>
          <w:sz w:val="28"/>
          <w:szCs w:val="28"/>
          <w:highlight w:val="none"/>
        </w:rPr>
        <w:t>，为和邦盐业、下渡和盐关岸线</w:t>
      </w:r>
      <w:r>
        <w:rPr>
          <w:sz w:val="28"/>
          <w:szCs w:val="28"/>
          <w:highlight w:val="none"/>
        </w:rPr>
        <w:t>。客运岸线3</w:t>
      </w:r>
      <w:r>
        <w:rPr>
          <w:rFonts w:hint="eastAsia"/>
          <w:sz w:val="28"/>
          <w:szCs w:val="28"/>
          <w:highlight w:val="none"/>
        </w:rPr>
        <w:t>段，长</w:t>
      </w:r>
      <w:r>
        <w:rPr>
          <w:sz w:val="28"/>
          <w:szCs w:val="28"/>
          <w:highlight w:val="none"/>
        </w:rPr>
        <w:t>550m，</w:t>
      </w:r>
      <w:r>
        <w:rPr>
          <w:rFonts w:hint="eastAsia"/>
          <w:sz w:val="28"/>
          <w:szCs w:val="28"/>
          <w:highlight w:val="none"/>
        </w:rPr>
        <w:t>货运岸线</w:t>
      </w:r>
      <w:r>
        <w:rPr>
          <w:sz w:val="28"/>
          <w:szCs w:val="28"/>
          <w:highlight w:val="none"/>
        </w:rPr>
        <w:t>3</w:t>
      </w:r>
      <w:r>
        <w:rPr>
          <w:rFonts w:hint="eastAsia"/>
          <w:sz w:val="28"/>
          <w:szCs w:val="28"/>
          <w:highlight w:val="none"/>
        </w:rPr>
        <w:t>段，长</w:t>
      </w:r>
      <w:r>
        <w:rPr>
          <w:sz w:val="28"/>
          <w:szCs w:val="28"/>
          <w:highlight w:val="none"/>
        </w:rPr>
        <w:t>3510</w:t>
      </w:r>
      <w:r>
        <w:rPr>
          <w:rFonts w:hint="eastAsia"/>
          <w:sz w:val="28"/>
          <w:szCs w:val="28"/>
          <w:highlight w:val="none"/>
        </w:rPr>
        <w:t>m；支持保障岸线</w:t>
      </w:r>
      <w:r>
        <w:rPr>
          <w:sz w:val="28"/>
          <w:szCs w:val="28"/>
          <w:highlight w:val="none"/>
        </w:rPr>
        <w:t>5</w:t>
      </w:r>
      <w:r>
        <w:rPr>
          <w:rFonts w:hint="eastAsia"/>
          <w:sz w:val="28"/>
          <w:szCs w:val="28"/>
          <w:highlight w:val="none"/>
        </w:rPr>
        <w:t>段，长</w:t>
      </w:r>
      <w:r>
        <w:rPr>
          <w:sz w:val="28"/>
          <w:szCs w:val="28"/>
          <w:highlight w:val="none"/>
        </w:rPr>
        <w:t>810</w:t>
      </w:r>
      <w:r>
        <w:rPr>
          <w:rFonts w:hint="eastAsia"/>
          <w:sz w:val="28"/>
          <w:szCs w:val="28"/>
          <w:highlight w:val="none"/>
        </w:rPr>
        <w:t>m。</w:t>
      </w:r>
    </w:p>
    <w:p>
      <w:pPr>
        <w:pStyle w:val="13"/>
        <w:ind w:firstLine="560" w:firstLineChars="200"/>
        <w:rPr>
          <w:rFonts w:ascii="Times New Roman" w:hAnsi="Times New Roman"/>
          <w:kern w:val="2"/>
          <w:sz w:val="28"/>
          <w:szCs w:val="28"/>
          <w:highlight w:val="none"/>
        </w:rPr>
      </w:pPr>
      <w:r>
        <w:rPr>
          <w:rFonts w:hint="eastAsia" w:ascii="Times New Roman" w:hAnsi="Times New Roman"/>
          <w:kern w:val="2"/>
          <w:sz w:val="28"/>
          <w:szCs w:val="28"/>
          <w:highlight w:val="none"/>
        </w:rPr>
        <w:t>犍为枢纽岸线：位于犍为坝址上游</w:t>
      </w:r>
      <w:r>
        <w:rPr>
          <w:rFonts w:ascii="Times New Roman" w:hAnsi="Times New Roman"/>
          <w:kern w:val="2"/>
          <w:sz w:val="28"/>
          <w:szCs w:val="28"/>
          <w:highlight w:val="none"/>
        </w:rPr>
        <w:t>1030~</w:t>
      </w:r>
      <w:r>
        <w:rPr>
          <w:rFonts w:hint="eastAsia" w:ascii="Times New Roman" w:hAnsi="Times New Roman"/>
          <w:kern w:val="2"/>
          <w:sz w:val="28"/>
          <w:szCs w:val="28"/>
          <w:highlight w:val="none"/>
        </w:rPr>
        <w:t>8</w:t>
      </w:r>
      <w:r>
        <w:rPr>
          <w:rFonts w:ascii="Times New Roman" w:hAnsi="Times New Roman"/>
          <w:kern w:val="2"/>
          <w:sz w:val="28"/>
          <w:szCs w:val="28"/>
          <w:highlight w:val="none"/>
        </w:rPr>
        <w:t>30m的</w:t>
      </w:r>
      <w:r>
        <w:rPr>
          <w:rFonts w:hint="eastAsia" w:ascii="Times New Roman" w:hAnsi="Times New Roman"/>
          <w:kern w:val="2"/>
          <w:sz w:val="28"/>
          <w:szCs w:val="28"/>
          <w:highlight w:val="none"/>
        </w:rPr>
        <w:t>船闸上引航道口门区外靠岸一侧，规划利用岸线长度</w:t>
      </w:r>
      <w:r>
        <w:rPr>
          <w:rFonts w:ascii="Times New Roman" w:hAnsi="Times New Roman"/>
          <w:kern w:val="2"/>
          <w:sz w:val="28"/>
          <w:szCs w:val="28"/>
          <w:highlight w:val="none"/>
        </w:rPr>
        <w:t>200m，</w:t>
      </w:r>
      <w:r>
        <w:rPr>
          <w:rFonts w:hint="eastAsia" w:ascii="Times New Roman" w:hAnsi="Times New Roman"/>
          <w:kern w:val="2"/>
          <w:sz w:val="28"/>
          <w:szCs w:val="28"/>
          <w:highlight w:val="none"/>
        </w:rPr>
        <w:t>目前该段岸线建有犍为枢纽工作船码头，拟将该段岸线规划为支持保障及客运岸线，建设犍为枢纽旅游客运码头。</w:t>
      </w:r>
    </w:p>
    <w:p>
      <w:pPr>
        <w:jc w:val="center"/>
        <w:rPr>
          <w:highlight w:val="none"/>
        </w:rPr>
      </w:pPr>
    </w:p>
    <w:p>
      <w:pPr>
        <w:spacing w:line="360" w:lineRule="auto"/>
        <w:ind w:firstLine="480"/>
        <w:rPr>
          <w:sz w:val="28"/>
          <w:szCs w:val="28"/>
          <w:highlight w:val="none"/>
        </w:rPr>
      </w:pPr>
      <w:r>
        <w:rPr>
          <w:b/>
          <w:sz w:val="28"/>
          <w:szCs w:val="28"/>
          <w:highlight w:val="none"/>
        </w:rPr>
        <w:t>盐关岸线：</w:t>
      </w:r>
      <w:r>
        <w:rPr>
          <w:sz w:val="28"/>
          <w:szCs w:val="28"/>
          <w:highlight w:val="none"/>
        </w:rPr>
        <w:t>位于在建龙溪口枢纽坝址上游23.35~23.05km处岷江右岸，后方为犍为县城，岸线长度约300m，</w:t>
      </w:r>
      <w:r>
        <w:rPr>
          <w:rFonts w:hint="eastAsia"/>
          <w:sz w:val="28"/>
          <w:szCs w:val="28"/>
          <w:highlight w:val="none"/>
        </w:rPr>
        <w:t>现状已利用2</w:t>
      </w:r>
      <w:r>
        <w:rPr>
          <w:sz w:val="28"/>
          <w:szCs w:val="28"/>
          <w:highlight w:val="none"/>
        </w:rPr>
        <w:t>40m长，建有下河梯步</w:t>
      </w:r>
      <w:r>
        <w:rPr>
          <w:rFonts w:hint="eastAsia"/>
          <w:sz w:val="28"/>
          <w:szCs w:val="28"/>
          <w:highlight w:val="none"/>
        </w:rPr>
        <w:t>，</w:t>
      </w:r>
      <w:r>
        <w:rPr>
          <w:sz w:val="28"/>
          <w:szCs w:val="28"/>
          <w:highlight w:val="none"/>
        </w:rPr>
        <w:t>为</w:t>
      </w:r>
      <w:r>
        <w:rPr>
          <w:rFonts w:hint="eastAsia"/>
          <w:sz w:val="28"/>
          <w:szCs w:val="28"/>
          <w:highlight w:val="none"/>
        </w:rPr>
        <w:t>盐关</w:t>
      </w:r>
      <w:r>
        <w:rPr>
          <w:sz w:val="28"/>
          <w:szCs w:val="28"/>
          <w:highlight w:val="none"/>
        </w:rPr>
        <w:t>旅游客运</w:t>
      </w:r>
      <w:r>
        <w:rPr>
          <w:rFonts w:hint="eastAsia"/>
          <w:sz w:val="28"/>
          <w:szCs w:val="28"/>
          <w:highlight w:val="none"/>
        </w:rPr>
        <w:t>码头和海事码头</w:t>
      </w:r>
      <w:r>
        <w:rPr>
          <w:sz w:val="28"/>
          <w:szCs w:val="28"/>
          <w:highlight w:val="none"/>
        </w:rPr>
        <w:t>。该段岸线顺直，水域条件好；</w:t>
      </w:r>
      <w:r>
        <w:rPr>
          <w:rFonts w:hint="eastAsia"/>
          <w:sz w:val="28"/>
          <w:szCs w:val="28"/>
          <w:highlight w:val="none"/>
        </w:rPr>
        <w:t>后方</w:t>
      </w:r>
      <w:r>
        <w:rPr>
          <w:sz w:val="28"/>
          <w:szCs w:val="28"/>
          <w:highlight w:val="none"/>
        </w:rPr>
        <w:t>陆域</w:t>
      </w:r>
      <w:r>
        <w:rPr>
          <w:rFonts w:hint="eastAsia"/>
          <w:sz w:val="28"/>
          <w:szCs w:val="28"/>
          <w:highlight w:val="none"/>
        </w:rPr>
        <w:t>为犍为滨江休闲广场</w:t>
      </w:r>
      <w:r>
        <w:rPr>
          <w:sz w:val="28"/>
          <w:szCs w:val="28"/>
          <w:highlight w:val="none"/>
        </w:rPr>
        <w:t>；后方为犍为县城城市道路，集疏运较方便。</w:t>
      </w:r>
    </w:p>
    <w:p>
      <w:pPr>
        <w:widowControl/>
        <w:jc w:val="center"/>
        <w:rPr>
          <w:rFonts w:ascii="宋体" w:hAnsi="宋体" w:cs="宋体"/>
          <w:kern w:val="0"/>
          <w:sz w:val="24"/>
          <w:highlight w:val="none"/>
        </w:rPr>
      </w:pPr>
    </w:p>
    <w:p>
      <w:pPr>
        <w:spacing w:line="360" w:lineRule="auto"/>
        <w:ind w:firstLine="480"/>
        <w:rPr>
          <w:sz w:val="28"/>
          <w:szCs w:val="28"/>
          <w:highlight w:val="none"/>
        </w:rPr>
      </w:pPr>
      <w:r>
        <w:rPr>
          <w:b/>
          <w:sz w:val="28"/>
          <w:szCs w:val="28"/>
          <w:highlight w:val="none"/>
        </w:rPr>
        <w:t>高石坝岸线：</w:t>
      </w:r>
      <w:r>
        <w:rPr>
          <w:sz w:val="28"/>
          <w:szCs w:val="28"/>
          <w:highlight w:val="none"/>
        </w:rPr>
        <w:t>位于在建龙溪口枢纽坝址上游9.28~6.28km处岷江左岸，百支溪与岷江汇合口上游约3km范围内，岸线长度约3000m。上段河道较为顺直，长约1.5km，河面宽300m~400m；下段河道微弯，河床中部有一草包滩江心洲（洲长约700m，宽200m～300m，洲顶高程307～312m，有局部范围介于312～313m），河道被分为左右两汊，左汊主汊河槽宽约200m，右汊支汊河槽宽100～150m，洲尾下游200m即为百支溪汇入口，因为江心洲和百支溪汇入的影响航道上在洲尾形成了猪圈门滩。上游河段水域较宽，主河槽偏左，为优良的深水岸线，岸线长约2.0km；下游岸线长约1km，由于江心洲的存在，现状水域宽度较窄。未来随着龙溪口枢纽的建成，水域更加宽阔，达到500~650m。岸线目前为自然岸线，村落散布，陆域纵深范围内地势平坦，沿岸主要为成片集中耕地，耕地利用率高。上游陆域纵深约600 m；下段陆域纵深变窄，最窄处为200m左右。县道S215经过作业区规划陆域后方，G93乐宜高速在作业区下游新民镇设有出入口，现状集疏运较方便。该段岸线是适宜建港的优良岸线，拟作为</w:t>
      </w:r>
      <w:r>
        <w:rPr>
          <w:rFonts w:hint="eastAsia"/>
          <w:sz w:val="28"/>
          <w:szCs w:val="28"/>
          <w:highlight w:val="none"/>
        </w:rPr>
        <w:t>货运</w:t>
      </w:r>
      <w:r>
        <w:rPr>
          <w:sz w:val="28"/>
          <w:szCs w:val="28"/>
          <w:highlight w:val="none"/>
        </w:rPr>
        <w:t>岸线，结合后方犍为新工业基地建设。</w:t>
      </w:r>
      <w:r>
        <w:rPr>
          <w:rFonts w:hint="eastAsia"/>
          <w:sz w:val="28"/>
          <w:szCs w:val="28"/>
          <w:highlight w:val="none"/>
        </w:rPr>
        <w:t>岸线</w:t>
      </w:r>
      <w:r>
        <w:rPr>
          <w:sz w:val="28"/>
          <w:szCs w:val="28"/>
          <w:highlight w:val="none"/>
        </w:rPr>
        <w:t>上段拟考虑加油、加水、船舶修造等公共服务功能。</w:t>
      </w:r>
    </w:p>
    <w:p>
      <w:pPr>
        <w:pStyle w:val="2"/>
        <w:jc w:val="center"/>
        <w:rPr>
          <w:rFonts w:ascii="Times New Roman" w:cs="Times New Roman"/>
          <w:b/>
          <w:color w:val="auto"/>
          <w:highlight w:val="none"/>
        </w:rPr>
      </w:pPr>
    </w:p>
    <w:p>
      <w:pPr>
        <w:pStyle w:val="2"/>
        <w:snapToGrid w:val="0"/>
        <w:jc w:val="center"/>
        <w:rPr>
          <w:rFonts w:ascii="Times New Roman" w:cs="Times New Roman"/>
          <w:b/>
          <w:color w:val="auto"/>
          <w:highlight w:val="none"/>
        </w:rPr>
      </w:pPr>
    </w:p>
    <w:p>
      <w:pPr>
        <w:pStyle w:val="13"/>
        <w:ind w:firstLine="562" w:firstLineChars="200"/>
        <w:rPr>
          <w:rFonts w:ascii="Times New Roman" w:hAnsi="Times New Roman"/>
          <w:kern w:val="2"/>
          <w:sz w:val="28"/>
          <w:szCs w:val="28"/>
          <w:highlight w:val="none"/>
        </w:rPr>
      </w:pPr>
      <w:r>
        <w:rPr>
          <w:rFonts w:hint="eastAsia" w:ascii="Times New Roman" w:hAnsi="Times New Roman"/>
          <w:b/>
          <w:kern w:val="2"/>
          <w:sz w:val="28"/>
          <w:szCs w:val="28"/>
          <w:highlight w:val="none"/>
        </w:rPr>
        <w:t>温泉小镇岸线：</w:t>
      </w:r>
      <w:r>
        <w:rPr>
          <w:rFonts w:hint="eastAsia" w:ascii="Times New Roman" w:hAnsi="Times New Roman"/>
          <w:kern w:val="2"/>
          <w:sz w:val="28"/>
          <w:szCs w:val="28"/>
          <w:highlight w:val="none"/>
        </w:rPr>
        <w:t>位于该岸线位于在建龙溪口航电枢纽坝址上游</w:t>
      </w:r>
      <w:r>
        <w:rPr>
          <w:rFonts w:ascii="Times New Roman" w:hAnsi="Times New Roman"/>
          <w:kern w:val="2"/>
          <w:sz w:val="28"/>
          <w:szCs w:val="28"/>
          <w:highlight w:val="none"/>
        </w:rPr>
        <w:t>3.77</w:t>
      </w:r>
      <w:r>
        <w:rPr>
          <w:rFonts w:hint="eastAsia" w:ascii="Times New Roman" w:hAnsi="Times New Roman"/>
          <w:kern w:val="2"/>
          <w:sz w:val="28"/>
          <w:szCs w:val="28"/>
          <w:highlight w:val="none"/>
        </w:rPr>
        <w:t>~</w:t>
      </w:r>
      <w:r>
        <w:rPr>
          <w:rFonts w:ascii="Times New Roman" w:hAnsi="Times New Roman"/>
          <w:kern w:val="2"/>
          <w:sz w:val="28"/>
          <w:szCs w:val="28"/>
          <w:highlight w:val="none"/>
        </w:rPr>
        <w:t>3.57</w:t>
      </w:r>
      <w:r>
        <w:rPr>
          <w:rFonts w:hint="eastAsia" w:ascii="Times New Roman" w:hAnsi="Times New Roman"/>
          <w:kern w:val="2"/>
          <w:sz w:val="28"/>
          <w:szCs w:val="28"/>
          <w:highlight w:val="none"/>
        </w:rPr>
        <w:t>km处岷江左岸，规划岸线长度</w:t>
      </w:r>
      <w:r>
        <w:rPr>
          <w:rFonts w:ascii="Times New Roman" w:hAnsi="Times New Roman"/>
          <w:kern w:val="2"/>
          <w:sz w:val="28"/>
          <w:szCs w:val="28"/>
          <w:highlight w:val="none"/>
        </w:rPr>
        <w:t>200</w:t>
      </w:r>
      <w:r>
        <w:rPr>
          <w:rFonts w:hint="eastAsia" w:ascii="Times New Roman" w:hAnsi="Times New Roman"/>
          <w:kern w:val="2"/>
          <w:sz w:val="28"/>
          <w:szCs w:val="28"/>
          <w:highlight w:val="none"/>
        </w:rPr>
        <w:t>m，规划为旅游客运岸线，拟建设温泉小镇客运码头。岸线后方拟建设茉莉花温泉综合开发项目。</w:t>
      </w:r>
    </w:p>
    <w:p>
      <w:pPr>
        <w:jc w:val="center"/>
        <w:rPr>
          <w:highlight w:val="none"/>
        </w:rPr>
      </w:pPr>
    </w:p>
    <w:p>
      <w:pPr>
        <w:spacing w:line="360" w:lineRule="auto"/>
        <w:ind w:firstLine="562" w:firstLineChars="200"/>
        <w:rPr>
          <w:sz w:val="28"/>
          <w:szCs w:val="28"/>
          <w:highlight w:val="none"/>
        </w:rPr>
      </w:pPr>
      <w:r>
        <w:rPr>
          <w:rFonts w:hint="eastAsia"/>
          <w:b/>
          <w:sz w:val="28"/>
          <w:szCs w:val="28"/>
          <w:highlight w:val="none"/>
        </w:rPr>
        <w:t>马鞯坝岸线：</w:t>
      </w:r>
      <w:r>
        <w:rPr>
          <w:rFonts w:hint="eastAsia"/>
          <w:sz w:val="28"/>
          <w:szCs w:val="28"/>
          <w:highlight w:val="none"/>
        </w:rPr>
        <w:t>该岸线位于在建</w:t>
      </w:r>
      <w:r>
        <w:rPr>
          <w:sz w:val="28"/>
          <w:szCs w:val="28"/>
          <w:highlight w:val="none"/>
        </w:rPr>
        <w:t>龙溪口航电枢纽坝址</w:t>
      </w:r>
      <w:r>
        <w:rPr>
          <w:rFonts w:hint="eastAsia"/>
          <w:sz w:val="28"/>
          <w:szCs w:val="28"/>
          <w:highlight w:val="none"/>
        </w:rPr>
        <w:t>下</w:t>
      </w:r>
      <w:r>
        <w:rPr>
          <w:sz w:val="28"/>
          <w:szCs w:val="28"/>
          <w:highlight w:val="none"/>
        </w:rPr>
        <w:t>游3.24~3.44km处岷江</w:t>
      </w:r>
      <w:r>
        <w:rPr>
          <w:rFonts w:hint="eastAsia"/>
          <w:sz w:val="28"/>
          <w:szCs w:val="28"/>
          <w:highlight w:val="none"/>
        </w:rPr>
        <w:t>右</w:t>
      </w:r>
      <w:r>
        <w:rPr>
          <w:sz w:val="28"/>
          <w:szCs w:val="28"/>
          <w:highlight w:val="none"/>
        </w:rPr>
        <w:t>岸，</w:t>
      </w:r>
      <w:r>
        <w:rPr>
          <w:rFonts w:hint="eastAsia"/>
          <w:sz w:val="28"/>
          <w:szCs w:val="28"/>
          <w:highlight w:val="none"/>
        </w:rPr>
        <w:t>后方</w:t>
      </w:r>
      <w:r>
        <w:rPr>
          <w:sz w:val="28"/>
          <w:szCs w:val="28"/>
          <w:highlight w:val="none"/>
        </w:rPr>
        <w:t>为新民镇</w:t>
      </w:r>
      <w:r>
        <w:rPr>
          <w:rFonts w:hint="eastAsia"/>
          <w:sz w:val="28"/>
          <w:szCs w:val="28"/>
          <w:highlight w:val="none"/>
        </w:rPr>
        <w:t>红岩村</w:t>
      </w:r>
      <w:r>
        <w:rPr>
          <w:sz w:val="28"/>
          <w:szCs w:val="28"/>
          <w:highlight w:val="none"/>
        </w:rPr>
        <w:t>，岸线长度约200m。该段</w:t>
      </w:r>
      <w:r>
        <w:rPr>
          <w:rFonts w:hint="eastAsia"/>
          <w:sz w:val="28"/>
          <w:szCs w:val="28"/>
          <w:highlight w:val="none"/>
        </w:rPr>
        <w:t>岸线位于规划的新民工业园区对岸，该段岸线目前已有船舶停靠，后方有民居分布，</w:t>
      </w:r>
      <w:r>
        <w:rPr>
          <w:sz w:val="28"/>
          <w:szCs w:val="28"/>
          <w:highlight w:val="none"/>
        </w:rPr>
        <w:t>陆域</w:t>
      </w:r>
      <w:r>
        <w:rPr>
          <w:rFonts w:hint="eastAsia"/>
          <w:sz w:val="28"/>
          <w:szCs w:val="28"/>
          <w:highlight w:val="none"/>
        </w:rPr>
        <w:t>纵深较窄，有乡道到达岸线</w:t>
      </w:r>
      <w:r>
        <w:rPr>
          <w:sz w:val="28"/>
          <w:szCs w:val="28"/>
          <w:highlight w:val="none"/>
        </w:rPr>
        <w:t>，规划为支持保障岸线中的</w:t>
      </w:r>
      <w:r>
        <w:rPr>
          <w:rFonts w:hint="eastAsia"/>
          <w:sz w:val="28"/>
          <w:szCs w:val="28"/>
          <w:highlight w:val="none"/>
        </w:rPr>
        <w:t>船舶修造</w:t>
      </w:r>
      <w:r>
        <w:rPr>
          <w:sz w:val="28"/>
          <w:szCs w:val="28"/>
          <w:highlight w:val="none"/>
        </w:rPr>
        <w:t>岸线。</w:t>
      </w:r>
    </w:p>
    <w:p>
      <w:pPr>
        <w:spacing w:line="360" w:lineRule="auto"/>
        <w:ind w:firstLine="562" w:firstLineChars="200"/>
        <w:jc w:val="center"/>
        <w:rPr>
          <w:b/>
          <w:sz w:val="28"/>
          <w:szCs w:val="28"/>
          <w:highlight w:val="none"/>
        </w:rPr>
      </w:pPr>
    </w:p>
    <w:p>
      <w:pPr>
        <w:spacing w:line="360" w:lineRule="auto"/>
        <w:ind w:firstLine="480"/>
        <w:rPr>
          <w:sz w:val="28"/>
          <w:szCs w:val="28"/>
          <w:highlight w:val="none"/>
        </w:rPr>
      </w:pPr>
      <w:r>
        <w:rPr>
          <w:b/>
          <w:sz w:val="28"/>
          <w:szCs w:val="28"/>
          <w:highlight w:val="none"/>
        </w:rPr>
        <w:t>新民岸线：</w:t>
      </w:r>
      <w:r>
        <w:rPr>
          <w:sz w:val="28"/>
          <w:szCs w:val="28"/>
          <w:highlight w:val="none"/>
        </w:rPr>
        <w:t>该岸线位于在建龙溪口航电枢纽坝址下游2.96~</w:t>
      </w:r>
      <w:r>
        <w:rPr>
          <w:rFonts w:hint="eastAsia"/>
          <w:sz w:val="28"/>
          <w:szCs w:val="28"/>
          <w:highlight w:val="none"/>
        </w:rPr>
        <w:t>2.75</w:t>
      </w:r>
      <w:r>
        <w:rPr>
          <w:sz w:val="28"/>
          <w:szCs w:val="28"/>
          <w:highlight w:val="none"/>
        </w:rPr>
        <w:t>km处岷江左岸，后方为新民镇</w:t>
      </w:r>
      <w:r>
        <w:rPr>
          <w:rFonts w:hint="eastAsia"/>
          <w:sz w:val="28"/>
          <w:szCs w:val="28"/>
          <w:highlight w:val="none"/>
        </w:rPr>
        <w:t>，</w:t>
      </w:r>
      <w:r>
        <w:rPr>
          <w:sz w:val="28"/>
          <w:szCs w:val="28"/>
          <w:highlight w:val="none"/>
        </w:rPr>
        <w:t>岸线长约210m。该段岸线处于较顺直河段，水域条件好；陆域为河边滩地，未开发利用，现状为砂石堆场，纵深较小；后方为集疏运较方便，规划为支持保障岸线。</w:t>
      </w:r>
    </w:p>
    <w:p>
      <w:pPr>
        <w:pStyle w:val="2"/>
        <w:jc w:val="center"/>
        <w:rPr>
          <w:color w:val="auto"/>
          <w:highlight w:val="none"/>
        </w:rPr>
      </w:pPr>
    </w:p>
    <w:p>
      <w:pPr>
        <w:pStyle w:val="2"/>
        <w:spacing w:line="360" w:lineRule="auto"/>
        <w:ind w:firstLine="561"/>
        <w:outlineLvl w:val="3"/>
        <w:rPr>
          <w:rFonts w:ascii="Times New Roman" w:cs="Times New Roman"/>
          <w:b/>
          <w:color w:val="auto"/>
          <w:sz w:val="28"/>
          <w:szCs w:val="28"/>
          <w:highlight w:val="none"/>
        </w:rPr>
      </w:pPr>
      <w:r>
        <w:rPr>
          <w:rFonts w:ascii="Times New Roman" w:cs="Times New Roman"/>
          <w:b/>
          <w:color w:val="auto"/>
          <w:sz w:val="28"/>
          <w:szCs w:val="28"/>
          <w:highlight w:val="none"/>
        </w:rPr>
        <w:t>（</w:t>
      </w:r>
      <w:r>
        <w:rPr>
          <w:rFonts w:hint="eastAsia" w:ascii="Times New Roman" w:cs="Times New Roman"/>
          <w:b/>
          <w:color w:val="auto"/>
          <w:sz w:val="28"/>
          <w:szCs w:val="28"/>
          <w:highlight w:val="none"/>
        </w:rPr>
        <w:t>二</w:t>
      </w:r>
      <w:r>
        <w:rPr>
          <w:rFonts w:ascii="Times New Roman" w:cs="Times New Roman"/>
          <w:b/>
          <w:color w:val="auto"/>
          <w:sz w:val="28"/>
          <w:szCs w:val="28"/>
          <w:highlight w:val="none"/>
        </w:rPr>
        <w:t>）</w:t>
      </w:r>
      <w:r>
        <w:rPr>
          <w:rFonts w:hint="eastAsia"/>
          <w:b/>
          <w:color w:val="auto"/>
          <w:sz w:val="28"/>
          <w:szCs w:val="28"/>
          <w:highlight w:val="none"/>
        </w:rPr>
        <w:t>大渡河</w:t>
      </w:r>
    </w:p>
    <w:p>
      <w:pPr>
        <w:spacing w:line="360" w:lineRule="auto"/>
        <w:ind w:firstLine="480"/>
        <w:rPr>
          <w:sz w:val="28"/>
          <w:szCs w:val="28"/>
          <w:highlight w:val="none"/>
        </w:rPr>
      </w:pPr>
      <w:r>
        <w:rPr>
          <w:rFonts w:hint="eastAsia"/>
          <w:sz w:val="28"/>
          <w:szCs w:val="28"/>
          <w:highlight w:val="none"/>
        </w:rPr>
        <w:t>大渡河段</w:t>
      </w:r>
      <w:r>
        <w:rPr>
          <w:sz w:val="28"/>
          <w:szCs w:val="28"/>
          <w:highlight w:val="none"/>
        </w:rPr>
        <w:t>规划利用岸线17段，总长度约</w:t>
      </w:r>
      <w:r>
        <w:rPr>
          <w:rFonts w:hint="eastAsia"/>
          <w:sz w:val="28"/>
          <w:szCs w:val="28"/>
          <w:highlight w:val="none"/>
        </w:rPr>
        <w:t>3</w:t>
      </w:r>
      <w:r>
        <w:rPr>
          <w:sz w:val="28"/>
          <w:szCs w:val="28"/>
          <w:highlight w:val="none"/>
        </w:rPr>
        <w:t>93</w:t>
      </w:r>
      <w:r>
        <w:rPr>
          <w:rFonts w:hint="eastAsia"/>
          <w:sz w:val="28"/>
          <w:szCs w:val="28"/>
          <w:highlight w:val="none"/>
        </w:rPr>
        <w:t>5</w:t>
      </w:r>
      <w:r>
        <w:rPr>
          <w:sz w:val="28"/>
          <w:szCs w:val="28"/>
          <w:highlight w:val="none"/>
        </w:rPr>
        <w:t>m，已利用或部分利用岸线</w:t>
      </w:r>
      <w:r>
        <w:rPr>
          <w:rFonts w:hint="eastAsia"/>
          <w:sz w:val="28"/>
          <w:szCs w:val="28"/>
          <w:highlight w:val="none"/>
        </w:rPr>
        <w:t>6</w:t>
      </w:r>
      <w:r>
        <w:rPr>
          <w:sz w:val="28"/>
          <w:szCs w:val="28"/>
          <w:highlight w:val="none"/>
        </w:rPr>
        <w:t>段，已利用岸线</w:t>
      </w:r>
      <w:r>
        <w:rPr>
          <w:rFonts w:hint="eastAsia"/>
          <w:sz w:val="28"/>
          <w:szCs w:val="28"/>
          <w:highlight w:val="none"/>
        </w:rPr>
        <w:t>835</w:t>
      </w:r>
      <w:r>
        <w:rPr>
          <w:sz w:val="28"/>
          <w:szCs w:val="28"/>
          <w:highlight w:val="none"/>
        </w:rPr>
        <w:t>m。</w:t>
      </w:r>
    </w:p>
    <w:p>
      <w:pPr>
        <w:spacing w:line="360" w:lineRule="auto"/>
        <w:ind w:firstLine="482"/>
        <w:outlineLvl w:val="4"/>
        <w:rPr>
          <w:highlight w:val="none"/>
        </w:rPr>
      </w:pPr>
      <w:r>
        <w:rPr>
          <w:b/>
          <w:sz w:val="28"/>
          <w:szCs w:val="28"/>
          <w:highlight w:val="none"/>
        </w:rPr>
        <w:t>1.嘉州港区</w:t>
      </w:r>
    </w:p>
    <w:p>
      <w:pPr>
        <w:spacing w:line="360" w:lineRule="auto"/>
        <w:ind w:firstLine="480"/>
        <w:rPr>
          <w:b/>
          <w:sz w:val="28"/>
          <w:szCs w:val="28"/>
          <w:highlight w:val="none"/>
        </w:rPr>
      </w:pPr>
      <w:r>
        <w:rPr>
          <w:sz w:val="28"/>
          <w:szCs w:val="28"/>
          <w:highlight w:val="none"/>
        </w:rPr>
        <w:t>规划可利用岸线</w:t>
      </w:r>
      <w:r>
        <w:rPr>
          <w:rFonts w:hint="eastAsia"/>
          <w:sz w:val="28"/>
          <w:szCs w:val="28"/>
          <w:highlight w:val="none"/>
        </w:rPr>
        <w:t>7</w:t>
      </w:r>
      <w:r>
        <w:rPr>
          <w:sz w:val="28"/>
          <w:szCs w:val="28"/>
          <w:highlight w:val="none"/>
        </w:rPr>
        <w:t>段，总长度约</w:t>
      </w:r>
      <w:r>
        <w:rPr>
          <w:rFonts w:hint="eastAsia"/>
          <w:sz w:val="28"/>
          <w:szCs w:val="28"/>
          <w:highlight w:val="none"/>
        </w:rPr>
        <w:t>625</w:t>
      </w:r>
      <w:r>
        <w:rPr>
          <w:sz w:val="28"/>
          <w:szCs w:val="28"/>
          <w:highlight w:val="none"/>
        </w:rPr>
        <w:t>m，已</w:t>
      </w:r>
      <w:r>
        <w:rPr>
          <w:rFonts w:hint="eastAsia"/>
          <w:sz w:val="28"/>
          <w:szCs w:val="28"/>
          <w:highlight w:val="none"/>
        </w:rPr>
        <w:t>全部</w:t>
      </w:r>
      <w:r>
        <w:rPr>
          <w:sz w:val="28"/>
          <w:szCs w:val="28"/>
          <w:highlight w:val="none"/>
        </w:rPr>
        <w:t>利用岸线</w:t>
      </w:r>
      <w:r>
        <w:rPr>
          <w:rFonts w:hint="eastAsia"/>
          <w:sz w:val="28"/>
          <w:szCs w:val="28"/>
          <w:highlight w:val="none"/>
        </w:rPr>
        <w:t>3</w:t>
      </w:r>
      <w:r>
        <w:rPr>
          <w:sz w:val="28"/>
          <w:szCs w:val="28"/>
          <w:highlight w:val="none"/>
        </w:rPr>
        <w:t>段，</w:t>
      </w:r>
      <w:r>
        <w:rPr>
          <w:rFonts w:hint="eastAsia"/>
          <w:sz w:val="28"/>
          <w:szCs w:val="28"/>
          <w:highlight w:val="none"/>
        </w:rPr>
        <w:t>总长22</w:t>
      </w:r>
      <w:r>
        <w:rPr>
          <w:sz w:val="28"/>
          <w:szCs w:val="28"/>
          <w:highlight w:val="none"/>
        </w:rPr>
        <w:t>5m</w:t>
      </w:r>
      <w:r>
        <w:rPr>
          <w:rFonts w:hint="eastAsia"/>
          <w:sz w:val="28"/>
          <w:szCs w:val="28"/>
          <w:highlight w:val="none"/>
        </w:rPr>
        <w:t>，分别为肖坝客运岸线、大件码头岸线、铁牛门岸线</w:t>
      </w:r>
      <w:r>
        <w:rPr>
          <w:sz w:val="28"/>
          <w:szCs w:val="28"/>
          <w:highlight w:val="none"/>
        </w:rPr>
        <w:t>。</w:t>
      </w:r>
      <w:r>
        <w:rPr>
          <w:rFonts w:hint="eastAsia"/>
          <w:sz w:val="28"/>
          <w:szCs w:val="28"/>
          <w:highlight w:val="none"/>
        </w:rPr>
        <w:t>其中客运</w:t>
      </w:r>
      <w:r>
        <w:rPr>
          <w:sz w:val="28"/>
          <w:szCs w:val="28"/>
          <w:highlight w:val="none"/>
        </w:rPr>
        <w:t>岸线</w:t>
      </w:r>
      <w:r>
        <w:rPr>
          <w:rFonts w:hint="eastAsia"/>
          <w:sz w:val="28"/>
          <w:szCs w:val="28"/>
          <w:highlight w:val="none"/>
        </w:rPr>
        <w:t>6</w:t>
      </w:r>
      <w:r>
        <w:rPr>
          <w:sz w:val="28"/>
          <w:szCs w:val="28"/>
          <w:highlight w:val="none"/>
        </w:rPr>
        <w:t>段，长</w:t>
      </w:r>
      <w:r>
        <w:rPr>
          <w:rFonts w:hint="eastAsia"/>
          <w:sz w:val="28"/>
          <w:szCs w:val="28"/>
          <w:highlight w:val="none"/>
        </w:rPr>
        <w:t>510</w:t>
      </w:r>
      <w:r>
        <w:rPr>
          <w:sz w:val="28"/>
          <w:szCs w:val="28"/>
          <w:highlight w:val="none"/>
        </w:rPr>
        <w:t>m</w:t>
      </w:r>
      <w:r>
        <w:rPr>
          <w:rFonts w:hint="eastAsia"/>
          <w:sz w:val="28"/>
          <w:szCs w:val="28"/>
          <w:highlight w:val="none"/>
        </w:rPr>
        <w:t>；货运岸线1段，长115m</w:t>
      </w:r>
      <w:r>
        <w:rPr>
          <w:sz w:val="28"/>
          <w:szCs w:val="28"/>
          <w:highlight w:val="none"/>
        </w:rPr>
        <w:t>。</w:t>
      </w:r>
    </w:p>
    <w:p>
      <w:pPr>
        <w:spacing w:line="360" w:lineRule="auto"/>
        <w:ind w:firstLine="480"/>
        <w:rPr>
          <w:sz w:val="28"/>
          <w:szCs w:val="28"/>
          <w:highlight w:val="none"/>
        </w:rPr>
      </w:pPr>
      <w:r>
        <w:rPr>
          <w:b/>
          <w:sz w:val="28"/>
          <w:szCs w:val="28"/>
          <w:highlight w:val="none"/>
        </w:rPr>
        <w:t>鸭儿坝岸线：</w:t>
      </w:r>
      <w:r>
        <w:rPr>
          <w:sz w:val="28"/>
          <w:szCs w:val="28"/>
          <w:highlight w:val="none"/>
        </w:rPr>
        <w:t>位于高新区安谷镇郑明村鸭儿坝大渡河右岸、青衣江汇入大渡河河口对岸、安谷尾水渠出口下游，距离河口里程5.37~5.</w:t>
      </w:r>
      <w:r>
        <w:rPr>
          <w:rFonts w:hint="eastAsia"/>
          <w:sz w:val="28"/>
          <w:szCs w:val="28"/>
          <w:highlight w:val="none"/>
        </w:rPr>
        <w:t>2</w:t>
      </w:r>
      <w:r>
        <w:rPr>
          <w:sz w:val="28"/>
          <w:szCs w:val="28"/>
          <w:highlight w:val="none"/>
        </w:rPr>
        <w:t>2km，岸线长度约</w:t>
      </w:r>
      <w:r>
        <w:rPr>
          <w:rFonts w:hint="eastAsia"/>
          <w:sz w:val="28"/>
          <w:szCs w:val="28"/>
          <w:highlight w:val="none"/>
        </w:rPr>
        <w:t>1</w:t>
      </w:r>
      <w:r>
        <w:rPr>
          <w:sz w:val="28"/>
          <w:szCs w:val="28"/>
          <w:highlight w:val="none"/>
        </w:rPr>
        <w:t>50m。岸线上距安谷尾水渠出口约400m，距G93乐宜高速大渡河大桥接近1km，下距大渡河大桥</w:t>
      </w:r>
      <w:r>
        <w:rPr>
          <w:rFonts w:hint="eastAsia"/>
          <w:sz w:val="28"/>
          <w:szCs w:val="28"/>
          <w:highlight w:val="none"/>
        </w:rPr>
        <w:t>约500</w:t>
      </w:r>
      <w:r>
        <w:rPr>
          <w:sz w:val="28"/>
          <w:szCs w:val="28"/>
          <w:highlight w:val="none"/>
        </w:rPr>
        <w:t>m，对面为青衣江汇合口。该岸线较为顺直，岸线后方建设有乐沙大道滨江走廊带，后方陆域较窄，纵深40~80m，拟建设为高新区旅游客运码头，与大佛景区开通旅游航线。</w:t>
      </w:r>
    </w:p>
    <w:p>
      <w:pPr>
        <w:pStyle w:val="2"/>
        <w:jc w:val="center"/>
        <w:rPr>
          <w:rFonts w:ascii="Times New Roman" w:cs="Times New Roman"/>
          <w:color w:val="auto"/>
          <w:sz w:val="28"/>
          <w:szCs w:val="28"/>
          <w:highlight w:val="none"/>
        </w:rPr>
      </w:pPr>
      <w:r>
        <w:rPr>
          <w:rFonts w:ascii="Times New Roman" w:cs="Times New Roman"/>
          <w:color w:val="auto"/>
          <w:sz w:val="28"/>
          <w:szCs w:val="28"/>
          <w:highlight w:val="none"/>
        </w:rPr>
        <w:t xml:space="preserve"> </w:t>
      </w:r>
    </w:p>
    <w:p>
      <w:pPr>
        <w:spacing w:line="360" w:lineRule="auto"/>
        <w:ind w:firstLine="480"/>
        <w:rPr>
          <w:sz w:val="28"/>
          <w:szCs w:val="28"/>
          <w:highlight w:val="none"/>
        </w:rPr>
      </w:pPr>
      <w:r>
        <w:rPr>
          <w:b/>
          <w:sz w:val="28"/>
          <w:szCs w:val="28"/>
          <w:highlight w:val="none"/>
        </w:rPr>
        <w:t>凤洲岛岸线：</w:t>
      </w:r>
      <w:bookmarkStart w:id="203" w:name="_Hlk105575605"/>
      <w:r>
        <w:rPr>
          <w:sz w:val="28"/>
          <w:szCs w:val="28"/>
          <w:highlight w:val="none"/>
        </w:rPr>
        <w:t>位于大渡河河口处凤洲岛江心洲左汊道右岸，紧邻拜佛台，距离河口里程0.80~0.60km，岸线长度约200m；该段岸线顺直，水域条件良好；陆域平坦，为自然岸坡，未开发利用；后方有岛内道路分布，目前通过桥梁连接大渡河右岸车子镇，集疏运较为方便。凤洲岛是大佛景区打造的休闲场所，岛上现建有拜佛台，另规划有休闲步道、夜跑项目等，岸线规划为配套的旅游客运岸线。</w:t>
      </w:r>
    </w:p>
    <w:bookmarkEnd w:id="203"/>
    <w:p>
      <w:pPr>
        <w:spacing w:line="360" w:lineRule="auto"/>
        <w:ind w:firstLine="480"/>
        <w:rPr>
          <w:highlight w:val="none"/>
        </w:rPr>
      </w:pPr>
      <w:r>
        <w:rPr>
          <w:sz w:val="28"/>
          <w:szCs w:val="28"/>
          <w:highlight w:val="none"/>
        </w:rPr>
        <w:t>结合</w:t>
      </w:r>
      <w:r>
        <w:rPr>
          <w:rFonts w:hint="eastAsia"/>
          <w:sz w:val="28"/>
          <w:szCs w:val="28"/>
          <w:highlight w:val="none"/>
        </w:rPr>
        <w:t>大佛景区旅游开发</w:t>
      </w:r>
      <w:r>
        <w:rPr>
          <w:sz w:val="28"/>
          <w:szCs w:val="28"/>
          <w:highlight w:val="none"/>
        </w:rPr>
        <w:t>需要，</w:t>
      </w:r>
      <w:r>
        <w:rPr>
          <w:rFonts w:hint="eastAsia"/>
          <w:sz w:val="28"/>
          <w:szCs w:val="28"/>
          <w:highlight w:val="none"/>
        </w:rPr>
        <w:t>在三江湿地公园临凤洲岛侧</w:t>
      </w:r>
      <w:r>
        <w:rPr>
          <w:sz w:val="28"/>
          <w:szCs w:val="28"/>
          <w:highlight w:val="none"/>
        </w:rPr>
        <w:t>规划利用岸线</w:t>
      </w:r>
      <w:r>
        <w:rPr>
          <w:rFonts w:hint="eastAsia"/>
          <w:sz w:val="28"/>
          <w:szCs w:val="28"/>
          <w:highlight w:val="none"/>
        </w:rPr>
        <w:t>1</w:t>
      </w:r>
      <w:r>
        <w:rPr>
          <w:sz w:val="28"/>
          <w:szCs w:val="28"/>
          <w:highlight w:val="none"/>
        </w:rPr>
        <w:t>段，</w:t>
      </w:r>
      <w:r>
        <w:rPr>
          <w:rFonts w:hint="eastAsia"/>
          <w:sz w:val="28"/>
          <w:szCs w:val="28"/>
          <w:highlight w:val="none"/>
        </w:rPr>
        <w:t>即</w:t>
      </w:r>
      <w:r>
        <w:rPr>
          <w:rFonts w:hint="eastAsia"/>
          <w:b/>
          <w:sz w:val="28"/>
          <w:szCs w:val="28"/>
          <w:highlight w:val="none"/>
        </w:rPr>
        <w:t>小铜河</w:t>
      </w:r>
      <w:r>
        <w:rPr>
          <w:b/>
          <w:sz w:val="28"/>
          <w:szCs w:val="28"/>
          <w:highlight w:val="none"/>
        </w:rPr>
        <w:t>岸线</w:t>
      </w:r>
      <w:r>
        <w:rPr>
          <w:sz w:val="28"/>
          <w:szCs w:val="28"/>
          <w:highlight w:val="none"/>
        </w:rPr>
        <w:t>，长为50m。规划为旅游码头停靠点。</w:t>
      </w:r>
    </w:p>
    <w:p>
      <w:pPr>
        <w:spacing w:line="360" w:lineRule="auto"/>
        <w:ind w:firstLine="482"/>
        <w:outlineLvl w:val="4"/>
        <w:rPr>
          <w:b/>
          <w:sz w:val="28"/>
          <w:szCs w:val="28"/>
          <w:highlight w:val="none"/>
        </w:rPr>
      </w:pPr>
      <w:r>
        <w:rPr>
          <w:rFonts w:hint="eastAsia"/>
          <w:b/>
          <w:sz w:val="28"/>
          <w:szCs w:val="28"/>
          <w:highlight w:val="none"/>
        </w:rPr>
        <w:t>2</w:t>
      </w:r>
      <w:r>
        <w:rPr>
          <w:b/>
          <w:sz w:val="28"/>
          <w:szCs w:val="28"/>
          <w:highlight w:val="none"/>
        </w:rPr>
        <w:t>.</w:t>
      </w:r>
      <w:r>
        <w:rPr>
          <w:rFonts w:hint="eastAsia"/>
          <w:b/>
          <w:sz w:val="28"/>
          <w:szCs w:val="28"/>
          <w:highlight w:val="none"/>
        </w:rPr>
        <w:t>沐川</w:t>
      </w:r>
      <w:r>
        <w:rPr>
          <w:b/>
          <w:sz w:val="28"/>
          <w:szCs w:val="28"/>
          <w:highlight w:val="none"/>
        </w:rPr>
        <w:t>港区</w:t>
      </w:r>
    </w:p>
    <w:p>
      <w:pPr>
        <w:spacing w:line="360" w:lineRule="auto"/>
        <w:ind w:firstLine="480"/>
        <w:rPr>
          <w:b/>
          <w:sz w:val="28"/>
          <w:szCs w:val="28"/>
          <w:highlight w:val="none"/>
        </w:rPr>
      </w:pPr>
      <w:r>
        <w:rPr>
          <w:sz w:val="28"/>
          <w:szCs w:val="28"/>
          <w:highlight w:val="none"/>
        </w:rPr>
        <w:t>规划可利用岸线1段，</w:t>
      </w:r>
      <w:r>
        <w:rPr>
          <w:rFonts w:hint="eastAsia"/>
          <w:sz w:val="28"/>
          <w:szCs w:val="28"/>
          <w:highlight w:val="none"/>
        </w:rPr>
        <w:t>为货运岸线，</w:t>
      </w:r>
      <w:r>
        <w:rPr>
          <w:sz w:val="28"/>
          <w:szCs w:val="28"/>
          <w:highlight w:val="none"/>
        </w:rPr>
        <w:t>总长度约300m。</w:t>
      </w:r>
    </w:p>
    <w:p>
      <w:pPr>
        <w:spacing w:line="360" w:lineRule="auto"/>
        <w:ind w:firstLine="480"/>
        <w:rPr>
          <w:sz w:val="28"/>
          <w:szCs w:val="28"/>
          <w:highlight w:val="none"/>
        </w:rPr>
      </w:pPr>
      <w:r>
        <w:rPr>
          <w:b/>
          <w:sz w:val="28"/>
          <w:szCs w:val="28"/>
          <w:highlight w:val="none"/>
        </w:rPr>
        <w:t>茨竹坪岸线：</w:t>
      </w:r>
      <w:r>
        <w:rPr>
          <w:sz w:val="28"/>
          <w:szCs w:val="28"/>
          <w:highlight w:val="none"/>
        </w:rPr>
        <w:t>位于铜街子电站大坝上游10.05~9.75km处大渡河右岸，岸线长度约300m。该岸线处于河流较为顺直段，水域条件优良，河宽超过400m。陆域后方现状为河边滩地，高程470~472m，未开发利用，纵深约120m；后方有乡道Y009通过，连接国道G348，沟通沐川县城及沙湾区，集疏运方便。规划作为货运岸线。</w:t>
      </w:r>
    </w:p>
    <w:p>
      <w:pPr>
        <w:spacing w:line="360" w:lineRule="auto"/>
        <w:ind w:firstLine="482"/>
        <w:outlineLvl w:val="4"/>
        <w:rPr>
          <w:b/>
          <w:sz w:val="28"/>
          <w:szCs w:val="28"/>
          <w:highlight w:val="none"/>
        </w:rPr>
      </w:pPr>
      <w:r>
        <w:rPr>
          <w:rFonts w:hint="eastAsia"/>
          <w:b/>
          <w:sz w:val="28"/>
          <w:szCs w:val="28"/>
          <w:highlight w:val="none"/>
        </w:rPr>
        <w:t>3</w:t>
      </w:r>
      <w:r>
        <w:rPr>
          <w:b/>
          <w:sz w:val="28"/>
          <w:szCs w:val="28"/>
          <w:highlight w:val="none"/>
        </w:rPr>
        <w:t>.</w:t>
      </w:r>
      <w:r>
        <w:rPr>
          <w:rFonts w:hint="eastAsia"/>
          <w:b/>
          <w:sz w:val="28"/>
          <w:szCs w:val="28"/>
          <w:highlight w:val="none"/>
        </w:rPr>
        <w:t>沙湾</w:t>
      </w:r>
      <w:r>
        <w:rPr>
          <w:b/>
          <w:sz w:val="28"/>
          <w:szCs w:val="28"/>
          <w:highlight w:val="none"/>
        </w:rPr>
        <w:t>港区</w:t>
      </w:r>
    </w:p>
    <w:p>
      <w:pPr>
        <w:spacing w:line="360" w:lineRule="auto"/>
        <w:ind w:firstLine="480"/>
        <w:rPr>
          <w:sz w:val="28"/>
          <w:szCs w:val="28"/>
          <w:highlight w:val="none"/>
        </w:rPr>
      </w:pPr>
      <w:r>
        <w:rPr>
          <w:sz w:val="28"/>
          <w:szCs w:val="28"/>
          <w:highlight w:val="none"/>
        </w:rPr>
        <w:t>规划可利用岸线</w:t>
      </w:r>
      <w:r>
        <w:rPr>
          <w:rFonts w:hint="eastAsia"/>
          <w:sz w:val="28"/>
          <w:szCs w:val="28"/>
          <w:highlight w:val="none"/>
        </w:rPr>
        <w:t>4</w:t>
      </w:r>
      <w:r>
        <w:rPr>
          <w:sz w:val="28"/>
          <w:szCs w:val="28"/>
          <w:highlight w:val="none"/>
        </w:rPr>
        <w:t>段，总长</w:t>
      </w:r>
      <w:r>
        <w:rPr>
          <w:rFonts w:hint="eastAsia"/>
          <w:sz w:val="28"/>
          <w:szCs w:val="28"/>
          <w:highlight w:val="none"/>
        </w:rPr>
        <w:t>960</w:t>
      </w:r>
      <w:r>
        <w:rPr>
          <w:sz w:val="28"/>
          <w:szCs w:val="28"/>
          <w:highlight w:val="none"/>
        </w:rPr>
        <w:t>m</w:t>
      </w:r>
      <w:r>
        <w:rPr>
          <w:rFonts w:hint="eastAsia"/>
          <w:sz w:val="28"/>
          <w:szCs w:val="28"/>
          <w:highlight w:val="none"/>
        </w:rPr>
        <w:t>；</w:t>
      </w:r>
      <w:r>
        <w:rPr>
          <w:sz w:val="28"/>
          <w:szCs w:val="28"/>
          <w:highlight w:val="none"/>
        </w:rPr>
        <w:t>已</w:t>
      </w:r>
      <w:r>
        <w:rPr>
          <w:rFonts w:hint="eastAsia"/>
          <w:sz w:val="28"/>
          <w:szCs w:val="28"/>
          <w:highlight w:val="none"/>
        </w:rPr>
        <w:t>全部</w:t>
      </w:r>
      <w:r>
        <w:rPr>
          <w:sz w:val="28"/>
          <w:szCs w:val="28"/>
          <w:highlight w:val="none"/>
        </w:rPr>
        <w:t>利用岸线</w:t>
      </w:r>
      <w:r>
        <w:rPr>
          <w:rFonts w:hint="eastAsia"/>
          <w:sz w:val="28"/>
          <w:szCs w:val="28"/>
          <w:highlight w:val="none"/>
        </w:rPr>
        <w:t>2</w:t>
      </w:r>
      <w:r>
        <w:rPr>
          <w:sz w:val="28"/>
          <w:szCs w:val="28"/>
          <w:highlight w:val="none"/>
        </w:rPr>
        <w:t>段，</w:t>
      </w:r>
      <w:r>
        <w:rPr>
          <w:rFonts w:hint="eastAsia"/>
          <w:sz w:val="28"/>
          <w:szCs w:val="28"/>
          <w:highlight w:val="none"/>
        </w:rPr>
        <w:t>长410</w:t>
      </w:r>
      <w:r>
        <w:rPr>
          <w:sz w:val="28"/>
          <w:szCs w:val="28"/>
          <w:highlight w:val="none"/>
        </w:rPr>
        <w:t>m</w:t>
      </w:r>
      <w:r>
        <w:rPr>
          <w:rFonts w:hint="eastAsia"/>
          <w:sz w:val="28"/>
          <w:szCs w:val="28"/>
          <w:highlight w:val="none"/>
        </w:rPr>
        <w:t>；综合性岸线2段，兼顾客运+货运</w:t>
      </w:r>
      <w:r>
        <w:rPr>
          <w:sz w:val="28"/>
          <w:szCs w:val="28"/>
          <w:highlight w:val="none"/>
        </w:rPr>
        <w:t>。</w:t>
      </w:r>
      <w:r>
        <w:rPr>
          <w:rFonts w:hint="eastAsia"/>
          <w:sz w:val="28"/>
          <w:szCs w:val="28"/>
          <w:highlight w:val="none"/>
        </w:rPr>
        <w:t>规划客运岸线3段，长300m，其中旅游客运停靠点1个，岸线长50m；货运岸线3段，长660m。</w:t>
      </w:r>
    </w:p>
    <w:p>
      <w:pPr>
        <w:spacing w:line="360" w:lineRule="auto"/>
        <w:ind w:firstLine="480"/>
        <w:rPr>
          <w:sz w:val="28"/>
          <w:szCs w:val="28"/>
          <w:highlight w:val="none"/>
        </w:rPr>
      </w:pPr>
      <w:r>
        <w:rPr>
          <w:rFonts w:hint="eastAsia"/>
          <w:b/>
          <w:sz w:val="28"/>
          <w:szCs w:val="28"/>
          <w:highlight w:val="none"/>
        </w:rPr>
        <w:t>代湾</w:t>
      </w:r>
      <w:r>
        <w:rPr>
          <w:b/>
          <w:sz w:val="28"/>
          <w:szCs w:val="28"/>
          <w:highlight w:val="none"/>
        </w:rPr>
        <w:t>岸线：</w:t>
      </w:r>
      <w:r>
        <w:rPr>
          <w:sz w:val="28"/>
          <w:szCs w:val="28"/>
          <w:highlight w:val="none"/>
        </w:rPr>
        <w:t>位于</w:t>
      </w:r>
      <w:r>
        <w:rPr>
          <w:rFonts w:hint="eastAsia"/>
          <w:sz w:val="28"/>
          <w:szCs w:val="28"/>
          <w:highlight w:val="none"/>
        </w:rPr>
        <w:t>龚嘴</w:t>
      </w:r>
      <w:r>
        <w:rPr>
          <w:sz w:val="28"/>
          <w:szCs w:val="28"/>
          <w:highlight w:val="none"/>
        </w:rPr>
        <w:t>枢纽坝址上游2</w:t>
      </w:r>
      <w:r>
        <w:rPr>
          <w:rFonts w:hint="eastAsia"/>
          <w:sz w:val="28"/>
          <w:szCs w:val="28"/>
          <w:highlight w:val="none"/>
        </w:rPr>
        <w:t>.82</w:t>
      </w:r>
      <w:r>
        <w:rPr>
          <w:sz w:val="28"/>
          <w:szCs w:val="28"/>
          <w:highlight w:val="none"/>
        </w:rPr>
        <w:t>~2</w:t>
      </w:r>
      <w:r>
        <w:rPr>
          <w:rFonts w:hint="eastAsia"/>
          <w:sz w:val="28"/>
          <w:szCs w:val="28"/>
          <w:highlight w:val="none"/>
        </w:rPr>
        <w:t>.47</w:t>
      </w:r>
      <w:r>
        <w:rPr>
          <w:sz w:val="28"/>
          <w:szCs w:val="28"/>
          <w:highlight w:val="none"/>
        </w:rPr>
        <w:t>km处大渡河左岸，岸线长度约</w:t>
      </w:r>
      <w:r>
        <w:rPr>
          <w:rFonts w:hint="eastAsia"/>
          <w:sz w:val="28"/>
          <w:szCs w:val="28"/>
          <w:highlight w:val="none"/>
        </w:rPr>
        <w:t>35</w:t>
      </w:r>
      <w:r>
        <w:rPr>
          <w:sz w:val="28"/>
          <w:szCs w:val="28"/>
          <w:highlight w:val="none"/>
        </w:rPr>
        <w:t>0m。</w:t>
      </w:r>
      <w:r>
        <w:rPr>
          <w:rFonts w:hint="eastAsia"/>
          <w:sz w:val="28"/>
          <w:szCs w:val="28"/>
          <w:highlight w:val="none"/>
        </w:rPr>
        <w:t>该段岸线处于弯道凹段，水域条件良好，河流宽度超过500ｍ，陆域平坦，现状为旧码头及河滩地，开发利用纵深50-100ｍ,后方紧邻成昆铁路及代湾火车站，对岸为峨轸路，后有乡道通过，集疏运较方便。规划为旅游客运及货运岸线</w:t>
      </w:r>
      <w:r>
        <w:rPr>
          <w:sz w:val="28"/>
          <w:szCs w:val="28"/>
          <w:highlight w:val="none"/>
        </w:rPr>
        <w:t>。</w:t>
      </w:r>
    </w:p>
    <w:p>
      <w:pPr>
        <w:spacing w:line="360" w:lineRule="auto"/>
        <w:ind w:firstLine="480"/>
        <w:rPr>
          <w:sz w:val="28"/>
          <w:szCs w:val="28"/>
          <w:highlight w:val="none"/>
        </w:rPr>
      </w:pPr>
      <w:r>
        <w:rPr>
          <w:b/>
          <w:sz w:val="28"/>
          <w:szCs w:val="28"/>
          <w:highlight w:val="none"/>
        </w:rPr>
        <w:t>易坝岸线：</w:t>
      </w:r>
      <w:r>
        <w:rPr>
          <w:sz w:val="28"/>
          <w:szCs w:val="28"/>
          <w:highlight w:val="none"/>
        </w:rPr>
        <w:t>位于铜街子枢纽坝址上游26.9~26.7km处大渡河左岸，岸线长度约200m。该段岸线处于弯道凸岸</w:t>
      </w:r>
      <w:r>
        <w:rPr>
          <w:rFonts w:hint="eastAsia"/>
          <w:sz w:val="28"/>
          <w:szCs w:val="28"/>
          <w:highlight w:val="none"/>
        </w:rPr>
        <w:t>上游</w:t>
      </w:r>
      <w:r>
        <w:rPr>
          <w:sz w:val="28"/>
          <w:szCs w:val="28"/>
          <w:highlight w:val="none"/>
        </w:rPr>
        <w:t>，水域条件良好，河宽超过120m。陆域高程474~475.6m，现状为河边滩地，未开发利用，</w:t>
      </w:r>
      <w:r>
        <w:rPr>
          <w:rFonts w:hint="eastAsia"/>
          <w:sz w:val="28"/>
          <w:szCs w:val="28"/>
          <w:highlight w:val="none"/>
        </w:rPr>
        <w:t>陆域纵深较窄</w:t>
      </w:r>
      <w:r>
        <w:rPr>
          <w:sz w:val="28"/>
          <w:szCs w:val="28"/>
          <w:highlight w:val="none"/>
        </w:rPr>
        <w:t>；后方有乡道通过，集疏运较方便。规划</w:t>
      </w:r>
      <w:r>
        <w:rPr>
          <w:rFonts w:hint="eastAsia"/>
          <w:sz w:val="28"/>
          <w:szCs w:val="28"/>
          <w:highlight w:val="none"/>
        </w:rPr>
        <w:t>为客货中转</w:t>
      </w:r>
      <w:r>
        <w:rPr>
          <w:sz w:val="28"/>
          <w:szCs w:val="28"/>
          <w:highlight w:val="none"/>
        </w:rPr>
        <w:t>岸线。</w:t>
      </w:r>
    </w:p>
    <w:p>
      <w:pPr>
        <w:pStyle w:val="2"/>
        <w:jc w:val="center"/>
        <w:rPr>
          <w:rFonts w:ascii="Times New Roman" w:cs="Times New Roman"/>
          <w:color w:val="auto"/>
          <w:highlight w:val="none"/>
        </w:rPr>
      </w:pPr>
      <w:r>
        <w:rPr>
          <w:color w:val="auto"/>
          <w:highlight w:val="none"/>
        </w:rPr>
        <w:t xml:space="preserve"> </w:t>
      </w:r>
    </w:p>
    <w:p>
      <w:pPr>
        <w:pStyle w:val="2"/>
        <w:spacing w:line="360" w:lineRule="auto"/>
        <w:ind w:firstLine="561"/>
        <w:rPr>
          <w:b/>
          <w:color w:val="auto"/>
          <w:sz w:val="28"/>
          <w:szCs w:val="28"/>
          <w:highlight w:val="none"/>
        </w:rPr>
      </w:pPr>
      <w:r>
        <w:rPr>
          <w:rFonts w:hint="eastAsia"/>
          <w:b/>
          <w:color w:val="auto"/>
          <w:sz w:val="28"/>
          <w:szCs w:val="28"/>
          <w:highlight w:val="none"/>
        </w:rPr>
        <w:t>4.峨边港区</w:t>
      </w:r>
    </w:p>
    <w:p>
      <w:pPr>
        <w:spacing w:line="360" w:lineRule="auto"/>
        <w:ind w:firstLine="480"/>
        <w:rPr>
          <w:sz w:val="28"/>
          <w:szCs w:val="28"/>
          <w:highlight w:val="none"/>
        </w:rPr>
      </w:pPr>
      <w:r>
        <w:rPr>
          <w:sz w:val="28"/>
          <w:szCs w:val="28"/>
          <w:highlight w:val="none"/>
        </w:rPr>
        <w:t>规划可利用岸线</w:t>
      </w:r>
      <w:r>
        <w:rPr>
          <w:rFonts w:hint="eastAsia"/>
          <w:sz w:val="28"/>
          <w:szCs w:val="28"/>
          <w:highlight w:val="none"/>
        </w:rPr>
        <w:t>5</w:t>
      </w:r>
      <w:r>
        <w:rPr>
          <w:sz w:val="28"/>
          <w:szCs w:val="28"/>
          <w:highlight w:val="none"/>
        </w:rPr>
        <w:t>段，总长</w:t>
      </w:r>
      <w:r>
        <w:rPr>
          <w:rFonts w:hint="eastAsia"/>
          <w:sz w:val="28"/>
          <w:szCs w:val="28"/>
          <w:highlight w:val="none"/>
        </w:rPr>
        <w:t>1</w:t>
      </w:r>
      <w:r>
        <w:rPr>
          <w:sz w:val="28"/>
          <w:szCs w:val="28"/>
          <w:highlight w:val="none"/>
        </w:rPr>
        <w:t>7</w:t>
      </w:r>
      <w:r>
        <w:rPr>
          <w:rFonts w:hint="eastAsia"/>
          <w:sz w:val="28"/>
          <w:szCs w:val="28"/>
          <w:highlight w:val="none"/>
        </w:rPr>
        <w:t>50</w:t>
      </w:r>
      <w:r>
        <w:rPr>
          <w:sz w:val="28"/>
          <w:szCs w:val="28"/>
          <w:highlight w:val="none"/>
        </w:rPr>
        <w:t>m</w:t>
      </w:r>
      <w:r>
        <w:rPr>
          <w:rFonts w:hint="eastAsia"/>
          <w:sz w:val="28"/>
          <w:szCs w:val="28"/>
          <w:highlight w:val="none"/>
        </w:rPr>
        <w:t>，均为利用；其中综合性岸线1段，兼顾货运+支持保障</w:t>
      </w:r>
      <w:r>
        <w:rPr>
          <w:sz w:val="28"/>
          <w:szCs w:val="28"/>
          <w:highlight w:val="none"/>
        </w:rPr>
        <w:t>。</w:t>
      </w:r>
      <w:r>
        <w:rPr>
          <w:rFonts w:hint="eastAsia"/>
          <w:sz w:val="28"/>
          <w:szCs w:val="28"/>
          <w:highlight w:val="none"/>
        </w:rPr>
        <w:t>规划客运岸线2段，长600m；货运岸线3段，长1</w:t>
      </w:r>
      <w:r>
        <w:rPr>
          <w:sz w:val="28"/>
          <w:szCs w:val="28"/>
          <w:highlight w:val="none"/>
        </w:rPr>
        <w:t>0</w:t>
      </w:r>
      <w:r>
        <w:rPr>
          <w:rFonts w:hint="eastAsia"/>
          <w:sz w:val="28"/>
          <w:szCs w:val="28"/>
          <w:highlight w:val="none"/>
        </w:rPr>
        <w:t>50m；支持保障岸线1段，长100m。</w:t>
      </w:r>
    </w:p>
    <w:p>
      <w:pPr>
        <w:spacing w:line="360" w:lineRule="auto"/>
        <w:ind w:firstLine="480"/>
        <w:rPr>
          <w:sz w:val="28"/>
          <w:szCs w:val="28"/>
          <w:highlight w:val="none"/>
        </w:rPr>
      </w:pPr>
      <w:r>
        <w:rPr>
          <w:b/>
          <w:sz w:val="28"/>
          <w:szCs w:val="28"/>
          <w:highlight w:val="none"/>
        </w:rPr>
        <w:t>龙眼坝岸线：</w:t>
      </w:r>
      <w:r>
        <w:rPr>
          <w:sz w:val="28"/>
          <w:szCs w:val="28"/>
          <w:highlight w:val="none"/>
        </w:rPr>
        <w:t>位于龚嘴枢纽坝址上游29.63~29.23km处大渡河左岸，岸线长度约400m。该段岸线处于连续弯道过渡顺直段，水域条件良好，河宽超过250m。陆域纵深40-200m，高程528~543m，上段已利用部分为临时砂石码头；下段现状为河边滩地，未开发利用；后方有省道S306及成昆铁路通过，集疏运方便。规划作为龚嘴库区沙湾区、峨边县、峨眉市三区市县共用的港航管理、水上搜救中心及货运岸线、船舶修造岸线。</w:t>
      </w:r>
    </w:p>
    <w:p>
      <w:pPr>
        <w:spacing w:line="360" w:lineRule="auto"/>
        <w:ind w:firstLine="480"/>
        <w:rPr>
          <w:sz w:val="28"/>
          <w:szCs w:val="28"/>
          <w:highlight w:val="none"/>
        </w:rPr>
      </w:pPr>
      <w:r>
        <w:rPr>
          <w:b/>
          <w:sz w:val="28"/>
          <w:szCs w:val="28"/>
          <w:highlight w:val="none"/>
        </w:rPr>
        <w:t>白果岸线：</w:t>
      </w:r>
      <w:r>
        <w:rPr>
          <w:sz w:val="28"/>
          <w:szCs w:val="28"/>
          <w:highlight w:val="none"/>
        </w:rPr>
        <w:t>位于龚嘴枢纽坝址上游22.95~22.60km处大渡河右岸，岸线长度约350m，建有临时砂石码头。该段岸线微弯，水域条件较好，河宽超过200m。陆域现状已初步整平，为砂石堆场，高程526.3~528.5m，纵深充足，超过100m；后方紧邻省道S309，集疏运方便。规划作为货运岸线。</w:t>
      </w:r>
    </w:p>
    <w:p>
      <w:pPr>
        <w:spacing w:line="360" w:lineRule="auto"/>
        <w:ind w:firstLine="480"/>
        <w:rPr>
          <w:sz w:val="28"/>
          <w:szCs w:val="28"/>
          <w:highlight w:val="none"/>
        </w:rPr>
      </w:pPr>
      <w:r>
        <w:rPr>
          <w:b/>
          <w:sz w:val="28"/>
          <w:szCs w:val="28"/>
          <w:highlight w:val="none"/>
        </w:rPr>
        <w:t>龚嘴岸线：</w:t>
      </w:r>
      <w:r>
        <w:rPr>
          <w:sz w:val="28"/>
          <w:szCs w:val="28"/>
          <w:highlight w:val="none"/>
        </w:rPr>
        <w:t>位于龚嘴枢纽坝址上游2.06~1.66km处大渡河右岸，岸线长度约400m。该段岸线较顺直，水域条件较好，河宽超过450m。陆域现状为河边临时砂石堆场，高程526.4~534.9m，纵深40~70m；后方紧邻省道S309，集疏运方便。规划为旅游客运岸线。</w:t>
      </w:r>
    </w:p>
    <w:p>
      <w:pPr>
        <w:pStyle w:val="2"/>
        <w:jc w:val="center"/>
        <w:rPr>
          <w:rFonts w:ascii="Times New Roman" w:cs="Times New Roman"/>
          <w:color w:val="auto"/>
          <w:highlight w:val="none"/>
        </w:rPr>
      </w:pPr>
    </w:p>
    <w:p>
      <w:pPr>
        <w:spacing w:line="360" w:lineRule="auto"/>
        <w:ind w:firstLine="480"/>
        <w:rPr>
          <w:sz w:val="28"/>
          <w:szCs w:val="28"/>
          <w:highlight w:val="none"/>
        </w:rPr>
      </w:pPr>
      <w:r>
        <w:rPr>
          <w:b/>
          <w:sz w:val="28"/>
          <w:szCs w:val="28"/>
          <w:highlight w:val="none"/>
        </w:rPr>
        <w:t>五渡</w:t>
      </w:r>
      <w:r>
        <w:rPr>
          <w:rFonts w:hint="eastAsia"/>
          <w:b/>
          <w:sz w:val="28"/>
          <w:szCs w:val="28"/>
          <w:highlight w:val="none"/>
        </w:rPr>
        <w:t>客运</w:t>
      </w:r>
      <w:r>
        <w:rPr>
          <w:b/>
          <w:sz w:val="28"/>
          <w:szCs w:val="28"/>
          <w:highlight w:val="none"/>
        </w:rPr>
        <w:t>岸线：</w:t>
      </w:r>
      <w:r>
        <w:rPr>
          <w:sz w:val="28"/>
          <w:szCs w:val="28"/>
          <w:highlight w:val="none"/>
        </w:rPr>
        <w:t>位于铜街子枢纽坝址上游25.30~25.10km处大渡河右岸，紧邻五渡镇彝族新村，岸线长度约200m。该段岸线顺直，水域条件较好，河宽超过300m。陆域平坦，高程473~476m；现状为河边滩地、耕地，未开发利用；纵深最窄处约30m、最宽处约100m。后方有乡道通过，集疏运较方便。考虑结合岸线附近乡村旅游、观光农业等旅游开发，规划作为旅游客运及渡运岸线。</w:t>
      </w:r>
    </w:p>
    <w:p>
      <w:pPr>
        <w:spacing w:line="360" w:lineRule="auto"/>
        <w:ind w:firstLine="480"/>
        <w:rPr>
          <w:sz w:val="28"/>
          <w:szCs w:val="28"/>
          <w:highlight w:val="none"/>
        </w:rPr>
      </w:pPr>
      <w:r>
        <w:rPr>
          <w:b/>
          <w:sz w:val="28"/>
          <w:szCs w:val="28"/>
          <w:highlight w:val="none"/>
        </w:rPr>
        <w:t>五渡货运岸线：</w:t>
      </w:r>
      <w:r>
        <w:rPr>
          <w:sz w:val="28"/>
          <w:szCs w:val="28"/>
          <w:highlight w:val="none"/>
        </w:rPr>
        <w:t>位于铜街子枢纽坝址上游22.</w:t>
      </w:r>
      <w:r>
        <w:rPr>
          <w:rFonts w:hint="eastAsia"/>
          <w:sz w:val="28"/>
          <w:szCs w:val="28"/>
          <w:highlight w:val="none"/>
        </w:rPr>
        <w:t>5</w:t>
      </w:r>
      <w:r>
        <w:rPr>
          <w:sz w:val="28"/>
          <w:szCs w:val="28"/>
          <w:highlight w:val="none"/>
        </w:rPr>
        <w:t>0~22.</w:t>
      </w:r>
      <w:r>
        <w:rPr>
          <w:rFonts w:hint="eastAsia"/>
          <w:sz w:val="28"/>
          <w:szCs w:val="28"/>
          <w:highlight w:val="none"/>
        </w:rPr>
        <w:t>10</w:t>
      </w:r>
      <w:r>
        <w:rPr>
          <w:sz w:val="28"/>
          <w:szCs w:val="28"/>
          <w:highlight w:val="none"/>
        </w:rPr>
        <w:t>km处大渡河右岸，紧邻五渡镇彝族新村，岸线长度约</w:t>
      </w:r>
      <w:r>
        <w:rPr>
          <w:rFonts w:hint="eastAsia"/>
          <w:sz w:val="28"/>
          <w:szCs w:val="28"/>
          <w:highlight w:val="none"/>
        </w:rPr>
        <w:t>4</w:t>
      </w:r>
      <w:r>
        <w:rPr>
          <w:sz w:val="28"/>
          <w:szCs w:val="28"/>
          <w:highlight w:val="none"/>
        </w:rPr>
        <w:t>00m。该段岸线顺直，水域条件较好，河宽约为250m。陆域现状为河边滩地，未开发利用；纵深最窄处约100m、最宽处约160m。后方有乡道通过，集疏运较方便。考虑结合库区砂石、玄武岩等建筑材料运输的需求，规划为货运岸线。</w:t>
      </w:r>
    </w:p>
    <w:p>
      <w:pPr>
        <w:spacing w:line="360" w:lineRule="auto"/>
        <w:ind w:firstLine="480"/>
        <w:rPr>
          <w:b/>
          <w:sz w:val="28"/>
          <w:szCs w:val="28"/>
          <w:highlight w:val="none"/>
        </w:rPr>
      </w:pPr>
      <w:r>
        <w:rPr>
          <w:rFonts w:hint="eastAsia"/>
          <w:b/>
          <w:sz w:val="28"/>
          <w:szCs w:val="28"/>
          <w:highlight w:val="none"/>
        </w:rPr>
        <w:t>5.</w:t>
      </w:r>
      <w:r>
        <w:rPr>
          <w:b/>
          <w:sz w:val="28"/>
          <w:szCs w:val="28"/>
          <w:highlight w:val="none"/>
        </w:rPr>
        <w:t>金口河港区</w:t>
      </w:r>
    </w:p>
    <w:p>
      <w:pPr>
        <w:spacing w:line="360" w:lineRule="auto"/>
        <w:ind w:firstLine="480"/>
        <w:rPr>
          <w:sz w:val="28"/>
          <w:szCs w:val="28"/>
          <w:highlight w:val="none"/>
        </w:rPr>
      </w:pPr>
      <w:r>
        <w:rPr>
          <w:sz w:val="28"/>
          <w:szCs w:val="28"/>
          <w:highlight w:val="none"/>
        </w:rPr>
        <w:t>规划可利用岸线1段，总长度约</w:t>
      </w:r>
      <w:r>
        <w:rPr>
          <w:rFonts w:hint="eastAsia"/>
          <w:sz w:val="28"/>
          <w:szCs w:val="28"/>
          <w:highlight w:val="none"/>
        </w:rPr>
        <w:t>2</w:t>
      </w:r>
      <w:r>
        <w:rPr>
          <w:sz w:val="28"/>
          <w:szCs w:val="28"/>
          <w:highlight w:val="none"/>
        </w:rPr>
        <w:t>00m</w:t>
      </w:r>
      <w:r>
        <w:rPr>
          <w:rFonts w:hint="eastAsia"/>
          <w:sz w:val="28"/>
          <w:szCs w:val="28"/>
          <w:highlight w:val="none"/>
        </w:rPr>
        <w:t>，为客运岸线，已全部利用，同时兼顾支持保障。</w:t>
      </w:r>
    </w:p>
    <w:p>
      <w:pPr>
        <w:spacing w:line="360" w:lineRule="auto"/>
        <w:ind w:firstLine="480"/>
        <w:rPr>
          <w:sz w:val="28"/>
          <w:szCs w:val="28"/>
          <w:highlight w:val="none"/>
        </w:rPr>
      </w:pPr>
      <w:r>
        <w:rPr>
          <w:b/>
          <w:sz w:val="28"/>
          <w:szCs w:val="28"/>
          <w:highlight w:val="none"/>
        </w:rPr>
        <w:t>大峡谷岸线：</w:t>
      </w:r>
      <w:r>
        <w:rPr>
          <w:sz w:val="28"/>
          <w:szCs w:val="28"/>
          <w:highlight w:val="none"/>
        </w:rPr>
        <w:t>位于枕头坝枢纽坝址上游1.60~1.40km处大渡河左岸，岸线长度约200m。该段岸线顺直，水域条件好，河宽超过200m。陆域现状为河边滩地，部分修建有下河梯步，未作其他开发利用，纵深约40m；后方紧邻</w:t>
      </w:r>
      <w:r>
        <w:rPr>
          <w:rFonts w:hint="eastAsia"/>
          <w:sz w:val="28"/>
          <w:szCs w:val="28"/>
          <w:highlight w:val="none"/>
        </w:rPr>
        <w:t>改国道G245</w:t>
      </w:r>
      <w:r>
        <w:rPr>
          <w:sz w:val="28"/>
          <w:szCs w:val="28"/>
          <w:highlight w:val="none"/>
        </w:rPr>
        <w:t>，集疏运方便。考虑后方有四川省大渡河大峡谷旅游风景区及金口河区港航管理需要，规划为旅游客运及港航管理岸线。</w:t>
      </w:r>
    </w:p>
    <w:p>
      <w:pPr>
        <w:pStyle w:val="2"/>
        <w:spacing w:line="360" w:lineRule="auto"/>
        <w:ind w:firstLine="561"/>
        <w:outlineLvl w:val="3"/>
        <w:rPr>
          <w:rFonts w:ascii="Times New Roman" w:cs="Times New Roman"/>
          <w:b/>
          <w:color w:val="auto"/>
          <w:sz w:val="28"/>
          <w:szCs w:val="28"/>
          <w:highlight w:val="none"/>
        </w:rPr>
      </w:pPr>
      <w:r>
        <w:rPr>
          <w:rFonts w:ascii="Times New Roman" w:cs="Times New Roman"/>
          <w:b/>
          <w:color w:val="auto"/>
          <w:sz w:val="28"/>
          <w:szCs w:val="28"/>
          <w:highlight w:val="none"/>
        </w:rPr>
        <w:t>（</w:t>
      </w:r>
      <w:r>
        <w:rPr>
          <w:rFonts w:hint="eastAsia" w:ascii="Times New Roman" w:cs="Times New Roman"/>
          <w:b/>
          <w:color w:val="auto"/>
          <w:sz w:val="28"/>
          <w:szCs w:val="28"/>
          <w:highlight w:val="none"/>
        </w:rPr>
        <w:t>三</w:t>
      </w:r>
      <w:r>
        <w:rPr>
          <w:rFonts w:ascii="Times New Roman" w:cs="Times New Roman"/>
          <w:b/>
          <w:color w:val="auto"/>
          <w:sz w:val="28"/>
          <w:szCs w:val="28"/>
          <w:highlight w:val="none"/>
        </w:rPr>
        <w:t>）</w:t>
      </w:r>
      <w:r>
        <w:rPr>
          <w:rFonts w:hint="eastAsia"/>
          <w:b/>
          <w:color w:val="auto"/>
          <w:sz w:val="28"/>
          <w:szCs w:val="28"/>
          <w:highlight w:val="none"/>
        </w:rPr>
        <w:t>沐溪河</w:t>
      </w:r>
    </w:p>
    <w:p>
      <w:pPr>
        <w:spacing w:line="360" w:lineRule="auto"/>
        <w:ind w:firstLine="480"/>
        <w:rPr>
          <w:sz w:val="28"/>
          <w:szCs w:val="28"/>
          <w:highlight w:val="none"/>
        </w:rPr>
      </w:pPr>
      <w:r>
        <w:rPr>
          <w:rFonts w:hint="eastAsia"/>
          <w:sz w:val="28"/>
          <w:szCs w:val="28"/>
          <w:highlight w:val="none"/>
        </w:rPr>
        <w:t>沐溪河段</w:t>
      </w:r>
      <w:r>
        <w:rPr>
          <w:sz w:val="28"/>
          <w:szCs w:val="28"/>
          <w:highlight w:val="none"/>
        </w:rPr>
        <w:t>规划利用岸线</w:t>
      </w:r>
      <w:r>
        <w:rPr>
          <w:rFonts w:hint="eastAsia"/>
          <w:sz w:val="28"/>
          <w:szCs w:val="28"/>
          <w:highlight w:val="none"/>
        </w:rPr>
        <w:t>3</w:t>
      </w:r>
      <w:r>
        <w:rPr>
          <w:sz w:val="28"/>
          <w:szCs w:val="28"/>
          <w:highlight w:val="none"/>
        </w:rPr>
        <w:t>段，总长度约16</w:t>
      </w:r>
      <w:r>
        <w:rPr>
          <w:rFonts w:hint="eastAsia"/>
          <w:sz w:val="28"/>
          <w:szCs w:val="28"/>
          <w:highlight w:val="none"/>
        </w:rPr>
        <w:t>00</w:t>
      </w:r>
      <w:r>
        <w:rPr>
          <w:sz w:val="28"/>
          <w:szCs w:val="28"/>
          <w:highlight w:val="none"/>
        </w:rPr>
        <w:t>m</w:t>
      </w:r>
      <w:r>
        <w:rPr>
          <w:rFonts w:hint="eastAsia"/>
          <w:sz w:val="28"/>
          <w:szCs w:val="28"/>
          <w:highlight w:val="none"/>
        </w:rPr>
        <w:t>，均未利用，除罗家坝为货运岸线外其余均为客运岸线。</w:t>
      </w:r>
    </w:p>
    <w:p>
      <w:pPr>
        <w:pStyle w:val="71"/>
        <w:numPr>
          <w:ilvl w:val="0"/>
          <w:numId w:val="1"/>
        </w:numPr>
        <w:spacing w:line="360" w:lineRule="auto"/>
        <w:ind w:firstLineChars="0"/>
        <w:outlineLvl w:val="4"/>
        <w:rPr>
          <w:b/>
          <w:sz w:val="28"/>
          <w:szCs w:val="28"/>
          <w:highlight w:val="none"/>
        </w:rPr>
      </w:pPr>
      <w:r>
        <w:rPr>
          <w:rFonts w:hint="eastAsia"/>
          <w:b/>
          <w:sz w:val="28"/>
          <w:szCs w:val="28"/>
          <w:highlight w:val="none"/>
        </w:rPr>
        <w:t>沐川</w:t>
      </w:r>
      <w:r>
        <w:rPr>
          <w:b/>
          <w:sz w:val="28"/>
          <w:szCs w:val="28"/>
          <w:highlight w:val="none"/>
        </w:rPr>
        <w:t>港区</w:t>
      </w:r>
    </w:p>
    <w:p>
      <w:pPr>
        <w:spacing w:line="360" w:lineRule="auto"/>
        <w:ind w:firstLine="480"/>
        <w:rPr>
          <w:sz w:val="28"/>
          <w:szCs w:val="28"/>
          <w:highlight w:val="none"/>
        </w:rPr>
      </w:pPr>
      <w:r>
        <w:rPr>
          <w:rFonts w:hint="eastAsia"/>
          <w:sz w:val="28"/>
          <w:szCs w:val="28"/>
          <w:highlight w:val="none"/>
        </w:rPr>
        <w:t>规划可利用岸线</w:t>
      </w:r>
      <w:r>
        <w:rPr>
          <w:sz w:val="28"/>
          <w:szCs w:val="28"/>
          <w:highlight w:val="none"/>
        </w:rPr>
        <w:t>2</w:t>
      </w:r>
      <w:r>
        <w:rPr>
          <w:rFonts w:hint="eastAsia"/>
          <w:sz w:val="28"/>
          <w:szCs w:val="28"/>
          <w:highlight w:val="none"/>
        </w:rPr>
        <w:t>段，总长度约</w:t>
      </w:r>
      <w:r>
        <w:rPr>
          <w:sz w:val="28"/>
          <w:szCs w:val="28"/>
          <w:highlight w:val="none"/>
        </w:rPr>
        <w:t>1550</w:t>
      </w:r>
      <w:r>
        <w:rPr>
          <w:rFonts w:hint="eastAsia"/>
          <w:sz w:val="28"/>
          <w:szCs w:val="28"/>
          <w:highlight w:val="none"/>
        </w:rPr>
        <w:t>m，1段为客运岸线，1段为货运岸线。</w:t>
      </w:r>
    </w:p>
    <w:p>
      <w:pPr>
        <w:pStyle w:val="2"/>
        <w:spacing w:line="360" w:lineRule="auto"/>
        <w:ind w:firstLine="562" w:firstLineChars="200"/>
        <w:rPr>
          <w:rFonts w:ascii="Times New Roman" w:cs="Times New Roman"/>
          <w:color w:val="auto"/>
          <w:sz w:val="28"/>
          <w:szCs w:val="28"/>
          <w:highlight w:val="none"/>
        </w:rPr>
      </w:pPr>
      <w:r>
        <w:rPr>
          <w:rFonts w:ascii="Times New Roman" w:cs="Times New Roman"/>
          <w:b/>
          <w:color w:val="auto"/>
          <w:kern w:val="2"/>
          <w:sz w:val="28"/>
          <w:szCs w:val="28"/>
          <w:highlight w:val="none"/>
        </w:rPr>
        <w:t>炭库古镇岸线：</w:t>
      </w:r>
      <w:r>
        <w:rPr>
          <w:rFonts w:ascii="Times New Roman" w:cs="Times New Roman"/>
          <w:color w:val="auto"/>
          <w:sz w:val="28"/>
          <w:szCs w:val="28"/>
          <w:highlight w:val="none"/>
        </w:rPr>
        <w:t>位于距沐溪河汇入岷江河口14.70~14.55km处沐溪河右岸，岸线长度约150m，目前该段河段缺水不通航，龙溪口枢纽下闸蓄水后，常年回水位将回到该处上游约2.2km处，岸线上游为炭库古镇，目前该段岸线后方为低山丘陵，拟将该段岸线规划为旅游客运岸线。</w:t>
      </w:r>
    </w:p>
    <w:p>
      <w:pPr>
        <w:spacing w:line="360" w:lineRule="auto"/>
        <w:ind w:firstLine="480"/>
        <w:rPr>
          <w:sz w:val="28"/>
          <w:szCs w:val="28"/>
          <w:highlight w:val="none"/>
        </w:rPr>
      </w:pPr>
      <w:r>
        <w:rPr>
          <w:b/>
          <w:sz w:val="28"/>
          <w:szCs w:val="28"/>
          <w:highlight w:val="none"/>
        </w:rPr>
        <w:t>罗家坝岸线：</w:t>
      </w:r>
      <w:r>
        <w:rPr>
          <w:sz w:val="28"/>
          <w:szCs w:val="28"/>
          <w:highlight w:val="none"/>
        </w:rPr>
        <w:t>位于距沐溪河汇入岷江河口14.00~12.60km处沐溪河右岸，岸线长度约1400m。该岸线处于河流两个“几”字形弯道间过渡顺直段，现状水域条件一般良好；龙溪口枢纽蓄水后，岸线处于龙溪口常年回水范围内，水深、河宽等水域条件得到改善，河宽约50m。陆域后方现状为自然岸坡，高程325~342m，成片耕地、林地分布，未做其他开发利用，纵深30~100m；后方有乡道Y009通过，沟通沐川县城、犍为，现状集疏运较方便，规划有仁沐新高速互通至作业区的10km快速通道，未来集疏运更加方便。结合沐川县罗家坝工业园区建设规划，</w:t>
      </w:r>
      <w:r>
        <w:rPr>
          <w:rFonts w:hint="eastAsia"/>
          <w:sz w:val="28"/>
          <w:szCs w:val="28"/>
          <w:highlight w:val="none"/>
        </w:rPr>
        <w:t>规划</w:t>
      </w:r>
      <w:r>
        <w:rPr>
          <w:sz w:val="28"/>
          <w:szCs w:val="28"/>
          <w:highlight w:val="none"/>
        </w:rPr>
        <w:t>为沐川、马边等大小凉山地区货运岸线。岸线上段考虑港航管理、船舶修造等公共服务功能。</w:t>
      </w:r>
    </w:p>
    <w:p>
      <w:pPr>
        <w:spacing w:line="360" w:lineRule="auto"/>
        <w:ind w:firstLine="482"/>
        <w:outlineLvl w:val="4"/>
        <w:rPr>
          <w:highlight w:val="none"/>
        </w:rPr>
      </w:pPr>
      <w:r>
        <w:rPr>
          <w:rFonts w:hint="eastAsia"/>
          <w:b/>
          <w:sz w:val="28"/>
          <w:szCs w:val="28"/>
          <w:highlight w:val="none"/>
        </w:rPr>
        <w:t>2.犍为</w:t>
      </w:r>
      <w:r>
        <w:rPr>
          <w:b/>
          <w:sz w:val="28"/>
          <w:szCs w:val="28"/>
          <w:highlight w:val="none"/>
        </w:rPr>
        <w:t>港区</w:t>
      </w:r>
    </w:p>
    <w:p>
      <w:pPr>
        <w:spacing w:line="360" w:lineRule="auto"/>
        <w:ind w:firstLine="480"/>
        <w:rPr>
          <w:highlight w:val="none"/>
        </w:rPr>
      </w:pPr>
      <w:r>
        <w:rPr>
          <w:sz w:val="28"/>
          <w:szCs w:val="28"/>
          <w:highlight w:val="none"/>
        </w:rPr>
        <w:t>结合域内沐溪河沿线铁炉乡传统村落等旅游景点分布及沿河民众出行需要，规划利用岸线</w:t>
      </w:r>
      <w:r>
        <w:rPr>
          <w:rFonts w:hint="eastAsia"/>
          <w:sz w:val="28"/>
          <w:szCs w:val="28"/>
          <w:highlight w:val="none"/>
        </w:rPr>
        <w:t>1</w:t>
      </w:r>
      <w:r>
        <w:rPr>
          <w:sz w:val="28"/>
          <w:szCs w:val="28"/>
          <w:highlight w:val="none"/>
        </w:rPr>
        <w:t>段，</w:t>
      </w:r>
      <w:r>
        <w:rPr>
          <w:rFonts w:hint="eastAsia"/>
          <w:sz w:val="28"/>
          <w:szCs w:val="28"/>
          <w:highlight w:val="none"/>
        </w:rPr>
        <w:t>即</w:t>
      </w:r>
      <w:r>
        <w:rPr>
          <w:b/>
          <w:sz w:val="28"/>
          <w:szCs w:val="28"/>
          <w:highlight w:val="none"/>
        </w:rPr>
        <w:t>铁炉安南岸线</w:t>
      </w:r>
      <w:r>
        <w:rPr>
          <w:sz w:val="28"/>
          <w:szCs w:val="28"/>
          <w:highlight w:val="none"/>
        </w:rPr>
        <w:t>，长为50m。规划为旅游码头停靠点。</w:t>
      </w:r>
    </w:p>
    <w:p>
      <w:pPr>
        <w:pStyle w:val="2"/>
        <w:spacing w:line="360" w:lineRule="auto"/>
        <w:ind w:firstLine="561"/>
        <w:outlineLvl w:val="3"/>
        <w:rPr>
          <w:rFonts w:ascii="Times New Roman" w:cs="Times New Roman"/>
          <w:b/>
          <w:color w:val="auto"/>
          <w:sz w:val="28"/>
          <w:szCs w:val="28"/>
          <w:highlight w:val="none"/>
        </w:rPr>
      </w:pPr>
      <w:r>
        <w:rPr>
          <w:rFonts w:ascii="Times New Roman" w:cs="Times New Roman"/>
          <w:b/>
          <w:color w:val="auto"/>
          <w:sz w:val="28"/>
          <w:szCs w:val="28"/>
          <w:highlight w:val="none"/>
        </w:rPr>
        <w:t>（</w:t>
      </w:r>
      <w:r>
        <w:rPr>
          <w:rFonts w:hint="eastAsia" w:ascii="Times New Roman" w:cs="Times New Roman"/>
          <w:b/>
          <w:color w:val="auto"/>
          <w:sz w:val="28"/>
          <w:szCs w:val="28"/>
          <w:highlight w:val="none"/>
        </w:rPr>
        <w:t>四</w:t>
      </w:r>
      <w:r>
        <w:rPr>
          <w:rFonts w:ascii="Times New Roman" w:cs="Times New Roman"/>
          <w:b/>
          <w:color w:val="auto"/>
          <w:sz w:val="28"/>
          <w:szCs w:val="28"/>
          <w:highlight w:val="none"/>
        </w:rPr>
        <w:t>）</w:t>
      </w:r>
      <w:r>
        <w:rPr>
          <w:rFonts w:hint="eastAsia"/>
          <w:b/>
          <w:color w:val="auto"/>
          <w:sz w:val="28"/>
          <w:szCs w:val="28"/>
          <w:highlight w:val="none"/>
        </w:rPr>
        <w:t>青衣江</w:t>
      </w:r>
    </w:p>
    <w:p>
      <w:pPr>
        <w:spacing w:line="360" w:lineRule="auto"/>
        <w:ind w:firstLine="480"/>
        <w:rPr>
          <w:sz w:val="28"/>
          <w:szCs w:val="28"/>
          <w:highlight w:val="none"/>
        </w:rPr>
      </w:pPr>
      <w:r>
        <w:rPr>
          <w:rFonts w:hint="eastAsia"/>
          <w:sz w:val="28"/>
          <w:szCs w:val="28"/>
          <w:highlight w:val="none"/>
        </w:rPr>
        <w:t>青衣江段</w:t>
      </w:r>
      <w:r>
        <w:rPr>
          <w:sz w:val="28"/>
          <w:szCs w:val="28"/>
          <w:highlight w:val="none"/>
        </w:rPr>
        <w:t>规划利用岸线</w:t>
      </w:r>
      <w:r>
        <w:rPr>
          <w:rFonts w:hint="eastAsia"/>
          <w:sz w:val="28"/>
          <w:szCs w:val="28"/>
          <w:highlight w:val="none"/>
        </w:rPr>
        <w:t>3</w:t>
      </w:r>
      <w:r>
        <w:rPr>
          <w:sz w:val="28"/>
          <w:szCs w:val="28"/>
          <w:highlight w:val="none"/>
        </w:rPr>
        <w:t>段，总长</w:t>
      </w:r>
      <w:r>
        <w:rPr>
          <w:rFonts w:hint="eastAsia"/>
          <w:sz w:val="28"/>
          <w:szCs w:val="28"/>
          <w:highlight w:val="none"/>
        </w:rPr>
        <w:t>500</w:t>
      </w:r>
      <w:r>
        <w:rPr>
          <w:sz w:val="28"/>
          <w:szCs w:val="28"/>
          <w:highlight w:val="none"/>
        </w:rPr>
        <w:t>m</w:t>
      </w:r>
      <w:r>
        <w:rPr>
          <w:rFonts w:hint="eastAsia"/>
          <w:sz w:val="28"/>
          <w:szCs w:val="28"/>
          <w:highlight w:val="none"/>
        </w:rPr>
        <w:t>，均为客运</w:t>
      </w:r>
      <w:r>
        <w:rPr>
          <w:sz w:val="28"/>
          <w:szCs w:val="28"/>
          <w:highlight w:val="none"/>
        </w:rPr>
        <w:t>岸线</w:t>
      </w:r>
      <w:r>
        <w:rPr>
          <w:rFonts w:hint="eastAsia"/>
          <w:sz w:val="28"/>
          <w:szCs w:val="28"/>
          <w:highlight w:val="none"/>
        </w:rPr>
        <w:t>，均未开发利用，其中柏杨湾岸线兼顾支持保障功能。</w:t>
      </w:r>
    </w:p>
    <w:p>
      <w:pPr>
        <w:spacing w:line="360" w:lineRule="auto"/>
        <w:ind w:firstLine="482"/>
        <w:outlineLvl w:val="4"/>
        <w:rPr>
          <w:highlight w:val="none"/>
        </w:rPr>
      </w:pPr>
      <w:r>
        <w:rPr>
          <w:rFonts w:hint="eastAsia"/>
          <w:b/>
          <w:sz w:val="28"/>
          <w:szCs w:val="28"/>
          <w:highlight w:val="none"/>
        </w:rPr>
        <w:t>1</w:t>
      </w:r>
      <w:r>
        <w:rPr>
          <w:b/>
          <w:sz w:val="28"/>
          <w:szCs w:val="28"/>
          <w:highlight w:val="none"/>
        </w:rPr>
        <w:t>.</w:t>
      </w:r>
      <w:r>
        <w:rPr>
          <w:rFonts w:hint="eastAsia"/>
          <w:b/>
          <w:sz w:val="28"/>
          <w:szCs w:val="28"/>
          <w:highlight w:val="none"/>
        </w:rPr>
        <w:t>夹江</w:t>
      </w:r>
      <w:r>
        <w:rPr>
          <w:b/>
          <w:sz w:val="28"/>
          <w:szCs w:val="28"/>
          <w:highlight w:val="none"/>
        </w:rPr>
        <w:t>港区</w:t>
      </w:r>
    </w:p>
    <w:p>
      <w:pPr>
        <w:spacing w:line="360" w:lineRule="auto"/>
        <w:ind w:firstLine="480"/>
        <w:rPr>
          <w:sz w:val="28"/>
          <w:szCs w:val="28"/>
          <w:highlight w:val="none"/>
        </w:rPr>
      </w:pPr>
      <w:r>
        <w:rPr>
          <w:rFonts w:hint="eastAsia"/>
          <w:sz w:val="28"/>
          <w:szCs w:val="28"/>
          <w:highlight w:val="none"/>
        </w:rPr>
        <w:t>青衣江段</w:t>
      </w:r>
      <w:r>
        <w:rPr>
          <w:sz w:val="28"/>
          <w:szCs w:val="28"/>
          <w:highlight w:val="none"/>
        </w:rPr>
        <w:t>规划</w:t>
      </w:r>
      <w:r>
        <w:rPr>
          <w:rFonts w:hint="eastAsia"/>
          <w:sz w:val="28"/>
          <w:szCs w:val="28"/>
          <w:highlight w:val="none"/>
        </w:rPr>
        <w:t>岸线全部位于</w:t>
      </w:r>
      <w:r>
        <w:rPr>
          <w:sz w:val="28"/>
          <w:szCs w:val="28"/>
          <w:highlight w:val="none"/>
        </w:rPr>
        <w:t>夹江港区</w:t>
      </w:r>
      <w:r>
        <w:rPr>
          <w:rFonts w:hint="eastAsia"/>
          <w:sz w:val="28"/>
          <w:szCs w:val="28"/>
          <w:highlight w:val="none"/>
        </w:rPr>
        <w:t>。</w:t>
      </w:r>
    </w:p>
    <w:p>
      <w:pPr>
        <w:spacing w:line="360" w:lineRule="auto"/>
        <w:ind w:firstLine="480"/>
        <w:rPr>
          <w:sz w:val="28"/>
          <w:szCs w:val="28"/>
          <w:highlight w:val="none"/>
        </w:rPr>
      </w:pPr>
      <w:r>
        <w:rPr>
          <w:b/>
          <w:sz w:val="28"/>
          <w:szCs w:val="28"/>
          <w:highlight w:val="none"/>
        </w:rPr>
        <w:t>佩玉泉岸线：</w:t>
      </w:r>
      <w:r>
        <w:rPr>
          <w:sz w:val="28"/>
          <w:szCs w:val="28"/>
          <w:highlight w:val="none"/>
        </w:rPr>
        <w:t>位于毛滩枢纽坝址上游8.25~8.15km处青衣江左岸，岸线长度约100m。该段岸线处于上游千佛岩枢纽尾水渠防洪堤尾部，岸线顺直，水域条件好，河宽约230m。陆域平坦，主要为河边滩地，未开发利用；后方有县道X145通过，连接夹江县城区，集疏运较方便。考虑后方东风堰水情博物馆及下游千佛岩旅游发展需求，规划作为建设千佛岩景区上旅游码头的旅游客运岸线。</w:t>
      </w:r>
    </w:p>
    <w:p>
      <w:pPr>
        <w:spacing w:line="360" w:lineRule="auto"/>
        <w:ind w:firstLine="480"/>
        <w:rPr>
          <w:sz w:val="28"/>
          <w:szCs w:val="28"/>
          <w:highlight w:val="none"/>
        </w:rPr>
      </w:pPr>
      <w:r>
        <w:rPr>
          <w:b/>
          <w:sz w:val="28"/>
          <w:szCs w:val="28"/>
          <w:highlight w:val="none"/>
        </w:rPr>
        <w:t>柏杨湾岸线：</w:t>
      </w:r>
      <w:r>
        <w:rPr>
          <w:sz w:val="28"/>
          <w:szCs w:val="28"/>
          <w:highlight w:val="none"/>
        </w:rPr>
        <w:t>位于毛滩枢纽坝址上游7.13~6.78km处青衣江左岸，岸线长度约350m。该段岸线顺直，水域条件良好，河宽超过300m，属于库位段，枯水期水深可能较小。陆域为倾斜岸坡，高程408~418m，现状为河边滩地，未开发利用，纵深约60m；后方有防洪堤、145县道通过，连接夹江县城，集疏运较方便。考虑夹江千佛岩景区发展及夹江县港航管理需求，规划作为旅游客运及港航管理岸线，拟建千佛岩景区下旅游门户码头及夹江县海事及搜救中心，同时考虑千佛岩景区旅游船舶锚泊需求。</w:t>
      </w:r>
    </w:p>
    <w:p>
      <w:pPr>
        <w:spacing w:line="360" w:lineRule="auto"/>
        <w:ind w:firstLine="480"/>
        <w:rPr>
          <w:sz w:val="28"/>
          <w:szCs w:val="28"/>
          <w:highlight w:val="none"/>
        </w:rPr>
      </w:pPr>
      <w:r>
        <w:rPr>
          <w:rFonts w:hint="eastAsia"/>
          <w:b/>
          <w:sz w:val="28"/>
          <w:szCs w:val="28"/>
          <w:highlight w:val="none"/>
        </w:rPr>
        <w:t>其他：</w:t>
      </w:r>
      <w:r>
        <w:rPr>
          <w:rFonts w:hint="eastAsia"/>
          <w:sz w:val="28"/>
          <w:szCs w:val="28"/>
          <w:highlight w:val="none"/>
        </w:rPr>
        <w:t>峨眉山月停靠点岸线位于毛滩枢纽坝址上游3</w:t>
      </w:r>
      <w:r>
        <w:rPr>
          <w:sz w:val="28"/>
          <w:szCs w:val="28"/>
          <w:highlight w:val="none"/>
        </w:rPr>
        <w:t>.4</w:t>
      </w:r>
      <w:r>
        <w:rPr>
          <w:rFonts w:hint="eastAsia"/>
          <w:sz w:val="28"/>
          <w:szCs w:val="28"/>
          <w:highlight w:val="none"/>
        </w:rPr>
        <w:t>km处青衣江左岸，</w:t>
      </w:r>
      <w:r>
        <w:rPr>
          <w:sz w:val="28"/>
          <w:szCs w:val="28"/>
          <w:highlight w:val="none"/>
        </w:rPr>
        <w:t>岸线长度均为50m。规划作为千佛岩景区旅游客运码头停靠点。</w:t>
      </w:r>
    </w:p>
    <w:p>
      <w:pPr>
        <w:pStyle w:val="2"/>
        <w:numPr>
          <w:ilvl w:val="0"/>
          <w:numId w:val="2"/>
        </w:numPr>
        <w:spacing w:line="360" w:lineRule="auto"/>
        <w:ind w:firstLine="561"/>
        <w:outlineLvl w:val="3"/>
        <w:rPr>
          <w:b/>
          <w:color w:val="auto"/>
          <w:sz w:val="28"/>
          <w:szCs w:val="28"/>
          <w:highlight w:val="none"/>
        </w:rPr>
      </w:pPr>
      <w:r>
        <w:rPr>
          <w:rFonts w:hint="eastAsia"/>
          <w:b/>
          <w:color w:val="auto"/>
          <w:sz w:val="28"/>
          <w:szCs w:val="28"/>
          <w:highlight w:val="none"/>
        </w:rPr>
        <w:t>其余通航水域</w:t>
      </w:r>
    </w:p>
    <w:p>
      <w:pPr>
        <w:pStyle w:val="2"/>
        <w:spacing w:line="360" w:lineRule="auto"/>
        <w:ind w:firstLine="562" w:firstLineChars="200"/>
        <w:rPr>
          <w:rFonts w:ascii="Times New Roman" w:cs="Times New Roman"/>
          <w:b/>
          <w:color w:val="auto"/>
          <w:sz w:val="28"/>
          <w:szCs w:val="28"/>
          <w:highlight w:val="none"/>
        </w:rPr>
      </w:pPr>
      <w:r>
        <w:rPr>
          <w:rFonts w:ascii="Times New Roman" w:cs="Times New Roman"/>
          <w:b/>
          <w:color w:val="auto"/>
          <w:sz w:val="28"/>
          <w:szCs w:val="28"/>
          <w:highlight w:val="none"/>
        </w:rPr>
        <w:t>1.马边河</w:t>
      </w:r>
    </w:p>
    <w:p>
      <w:pPr>
        <w:spacing w:line="360" w:lineRule="auto"/>
        <w:ind w:firstLine="480"/>
        <w:rPr>
          <w:sz w:val="28"/>
          <w:szCs w:val="28"/>
          <w:highlight w:val="none"/>
        </w:rPr>
      </w:pPr>
      <w:r>
        <w:rPr>
          <w:sz w:val="28"/>
          <w:szCs w:val="28"/>
          <w:highlight w:val="none"/>
        </w:rPr>
        <w:t>马边河共规划岸线</w:t>
      </w:r>
      <w:r>
        <w:rPr>
          <w:rFonts w:hint="eastAsia"/>
          <w:sz w:val="28"/>
          <w:szCs w:val="28"/>
          <w:highlight w:val="none"/>
        </w:rPr>
        <w:t>3</w:t>
      </w:r>
      <w:r>
        <w:rPr>
          <w:sz w:val="28"/>
          <w:szCs w:val="28"/>
          <w:highlight w:val="none"/>
        </w:rPr>
        <w:t>段，总长约</w:t>
      </w:r>
      <w:r>
        <w:rPr>
          <w:rFonts w:hint="eastAsia"/>
          <w:sz w:val="28"/>
          <w:szCs w:val="28"/>
          <w:highlight w:val="none"/>
        </w:rPr>
        <w:t>300</w:t>
      </w:r>
      <w:r>
        <w:rPr>
          <w:sz w:val="28"/>
          <w:szCs w:val="28"/>
          <w:highlight w:val="none"/>
        </w:rPr>
        <w:t>m，均为客运岸线</w:t>
      </w:r>
      <w:r>
        <w:rPr>
          <w:rFonts w:hint="eastAsia"/>
          <w:sz w:val="28"/>
          <w:szCs w:val="28"/>
          <w:highlight w:val="none"/>
        </w:rPr>
        <w:t>；已全部利用岸线1段，长1</w:t>
      </w:r>
      <w:r>
        <w:rPr>
          <w:sz w:val="28"/>
          <w:szCs w:val="28"/>
          <w:highlight w:val="none"/>
        </w:rPr>
        <w:t>00</w:t>
      </w:r>
      <w:r>
        <w:rPr>
          <w:rFonts w:hint="eastAsia"/>
          <w:sz w:val="28"/>
          <w:szCs w:val="28"/>
          <w:highlight w:val="none"/>
        </w:rPr>
        <w:t>m</w:t>
      </w:r>
      <w:r>
        <w:rPr>
          <w:sz w:val="28"/>
          <w:szCs w:val="28"/>
          <w:highlight w:val="none"/>
        </w:rPr>
        <w:t>。</w:t>
      </w:r>
    </w:p>
    <w:p>
      <w:pPr>
        <w:spacing w:line="360" w:lineRule="auto"/>
        <w:ind w:firstLine="480"/>
        <w:rPr>
          <w:b/>
          <w:bCs/>
          <w:sz w:val="28"/>
          <w:szCs w:val="28"/>
          <w:highlight w:val="none"/>
        </w:rPr>
      </w:pPr>
      <w:r>
        <w:rPr>
          <w:rFonts w:hint="eastAsia"/>
          <w:b/>
          <w:bCs/>
          <w:sz w:val="28"/>
          <w:szCs w:val="28"/>
          <w:highlight w:val="none"/>
        </w:rPr>
        <w:t>（1）犍为港区</w:t>
      </w:r>
    </w:p>
    <w:p>
      <w:pPr>
        <w:spacing w:line="360" w:lineRule="auto"/>
        <w:ind w:firstLine="480"/>
        <w:rPr>
          <w:sz w:val="28"/>
          <w:szCs w:val="28"/>
          <w:highlight w:val="none"/>
        </w:rPr>
      </w:pPr>
      <w:r>
        <w:rPr>
          <w:sz w:val="28"/>
          <w:szCs w:val="28"/>
          <w:highlight w:val="none"/>
        </w:rPr>
        <w:t>犍为境内规划可利用岸线</w:t>
      </w:r>
      <w:r>
        <w:rPr>
          <w:rFonts w:hint="eastAsia"/>
          <w:sz w:val="28"/>
          <w:szCs w:val="28"/>
          <w:highlight w:val="none"/>
        </w:rPr>
        <w:t>1</w:t>
      </w:r>
      <w:r>
        <w:rPr>
          <w:sz w:val="28"/>
          <w:szCs w:val="28"/>
          <w:highlight w:val="none"/>
        </w:rPr>
        <w:t>段，长度约</w:t>
      </w:r>
      <w:r>
        <w:rPr>
          <w:rFonts w:hint="eastAsia"/>
          <w:sz w:val="28"/>
          <w:szCs w:val="28"/>
          <w:highlight w:val="none"/>
        </w:rPr>
        <w:t>100</w:t>
      </w:r>
      <w:r>
        <w:rPr>
          <w:sz w:val="28"/>
          <w:szCs w:val="28"/>
          <w:highlight w:val="none"/>
        </w:rPr>
        <w:t>m，为客运岸线。</w:t>
      </w:r>
    </w:p>
    <w:p>
      <w:pPr>
        <w:spacing w:line="360" w:lineRule="auto"/>
        <w:ind w:firstLine="480"/>
        <w:rPr>
          <w:sz w:val="28"/>
          <w:szCs w:val="28"/>
          <w:highlight w:val="none"/>
        </w:rPr>
      </w:pPr>
      <w:r>
        <w:rPr>
          <w:rFonts w:hint="eastAsia"/>
          <w:b/>
          <w:sz w:val="28"/>
          <w:szCs w:val="28"/>
          <w:highlight w:val="none"/>
        </w:rPr>
        <w:t>建新</w:t>
      </w:r>
      <w:r>
        <w:rPr>
          <w:b/>
          <w:sz w:val="28"/>
          <w:szCs w:val="28"/>
          <w:highlight w:val="none"/>
        </w:rPr>
        <w:t>岸线：</w:t>
      </w:r>
      <w:r>
        <w:rPr>
          <w:sz w:val="28"/>
          <w:szCs w:val="28"/>
          <w:highlight w:val="none"/>
        </w:rPr>
        <w:t>位于距河口8.67-8.57km处马边河左岸，岸线长度约100m。该岸线顺直，水域条件好；陆域为河边滩地，未开发利用；后方有乡道通过，集疏运较方便。考虑岸线后方</w:t>
      </w:r>
      <w:r>
        <w:rPr>
          <w:rFonts w:hint="eastAsia"/>
          <w:sz w:val="28"/>
          <w:szCs w:val="28"/>
          <w:highlight w:val="none"/>
        </w:rPr>
        <w:t>为</w:t>
      </w:r>
      <w:r>
        <w:rPr>
          <w:sz w:val="28"/>
          <w:szCs w:val="28"/>
          <w:highlight w:val="none"/>
        </w:rPr>
        <w:t>清溪古镇，规划为旅游客运岸线。</w:t>
      </w:r>
    </w:p>
    <w:p>
      <w:pPr>
        <w:spacing w:line="360" w:lineRule="auto"/>
        <w:ind w:firstLine="480"/>
        <w:rPr>
          <w:b/>
          <w:bCs/>
          <w:sz w:val="28"/>
          <w:szCs w:val="28"/>
          <w:highlight w:val="none"/>
        </w:rPr>
      </w:pPr>
      <w:r>
        <w:rPr>
          <w:rFonts w:hint="eastAsia"/>
          <w:b/>
          <w:bCs/>
          <w:sz w:val="28"/>
          <w:szCs w:val="28"/>
          <w:highlight w:val="none"/>
        </w:rPr>
        <w:t>（2）沐川港区</w:t>
      </w:r>
    </w:p>
    <w:p>
      <w:pPr>
        <w:spacing w:line="360" w:lineRule="auto"/>
        <w:ind w:firstLine="480"/>
        <w:rPr>
          <w:sz w:val="28"/>
          <w:szCs w:val="28"/>
          <w:highlight w:val="none"/>
        </w:rPr>
      </w:pPr>
      <w:r>
        <w:rPr>
          <w:sz w:val="28"/>
          <w:szCs w:val="28"/>
          <w:highlight w:val="none"/>
        </w:rPr>
        <w:t>沐川境内规划可利用岸线</w:t>
      </w:r>
      <w:r>
        <w:rPr>
          <w:rFonts w:hint="eastAsia"/>
          <w:sz w:val="28"/>
          <w:szCs w:val="28"/>
          <w:highlight w:val="none"/>
        </w:rPr>
        <w:t>2</w:t>
      </w:r>
      <w:r>
        <w:rPr>
          <w:sz w:val="28"/>
          <w:szCs w:val="28"/>
          <w:highlight w:val="none"/>
        </w:rPr>
        <w:t>段，长度约</w:t>
      </w:r>
      <w:r>
        <w:rPr>
          <w:rFonts w:hint="eastAsia"/>
          <w:sz w:val="28"/>
          <w:szCs w:val="28"/>
          <w:highlight w:val="none"/>
        </w:rPr>
        <w:t>2</w:t>
      </w:r>
      <w:r>
        <w:rPr>
          <w:sz w:val="28"/>
          <w:szCs w:val="28"/>
          <w:highlight w:val="none"/>
        </w:rPr>
        <w:t>00m，均为客运岸线。依托舟坝库区旅游资源，在马边河舟坝库区规划可利用岸线</w:t>
      </w:r>
      <w:r>
        <w:rPr>
          <w:rFonts w:hint="eastAsia"/>
          <w:sz w:val="28"/>
          <w:szCs w:val="28"/>
          <w:highlight w:val="none"/>
        </w:rPr>
        <w:t>1</w:t>
      </w:r>
      <w:r>
        <w:rPr>
          <w:sz w:val="28"/>
          <w:szCs w:val="28"/>
          <w:highlight w:val="none"/>
        </w:rPr>
        <w:t>段，为舟坝岸线，长为100m</w:t>
      </w:r>
      <w:r>
        <w:rPr>
          <w:rFonts w:hint="eastAsia"/>
          <w:sz w:val="28"/>
          <w:szCs w:val="28"/>
          <w:highlight w:val="none"/>
        </w:rPr>
        <w:t>；</w:t>
      </w:r>
      <w:r>
        <w:rPr>
          <w:sz w:val="28"/>
          <w:szCs w:val="28"/>
          <w:highlight w:val="none"/>
        </w:rPr>
        <w:t>依托</w:t>
      </w:r>
      <w:r>
        <w:rPr>
          <w:rFonts w:hint="eastAsia"/>
          <w:sz w:val="28"/>
          <w:szCs w:val="28"/>
          <w:highlight w:val="none"/>
        </w:rPr>
        <w:t>黄丹</w:t>
      </w:r>
      <w:r>
        <w:rPr>
          <w:sz w:val="28"/>
          <w:szCs w:val="28"/>
          <w:highlight w:val="none"/>
        </w:rPr>
        <w:t>库区旅游资源，在马边河</w:t>
      </w:r>
      <w:r>
        <w:rPr>
          <w:rFonts w:hint="eastAsia"/>
          <w:sz w:val="28"/>
          <w:szCs w:val="28"/>
          <w:highlight w:val="none"/>
        </w:rPr>
        <w:t>黄丹</w:t>
      </w:r>
      <w:r>
        <w:rPr>
          <w:sz w:val="28"/>
          <w:szCs w:val="28"/>
          <w:highlight w:val="none"/>
        </w:rPr>
        <w:t>库区规划可利用岸线</w:t>
      </w:r>
      <w:r>
        <w:rPr>
          <w:rFonts w:hint="eastAsia"/>
          <w:sz w:val="28"/>
          <w:szCs w:val="28"/>
          <w:highlight w:val="none"/>
        </w:rPr>
        <w:t>1</w:t>
      </w:r>
      <w:r>
        <w:rPr>
          <w:sz w:val="28"/>
          <w:szCs w:val="28"/>
          <w:highlight w:val="none"/>
        </w:rPr>
        <w:t>段，为</w:t>
      </w:r>
      <w:r>
        <w:rPr>
          <w:rFonts w:hint="eastAsia"/>
          <w:sz w:val="28"/>
          <w:szCs w:val="28"/>
          <w:highlight w:val="none"/>
        </w:rPr>
        <w:t>黄丹</w:t>
      </w:r>
      <w:r>
        <w:rPr>
          <w:sz w:val="28"/>
          <w:szCs w:val="28"/>
          <w:highlight w:val="none"/>
        </w:rPr>
        <w:t>岸线，长为100m。</w:t>
      </w:r>
    </w:p>
    <w:p>
      <w:pPr>
        <w:pStyle w:val="2"/>
        <w:ind w:firstLine="560" w:firstLineChars="200"/>
        <w:rPr>
          <w:rFonts w:ascii="Times New Roman" w:cs="Times New Roman"/>
          <w:color w:val="auto"/>
          <w:kern w:val="2"/>
          <w:sz w:val="28"/>
          <w:szCs w:val="28"/>
          <w:highlight w:val="none"/>
        </w:rPr>
      </w:pPr>
      <w:r>
        <w:rPr>
          <w:rFonts w:ascii="Times New Roman" w:cs="Times New Roman"/>
          <w:color w:val="auto"/>
          <w:kern w:val="2"/>
          <w:sz w:val="28"/>
          <w:szCs w:val="28"/>
          <w:highlight w:val="none"/>
        </w:rPr>
        <w:t>另外，马边县拟在马边河官帽舟电站发展库区旅游，</w:t>
      </w:r>
      <w:r>
        <w:rPr>
          <w:rFonts w:hint="eastAsia" w:ascii="Times New Roman" w:cs="Times New Roman"/>
          <w:color w:val="auto"/>
          <w:kern w:val="2"/>
          <w:sz w:val="28"/>
          <w:szCs w:val="28"/>
          <w:highlight w:val="none"/>
        </w:rPr>
        <w:t>建议</w:t>
      </w:r>
      <w:r>
        <w:rPr>
          <w:rFonts w:ascii="Times New Roman" w:cs="Times New Roman"/>
          <w:color w:val="auto"/>
          <w:kern w:val="2"/>
          <w:sz w:val="28"/>
          <w:szCs w:val="28"/>
          <w:highlight w:val="none"/>
        </w:rPr>
        <w:t>在对官帽舟电站进行通航水域认定后</w:t>
      </w:r>
      <w:r>
        <w:rPr>
          <w:rFonts w:hint="eastAsia" w:ascii="Times New Roman" w:cs="Times New Roman"/>
          <w:color w:val="auto"/>
          <w:kern w:val="2"/>
          <w:sz w:val="28"/>
          <w:szCs w:val="28"/>
          <w:highlight w:val="none"/>
        </w:rPr>
        <w:t>选择</w:t>
      </w:r>
      <w:r>
        <w:rPr>
          <w:rFonts w:ascii="Times New Roman" w:cs="Times New Roman"/>
          <w:color w:val="auto"/>
          <w:kern w:val="2"/>
          <w:sz w:val="28"/>
          <w:szCs w:val="28"/>
          <w:highlight w:val="none"/>
        </w:rPr>
        <w:t>合适岸线布置旅游码头，岸线长度建议按</w:t>
      </w:r>
      <w:r>
        <w:rPr>
          <w:rFonts w:hint="eastAsia" w:ascii="Times New Roman" w:cs="Times New Roman"/>
          <w:color w:val="auto"/>
          <w:kern w:val="2"/>
          <w:sz w:val="28"/>
          <w:szCs w:val="28"/>
          <w:highlight w:val="none"/>
        </w:rPr>
        <w:t>1</w:t>
      </w:r>
      <w:r>
        <w:rPr>
          <w:rFonts w:ascii="Times New Roman" w:cs="Times New Roman"/>
          <w:color w:val="auto"/>
          <w:kern w:val="2"/>
          <w:sz w:val="28"/>
          <w:szCs w:val="28"/>
          <w:highlight w:val="none"/>
        </w:rPr>
        <w:t>00m考虑。</w:t>
      </w:r>
    </w:p>
    <w:p>
      <w:pPr>
        <w:pStyle w:val="2"/>
        <w:spacing w:line="360" w:lineRule="auto"/>
        <w:ind w:firstLine="562" w:firstLineChars="200"/>
        <w:rPr>
          <w:rFonts w:ascii="Times New Roman" w:cs="Times New Roman"/>
          <w:b/>
          <w:color w:val="auto"/>
          <w:sz w:val="28"/>
          <w:szCs w:val="28"/>
          <w:highlight w:val="none"/>
        </w:rPr>
      </w:pPr>
      <w:r>
        <w:rPr>
          <w:rFonts w:ascii="Times New Roman" w:cs="Times New Roman"/>
          <w:b/>
          <w:color w:val="auto"/>
          <w:sz w:val="28"/>
          <w:szCs w:val="28"/>
          <w:highlight w:val="none"/>
        </w:rPr>
        <w:t>2.茫溪河</w:t>
      </w:r>
    </w:p>
    <w:p>
      <w:pPr>
        <w:spacing w:line="360" w:lineRule="auto"/>
        <w:ind w:firstLine="480"/>
        <w:rPr>
          <w:highlight w:val="none"/>
        </w:rPr>
      </w:pPr>
      <w:r>
        <w:rPr>
          <w:sz w:val="28"/>
          <w:szCs w:val="28"/>
          <w:highlight w:val="none"/>
        </w:rPr>
        <w:t>结合五通桥境内茫溪河沿线盐卤历史文化博物馆和慈恩寺等旅游景点分布，规划可利用岸线</w:t>
      </w:r>
      <w:r>
        <w:rPr>
          <w:rFonts w:hint="eastAsia"/>
          <w:sz w:val="28"/>
          <w:szCs w:val="28"/>
          <w:highlight w:val="none"/>
        </w:rPr>
        <w:t>2</w:t>
      </w:r>
      <w:r>
        <w:rPr>
          <w:sz w:val="28"/>
          <w:szCs w:val="28"/>
          <w:highlight w:val="none"/>
        </w:rPr>
        <w:t>段，分别为</w:t>
      </w:r>
      <w:r>
        <w:rPr>
          <w:b/>
          <w:sz w:val="28"/>
          <w:szCs w:val="28"/>
          <w:highlight w:val="none"/>
        </w:rPr>
        <w:t>金岗沱岸线、盐卤博物馆岸线</w:t>
      </w:r>
      <w:r>
        <w:rPr>
          <w:sz w:val="28"/>
          <w:szCs w:val="28"/>
          <w:highlight w:val="none"/>
        </w:rPr>
        <w:t>，均长约50m，总长度约</w:t>
      </w:r>
      <w:r>
        <w:rPr>
          <w:rFonts w:hint="eastAsia"/>
          <w:sz w:val="28"/>
          <w:szCs w:val="28"/>
          <w:highlight w:val="none"/>
        </w:rPr>
        <w:t>1</w:t>
      </w:r>
      <w:r>
        <w:rPr>
          <w:sz w:val="28"/>
          <w:szCs w:val="28"/>
          <w:highlight w:val="none"/>
        </w:rPr>
        <w:t>00m，规划为旅游码头停靠点。</w:t>
      </w:r>
    </w:p>
    <w:p>
      <w:pPr>
        <w:pStyle w:val="2"/>
        <w:spacing w:line="360" w:lineRule="auto"/>
        <w:ind w:firstLine="562" w:firstLineChars="200"/>
        <w:rPr>
          <w:rFonts w:ascii="Times New Roman" w:cs="Times New Roman"/>
          <w:b/>
          <w:color w:val="auto"/>
          <w:sz w:val="28"/>
          <w:szCs w:val="28"/>
          <w:highlight w:val="none"/>
        </w:rPr>
      </w:pPr>
      <w:r>
        <w:rPr>
          <w:rFonts w:ascii="Times New Roman" w:cs="Times New Roman"/>
          <w:b/>
          <w:color w:val="auto"/>
          <w:sz w:val="28"/>
          <w:szCs w:val="28"/>
          <w:highlight w:val="none"/>
        </w:rPr>
        <w:t>3.金王寺水库</w:t>
      </w:r>
    </w:p>
    <w:p>
      <w:pPr>
        <w:spacing w:line="360" w:lineRule="auto"/>
        <w:ind w:firstLine="480"/>
        <w:rPr>
          <w:sz w:val="28"/>
          <w:szCs w:val="28"/>
          <w:highlight w:val="none"/>
        </w:rPr>
      </w:pPr>
      <w:r>
        <w:rPr>
          <w:sz w:val="28"/>
          <w:szCs w:val="28"/>
          <w:highlight w:val="none"/>
        </w:rPr>
        <w:t>依托金王寺库区旅游资源，在金王寺库区规划可利用岸线</w:t>
      </w:r>
      <w:r>
        <w:rPr>
          <w:rFonts w:hint="eastAsia"/>
          <w:sz w:val="28"/>
          <w:szCs w:val="28"/>
          <w:highlight w:val="none"/>
        </w:rPr>
        <w:t>1</w:t>
      </w:r>
      <w:r>
        <w:rPr>
          <w:sz w:val="28"/>
          <w:szCs w:val="28"/>
          <w:highlight w:val="none"/>
        </w:rPr>
        <w:t>段，</w:t>
      </w:r>
      <w:r>
        <w:rPr>
          <w:rFonts w:hint="eastAsia"/>
          <w:sz w:val="28"/>
          <w:szCs w:val="28"/>
          <w:highlight w:val="none"/>
        </w:rPr>
        <w:t>即</w:t>
      </w:r>
      <w:r>
        <w:rPr>
          <w:b/>
          <w:bCs/>
          <w:sz w:val="28"/>
          <w:szCs w:val="28"/>
          <w:highlight w:val="none"/>
        </w:rPr>
        <w:t>金王寺岸线</w:t>
      </w:r>
      <w:r>
        <w:rPr>
          <w:rFonts w:hint="eastAsia"/>
          <w:b/>
          <w:bCs/>
          <w:sz w:val="28"/>
          <w:szCs w:val="28"/>
          <w:highlight w:val="none"/>
        </w:rPr>
        <w:t>，</w:t>
      </w:r>
      <w:r>
        <w:rPr>
          <w:sz w:val="28"/>
          <w:szCs w:val="28"/>
          <w:highlight w:val="none"/>
        </w:rPr>
        <w:t>长2</w:t>
      </w:r>
      <w:r>
        <w:rPr>
          <w:rFonts w:hint="eastAsia"/>
          <w:sz w:val="28"/>
          <w:szCs w:val="28"/>
          <w:highlight w:val="none"/>
        </w:rPr>
        <w:t>0</w:t>
      </w:r>
      <w:r>
        <w:rPr>
          <w:sz w:val="28"/>
          <w:szCs w:val="28"/>
          <w:highlight w:val="none"/>
        </w:rPr>
        <w:t>0m</w:t>
      </w:r>
      <w:r>
        <w:rPr>
          <w:rFonts w:hint="eastAsia"/>
          <w:sz w:val="28"/>
          <w:szCs w:val="28"/>
          <w:highlight w:val="none"/>
        </w:rPr>
        <w:t>，</w:t>
      </w:r>
      <w:r>
        <w:rPr>
          <w:sz w:val="28"/>
          <w:szCs w:val="28"/>
          <w:highlight w:val="none"/>
        </w:rPr>
        <w:t>规划为旅游客运停靠点。</w:t>
      </w:r>
    </w:p>
    <w:p>
      <w:pPr>
        <w:pStyle w:val="2"/>
        <w:rPr>
          <w:color w:val="auto"/>
          <w:highlight w:val="none"/>
        </w:rPr>
      </w:pPr>
    </w:p>
    <w:p>
      <w:pPr>
        <w:spacing w:line="360" w:lineRule="auto"/>
        <w:ind w:firstLine="480"/>
        <w:rPr>
          <w:b/>
          <w:sz w:val="28"/>
          <w:szCs w:val="28"/>
          <w:highlight w:val="none"/>
        </w:rPr>
      </w:pPr>
    </w:p>
    <w:bookmarkEnd w:id="192"/>
    <w:bookmarkEnd w:id="193"/>
    <w:p>
      <w:pPr>
        <w:pStyle w:val="14"/>
        <w:spacing w:before="156" w:beforeLines="50" w:line="520" w:lineRule="exact"/>
        <w:jc w:val="center"/>
        <w:outlineLvl w:val="0"/>
        <w:rPr>
          <w:rFonts w:ascii="Times New Roman" w:hAnsi="Times New Roman" w:eastAsia="黑体" w:cs="Times New Roman"/>
          <w:b/>
          <w:sz w:val="32"/>
          <w:szCs w:val="32"/>
          <w:highlight w:val="none"/>
        </w:rPr>
      </w:pPr>
      <w:bookmarkStart w:id="204" w:name="_Toc39688306"/>
      <w:bookmarkStart w:id="205" w:name="_Toc77781917"/>
      <w:bookmarkStart w:id="206" w:name="_Toc67908284"/>
      <w:r>
        <w:rPr>
          <w:rFonts w:ascii="Times New Roman" w:hAnsi="Times New Roman" w:eastAsia="黑体" w:cs="Times New Roman"/>
          <w:b/>
          <w:sz w:val="32"/>
          <w:szCs w:val="32"/>
          <w:highlight w:val="none"/>
        </w:rPr>
        <w:t>第</w:t>
      </w:r>
      <w:r>
        <w:rPr>
          <w:rFonts w:hint="eastAsia" w:ascii="Times New Roman" w:hAnsi="Times New Roman" w:eastAsia="黑体" w:cs="Times New Roman"/>
          <w:b/>
          <w:sz w:val="32"/>
          <w:szCs w:val="32"/>
          <w:highlight w:val="none"/>
        </w:rPr>
        <w:t>五</w:t>
      </w:r>
      <w:r>
        <w:rPr>
          <w:rFonts w:ascii="Times New Roman" w:hAnsi="Times New Roman" w:eastAsia="黑体" w:cs="Times New Roman"/>
          <w:b/>
          <w:sz w:val="32"/>
          <w:szCs w:val="32"/>
          <w:highlight w:val="none"/>
        </w:rPr>
        <w:t>章</w:t>
      </w:r>
      <w:r>
        <w:rPr>
          <w:rFonts w:hint="eastAsia" w:ascii="Times New Roman" w:hAnsi="Times New Roman" w:eastAsia="黑体" w:cs="Times New Roman"/>
          <w:b/>
          <w:sz w:val="32"/>
          <w:szCs w:val="32"/>
          <w:highlight w:val="none"/>
        </w:rPr>
        <w:t xml:space="preserve"> </w:t>
      </w:r>
      <w:r>
        <w:rPr>
          <w:rFonts w:ascii="Times New Roman" w:hAnsi="Times New Roman" w:eastAsia="黑体" w:cs="Times New Roman"/>
          <w:b/>
          <w:sz w:val="32"/>
          <w:szCs w:val="32"/>
          <w:highlight w:val="none"/>
        </w:rPr>
        <w:t>港口总体布置规划</w:t>
      </w:r>
      <w:bookmarkEnd w:id="204"/>
      <w:bookmarkEnd w:id="205"/>
      <w:bookmarkEnd w:id="206"/>
    </w:p>
    <w:p>
      <w:pPr>
        <w:spacing w:before="156" w:beforeLines="50" w:after="156" w:afterLines="50" w:line="520" w:lineRule="exact"/>
        <w:jc w:val="center"/>
        <w:outlineLvl w:val="1"/>
        <w:rPr>
          <w:rFonts w:eastAsia="黑体"/>
          <w:b/>
          <w:sz w:val="30"/>
          <w:highlight w:val="none"/>
        </w:rPr>
      </w:pPr>
      <w:bookmarkStart w:id="207" w:name="_Toc67908285"/>
      <w:bookmarkStart w:id="208" w:name="_Toc77781918"/>
      <w:r>
        <w:rPr>
          <w:rFonts w:eastAsia="黑体"/>
          <w:b/>
          <w:sz w:val="30"/>
          <w:highlight w:val="none"/>
        </w:rPr>
        <w:t>第一节</w:t>
      </w:r>
      <w:r>
        <w:rPr>
          <w:rFonts w:hint="eastAsia" w:eastAsia="黑体"/>
          <w:b/>
          <w:sz w:val="30"/>
          <w:highlight w:val="none"/>
        </w:rPr>
        <w:t xml:space="preserve"> </w:t>
      </w:r>
      <w:r>
        <w:rPr>
          <w:rFonts w:eastAsia="黑体"/>
          <w:b/>
          <w:sz w:val="30"/>
          <w:highlight w:val="none"/>
        </w:rPr>
        <w:t>规划原则</w:t>
      </w:r>
      <w:bookmarkEnd w:id="207"/>
      <w:bookmarkEnd w:id="208"/>
    </w:p>
    <w:p>
      <w:pPr>
        <w:pStyle w:val="2"/>
        <w:spacing w:line="360" w:lineRule="auto"/>
        <w:ind w:firstLine="560" w:firstLineChars="200"/>
        <w:rPr>
          <w:rFonts w:ascii="Times New Roman" w:cs="Times New Roman"/>
          <w:color w:val="auto"/>
          <w:kern w:val="2"/>
          <w:sz w:val="28"/>
          <w:szCs w:val="28"/>
          <w:highlight w:val="none"/>
        </w:rPr>
      </w:pPr>
      <w:r>
        <w:rPr>
          <w:rFonts w:ascii="Times New Roman" w:cs="Times New Roman"/>
          <w:color w:val="auto"/>
          <w:kern w:val="2"/>
          <w:sz w:val="28"/>
          <w:szCs w:val="28"/>
          <w:highlight w:val="none"/>
        </w:rPr>
        <w:t>一、合理分工。结合港口岸线资源、后方产业布局以及集疏运系统，合理定位乐山港各港区性质，有序安排集装箱、散货、件杂等主要货种布局，实现运输货种的专业化集聚发展。</w:t>
      </w:r>
    </w:p>
    <w:p>
      <w:pPr>
        <w:pStyle w:val="2"/>
        <w:spacing w:line="360" w:lineRule="auto"/>
        <w:ind w:firstLine="560" w:firstLineChars="200"/>
        <w:rPr>
          <w:rFonts w:ascii="Times New Roman" w:cs="Times New Roman"/>
          <w:color w:val="auto"/>
          <w:kern w:val="2"/>
          <w:sz w:val="28"/>
          <w:szCs w:val="28"/>
          <w:highlight w:val="none"/>
        </w:rPr>
      </w:pPr>
      <w:r>
        <w:rPr>
          <w:rFonts w:ascii="Times New Roman" w:cs="Times New Roman"/>
          <w:color w:val="auto"/>
          <w:kern w:val="2"/>
          <w:sz w:val="28"/>
          <w:szCs w:val="28"/>
          <w:highlight w:val="none"/>
        </w:rPr>
        <w:t>二、协调发展。港口规划与土地利用规划、城市总体规划、航道发展规划、江河流域规划、综合交通运输规划相协调，相互促进、共同发展。</w:t>
      </w:r>
    </w:p>
    <w:p>
      <w:pPr>
        <w:pStyle w:val="2"/>
        <w:spacing w:line="360" w:lineRule="auto"/>
        <w:ind w:firstLine="560" w:firstLineChars="200"/>
        <w:rPr>
          <w:rFonts w:ascii="Times New Roman" w:cs="Times New Roman"/>
          <w:color w:val="auto"/>
          <w:kern w:val="2"/>
          <w:sz w:val="28"/>
          <w:szCs w:val="28"/>
          <w:highlight w:val="none"/>
        </w:rPr>
      </w:pPr>
      <w:r>
        <w:rPr>
          <w:rFonts w:ascii="Times New Roman" w:cs="Times New Roman"/>
          <w:color w:val="auto"/>
          <w:kern w:val="2"/>
          <w:sz w:val="28"/>
          <w:szCs w:val="28"/>
          <w:highlight w:val="none"/>
        </w:rPr>
        <w:t>三、港城互动：按照“港产联动、港城联动”的联动发展模式，对港口空间进行合理布局，加强港口规划与沿江产业、临港工业、物流园区的衔接，实现“港为城用、城以港兴”的发展战略。</w:t>
      </w:r>
    </w:p>
    <w:p>
      <w:pPr>
        <w:pStyle w:val="2"/>
        <w:spacing w:line="360" w:lineRule="auto"/>
        <w:ind w:firstLine="560" w:firstLineChars="200"/>
        <w:rPr>
          <w:rFonts w:ascii="Times New Roman" w:cs="Times New Roman"/>
          <w:color w:val="auto"/>
          <w:kern w:val="2"/>
          <w:sz w:val="28"/>
          <w:szCs w:val="28"/>
          <w:highlight w:val="none"/>
        </w:rPr>
      </w:pPr>
      <w:r>
        <w:rPr>
          <w:rFonts w:ascii="Times New Roman" w:cs="Times New Roman"/>
          <w:color w:val="auto"/>
          <w:kern w:val="2"/>
          <w:sz w:val="28"/>
          <w:szCs w:val="28"/>
          <w:highlight w:val="none"/>
        </w:rPr>
        <w:t>四、集疏运通畅。充分重视港区与集疏运通道以及后方集疏运体系之间的配套与协调，确保港口综合能力的发挥。</w:t>
      </w:r>
    </w:p>
    <w:p>
      <w:pPr>
        <w:pStyle w:val="2"/>
        <w:spacing w:line="360" w:lineRule="auto"/>
        <w:ind w:firstLine="560" w:firstLineChars="200"/>
        <w:rPr>
          <w:rFonts w:ascii="Times New Roman" w:cs="Times New Roman"/>
          <w:color w:val="auto"/>
          <w:kern w:val="2"/>
          <w:sz w:val="28"/>
          <w:szCs w:val="28"/>
          <w:highlight w:val="none"/>
        </w:rPr>
      </w:pPr>
      <w:r>
        <w:rPr>
          <w:rFonts w:ascii="Times New Roman" w:cs="Times New Roman"/>
          <w:color w:val="auto"/>
          <w:kern w:val="2"/>
          <w:sz w:val="28"/>
          <w:szCs w:val="28"/>
          <w:highlight w:val="none"/>
        </w:rPr>
        <w:t>五、远近结合。把近期发展重点与远期发展目标结合起来，形成便于分期发展的滚动模式，使港口发展有充分的弹性，对情况变化具有较高的适应性，以保证港口发展的连续性。</w:t>
      </w:r>
    </w:p>
    <w:p>
      <w:pPr>
        <w:spacing w:before="156" w:beforeLines="50" w:after="156" w:afterLines="50" w:line="520" w:lineRule="exact"/>
        <w:jc w:val="center"/>
        <w:outlineLvl w:val="1"/>
        <w:rPr>
          <w:rFonts w:eastAsia="黑体"/>
          <w:b/>
          <w:sz w:val="30"/>
          <w:highlight w:val="none"/>
        </w:rPr>
      </w:pPr>
      <w:bookmarkStart w:id="209" w:name="_Toc67908286"/>
      <w:bookmarkStart w:id="210" w:name="_Toc77781919"/>
      <w:r>
        <w:rPr>
          <w:rFonts w:eastAsia="黑体"/>
          <w:b/>
          <w:sz w:val="30"/>
          <w:highlight w:val="none"/>
        </w:rPr>
        <w:t>第二节</w:t>
      </w:r>
      <w:r>
        <w:rPr>
          <w:rFonts w:hint="eastAsia" w:eastAsia="黑体"/>
          <w:b/>
          <w:sz w:val="30"/>
          <w:highlight w:val="none"/>
        </w:rPr>
        <w:t xml:space="preserve"> </w:t>
      </w:r>
      <w:r>
        <w:rPr>
          <w:rFonts w:eastAsia="黑体"/>
          <w:b/>
          <w:sz w:val="30"/>
          <w:highlight w:val="none"/>
        </w:rPr>
        <w:t>港区划分</w:t>
      </w:r>
      <w:bookmarkEnd w:id="209"/>
      <w:bookmarkEnd w:id="210"/>
    </w:p>
    <w:p>
      <w:pPr>
        <w:pStyle w:val="2"/>
        <w:spacing w:line="360" w:lineRule="auto"/>
        <w:ind w:firstLine="560" w:firstLineChars="200"/>
        <w:rPr>
          <w:rFonts w:ascii="Times New Roman" w:cs="Times New Roman"/>
          <w:color w:val="auto"/>
          <w:kern w:val="2"/>
          <w:sz w:val="28"/>
          <w:szCs w:val="28"/>
          <w:highlight w:val="none"/>
        </w:rPr>
      </w:pPr>
      <w:r>
        <w:rPr>
          <w:rFonts w:ascii="Times New Roman" w:cs="Times New Roman"/>
          <w:color w:val="auto"/>
          <w:kern w:val="2"/>
          <w:sz w:val="28"/>
          <w:szCs w:val="28"/>
          <w:highlight w:val="none"/>
        </w:rPr>
        <w:t>根据港口的性质、各港区的条件，考虑城市发展及产业布局特点，结合港口功能调整，确定港口总体布局、港区划分及功能定位。</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根据码头所处的地理位置、行政区划、开发利用现状，结合港口交通条件、城市总体规划、产业布局、经济需求等特点将乐山港划分为嘉州港区、五通桥港区、犍为港区、沐川港区、沙湾港区、峨边港区、金口河港区、夹江港区共8个港区，乐山港港区布置详见附图。</w:t>
      </w:r>
    </w:p>
    <w:p>
      <w:pPr>
        <w:pStyle w:val="2"/>
        <w:spacing w:line="360" w:lineRule="auto"/>
        <w:ind w:firstLine="562" w:firstLineChars="200"/>
        <w:rPr>
          <w:rFonts w:ascii="Times New Roman" w:cs="Times New Roman"/>
          <w:b/>
          <w:bCs/>
          <w:color w:val="auto"/>
          <w:sz w:val="28"/>
          <w:szCs w:val="28"/>
          <w:highlight w:val="none"/>
        </w:rPr>
      </w:pPr>
      <w:r>
        <w:rPr>
          <w:rFonts w:ascii="Times New Roman" w:cs="Times New Roman"/>
          <w:b/>
          <w:bCs/>
          <w:color w:val="auto"/>
          <w:sz w:val="28"/>
          <w:szCs w:val="28"/>
          <w:highlight w:val="none"/>
        </w:rPr>
        <w:t>一、港区划分</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嘉州港区：岷江右岸悦来乡断颈佛至五通桥冠英镇徐坝村老木孔坝址50.2km，左岸关庙乡新桥至五通桥牛华镇易坝村老木孔坝址45.3km；大渡河左右岸沙湾坝址上游1.9km至新槽口滩左顺坝17.6km左右两岸；青衣江右岸杨湾乡牛头堰至汇合口18.2km，左岸棉竹乡刘湾至汇合口14.1km。</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五通桥港区：岷江右岸五通桥冠英镇徐坝村老木孔坝址至西坝镇曾武山17.1km，左岸五通桥牛华镇易坝村老木孔坝址至金粟镇三尖石18.8km；茫溪河观音滩至汇合口18km左右两岸。</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犍为港区：岷江右岸石溪镇石火盆至铁炉乡龙溪河河口56.8km，左岸岷东乡芭蕉湾至新民镇河尖山54.5km；沐溪河罗家坝至汇合口11.6km左右两岸；马边河板桥至坛罐窑坝址15.3km左右两岸。</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沐川港区：沐溪河炭库乡王华村至友谊村2.9km左右两岸；马边河黄丹电站下游1.1km左右两岸、黄丹电站至舟坝电站库区14.1km左右两岸、舟坝库区23km左右两岸；马边河汊河仁和码头至舟坝码头8km左右两岸；大渡河铜街子库区右岸大沙坝至水碾沟7.7km。</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沙湾港区：大渡河左岸火坝沟至冯坝90.6km，右岸水碾沟至上坝56.9km。</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峨边港区：大渡河右岸罐口至大沙坝52.1km，左岸马嘶溪码头至石板溪13.4km。</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金口河港区：大渡河右岸宝水溪河口至枕头坝大坝6.3km，左岸白熊沟至枕头坝大坝9.4km。</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夹江港区：青衣江右岸石棉渡口至牛头堰37.7km，左岸芦溪口下游400m至刘湾37.3km。</w:t>
      </w:r>
    </w:p>
    <w:p>
      <w:pPr>
        <w:pStyle w:val="2"/>
        <w:spacing w:line="360" w:lineRule="auto"/>
        <w:ind w:firstLine="562" w:firstLineChars="200"/>
        <w:rPr>
          <w:rFonts w:ascii="Times New Roman" w:cs="Times New Roman"/>
          <w:b/>
          <w:bCs/>
          <w:color w:val="auto"/>
          <w:sz w:val="28"/>
          <w:szCs w:val="28"/>
          <w:highlight w:val="none"/>
        </w:rPr>
      </w:pPr>
      <w:r>
        <w:rPr>
          <w:rFonts w:ascii="Times New Roman" w:cs="Times New Roman"/>
          <w:b/>
          <w:bCs/>
          <w:color w:val="auto"/>
          <w:sz w:val="28"/>
          <w:szCs w:val="28"/>
          <w:highlight w:val="none"/>
        </w:rPr>
        <w:t>二、港口空间发展布局</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乐山港将加强与重庆港、泸州港、宜宾港等枢纽港口的深入合作，统筹考虑城市空间结构和产业布局规划，总体上将</w:t>
      </w:r>
      <w:r>
        <w:rPr>
          <w:rFonts w:ascii="Times New Roman" w:cs="Times New Roman"/>
          <w:color w:val="auto"/>
          <w:kern w:val="2"/>
          <w:sz w:val="28"/>
          <w:szCs w:val="28"/>
          <w:highlight w:val="none"/>
        </w:rPr>
        <w:t>形成</w:t>
      </w:r>
      <w:r>
        <w:rPr>
          <w:rFonts w:hint="eastAsia" w:ascii="Times New Roman" w:cs="Times New Roman"/>
          <w:color w:val="auto"/>
          <w:kern w:val="2"/>
          <w:sz w:val="28"/>
          <w:szCs w:val="28"/>
          <w:highlight w:val="none"/>
        </w:rPr>
        <w:t>以</w:t>
      </w:r>
      <w:r>
        <w:rPr>
          <w:rFonts w:ascii="Times New Roman" w:cs="Times New Roman"/>
          <w:color w:val="auto"/>
          <w:kern w:val="2"/>
          <w:sz w:val="28"/>
          <w:szCs w:val="28"/>
          <w:highlight w:val="none"/>
        </w:rPr>
        <w:t>嘉州港区</w:t>
      </w:r>
      <w:r>
        <w:rPr>
          <w:rFonts w:hint="eastAsia" w:ascii="Times New Roman" w:cs="Times New Roman"/>
          <w:color w:val="auto"/>
          <w:kern w:val="2"/>
          <w:sz w:val="28"/>
          <w:szCs w:val="28"/>
          <w:highlight w:val="none"/>
        </w:rPr>
        <w:t>为客运核心港区，以</w:t>
      </w:r>
      <w:r>
        <w:rPr>
          <w:rFonts w:ascii="Times New Roman" w:cs="Times New Roman"/>
          <w:color w:val="auto"/>
          <w:kern w:val="2"/>
          <w:sz w:val="28"/>
          <w:szCs w:val="28"/>
          <w:highlight w:val="none"/>
        </w:rPr>
        <w:t>犍为港区为</w:t>
      </w:r>
      <w:r>
        <w:rPr>
          <w:rFonts w:hint="eastAsia" w:ascii="Times New Roman" w:cs="Times New Roman"/>
          <w:color w:val="auto"/>
          <w:kern w:val="2"/>
          <w:sz w:val="28"/>
          <w:szCs w:val="28"/>
          <w:highlight w:val="none"/>
        </w:rPr>
        <w:t>货运</w:t>
      </w:r>
      <w:r>
        <w:rPr>
          <w:rFonts w:ascii="Times New Roman" w:cs="Times New Roman"/>
          <w:color w:val="auto"/>
          <w:kern w:val="2"/>
          <w:sz w:val="28"/>
          <w:szCs w:val="28"/>
          <w:highlight w:val="none"/>
        </w:rPr>
        <w:t>核心港区，以</w:t>
      </w:r>
      <w:r>
        <w:rPr>
          <w:rFonts w:hint="eastAsia" w:ascii="Times New Roman" w:cs="Times New Roman"/>
          <w:color w:val="auto"/>
          <w:kern w:val="2"/>
          <w:sz w:val="28"/>
          <w:szCs w:val="28"/>
          <w:highlight w:val="none"/>
        </w:rPr>
        <w:t>岷江、大渡河为两带，五通桥港区、</w:t>
      </w:r>
      <w:r>
        <w:rPr>
          <w:rFonts w:ascii="Times New Roman" w:cs="Times New Roman"/>
          <w:color w:val="auto"/>
          <w:kern w:val="2"/>
          <w:sz w:val="28"/>
          <w:szCs w:val="28"/>
          <w:highlight w:val="none"/>
        </w:rPr>
        <w:t>沐川港区、沙湾港区</w:t>
      </w:r>
      <w:r>
        <w:rPr>
          <w:rFonts w:hint="eastAsia" w:ascii="Times New Roman" w:cs="Times New Roman"/>
          <w:color w:val="auto"/>
          <w:kern w:val="2"/>
          <w:sz w:val="28"/>
          <w:szCs w:val="28"/>
          <w:highlight w:val="none"/>
        </w:rPr>
        <w:t>、</w:t>
      </w:r>
      <w:r>
        <w:rPr>
          <w:rFonts w:ascii="Times New Roman" w:cs="Times New Roman"/>
          <w:color w:val="auto"/>
          <w:kern w:val="2"/>
          <w:sz w:val="28"/>
          <w:szCs w:val="28"/>
          <w:highlight w:val="none"/>
        </w:rPr>
        <w:t>峨边港区、金口河港区、夹江港区</w:t>
      </w:r>
      <w:r>
        <w:rPr>
          <w:rFonts w:hint="eastAsia" w:ascii="Times New Roman" w:cs="Times New Roman"/>
          <w:color w:val="auto"/>
          <w:kern w:val="2"/>
          <w:sz w:val="28"/>
          <w:szCs w:val="28"/>
          <w:highlight w:val="none"/>
        </w:rPr>
        <w:t>为多点形成</w:t>
      </w:r>
      <w:r>
        <w:rPr>
          <w:rFonts w:ascii="Times New Roman" w:cs="Times New Roman"/>
          <w:color w:val="auto"/>
          <w:kern w:val="2"/>
          <w:sz w:val="28"/>
          <w:szCs w:val="28"/>
          <w:highlight w:val="none"/>
        </w:rPr>
        <w:t>的“</w:t>
      </w:r>
      <w:r>
        <w:rPr>
          <w:rFonts w:hint="eastAsia"/>
          <w:color w:val="auto"/>
          <w:sz w:val="28"/>
          <w:szCs w:val="28"/>
          <w:highlight w:val="none"/>
        </w:rPr>
        <w:t>双核两带多点</w:t>
      </w:r>
      <w:r>
        <w:rPr>
          <w:rFonts w:ascii="Times New Roman" w:cs="Times New Roman"/>
          <w:color w:val="auto"/>
          <w:kern w:val="2"/>
          <w:sz w:val="28"/>
          <w:szCs w:val="28"/>
          <w:highlight w:val="none"/>
        </w:rPr>
        <w:t>”</w:t>
      </w:r>
      <w:r>
        <w:rPr>
          <w:rFonts w:ascii="Times New Roman" w:cs="Times New Roman"/>
          <w:color w:val="auto"/>
          <w:sz w:val="28"/>
          <w:szCs w:val="28"/>
          <w:highlight w:val="none"/>
        </w:rPr>
        <w:t>总体空间格局。</w:t>
      </w:r>
    </w:p>
    <w:p>
      <w:pPr>
        <w:pStyle w:val="2"/>
        <w:spacing w:line="360" w:lineRule="auto"/>
        <w:ind w:firstLine="562" w:firstLineChars="200"/>
        <w:rPr>
          <w:rFonts w:ascii="Times New Roman" w:cs="Times New Roman"/>
          <w:b/>
          <w:bCs/>
          <w:color w:val="auto"/>
          <w:sz w:val="28"/>
          <w:szCs w:val="28"/>
          <w:highlight w:val="none"/>
        </w:rPr>
      </w:pPr>
      <w:r>
        <w:rPr>
          <w:rFonts w:ascii="Times New Roman" w:cs="Times New Roman"/>
          <w:b/>
          <w:bCs/>
          <w:color w:val="auto"/>
          <w:sz w:val="28"/>
          <w:szCs w:val="28"/>
          <w:highlight w:val="none"/>
        </w:rPr>
        <w:t>三、主要运输系统布局</w:t>
      </w:r>
    </w:p>
    <w:p>
      <w:pPr>
        <w:pStyle w:val="2"/>
        <w:spacing w:line="360" w:lineRule="auto"/>
        <w:ind w:firstLine="562" w:firstLineChars="200"/>
        <w:rPr>
          <w:rFonts w:ascii="Times New Roman" w:cs="Times New Roman"/>
          <w:b/>
          <w:bCs/>
          <w:color w:val="auto"/>
          <w:sz w:val="28"/>
          <w:szCs w:val="28"/>
          <w:highlight w:val="none"/>
        </w:rPr>
      </w:pPr>
      <w:r>
        <w:rPr>
          <w:rFonts w:ascii="Times New Roman" w:cs="Times New Roman"/>
          <w:b/>
          <w:bCs/>
          <w:color w:val="auto"/>
          <w:sz w:val="28"/>
          <w:szCs w:val="28"/>
          <w:highlight w:val="none"/>
        </w:rPr>
        <w:t>（一）货运系统</w:t>
      </w:r>
    </w:p>
    <w:p>
      <w:pPr>
        <w:pStyle w:val="2"/>
        <w:spacing w:line="360" w:lineRule="auto"/>
        <w:ind w:firstLine="562" w:firstLineChars="200"/>
        <w:rPr>
          <w:rFonts w:ascii="Times New Roman" w:cs="Times New Roman"/>
          <w:b/>
          <w:bCs/>
          <w:color w:val="auto"/>
          <w:sz w:val="28"/>
          <w:szCs w:val="28"/>
          <w:highlight w:val="none"/>
        </w:rPr>
      </w:pPr>
      <w:r>
        <w:rPr>
          <w:rFonts w:ascii="Times New Roman" w:cs="Times New Roman"/>
          <w:b/>
          <w:bCs/>
          <w:color w:val="auto"/>
          <w:sz w:val="28"/>
          <w:szCs w:val="28"/>
          <w:highlight w:val="none"/>
        </w:rPr>
        <w:t>1.集装箱</w:t>
      </w:r>
    </w:p>
    <w:p>
      <w:pPr>
        <w:pStyle w:val="2"/>
        <w:spacing w:line="360" w:lineRule="auto"/>
        <w:ind w:firstLine="560" w:firstLineChars="200"/>
        <w:jc w:val="both"/>
        <w:rPr>
          <w:rFonts w:ascii="Times New Roman" w:cs="Times New Roman" w:eastAsiaTheme="minorEastAsia"/>
          <w:color w:val="auto"/>
          <w:sz w:val="28"/>
          <w:szCs w:val="28"/>
          <w:highlight w:val="none"/>
        </w:rPr>
      </w:pPr>
      <w:r>
        <w:rPr>
          <w:rFonts w:ascii="Times New Roman" w:cs="Times New Roman"/>
          <w:color w:val="auto"/>
          <w:sz w:val="28"/>
          <w:szCs w:val="28"/>
          <w:highlight w:val="none"/>
        </w:rPr>
        <w:t>原规划将嘉州港区老江坝作业区规划为乐山港集装箱主要作业区，另外在五通桥港区桥沟作业区也考虑了集装箱装卸功能，但随着乐山市城市向冠英片区发展，老江坝作业区已位于城市规划范围，不适合建设大</w:t>
      </w:r>
      <w:r>
        <w:rPr>
          <w:rFonts w:hint="eastAsia" w:ascii="Times New Roman" w:cs="Times New Roman"/>
          <w:color w:val="auto"/>
          <w:sz w:val="28"/>
          <w:szCs w:val="28"/>
          <w:highlight w:val="none"/>
        </w:rPr>
        <w:t>规模</w:t>
      </w:r>
      <w:r>
        <w:rPr>
          <w:rFonts w:ascii="Times New Roman" w:cs="Times New Roman"/>
          <w:color w:val="auto"/>
          <w:sz w:val="28"/>
          <w:szCs w:val="28"/>
          <w:highlight w:val="none"/>
        </w:rPr>
        <w:t>货运作业区，因此本次规划对乐山市岷江左右两岸踏勘后，根据老江坝的情况保留了部分集装箱货运功能外，在龙溪口坝址上游7km处的岷江左岸高石坝，布置了乐山港的大型综合作业区，用以承接老江坝原有的集装箱货运功能。</w:t>
      </w:r>
    </w:p>
    <w:p>
      <w:pPr>
        <w:pStyle w:val="2"/>
        <w:spacing w:line="360" w:lineRule="auto"/>
        <w:ind w:firstLine="560" w:firstLineChars="200"/>
        <w:jc w:val="both"/>
        <w:rPr>
          <w:rFonts w:ascii="Times New Roman" w:cs="Times New Roman"/>
          <w:bCs/>
          <w:color w:val="auto"/>
          <w:sz w:val="28"/>
          <w:szCs w:val="28"/>
          <w:highlight w:val="none"/>
        </w:rPr>
      </w:pPr>
      <w:r>
        <w:rPr>
          <w:rFonts w:ascii="Times New Roman" w:cs="Times New Roman"/>
          <w:bCs/>
          <w:color w:val="auto"/>
          <w:sz w:val="28"/>
          <w:szCs w:val="28"/>
          <w:highlight w:val="none"/>
        </w:rPr>
        <w:t>因此，未来乐山港集装箱运输将以</w:t>
      </w:r>
      <w:r>
        <w:rPr>
          <w:rFonts w:hint="eastAsia" w:ascii="Times New Roman" w:cs="Times New Roman"/>
          <w:bCs/>
          <w:color w:val="auto"/>
          <w:sz w:val="28"/>
          <w:szCs w:val="28"/>
          <w:highlight w:val="none"/>
        </w:rPr>
        <w:t>嘉州</w:t>
      </w:r>
      <w:r>
        <w:rPr>
          <w:rFonts w:ascii="Times New Roman" w:cs="Times New Roman"/>
          <w:bCs/>
          <w:color w:val="auto"/>
          <w:sz w:val="28"/>
          <w:szCs w:val="28"/>
          <w:highlight w:val="none"/>
        </w:rPr>
        <w:t>港区</w:t>
      </w:r>
      <w:r>
        <w:rPr>
          <w:rFonts w:hint="eastAsia" w:ascii="Times New Roman" w:cs="Times New Roman"/>
          <w:bCs/>
          <w:color w:val="auto"/>
          <w:sz w:val="28"/>
          <w:szCs w:val="28"/>
          <w:highlight w:val="none"/>
        </w:rPr>
        <w:t>老江坝</w:t>
      </w:r>
      <w:r>
        <w:rPr>
          <w:rFonts w:ascii="Times New Roman" w:cs="Times New Roman"/>
          <w:bCs/>
          <w:color w:val="auto"/>
          <w:sz w:val="28"/>
          <w:szCs w:val="28"/>
          <w:highlight w:val="none"/>
        </w:rPr>
        <w:t>作业区、犍为港区高石坝作业区为主。</w:t>
      </w:r>
    </w:p>
    <w:p>
      <w:pPr>
        <w:pStyle w:val="2"/>
        <w:spacing w:line="360" w:lineRule="auto"/>
        <w:ind w:firstLine="562" w:firstLineChars="200"/>
        <w:rPr>
          <w:rFonts w:ascii="Times New Roman" w:cs="Times New Roman"/>
          <w:b/>
          <w:bCs/>
          <w:color w:val="auto"/>
          <w:sz w:val="28"/>
          <w:szCs w:val="28"/>
          <w:highlight w:val="none"/>
        </w:rPr>
      </w:pPr>
      <w:r>
        <w:rPr>
          <w:rFonts w:hint="eastAsia" w:ascii="Times New Roman" w:cs="Times New Roman"/>
          <w:b/>
          <w:bCs/>
          <w:color w:val="auto"/>
          <w:sz w:val="28"/>
          <w:szCs w:val="28"/>
          <w:highlight w:val="none"/>
        </w:rPr>
        <w:t>2</w:t>
      </w:r>
      <w:r>
        <w:rPr>
          <w:rFonts w:ascii="Times New Roman" w:cs="Times New Roman"/>
          <w:b/>
          <w:bCs/>
          <w:color w:val="auto"/>
          <w:sz w:val="28"/>
          <w:szCs w:val="28"/>
          <w:highlight w:val="none"/>
        </w:rPr>
        <w:t>.重大件</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结合乐山市城市发展以及大件公路改建规划，将乐山港重大件运输调整至嘉州港区老江坝作业区。</w:t>
      </w:r>
    </w:p>
    <w:p>
      <w:pPr>
        <w:pStyle w:val="2"/>
        <w:spacing w:line="360" w:lineRule="auto"/>
        <w:ind w:firstLine="562" w:firstLineChars="200"/>
        <w:rPr>
          <w:rFonts w:ascii="Times New Roman" w:cs="Times New Roman"/>
          <w:b/>
          <w:bCs/>
          <w:color w:val="auto"/>
          <w:sz w:val="28"/>
          <w:szCs w:val="28"/>
          <w:highlight w:val="none"/>
        </w:rPr>
      </w:pPr>
      <w:r>
        <w:rPr>
          <w:rFonts w:ascii="Times New Roman" w:cs="Times New Roman"/>
          <w:b/>
          <w:bCs/>
          <w:color w:val="auto"/>
          <w:sz w:val="28"/>
          <w:szCs w:val="28"/>
          <w:highlight w:val="none"/>
        </w:rPr>
        <w:t>3.件杂货</w:t>
      </w:r>
    </w:p>
    <w:p>
      <w:pPr>
        <w:pStyle w:val="2"/>
        <w:spacing w:line="360" w:lineRule="auto"/>
        <w:ind w:firstLine="560" w:firstLineChars="200"/>
        <w:jc w:val="both"/>
        <w:rPr>
          <w:rFonts w:ascii="Times New Roman" w:cs="Times New Roman"/>
          <w:color w:val="auto"/>
          <w:sz w:val="28"/>
          <w:szCs w:val="28"/>
          <w:highlight w:val="none"/>
        </w:rPr>
      </w:pPr>
      <w:r>
        <w:rPr>
          <w:rFonts w:ascii="Times New Roman" w:cs="Times New Roman"/>
          <w:color w:val="auto"/>
          <w:sz w:val="28"/>
          <w:szCs w:val="28"/>
          <w:highlight w:val="none"/>
        </w:rPr>
        <w:t>原规划件杂运输功能主要布局在嘉州港区老江坝作业区、五通桥港区桥沟作业区，犍为港区下渡作业区、河口作业区以及沙湾港区沫东作业区。本次规划根据作业区的调整将件杂运输主要布局在嘉州港区老江坝作业区、五通桥港区桥沟作业区和犍为港区高石坝作业区。</w:t>
      </w:r>
    </w:p>
    <w:p>
      <w:pPr>
        <w:pStyle w:val="2"/>
        <w:spacing w:line="360" w:lineRule="auto"/>
        <w:ind w:firstLine="562" w:firstLineChars="200"/>
        <w:rPr>
          <w:rFonts w:ascii="Times New Roman" w:cs="Times New Roman"/>
          <w:b/>
          <w:bCs/>
          <w:color w:val="auto"/>
          <w:sz w:val="28"/>
          <w:szCs w:val="28"/>
          <w:highlight w:val="none"/>
        </w:rPr>
      </w:pPr>
      <w:r>
        <w:rPr>
          <w:rFonts w:ascii="Times New Roman" w:cs="Times New Roman"/>
          <w:b/>
          <w:bCs/>
          <w:color w:val="auto"/>
          <w:sz w:val="28"/>
          <w:szCs w:val="28"/>
          <w:highlight w:val="none"/>
        </w:rPr>
        <w:t>4.散货</w:t>
      </w:r>
    </w:p>
    <w:p>
      <w:pPr>
        <w:pStyle w:val="2"/>
        <w:spacing w:line="360" w:lineRule="auto"/>
        <w:ind w:firstLine="560" w:firstLineChars="200"/>
        <w:jc w:val="both"/>
        <w:rPr>
          <w:rFonts w:ascii="Times New Roman" w:cs="Times New Roman"/>
          <w:color w:val="auto"/>
          <w:sz w:val="28"/>
          <w:szCs w:val="28"/>
          <w:highlight w:val="none"/>
        </w:rPr>
      </w:pPr>
      <w:r>
        <w:rPr>
          <w:rFonts w:ascii="Times New Roman" w:cs="Times New Roman"/>
          <w:color w:val="auto"/>
          <w:sz w:val="28"/>
          <w:szCs w:val="28"/>
          <w:highlight w:val="none"/>
        </w:rPr>
        <w:t>原规划对乐山港的散货功能考虑得较少，主要布局在河口作业区，另外在下渡作业区、沫东作业区也考虑了散货运输功能。本次规划针对乐山港非金属矿石、矿建材料需求较大的特点，强化了散货运输功能，主要在犍为港区高石坝作业区、沐川港区罗家坝作业区、茨竹坪散货码头、沙湾港区代湾码头、峨边港区白果散货码头、五渡货运码头布局了散货运输功能。</w:t>
      </w:r>
    </w:p>
    <w:p>
      <w:pPr>
        <w:pStyle w:val="2"/>
        <w:spacing w:line="360" w:lineRule="auto"/>
        <w:ind w:firstLine="562" w:firstLineChars="200"/>
        <w:rPr>
          <w:rFonts w:ascii="Times New Roman" w:cs="Times New Roman"/>
          <w:b/>
          <w:bCs/>
          <w:color w:val="auto"/>
          <w:sz w:val="28"/>
          <w:szCs w:val="28"/>
          <w:highlight w:val="none"/>
        </w:rPr>
      </w:pPr>
      <w:r>
        <w:rPr>
          <w:rFonts w:ascii="Times New Roman" w:cs="Times New Roman"/>
          <w:b/>
          <w:bCs/>
          <w:color w:val="auto"/>
          <w:sz w:val="28"/>
          <w:szCs w:val="28"/>
          <w:highlight w:val="none"/>
        </w:rPr>
        <w:t>（二）客运系统</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原规划对乐山港的客运及旅游客运功能考虑得较少，主要考虑在嘉州港区肖坝客运作业区。本次规划结合交旅融合发展要求，并根据乐山港水上旅游资源丰富、水上旅客运输需求强烈的特点，将乐山港旅客运输系统按水上旅游集散中心、水上门户码头、旅游集散码头三个层次对乐山港旅游码头进行了规划布局。根据大佛景区的资源禀赋将老江坝作业区游轮码头（乐山港国际旅游中心）规划为乐山市水上旅游集散中心。在旅游资源丰富及水上旅游需求发展强烈的嘉州港区、犍为港区、峨边港区、金口河港区、夹江港区分别规划了</w:t>
      </w:r>
      <w:r>
        <w:rPr>
          <w:rFonts w:hint="eastAsia" w:ascii="Times New Roman" w:cs="Times New Roman"/>
          <w:color w:val="auto"/>
          <w:sz w:val="28"/>
          <w:szCs w:val="28"/>
          <w:highlight w:val="none"/>
        </w:rPr>
        <w:t>大佛客运作业区</w:t>
      </w:r>
      <w:r>
        <w:rPr>
          <w:rFonts w:ascii="Times New Roman" w:cs="Times New Roman"/>
          <w:color w:val="auto"/>
          <w:sz w:val="28"/>
          <w:szCs w:val="28"/>
          <w:highlight w:val="none"/>
        </w:rPr>
        <w:t>、龚嘴旅游客运作业区、大峡谷旅游客运码头、</w:t>
      </w:r>
      <w:r>
        <w:rPr>
          <w:rFonts w:hint="eastAsia" w:ascii="Times New Roman" w:cs="Times New Roman"/>
          <w:color w:val="auto"/>
          <w:sz w:val="28"/>
          <w:szCs w:val="28"/>
          <w:highlight w:val="none"/>
        </w:rPr>
        <w:t>千佛岩旅游客运作业区</w:t>
      </w:r>
      <w:r>
        <w:rPr>
          <w:rFonts w:ascii="Times New Roman" w:cs="Times New Roman"/>
          <w:color w:val="auto"/>
          <w:sz w:val="28"/>
          <w:szCs w:val="28"/>
          <w:highlight w:val="none"/>
        </w:rPr>
        <w:t>作为各港区的水上门户码头。再结合每个港区旅游资源分布情况，规划了高新区旅游客运码头、炭库古镇旅游客运码头、月亮湾客运码头、五渡客运码头等码头作为各港区的旅游集散码头。</w:t>
      </w:r>
    </w:p>
    <w:p>
      <w:pPr>
        <w:pStyle w:val="2"/>
        <w:spacing w:line="360" w:lineRule="auto"/>
        <w:ind w:firstLine="562" w:firstLineChars="200"/>
        <w:rPr>
          <w:rFonts w:ascii="Times New Roman" w:cs="Times New Roman"/>
          <w:b/>
          <w:bCs/>
          <w:color w:val="auto"/>
          <w:sz w:val="28"/>
          <w:szCs w:val="28"/>
          <w:highlight w:val="none"/>
        </w:rPr>
      </w:pPr>
      <w:r>
        <w:rPr>
          <w:rFonts w:ascii="Times New Roman" w:cs="Times New Roman"/>
          <w:b/>
          <w:bCs/>
          <w:color w:val="auto"/>
          <w:sz w:val="28"/>
          <w:szCs w:val="28"/>
          <w:highlight w:val="none"/>
        </w:rPr>
        <w:t>四、港区功能定位</w:t>
      </w:r>
    </w:p>
    <w:p>
      <w:pPr>
        <w:spacing w:line="360" w:lineRule="auto"/>
        <w:ind w:firstLine="560" w:firstLineChars="200"/>
        <w:rPr>
          <w:sz w:val="28"/>
          <w:szCs w:val="28"/>
          <w:highlight w:val="none"/>
        </w:rPr>
      </w:pPr>
      <w:r>
        <w:rPr>
          <w:sz w:val="28"/>
          <w:szCs w:val="28"/>
          <w:highlight w:val="none"/>
        </w:rPr>
        <w:t>嘉州港区：该港区是乐山港的</w:t>
      </w:r>
      <w:r>
        <w:rPr>
          <w:rFonts w:hint="eastAsia"/>
          <w:sz w:val="28"/>
          <w:szCs w:val="28"/>
          <w:highlight w:val="none"/>
        </w:rPr>
        <w:t>客运</w:t>
      </w:r>
      <w:r>
        <w:rPr>
          <w:sz w:val="28"/>
          <w:szCs w:val="28"/>
          <w:highlight w:val="none"/>
        </w:rPr>
        <w:t>核心港区、大件运输港区，本次规划将根据乐山市城市功能定位的调整将原规划的老江坝作业区的集装箱、件杂货、散货等部分货运功能疏解至犍为港区的高石坝作业区，保留原有的大件以及部分集装箱、件杂运输功能</w:t>
      </w:r>
      <w:r>
        <w:rPr>
          <w:rFonts w:hint="eastAsia"/>
          <w:sz w:val="28"/>
          <w:szCs w:val="28"/>
          <w:highlight w:val="none"/>
        </w:rPr>
        <w:t>并</w:t>
      </w:r>
      <w:r>
        <w:rPr>
          <w:sz w:val="28"/>
          <w:szCs w:val="28"/>
          <w:highlight w:val="none"/>
        </w:rPr>
        <w:t>兼顾铁水联运，强化旅游客运功能，为乐山港主要的客运港区、货运港区，是乐山港水上旅游集散中心，且为乐山市以及成都平原经济区等腹地的集装箱、大型设备、件杂货等提供运输中转服务。</w:t>
      </w:r>
    </w:p>
    <w:p>
      <w:pPr>
        <w:spacing w:line="360" w:lineRule="auto"/>
        <w:ind w:firstLine="480"/>
        <w:rPr>
          <w:sz w:val="28"/>
          <w:szCs w:val="28"/>
          <w:highlight w:val="none"/>
        </w:rPr>
      </w:pPr>
      <w:r>
        <w:rPr>
          <w:sz w:val="28"/>
          <w:szCs w:val="28"/>
          <w:highlight w:val="none"/>
        </w:rPr>
        <w:t>五通桥港区：</w:t>
      </w:r>
      <w:r>
        <w:rPr>
          <w:kern w:val="0"/>
          <w:sz w:val="28"/>
          <w:szCs w:val="28"/>
          <w:highlight w:val="none"/>
        </w:rPr>
        <w:t>该港区是乐山港的</w:t>
      </w:r>
      <w:r>
        <w:rPr>
          <w:rFonts w:hint="eastAsia"/>
          <w:kern w:val="0"/>
          <w:sz w:val="28"/>
          <w:szCs w:val="28"/>
          <w:highlight w:val="none"/>
        </w:rPr>
        <w:t>重要</w:t>
      </w:r>
      <w:r>
        <w:rPr>
          <w:kern w:val="0"/>
          <w:sz w:val="28"/>
          <w:szCs w:val="28"/>
          <w:highlight w:val="none"/>
        </w:rPr>
        <w:t>港区，</w:t>
      </w:r>
      <w:r>
        <w:rPr>
          <w:sz w:val="28"/>
          <w:szCs w:val="28"/>
          <w:highlight w:val="none"/>
        </w:rPr>
        <w:t>该港区交通条件便利，紧邻乐山市五通桥新产业基地，产业依托条件较好，重点发展件杂以及散货运输，主要为乐山市货物运输提供中转服务。作业区后方可配套建设仓储及物流园区、临港产业园区。</w:t>
      </w:r>
    </w:p>
    <w:p>
      <w:pPr>
        <w:spacing w:line="360" w:lineRule="auto"/>
        <w:ind w:firstLine="480"/>
        <w:rPr>
          <w:sz w:val="28"/>
          <w:szCs w:val="28"/>
          <w:highlight w:val="none"/>
        </w:rPr>
      </w:pPr>
      <w:r>
        <w:rPr>
          <w:sz w:val="28"/>
          <w:szCs w:val="28"/>
          <w:highlight w:val="none"/>
        </w:rPr>
        <w:t>犍为港区：该港区是乐山港</w:t>
      </w:r>
      <w:r>
        <w:rPr>
          <w:rFonts w:hint="eastAsia"/>
          <w:sz w:val="28"/>
          <w:szCs w:val="28"/>
          <w:highlight w:val="none"/>
        </w:rPr>
        <w:t>的货运</w:t>
      </w:r>
      <w:r>
        <w:rPr>
          <w:sz w:val="28"/>
          <w:szCs w:val="28"/>
          <w:highlight w:val="none"/>
        </w:rPr>
        <w:t>核心港区，港区建港条件优越，可建设23个以上1000吨级泊位，通过能力可达2300万t以上，后方有着较好的产业依托基础，是乐山港发展集装箱、件杂、散货铁水联运的主要港区，通过后方集疏运网络可有效服务犍为本地、乐山乃至成都平原经济区。犍为港区主要承担集装箱、</w:t>
      </w:r>
      <w:r>
        <w:rPr>
          <w:rFonts w:hint="eastAsia"/>
          <w:sz w:val="28"/>
          <w:szCs w:val="28"/>
          <w:highlight w:val="none"/>
        </w:rPr>
        <w:t>件杂货</w:t>
      </w:r>
      <w:r>
        <w:rPr>
          <w:sz w:val="28"/>
          <w:szCs w:val="28"/>
          <w:highlight w:val="none"/>
        </w:rPr>
        <w:t>、散货和旅客运输，后方配套建设仓储、物流园区，可积极发展临港保税物流和临港制造业。</w:t>
      </w:r>
    </w:p>
    <w:p>
      <w:pPr>
        <w:spacing w:line="360" w:lineRule="auto"/>
        <w:ind w:firstLine="560" w:firstLineChars="200"/>
        <w:rPr>
          <w:sz w:val="28"/>
          <w:szCs w:val="28"/>
          <w:highlight w:val="none"/>
        </w:rPr>
      </w:pPr>
      <w:r>
        <w:rPr>
          <w:sz w:val="28"/>
          <w:szCs w:val="28"/>
          <w:highlight w:val="none"/>
        </w:rPr>
        <w:t>沐川港区：</w:t>
      </w:r>
      <w:r>
        <w:rPr>
          <w:kern w:val="0"/>
          <w:sz w:val="28"/>
          <w:szCs w:val="28"/>
          <w:highlight w:val="none"/>
        </w:rPr>
        <w:t>该港区为乐山港重要港区，</w:t>
      </w:r>
      <w:r>
        <w:rPr>
          <w:sz w:val="28"/>
          <w:szCs w:val="28"/>
          <w:highlight w:val="none"/>
        </w:rPr>
        <w:t>是沐川县、马边县及毗邻大小凉山地区出海口岸，并为大渡河、马边河、龙溪河、洋溪河两岸居民出行提供短途区间出行服务。</w:t>
      </w:r>
    </w:p>
    <w:p>
      <w:pPr>
        <w:spacing w:line="360" w:lineRule="auto"/>
        <w:ind w:firstLine="560" w:firstLineChars="200"/>
        <w:rPr>
          <w:sz w:val="28"/>
          <w:szCs w:val="28"/>
          <w:highlight w:val="none"/>
        </w:rPr>
      </w:pPr>
      <w:r>
        <w:rPr>
          <w:sz w:val="28"/>
          <w:szCs w:val="28"/>
          <w:highlight w:val="none"/>
        </w:rPr>
        <w:t>沙湾港区：</w:t>
      </w:r>
      <w:r>
        <w:rPr>
          <w:kern w:val="0"/>
          <w:sz w:val="28"/>
          <w:szCs w:val="28"/>
          <w:highlight w:val="none"/>
        </w:rPr>
        <w:t>该港区</w:t>
      </w:r>
      <w:r>
        <w:rPr>
          <w:sz w:val="28"/>
          <w:szCs w:val="28"/>
          <w:highlight w:val="none"/>
        </w:rPr>
        <w:t>为乐山港</w:t>
      </w:r>
      <w:r>
        <w:rPr>
          <w:rFonts w:hint="eastAsia"/>
          <w:sz w:val="28"/>
          <w:szCs w:val="28"/>
          <w:highlight w:val="none"/>
        </w:rPr>
        <w:t>一般</w:t>
      </w:r>
      <w:r>
        <w:rPr>
          <w:sz w:val="28"/>
          <w:szCs w:val="28"/>
          <w:highlight w:val="none"/>
        </w:rPr>
        <w:t>港区，主要为大渡河龚嘴、铜街子、沙湾、安谷等大中型水电站的砂石资源和水上旅游资源开发提供运输服务，为沿江居民的短途区间运输服务。</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峨边港区：该港区为乐山港一般港区，主要为峨边县境内大渡河龚嘴电站、铜街子电站以及小河等</w:t>
      </w:r>
      <w:r>
        <w:rPr>
          <w:rFonts w:hint="eastAsia" w:ascii="Times New Roman" w:cs="Times New Roman"/>
          <w:color w:val="auto"/>
          <w:sz w:val="28"/>
          <w:szCs w:val="28"/>
          <w:highlight w:val="none"/>
        </w:rPr>
        <w:t>砂石资源和</w:t>
      </w:r>
      <w:r>
        <w:rPr>
          <w:rFonts w:ascii="Times New Roman" w:cs="Times New Roman"/>
          <w:color w:val="auto"/>
          <w:sz w:val="28"/>
          <w:szCs w:val="28"/>
          <w:highlight w:val="none"/>
        </w:rPr>
        <w:t>水上旅游资源开发提供运输服务</w:t>
      </w:r>
      <w:r>
        <w:rPr>
          <w:rFonts w:hint="eastAsia" w:ascii="Times New Roman" w:cs="Times New Roman"/>
          <w:color w:val="auto"/>
          <w:sz w:val="28"/>
          <w:szCs w:val="28"/>
          <w:highlight w:val="none"/>
        </w:rPr>
        <w:t>，为</w:t>
      </w:r>
      <w:r>
        <w:rPr>
          <w:rFonts w:ascii="Times New Roman" w:cs="Times New Roman"/>
          <w:color w:val="auto"/>
          <w:sz w:val="28"/>
          <w:szCs w:val="28"/>
          <w:highlight w:val="none"/>
        </w:rPr>
        <w:t>沿江居民的短途区间运输服务。</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金口河港区：该港区为乐山港一般港区，主要为金口河区境内枕头坝一级、二级水电站及沙坪一级、二级水电站水上旅游资源开发提供旅客运输服务和沿江居民的短途区间运输服务。</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kern w:val="2"/>
          <w:sz w:val="28"/>
          <w:szCs w:val="28"/>
          <w:highlight w:val="none"/>
        </w:rPr>
        <w:t>夹江港区：</w:t>
      </w:r>
      <w:r>
        <w:rPr>
          <w:rFonts w:ascii="Times New Roman" w:cs="Times New Roman"/>
          <w:color w:val="auto"/>
          <w:sz w:val="28"/>
          <w:szCs w:val="28"/>
          <w:highlight w:val="none"/>
        </w:rPr>
        <w:t>该港区为乐山港一般港区，主要为夹江县境内青衣江千佛岩电站、毛滩电站以及马村水库、龙华水库等水上旅游资源开发提供旅客运输服务和沿江居民的短途区间运输服务。</w:t>
      </w:r>
    </w:p>
    <w:p>
      <w:pPr>
        <w:pStyle w:val="2"/>
        <w:spacing w:line="360" w:lineRule="auto"/>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马边货源现状出口码头为金沙江屏山县新市镇货运码头，</w:t>
      </w:r>
      <w:r>
        <w:rPr>
          <w:rFonts w:hint="eastAsia" w:ascii="Times New Roman" w:cs="Times New Roman"/>
          <w:color w:val="auto"/>
          <w:sz w:val="28"/>
          <w:szCs w:val="28"/>
          <w:highlight w:val="none"/>
        </w:rPr>
        <w:t>远期规划</w:t>
      </w:r>
      <w:r>
        <w:rPr>
          <w:rFonts w:ascii="Times New Roman" w:cs="Times New Roman"/>
          <w:color w:val="auto"/>
          <w:sz w:val="28"/>
          <w:szCs w:val="28"/>
          <w:highlight w:val="none"/>
        </w:rPr>
        <w:t>主要通过与沐川港区、犍为港区以及宜宾港新市港区采用公水、铁水等多式联运，实现本地矿产资源及产品的通江达海。</w:t>
      </w:r>
    </w:p>
    <w:p>
      <w:pPr>
        <w:spacing w:before="156" w:beforeLines="50" w:after="156" w:afterLines="50" w:line="520" w:lineRule="exact"/>
        <w:jc w:val="center"/>
        <w:outlineLvl w:val="1"/>
        <w:rPr>
          <w:rFonts w:eastAsia="黑体"/>
          <w:b/>
          <w:sz w:val="30"/>
          <w:highlight w:val="none"/>
        </w:rPr>
      </w:pPr>
      <w:bookmarkStart w:id="211" w:name="_Toc67908287"/>
      <w:bookmarkStart w:id="212" w:name="_Toc77781920"/>
      <w:r>
        <w:rPr>
          <w:rFonts w:eastAsia="黑体"/>
          <w:b/>
          <w:sz w:val="30"/>
          <w:highlight w:val="none"/>
        </w:rPr>
        <w:t>第三节港区布置规划</w:t>
      </w:r>
      <w:bookmarkEnd w:id="211"/>
      <w:bookmarkEnd w:id="212"/>
    </w:p>
    <w:p>
      <w:pPr>
        <w:pStyle w:val="2"/>
        <w:spacing w:line="360" w:lineRule="auto"/>
        <w:ind w:firstLine="562" w:firstLineChars="200"/>
        <w:outlineLvl w:val="2"/>
        <w:rPr>
          <w:rFonts w:ascii="Times New Roman" w:eastAsia="黑体" w:cs="Times New Roman"/>
          <w:b/>
          <w:color w:val="auto"/>
          <w:kern w:val="2"/>
          <w:sz w:val="28"/>
          <w:szCs w:val="28"/>
          <w:highlight w:val="none"/>
        </w:rPr>
      </w:pPr>
      <w:bookmarkStart w:id="213" w:name="_Toc67908288"/>
      <w:bookmarkStart w:id="214" w:name="_Toc77781921"/>
      <w:bookmarkStart w:id="215" w:name="_Toc53089264"/>
      <w:bookmarkStart w:id="216" w:name="_Toc67924691"/>
      <w:bookmarkStart w:id="217" w:name="_Toc39690724"/>
      <w:r>
        <w:rPr>
          <w:rFonts w:ascii="Times New Roman" w:eastAsia="黑体" w:cs="Times New Roman"/>
          <w:b/>
          <w:color w:val="auto"/>
          <w:kern w:val="2"/>
          <w:sz w:val="28"/>
          <w:szCs w:val="28"/>
          <w:highlight w:val="none"/>
        </w:rPr>
        <w:t>一、规划功能</w:t>
      </w:r>
      <w:bookmarkEnd w:id="213"/>
      <w:bookmarkEnd w:id="214"/>
      <w:bookmarkEnd w:id="215"/>
      <w:bookmarkEnd w:id="216"/>
      <w:bookmarkEnd w:id="217"/>
    </w:p>
    <w:p>
      <w:pPr>
        <w:spacing w:line="408" w:lineRule="auto"/>
        <w:ind w:firstLine="500"/>
        <w:rPr>
          <w:sz w:val="28"/>
          <w:szCs w:val="28"/>
          <w:highlight w:val="none"/>
        </w:rPr>
      </w:pPr>
      <w:r>
        <w:rPr>
          <w:sz w:val="28"/>
          <w:szCs w:val="28"/>
          <w:highlight w:val="none"/>
        </w:rPr>
        <w:t>结合乐山港各港区的交通条件、运输需求以及主要货种规划等，将乐山港规划为货物运输系统和客运系统，大宗物资货运体系以犍为港区为核心，</w:t>
      </w:r>
      <w:r>
        <w:rPr>
          <w:rFonts w:hint="eastAsia"/>
          <w:sz w:val="28"/>
          <w:szCs w:val="28"/>
          <w:highlight w:val="none"/>
        </w:rPr>
        <w:t>五通桥港区、</w:t>
      </w:r>
      <w:r>
        <w:rPr>
          <w:sz w:val="28"/>
          <w:szCs w:val="28"/>
          <w:highlight w:val="none"/>
        </w:rPr>
        <w:t>沐川港区为支撑，沙湾港区</w:t>
      </w:r>
      <w:r>
        <w:rPr>
          <w:rFonts w:hint="eastAsia"/>
          <w:sz w:val="28"/>
          <w:szCs w:val="28"/>
          <w:highlight w:val="none"/>
        </w:rPr>
        <w:t>、</w:t>
      </w:r>
      <w:r>
        <w:rPr>
          <w:sz w:val="28"/>
          <w:szCs w:val="28"/>
          <w:highlight w:val="none"/>
        </w:rPr>
        <w:t>峨边港区为补充；水上旅游客运体系以嘉州港区为核心，犍为港区、沙湾港区为支撑，峨边港区、金口河港区、夹江港区等为补充。本次按两个层次进行各港区规划，第一层次为作业区，规模较大，是规划的重点；第二层次是码头，规模较小，是对各港区功能的补充。各主要作业区及码头的规划功能如下：</w:t>
      </w:r>
    </w:p>
    <w:p>
      <w:pPr>
        <w:pStyle w:val="2"/>
        <w:spacing w:line="360" w:lineRule="auto"/>
        <w:ind w:firstLine="561"/>
        <w:outlineLvl w:val="3"/>
        <w:rPr>
          <w:rFonts w:ascii="Times New Roman" w:cs="Times New Roman"/>
          <w:b/>
          <w:color w:val="auto"/>
          <w:sz w:val="28"/>
          <w:szCs w:val="28"/>
          <w:highlight w:val="none"/>
        </w:rPr>
      </w:pPr>
      <w:r>
        <w:rPr>
          <w:rFonts w:ascii="Times New Roman" w:cs="Times New Roman"/>
          <w:b/>
          <w:color w:val="auto"/>
          <w:sz w:val="28"/>
          <w:szCs w:val="28"/>
          <w:highlight w:val="none"/>
        </w:rPr>
        <w:t>（一）嘉州港区</w:t>
      </w:r>
    </w:p>
    <w:p>
      <w:pPr>
        <w:spacing w:line="360" w:lineRule="auto"/>
        <w:ind w:firstLine="562" w:firstLineChars="200"/>
        <w:rPr>
          <w:sz w:val="28"/>
          <w:szCs w:val="28"/>
          <w:highlight w:val="none"/>
        </w:rPr>
      </w:pPr>
      <w:r>
        <w:rPr>
          <w:b/>
          <w:sz w:val="28"/>
          <w:szCs w:val="28"/>
          <w:highlight w:val="none"/>
        </w:rPr>
        <w:t>1.老江坝作业区：</w:t>
      </w:r>
      <w:r>
        <w:rPr>
          <w:rFonts w:hint="eastAsia"/>
          <w:sz w:val="28"/>
          <w:szCs w:val="28"/>
          <w:highlight w:val="none"/>
        </w:rPr>
        <w:t>原</w:t>
      </w:r>
      <w:r>
        <w:rPr>
          <w:sz w:val="28"/>
          <w:szCs w:val="28"/>
          <w:highlight w:val="none"/>
        </w:rPr>
        <w:t>规划的老江坝作业区是岷江港航电的重要组成部分，规划布置了</w:t>
      </w:r>
      <w:r>
        <w:rPr>
          <w:rFonts w:hint="eastAsia"/>
          <w:sz w:val="28"/>
          <w:szCs w:val="28"/>
          <w:highlight w:val="none"/>
        </w:rPr>
        <w:t>4</w:t>
      </w:r>
      <w:r>
        <w:rPr>
          <w:sz w:val="28"/>
          <w:szCs w:val="28"/>
          <w:highlight w:val="none"/>
        </w:rPr>
        <w:t>0个集装箱泊位、</w:t>
      </w:r>
      <w:r>
        <w:rPr>
          <w:rFonts w:hint="eastAsia"/>
          <w:sz w:val="28"/>
          <w:szCs w:val="28"/>
          <w:highlight w:val="none"/>
        </w:rPr>
        <w:t>2个大件泊位、1</w:t>
      </w:r>
      <w:r>
        <w:rPr>
          <w:sz w:val="28"/>
          <w:szCs w:val="28"/>
          <w:highlight w:val="none"/>
        </w:rPr>
        <w:t>4个件杂</w:t>
      </w:r>
      <w:r>
        <w:rPr>
          <w:rFonts w:hint="eastAsia"/>
          <w:sz w:val="28"/>
          <w:szCs w:val="28"/>
          <w:highlight w:val="none"/>
        </w:rPr>
        <w:t>泊位，占用岸线长5</w:t>
      </w:r>
      <w:r>
        <w:rPr>
          <w:sz w:val="28"/>
          <w:szCs w:val="28"/>
          <w:highlight w:val="none"/>
        </w:rPr>
        <w:t>.4km，占用陆域面积</w:t>
      </w:r>
      <w:r>
        <w:rPr>
          <w:rFonts w:hint="eastAsia"/>
          <w:sz w:val="28"/>
          <w:szCs w:val="28"/>
          <w:highlight w:val="none"/>
        </w:rPr>
        <w:t>3</w:t>
      </w:r>
      <w:r>
        <w:rPr>
          <w:sz w:val="28"/>
          <w:szCs w:val="28"/>
          <w:highlight w:val="none"/>
        </w:rPr>
        <w:t>309200m</w:t>
      </w:r>
      <w:r>
        <w:rPr>
          <w:sz w:val="28"/>
          <w:szCs w:val="28"/>
          <w:highlight w:val="none"/>
          <w:vertAlign w:val="superscript"/>
        </w:rPr>
        <w:t>2</w:t>
      </w:r>
      <w:r>
        <w:rPr>
          <w:sz w:val="28"/>
          <w:szCs w:val="28"/>
          <w:highlight w:val="none"/>
        </w:rPr>
        <w:t>，</w:t>
      </w:r>
      <w:r>
        <w:rPr>
          <w:rFonts w:hint="eastAsia"/>
          <w:sz w:val="28"/>
          <w:szCs w:val="28"/>
          <w:highlight w:val="none"/>
        </w:rPr>
        <w:t>由于</w:t>
      </w:r>
      <w:r>
        <w:rPr>
          <w:sz w:val="28"/>
          <w:szCs w:val="28"/>
          <w:highlight w:val="none"/>
        </w:rPr>
        <w:t>乐山市冠英片区城市功能定位发展变化，本次规划拟将老江坝作业区部分集装箱、件杂货运功能疏解至高石坝作业区</w:t>
      </w:r>
      <w:r>
        <w:rPr>
          <w:rFonts w:hint="eastAsia"/>
          <w:sz w:val="28"/>
          <w:szCs w:val="28"/>
          <w:highlight w:val="none"/>
        </w:rPr>
        <w:t>，老江坝作业区保留大件运输及部分集装箱、件杂货运输功能，另外根据大佛旅游景区提质增效和乐山市水上应急救援能力提升的要求，在老江坝作业区规划了游轮码头和水上应急救援中心，因此本次规划老江坝作业区</w:t>
      </w:r>
      <w:r>
        <w:rPr>
          <w:sz w:val="28"/>
          <w:szCs w:val="28"/>
          <w:highlight w:val="none"/>
        </w:rPr>
        <w:t>主要包括</w:t>
      </w:r>
      <w:bookmarkStart w:id="218" w:name="_Hlk105515358"/>
      <w:r>
        <w:rPr>
          <w:sz w:val="28"/>
          <w:szCs w:val="28"/>
          <w:highlight w:val="none"/>
        </w:rPr>
        <w:t>岷江水上应急救援中心</w:t>
      </w:r>
      <w:bookmarkEnd w:id="218"/>
      <w:r>
        <w:rPr>
          <w:rFonts w:hint="eastAsia"/>
          <w:sz w:val="28"/>
          <w:szCs w:val="28"/>
          <w:highlight w:val="none"/>
        </w:rPr>
        <w:t>、</w:t>
      </w:r>
      <w:r>
        <w:rPr>
          <w:sz w:val="28"/>
          <w:szCs w:val="28"/>
          <w:highlight w:val="none"/>
        </w:rPr>
        <w:t>游轮码头和</w:t>
      </w:r>
      <w:r>
        <w:rPr>
          <w:rFonts w:hint="eastAsia"/>
          <w:sz w:val="28"/>
          <w:szCs w:val="28"/>
          <w:highlight w:val="none"/>
        </w:rPr>
        <w:t>大件</w:t>
      </w:r>
      <w:r>
        <w:rPr>
          <w:sz w:val="28"/>
          <w:szCs w:val="28"/>
          <w:highlight w:val="none"/>
        </w:rPr>
        <w:t>码头。</w:t>
      </w:r>
      <w:r>
        <w:rPr>
          <w:b/>
          <w:bCs/>
          <w:sz w:val="28"/>
          <w:szCs w:val="28"/>
          <w:highlight w:val="none"/>
        </w:rPr>
        <w:t>岷江水上应急救援中心</w:t>
      </w:r>
      <w:r>
        <w:rPr>
          <w:sz w:val="28"/>
          <w:szCs w:val="28"/>
          <w:highlight w:val="none"/>
        </w:rPr>
        <w:t>规划</w:t>
      </w:r>
      <w:r>
        <w:rPr>
          <w:rFonts w:hint="eastAsia"/>
          <w:sz w:val="28"/>
          <w:szCs w:val="28"/>
          <w:highlight w:val="none"/>
        </w:rPr>
        <w:t>为乐山市水上应急救援中心并兼顾水上服务区功能，</w:t>
      </w:r>
      <w:r>
        <w:rPr>
          <w:sz w:val="28"/>
          <w:szCs w:val="28"/>
          <w:highlight w:val="none"/>
        </w:rPr>
        <w:t>规划为二类码头，</w:t>
      </w:r>
      <w:r>
        <w:rPr>
          <w:rFonts w:hint="eastAsia"/>
          <w:sz w:val="28"/>
          <w:szCs w:val="28"/>
          <w:highlight w:val="none"/>
        </w:rPr>
        <w:t>共规划建设</w:t>
      </w:r>
      <w:r>
        <w:rPr>
          <w:sz w:val="28"/>
          <w:szCs w:val="28"/>
          <w:highlight w:val="none"/>
        </w:rPr>
        <w:t>12</w:t>
      </w:r>
      <w:r>
        <w:rPr>
          <w:rFonts w:hint="eastAsia"/>
          <w:sz w:val="28"/>
          <w:szCs w:val="28"/>
          <w:highlight w:val="none"/>
        </w:rPr>
        <w:t>个工作船泊位。</w:t>
      </w:r>
      <w:r>
        <w:rPr>
          <w:b/>
          <w:bCs/>
          <w:sz w:val="28"/>
          <w:szCs w:val="28"/>
          <w:highlight w:val="none"/>
        </w:rPr>
        <w:t>游轮码头</w:t>
      </w:r>
      <w:r>
        <w:rPr>
          <w:sz w:val="28"/>
          <w:szCs w:val="28"/>
          <w:highlight w:val="none"/>
        </w:rPr>
        <w:t>拟规划为乐山港国际旅游中心，是乐山市水上旅游集散中心，主要为乐山市丰富的水上旅游资源开发提供旅游运输服务，作为水上集散中心，除了具备客运码头的基础功能外，还应当具备旅游“六要素”功能，规划为二类码头，共规划建设20个旅游客运泊位。</w:t>
      </w:r>
      <w:r>
        <w:rPr>
          <w:rFonts w:hint="eastAsia"/>
          <w:b/>
          <w:bCs/>
          <w:sz w:val="28"/>
          <w:szCs w:val="28"/>
          <w:highlight w:val="none"/>
        </w:rPr>
        <w:t>大件</w:t>
      </w:r>
      <w:r>
        <w:rPr>
          <w:b/>
          <w:bCs/>
          <w:sz w:val="28"/>
          <w:szCs w:val="28"/>
          <w:highlight w:val="none"/>
        </w:rPr>
        <w:t>码头</w:t>
      </w:r>
      <w:r>
        <w:rPr>
          <w:sz w:val="28"/>
          <w:szCs w:val="28"/>
          <w:highlight w:val="none"/>
        </w:rPr>
        <w:t>主要为成都平原经济区等腹地的集装箱、大型设备等提供运输中转服务，规划为一类码头，规划建设1个1000吨级重大件泊位、</w:t>
      </w:r>
      <w:r>
        <w:rPr>
          <w:rFonts w:hint="eastAsia"/>
          <w:sz w:val="28"/>
          <w:szCs w:val="28"/>
          <w:highlight w:val="none"/>
        </w:rPr>
        <w:t>4个1</w:t>
      </w:r>
      <w:r>
        <w:rPr>
          <w:sz w:val="28"/>
          <w:szCs w:val="28"/>
          <w:highlight w:val="none"/>
        </w:rPr>
        <w:t>000吨级通用泊位。</w:t>
      </w:r>
    </w:p>
    <w:p>
      <w:pPr>
        <w:pStyle w:val="2"/>
        <w:spacing w:line="360" w:lineRule="auto"/>
        <w:ind w:firstLine="562" w:firstLineChars="200"/>
        <w:jc w:val="both"/>
        <w:rPr>
          <w:rFonts w:ascii="Times New Roman" w:cs="Times New Roman"/>
          <w:color w:val="auto"/>
          <w:sz w:val="28"/>
          <w:szCs w:val="28"/>
          <w:highlight w:val="none"/>
        </w:rPr>
      </w:pPr>
      <w:r>
        <w:rPr>
          <w:rFonts w:ascii="Times New Roman" w:cs="Times New Roman"/>
          <w:b/>
          <w:color w:val="auto"/>
          <w:kern w:val="2"/>
          <w:sz w:val="28"/>
          <w:szCs w:val="28"/>
          <w:highlight w:val="none"/>
        </w:rPr>
        <w:t>2.</w:t>
      </w:r>
      <w:r>
        <w:rPr>
          <w:rFonts w:hint="eastAsia" w:ascii="Times New Roman" w:cs="Times New Roman"/>
          <w:b/>
          <w:color w:val="auto"/>
          <w:kern w:val="2"/>
          <w:sz w:val="28"/>
          <w:szCs w:val="28"/>
          <w:highlight w:val="none"/>
        </w:rPr>
        <w:t>大佛客运作业区：</w:t>
      </w:r>
      <w:r>
        <w:rPr>
          <w:rFonts w:hint="eastAsia" w:ascii="Times New Roman" w:cs="Times New Roman"/>
          <w:color w:val="auto"/>
          <w:sz w:val="28"/>
          <w:szCs w:val="28"/>
          <w:highlight w:val="none"/>
        </w:rPr>
        <w:t>主要包括</w:t>
      </w:r>
      <w:r>
        <w:rPr>
          <w:rFonts w:ascii="Times New Roman" w:cs="Times New Roman"/>
          <w:color w:val="auto"/>
          <w:sz w:val="28"/>
          <w:szCs w:val="28"/>
          <w:highlight w:val="none"/>
        </w:rPr>
        <w:t>芭蕉林旅游客运码头</w:t>
      </w:r>
      <w:r>
        <w:rPr>
          <w:rFonts w:hint="eastAsia" w:ascii="Times New Roman" w:cs="Times New Roman"/>
          <w:color w:val="auto"/>
          <w:sz w:val="28"/>
          <w:szCs w:val="28"/>
          <w:highlight w:val="none"/>
        </w:rPr>
        <w:t>、</w:t>
      </w:r>
      <w:r>
        <w:rPr>
          <w:rFonts w:ascii="Times New Roman" w:cs="Times New Roman"/>
          <w:color w:val="auto"/>
          <w:sz w:val="28"/>
          <w:szCs w:val="28"/>
          <w:highlight w:val="none"/>
        </w:rPr>
        <w:t>乌尤寺旅游客运码头</w:t>
      </w:r>
      <w:r>
        <w:rPr>
          <w:rFonts w:hint="eastAsia" w:ascii="Times New Roman" w:cs="Times New Roman"/>
          <w:color w:val="auto"/>
          <w:sz w:val="28"/>
          <w:szCs w:val="28"/>
          <w:highlight w:val="none"/>
        </w:rPr>
        <w:t>、</w:t>
      </w:r>
      <w:r>
        <w:rPr>
          <w:rFonts w:ascii="Times New Roman" w:cs="Times New Roman"/>
          <w:color w:val="auto"/>
          <w:sz w:val="28"/>
          <w:szCs w:val="28"/>
          <w:highlight w:val="none"/>
        </w:rPr>
        <w:t>凤洲岛旅游客运码头</w:t>
      </w:r>
      <w:r>
        <w:rPr>
          <w:rFonts w:hint="eastAsia" w:ascii="Times New Roman" w:cs="Times New Roman"/>
          <w:color w:val="auto"/>
          <w:sz w:val="28"/>
          <w:szCs w:val="28"/>
          <w:highlight w:val="none"/>
        </w:rPr>
        <w:t>、小铜河客运停靠点。</w:t>
      </w:r>
      <w:r>
        <w:rPr>
          <w:rFonts w:ascii="Times New Roman" w:cs="Times New Roman"/>
          <w:b/>
          <w:color w:val="auto"/>
          <w:kern w:val="2"/>
          <w:sz w:val="28"/>
          <w:szCs w:val="28"/>
          <w:highlight w:val="none"/>
        </w:rPr>
        <w:t>芭蕉林旅游客运码头：</w:t>
      </w:r>
      <w:r>
        <w:rPr>
          <w:rFonts w:ascii="Times New Roman" w:cs="Times New Roman"/>
          <w:color w:val="auto"/>
          <w:sz w:val="28"/>
          <w:szCs w:val="28"/>
          <w:highlight w:val="none"/>
        </w:rPr>
        <w:t>规划为嘉州港区旅游集散码头、大佛景区北门户码头，主要为来大佛景区游览的游客提供运输服务</w:t>
      </w:r>
      <w:r>
        <w:rPr>
          <w:rFonts w:hint="eastAsia" w:ascii="Times New Roman" w:cs="Times New Roman"/>
          <w:color w:val="auto"/>
          <w:sz w:val="28"/>
          <w:szCs w:val="28"/>
          <w:highlight w:val="none"/>
        </w:rPr>
        <w:t>，</w:t>
      </w:r>
      <w:r>
        <w:rPr>
          <w:rFonts w:ascii="Times New Roman" w:cs="Times New Roman"/>
          <w:color w:val="auto"/>
          <w:sz w:val="28"/>
          <w:szCs w:val="28"/>
          <w:highlight w:val="none"/>
        </w:rPr>
        <w:t>该码头</w:t>
      </w:r>
      <w:r>
        <w:rPr>
          <w:rFonts w:hint="eastAsia" w:ascii="Times New Roman" w:cs="Times New Roman"/>
          <w:color w:val="auto"/>
          <w:sz w:val="28"/>
          <w:szCs w:val="28"/>
          <w:highlight w:val="none"/>
        </w:rPr>
        <w:t>规划</w:t>
      </w:r>
      <w:r>
        <w:rPr>
          <w:rFonts w:ascii="Times New Roman" w:cs="Times New Roman"/>
          <w:color w:val="auto"/>
          <w:sz w:val="28"/>
          <w:szCs w:val="28"/>
          <w:highlight w:val="none"/>
        </w:rPr>
        <w:t>5个旅游客运泊位。</w:t>
      </w:r>
      <w:r>
        <w:rPr>
          <w:rFonts w:ascii="Times New Roman" w:cs="Times New Roman"/>
          <w:b/>
          <w:color w:val="auto"/>
          <w:kern w:val="2"/>
          <w:sz w:val="28"/>
          <w:szCs w:val="28"/>
          <w:highlight w:val="none"/>
        </w:rPr>
        <w:t>乌尤寺旅游客运码头：</w:t>
      </w:r>
      <w:r>
        <w:rPr>
          <w:rFonts w:ascii="Times New Roman" w:cs="Times New Roman"/>
          <w:color w:val="auto"/>
          <w:sz w:val="28"/>
          <w:szCs w:val="28"/>
          <w:highlight w:val="none"/>
        </w:rPr>
        <w:t>规划为嘉州港区旅游集散码头、大佛景区南门户码头，主要为来大佛景区游览及休闲游玩的游客提供运输服务</w:t>
      </w:r>
      <w:r>
        <w:rPr>
          <w:rFonts w:hint="eastAsia" w:ascii="Times New Roman" w:cs="Times New Roman"/>
          <w:color w:val="auto"/>
          <w:sz w:val="28"/>
          <w:szCs w:val="28"/>
          <w:highlight w:val="none"/>
        </w:rPr>
        <w:t>，</w:t>
      </w:r>
      <w:r>
        <w:rPr>
          <w:rFonts w:ascii="Times New Roman" w:cs="Times New Roman"/>
          <w:color w:val="auto"/>
          <w:sz w:val="28"/>
          <w:szCs w:val="28"/>
          <w:highlight w:val="none"/>
        </w:rPr>
        <w:t>共规划5个旅游客运泊位。</w:t>
      </w:r>
      <w:r>
        <w:rPr>
          <w:rFonts w:ascii="Times New Roman" w:cs="Times New Roman"/>
          <w:b/>
          <w:color w:val="auto"/>
          <w:kern w:val="2"/>
          <w:sz w:val="28"/>
          <w:szCs w:val="28"/>
          <w:highlight w:val="none"/>
        </w:rPr>
        <w:t>凤洲岛旅游客运码头：</w:t>
      </w:r>
      <w:r>
        <w:rPr>
          <w:rFonts w:ascii="Times New Roman" w:cs="Times New Roman"/>
          <w:color w:val="auto"/>
          <w:sz w:val="28"/>
          <w:szCs w:val="28"/>
          <w:highlight w:val="none"/>
        </w:rPr>
        <w:t>规划为嘉州港区旅游集散码头，凤洲岛上有拜佛台，该码头主要为来拜佛台及凤洲岛休闲旅游的游客提供运输服务，共规划建设4个旅游客运泊位。</w:t>
      </w:r>
      <w:r>
        <w:rPr>
          <w:rFonts w:hint="eastAsia" w:ascii="Times New Roman" w:cs="Times New Roman"/>
          <w:color w:val="auto"/>
          <w:sz w:val="28"/>
          <w:szCs w:val="28"/>
          <w:highlight w:val="none"/>
        </w:rPr>
        <w:t>以上三个集散码头均</w:t>
      </w:r>
      <w:r>
        <w:rPr>
          <w:rFonts w:ascii="Times New Roman" w:cs="Times New Roman"/>
          <w:color w:val="auto"/>
          <w:sz w:val="28"/>
          <w:szCs w:val="28"/>
          <w:highlight w:val="none"/>
        </w:rPr>
        <w:t>规划为二类码头。另外</w:t>
      </w:r>
      <w:r>
        <w:rPr>
          <w:rFonts w:hint="eastAsia" w:ascii="Times New Roman" w:cs="Times New Roman"/>
          <w:color w:val="auto"/>
          <w:sz w:val="28"/>
          <w:szCs w:val="28"/>
          <w:highlight w:val="none"/>
        </w:rPr>
        <w:t>大佛客运作业区</w:t>
      </w:r>
      <w:r>
        <w:rPr>
          <w:rFonts w:ascii="Times New Roman" w:cs="Times New Roman"/>
          <w:color w:val="auto"/>
          <w:sz w:val="28"/>
          <w:szCs w:val="28"/>
          <w:highlight w:val="none"/>
        </w:rPr>
        <w:t>还规划有小铜河客运停靠点，规划建设1个客运泊位。</w:t>
      </w:r>
    </w:p>
    <w:p>
      <w:pPr>
        <w:pStyle w:val="2"/>
        <w:spacing w:line="360" w:lineRule="auto"/>
        <w:ind w:firstLine="560" w:firstLineChars="200"/>
        <w:jc w:val="both"/>
        <w:rPr>
          <w:rFonts w:ascii="Times New Roman" w:cs="Times New Roman"/>
          <w:b/>
          <w:color w:val="auto"/>
          <w:sz w:val="28"/>
          <w:szCs w:val="28"/>
          <w:highlight w:val="none"/>
        </w:rPr>
      </w:pPr>
      <w:r>
        <w:rPr>
          <w:rFonts w:ascii="Times New Roman" w:cs="Times New Roman"/>
          <w:color w:val="auto"/>
          <w:sz w:val="28"/>
          <w:szCs w:val="28"/>
          <w:highlight w:val="none"/>
        </w:rPr>
        <w:t>3.</w:t>
      </w:r>
      <w:r>
        <w:rPr>
          <w:rFonts w:ascii="Times New Roman" w:cs="Times New Roman"/>
          <w:b/>
          <w:color w:val="auto"/>
          <w:sz w:val="28"/>
          <w:szCs w:val="28"/>
          <w:highlight w:val="none"/>
        </w:rPr>
        <w:t>高新区旅游客运码头：</w:t>
      </w:r>
      <w:r>
        <w:rPr>
          <w:rFonts w:ascii="Times New Roman" w:cs="Times New Roman"/>
          <w:color w:val="auto"/>
          <w:sz w:val="28"/>
          <w:szCs w:val="28"/>
          <w:highlight w:val="none"/>
        </w:rPr>
        <w:t>规划为嘉州港区旅游集散码头，主要为来大佛景区游览及高新区休闲游玩的游客提供运输服务，规划与大佛景区开通旅游航线，规划为二类码头。规划建设2个旅游客运泊位。</w:t>
      </w:r>
    </w:p>
    <w:p>
      <w:pPr>
        <w:pStyle w:val="2"/>
        <w:spacing w:line="360" w:lineRule="auto"/>
        <w:ind w:firstLine="561"/>
        <w:outlineLvl w:val="3"/>
        <w:rPr>
          <w:rFonts w:ascii="Times New Roman" w:cs="Times New Roman"/>
          <w:b/>
          <w:color w:val="auto"/>
          <w:sz w:val="28"/>
          <w:szCs w:val="28"/>
          <w:highlight w:val="none"/>
        </w:rPr>
      </w:pPr>
      <w:r>
        <w:rPr>
          <w:rFonts w:ascii="Times New Roman" w:cs="Times New Roman"/>
          <w:b/>
          <w:color w:val="auto"/>
          <w:sz w:val="28"/>
          <w:szCs w:val="28"/>
          <w:highlight w:val="none"/>
        </w:rPr>
        <w:t>（二）五通桥港区</w:t>
      </w:r>
    </w:p>
    <w:p>
      <w:pPr>
        <w:spacing w:line="360" w:lineRule="auto"/>
        <w:ind w:firstLine="480"/>
        <w:rPr>
          <w:sz w:val="28"/>
          <w:szCs w:val="28"/>
          <w:highlight w:val="none"/>
        </w:rPr>
      </w:pPr>
      <w:r>
        <w:rPr>
          <w:b/>
          <w:sz w:val="28"/>
          <w:szCs w:val="28"/>
          <w:highlight w:val="none"/>
        </w:rPr>
        <w:t>1.桥沟作业区：</w:t>
      </w:r>
      <w:r>
        <w:rPr>
          <w:sz w:val="28"/>
          <w:szCs w:val="28"/>
          <w:highlight w:val="none"/>
        </w:rPr>
        <w:t>规划为五通桥港区综合货运作业区，</w:t>
      </w:r>
      <w:r>
        <w:rPr>
          <w:rFonts w:hint="eastAsia"/>
          <w:sz w:val="28"/>
          <w:szCs w:val="28"/>
          <w:highlight w:val="none"/>
        </w:rPr>
        <w:t>依托五通桥新型工业基地（重点布局晶硅光伏、稀土新材料等产业），</w:t>
      </w:r>
      <w:r>
        <w:rPr>
          <w:kern w:val="0"/>
          <w:sz w:val="28"/>
          <w:szCs w:val="28"/>
          <w:highlight w:val="none"/>
        </w:rPr>
        <w:t>主要为五通桥区、井研县的工业园区原材料及产成品、眉山市的元明粉中转和矿建材料提供运输中转服务，规划为</w:t>
      </w:r>
      <w:r>
        <w:rPr>
          <w:sz w:val="28"/>
          <w:szCs w:val="28"/>
          <w:highlight w:val="none"/>
        </w:rPr>
        <w:t>一类码头</w:t>
      </w:r>
      <w:r>
        <w:rPr>
          <w:kern w:val="0"/>
          <w:sz w:val="28"/>
          <w:szCs w:val="28"/>
          <w:highlight w:val="none"/>
        </w:rPr>
        <w:t>。</w:t>
      </w:r>
      <w:r>
        <w:rPr>
          <w:sz w:val="28"/>
          <w:szCs w:val="28"/>
          <w:highlight w:val="none"/>
        </w:rPr>
        <w:t>共规划建设3个1000吨级件杂泊位、1个1000吨级散货泊位。</w:t>
      </w:r>
    </w:p>
    <w:p>
      <w:pPr>
        <w:pStyle w:val="2"/>
        <w:spacing w:line="360" w:lineRule="auto"/>
        <w:ind w:firstLine="560" w:firstLineChars="200"/>
        <w:jc w:val="both"/>
        <w:rPr>
          <w:rFonts w:ascii="Times New Roman" w:cs="Times New Roman"/>
          <w:color w:val="auto"/>
          <w:highlight w:val="none"/>
        </w:rPr>
      </w:pPr>
      <w:r>
        <w:rPr>
          <w:rFonts w:ascii="Times New Roman" w:cs="Times New Roman"/>
          <w:color w:val="auto"/>
          <w:sz w:val="28"/>
          <w:szCs w:val="28"/>
          <w:highlight w:val="none"/>
        </w:rPr>
        <w:t>另外还根据旅游发展需求在五通桥港区茫溪河上规划有盐卤博物馆、金岗沱2处客运停靠点，每处规划建设1个客运泊位。</w:t>
      </w:r>
    </w:p>
    <w:p>
      <w:pPr>
        <w:pStyle w:val="2"/>
        <w:spacing w:line="360" w:lineRule="auto"/>
        <w:ind w:firstLine="561"/>
        <w:outlineLvl w:val="3"/>
        <w:rPr>
          <w:rFonts w:ascii="Times New Roman" w:cs="Times New Roman"/>
          <w:b/>
          <w:color w:val="auto"/>
          <w:sz w:val="28"/>
          <w:szCs w:val="28"/>
          <w:highlight w:val="none"/>
        </w:rPr>
      </w:pPr>
      <w:r>
        <w:rPr>
          <w:rFonts w:ascii="Times New Roman" w:cs="Times New Roman"/>
          <w:b/>
          <w:color w:val="auto"/>
          <w:sz w:val="28"/>
          <w:szCs w:val="28"/>
          <w:highlight w:val="none"/>
        </w:rPr>
        <w:t>（三）犍为港区</w:t>
      </w:r>
    </w:p>
    <w:p>
      <w:pPr>
        <w:pStyle w:val="2"/>
        <w:ind w:firstLine="562" w:firstLineChars="200"/>
        <w:rPr>
          <w:rFonts w:ascii="Times New Roman" w:cs="Times New Roman"/>
          <w:color w:val="auto"/>
          <w:kern w:val="2"/>
          <w:sz w:val="28"/>
          <w:szCs w:val="28"/>
          <w:highlight w:val="none"/>
        </w:rPr>
      </w:pPr>
      <w:r>
        <w:rPr>
          <w:rFonts w:ascii="Times New Roman" w:cs="Times New Roman"/>
          <w:b/>
          <w:color w:val="auto"/>
          <w:sz w:val="28"/>
          <w:szCs w:val="28"/>
          <w:highlight w:val="none"/>
        </w:rPr>
        <w:t>1.高石坝作业区：</w:t>
      </w:r>
      <w:r>
        <w:rPr>
          <w:rFonts w:ascii="Times New Roman" w:cs="Times New Roman"/>
          <w:color w:val="auto"/>
          <w:sz w:val="28"/>
          <w:szCs w:val="28"/>
          <w:highlight w:val="none"/>
        </w:rPr>
        <w:t>规划为乐山港规模最大、功能最全的大型综合货运作业区，</w:t>
      </w:r>
      <w:r>
        <w:rPr>
          <w:rFonts w:hint="eastAsia" w:ascii="Times New Roman" w:cs="Times New Roman"/>
          <w:color w:val="auto"/>
          <w:sz w:val="28"/>
          <w:szCs w:val="28"/>
          <w:highlight w:val="none"/>
        </w:rPr>
        <w:t>主要承担</w:t>
      </w:r>
      <w:r>
        <w:rPr>
          <w:rFonts w:ascii="Times New Roman" w:cs="Times New Roman"/>
          <w:color w:val="auto"/>
          <w:sz w:val="28"/>
          <w:szCs w:val="28"/>
          <w:highlight w:val="none"/>
        </w:rPr>
        <w:t>原老江坝作业区的集装箱和件杂运输功能，为乐山本地及周边地区等腹地集装箱、件杂、散货提供运输中转服务，规划为一类码头，规划建设20个1000吨级通用泊位、3个1000吨级散货泊位</w:t>
      </w:r>
      <w:r>
        <w:rPr>
          <w:rFonts w:hint="eastAsia" w:ascii="Times New Roman" w:cs="Times New Roman"/>
          <w:color w:val="auto"/>
          <w:sz w:val="28"/>
          <w:szCs w:val="28"/>
          <w:highlight w:val="none"/>
        </w:rPr>
        <w:t>，</w:t>
      </w:r>
      <w:r>
        <w:rPr>
          <w:rFonts w:ascii="Times New Roman" w:cs="Times New Roman"/>
          <w:color w:val="auto"/>
          <w:sz w:val="28"/>
          <w:szCs w:val="28"/>
          <w:highlight w:val="none"/>
        </w:rPr>
        <w:t>另外在码头的上游端设置能源服务站</w:t>
      </w:r>
      <w:r>
        <w:rPr>
          <w:rFonts w:hint="eastAsia" w:ascii="Times New Roman" w:cs="Times New Roman"/>
          <w:color w:val="auto"/>
          <w:kern w:val="2"/>
          <w:sz w:val="28"/>
          <w:szCs w:val="28"/>
          <w:highlight w:val="none"/>
        </w:rPr>
        <w:t>，</w:t>
      </w:r>
      <w:r>
        <w:rPr>
          <w:rFonts w:ascii="Times New Roman" w:cs="Times New Roman"/>
          <w:color w:val="auto"/>
          <w:sz w:val="28"/>
          <w:szCs w:val="28"/>
          <w:highlight w:val="none"/>
        </w:rPr>
        <w:t>配置水上交通艇，为过往船舶提供购物超市燃料供应、供水供电</w:t>
      </w:r>
      <w:r>
        <w:rPr>
          <w:rFonts w:hint="eastAsia" w:ascii="Times New Roman" w:cs="Times New Roman"/>
          <w:color w:val="auto"/>
          <w:sz w:val="28"/>
          <w:szCs w:val="28"/>
          <w:highlight w:val="none"/>
        </w:rPr>
        <w:t>等</w:t>
      </w:r>
      <w:r>
        <w:rPr>
          <w:rFonts w:ascii="Times New Roman" w:cs="Times New Roman"/>
          <w:color w:val="auto"/>
          <w:sz w:val="28"/>
          <w:szCs w:val="28"/>
          <w:highlight w:val="none"/>
        </w:rPr>
        <w:t>服务功能。</w:t>
      </w:r>
    </w:p>
    <w:p>
      <w:pPr>
        <w:pStyle w:val="2"/>
        <w:spacing w:line="360" w:lineRule="auto"/>
        <w:ind w:firstLine="562" w:firstLineChars="200"/>
        <w:rPr>
          <w:rFonts w:ascii="Times New Roman" w:cs="Times New Roman"/>
          <w:color w:val="auto"/>
          <w:sz w:val="28"/>
          <w:szCs w:val="28"/>
          <w:highlight w:val="none"/>
        </w:rPr>
      </w:pPr>
      <w:r>
        <w:rPr>
          <w:rFonts w:ascii="Times New Roman" w:cs="Times New Roman"/>
          <w:b/>
          <w:color w:val="auto"/>
          <w:sz w:val="28"/>
          <w:szCs w:val="28"/>
          <w:highlight w:val="none"/>
        </w:rPr>
        <w:t>2.新民水上服务中心：</w:t>
      </w:r>
      <w:r>
        <w:rPr>
          <w:rFonts w:hint="eastAsia" w:ascii="Times New Roman" w:cs="Times New Roman"/>
          <w:color w:val="auto"/>
          <w:sz w:val="28"/>
          <w:szCs w:val="28"/>
          <w:highlight w:val="none"/>
        </w:rPr>
        <w:t>规划</w:t>
      </w:r>
      <w:r>
        <w:rPr>
          <w:rFonts w:ascii="Times New Roman" w:cs="Times New Roman"/>
          <w:color w:val="auto"/>
          <w:sz w:val="28"/>
          <w:szCs w:val="28"/>
          <w:highlight w:val="none"/>
        </w:rPr>
        <w:t>设置综合服务站、防污染服务站、</w:t>
      </w:r>
      <w:r>
        <w:rPr>
          <w:rFonts w:hint="eastAsia" w:ascii="Times New Roman" w:cs="Times New Roman"/>
          <w:color w:val="auto"/>
          <w:sz w:val="28"/>
          <w:szCs w:val="28"/>
          <w:highlight w:val="none"/>
        </w:rPr>
        <w:t>锚泊服务</w:t>
      </w:r>
      <w:r>
        <w:rPr>
          <w:rFonts w:ascii="Times New Roman" w:cs="Times New Roman"/>
          <w:color w:val="auto"/>
          <w:sz w:val="28"/>
          <w:szCs w:val="28"/>
          <w:highlight w:val="none"/>
        </w:rPr>
        <w:t>等3大功能区域，可配置水上交通艇、船舶污染物接收船，为过往船舶提供污染物接收、锚泊</w:t>
      </w:r>
      <w:r>
        <w:rPr>
          <w:rFonts w:hint="eastAsia" w:ascii="Times New Roman" w:cs="Times New Roman"/>
          <w:color w:val="auto"/>
          <w:sz w:val="28"/>
          <w:szCs w:val="28"/>
          <w:highlight w:val="none"/>
        </w:rPr>
        <w:t>服务、</w:t>
      </w:r>
      <w:r>
        <w:rPr>
          <w:rFonts w:ascii="Times New Roman" w:cs="Times New Roman"/>
          <w:color w:val="auto"/>
          <w:sz w:val="28"/>
          <w:szCs w:val="28"/>
          <w:highlight w:val="none"/>
        </w:rPr>
        <w:t>政务办理等便捷服务。</w:t>
      </w:r>
    </w:p>
    <w:p>
      <w:pPr>
        <w:pStyle w:val="2"/>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结合域内沐溪河沿线铁炉乡传统村落等旅游景点分布及沿河民众出行需要，规划铁炉安南客运停靠点，规划建设1个客运泊位。</w:t>
      </w:r>
    </w:p>
    <w:p>
      <w:pPr>
        <w:pStyle w:val="2"/>
        <w:spacing w:line="360" w:lineRule="auto"/>
        <w:ind w:firstLine="561"/>
        <w:outlineLvl w:val="3"/>
        <w:rPr>
          <w:rFonts w:ascii="Times New Roman" w:cs="Times New Roman"/>
          <w:b/>
          <w:color w:val="auto"/>
          <w:sz w:val="28"/>
          <w:szCs w:val="28"/>
          <w:highlight w:val="none"/>
        </w:rPr>
      </w:pPr>
      <w:r>
        <w:rPr>
          <w:rFonts w:ascii="Times New Roman" w:cs="Times New Roman"/>
          <w:b/>
          <w:color w:val="auto"/>
          <w:sz w:val="28"/>
          <w:szCs w:val="28"/>
          <w:highlight w:val="none"/>
        </w:rPr>
        <w:t>（四）沐川港区</w:t>
      </w:r>
    </w:p>
    <w:p>
      <w:pPr>
        <w:pStyle w:val="2"/>
        <w:ind w:firstLine="562" w:firstLineChars="200"/>
        <w:jc w:val="both"/>
        <w:rPr>
          <w:rFonts w:ascii="Times New Roman" w:cs="Times New Roman"/>
          <w:color w:val="auto"/>
          <w:sz w:val="28"/>
          <w:szCs w:val="28"/>
          <w:highlight w:val="none"/>
        </w:rPr>
      </w:pPr>
      <w:r>
        <w:rPr>
          <w:rFonts w:ascii="Times New Roman" w:cs="Times New Roman"/>
          <w:b/>
          <w:color w:val="auto"/>
          <w:sz w:val="28"/>
          <w:szCs w:val="28"/>
          <w:highlight w:val="none"/>
        </w:rPr>
        <w:t>1.罗家坝作业区：</w:t>
      </w:r>
      <w:r>
        <w:rPr>
          <w:rFonts w:ascii="Times New Roman" w:cs="Times New Roman"/>
          <w:color w:val="auto"/>
          <w:sz w:val="28"/>
          <w:szCs w:val="28"/>
          <w:highlight w:val="none"/>
        </w:rPr>
        <w:t>规划为大小凉山地区货物出海口岸，沐川港区综合货运作业区，主要为沐川县、马边及乐西高速沿线地区原材料及产成品提供运输中转服务，规划为一类码头。规划建设2个500吨级件杂泊位、4个500吨级散货泊位、1个港航管理泊位。</w:t>
      </w:r>
    </w:p>
    <w:p>
      <w:pPr>
        <w:pStyle w:val="2"/>
        <w:ind w:firstLine="560" w:firstLineChars="200"/>
        <w:jc w:val="both"/>
        <w:rPr>
          <w:rFonts w:ascii="Times New Roman" w:cs="Times New Roman"/>
          <w:color w:val="auto"/>
          <w:sz w:val="28"/>
          <w:szCs w:val="28"/>
          <w:highlight w:val="none"/>
        </w:rPr>
      </w:pPr>
      <w:r>
        <w:rPr>
          <w:rFonts w:ascii="Times New Roman" w:cs="Times New Roman"/>
          <w:color w:val="auto"/>
          <w:sz w:val="28"/>
          <w:szCs w:val="28"/>
          <w:highlight w:val="none"/>
        </w:rPr>
        <w:t>2.</w:t>
      </w:r>
      <w:r>
        <w:rPr>
          <w:rFonts w:ascii="Times New Roman" w:cs="Times New Roman"/>
          <w:b/>
          <w:color w:val="auto"/>
          <w:sz w:val="28"/>
          <w:szCs w:val="28"/>
          <w:highlight w:val="none"/>
        </w:rPr>
        <w:t>炭库古镇旅游客运码头：</w:t>
      </w:r>
      <w:r>
        <w:rPr>
          <w:rFonts w:ascii="Times New Roman" w:cs="Times New Roman"/>
          <w:color w:val="auto"/>
          <w:sz w:val="28"/>
          <w:szCs w:val="28"/>
          <w:highlight w:val="none"/>
        </w:rPr>
        <w:t>规划为沐川港区旅游集散码头，主要为沐溪河炭库古镇旅游客运服务，规划为二类码头。共规划建设2个旅游客运泊位。</w:t>
      </w:r>
    </w:p>
    <w:p>
      <w:pPr>
        <w:pStyle w:val="2"/>
        <w:ind w:firstLine="562" w:firstLineChars="200"/>
        <w:jc w:val="both"/>
        <w:rPr>
          <w:rFonts w:ascii="Times New Roman" w:cs="Times New Roman"/>
          <w:color w:val="auto"/>
          <w:sz w:val="28"/>
          <w:szCs w:val="28"/>
          <w:highlight w:val="none"/>
        </w:rPr>
      </w:pPr>
      <w:r>
        <w:rPr>
          <w:rFonts w:ascii="Times New Roman" w:cs="Times New Roman"/>
          <w:b/>
          <w:color w:val="auto"/>
          <w:sz w:val="28"/>
          <w:szCs w:val="28"/>
          <w:highlight w:val="none"/>
        </w:rPr>
        <w:t>3.茨竹坪散货码头：</w:t>
      </w:r>
      <w:r>
        <w:rPr>
          <w:rFonts w:ascii="Times New Roman" w:cs="Times New Roman"/>
          <w:color w:val="auto"/>
          <w:sz w:val="28"/>
          <w:szCs w:val="28"/>
          <w:highlight w:val="none"/>
        </w:rPr>
        <w:t>规划为沐川港区散货码头，主要为腹地砂石、玄武岩等建筑材料开采提供运输中转服务，规划为二类码头。共规划建设2个300吨级散货泊位。</w:t>
      </w:r>
    </w:p>
    <w:p>
      <w:pPr>
        <w:pStyle w:val="2"/>
        <w:ind w:firstLine="560" w:firstLineChars="200"/>
        <w:rPr>
          <w:rFonts w:ascii="Times New Roman" w:cs="Times New Roman"/>
          <w:color w:val="auto"/>
          <w:sz w:val="28"/>
          <w:szCs w:val="28"/>
          <w:highlight w:val="none"/>
        </w:rPr>
      </w:pPr>
      <w:r>
        <w:rPr>
          <w:rFonts w:ascii="Times New Roman" w:cs="Times New Roman"/>
          <w:color w:val="auto"/>
          <w:sz w:val="28"/>
          <w:szCs w:val="28"/>
          <w:highlight w:val="none"/>
        </w:rPr>
        <w:t>结合域内舟坝、金王寺等旅游景点发展需要，沐川港区在马边河舟坝库区规划有舟坝旅游客运码头，规划建设2个旅游客运泊位。在金王寺景区规划金王寺旅游客运码头，规划建设4个旅游客运泊位。</w:t>
      </w:r>
    </w:p>
    <w:p>
      <w:pPr>
        <w:pStyle w:val="2"/>
        <w:spacing w:line="360" w:lineRule="auto"/>
        <w:ind w:firstLine="561"/>
        <w:outlineLvl w:val="3"/>
        <w:rPr>
          <w:rFonts w:ascii="Times New Roman" w:cs="Times New Roman"/>
          <w:b/>
          <w:color w:val="auto"/>
          <w:sz w:val="28"/>
          <w:szCs w:val="28"/>
          <w:highlight w:val="none"/>
        </w:rPr>
      </w:pPr>
      <w:r>
        <w:rPr>
          <w:rFonts w:ascii="Times New Roman" w:cs="Times New Roman"/>
          <w:b/>
          <w:color w:val="auto"/>
          <w:sz w:val="28"/>
          <w:szCs w:val="28"/>
          <w:highlight w:val="none"/>
        </w:rPr>
        <w:t>（五）沙湾港区</w:t>
      </w:r>
    </w:p>
    <w:p>
      <w:pPr>
        <w:pStyle w:val="2"/>
        <w:ind w:firstLine="562" w:firstLineChars="200"/>
        <w:jc w:val="both"/>
        <w:rPr>
          <w:rFonts w:ascii="Times New Roman" w:cs="Times New Roman"/>
          <w:color w:val="auto"/>
          <w:sz w:val="28"/>
          <w:szCs w:val="28"/>
          <w:highlight w:val="none"/>
        </w:rPr>
      </w:pPr>
      <w:bookmarkStart w:id="219" w:name="_Hlk105581950"/>
      <w:r>
        <w:rPr>
          <w:rFonts w:ascii="Times New Roman" w:cs="Times New Roman"/>
          <w:b/>
          <w:color w:val="auto"/>
          <w:sz w:val="28"/>
          <w:szCs w:val="28"/>
          <w:highlight w:val="none"/>
        </w:rPr>
        <w:t>1.</w:t>
      </w:r>
      <w:r>
        <w:rPr>
          <w:rFonts w:hint="eastAsia" w:ascii="Times New Roman" w:cs="Times New Roman"/>
          <w:b/>
          <w:color w:val="auto"/>
          <w:sz w:val="28"/>
          <w:szCs w:val="28"/>
          <w:highlight w:val="none"/>
        </w:rPr>
        <w:t>代湾</w:t>
      </w:r>
      <w:r>
        <w:rPr>
          <w:rFonts w:ascii="Times New Roman" w:cs="Times New Roman"/>
          <w:b/>
          <w:color w:val="auto"/>
          <w:sz w:val="28"/>
          <w:szCs w:val="28"/>
          <w:highlight w:val="none"/>
        </w:rPr>
        <w:t>码头：</w:t>
      </w:r>
      <w:r>
        <w:rPr>
          <w:rFonts w:ascii="Times New Roman" w:cs="Times New Roman"/>
          <w:color w:val="auto"/>
          <w:sz w:val="28"/>
          <w:szCs w:val="28"/>
          <w:highlight w:val="none"/>
        </w:rPr>
        <w:t>规划为沙湾港区</w:t>
      </w:r>
      <w:r>
        <w:rPr>
          <w:rFonts w:hint="eastAsia" w:ascii="Times New Roman" w:cs="Times New Roman"/>
          <w:color w:val="auto"/>
          <w:sz w:val="28"/>
          <w:szCs w:val="28"/>
          <w:highlight w:val="none"/>
        </w:rPr>
        <w:t>客货运</w:t>
      </w:r>
      <w:r>
        <w:rPr>
          <w:rFonts w:ascii="Times New Roman" w:cs="Times New Roman"/>
          <w:color w:val="auto"/>
          <w:sz w:val="28"/>
          <w:szCs w:val="28"/>
          <w:highlight w:val="none"/>
        </w:rPr>
        <w:t>码头，主要为</w:t>
      </w:r>
      <w:r>
        <w:rPr>
          <w:rFonts w:hint="eastAsia" w:ascii="Times New Roman" w:cs="Times New Roman"/>
          <w:color w:val="auto"/>
          <w:sz w:val="28"/>
          <w:szCs w:val="28"/>
          <w:highlight w:val="none"/>
        </w:rPr>
        <w:t>大渡河沿线建筑材料及来大渡河旅游的游客</w:t>
      </w:r>
      <w:r>
        <w:rPr>
          <w:rFonts w:ascii="Times New Roman" w:cs="Times New Roman"/>
          <w:color w:val="auto"/>
          <w:sz w:val="28"/>
          <w:szCs w:val="28"/>
          <w:highlight w:val="none"/>
        </w:rPr>
        <w:t>提供运输服务，规划为二类码头。共规划建设2个</w:t>
      </w:r>
      <w:r>
        <w:rPr>
          <w:rFonts w:hint="eastAsia"/>
          <w:color w:val="auto"/>
          <w:sz w:val="28"/>
          <w:szCs w:val="28"/>
          <w:highlight w:val="none"/>
        </w:rPr>
        <w:t>3</w:t>
      </w:r>
      <w:r>
        <w:rPr>
          <w:color w:val="auto"/>
          <w:sz w:val="28"/>
          <w:szCs w:val="28"/>
          <w:highlight w:val="none"/>
        </w:rPr>
        <w:t>00</w:t>
      </w:r>
      <w:r>
        <w:rPr>
          <w:rFonts w:hint="eastAsia"/>
          <w:color w:val="auto"/>
          <w:sz w:val="28"/>
          <w:szCs w:val="28"/>
          <w:highlight w:val="none"/>
        </w:rPr>
        <w:t>吨级</w:t>
      </w:r>
      <w:r>
        <w:rPr>
          <w:rFonts w:hint="eastAsia" w:ascii="Times New Roman" w:cs="Times New Roman"/>
          <w:color w:val="auto"/>
          <w:sz w:val="28"/>
          <w:szCs w:val="28"/>
          <w:highlight w:val="none"/>
        </w:rPr>
        <w:t>货运</w:t>
      </w:r>
      <w:r>
        <w:rPr>
          <w:rFonts w:ascii="Times New Roman" w:cs="Times New Roman"/>
          <w:color w:val="auto"/>
          <w:sz w:val="28"/>
          <w:szCs w:val="28"/>
          <w:highlight w:val="none"/>
        </w:rPr>
        <w:t>泊位</w:t>
      </w:r>
      <w:r>
        <w:rPr>
          <w:rFonts w:hint="eastAsia" w:ascii="Times New Roman" w:cs="Times New Roman"/>
          <w:color w:val="auto"/>
          <w:sz w:val="28"/>
          <w:szCs w:val="28"/>
          <w:highlight w:val="none"/>
        </w:rPr>
        <w:t>、1个旅游客运泊位</w:t>
      </w:r>
      <w:r>
        <w:rPr>
          <w:rFonts w:ascii="Times New Roman" w:cs="Times New Roman"/>
          <w:color w:val="auto"/>
          <w:sz w:val="28"/>
          <w:szCs w:val="28"/>
          <w:highlight w:val="none"/>
        </w:rPr>
        <w:t>。</w:t>
      </w:r>
    </w:p>
    <w:bookmarkEnd w:id="219"/>
    <w:p>
      <w:pPr>
        <w:pStyle w:val="2"/>
        <w:ind w:firstLine="562" w:firstLineChars="200"/>
        <w:jc w:val="both"/>
        <w:rPr>
          <w:rFonts w:ascii="Times New Roman" w:cs="Times New Roman"/>
          <w:color w:val="auto"/>
          <w:sz w:val="28"/>
          <w:szCs w:val="28"/>
          <w:highlight w:val="none"/>
        </w:rPr>
      </w:pPr>
      <w:r>
        <w:rPr>
          <w:rFonts w:ascii="Times New Roman" w:cs="Times New Roman"/>
          <w:b/>
          <w:color w:val="auto"/>
          <w:sz w:val="28"/>
          <w:szCs w:val="28"/>
          <w:highlight w:val="none"/>
        </w:rPr>
        <w:t>2.月亮湾客运码头：</w:t>
      </w:r>
      <w:r>
        <w:rPr>
          <w:rFonts w:ascii="Times New Roman" w:cs="Times New Roman"/>
          <w:color w:val="auto"/>
          <w:sz w:val="28"/>
          <w:szCs w:val="28"/>
          <w:highlight w:val="none"/>
        </w:rPr>
        <w:t>规划为沙湾港区旅游集散码头，主要为月亮湾度假村乡村旅游的游客提供运输服务，另外还兼顾与对岸五渡乡的渡运，规划为二类码头。共规划建设2个旅游客运泊位。</w:t>
      </w:r>
    </w:p>
    <w:p>
      <w:pPr>
        <w:pStyle w:val="2"/>
        <w:ind w:firstLine="560" w:firstLineChars="200"/>
        <w:jc w:val="both"/>
        <w:rPr>
          <w:rFonts w:ascii="Times New Roman" w:cs="Times New Roman"/>
          <w:color w:val="auto"/>
          <w:sz w:val="28"/>
          <w:szCs w:val="28"/>
          <w:highlight w:val="none"/>
        </w:rPr>
      </w:pPr>
      <w:r>
        <w:rPr>
          <w:rFonts w:ascii="Times New Roman" w:cs="Times New Roman"/>
          <w:color w:val="auto"/>
          <w:sz w:val="28"/>
          <w:szCs w:val="28"/>
          <w:highlight w:val="none"/>
        </w:rPr>
        <w:t>另外，沙湾港区结合域内大渡河沿线休闲</w:t>
      </w:r>
      <w:r>
        <w:rPr>
          <w:rFonts w:hint="eastAsia" w:ascii="Times New Roman" w:cs="Times New Roman"/>
          <w:color w:val="auto"/>
          <w:sz w:val="28"/>
          <w:szCs w:val="28"/>
          <w:highlight w:val="none"/>
        </w:rPr>
        <w:t>旅游休闲</w:t>
      </w:r>
      <w:r>
        <w:rPr>
          <w:rFonts w:ascii="Times New Roman" w:cs="Times New Roman"/>
          <w:color w:val="auto"/>
          <w:sz w:val="28"/>
          <w:szCs w:val="28"/>
          <w:highlight w:val="none"/>
        </w:rPr>
        <w:t>及沿河民众出行需要，在铜街子库区</w:t>
      </w:r>
      <w:r>
        <w:rPr>
          <w:rFonts w:hint="eastAsia" w:ascii="Times New Roman" w:cs="Times New Roman"/>
          <w:color w:val="auto"/>
          <w:sz w:val="28"/>
          <w:szCs w:val="28"/>
          <w:highlight w:val="none"/>
        </w:rPr>
        <w:t>对原有的</w:t>
      </w:r>
      <w:r>
        <w:rPr>
          <w:rFonts w:ascii="Times New Roman" w:cs="Times New Roman"/>
          <w:color w:val="auto"/>
          <w:sz w:val="28"/>
          <w:szCs w:val="28"/>
          <w:highlight w:val="none"/>
        </w:rPr>
        <w:t>龙岩客运停靠点</w:t>
      </w:r>
      <w:r>
        <w:rPr>
          <w:rFonts w:hint="eastAsia" w:ascii="Times New Roman" w:cs="Times New Roman"/>
          <w:color w:val="auto"/>
          <w:sz w:val="28"/>
          <w:szCs w:val="28"/>
          <w:highlight w:val="none"/>
        </w:rPr>
        <w:t>进行规范提升</w:t>
      </w:r>
      <w:r>
        <w:rPr>
          <w:rFonts w:ascii="Times New Roman" w:cs="Times New Roman"/>
          <w:color w:val="auto"/>
          <w:sz w:val="28"/>
          <w:szCs w:val="28"/>
          <w:highlight w:val="none"/>
        </w:rPr>
        <w:t>，规划建设1个客运泊位。</w:t>
      </w:r>
    </w:p>
    <w:p>
      <w:pPr>
        <w:pStyle w:val="2"/>
        <w:spacing w:line="360" w:lineRule="auto"/>
        <w:ind w:firstLine="561"/>
        <w:outlineLvl w:val="3"/>
        <w:rPr>
          <w:rFonts w:ascii="Times New Roman" w:cs="Times New Roman"/>
          <w:b/>
          <w:color w:val="auto"/>
          <w:sz w:val="28"/>
          <w:szCs w:val="28"/>
          <w:highlight w:val="none"/>
        </w:rPr>
      </w:pPr>
      <w:r>
        <w:rPr>
          <w:rFonts w:ascii="Times New Roman" w:cs="Times New Roman"/>
          <w:b/>
          <w:color w:val="auto"/>
          <w:sz w:val="28"/>
          <w:szCs w:val="28"/>
          <w:highlight w:val="none"/>
        </w:rPr>
        <w:t>（六）峨边港区</w:t>
      </w:r>
    </w:p>
    <w:p>
      <w:pPr>
        <w:pStyle w:val="2"/>
        <w:spacing w:line="360" w:lineRule="auto"/>
        <w:ind w:firstLine="562" w:firstLineChars="200"/>
        <w:jc w:val="both"/>
        <w:rPr>
          <w:rFonts w:ascii="Times New Roman" w:cs="Times New Roman"/>
          <w:color w:val="auto"/>
          <w:sz w:val="28"/>
          <w:szCs w:val="28"/>
          <w:highlight w:val="none"/>
        </w:rPr>
      </w:pPr>
      <w:r>
        <w:rPr>
          <w:rFonts w:ascii="Times New Roman" w:cs="Times New Roman"/>
          <w:b/>
          <w:color w:val="auto"/>
          <w:sz w:val="28"/>
          <w:szCs w:val="28"/>
          <w:highlight w:val="none"/>
        </w:rPr>
        <w:t>1.龚嘴旅游客运作业区：</w:t>
      </w:r>
      <w:r>
        <w:rPr>
          <w:rFonts w:ascii="Times New Roman" w:cs="Times New Roman"/>
          <w:color w:val="auto"/>
          <w:sz w:val="28"/>
          <w:szCs w:val="28"/>
          <w:highlight w:val="none"/>
        </w:rPr>
        <w:t>规划为峨边港区水上门户码头，主要为大渡河龚嘴电站水上旅游资源开发提供旅客运输服务，二类码头，布置4个旅游客运泊位。</w:t>
      </w:r>
    </w:p>
    <w:p>
      <w:pPr>
        <w:pStyle w:val="2"/>
        <w:spacing w:line="360" w:lineRule="auto"/>
        <w:ind w:firstLine="562" w:firstLineChars="200"/>
        <w:jc w:val="both"/>
        <w:rPr>
          <w:rFonts w:ascii="Times New Roman" w:cs="Times New Roman"/>
          <w:color w:val="auto"/>
          <w:sz w:val="28"/>
          <w:szCs w:val="28"/>
          <w:highlight w:val="none"/>
        </w:rPr>
      </w:pPr>
      <w:bookmarkStart w:id="220" w:name="_Hlk105581958"/>
      <w:r>
        <w:rPr>
          <w:rFonts w:ascii="Times New Roman" w:cs="Times New Roman"/>
          <w:b/>
          <w:color w:val="auto"/>
          <w:sz w:val="28"/>
          <w:szCs w:val="28"/>
          <w:highlight w:val="none"/>
        </w:rPr>
        <w:t>2.五渡</w:t>
      </w:r>
      <w:r>
        <w:rPr>
          <w:rFonts w:hint="eastAsia" w:ascii="Times New Roman" w:cs="Times New Roman"/>
          <w:b/>
          <w:color w:val="auto"/>
          <w:sz w:val="28"/>
          <w:szCs w:val="28"/>
          <w:highlight w:val="none"/>
        </w:rPr>
        <w:t>作业区：</w:t>
      </w:r>
      <w:r>
        <w:rPr>
          <w:rFonts w:hint="eastAsia" w:ascii="Times New Roman" w:cs="Times New Roman"/>
          <w:color w:val="auto"/>
          <w:sz w:val="28"/>
          <w:szCs w:val="28"/>
          <w:highlight w:val="none"/>
        </w:rPr>
        <w:t>包括五渡</w:t>
      </w:r>
      <w:r>
        <w:rPr>
          <w:rFonts w:ascii="Times New Roman" w:cs="Times New Roman"/>
          <w:color w:val="auto"/>
          <w:sz w:val="28"/>
          <w:szCs w:val="28"/>
          <w:highlight w:val="none"/>
        </w:rPr>
        <w:t>客运码头</w:t>
      </w:r>
      <w:r>
        <w:rPr>
          <w:rFonts w:hint="eastAsia" w:ascii="Times New Roman" w:cs="Times New Roman"/>
          <w:color w:val="auto"/>
          <w:sz w:val="28"/>
          <w:szCs w:val="28"/>
          <w:highlight w:val="none"/>
        </w:rPr>
        <w:t>和五渡货运码头。</w:t>
      </w:r>
      <w:r>
        <w:rPr>
          <w:rFonts w:hint="eastAsia" w:ascii="Times New Roman" w:cs="Times New Roman"/>
          <w:b/>
          <w:color w:val="auto"/>
          <w:sz w:val="28"/>
          <w:szCs w:val="28"/>
          <w:highlight w:val="none"/>
        </w:rPr>
        <w:t>五渡客运码头</w:t>
      </w:r>
      <w:r>
        <w:rPr>
          <w:rFonts w:ascii="Times New Roman" w:cs="Times New Roman"/>
          <w:color w:val="auto"/>
          <w:sz w:val="28"/>
          <w:szCs w:val="28"/>
          <w:highlight w:val="none"/>
        </w:rPr>
        <w:t>规划为峨边港区旅游集散码头，主要为五渡镇乡村旅游服务并兼顾渡运功能，规划为二类码头，规划建设2个旅游客运泊位。</w:t>
      </w:r>
      <w:r>
        <w:rPr>
          <w:rFonts w:ascii="Times New Roman" w:cs="Times New Roman"/>
          <w:b/>
          <w:color w:val="auto"/>
          <w:sz w:val="28"/>
          <w:szCs w:val="28"/>
          <w:highlight w:val="none"/>
        </w:rPr>
        <w:t>五渡货运码头</w:t>
      </w:r>
      <w:r>
        <w:rPr>
          <w:rFonts w:ascii="Times New Roman" w:cs="Times New Roman"/>
          <w:color w:val="auto"/>
          <w:sz w:val="28"/>
          <w:szCs w:val="28"/>
          <w:highlight w:val="none"/>
        </w:rPr>
        <w:t>规划为峨边港区散货码头，主要为库区周边玄武岩开采提供运输中转服务，规划为二类码头，规划建设4个散货泊位。</w:t>
      </w:r>
    </w:p>
    <w:bookmarkEnd w:id="220"/>
    <w:p>
      <w:pPr>
        <w:pStyle w:val="2"/>
        <w:spacing w:line="360" w:lineRule="auto"/>
        <w:ind w:firstLine="562" w:firstLineChars="200"/>
        <w:jc w:val="both"/>
        <w:rPr>
          <w:rFonts w:ascii="Times New Roman" w:cs="Times New Roman"/>
          <w:color w:val="auto"/>
          <w:sz w:val="28"/>
          <w:szCs w:val="28"/>
          <w:highlight w:val="none"/>
        </w:rPr>
      </w:pPr>
      <w:r>
        <w:rPr>
          <w:rFonts w:ascii="Times New Roman" w:cs="Times New Roman"/>
          <w:b/>
          <w:color w:val="auto"/>
          <w:sz w:val="28"/>
          <w:szCs w:val="28"/>
          <w:highlight w:val="none"/>
        </w:rPr>
        <w:t>3.龙眼坝码头：</w:t>
      </w:r>
      <w:r>
        <w:rPr>
          <w:rFonts w:ascii="Times New Roman" w:cs="Times New Roman"/>
          <w:color w:val="auto"/>
          <w:sz w:val="28"/>
          <w:szCs w:val="28"/>
          <w:highlight w:val="none"/>
        </w:rPr>
        <w:t>规划为峨边港区散货码头、龚嘴库区水上搜救基地，主要为龚嘴库区砂石开采提供运输中转服务和港航管理应急救援服务，规划为二类码头，规划建设2个散货泊位、1个应急搜救泊位和1个港航管理泊位。</w:t>
      </w:r>
    </w:p>
    <w:p>
      <w:pPr>
        <w:pStyle w:val="2"/>
        <w:spacing w:line="360" w:lineRule="auto"/>
        <w:ind w:firstLine="562" w:firstLineChars="200"/>
        <w:jc w:val="both"/>
        <w:rPr>
          <w:rFonts w:ascii="Times New Roman" w:cs="Times New Roman"/>
          <w:color w:val="auto"/>
          <w:sz w:val="28"/>
          <w:szCs w:val="28"/>
          <w:highlight w:val="none"/>
        </w:rPr>
      </w:pPr>
      <w:r>
        <w:rPr>
          <w:rFonts w:ascii="Times New Roman" w:cs="Times New Roman"/>
          <w:b/>
          <w:color w:val="auto"/>
          <w:sz w:val="28"/>
          <w:szCs w:val="28"/>
          <w:highlight w:val="none"/>
        </w:rPr>
        <w:t>4.白果散货码头：</w:t>
      </w:r>
      <w:r>
        <w:rPr>
          <w:rFonts w:ascii="Times New Roman" w:cs="Times New Roman"/>
          <w:color w:val="auto"/>
          <w:sz w:val="28"/>
          <w:szCs w:val="28"/>
          <w:highlight w:val="none"/>
        </w:rPr>
        <w:t>规划为峨边港区散货码头，主要为龚嘴库区砂石开采提供运输中转服务，规划为二类码头，规划建设3个散货泊位。</w:t>
      </w:r>
    </w:p>
    <w:p>
      <w:pPr>
        <w:pStyle w:val="2"/>
        <w:spacing w:line="360" w:lineRule="auto"/>
        <w:ind w:firstLine="561"/>
        <w:outlineLvl w:val="3"/>
        <w:rPr>
          <w:rFonts w:ascii="Times New Roman" w:cs="Times New Roman"/>
          <w:b/>
          <w:color w:val="auto"/>
          <w:sz w:val="28"/>
          <w:szCs w:val="28"/>
          <w:highlight w:val="none"/>
        </w:rPr>
      </w:pPr>
      <w:r>
        <w:rPr>
          <w:rFonts w:ascii="Times New Roman" w:cs="Times New Roman"/>
          <w:b/>
          <w:color w:val="auto"/>
          <w:sz w:val="28"/>
          <w:szCs w:val="28"/>
          <w:highlight w:val="none"/>
        </w:rPr>
        <w:t>（七）金口河港区</w:t>
      </w:r>
    </w:p>
    <w:p>
      <w:pPr>
        <w:pStyle w:val="2"/>
        <w:spacing w:line="360" w:lineRule="auto"/>
        <w:ind w:firstLine="562" w:firstLineChars="200"/>
        <w:jc w:val="both"/>
        <w:rPr>
          <w:rFonts w:ascii="Times New Roman" w:cs="Times New Roman"/>
          <w:color w:val="auto"/>
          <w:sz w:val="28"/>
          <w:szCs w:val="28"/>
          <w:highlight w:val="none"/>
        </w:rPr>
      </w:pPr>
      <w:r>
        <w:rPr>
          <w:rFonts w:ascii="Times New Roman" w:cs="Times New Roman"/>
          <w:b/>
          <w:color w:val="auto"/>
          <w:sz w:val="28"/>
          <w:szCs w:val="28"/>
          <w:highlight w:val="none"/>
        </w:rPr>
        <w:t>1.大峡谷旅游</w:t>
      </w:r>
      <w:r>
        <w:rPr>
          <w:rFonts w:hint="eastAsia" w:ascii="Times New Roman" w:cs="Times New Roman"/>
          <w:b/>
          <w:color w:val="auto"/>
          <w:sz w:val="28"/>
          <w:szCs w:val="28"/>
          <w:highlight w:val="none"/>
        </w:rPr>
        <w:t>客运码头：</w:t>
      </w:r>
      <w:r>
        <w:rPr>
          <w:rFonts w:hint="eastAsia" w:ascii="Times New Roman" w:cs="Times New Roman"/>
          <w:color w:val="auto"/>
          <w:sz w:val="28"/>
          <w:szCs w:val="28"/>
          <w:highlight w:val="none"/>
        </w:rPr>
        <w:t>大峡谷旅游客运码头</w:t>
      </w:r>
      <w:r>
        <w:rPr>
          <w:rFonts w:ascii="Times New Roman" w:cs="Times New Roman"/>
          <w:color w:val="auto"/>
          <w:sz w:val="28"/>
          <w:szCs w:val="28"/>
          <w:highlight w:val="none"/>
        </w:rPr>
        <w:t>规划为金口河港区水上门户码头，主要为大渡河大峡谷国家地质公园水上游览提供运输服务和港航管理及应急救援服务，目前该码头已建成运营，建有3个旅游客运泊位和1个海事泊位（兼顾应急救援）。</w:t>
      </w:r>
    </w:p>
    <w:p>
      <w:pPr>
        <w:pStyle w:val="2"/>
        <w:spacing w:line="360" w:lineRule="auto"/>
        <w:ind w:firstLine="561"/>
        <w:outlineLvl w:val="3"/>
        <w:rPr>
          <w:rFonts w:ascii="Times New Roman" w:cs="Times New Roman"/>
          <w:b/>
          <w:color w:val="auto"/>
          <w:sz w:val="28"/>
          <w:szCs w:val="28"/>
          <w:highlight w:val="none"/>
        </w:rPr>
      </w:pPr>
      <w:r>
        <w:rPr>
          <w:rFonts w:ascii="Times New Roman" w:cs="Times New Roman"/>
          <w:b/>
          <w:color w:val="auto"/>
          <w:sz w:val="28"/>
          <w:szCs w:val="28"/>
          <w:highlight w:val="none"/>
        </w:rPr>
        <w:t>（八）夹江港区</w:t>
      </w:r>
    </w:p>
    <w:p>
      <w:pPr>
        <w:pStyle w:val="2"/>
        <w:spacing w:line="360" w:lineRule="auto"/>
        <w:ind w:firstLine="562" w:firstLineChars="200"/>
        <w:jc w:val="both"/>
        <w:rPr>
          <w:b/>
          <w:color w:val="auto"/>
          <w:sz w:val="28"/>
          <w:szCs w:val="28"/>
          <w:highlight w:val="none"/>
        </w:rPr>
      </w:pPr>
      <w:bookmarkStart w:id="221" w:name="_Hlk105581983"/>
      <w:r>
        <w:rPr>
          <w:rFonts w:ascii="Times New Roman" w:cs="Times New Roman"/>
          <w:b/>
          <w:color w:val="auto"/>
          <w:kern w:val="2"/>
          <w:sz w:val="28"/>
          <w:szCs w:val="28"/>
          <w:highlight w:val="none"/>
        </w:rPr>
        <w:t>1.</w:t>
      </w:r>
      <w:r>
        <w:rPr>
          <w:rFonts w:hint="eastAsia" w:ascii="Times New Roman" w:cs="Times New Roman"/>
          <w:b/>
          <w:color w:val="auto"/>
          <w:kern w:val="2"/>
          <w:sz w:val="28"/>
          <w:szCs w:val="28"/>
          <w:highlight w:val="none"/>
        </w:rPr>
        <w:t>千佛岩</w:t>
      </w:r>
      <w:r>
        <w:rPr>
          <w:rFonts w:ascii="Times New Roman" w:cs="Times New Roman"/>
          <w:b/>
          <w:color w:val="auto"/>
          <w:kern w:val="2"/>
          <w:sz w:val="28"/>
          <w:szCs w:val="28"/>
          <w:highlight w:val="none"/>
        </w:rPr>
        <w:t>旅游客运作业区</w:t>
      </w:r>
      <w:r>
        <w:rPr>
          <w:rFonts w:hint="eastAsia" w:ascii="Times New Roman" w:cs="Times New Roman"/>
          <w:b/>
          <w:color w:val="auto"/>
          <w:kern w:val="2"/>
          <w:sz w:val="28"/>
          <w:szCs w:val="28"/>
          <w:highlight w:val="none"/>
        </w:rPr>
        <w:t>：</w:t>
      </w:r>
      <w:r>
        <w:rPr>
          <w:rFonts w:hint="eastAsia" w:ascii="Times New Roman" w:cs="Times New Roman"/>
          <w:color w:val="auto"/>
          <w:sz w:val="28"/>
          <w:szCs w:val="28"/>
          <w:highlight w:val="none"/>
        </w:rPr>
        <w:t>包括</w:t>
      </w:r>
      <w:r>
        <w:rPr>
          <w:rFonts w:ascii="Times New Roman" w:cs="Times New Roman"/>
          <w:color w:val="auto"/>
          <w:sz w:val="28"/>
          <w:szCs w:val="28"/>
          <w:highlight w:val="none"/>
        </w:rPr>
        <w:t>柏杨湾旅游客运</w:t>
      </w:r>
      <w:r>
        <w:rPr>
          <w:rFonts w:hint="eastAsia" w:ascii="Times New Roman" w:cs="Times New Roman"/>
          <w:color w:val="auto"/>
          <w:sz w:val="28"/>
          <w:szCs w:val="28"/>
          <w:highlight w:val="none"/>
        </w:rPr>
        <w:t>码头、</w:t>
      </w:r>
      <w:r>
        <w:rPr>
          <w:rFonts w:ascii="Times New Roman" w:cs="Times New Roman"/>
          <w:color w:val="auto"/>
          <w:sz w:val="28"/>
          <w:szCs w:val="28"/>
          <w:highlight w:val="none"/>
        </w:rPr>
        <w:t>佩玉泉旅游客运码头</w:t>
      </w:r>
      <w:r>
        <w:rPr>
          <w:rFonts w:hint="eastAsia" w:ascii="Times New Roman" w:cs="Times New Roman"/>
          <w:color w:val="auto"/>
          <w:sz w:val="28"/>
          <w:szCs w:val="28"/>
          <w:highlight w:val="none"/>
        </w:rPr>
        <w:t>以及峨眉山月客运停靠点。</w:t>
      </w:r>
      <w:r>
        <w:rPr>
          <w:rFonts w:ascii="Times New Roman" w:cs="Times New Roman"/>
          <w:b/>
          <w:bCs/>
          <w:color w:val="auto"/>
          <w:sz w:val="28"/>
          <w:szCs w:val="28"/>
          <w:highlight w:val="none"/>
        </w:rPr>
        <w:t>柏杨湾旅游客运</w:t>
      </w:r>
      <w:r>
        <w:rPr>
          <w:rFonts w:hint="eastAsia" w:ascii="Times New Roman" w:cs="Times New Roman"/>
          <w:b/>
          <w:bCs/>
          <w:color w:val="auto"/>
          <w:sz w:val="28"/>
          <w:szCs w:val="28"/>
          <w:highlight w:val="none"/>
        </w:rPr>
        <w:t>码头</w:t>
      </w:r>
      <w:r>
        <w:rPr>
          <w:rFonts w:ascii="Times New Roman" w:cs="Times New Roman"/>
          <w:color w:val="auto"/>
          <w:sz w:val="28"/>
          <w:szCs w:val="28"/>
          <w:highlight w:val="none"/>
        </w:rPr>
        <w:t>规划为夹江港区水上门户码头，主要为夹江县境内青衣江千佛岩景区水上旅游观光提供旅客运输服务，同时也为佩玉泉旅游码头船舶提供靠泊服务，规划2个旅游客运泊位、1个港航管理泊位、1个应急搜救泊位、1个消防泊位。</w:t>
      </w:r>
      <w:r>
        <w:rPr>
          <w:rFonts w:ascii="Times New Roman" w:cs="Times New Roman"/>
          <w:b/>
          <w:color w:val="auto"/>
          <w:kern w:val="2"/>
          <w:sz w:val="28"/>
          <w:szCs w:val="28"/>
          <w:highlight w:val="none"/>
        </w:rPr>
        <w:t>佩玉泉旅游客运码头</w:t>
      </w:r>
      <w:r>
        <w:rPr>
          <w:rFonts w:ascii="Times New Roman" w:cs="Times New Roman"/>
          <w:color w:val="auto"/>
          <w:kern w:val="2"/>
          <w:sz w:val="28"/>
          <w:szCs w:val="28"/>
          <w:highlight w:val="none"/>
        </w:rPr>
        <w:t>规划为夹江港区旅游集散码头，为</w:t>
      </w:r>
      <w:r>
        <w:rPr>
          <w:rFonts w:ascii="Times New Roman" w:cs="Times New Roman"/>
          <w:color w:val="auto"/>
          <w:sz w:val="28"/>
          <w:szCs w:val="28"/>
          <w:highlight w:val="none"/>
        </w:rPr>
        <w:t>夹江县境内青衣江千佛岩景区上码头，为景区游客观光提供运输服务，规划2个旅游客运泊位。</w:t>
      </w:r>
      <w:r>
        <w:rPr>
          <w:rFonts w:hint="eastAsia" w:ascii="Times New Roman" w:cs="Times New Roman"/>
          <w:color w:val="auto"/>
          <w:sz w:val="28"/>
          <w:szCs w:val="28"/>
          <w:highlight w:val="none"/>
        </w:rPr>
        <w:t>以上2个码头均</w:t>
      </w:r>
      <w:r>
        <w:rPr>
          <w:rFonts w:ascii="Times New Roman" w:cs="Times New Roman"/>
          <w:color w:val="auto"/>
          <w:sz w:val="28"/>
          <w:szCs w:val="28"/>
          <w:highlight w:val="none"/>
        </w:rPr>
        <w:t>规划为二类码头。</w:t>
      </w:r>
      <w:r>
        <w:rPr>
          <w:color w:val="auto"/>
          <w:sz w:val="28"/>
          <w:szCs w:val="28"/>
          <w:highlight w:val="none"/>
        </w:rPr>
        <w:t>另外，根据千佛岩景区</w:t>
      </w:r>
      <w:r>
        <w:rPr>
          <w:rFonts w:hint="eastAsia"/>
          <w:color w:val="auto"/>
          <w:sz w:val="28"/>
          <w:szCs w:val="28"/>
          <w:highlight w:val="none"/>
        </w:rPr>
        <w:t>客运旅游环线</w:t>
      </w:r>
      <w:r>
        <w:rPr>
          <w:color w:val="auto"/>
          <w:sz w:val="28"/>
          <w:szCs w:val="28"/>
          <w:highlight w:val="none"/>
        </w:rPr>
        <w:t>发展需要，在夹江港区</w:t>
      </w:r>
      <w:r>
        <w:rPr>
          <w:rFonts w:hint="eastAsia"/>
          <w:color w:val="auto"/>
          <w:sz w:val="28"/>
          <w:szCs w:val="28"/>
          <w:highlight w:val="none"/>
        </w:rPr>
        <w:t>毛滩库区内规划了峨眉山月</w:t>
      </w:r>
      <w:r>
        <w:rPr>
          <w:color w:val="auto"/>
          <w:sz w:val="28"/>
          <w:szCs w:val="28"/>
          <w:highlight w:val="none"/>
        </w:rPr>
        <w:t>客运停靠点，规划建设1个客运泊位。</w:t>
      </w:r>
    </w:p>
    <w:bookmarkEnd w:id="221"/>
    <w:p>
      <w:pPr>
        <w:pStyle w:val="2"/>
        <w:spacing w:line="360" w:lineRule="auto"/>
        <w:ind w:firstLine="562" w:firstLineChars="200"/>
        <w:outlineLvl w:val="2"/>
        <w:rPr>
          <w:rFonts w:ascii="Times New Roman" w:eastAsia="黑体" w:cs="Times New Roman"/>
          <w:b/>
          <w:color w:val="auto"/>
          <w:kern w:val="2"/>
          <w:sz w:val="28"/>
          <w:szCs w:val="28"/>
          <w:highlight w:val="none"/>
        </w:rPr>
      </w:pPr>
      <w:bookmarkStart w:id="222" w:name="_Toc67908289"/>
      <w:bookmarkStart w:id="223" w:name="_Toc77781922"/>
      <w:bookmarkStart w:id="224" w:name="_Toc39690725"/>
      <w:bookmarkStart w:id="225" w:name="_Toc67924692"/>
      <w:bookmarkStart w:id="226" w:name="_Toc53089265"/>
      <w:bookmarkStart w:id="227" w:name="_Toc67908292"/>
      <w:bookmarkStart w:id="228" w:name="_Toc77781925"/>
      <w:r>
        <w:rPr>
          <w:rFonts w:ascii="Times New Roman" w:eastAsia="黑体" w:cs="Times New Roman"/>
          <w:b/>
          <w:color w:val="auto"/>
          <w:kern w:val="2"/>
          <w:sz w:val="28"/>
          <w:szCs w:val="28"/>
          <w:highlight w:val="none"/>
        </w:rPr>
        <w:t>二、</w:t>
      </w:r>
      <w:r>
        <w:rPr>
          <w:rFonts w:hint="eastAsia" w:ascii="Times New Roman" w:eastAsia="黑体" w:cs="Times New Roman"/>
          <w:b/>
          <w:color w:val="auto"/>
          <w:kern w:val="2"/>
          <w:sz w:val="28"/>
          <w:szCs w:val="28"/>
          <w:highlight w:val="none"/>
        </w:rPr>
        <w:t>重点</w:t>
      </w:r>
      <w:r>
        <w:rPr>
          <w:rFonts w:ascii="Times New Roman" w:eastAsia="黑体" w:cs="Times New Roman"/>
          <w:b/>
          <w:color w:val="auto"/>
          <w:kern w:val="2"/>
          <w:sz w:val="28"/>
          <w:szCs w:val="28"/>
          <w:highlight w:val="none"/>
        </w:rPr>
        <w:t>作业区及码头布置规划</w:t>
      </w:r>
      <w:bookmarkEnd w:id="222"/>
      <w:bookmarkEnd w:id="223"/>
      <w:bookmarkEnd w:id="224"/>
      <w:bookmarkEnd w:id="225"/>
      <w:bookmarkEnd w:id="226"/>
    </w:p>
    <w:p>
      <w:pPr>
        <w:pStyle w:val="2"/>
        <w:spacing w:line="360" w:lineRule="auto"/>
        <w:ind w:firstLine="561"/>
        <w:outlineLvl w:val="3"/>
        <w:rPr>
          <w:rFonts w:ascii="Times New Roman" w:cs="Times New Roman"/>
          <w:b/>
          <w:color w:val="auto"/>
          <w:sz w:val="28"/>
          <w:szCs w:val="28"/>
          <w:highlight w:val="none"/>
        </w:rPr>
      </w:pPr>
      <w:r>
        <w:rPr>
          <w:rFonts w:ascii="Times New Roman" w:cs="Times New Roman"/>
          <w:b/>
          <w:color w:val="auto"/>
          <w:sz w:val="28"/>
          <w:szCs w:val="28"/>
          <w:highlight w:val="none"/>
        </w:rPr>
        <w:t>（一）嘉州港区</w:t>
      </w:r>
    </w:p>
    <w:p>
      <w:pPr>
        <w:spacing w:line="360" w:lineRule="auto"/>
        <w:ind w:firstLine="480"/>
        <w:rPr>
          <w:b/>
          <w:sz w:val="28"/>
          <w:szCs w:val="28"/>
          <w:highlight w:val="none"/>
        </w:rPr>
      </w:pPr>
      <w:r>
        <w:rPr>
          <w:b/>
          <w:sz w:val="28"/>
          <w:szCs w:val="28"/>
          <w:highlight w:val="none"/>
        </w:rPr>
        <w:t>1.老江坝作业区</w:t>
      </w:r>
    </w:p>
    <w:p>
      <w:pPr>
        <w:pStyle w:val="2"/>
        <w:spacing w:line="360" w:lineRule="auto"/>
        <w:ind w:firstLine="562" w:firstLineChars="200"/>
        <w:jc w:val="both"/>
        <w:rPr>
          <w:color w:val="auto"/>
          <w:sz w:val="28"/>
          <w:szCs w:val="28"/>
          <w:highlight w:val="none"/>
        </w:rPr>
      </w:pPr>
      <w:r>
        <w:rPr>
          <w:rFonts w:ascii="Times New Roman" w:cs="Times New Roman"/>
          <w:b/>
          <w:color w:val="auto"/>
          <w:kern w:val="2"/>
          <w:sz w:val="28"/>
          <w:szCs w:val="28"/>
          <w:highlight w:val="none"/>
        </w:rPr>
        <w:t>岷江水上应急救援中心：</w:t>
      </w:r>
      <w:r>
        <w:rPr>
          <w:rFonts w:ascii="Times New Roman" w:cs="Times New Roman"/>
          <w:color w:val="auto"/>
          <w:sz w:val="28"/>
          <w:szCs w:val="28"/>
          <w:highlight w:val="none"/>
        </w:rPr>
        <w:t>位于老木孔枢纽库区岷江右岸，上接岷江航电调度中心，下靠游轮码头，规划</w:t>
      </w:r>
      <w:r>
        <w:rPr>
          <w:rFonts w:hint="eastAsia" w:ascii="Times New Roman" w:cs="Times New Roman"/>
          <w:color w:val="auto"/>
          <w:sz w:val="28"/>
          <w:szCs w:val="28"/>
          <w:highlight w:val="none"/>
        </w:rPr>
        <w:t>建设</w:t>
      </w:r>
      <w:r>
        <w:rPr>
          <w:rFonts w:ascii="Times New Roman" w:cs="Times New Roman"/>
          <w:color w:val="auto"/>
          <w:sz w:val="28"/>
          <w:szCs w:val="28"/>
          <w:highlight w:val="none"/>
        </w:rPr>
        <w:t>12</w:t>
      </w:r>
      <w:r>
        <w:rPr>
          <w:rFonts w:hint="eastAsia" w:ascii="Times New Roman" w:cs="Times New Roman"/>
          <w:color w:val="auto"/>
          <w:sz w:val="28"/>
          <w:szCs w:val="28"/>
          <w:highlight w:val="none"/>
        </w:rPr>
        <w:t>个泊位，包括</w:t>
      </w:r>
      <w:r>
        <w:rPr>
          <w:rFonts w:ascii="Times New Roman" w:cs="Times New Roman"/>
          <w:color w:val="auto"/>
          <w:sz w:val="28"/>
          <w:szCs w:val="28"/>
          <w:highlight w:val="none"/>
        </w:rPr>
        <w:t>2</w:t>
      </w:r>
      <w:r>
        <w:rPr>
          <w:rFonts w:hint="eastAsia" w:ascii="Times New Roman" w:cs="Times New Roman"/>
          <w:color w:val="auto"/>
          <w:sz w:val="28"/>
          <w:szCs w:val="28"/>
          <w:highlight w:val="none"/>
        </w:rPr>
        <w:t>个应急救援泊位、</w:t>
      </w:r>
      <w:r>
        <w:rPr>
          <w:rFonts w:ascii="Times New Roman" w:cs="Times New Roman"/>
          <w:color w:val="auto"/>
          <w:sz w:val="28"/>
          <w:szCs w:val="28"/>
          <w:highlight w:val="none"/>
        </w:rPr>
        <w:t>2</w:t>
      </w:r>
      <w:r>
        <w:rPr>
          <w:rFonts w:hint="eastAsia" w:ascii="Times New Roman" w:cs="Times New Roman"/>
          <w:color w:val="auto"/>
          <w:sz w:val="28"/>
          <w:szCs w:val="28"/>
          <w:highlight w:val="none"/>
        </w:rPr>
        <w:t>艘船舶污染物接收船泊位、2个航道工作船泊位、2个海事工作船泊位、预留公安、消防泊位、环保等公务船泊位</w:t>
      </w:r>
      <w:r>
        <w:rPr>
          <w:rFonts w:ascii="Times New Roman" w:cs="Times New Roman"/>
          <w:color w:val="auto"/>
          <w:sz w:val="28"/>
          <w:szCs w:val="28"/>
          <w:highlight w:val="none"/>
        </w:rPr>
        <w:t>4</w:t>
      </w:r>
      <w:r>
        <w:rPr>
          <w:rFonts w:hint="eastAsia" w:ascii="Times New Roman" w:cs="Times New Roman"/>
          <w:color w:val="auto"/>
          <w:sz w:val="28"/>
          <w:szCs w:val="28"/>
          <w:highlight w:val="none"/>
        </w:rPr>
        <w:t>个，</w:t>
      </w:r>
      <w:r>
        <w:rPr>
          <w:rFonts w:ascii="Times New Roman" w:cs="Times New Roman"/>
          <w:color w:val="auto"/>
          <w:sz w:val="28"/>
          <w:szCs w:val="28"/>
          <w:highlight w:val="none"/>
        </w:rPr>
        <w:t>占用岸线750m。在上游侧</w:t>
      </w:r>
      <w:r>
        <w:rPr>
          <w:rFonts w:hint="eastAsia" w:ascii="Times New Roman" w:cs="Times New Roman"/>
          <w:color w:val="auto"/>
          <w:sz w:val="28"/>
          <w:szCs w:val="28"/>
          <w:highlight w:val="none"/>
        </w:rPr>
        <w:t>拟采用港湾式设计，向内陆挖深形成内湖，主汛期作为船舶应急停靠锚地，考虑满足60艘船舶锚泊的需要，锚地长约300m，宽约300m，</w:t>
      </w:r>
      <w:r>
        <w:rPr>
          <w:rFonts w:eastAsiaTheme="minorEastAsia"/>
          <w:color w:val="auto"/>
          <w:sz w:val="28"/>
          <w:szCs w:val="28"/>
          <w:highlight w:val="none"/>
        </w:rPr>
        <w:t>规划陆域面积275200m²</w:t>
      </w:r>
      <w:r>
        <w:rPr>
          <w:rFonts w:hint="eastAsia" w:ascii="Times New Roman" w:cs="Times New Roman"/>
          <w:color w:val="auto"/>
          <w:sz w:val="28"/>
          <w:szCs w:val="28"/>
          <w:highlight w:val="none"/>
        </w:rPr>
        <w:t>。主汛期外作为船员训练、培育、考试场地，同时作为水上应急救援演练基地。</w:t>
      </w:r>
      <w:r>
        <w:rPr>
          <w:rFonts w:hint="eastAsia"/>
          <w:color w:val="auto"/>
          <w:sz w:val="28"/>
          <w:szCs w:val="28"/>
          <w:highlight w:val="none"/>
        </w:rPr>
        <w:t>码头布置有应急物资储备仓库、应急救援指挥中心大楼、海事中心、培训中心、停车场等设施，</w:t>
      </w:r>
      <w:r>
        <w:rPr>
          <w:color w:val="auto"/>
          <w:sz w:val="28"/>
          <w:szCs w:val="28"/>
          <w:highlight w:val="none"/>
        </w:rPr>
        <w:t>后方有进港大道、机场大道。</w:t>
      </w:r>
    </w:p>
    <w:p>
      <w:pPr>
        <w:spacing w:line="360" w:lineRule="auto"/>
        <w:ind w:firstLine="480"/>
        <w:rPr>
          <w:sz w:val="28"/>
          <w:szCs w:val="28"/>
          <w:highlight w:val="none"/>
        </w:rPr>
      </w:pPr>
      <w:r>
        <w:rPr>
          <w:b/>
          <w:sz w:val="28"/>
          <w:szCs w:val="28"/>
          <w:highlight w:val="none"/>
        </w:rPr>
        <w:t>游轮码头：</w:t>
      </w:r>
      <w:r>
        <w:rPr>
          <w:rFonts w:eastAsiaTheme="minorEastAsia"/>
          <w:sz w:val="28"/>
          <w:szCs w:val="28"/>
          <w:highlight w:val="none"/>
        </w:rPr>
        <w:t>位于规划岷江老木孔枢纽库区内，下距老木孔枢纽约3.7km，紧邻老江坝大件码头上游，岸线上游由于老江坝心洲分左右汊流，河谷宽阔，所在岸线顺直、陆域开阔平坦，高程适宜。规划岸线总长2000m，共规划建设20个旅游客运泊位，作为游轮、游艇停靠，客运通过能力为600万人次/年。陆域纵深约1200m，规划陆域面积2210700m²，其中港口用地600000m²，后方布置有游客中心、停车场、购物中心、美食休闲区等港口配套用地，占地面积1610700m²。陆域与后方进港大道之间预留了100m的绿化带，后方有进港大道、机场大道。</w:t>
      </w:r>
    </w:p>
    <w:p>
      <w:pPr>
        <w:tabs>
          <w:tab w:val="left" w:pos="720"/>
        </w:tabs>
        <w:spacing w:line="360" w:lineRule="auto"/>
        <w:ind w:firstLine="480"/>
        <w:rPr>
          <w:sz w:val="28"/>
          <w:szCs w:val="28"/>
          <w:highlight w:val="none"/>
        </w:rPr>
      </w:pPr>
      <w:r>
        <w:rPr>
          <w:rFonts w:hint="eastAsia"/>
          <w:b/>
          <w:sz w:val="28"/>
          <w:szCs w:val="28"/>
          <w:highlight w:val="none"/>
        </w:rPr>
        <w:t>大件</w:t>
      </w:r>
      <w:r>
        <w:rPr>
          <w:b/>
          <w:sz w:val="28"/>
          <w:szCs w:val="28"/>
          <w:highlight w:val="none"/>
        </w:rPr>
        <w:t>码头：</w:t>
      </w:r>
      <w:r>
        <w:rPr>
          <w:sz w:val="28"/>
          <w:szCs w:val="28"/>
          <w:highlight w:val="none"/>
        </w:rPr>
        <w:t>位于规划岷江老木孔枢纽库区内，下距老木孔枢纽约3km，河谷宽阔，所在岸线顺直、陆域开阔平滩，高程适宜。规划布置1个1000吨级重大件泊位、3</w:t>
      </w:r>
      <w:r>
        <w:rPr>
          <w:rFonts w:hint="eastAsia"/>
          <w:sz w:val="28"/>
          <w:szCs w:val="28"/>
          <w:highlight w:val="none"/>
        </w:rPr>
        <w:t>个</w:t>
      </w:r>
      <w:r>
        <w:rPr>
          <w:sz w:val="28"/>
          <w:szCs w:val="28"/>
          <w:highlight w:val="none"/>
        </w:rPr>
        <w:t>1000吨级</w:t>
      </w:r>
      <w:r>
        <w:rPr>
          <w:rFonts w:hint="eastAsia"/>
          <w:sz w:val="28"/>
          <w:szCs w:val="28"/>
          <w:highlight w:val="none"/>
        </w:rPr>
        <w:t>多用途</w:t>
      </w:r>
      <w:r>
        <w:rPr>
          <w:sz w:val="28"/>
          <w:szCs w:val="28"/>
          <w:highlight w:val="none"/>
        </w:rPr>
        <w:t>泊位、1</w:t>
      </w:r>
      <w:r>
        <w:rPr>
          <w:rFonts w:hint="eastAsia"/>
          <w:sz w:val="28"/>
          <w:szCs w:val="28"/>
          <w:highlight w:val="none"/>
        </w:rPr>
        <w:t>个</w:t>
      </w:r>
      <w:r>
        <w:rPr>
          <w:sz w:val="28"/>
          <w:szCs w:val="28"/>
          <w:highlight w:val="none"/>
        </w:rPr>
        <w:t>1000吨级通用泊位，占用岸线600m，通过能力重件15万t/年、集装箱</w:t>
      </w:r>
      <w:r>
        <w:rPr>
          <w:rFonts w:hint="eastAsia"/>
          <w:sz w:val="28"/>
          <w:szCs w:val="28"/>
          <w:highlight w:val="none"/>
        </w:rPr>
        <w:t>1</w:t>
      </w:r>
      <w:r>
        <w:rPr>
          <w:sz w:val="28"/>
          <w:szCs w:val="28"/>
          <w:highlight w:val="none"/>
        </w:rPr>
        <w:t>5万TEU/年、件杂货</w:t>
      </w:r>
      <w:r>
        <w:rPr>
          <w:rFonts w:hint="eastAsia"/>
          <w:sz w:val="28"/>
          <w:szCs w:val="28"/>
          <w:highlight w:val="none"/>
        </w:rPr>
        <w:t>1</w:t>
      </w:r>
      <w:r>
        <w:rPr>
          <w:sz w:val="28"/>
          <w:szCs w:val="28"/>
          <w:highlight w:val="none"/>
        </w:rPr>
        <w:t>20万t/年，布置有堆场、仓库、洗箱、重大件工具材料库及管理综合楼、停车场等，陆域纵深约500m，码头占地约250000m²，码头后方布置有物流仓储区，沿水流方向长约500m，纵深约300~420m，仓储物流占地约105300m²，码头及仓储物流区与后方的进港大道之间预留了约100m的绿化带。码头后方为进港大道，通过进港大道可直接与机场大道相接，规划有省道215线大件码头进港专用公路接至港口。中远期规划</w:t>
      </w:r>
      <w:r>
        <w:rPr>
          <w:rFonts w:hint="eastAsia"/>
          <w:sz w:val="28"/>
          <w:szCs w:val="28"/>
          <w:highlight w:val="none"/>
        </w:rPr>
        <w:t>从</w:t>
      </w:r>
      <w:r>
        <w:rPr>
          <w:sz w:val="28"/>
          <w:szCs w:val="28"/>
          <w:highlight w:val="none"/>
        </w:rPr>
        <w:t>连乐铁路接支线进入港区，可实现铁水联运。</w:t>
      </w:r>
      <w:r>
        <w:rPr>
          <w:rFonts w:hint="eastAsia"/>
          <w:sz w:val="28"/>
          <w:szCs w:val="28"/>
          <w:highlight w:val="none"/>
        </w:rPr>
        <w:t>乐山拟依托老江坝作业区和老木孔枢纽推动老木孔枢纽片区综合开发，在作业区后方规划布局商务、商业、居住、物流仓储</w:t>
      </w:r>
      <w:r>
        <w:rPr>
          <w:sz w:val="28"/>
          <w:szCs w:val="28"/>
          <w:highlight w:val="none"/>
        </w:rPr>
        <w:t>产业</w:t>
      </w:r>
      <w:r>
        <w:rPr>
          <w:rFonts w:hint="eastAsia"/>
          <w:sz w:val="28"/>
          <w:szCs w:val="28"/>
          <w:highlight w:val="none"/>
        </w:rPr>
        <w:t>等各项功能用地约</w:t>
      </w:r>
      <w:r>
        <w:rPr>
          <w:sz w:val="28"/>
          <w:szCs w:val="28"/>
          <w:highlight w:val="none"/>
        </w:rPr>
        <w:t>4.74</w:t>
      </w:r>
      <w:r>
        <w:rPr>
          <w:rFonts w:hint="eastAsia"/>
          <w:sz w:val="28"/>
          <w:szCs w:val="28"/>
          <w:highlight w:val="none"/>
        </w:rPr>
        <w:t>km</w:t>
      </w:r>
      <w:r>
        <w:rPr>
          <w:sz w:val="28"/>
          <w:szCs w:val="28"/>
          <w:highlight w:val="none"/>
          <w:vertAlign w:val="superscript"/>
        </w:rPr>
        <w:t>2</w:t>
      </w:r>
      <w:r>
        <w:rPr>
          <w:sz w:val="28"/>
          <w:szCs w:val="28"/>
          <w:highlight w:val="none"/>
        </w:rPr>
        <w:t>（</w:t>
      </w:r>
      <w:r>
        <w:rPr>
          <w:rFonts w:hint="eastAsia"/>
          <w:sz w:val="28"/>
          <w:szCs w:val="28"/>
          <w:highlight w:val="none"/>
        </w:rPr>
        <w:t>详见第六章第八节）</w:t>
      </w:r>
      <w:r>
        <w:rPr>
          <w:sz w:val="28"/>
          <w:szCs w:val="28"/>
          <w:highlight w:val="none"/>
        </w:rPr>
        <w:t>。</w:t>
      </w:r>
    </w:p>
    <w:p>
      <w:pPr>
        <w:spacing w:line="360" w:lineRule="auto"/>
        <w:ind w:firstLine="560" w:firstLineChars="200"/>
        <w:rPr>
          <w:kern w:val="0"/>
          <w:sz w:val="28"/>
          <w:szCs w:val="28"/>
          <w:highlight w:val="none"/>
        </w:rPr>
      </w:pPr>
      <w:r>
        <w:rPr>
          <w:kern w:val="0"/>
          <w:sz w:val="28"/>
          <w:szCs w:val="28"/>
          <w:highlight w:val="none"/>
        </w:rPr>
        <w:t>老江坝作业区岷江水上应急救援中心</w:t>
      </w:r>
      <w:r>
        <w:rPr>
          <w:rFonts w:hint="eastAsia"/>
          <w:kern w:val="0"/>
          <w:sz w:val="28"/>
          <w:szCs w:val="28"/>
          <w:highlight w:val="none"/>
        </w:rPr>
        <w:t>、</w:t>
      </w:r>
      <w:r>
        <w:rPr>
          <w:kern w:val="0"/>
          <w:sz w:val="28"/>
          <w:szCs w:val="28"/>
          <w:highlight w:val="none"/>
        </w:rPr>
        <w:t>游轮码头、</w:t>
      </w:r>
      <w:r>
        <w:rPr>
          <w:sz w:val="28"/>
          <w:szCs w:val="28"/>
          <w:highlight w:val="none"/>
        </w:rPr>
        <w:t>货运</w:t>
      </w:r>
      <w:r>
        <w:rPr>
          <w:kern w:val="0"/>
          <w:sz w:val="28"/>
          <w:szCs w:val="28"/>
          <w:highlight w:val="none"/>
        </w:rPr>
        <w:t>码头规划图详见附图LSZGⅡ-01。</w:t>
      </w:r>
    </w:p>
    <w:p>
      <w:pPr>
        <w:pStyle w:val="2"/>
        <w:spacing w:line="360" w:lineRule="auto"/>
        <w:ind w:firstLine="562" w:firstLineChars="200"/>
        <w:jc w:val="both"/>
        <w:rPr>
          <w:rFonts w:ascii="Times New Roman" w:cs="Times New Roman"/>
          <w:color w:val="auto"/>
          <w:sz w:val="28"/>
          <w:szCs w:val="28"/>
          <w:highlight w:val="none"/>
        </w:rPr>
      </w:pPr>
      <w:r>
        <w:rPr>
          <w:rFonts w:ascii="Times New Roman" w:cs="Times New Roman"/>
          <w:b/>
          <w:color w:val="auto"/>
          <w:kern w:val="2"/>
          <w:sz w:val="28"/>
          <w:szCs w:val="28"/>
          <w:highlight w:val="none"/>
        </w:rPr>
        <w:t>2.</w:t>
      </w:r>
      <w:r>
        <w:rPr>
          <w:rFonts w:hint="eastAsia" w:ascii="Times New Roman" w:cs="Times New Roman"/>
          <w:b/>
          <w:color w:val="auto"/>
          <w:kern w:val="2"/>
          <w:sz w:val="28"/>
          <w:szCs w:val="28"/>
          <w:highlight w:val="none"/>
        </w:rPr>
        <w:t>大佛客运作业区：</w:t>
      </w:r>
      <w:r>
        <w:rPr>
          <w:rFonts w:hint="eastAsia" w:ascii="Times New Roman" w:cs="Times New Roman"/>
          <w:color w:val="auto"/>
          <w:sz w:val="28"/>
          <w:szCs w:val="28"/>
          <w:highlight w:val="none"/>
        </w:rPr>
        <w:t>包括</w:t>
      </w:r>
      <w:r>
        <w:rPr>
          <w:rFonts w:ascii="Times New Roman" w:cs="Times New Roman"/>
          <w:color w:val="auto"/>
          <w:sz w:val="28"/>
          <w:szCs w:val="28"/>
          <w:highlight w:val="none"/>
        </w:rPr>
        <w:t>芭蕉林旅游客运码头</w:t>
      </w:r>
      <w:r>
        <w:rPr>
          <w:rFonts w:hint="eastAsia" w:ascii="Times New Roman" w:cs="Times New Roman"/>
          <w:color w:val="auto"/>
          <w:sz w:val="28"/>
          <w:szCs w:val="28"/>
          <w:highlight w:val="none"/>
        </w:rPr>
        <w:t>、</w:t>
      </w:r>
      <w:r>
        <w:rPr>
          <w:rFonts w:ascii="Times New Roman" w:cs="Times New Roman"/>
          <w:color w:val="auto"/>
          <w:sz w:val="28"/>
          <w:szCs w:val="28"/>
          <w:highlight w:val="none"/>
        </w:rPr>
        <w:t>乌尤寺旅游客运码头</w:t>
      </w:r>
      <w:r>
        <w:rPr>
          <w:rFonts w:hint="eastAsia" w:ascii="Times New Roman" w:cs="Times New Roman"/>
          <w:color w:val="auto"/>
          <w:sz w:val="28"/>
          <w:szCs w:val="28"/>
          <w:highlight w:val="none"/>
        </w:rPr>
        <w:t>、</w:t>
      </w:r>
      <w:r>
        <w:rPr>
          <w:rFonts w:ascii="Times New Roman" w:cs="Times New Roman"/>
          <w:color w:val="auto"/>
          <w:sz w:val="28"/>
          <w:szCs w:val="28"/>
          <w:highlight w:val="none"/>
        </w:rPr>
        <w:t>凤洲岛旅游客运码头</w:t>
      </w:r>
      <w:r>
        <w:rPr>
          <w:rFonts w:hint="eastAsia" w:ascii="Times New Roman" w:cs="Times New Roman"/>
          <w:color w:val="auto"/>
          <w:sz w:val="28"/>
          <w:szCs w:val="28"/>
          <w:highlight w:val="none"/>
        </w:rPr>
        <w:t>、小铜河客运停靠点。</w:t>
      </w:r>
      <w:r>
        <w:rPr>
          <w:rFonts w:ascii="Times New Roman" w:cs="Times New Roman"/>
          <w:b/>
          <w:color w:val="auto"/>
          <w:kern w:val="2"/>
          <w:sz w:val="28"/>
          <w:szCs w:val="28"/>
          <w:highlight w:val="none"/>
        </w:rPr>
        <w:t>芭蕉林旅游客运码头</w:t>
      </w:r>
      <w:r>
        <w:rPr>
          <w:rFonts w:hint="eastAsia"/>
          <w:color w:val="auto"/>
          <w:sz w:val="28"/>
          <w:szCs w:val="28"/>
          <w:highlight w:val="none"/>
        </w:rPr>
        <w:t>位于岷江左岸，下距</w:t>
      </w:r>
      <w:r>
        <w:rPr>
          <w:color w:val="auto"/>
          <w:sz w:val="28"/>
          <w:szCs w:val="28"/>
          <w:highlight w:val="none"/>
        </w:rPr>
        <w:t>老木孔坝址15.</w:t>
      </w:r>
      <w:r>
        <w:rPr>
          <w:rFonts w:hint="eastAsia"/>
          <w:color w:val="auto"/>
          <w:sz w:val="28"/>
          <w:szCs w:val="28"/>
          <w:highlight w:val="none"/>
        </w:rPr>
        <w:t>82</w:t>
      </w:r>
      <w:r>
        <w:rPr>
          <w:color w:val="auto"/>
          <w:sz w:val="28"/>
          <w:szCs w:val="28"/>
          <w:highlight w:val="none"/>
        </w:rPr>
        <w:t>km，</w:t>
      </w:r>
      <w:r>
        <w:rPr>
          <w:rFonts w:hint="eastAsia"/>
          <w:color w:val="auto"/>
          <w:sz w:val="28"/>
          <w:szCs w:val="28"/>
          <w:highlight w:val="none"/>
        </w:rPr>
        <w:t>所在</w:t>
      </w:r>
      <w:r>
        <w:rPr>
          <w:color w:val="auto"/>
          <w:sz w:val="28"/>
          <w:szCs w:val="28"/>
          <w:highlight w:val="none"/>
        </w:rPr>
        <w:t>岸线</w:t>
      </w:r>
      <w:r>
        <w:rPr>
          <w:rFonts w:hint="eastAsia"/>
          <w:color w:val="auto"/>
          <w:sz w:val="28"/>
          <w:szCs w:val="28"/>
          <w:highlight w:val="none"/>
        </w:rPr>
        <w:t>河岸</w:t>
      </w:r>
      <w:r>
        <w:rPr>
          <w:color w:val="auto"/>
          <w:sz w:val="28"/>
          <w:szCs w:val="28"/>
          <w:highlight w:val="none"/>
        </w:rPr>
        <w:t>顺直</w:t>
      </w:r>
      <w:r>
        <w:rPr>
          <w:rFonts w:hint="eastAsia"/>
          <w:color w:val="auto"/>
          <w:sz w:val="28"/>
          <w:szCs w:val="28"/>
          <w:highlight w:val="none"/>
        </w:rPr>
        <w:t>、</w:t>
      </w:r>
      <w:r>
        <w:rPr>
          <w:color w:val="auto"/>
          <w:sz w:val="28"/>
          <w:szCs w:val="28"/>
          <w:highlight w:val="none"/>
        </w:rPr>
        <w:t>陆域平坦，规</w:t>
      </w:r>
      <w:r>
        <w:rPr>
          <w:rFonts w:ascii="Times New Roman" w:cs="Times New Roman"/>
          <w:color w:val="auto"/>
          <w:sz w:val="28"/>
          <w:szCs w:val="28"/>
          <w:highlight w:val="none"/>
        </w:rPr>
        <w:t>划布置5个</w:t>
      </w:r>
      <w:r>
        <w:rPr>
          <w:rFonts w:hint="eastAsia" w:ascii="Times New Roman" w:cs="Times New Roman"/>
          <w:color w:val="auto"/>
          <w:sz w:val="28"/>
          <w:szCs w:val="28"/>
          <w:highlight w:val="none"/>
        </w:rPr>
        <w:t>旅游客运</w:t>
      </w:r>
      <w:r>
        <w:rPr>
          <w:rFonts w:ascii="Times New Roman" w:cs="Times New Roman"/>
          <w:color w:val="auto"/>
          <w:sz w:val="28"/>
          <w:szCs w:val="28"/>
          <w:highlight w:val="none"/>
        </w:rPr>
        <w:t>泊位，占用岸线300m，通过能力90</w:t>
      </w:r>
      <w:r>
        <w:rPr>
          <w:rFonts w:hint="eastAsia" w:ascii="Times New Roman" w:cs="Times New Roman"/>
          <w:color w:val="auto"/>
          <w:sz w:val="28"/>
          <w:szCs w:val="28"/>
          <w:highlight w:val="none"/>
        </w:rPr>
        <w:t>万人次</w:t>
      </w:r>
      <w:r>
        <w:rPr>
          <w:rFonts w:ascii="Times New Roman" w:cs="Times New Roman"/>
          <w:color w:val="auto"/>
          <w:sz w:val="28"/>
          <w:szCs w:val="28"/>
          <w:highlight w:val="none"/>
        </w:rPr>
        <w:t>/年，</w:t>
      </w:r>
      <w:r>
        <w:rPr>
          <w:rFonts w:eastAsiaTheme="minorEastAsia"/>
          <w:color w:val="auto"/>
          <w:sz w:val="28"/>
          <w:szCs w:val="28"/>
          <w:highlight w:val="none"/>
        </w:rPr>
        <w:t>规划陆域面积15000m²，</w:t>
      </w:r>
      <w:r>
        <w:rPr>
          <w:rFonts w:hint="eastAsia" w:ascii="Times New Roman" w:cs="Times New Roman"/>
          <w:color w:val="auto"/>
          <w:sz w:val="28"/>
          <w:szCs w:val="28"/>
          <w:highlight w:val="none"/>
        </w:rPr>
        <w:t>后方</w:t>
      </w:r>
      <w:r>
        <w:rPr>
          <w:rFonts w:ascii="Times New Roman" w:cs="Times New Roman"/>
          <w:color w:val="auto"/>
          <w:sz w:val="28"/>
          <w:szCs w:val="28"/>
          <w:highlight w:val="none"/>
        </w:rPr>
        <w:t>陆域</w:t>
      </w:r>
      <w:r>
        <w:rPr>
          <w:rFonts w:hint="eastAsia" w:ascii="Times New Roman" w:cs="Times New Roman"/>
          <w:color w:val="auto"/>
          <w:sz w:val="28"/>
          <w:szCs w:val="28"/>
          <w:highlight w:val="none"/>
        </w:rPr>
        <w:t>即为大佛景区北游客中心，</w:t>
      </w:r>
      <w:r>
        <w:rPr>
          <w:color w:val="auto"/>
          <w:sz w:val="28"/>
          <w:szCs w:val="28"/>
          <w:highlight w:val="none"/>
        </w:rPr>
        <w:t>集疏运方便。</w:t>
      </w:r>
      <w:r>
        <w:rPr>
          <w:rFonts w:ascii="Times New Roman" w:cs="Times New Roman"/>
          <w:b/>
          <w:color w:val="auto"/>
          <w:kern w:val="2"/>
          <w:sz w:val="28"/>
          <w:szCs w:val="28"/>
          <w:highlight w:val="none"/>
        </w:rPr>
        <w:t>乌尤寺旅游客运码头</w:t>
      </w:r>
      <w:r>
        <w:rPr>
          <w:rFonts w:hint="eastAsia"/>
          <w:color w:val="auto"/>
          <w:sz w:val="28"/>
          <w:szCs w:val="28"/>
          <w:highlight w:val="none"/>
        </w:rPr>
        <w:t>位于岷江左岸，下距</w:t>
      </w:r>
      <w:r>
        <w:rPr>
          <w:color w:val="auto"/>
          <w:sz w:val="28"/>
          <w:szCs w:val="28"/>
          <w:highlight w:val="none"/>
        </w:rPr>
        <w:t>老木孔坝址</w:t>
      </w:r>
      <w:r>
        <w:rPr>
          <w:rFonts w:hint="eastAsia"/>
          <w:color w:val="auto"/>
          <w:sz w:val="28"/>
          <w:szCs w:val="28"/>
          <w:highlight w:val="none"/>
        </w:rPr>
        <w:t>1</w:t>
      </w:r>
      <w:r>
        <w:rPr>
          <w:color w:val="auto"/>
          <w:sz w:val="28"/>
          <w:szCs w:val="28"/>
          <w:highlight w:val="none"/>
        </w:rPr>
        <w:t>2km，</w:t>
      </w:r>
      <w:r>
        <w:rPr>
          <w:rFonts w:hint="eastAsia"/>
          <w:color w:val="auto"/>
          <w:sz w:val="28"/>
          <w:szCs w:val="28"/>
          <w:highlight w:val="none"/>
        </w:rPr>
        <w:t>所在</w:t>
      </w:r>
      <w:r>
        <w:rPr>
          <w:color w:val="auto"/>
          <w:sz w:val="28"/>
          <w:szCs w:val="28"/>
          <w:highlight w:val="none"/>
        </w:rPr>
        <w:t>岸线</w:t>
      </w:r>
      <w:r>
        <w:rPr>
          <w:rFonts w:hint="eastAsia"/>
          <w:color w:val="auto"/>
          <w:sz w:val="28"/>
          <w:szCs w:val="28"/>
          <w:highlight w:val="none"/>
        </w:rPr>
        <w:t>河岸</w:t>
      </w:r>
      <w:r>
        <w:rPr>
          <w:color w:val="auto"/>
          <w:sz w:val="28"/>
          <w:szCs w:val="28"/>
          <w:highlight w:val="none"/>
        </w:rPr>
        <w:t>顺直</w:t>
      </w:r>
      <w:r>
        <w:rPr>
          <w:rFonts w:hint="eastAsia"/>
          <w:color w:val="auto"/>
          <w:sz w:val="28"/>
          <w:szCs w:val="28"/>
          <w:highlight w:val="none"/>
        </w:rPr>
        <w:t>、</w:t>
      </w:r>
      <w:r>
        <w:rPr>
          <w:color w:val="auto"/>
          <w:sz w:val="28"/>
          <w:szCs w:val="28"/>
          <w:highlight w:val="none"/>
        </w:rPr>
        <w:t>陆域平坦，</w:t>
      </w:r>
      <w:r>
        <w:rPr>
          <w:rFonts w:ascii="Times New Roman" w:cs="Times New Roman"/>
          <w:color w:val="auto"/>
          <w:sz w:val="28"/>
          <w:szCs w:val="28"/>
          <w:highlight w:val="none"/>
        </w:rPr>
        <w:t>规划布置5个</w:t>
      </w:r>
      <w:r>
        <w:rPr>
          <w:rFonts w:hint="eastAsia" w:ascii="Times New Roman" w:cs="Times New Roman"/>
          <w:color w:val="auto"/>
          <w:sz w:val="28"/>
          <w:szCs w:val="28"/>
          <w:highlight w:val="none"/>
        </w:rPr>
        <w:t>旅游客运</w:t>
      </w:r>
      <w:r>
        <w:rPr>
          <w:rFonts w:ascii="Times New Roman" w:cs="Times New Roman"/>
          <w:color w:val="auto"/>
          <w:sz w:val="28"/>
          <w:szCs w:val="28"/>
          <w:highlight w:val="none"/>
        </w:rPr>
        <w:t>泊位，占用岸线300m，</w:t>
      </w:r>
      <w:r>
        <w:rPr>
          <w:rFonts w:eastAsiaTheme="minorEastAsia"/>
          <w:color w:val="auto"/>
          <w:sz w:val="28"/>
          <w:szCs w:val="28"/>
          <w:highlight w:val="none"/>
        </w:rPr>
        <w:t>规划陆域面积15000m²，</w:t>
      </w:r>
      <w:r>
        <w:rPr>
          <w:rFonts w:ascii="Times New Roman" w:cs="Times New Roman"/>
          <w:color w:val="auto"/>
          <w:sz w:val="28"/>
          <w:szCs w:val="28"/>
          <w:highlight w:val="none"/>
        </w:rPr>
        <w:t>通过能力90</w:t>
      </w:r>
      <w:r>
        <w:rPr>
          <w:rFonts w:hint="eastAsia" w:ascii="Times New Roman" w:cs="Times New Roman"/>
          <w:color w:val="auto"/>
          <w:sz w:val="28"/>
          <w:szCs w:val="28"/>
          <w:highlight w:val="none"/>
        </w:rPr>
        <w:t>万人次</w:t>
      </w:r>
      <w:r>
        <w:rPr>
          <w:rFonts w:ascii="Times New Roman" w:cs="Times New Roman"/>
          <w:color w:val="auto"/>
          <w:sz w:val="28"/>
          <w:szCs w:val="28"/>
          <w:highlight w:val="none"/>
        </w:rPr>
        <w:t>/年</w:t>
      </w:r>
      <w:r>
        <w:rPr>
          <w:rFonts w:hint="eastAsia" w:ascii="Times New Roman" w:cs="Times New Roman"/>
          <w:color w:val="auto"/>
          <w:sz w:val="28"/>
          <w:szCs w:val="28"/>
          <w:highlight w:val="none"/>
        </w:rPr>
        <w:t>，后方</w:t>
      </w:r>
      <w:r>
        <w:rPr>
          <w:rFonts w:ascii="Times New Roman" w:cs="Times New Roman"/>
          <w:color w:val="auto"/>
          <w:sz w:val="28"/>
          <w:szCs w:val="28"/>
          <w:highlight w:val="none"/>
        </w:rPr>
        <w:t>陆域</w:t>
      </w:r>
      <w:r>
        <w:rPr>
          <w:rFonts w:hint="eastAsia" w:ascii="Times New Roman" w:cs="Times New Roman"/>
          <w:color w:val="auto"/>
          <w:sz w:val="28"/>
          <w:szCs w:val="28"/>
          <w:highlight w:val="none"/>
        </w:rPr>
        <w:t>即为大佛景区南游客中心，</w:t>
      </w:r>
      <w:r>
        <w:rPr>
          <w:color w:val="auto"/>
          <w:sz w:val="28"/>
          <w:szCs w:val="28"/>
          <w:highlight w:val="none"/>
        </w:rPr>
        <w:t>集疏运方便</w:t>
      </w:r>
      <w:r>
        <w:rPr>
          <w:rFonts w:ascii="Times New Roman" w:cs="Times New Roman"/>
          <w:color w:val="auto"/>
          <w:sz w:val="28"/>
          <w:szCs w:val="28"/>
          <w:highlight w:val="none"/>
        </w:rPr>
        <w:t>。</w:t>
      </w:r>
      <w:r>
        <w:rPr>
          <w:rFonts w:ascii="Times New Roman" w:cs="Times New Roman"/>
          <w:b/>
          <w:color w:val="auto"/>
          <w:kern w:val="2"/>
          <w:sz w:val="28"/>
          <w:szCs w:val="28"/>
          <w:highlight w:val="none"/>
        </w:rPr>
        <w:t>凤洲岛旅游客运码头</w:t>
      </w:r>
      <w:r>
        <w:rPr>
          <w:rFonts w:hint="eastAsia"/>
          <w:color w:val="auto"/>
          <w:sz w:val="28"/>
          <w:szCs w:val="28"/>
          <w:highlight w:val="none"/>
        </w:rPr>
        <w:t>位于大渡河凤洲岛，下距大渡河口6</w:t>
      </w:r>
      <w:r>
        <w:rPr>
          <w:color w:val="auto"/>
          <w:sz w:val="28"/>
          <w:szCs w:val="28"/>
          <w:highlight w:val="none"/>
        </w:rPr>
        <w:t>00</w:t>
      </w:r>
      <w:r>
        <w:rPr>
          <w:rFonts w:hint="eastAsia"/>
          <w:color w:val="auto"/>
          <w:sz w:val="28"/>
          <w:szCs w:val="28"/>
          <w:highlight w:val="none"/>
        </w:rPr>
        <w:t>m</w:t>
      </w:r>
      <w:r>
        <w:rPr>
          <w:color w:val="auto"/>
          <w:sz w:val="28"/>
          <w:szCs w:val="28"/>
          <w:highlight w:val="none"/>
        </w:rPr>
        <w:t>，</w:t>
      </w:r>
      <w:r>
        <w:rPr>
          <w:rFonts w:hint="eastAsia"/>
          <w:color w:val="auto"/>
          <w:sz w:val="28"/>
          <w:szCs w:val="28"/>
          <w:highlight w:val="none"/>
        </w:rPr>
        <w:t>所在</w:t>
      </w:r>
      <w:r>
        <w:rPr>
          <w:color w:val="auto"/>
          <w:sz w:val="28"/>
          <w:szCs w:val="28"/>
          <w:highlight w:val="none"/>
        </w:rPr>
        <w:t>岸线</w:t>
      </w:r>
      <w:r>
        <w:rPr>
          <w:rFonts w:hint="eastAsia"/>
          <w:color w:val="auto"/>
          <w:sz w:val="28"/>
          <w:szCs w:val="28"/>
          <w:highlight w:val="none"/>
        </w:rPr>
        <w:t>河岸</w:t>
      </w:r>
      <w:r>
        <w:rPr>
          <w:color w:val="auto"/>
          <w:sz w:val="28"/>
          <w:szCs w:val="28"/>
          <w:highlight w:val="none"/>
        </w:rPr>
        <w:t>顺直</w:t>
      </w:r>
      <w:r>
        <w:rPr>
          <w:rFonts w:hint="eastAsia"/>
          <w:color w:val="auto"/>
          <w:sz w:val="28"/>
          <w:szCs w:val="28"/>
          <w:highlight w:val="none"/>
        </w:rPr>
        <w:t>、</w:t>
      </w:r>
      <w:r>
        <w:rPr>
          <w:color w:val="auto"/>
          <w:sz w:val="28"/>
          <w:szCs w:val="28"/>
          <w:highlight w:val="none"/>
        </w:rPr>
        <w:t>陆域平坦，</w:t>
      </w:r>
      <w:r>
        <w:rPr>
          <w:rFonts w:ascii="Times New Roman" w:cs="Times New Roman"/>
          <w:color w:val="auto"/>
          <w:sz w:val="28"/>
          <w:szCs w:val="28"/>
          <w:highlight w:val="none"/>
        </w:rPr>
        <w:t>规划布置4个</w:t>
      </w:r>
      <w:r>
        <w:rPr>
          <w:rFonts w:hint="eastAsia" w:ascii="Times New Roman" w:cs="Times New Roman"/>
          <w:color w:val="auto"/>
          <w:sz w:val="28"/>
          <w:szCs w:val="28"/>
          <w:highlight w:val="none"/>
        </w:rPr>
        <w:t>旅游客运</w:t>
      </w:r>
      <w:r>
        <w:rPr>
          <w:rFonts w:ascii="Times New Roman" w:cs="Times New Roman"/>
          <w:color w:val="auto"/>
          <w:sz w:val="28"/>
          <w:szCs w:val="28"/>
          <w:highlight w:val="none"/>
        </w:rPr>
        <w:t>泊位，占用岸线200m，</w:t>
      </w:r>
      <w:r>
        <w:rPr>
          <w:rFonts w:eastAsiaTheme="minorEastAsia"/>
          <w:color w:val="auto"/>
          <w:sz w:val="28"/>
          <w:szCs w:val="28"/>
          <w:highlight w:val="none"/>
        </w:rPr>
        <w:t>规划陆域面积10000m²，</w:t>
      </w:r>
      <w:r>
        <w:rPr>
          <w:rFonts w:ascii="Times New Roman" w:cs="Times New Roman"/>
          <w:color w:val="auto"/>
          <w:sz w:val="28"/>
          <w:szCs w:val="28"/>
          <w:highlight w:val="none"/>
        </w:rPr>
        <w:t>通过能力80</w:t>
      </w:r>
      <w:r>
        <w:rPr>
          <w:rFonts w:hint="eastAsia" w:ascii="Times New Roman" w:cs="Times New Roman"/>
          <w:color w:val="auto"/>
          <w:sz w:val="28"/>
          <w:szCs w:val="28"/>
          <w:highlight w:val="none"/>
        </w:rPr>
        <w:t>万人次</w:t>
      </w:r>
      <w:r>
        <w:rPr>
          <w:rFonts w:ascii="Times New Roman" w:cs="Times New Roman"/>
          <w:color w:val="auto"/>
          <w:sz w:val="28"/>
          <w:szCs w:val="28"/>
          <w:highlight w:val="none"/>
        </w:rPr>
        <w:t>/年，</w:t>
      </w:r>
      <w:r>
        <w:rPr>
          <w:rFonts w:hint="eastAsia" w:ascii="Times New Roman" w:cs="Times New Roman"/>
          <w:color w:val="auto"/>
          <w:sz w:val="28"/>
          <w:szCs w:val="28"/>
          <w:highlight w:val="none"/>
        </w:rPr>
        <w:t>后方为规划的乌尤寺片区，</w:t>
      </w:r>
      <w:r>
        <w:rPr>
          <w:color w:val="auto"/>
          <w:sz w:val="28"/>
          <w:szCs w:val="28"/>
          <w:highlight w:val="none"/>
        </w:rPr>
        <w:t>岛内道路分布，目前通过桥梁连接大渡河右岸车子镇，集疏运较为方便</w:t>
      </w:r>
      <w:r>
        <w:rPr>
          <w:rFonts w:ascii="Times New Roman" w:cs="Times New Roman"/>
          <w:color w:val="auto"/>
          <w:sz w:val="28"/>
          <w:szCs w:val="28"/>
          <w:highlight w:val="none"/>
        </w:rPr>
        <w:t>。</w:t>
      </w:r>
    </w:p>
    <w:p>
      <w:pPr>
        <w:spacing w:line="360" w:lineRule="auto"/>
        <w:ind w:firstLine="560" w:firstLineChars="200"/>
        <w:rPr>
          <w:kern w:val="0"/>
          <w:sz w:val="28"/>
          <w:szCs w:val="28"/>
          <w:highlight w:val="none"/>
        </w:rPr>
      </w:pPr>
      <w:r>
        <w:rPr>
          <w:kern w:val="0"/>
          <w:sz w:val="28"/>
          <w:szCs w:val="28"/>
          <w:highlight w:val="none"/>
        </w:rPr>
        <w:t>嘉州港区作业区及码头规划情况见表5.3-1。</w:t>
      </w:r>
    </w:p>
    <w:p>
      <w:pPr>
        <w:widowControl/>
        <w:jc w:val="left"/>
        <w:rPr>
          <w:rFonts w:eastAsia="黑体"/>
          <w:kern w:val="0"/>
          <w:sz w:val="28"/>
          <w:szCs w:val="28"/>
          <w:highlight w:val="none"/>
        </w:rPr>
      </w:pPr>
      <w:r>
        <w:rPr>
          <w:rFonts w:eastAsia="黑体"/>
          <w:kern w:val="0"/>
          <w:sz w:val="28"/>
          <w:szCs w:val="28"/>
          <w:highlight w:val="none"/>
        </w:rPr>
        <w:br w:type="page"/>
      </w:r>
    </w:p>
    <w:p>
      <w:pPr>
        <w:spacing w:line="360" w:lineRule="auto"/>
        <w:ind w:firstLine="560" w:firstLineChars="200"/>
        <w:jc w:val="center"/>
        <w:rPr>
          <w:rFonts w:eastAsia="黑体"/>
          <w:sz w:val="28"/>
          <w:szCs w:val="28"/>
          <w:highlight w:val="none"/>
        </w:rPr>
      </w:pPr>
      <w:r>
        <w:rPr>
          <w:rFonts w:eastAsia="黑体"/>
          <w:kern w:val="0"/>
          <w:sz w:val="28"/>
          <w:szCs w:val="28"/>
          <w:highlight w:val="none"/>
        </w:rPr>
        <w:t xml:space="preserve">表5.3-1 </w:t>
      </w:r>
      <w:r>
        <w:rPr>
          <w:rFonts w:eastAsia="黑体"/>
          <w:sz w:val="28"/>
          <w:szCs w:val="28"/>
          <w:highlight w:val="none"/>
        </w:rPr>
        <w:t>嘉州港区主要作业区及码头规划情况表</w:t>
      </w:r>
    </w:p>
    <w:tbl>
      <w:tblPr>
        <w:tblStyle w:val="32"/>
        <w:tblW w:w="5000" w:type="pct"/>
        <w:jc w:val="center"/>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468"/>
        <w:gridCol w:w="1710"/>
        <w:gridCol w:w="1645"/>
        <w:gridCol w:w="966"/>
        <w:gridCol w:w="1660"/>
        <w:gridCol w:w="1165"/>
        <w:gridCol w:w="1672"/>
      </w:tblGrid>
      <w:tr>
        <w:tblPrEx>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173" w:type="pct"/>
            <w:gridSpan w:val="2"/>
            <w:vAlign w:val="center"/>
          </w:tcPr>
          <w:p>
            <w:pPr>
              <w:jc w:val="center"/>
              <w:rPr>
                <w:sz w:val="24"/>
                <w:highlight w:val="none"/>
              </w:rPr>
            </w:pPr>
            <w:r>
              <w:rPr>
                <w:sz w:val="24"/>
                <w:highlight w:val="none"/>
              </w:rPr>
              <w:t>作业区名称</w:t>
            </w:r>
          </w:p>
        </w:tc>
        <w:tc>
          <w:tcPr>
            <w:tcW w:w="886" w:type="pct"/>
            <w:vAlign w:val="center"/>
          </w:tcPr>
          <w:p>
            <w:pPr>
              <w:jc w:val="center"/>
              <w:rPr>
                <w:sz w:val="24"/>
                <w:highlight w:val="none"/>
              </w:rPr>
            </w:pPr>
            <w:r>
              <w:rPr>
                <w:sz w:val="24"/>
                <w:highlight w:val="none"/>
              </w:rPr>
              <w:t>主要功能</w:t>
            </w:r>
          </w:p>
        </w:tc>
        <w:tc>
          <w:tcPr>
            <w:tcW w:w="520" w:type="pct"/>
            <w:shd w:val="clear" w:color="auto" w:fill="auto"/>
            <w:vAlign w:val="center"/>
          </w:tcPr>
          <w:p>
            <w:pPr>
              <w:jc w:val="center"/>
              <w:rPr>
                <w:sz w:val="24"/>
                <w:highlight w:val="none"/>
              </w:rPr>
            </w:pPr>
            <w:r>
              <w:rPr>
                <w:sz w:val="24"/>
                <w:highlight w:val="none"/>
              </w:rPr>
              <w:t>规划泊位数（个）</w:t>
            </w:r>
          </w:p>
        </w:tc>
        <w:tc>
          <w:tcPr>
            <w:tcW w:w="894" w:type="pct"/>
            <w:shd w:val="clear" w:color="auto" w:fill="auto"/>
            <w:vAlign w:val="center"/>
          </w:tcPr>
          <w:p>
            <w:pPr>
              <w:jc w:val="center"/>
              <w:rPr>
                <w:sz w:val="24"/>
                <w:highlight w:val="none"/>
              </w:rPr>
            </w:pPr>
            <w:r>
              <w:rPr>
                <w:sz w:val="24"/>
                <w:highlight w:val="none"/>
              </w:rPr>
              <w:t>通过能力</w:t>
            </w:r>
          </w:p>
          <w:p>
            <w:pPr>
              <w:ind w:left="42" w:leftChars="-38" w:right="-80" w:rightChars="-38" w:hanging="122" w:hangingChars="51"/>
              <w:jc w:val="center"/>
              <w:rPr>
                <w:sz w:val="24"/>
                <w:highlight w:val="none"/>
              </w:rPr>
            </w:pPr>
            <w:r>
              <w:rPr>
                <w:sz w:val="24"/>
                <w:highlight w:val="none"/>
              </w:rPr>
              <w:t>（万t/万人次）</w:t>
            </w:r>
          </w:p>
        </w:tc>
        <w:tc>
          <w:tcPr>
            <w:tcW w:w="627" w:type="pct"/>
            <w:shd w:val="clear" w:color="auto" w:fill="auto"/>
            <w:vAlign w:val="center"/>
          </w:tcPr>
          <w:p>
            <w:pPr>
              <w:jc w:val="center"/>
              <w:rPr>
                <w:sz w:val="24"/>
                <w:highlight w:val="none"/>
              </w:rPr>
            </w:pPr>
            <w:r>
              <w:rPr>
                <w:sz w:val="24"/>
                <w:highlight w:val="none"/>
              </w:rPr>
              <w:t>占用土地</w:t>
            </w:r>
          </w:p>
          <w:p>
            <w:pPr>
              <w:jc w:val="center"/>
              <w:rPr>
                <w:sz w:val="24"/>
                <w:highlight w:val="none"/>
              </w:rPr>
            </w:pPr>
            <w:r>
              <w:rPr>
                <w:sz w:val="24"/>
                <w:highlight w:val="none"/>
              </w:rPr>
              <w:t>（m</w:t>
            </w:r>
            <w:r>
              <w:rPr>
                <w:sz w:val="24"/>
                <w:highlight w:val="none"/>
                <w:vertAlign w:val="superscript"/>
              </w:rPr>
              <w:t>2</w:t>
            </w:r>
            <w:r>
              <w:rPr>
                <w:sz w:val="24"/>
                <w:highlight w:val="none"/>
              </w:rPr>
              <w:t>）</w:t>
            </w:r>
          </w:p>
        </w:tc>
        <w:tc>
          <w:tcPr>
            <w:tcW w:w="900" w:type="pct"/>
            <w:shd w:val="clear" w:color="auto" w:fill="auto"/>
            <w:vAlign w:val="center"/>
          </w:tcPr>
          <w:p>
            <w:pPr>
              <w:jc w:val="center"/>
              <w:rPr>
                <w:sz w:val="24"/>
                <w:highlight w:val="none"/>
              </w:rPr>
            </w:pPr>
            <w:r>
              <w:rPr>
                <w:sz w:val="24"/>
                <w:highlight w:val="none"/>
              </w:rPr>
              <w:t>备注</w:t>
            </w:r>
          </w:p>
        </w:tc>
      </w:tr>
      <w:tr>
        <w:tblPrEx>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18" w:hRule="atLeast"/>
          <w:jc w:val="center"/>
        </w:trPr>
        <w:tc>
          <w:tcPr>
            <w:tcW w:w="252" w:type="pct"/>
            <w:vMerge w:val="restart"/>
            <w:tcBorders>
              <w:right w:val="single" w:color="auto" w:sz="4" w:space="0"/>
            </w:tcBorders>
            <w:vAlign w:val="center"/>
          </w:tcPr>
          <w:p>
            <w:pPr>
              <w:rPr>
                <w:sz w:val="24"/>
                <w:highlight w:val="none"/>
              </w:rPr>
            </w:pPr>
            <w:r>
              <w:rPr>
                <w:sz w:val="24"/>
                <w:highlight w:val="none"/>
              </w:rPr>
              <w:t>老江坝作业</w:t>
            </w:r>
          </w:p>
          <w:p>
            <w:pPr>
              <w:rPr>
                <w:sz w:val="24"/>
                <w:highlight w:val="none"/>
              </w:rPr>
            </w:pPr>
            <w:r>
              <w:rPr>
                <w:sz w:val="24"/>
                <w:highlight w:val="none"/>
              </w:rPr>
              <w:t>区</w:t>
            </w:r>
          </w:p>
        </w:tc>
        <w:tc>
          <w:tcPr>
            <w:tcW w:w="921" w:type="pct"/>
            <w:tcBorders>
              <w:left w:val="single" w:color="auto" w:sz="4" w:space="0"/>
            </w:tcBorders>
            <w:vAlign w:val="center"/>
          </w:tcPr>
          <w:p>
            <w:pPr>
              <w:rPr>
                <w:sz w:val="24"/>
                <w:highlight w:val="none"/>
              </w:rPr>
            </w:pPr>
            <w:r>
              <w:rPr>
                <w:sz w:val="24"/>
                <w:highlight w:val="none"/>
              </w:rPr>
              <w:t>岷江水上应急救援中心</w:t>
            </w:r>
          </w:p>
        </w:tc>
        <w:tc>
          <w:tcPr>
            <w:tcW w:w="886" w:type="pct"/>
            <w:vAlign w:val="center"/>
          </w:tcPr>
          <w:p>
            <w:pPr>
              <w:jc w:val="center"/>
              <w:rPr>
                <w:sz w:val="24"/>
                <w:highlight w:val="none"/>
              </w:rPr>
            </w:pPr>
            <w:r>
              <w:rPr>
                <w:sz w:val="24"/>
                <w:highlight w:val="none"/>
              </w:rPr>
              <w:t>综合服务</w:t>
            </w:r>
          </w:p>
        </w:tc>
        <w:tc>
          <w:tcPr>
            <w:tcW w:w="520" w:type="pct"/>
            <w:shd w:val="clear" w:color="auto" w:fill="auto"/>
            <w:vAlign w:val="center"/>
          </w:tcPr>
          <w:p>
            <w:pPr>
              <w:jc w:val="center"/>
              <w:rPr>
                <w:sz w:val="24"/>
                <w:highlight w:val="none"/>
              </w:rPr>
            </w:pPr>
            <w:r>
              <w:rPr>
                <w:sz w:val="24"/>
                <w:highlight w:val="none"/>
              </w:rPr>
              <w:t>12</w:t>
            </w:r>
          </w:p>
        </w:tc>
        <w:tc>
          <w:tcPr>
            <w:tcW w:w="894" w:type="pct"/>
            <w:shd w:val="clear" w:color="auto" w:fill="auto"/>
            <w:vAlign w:val="center"/>
          </w:tcPr>
          <w:p>
            <w:pPr>
              <w:jc w:val="center"/>
              <w:rPr>
                <w:sz w:val="24"/>
                <w:highlight w:val="none"/>
              </w:rPr>
            </w:pPr>
          </w:p>
        </w:tc>
        <w:tc>
          <w:tcPr>
            <w:tcW w:w="627" w:type="pct"/>
            <w:shd w:val="clear" w:color="auto" w:fill="auto"/>
            <w:vAlign w:val="center"/>
          </w:tcPr>
          <w:p>
            <w:pPr>
              <w:jc w:val="center"/>
              <w:rPr>
                <w:sz w:val="24"/>
                <w:highlight w:val="none"/>
              </w:rPr>
            </w:pPr>
            <w:r>
              <w:rPr>
                <w:sz w:val="24"/>
                <w:highlight w:val="none"/>
              </w:rPr>
              <w:t>275200</w:t>
            </w:r>
          </w:p>
        </w:tc>
        <w:tc>
          <w:tcPr>
            <w:tcW w:w="900" w:type="pct"/>
            <w:shd w:val="clear" w:color="auto" w:fill="auto"/>
            <w:vAlign w:val="center"/>
          </w:tcPr>
          <w:p>
            <w:pPr>
              <w:jc w:val="center"/>
              <w:rPr>
                <w:sz w:val="24"/>
                <w:highlight w:val="none"/>
              </w:rPr>
            </w:pPr>
          </w:p>
        </w:tc>
      </w:tr>
      <w:tr>
        <w:tblPrEx>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52" w:type="pct"/>
            <w:vMerge w:val="continue"/>
            <w:tcBorders>
              <w:right w:val="single" w:color="auto" w:sz="4" w:space="0"/>
            </w:tcBorders>
            <w:vAlign w:val="center"/>
          </w:tcPr>
          <w:p>
            <w:pPr>
              <w:rPr>
                <w:sz w:val="24"/>
                <w:highlight w:val="none"/>
              </w:rPr>
            </w:pPr>
          </w:p>
        </w:tc>
        <w:tc>
          <w:tcPr>
            <w:tcW w:w="921" w:type="pct"/>
            <w:tcBorders>
              <w:left w:val="single" w:color="auto" w:sz="4" w:space="0"/>
            </w:tcBorders>
            <w:vAlign w:val="center"/>
          </w:tcPr>
          <w:p>
            <w:pPr>
              <w:rPr>
                <w:sz w:val="24"/>
                <w:highlight w:val="none"/>
              </w:rPr>
            </w:pPr>
            <w:r>
              <w:rPr>
                <w:sz w:val="24"/>
                <w:highlight w:val="none"/>
              </w:rPr>
              <w:t>游轮码头</w:t>
            </w:r>
          </w:p>
        </w:tc>
        <w:tc>
          <w:tcPr>
            <w:tcW w:w="886" w:type="pct"/>
            <w:vAlign w:val="center"/>
          </w:tcPr>
          <w:p>
            <w:pPr>
              <w:jc w:val="center"/>
              <w:rPr>
                <w:sz w:val="24"/>
                <w:highlight w:val="none"/>
              </w:rPr>
            </w:pPr>
            <w:r>
              <w:rPr>
                <w:sz w:val="24"/>
                <w:highlight w:val="none"/>
              </w:rPr>
              <w:t>旅游客运</w:t>
            </w:r>
          </w:p>
        </w:tc>
        <w:tc>
          <w:tcPr>
            <w:tcW w:w="520" w:type="pct"/>
            <w:vAlign w:val="center"/>
          </w:tcPr>
          <w:p>
            <w:pPr>
              <w:jc w:val="center"/>
              <w:rPr>
                <w:sz w:val="24"/>
                <w:highlight w:val="none"/>
              </w:rPr>
            </w:pPr>
            <w:r>
              <w:rPr>
                <w:sz w:val="24"/>
                <w:highlight w:val="none"/>
              </w:rPr>
              <w:t>20</w:t>
            </w:r>
          </w:p>
        </w:tc>
        <w:tc>
          <w:tcPr>
            <w:tcW w:w="894" w:type="pct"/>
            <w:shd w:val="clear" w:color="auto" w:fill="auto"/>
            <w:vAlign w:val="center"/>
          </w:tcPr>
          <w:p>
            <w:pPr>
              <w:jc w:val="center"/>
              <w:rPr>
                <w:sz w:val="24"/>
                <w:highlight w:val="none"/>
              </w:rPr>
            </w:pPr>
            <w:r>
              <w:rPr>
                <w:sz w:val="24"/>
                <w:highlight w:val="none"/>
              </w:rPr>
              <w:t>600万人次</w:t>
            </w:r>
          </w:p>
        </w:tc>
        <w:tc>
          <w:tcPr>
            <w:tcW w:w="627" w:type="pct"/>
            <w:shd w:val="clear" w:color="auto" w:fill="auto"/>
            <w:vAlign w:val="center"/>
          </w:tcPr>
          <w:p>
            <w:pPr>
              <w:jc w:val="center"/>
              <w:rPr>
                <w:sz w:val="24"/>
                <w:highlight w:val="none"/>
              </w:rPr>
            </w:pPr>
            <w:r>
              <w:rPr>
                <w:sz w:val="24"/>
                <w:highlight w:val="none"/>
              </w:rPr>
              <w:t>2210700</w:t>
            </w:r>
          </w:p>
        </w:tc>
        <w:tc>
          <w:tcPr>
            <w:tcW w:w="900" w:type="pct"/>
            <w:shd w:val="clear" w:color="auto" w:fill="auto"/>
            <w:vAlign w:val="center"/>
          </w:tcPr>
          <w:p>
            <w:pPr>
              <w:jc w:val="center"/>
              <w:rPr>
                <w:sz w:val="24"/>
                <w:highlight w:val="none"/>
              </w:rPr>
            </w:pPr>
            <w:r>
              <w:rPr>
                <w:sz w:val="24"/>
                <w:highlight w:val="none"/>
              </w:rPr>
              <w:t>其中港口用地600000m</w:t>
            </w:r>
            <w:r>
              <w:rPr>
                <w:sz w:val="24"/>
                <w:highlight w:val="none"/>
                <w:vertAlign w:val="superscript"/>
              </w:rPr>
              <w:t>2</w:t>
            </w:r>
          </w:p>
        </w:tc>
      </w:tr>
      <w:tr>
        <w:tblPrEx>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52" w:type="pct"/>
            <w:vMerge w:val="continue"/>
            <w:tcBorders>
              <w:right w:val="single" w:color="auto" w:sz="4" w:space="0"/>
            </w:tcBorders>
            <w:vAlign w:val="center"/>
          </w:tcPr>
          <w:p>
            <w:pPr>
              <w:rPr>
                <w:sz w:val="24"/>
                <w:highlight w:val="none"/>
              </w:rPr>
            </w:pPr>
          </w:p>
        </w:tc>
        <w:tc>
          <w:tcPr>
            <w:tcW w:w="921" w:type="pct"/>
            <w:tcBorders>
              <w:left w:val="single" w:color="auto" w:sz="4" w:space="0"/>
            </w:tcBorders>
            <w:vAlign w:val="center"/>
          </w:tcPr>
          <w:p>
            <w:pPr>
              <w:rPr>
                <w:sz w:val="24"/>
                <w:highlight w:val="none"/>
              </w:rPr>
            </w:pPr>
            <w:r>
              <w:rPr>
                <w:rFonts w:hint="eastAsia"/>
                <w:sz w:val="24"/>
                <w:highlight w:val="none"/>
              </w:rPr>
              <w:t>大件</w:t>
            </w:r>
            <w:r>
              <w:rPr>
                <w:sz w:val="24"/>
                <w:highlight w:val="none"/>
              </w:rPr>
              <w:t>码头</w:t>
            </w:r>
          </w:p>
        </w:tc>
        <w:tc>
          <w:tcPr>
            <w:tcW w:w="886" w:type="pct"/>
            <w:vAlign w:val="center"/>
          </w:tcPr>
          <w:p>
            <w:pPr>
              <w:jc w:val="center"/>
              <w:rPr>
                <w:sz w:val="24"/>
                <w:highlight w:val="none"/>
              </w:rPr>
            </w:pPr>
            <w:r>
              <w:rPr>
                <w:sz w:val="24"/>
                <w:highlight w:val="none"/>
              </w:rPr>
              <w:t>重大件、集装箱、件杂</w:t>
            </w:r>
          </w:p>
        </w:tc>
        <w:tc>
          <w:tcPr>
            <w:tcW w:w="520" w:type="pct"/>
            <w:vAlign w:val="center"/>
          </w:tcPr>
          <w:p>
            <w:pPr>
              <w:jc w:val="center"/>
              <w:rPr>
                <w:sz w:val="24"/>
                <w:highlight w:val="none"/>
              </w:rPr>
            </w:pPr>
            <w:r>
              <w:rPr>
                <w:sz w:val="24"/>
                <w:highlight w:val="none"/>
              </w:rPr>
              <w:t>5</w:t>
            </w:r>
          </w:p>
        </w:tc>
        <w:tc>
          <w:tcPr>
            <w:tcW w:w="894" w:type="pct"/>
            <w:shd w:val="clear" w:color="auto" w:fill="auto"/>
            <w:vAlign w:val="center"/>
          </w:tcPr>
          <w:p>
            <w:pPr>
              <w:jc w:val="center"/>
              <w:rPr>
                <w:sz w:val="24"/>
                <w:highlight w:val="none"/>
              </w:rPr>
            </w:pPr>
            <w:r>
              <w:rPr>
                <w:sz w:val="24"/>
                <w:highlight w:val="none"/>
              </w:rPr>
              <w:t>15万t重大件、</w:t>
            </w:r>
            <w:r>
              <w:rPr>
                <w:rFonts w:hint="eastAsia"/>
                <w:sz w:val="24"/>
                <w:highlight w:val="none"/>
              </w:rPr>
              <w:t>1</w:t>
            </w:r>
            <w:r>
              <w:rPr>
                <w:sz w:val="24"/>
                <w:highlight w:val="none"/>
              </w:rPr>
              <w:t>5万TEU、</w:t>
            </w:r>
            <w:r>
              <w:rPr>
                <w:rFonts w:hint="eastAsia"/>
                <w:sz w:val="24"/>
                <w:highlight w:val="none"/>
              </w:rPr>
              <w:t>1</w:t>
            </w:r>
            <w:r>
              <w:rPr>
                <w:sz w:val="24"/>
                <w:highlight w:val="none"/>
              </w:rPr>
              <w:t>20万t件杂货</w:t>
            </w:r>
          </w:p>
        </w:tc>
        <w:tc>
          <w:tcPr>
            <w:tcW w:w="627" w:type="pct"/>
            <w:shd w:val="clear" w:color="auto" w:fill="auto"/>
            <w:vAlign w:val="center"/>
          </w:tcPr>
          <w:p>
            <w:pPr>
              <w:jc w:val="center"/>
              <w:rPr>
                <w:sz w:val="24"/>
                <w:highlight w:val="none"/>
              </w:rPr>
            </w:pPr>
            <w:r>
              <w:rPr>
                <w:sz w:val="24"/>
                <w:highlight w:val="none"/>
              </w:rPr>
              <w:t>355300</w:t>
            </w:r>
          </w:p>
        </w:tc>
        <w:tc>
          <w:tcPr>
            <w:tcW w:w="900" w:type="pct"/>
            <w:shd w:val="clear" w:color="auto" w:fill="auto"/>
            <w:vAlign w:val="center"/>
          </w:tcPr>
          <w:p>
            <w:pPr>
              <w:jc w:val="center"/>
              <w:rPr>
                <w:sz w:val="24"/>
                <w:highlight w:val="none"/>
              </w:rPr>
            </w:pPr>
            <w:r>
              <w:rPr>
                <w:sz w:val="24"/>
                <w:highlight w:val="none"/>
              </w:rPr>
              <w:t>其中港口用地250000m</w:t>
            </w:r>
            <w:r>
              <w:rPr>
                <w:sz w:val="24"/>
                <w:highlight w:val="none"/>
                <w:vertAlign w:val="superscript"/>
              </w:rPr>
              <w:t>2</w:t>
            </w:r>
          </w:p>
        </w:tc>
      </w:tr>
      <w:tr>
        <w:tblPrEx>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52" w:type="pct"/>
            <w:vMerge w:val="restart"/>
            <w:tcBorders>
              <w:right w:val="single" w:color="auto" w:sz="4" w:space="0"/>
            </w:tcBorders>
            <w:vAlign w:val="center"/>
          </w:tcPr>
          <w:p>
            <w:pPr>
              <w:rPr>
                <w:sz w:val="24"/>
                <w:highlight w:val="none"/>
              </w:rPr>
            </w:pPr>
            <w:r>
              <w:rPr>
                <w:rFonts w:hint="eastAsia"/>
                <w:sz w:val="24"/>
                <w:highlight w:val="none"/>
              </w:rPr>
              <w:t>大佛客运</w:t>
            </w:r>
          </w:p>
          <w:p>
            <w:pPr>
              <w:rPr>
                <w:sz w:val="24"/>
                <w:highlight w:val="none"/>
              </w:rPr>
            </w:pPr>
            <w:r>
              <w:rPr>
                <w:rFonts w:hint="eastAsia"/>
                <w:sz w:val="24"/>
                <w:highlight w:val="none"/>
              </w:rPr>
              <w:t>作业区</w:t>
            </w:r>
          </w:p>
          <w:p>
            <w:pPr>
              <w:rPr>
                <w:sz w:val="24"/>
                <w:highlight w:val="none"/>
              </w:rPr>
            </w:pPr>
          </w:p>
        </w:tc>
        <w:tc>
          <w:tcPr>
            <w:tcW w:w="921" w:type="pct"/>
            <w:tcBorders>
              <w:left w:val="single" w:color="auto" w:sz="4" w:space="0"/>
            </w:tcBorders>
            <w:vAlign w:val="center"/>
          </w:tcPr>
          <w:p>
            <w:pPr>
              <w:rPr>
                <w:sz w:val="24"/>
                <w:highlight w:val="none"/>
              </w:rPr>
            </w:pPr>
            <w:r>
              <w:rPr>
                <w:rFonts w:hint="eastAsia"/>
                <w:sz w:val="24"/>
                <w:highlight w:val="none"/>
              </w:rPr>
              <w:t>芭蕉林旅游客运码头</w:t>
            </w:r>
          </w:p>
        </w:tc>
        <w:tc>
          <w:tcPr>
            <w:tcW w:w="886" w:type="pct"/>
            <w:vAlign w:val="center"/>
          </w:tcPr>
          <w:p>
            <w:pPr>
              <w:jc w:val="center"/>
              <w:rPr>
                <w:sz w:val="24"/>
                <w:highlight w:val="none"/>
              </w:rPr>
            </w:pPr>
            <w:r>
              <w:rPr>
                <w:sz w:val="24"/>
                <w:highlight w:val="none"/>
              </w:rPr>
              <w:t>旅游客运</w:t>
            </w:r>
          </w:p>
        </w:tc>
        <w:tc>
          <w:tcPr>
            <w:tcW w:w="520" w:type="pct"/>
            <w:vAlign w:val="center"/>
          </w:tcPr>
          <w:p>
            <w:pPr>
              <w:jc w:val="center"/>
              <w:rPr>
                <w:sz w:val="24"/>
                <w:highlight w:val="none"/>
              </w:rPr>
            </w:pPr>
            <w:r>
              <w:rPr>
                <w:rFonts w:hint="eastAsia"/>
                <w:sz w:val="24"/>
                <w:highlight w:val="none"/>
              </w:rPr>
              <w:t>5</w:t>
            </w:r>
          </w:p>
        </w:tc>
        <w:tc>
          <w:tcPr>
            <w:tcW w:w="894" w:type="pct"/>
            <w:shd w:val="clear" w:color="auto" w:fill="auto"/>
            <w:vAlign w:val="center"/>
          </w:tcPr>
          <w:p>
            <w:pPr>
              <w:jc w:val="center"/>
              <w:rPr>
                <w:sz w:val="24"/>
                <w:highlight w:val="none"/>
              </w:rPr>
            </w:pPr>
            <w:r>
              <w:rPr>
                <w:sz w:val="24"/>
                <w:highlight w:val="none"/>
              </w:rPr>
              <w:t>90</w:t>
            </w:r>
            <w:r>
              <w:rPr>
                <w:rFonts w:hint="eastAsia"/>
                <w:sz w:val="24"/>
                <w:highlight w:val="none"/>
              </w:rPr>
              <w:t>万人次</w:t>
            </w:r>
          </w:p>
        </w:tc>
        <w:tc>
          <w:tcPr>
            <w:tcW w:w="627" w:type="pct"/>
            <w:shd w:val="clear" w:color="auto" w:fill="auto"/>
            <w:vAlign w:val="center"/>
          </w:tcPr>
          <w:p>
            <w:pPr>
              <w:jc w:val="center"/>
              <w:rPr>
                <w:sz w:val="24"/>
                <w:highlight w:val="none"/>
              </w:rPr>
            </w:pPr>
            <w:r>
              <w:rPr>
                <w:rFonts w:hint="eastAsia"/>
                <w:sz w:val="24"/>
                <w:highlight w:val="none"/>
              </w:rPr>
              <w:t>1</w:t>
            </w:r>
            <w:r>
              <w:rPr>
                <w:sz w:val="24"/>
                <w:highlight w:val="none"/>
              </w:rPr>
              <w:t>5000</w:t>
            </w:r>
          </w:p>
        </w:tc>
        <w:tc>
          <w:tcPr>
            <w:tcW w:w="900" w:type="pct"/>
            <w:shd w:val="clear" w:color="auto" w:fill="auto"/>
            <w:vAlign w:val="center"/>
          </w:tcPr>
          <w:p>
            <w:pPr>
              <w:jc w:val="center"/>
              <w:rPr>
                <w:sz w:val="24"/>
                <w:highlight w:val="none"/>
              </w:rPr>
            </w:pPr>
          </w:p>
        </w:tc>
      </w:tr>
      <w:tr>
        <w:tblPrEx>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52" w:type="pct"/>
            <w:vMerge w:val="continue"/>
            <w:tcBorders>
              <w:right w:val="single" w:color="auto" w:sz="4" w:space="0"/>
            </w:tcBorders>
            <w:vAlign w:val="center"/>
          </w:tcPr>
          <w:p>
            <w:pPr>
              <w:rPr>
                <w:sz w:val="24"/>
                <w:highlight w:val="none"/>
              </w:rPr>
            </w:pPr>
          </w:p>
        </w:tc>
        <w:tc>
          <w:tcPr>
            <w:tcW w:w="921" w:type="pct"/>
            <w:tcBorders>
              <w:left w:val="single" w:color="auto" w:sz="4" w:space="0"/>
            </w:tcBorders>
            <w:vAlign w:val="center"/>
          </w:tcPr>
          <w:p>
            <w:pPr>
              <w:rPr>
                <w:sz w:val="24"/>
                <w:highlight w:val="none"/>
              </w:rPr>
            </w:pPr>
            <w:r>
              <w:rPr>
                <w:rFonts w:hint="eastAsia"/>
                <w:sz w:val="24"/>
                <w:highlight w:val="none"/>
              </w:rPr>
              <w:t>乌尤寺旅游客运码头</w:t>
            </w:r>
          </w:p>
        </w:tc>
        <w:tc>
          <w:tcPr>
            <w:tcW w:w="886" w:type="pct"/>
            <w:vAlign w:val="center"/>
          </w:tcPr>
          <w:p>
            <w:pPr>
              <w:jc w:val="center"/>
              <w:rPr>
                <w:sz w:val="24"/>
                <w:highlight w:val="none"/>
              </w:rPr>
            </w:pPr>
            <w:r>
              <w:rPr>
                <w:sz w:val="24"/>
                <w:highlight w:val="none"/>
              </w:rPr>
              <w:t>旅游客运</w:t>
            </w:r>
          </w:p>
        </w:tc>
        <w:tc>
          <w:tcPr>
            <w:tcW w:w="520" w:type="pct"/>
            <w:vAlign w:val="center"/>
          </w:tcPr>
          <w:p>
            <w:pPr>
              <w:jc w:val="center"/>
              <w:rPr>
                <w:sz w:val="24"/>
                <w:highlight w:val="none"/>
              </w:rPr>
            </w:pPr>
            <w:r>
              <w:rPr>
                <w:rFonts w:hint="eastAsia"/>
                <w:sz w:val="24"/>
                <w:highlight w:val="none"/>
              </w:rPr>
              <w:t>5</w:t>
            </w:r>
          </w:p>
        </w:tc>
        <w:tc>
          <w:tcPr>
            <w:tcW w:w="894" w:type="pct"/>
            <w:shd w:val="clear" w:color="auto" w:fill="auto"/>
            <w:vAlign w:val="center"/>
          </w:tcPr>
          <w:p>
            <w:pPr>
              <w:jc w:val="center"/>
              <w:rPr>
                <w:sz w:val="24"/>
                <w:highlight w:val="none"/>
              </w:rPr>
            </w:pPr>
            <w:r>
              <w:rPr>
                <w:sz w:val="24"/>
                <w:highlight w:val="none"/>
              </w:rPr>
              <w:t>90</w:t>
            </w:r>
            <w:r>
              <w:rPr>
                <w:rFonts w:hint="eastAsia"/>
                <w:sz w:val="24"/>
                <w:highlight w:val="none"/>
              </w:rPr>
              <w:t>万人次</w:t>
            </w:r>
          </w:p>
        </w:tc>
        <w:tc>
          <w:tcPr>
            <w:tcW w:w="627" w:type="pct"/>
            <w:shd w:val="clear" w:color="auto" w:fill="auto"/>
            <w:vAlign w:val="center"/>
          </w:tcPr>
          <w:p>
            <w:pPr>
              <w:jc w:val="center"/>
              <w:rPr>
                <w:sz w:val="24"/>
                <w:highlight w:val="none"/>
              </w:rPr>
            </w:pPr>
            <w:r>
              <w:rPr>
                <w:rFonts w:hint="eastAsia"/>
                <w:sz w:val="24"/>
                <w:highlight w:val="none"/>
              </w:rPr>
              <w:t>1</w:t>
            </w:r>
            <w:r>
              <w:rPr>
                <w:sz w:val="24"/>
                <w:highlight w:val="none"/>
              </w:rPr>
              <w:t>5000</w:t>
            </w:r>
          </w:p>
        </w:tc>
        <w:tc>
          <w:tcPr>
            <w:tcW w:w="900" w:type="pct"/>
            <w:shd w:val="clear" w:color="auto" w:fill="auto"/>
            <w:vAlign w:val="center"/>
          </w:tcPr>
          <w:p>
            <w:pPr>
              <w:jc w:val="center"/>
              <w:rPr>
                <w:sz w:val="24"/>
                <w:highlight w:val="none"/>
              </w:rPr>
            </w:pPr>
          </w:p>
        </w:tc>
      </w:tr>
      <w:tr>
        <w:tblPrEx>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52" w:type="pct"/>
            <w:vMerge w:val="continue"/>
            <w:tcBorders>
              <w:right w:val="single" w:color="auto" w:sz="4" w:space="0"/>
            </w:tcBorders>
            <w:vAlign w:val="center"/>
          </w:tcPr>
          <w:p>
            <w:pPr>
              <w:rPr>
                <w:sz w:val="24"/>
                <w:highlight w:val="none"/>
              </w:rPr>
            </w:pPr>
          </w:p>
        </w:tc>
        <w:tc>
          <w:tcPr>
            <w:tcW w:w="921" w:type="pct"/>
            <w:tcBorders>
              <w:left w:val="single" w:color="auto" w:sz="4" w:space="0"/>
            </w:tcBorders>
            <w:vAlign w:val="center"/>
          </w:tcPr>
          <w:p>
            <w:pPr>
              <w:rPr>
                <w:sz w:val="24"/>
                <w:highlight w:val="none"/>
              </w:rPr>
            </w:pPr>
            <w:r>
              <w:rPr>
                <w:rFonts w:hint="eastAsia"/>
                <w:sz w:val="24"/>
                <w:highlight w:val="none"/>
              </w:rPr>
              <w:t>凤洲岛旅游客运码头</w:t>
            </w:r>
          </w:p>
        </w:tc>
        <w:tc>
          <w:tcPr>
            <w:tcW w:w="886" w:type="pct"/>
            <w:vAlign w:val="center"/>
          </w:tcPr>
          <w:p>
            <w:pPr>
              <w:jc w:val="center"/>
              <w:rPr>
                <w:sz w:val="24"/>
                <w:highlight w:val="none"/>
              </w:rPr>
            </w:pPr>
            <w:r>
              <w:rPr>
                <w:sz w:val="24"/>
                <w:highlight w:val="none"/>
              </w:rPr>
              <w:t>旅游客运</w:t>
            </w:r>
          </w:p>
        </w:tc>
        <w:tc>
          <w:tcPr>
            <w:tcW w:w="520" w:type="pct"/>
            <w:vAlign w:val="center"/>
          </w:tcPr>
          <w:p>
            <w:pPr>
              <w:jc w:val="center"/>
              <w:rPr>
                <w:sz w:val="24"/>
                <w:highlight w:val="none"/>
              </w:rPr>
            </w:pPr>
            <w:r>
              <w:rPr>
                <w:rFonts w:hint="eastAsia"/>
                <w:sz w:val="24"/>
                <w:highlight w:val="none"/>
              </w:rPr>
              <w:t>4</w:t>
            </w:r>
          </w:p>
        </w:tc>
        <w:tc>
          <w:tcPr>
            <w:tcW w:w="894" w:type="pct"/>
            <w:shd w:val="clear" w:color="auto" w:fill="auto"/>
            <w:vAlign w:val="center"/>
          </w:tcPr>
          <w:p>
            <w:pPr>
              <w:jc w:val="center"/>
              <w:rPr>
                <w:sz w:val="24"/>
                <w:highlight w:val="none"/>
              </w:rPr>
            </w:pPr>
            <w:r>
              <w:rPr>
                <w:sz w:val="24"/>
                <w:highlight w:val="none"/>
              </w:rPr>
              <w:t>80</w:t>
            </w:r>
            <w:r>
              <w:rPr>
                <w:rFonts w:hint="eastAsia"/>
                <w:sz w:val="24"/>
                <w:highlight w:val="none"/>
              </w:rPr>
              <w:t>万人次</w:t>
            </w:r>
          </w:p>
        </w:tc>
        <w:tc>
          <w:tcPr>
            <w:tcW w:w="627" w:type="pct"/>
            <w:shd w:val="clear" w:color="auto" w:fill="auto"/>
            <w:vAlign w:val="center"/>
          </w:tcPr>
          <w:p>
            <w:pPr>
              <w:jc w:val="center"/>
              <w:rPr>
                <w:sz w:val="24"/>
                <w:highlight w:val="none"/>
              </w:rPr>
            </w:pPr>
            <w:r>
              <w:rPr>
                <w:rFonts w:hint="eastAsia"/>
                <w:sz w:val="24"/>
                <w:highlight w:val="none"/>
              </w:rPr>
              <w:t>1</w:t>
            </w:r>
            <w:r>
              <w:rPr>
                <w:sz w:val="24"/>
                <w:highlight w:val="none"/>
              </w:rPr>
              <w:t>0000</w:t>
            </w:r>
          </w:p>
        </w:tc>
        <w:tc>
          <w:tcPr>
            <w:tcW w:w="900" w:type="pct"/>
            <w:shd w:val="clear" w:color="auto" w:fill="auto"/>
            <w:vAlign w:val="center"/>
          </w:tcPr>
          <w:p>
            <w:pPr>
              <w:jc w:val="center"/>
              <w:rPr>
                <w:sz w:val="24"/>
                <w:highlight w:val="none"/>
              </w:rPr>
            </w:pPr>
          </w:p>
        </w:tc>
      </w:tr>
      <w:tr>
        <w:tblPrEx>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52" w:type="pct"/>
            <w:vMerge w:val="continue"/>
            <w:tcBorders>
              <w:right w:val="single" w:color="auto" w:sz="4" w:space="0"/>
            </w:tcBorders>
            <w:vAlign w:val="center"/>
          </w:tcPr>
          <w:p>
            <w:pPr>
              <w:rPr>
                <w:sz w:val="24"/>
                <w:highlight w:val="none"/>
              </w:rPr>
            </w:pPr>
          </w:p>
        </w:tc>
        <w:tc>
          <w:tcPr>
            <w:tcW w:w="921" w:type="pct"/>
            <w:tcBorders>
              <w:left w:val="single" w:color="auto" w:sz="4" w:space="0"/>
            </w:tcBorders>
            <w:vAlign w:val="center"/>
          </w:tcPr>
          <w:p>
            <w:pPr>
              <w:rPr>
                <w:sz w:val="24"/>
                <w:highlight w:val="none"/>
              </w:rPr>
            </w:pPr>
            <w:r>
              <w:rPr>
                <w:rFonts w:hint="eastAsia"/>
                <w:sz w:val="24"/>
                <w:highlight w:val="none"/>
              </w:rPr>
              <w:t>小铜河停靠点</w:t>
            </w:r>
          </w:p>
        </w:tc>
        <w:tc>
          <w:tcPr>
            <w:tcW w:w="886" w:type="pct"/>
            <w:vAlign w:val="center"/>
          </w:tcPr>
          <w:p>
            <w:pPr>
              <w:jc w:val="center"/>
              <w:rPr>
                <w:sz w:val="24"/>
                <w:highlight w:val="none"/>
              </w:rPr>
            </w:pPr>
            <w:r>
              <w:rPr>
                <w:sz w:val="24"/>
                <w:highlight w:val="none"/>
              </w:rPr>
              <w:t>旅游客运</w:t>
            </w:r>
          </w:p>
        </w:tc>
        <w:tc>
          <w:tcPr>
            <w:tcW w:w="520" w:type="pct"/>
            <w:vAlign w:val="center"/>
          </w:tcPr>
          <w:p>
            <w:pPr>
              <w:jc w:val="center"/>
              <w:rPr>
                <w:sz w:val="24"/>
                <w:highlight w:val="none"/>
              </w:rPr>
            </w:pPr>
            <w:r>
              <w:rPr>
                <w:rFonts w:hint="eastAsia"/>
                <w:sz w:val="24"/>
                <w:highlight w:val="none"/>
              </w:rPr>
              <w:t>1</w:t>
            </w:r>
          </w:p>
        </w:tc>
        <w:tc>
          <w:tcPr>
            <w:tcW w:w="894" w:type="pct"/>
            <w:shd w:val="clear" w:color="auto" w:fill="auto"/>
            <w:vAlign w:val="center"/>
          </w:tcPr>
          <w:p>
            <w:pPr>
              <w:jc w:val="center"/>
              <w:rPr>
                <w:sz w:val="24"/>
                <w:highlight w:val="none"/>
              </w:rPr>
            </w:pPr>
            <w:r>
              <w:rPr>
                <w:sz w:val="24"/>
                <w:highlight w:val="none"/>
              </w:rPr>
              <w:t>10</w:t>
            </w:r>
            <w:r>
              <w:rPr>
                <w:rFonts w:hint="eastAsia"/>
                <w:sz w:val="24"/>
                <w:highlight w:val="none"/>
              </w:rPr>
              <w:t>万人次</w:t>
            </w:r>
          </w:p>
        </w:tc>
        <w:tc>
          <w:tcPr>
            <w:tcW w:w="627" w:type="pct"/>
            <w:shd w:val="clear" w:color="auto" w:fill="auto"/>
            <w:vAlign w:val="center"/>
          </w:tcPr>
          <w:p>
            <w:pPr>
              <w:jc w:val="center"/>
              <w:rPr>
                <w:sz w:val="24"/>
                <w:highlight w:val="none"/>
              </w:rPr>
            </w:pPr>
          </w:p>
        </w:tc>
        <w:tc>
          <w:tcPr>
            <w:tcW w:w="900" w:type="pct"/>
            <w:shd w:val="clear" w:color="auto" w:fill="auto"/>
            <w:vAlign w:val="center"/>
          </w:tcPr>
          <w:p>
            <w:pPr>
              <w:jc w:val="center"/>
              <w:rPr>
                <w:sz w:val="24"/>
                <w:highlight w:val="none"/>
              </w:rPr>
            </w:pPr>
          </w:p>
        </w:tc>
      </w:tr>
    </w:tbl>
    <w:p>
      <w:pPr>
        <w:pStyle w:val="2"/>
        <w:spacing w:before="312" w:beforeLines="100" w:line="360" w:lineRule="auto"/>
        <w:ind w:firstLine="561"/>
        <w:outlineLvl w:val="3"/>
        <w:rPr>
          <w:rFonts w:ascii="Times New Roman" w:cs="Times New Roman"/>
          <w:b/>
          <w:color w:val="auto"/>
          <w:sz w:val="28"/>
          <w:szCs w:val="28"/>
          <w:highlight w:val="none"/>
        </w:rPr>
      </w:pPr>
      <w:r>
        <w:rPr>
          <w:rFonts w:ascii="Times New Roman" w:cs="Times New Roman"/>
          <w:b/>
          <w:color w:val="auto"/>
          <w:sz w:val="28"/>
          <w:szCs w:val="28"/>
          <w:highlight w:val="none"/>
        </w:rPr>
        <w:t>（二）五通桥港区</w:t>
      </w:r>
    </w:p>
    <w:p>
      <w:pPr>
        <w:pStyle w:val="2"/>
        <w:ind w:firstLine="562" w:firstLineChars="200"/>
        <w:rPr>
          <w:rFonts w:ascii="Times New Roman" w:cs="Times New Roman"/>
          <w:color w:val="auto"/>
          <w:sz w:val="28"/>
          <w:szCs w:val="28"/>
          <w:highlight w:val="none"/>
        </w:rPr>
      </w:pPr>
      <w:r>
        <w:rPr>
          <w:rFonts w:ascii="Times New Roman" w:cs="Times New Roman"/>
          <w:b/>
          <w:color w:val="auto"/>
          <w:sz w:val="28"/>
          <w:szCs w:val="28"/>
          <w:highlight w:val="none"/>
        </w:rPr>
        <w:t>1.桥沟作业区：</w:t>
      </w:r>
      <w:r>
        <w:rPr>
          <w:rFonts w:ascii="Times New Roman" w:cs="Times New Roman"/>
          <w:color w:val="auto"/>
          <w:sz w:val="28"/>
          <w:szCs w:val="28"/>
          <w:highlight w:val="none"/>
        </w:rPr>
        <w:t>位于规划岷江东风岩枢纽库区岷江左岸，下距东风岩枢纽坝址1.6km，上距道士观约2km。规划布置3个1000吨级件杂货泊位、1个1000吨级散货泊位，共占用岸线300m，通过能力为件杂货90万t/年、散货100万t/年，陆域总面积35500m²。进出港道路通过改造现有水泥路及新建进港道路直接与后方G93乐宜高速相连接。</w:t>
      </w:r>
    </w:p>
    <w:p>
      <w:pPr>
        <w:spacing w:line="360" w:lineRule="auto"/>
        <w:ind w:firstLine="480"/>
        <w:rPr>
          <w:kern w:val="0"/>
          <w:sz w:val="28"/>
          <w:szCs w:val="28"/>
          <w:highlight w:val="none"/>
        </w:rPr>
      </w:pPr>
      <w:r>
        <w:rPr>
          <w:kern w:val="0"/>
          <w:sz w:val="28"/>
          <w:szCs w:val="28"/>
          <w:highlight w:val="none"/>
        </w:rPr>
        <w:t>桥沟作业区规划图详见附图LSZGⅡ-02。</w:t>
      </w:r>
    </w:p>
    <w:p>
      <w:pPr>
        <w:spacing w:line="360" w:lineRule="auto"/>
        <w:ind w:firstLine="480"/>
        <w:rPr>
          <w:highlight w:val="none"/>
        </w:rPr>
      </w:pPr>
      <w:r>
        <w:rPr>
          <w:kern w:val="0"/>
          <w:sz w:val="28"/>
          <w:szCs w:val="28"/>
          <w:highlight w:val="none"/>
        </w:rPr>
        <w:t>五通桥港区规划情况见表5.3-2。</w:t>
      </w:r>
    </w:p>
    <w:p>
      <w:pPr>
        <w:widowControl/>
        <w:jc w:val="left"/>
        <w:rPr>
          <w:rFonts w:eastAsia="黑体"/>
          <w:kern w:val="0"/>
          <w:sz w:val="28"/>
          <w:szCs w:val="28"/>
          <w:highlight w:val="none"/>
        </w:rPr>
      </w:pPr>
      <w:r>
        <w:rPr>
          <w:rFonts w:eastAsia="黑体"/>
          <w:kern w:val="0"/>
          <w:sz w:val="28"/>
          <w:szCs w:val="28"/>
          <w:highlight w:val="none"/>
        </w:rPr>
        <w:br w:type="page"/>
      </w:r>
    </w:p>
    <w:p>
      <w:pPr>
        <w:spacing w:line="360" w:lineRule="auto"/>
        <w:ind w:firstLine="480"/>
        <w:jc w:val="center"/>
        <w:rPr>
          <w:sz w:val="24"/>
          <w:highlight w:val="none"/>
        </w:rPr>
      </w:pPr>
      <w:r>
        <w:rPr>
          <w:rFonts w:eastAsia="黑体"/>
          <w:kern w:val="0"/>
          <w:sz w:val="28"/>
          <w:szCs w:val="28"/>
          <w:highlight w:val="none"/>
        </w:rPr>
        <w:t xml:space="preserve">表5.3-2 </w:t>
      </w:r>
      <w:r>
        <w:rPr>
          <w:rFonts w:eastAsia="黑体"/>
          <w:sz w:val="28"/>
          <w:szCs w:val="28"/>
          <w:highlight w:val="none"/>
        </w:rPr>
        <w:t>五通桥港区主要作业区及码头规划情况表</w:t>
      </w:r>
    </w:p>
    <w:tbl>
      <w:tblPr>
        <w:tblStyle w:val="32"/>
        <w:tblW w:w="5000" w:type="pct"/>
        <w:jc w:val="center"/>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2125"/>
        <w:gridCol w:w="1393"/>
        <w:gridCol w:w="1391"/>
        <w:gridCol w:w="1697"/>
        <w:gridCol w:w="1235"/>
        <w:gridCol w:w="1436"/>
        <w:gridCol w:w="9"/>
      </w:tblGrid>
      <w:tr>
        <w:tblPrEx>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gridAfter w:val="1"/>
          <w:wAfter w:w="5" w:type="pct"/>
          <w:trHeight w:val="340" w:hRule="atLeast"/>
          <w:jc w:val="center"/>
        </w:trPr>
        <w:tc>
          <w:tcPr>
            <w:tcW w:w="1144" w:type="pct"/>
            <w:vAlign w:val="center"/>
          </w:tcPr>
          <w:p>
            <w:pPr>
              <w:jc w:val="center"/>
              <w:rPr>
                <w:sz w:val="24"/>
                <w:highlight w:val="none"/>
              </w:rPr>
            </w:pPr>
            <w:r>
              <w:rPr>
                <w:sz w:val="24"/>
                <w:highlight w:val="none"/>
              </w:rPr>
              <w:t>作业区名称</w:t>
            </w:r>
          </w:p>
        </w:tc>
        <w:tc>
          <w:tcPr>
            <w:tcW w:w="750" w:type="pct"/>
            <w:vAlign w:val="center"/>
          </w:tcPr>
          <w:p>
            <w:pPr>
              <w:jc w:val="center"/>
              <w:rPr>
                <w:sz w:val="24"/>
                <w:highlight w:val="none"/>
              </w:rPr>
            </w:pPr>
            <w:r>
              <w:rPr>
                <w:sz w:val="24"/>
                <w:highlight w:val="none"/>
              </w:rPr>
              <w:t>主要功能</w:t>
            </w:r>
          </w:p>
        </w:tc>
        <w:tc>
          <w:tcPr>
            <w:tcW w:w="749" w:type="pct"/>
            <w:shd w:val="clear" w:color="auto" w:fill="auto"/>
            <w:vAlign w:val="center"/>
          </w:tcPr>
          <w:p>
            <w:pPr>
              <w:jc w:val="center"/>
              <w:rPr>
                <w:sz w:val="24"/>
                <w:highlight w:val="none"/>
              </w:rPr>
            </w:pPr>
            <w:r>
              <w:rPr>
                <w:sz w:val="24"/>
                <w:highlight w:val="none"/>
              </w:rPr>
              <w:t>规划泊位数（个）</w:t>
            </w:r>
          </w:p>
        </w:tc>
        <w:tc>
          <w:tcPr>
            <w:tcW w:w="914" w:type="pct"/>
            <w:shd w:val="clear" w:color="auto" w:fill="auto"/>
            <w:vAlign w:val="center"/>
          </w:tcPr>
          <w:p>
            <w:pPr>
              <w:jc w:val="center"/>
              <w:rPr>
                <w:sz w:val="24"/>
                <w:highlight w:val="none"/>
              </w:rPr>
            </w:pPr>
            <w:r>
              <w:rPr>
                <w:sz w:val="24"/>
                <w:highlight w:val="none"/>
              </w:rPr>
              <w:t>通过能力</w:t>
            </w:r>
          </w:p>
          <w:p>
            <w:pPr>
              <w:ind w:left="42" w:leftChars="-38" w:right="-80" w:rightChars="-38" w:hanging="122" w:hangingChars="51"/>
              <w:jc w:val="center"/>
              <w:rPr>
                <w:sz w:val="24"/>
                <w:highlight w:val="none"/>
              </w:rPr>
            </w:pPr>
            <w:r>
              <w:rPr>
                <w:sz w:val="24"/>
                <w:highlight w:val="none"/>
              </w:rPr>
              <w:t>（万TEU、万t/万人次）</w:t>
            </w:r>
          </w:p>
        </w:tc>
        <w:tc>
          <w:tcPr>
            <w:tcW w:w="665" w:type="pct"/>
            <w:shd w:val="clear" w:color="auto" w:fill="auto"/>
            <w:vAlign w:val="center"/>
          </w:tcPr>
          <w:p>
            <w:pPr>
              <w:jc w:val="center"/>
              <w:rPr>
                <w:sz w:val="24"/>
                <w:highlight w:val="none"/>
              </w:rPr>
            </w:pPr>
            <w:r>
              <w:rPr>
                <w:sz w:val="24"/>
                <w:highlight w:val="none"/>
              </w:rPr>
              <w:t>占用土地</w:t>
            </w:r>
          </w:p>
          <w:p>
            <w:pPr>
              <w:jc w:val="center"/>
              <w:rPr>
                <w:sz w:val="24"/>
                <w:highlight w:val="none"/>
              </w:rPr>
            </w:pPr>
            <w:r>
              <w:rPr>
                <w:sz w:val="24"/>
                <w:highlight w:val="none"/>
              </w:rPr>
              <w:t>（m</w:t>
            </w:r>
            <w:r>
              <w:rPr>
                <w:sz w:val="24"/>
                <w:highlight w:val="none"/>
                <w:vertAlign w:val="superscript"/>
              </w:rPr>
              <w:t>2</w:t>
            </w:r>
            <w:r>
              <w:rPr>
                <w:sz w:val="24"/>
                <w:highlight w:val="none"/>
              </w:rPr>
              <w:t>）</w:t>
            </w:r>
          </w:p>
        </w:tc>
        <w:tc>
          <w:tcPr>
            <w:tcW w:w="773" w:type="pct"/>
            <w:shd w:val="clear" w:color="auto" w:fill="auto"/>
            <w:vAlign w:val="center"/>
          </w:tcPr>
          <w:p>
            <w:pPr>
              <w:jc w:val="center"/>
              <w:rPr>
                <w:sz w:val="24"/>
                <w:highlight w:val="none"/>
              </w:rPr>
            </w:pPr>
            <w:r>
              <w:rPr>
                <w:sz w:val="24"/>
                <w:highlight w:val="none"/>
              </w:rPr>
              <w:t>备注</w:t>
            </w:r>
          </w:p>
        </w:tc>
      </w:tr>
      <w:tr>
        <w:tblPrEx>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144" w:type="pct"/>
            <w:vMerge w:val="restart"/>
            <w:vAlign w:val="center"/>
          </w:tcPr>
          <w:p>
            <w:pPr>
              <w:jc w:val="center"/>
              <w:rPr>
                <w:sz w:val="24"/>
                <w:highlight w:val="none"/>
              </w:rPr>
            </w:pPr>
            <w:r>
              <w:rPr>
                <w:sz w:val="24"/>
                <w:highlight w:val="none"/>
              </w:rPr>
              <w:t>桥沟作业区</w:t>
            </w:r>
          </w:p>
        </w:tc>
        <w:tc>
          <w:tcPr>
            <w:tcW w:w="750" w:type="pct"/>
            <w:vAlign w:val="center"/>
          </w:tcPr>
          <w:p>
            <w:pPr>
              <w:jc w:val="center"/>
              <w:rPr>
                <w:sz w:val="24"/>
                <w:highlight w:val="none"/>
              </w:rPr>
            </w:pPr>
            <w:r>
              <w:rPr>
                <w:sz w:val="24"/>
                <w:highlight w:val="none"/>
              </w:rPr>
              <w:t>件杂货</w:t>
            </w:r>
          </w:p>
        </w:tc>
        <w:tc>
          <w:tcPr>
            <w:tcW w:w="749" w:type="pct"/>
            <w:vAlign w:val="center"/>
          </w:tcPr>
          <w:p>
            <w:pPr>
              <w:jc w:val="center"/>
              <w:rPr>
                <w:sz w:val="24"/>
                <w:highlight w:val="none"/>
              </w:rPr>
            </w:pPr>
            <w:r>
              <w:rPr>
                <w:sz w:val="24"/>
                <w:highlight w:val="none"/>
              </w:rPr>
              <w:t>3</w:t>
            </w:r>
          </w:p>
        </w:tc>
        <w:tc>
          <w:tcPr>
            <w:tcW w:w="914" w:type="pct"/>
            <w:shd w:val="clear" w:color="auto" w:fill="auto"/>
            <w:vAlign w:val="center"/>
          </w:tcPr>
          <w:p>
            <w:pPr>
              <w:jc w:val="center"/>
              <w:rPr>
                <w:sz w:val="24"/>
                <w:highlight w:val="none"/>
              </w:rPr>
            </w:pPr>
            <w:r>
              <w:rPr>
                <w:sz w:val="24"/>
                <w:highlight w:val="none"/>
              </w:rPr>
              <w:t>90万t</w:t>
            </w:r>
          </w:p>
        </w:tc>
        <w:tc>
          <w:tcPr>
            <w:tcW w:w="665" w:type="pct"/>
            <w:vMerge w:val="restart"/>
            <w:shd w:val="clear" w:color="auto" w:fill="auto"/>
            <w:vAlign w:val="center"/>
          </w:tcPr>
          <w:p>
            <w:pPr>
              <w:jc w:val="center"/>
              <w:rPr>
                <w:sz w:val="24"/>
                <w:highlight w:val="none"/>
              </w:rPr>
            </w:pPr>
            <w:r>
              <w:rPr>
                <w:sz w:val="24"/>
                <w:highlight w:val="none"/>
              </w:rPr>
              <w:t>35500</w:t>
            </w:r>
          </w:p>
        </w:tc>
        <w:tc>
          <w:tcPr>
            <w:tcW w:w="778" w:type="pct"/>
            <w:gridSpan w:val="2"/>
            <w:vMerge w:val="restart"/>
            <w:shd w:val="clear" w:color="auto" w:fill="auto"/>
            <w:vAlign w:val="center"/>
          </w:tcPr>
          <w:p>
            <w:pPr>
              <w:spacing w:line="360" w:lineRule="auto"/>
              <w:jc w:val="center"/>
              <w:rPr>
                <w:sz w:val="24"/>
                <w:highlight w:val="none"/>
              </w:rPr>
            </w:pPr>
          </w:p>
        </w:tc>
      </w:tr>
      <w:tr>
        <w:tblPrEx>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144" w:type="pct"/>
            <w:vMerge w:val="continue"/>
            <w:vAlign w:val="center"/>
          </w:tcPr>
          <w:p>
            <w:pPr>
              <w:rPr>
                <w:sz w:val="24"/>
                <w:highlight w:val="none"/>
              </w:rPr>
            </w:pPr>
          </w:p>
        </w:tc>
        <w:tc>
          <w:tcPr>
            <w:tcW w:w="750" w:type="pct"/>
            <w:vAlign w:val="center"/>
          </w:tcPr>
          <w:p>
            <w:pPr>
              <w:jc w:val="center"/>
              <w:rPr>
                <w:sz w:val="24"/>
                <w:highlight w:val="none"/>
              </w:rPr>
            </w:pPr>
            <w:r>
              <w:rPr>
                <w:sz w:val="24"/>
                <w:highlight w:val="none"/>
              </w:rPr>
              <w:t>散货</w:t>
            </w:r>
          </w:p>
        </w:tc>
        <w:tc>
          <w:tcPr>
            <w:tcW w:w="749" w:type="pct"/>
            <w:vAlign w:val="center"/>
          </w:tcPr>
          <w:p>
            <w:pPr>
              <w:jc w:val="center"/>
              <w:rPr>
                <w:sz w:val="24"/>
                <w:highlight w:val="none"/>
              </w:rPr>
            </w:pPr>
            <w:r>
              <w:rPr>
                <w:sz w:val="24"/>
                <w:highlight w:val="none"/>
              </w:rPr>
              <w:t>1</w:t>
            </w:r>
          </w:p>
        </w:tc>
        <w:tc>
          <w:tcPr>
            <w:tcW w:w="914" w:type="pct"/>
            <w:shd w:val="clear" w:color="auto" w:fill="auto"/>
            <w:vAlign w:val="center"/>
          </w:tcPr>
          <w:p>
            <w:pPr>
              <w:jc w:val="center"/>
              <w:rPr>
                <w:sz w:val="24"/>
                <w:highlight w:val="none"/>
              </w:rPr>
            </w:pPr>
            <w:r>
              <w:rPr>
                <w:sz w:val="24"/>
                <w:highlight w:val="none"/>
              </w:rPr>
              <w:t>100万t</w:t>
            </w:r>
          </w:p>
        </w:tc>
        <w:tc>
          <w:tcPr>
            <w:tcW w:w="665" w:type="pct"/>
            <w:vMerge w:val="continue"/>
            <w:shd w:val="clear" w:color="auto" w:fill="auto"/>
            <w:vAlign w:val="center"/>
          </w:tcPr>
          <w:p>
            <w:pPr>
              <w:jc w:val="center"/>
              <w:rPr>
                <w:sz w:val="24"/>
                <w:highlight w:val="none"/>
              </w:rPr>
            </w:pPr>
          </w:p>
        </w:tc>
        <w:tc>
          <w:tcPr>
            <w:tcW w:w="778" w:type="pct"/>
            <w:gridSpan w:val="2"/>
            <w:vMerge w:val="continue"/>
            <w:shd w:val="clear" w:color="auto" w:fill="auto"/>
            <w:vAlign w:val="center"/>
          </w:tcPr>
          <w:p>
            <w:pPr>
              <w:spacing w:line="360" w:lineRule="auto"/>
              <w:jc w:val="center"/>
              <w:rPr>
                <w:sz w:val="24"/>
                <w:highlight w:val="none"/>
              </w:rPr>
            </w:pPr>
          </w:p>
        </w:tc>
      </w:tr>
    </w:tbl>
    <w:p>
      <w:pPr>
        <w:pStyle w:val="2"/>
        <w:spacing w:before="312" w:beforeLines="100" w:line="360" w:lineRule="auto"/>
        <w:ind w:firstLine="561"/>
        <w:outlineLvl w:val="3"/>
        <w:rPr>
          <w:rFonts w:ascii="Times New Roman" w:cs="Times New Roman"/>
          <w:b/>
          <w:color w:val="auto"/>
          <w:sz w:val="28"/>
          <w:szCs w:val="28"/>
          <w:highlight w:val="none"/>
        </w:rPr>
      </w:pPr>
      <w:r>
        <w:rPr>
          <w:rFonts w:ascii="Times New Roman" w:cs="Times New Roman"/>
          <w:b/>
          <w:color w:val="auto"/>
          <w:sz w:val="28"/>
          <w:szCs w:val="28"/>
          <w:highlight w:val="none"/>
        </w:rPr>
        <w:t>（三）犍为港区</w:t>
      </w:r>
    </w:p>
    <w:p>
      <w:pPr>
        <w:tabs>
          <w:tab w:val="left" w:pos="720"/>
        </w:tabs>
        <w:spacing w:line="360" w:lineRule="auto"/>
        <w:ind w:firstLine="480"/>
        <w:rPr>
          <w:sz w:val="28"/>
          <w:szCs w:val="28"/>
          <w:highlight w:val="none"/>
        </w:rPr>
      </w:pPr>
      <w:r>
        <w:rPr>
          <w:b/>
          <w:sz w:val="28"/>
          <w:szCs w:val="28"/>
          <w:highlight w:val="none"/>
        </w:rPr>
        <w:t>1.高石坝作业区：</w:t>
      </w:r>
      <w:r>
        <w:rPr>
          <w:sz w:val="28"/>
          <w:szCs w:val="28"/>
          <w:highlight w:val="none"/>
        </w:rPr>
        <w:t>位于龙溪口枢纽库区，库区形成后河面开阔，布局大型货运作业区后对主航道的干扰较小，具有良好的水域条件；同时后方陆域纵深约500～800m，高程适宜。共规划岸线3000m，其中上</w:t>
      </w:r>
      <w:r>
        <w:rPr>
          <w:rFonts w:hint="eastAsia"/>
          <w:sz w:val="28"/>
          <w:szCs w:val="28"/>
          <w:highlight w:val="none"/>
        </w:rPr>
        <w:t>段</w:t>
      </w:r>
      <w:r>
        <w:rPr>
          <w:sz w:val="28"/>
          <w:szCs w:val="28"/>
          <w:highlight w:val="none"/>
        </w:rPr>
        <w:t>岸线总长2060m，规划布置1000吨级</w:t>
      </w:r>
      <w:r>
        <w:rPr>
          <w:rFonts w:hint="eastAsia"/>
          <w:sz w:val="28"/>
          <w:szCs w:val="28"/>
          <w:highlight w:val="none"/>
        </w:rPr>
        <w:t>集装箱</w:t>
      </w:r>
      <w:r>
        <w:rPr>
          <w:sz w:val="28"/>
          <w:szCs w:val="28"/>
          <w:highlight w:val="none"/>
        </w:rPr>
        <w:t>泊位4个、1000吨级</w:t>
      </w:r>
      <w:r>
        <w:rPr>
          <w:rFonts w:hint="eastAsia"/>
          <w:sz w:val="28"/>
          <w:szCs w:val="28"/>
          <w:highlight w:val="none"/>
        </w:rPr>
        <w:t>多用途</w:t>
      </w:r>
      <w:r>
        <w:rPr>
          <w:sz w:val="28"/>
          <w:szCs w:val="28"/>
          <w:highlight w:val="none"/>
        </w:rPr>
        <w:t>泊位8个、1000吨级通用泊位8个，通过能力集装箱35万TEU、件杂货300万t、散货480万t，下</w:t>
      </w:r>
      <w:r>
        <w:rPr>
          <w:rFonts w:hint="eastAsia"/>
          <w:sz w:val="28"/>
          <w:szCs w:val="28"/>
          <w:highlight w:val="none"/>
        </w:rPr>
        <w:t>段</w:t>
      </w:r>
      <w:r>
        <w:rPr>
          <w:sz w:val="28"/>
          <w:szCs w:val="28"/>
          <w:highlight w:val="none"/>
        </w:rPr>
        <w:t>岸线总长640m，规划布置1000吨级散货泊位3个，通过能力散货240万t。规划岸线上游端布置加油加水岸电泊位</w:t>
      </w:r>
      <w:r>
        <w:rPr>
          <w:rFonts w:hint="eastAsia"/>
          <w:sz w:val="28"/>
          <w:szCs w:val="28"/>
          <w:highlight w:val="none"/>
        </w:rPr>
        <w:t>，占用岸线长</w:t>
      </w:r>
      <w:r>
        <w:rPr>
          <w:sz w:val="28"/>
          <w:szCs w:val="28"/>
          <w:highlight w:val="none"/>
        </w:rPr>
        <w:t>300m，需同时提供5艘</w:t>
      </w:r>
      <w:r>
        <w:rPr>
          <w:rFonts w:hint="eastAsia"/>
          <w:sz w:val="28"/>
          <w:szCs w:val="28"/>
          <w:highlight w:val="none"/>
        </w:rPr>
        <w:t>千吨级</w:t>
      </w:r>
      <w:r>
        <w:rPr>
          <w:sz w:val="28"/>
          <w:szCs w:val="28"/>
          <w:highlight w:val="none"/>
        </w:rPr>
        <w:t>船舶的加水</w:t>
      </w:r>
      <w:r>
        <w:rPr>
          <w:rFonts w:hint="eastAsia"/>
          <w:sz w:val="28"/>
          <w:szCs w:val="28"/>
          <w:highlight w:val="none"/>
        </w:rPr>
        <w:t>、加油</w:t>
      </w:r>
      <w:r>
        <w:rPr>
          <w:sz w:val="28"/>
          <w:szCs w:val="28"/>
          <w:highlight w:val="none"/>
        </w:rPr>
        <w:t>，拟建供油专用设施。规划陆域总面积1840000m²，布置有堆场、仓库及管理综合楼、洗修箱场、移动机械库、停车场等。作业区紧邻仁沐新高速孝姑出口，距G93乐宜高速新民出口也较近，交通极为便利。进出港道路与后方工业园区相连，规划有铁路进入港区，可实现铁水联运。</w:t>
      </w:r>
    </w:p>
    <w:p>
      <w:pPr>
        <w:pStyle w:val="2"/>
        <w:spacing w:line="360" w:lineRule="auto"/>
        <w:ind w:firstLine="562" w:firstLineChars="200"/>
        <w:rPr>
          <w:rFonts w:ascii="Times New Roman" w:cs="Times New Roman"/>
          <w:color w:val="auto"/>
          <w:sz w:val="28"/>
          <w:szCs w:val="28"/>
          <w:highlight w:val="none"/>
        </w:rPr>
      </w:pPr>
      <w:r>
        <w:rPr>
          <w:rFonts w:ascii="Times New Roman" w:cs="Times New Roman"/>
          <w:b/>
          <w:color w:val="auto"/>
          <w:sz w:val="28"/>
          <w:szCs w:val="28"/>
          <w:highlight w:val="none"/>
        </w:rPr>
        <w:t>2.</w:t>
      </w:r>
      <w:r>
        <w:rPr>
          <w:rFonts w:hint="eastAsia" w:ascii="Times New Roman" w:cs="Times New Roman"/>
          <w:b/>
          <w:color w:val="auto"/>
          <w:sz w:val="28"/>
          <w:szCs w:val="28"/>
          <w:highlight w:val="none"/>
        </w:rPr>
        <w:t>新民</w:t>
      </w:r>
      <w:r>
        <w:rPr>
          <w:rFonts w:ascii="Times New Roman" w:cs="Times New Roman"/>
          <w:b/>
          <w:color w:val="auto"/>
          <w:sz w:val="28"/>
          <w:szCs w:val="28"/>
          <w:highlight w:val="none"/>
        </w:rPr>
        <w:t>水上服务中心：</w:t>
      </w:r>
      <w:r>
        <w:rPr>
          <w:rFonts w:ascii="Times New Roman" w:cs="Times New Roman"/>
          <w:color w:val="auto"/>
          <w:sz w:val="28"/>
          <w:szCs w:val="28"/>
          <w:highlight w:val="none"/>
        </w:rPr>
        <w:t>位于</w:t>
      </w:r>
      <w:r>
        <w:rPr>
          <w:rFonts w:hint="eastAsia" w:ascii="Times New Roman" w:cs="Times New Roman"/>
          <w:color w:val="auto"/>
          <w:sz w:val="28"/>
          <w:szCs w:val="28"/>
          <w:highlight w:val="none"/>
        </w:rPr>
        <w:t>龙溪口坝址下游</w:t>
      </w:r>
      <w:r>
        <w:rPr>
          <w:rFonts w:ascii="Times New Roman" w:cs="Times New Roman"/>
          <w:color w:val="auto"/>
          <w:sz w:val="28"/>
          <w:szCs w:val="28"/>
          <w:highlight w:val="none"/>
        </w:rPr>
        <w:t>，岷江左岸，岸线长210m</w:t>
      </w:r>
      <w:r>
        <w:rPr>
          <w:rFonts w:hint="eastAsia" w:ascii="Times New Roman" w:cs="Times New Roman"/>
          <w:color w:val="auto"/>
          <w:sz w:val="28"/>
          <w:szCs w:val="28"/>
          <w:highlight w:val="none"/>
        </w:rPr>
        <w:t>，</w:t>
      </w:r>
      <w:r>
        <w:rPr>
          <w:rFonts w:ascii="Times New Roman" w:cs="Times New Roman"/>
          <w:color w:val="auto"/>
          <w:sz w:val="28"/>
          <w:szCs w:val="28"/>
          <w:highlight w:val="none"/>
        </w:rPr>
        <w:t>陆域74000m²。按1000吨级设计，布置1个船舶污染物接收船</w:t>
      </w:r>
      <w:r>
        <w:rPr>
          <w:rFonts w:hint="eastAsia" w:ascii="Times New Roman" w:cs="Times New Roman"/>
          <w:color w:val="auto"/>
          <w:sz w:val="28"/>
          <w:szCs w:val="28"/>
          <w:highlight w:val="none"/>
        </w:rPr>
        <w:t>、</w:t>
      </w:r>
      <w:r>
        <w:rPr>
          <w:rFonts w:ascii="Times New Roman" w:cs="Times New Roman"/>
          <w:color w:val="auto"/>
          <w:sz w:val="28"/>
          <w:szCs w:val="28"/>
          <w:highlight w:val="none"/>
        </w:rPr>
        <w:t>1个应急搜救船和1个船舶停靠区。服务区提供生活必需品，收集生产、生活垃圾，提供维修和信息服务。拟建船员生活区，管理和信息区。</w:t>
      </w:r>
    </w:p>
    <w:p>
      <w:pPr>
        <w:spacing w:line="360" w:lineRule="auto"/>
        <w:ind w:firstLine="560" w:firstLineChars="200"/>
        <w:rPr>
          <w:kern w:val="0"/>
          <w:sz w:val="28"/>
          <w:szCs w:val="28"/>
          <w:highlight w:val="none"/>
        </w:rPr>
      </w:pPr>
      <w:r>
        <w:rPr>
          <w:sz w:val="28"/>
          <w:szCs w:val="28"/>
          <w:highlight w:val="none"/>
        </w:rPr>
        <w:t>高石坝作业区规划图详见附图LSZGⅡ-03。</w:t>
      </w:r>
      <w:r>
        <w:rPr>
          <w:rFonts w:hint="eastAsia"/>
          <w:kern w:val="0"/>
          <w:sz w:val="28"/>
          <w:szCs w:val="28"/>
          <w:highlight w:val="none"/>
        </w:rPr>
        <w:t>新民水上服务中心</w:t>
      </w:r>
      <w:r>
        <w:rPr>
          <w:kern w:val="0"/>
          <w:sz w:val="28"/>
          <w:szCs w:val="28"/>
          <w:highlight w:val="none"/>
        </w:rPr>
        <w:t>规划图详见附图LSZGⅡ-04。</w:t>
      </w:r>
    </w:p>
    <w:p>
      <w:pPr>
        <w:spacing w:line="360" w:lineRule="auto"/>
        <w:ind w:firstLine="560" w:firstLineChars="200"/>
        <w:rPr>
          <w:kern w:val="0"/>
          <w:sz w:val="28"/>
          <w:szCs w:val="28"/>
          <w:highlight w:val="none"/>
        </w:rPr>
      </w:pPr>
      <w:r>
        <w:rPr>
          <w:kern w:val="0"/>
          <w:sz w:val="28"/>
          <w:szCs w:val="28"/>
          <w:highlight w:val="none"/>
        </w:rPr>
        <w:t>犍为港区规划情况见表5.3-3。</w:t>
      </w:r>
    </w:p>
    <w:p>
      <w:pPr>
        <w:spacing w:line="360" w:lineRule="auto"/>
        <w:ind w:firstLine="480"/>
        <w:jc w:val="center"/>
        <w:rPr>
          <w:rFonts w:eastAsia="黑体"/>
          <w:sz w:val="28"/>
          <w:szCs w:val="28"/>
          <w:highlight w:val="none"/>
        </w:rPr>
      </w:pPr>
      <w:r>
        <w:rPr>
          <w:rFonts w:eastAsia="黑体"/>
          <w:kern w:val="0"/>
          <w:sz w:val="28"/>
          <w:szCs w:val="28"/>
          <w:highlight w:val="none"/>
        </w:rPr>
        <w:t xml:space="preserve">表5.3-3 </w:t>
      </w:r>
      <w:r>
        <w:rPr>
          <w:rFonts w:eastAsia="黑体"/>
          <w:sz w:val="28"/>
          <w:szCs w:val="28"/>
          <w:highlight w:val="none"/>
        </w:rPr>
        <w:t>犍为港区主要作业区及码头规划情况表</w:t>
      </w:r>
    </w:p>
    <w:tbl>
      <w:tblPr>
        <w:tblStyle w:val="32"/>
        <w:tblW w:w="5000" w:type="pct"/>
        <w:jc w:val="center"/>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2468"/>
        <w:gridCol w:w="1306"/>
        <w:gridCol w:w="1450"/>
        <w:gridCol w:w="1597"/>
        <w:gridCol w:w="1597"/>
        <w:gridCol w:w="868"/>
      </w:tblGrid>
      <w:tr>
        <w:tblPrEx>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70" w:hRule="atLeast"/>
          <w:tblHeader/>
          <w:jc w:val="center"/>
        </w:trPr>
        <w:tc>
          <w:tcPr>
            <w:tcW w:w="1329" w:type="pct"/>
            <w:vAlign w:val="center"/>
          </w:tcPr>
          <w:p>
            <w:pPr>
              <w:jc w:val="center"/>
              <w:rPr>
                <w:sz w:val="24"/>
                <w:highlight w:val="none"/>
              </w:rPr>
            </w:pPr>
            <w:r>
              <w:rPr>
                <w:sz w:val="24"/>
                <w:highlight w:val="none"/>
              </w:rPr>
              <w:t>作业区名称</w:t>
            </w:r>
          </w:p>
        </w:tc>
        <w:tc>
          <w:tcPr>
            <w:tcW w:w="703" w:type="pct"/>
            <w:vAlign w:val="center"/>
          </w:tcPr>
          <w:p>
            <w:pPr>
              <w:jc w:val="center"/>
              <w:rPr>
                <w:sz w:val="24"/>
                <w:highlight w:val="none"/>
              </w:rPr>
            </w:pPr>
            <w:r>
              <w:rPr>
                <w:sz w:val="24"/>
                <w:highlight w:val="none"/>
              </w:rPr>
              <w:t>主要功能</w:t>
            </w:r>
          </w:p>
        </w:tc>
        <w:tc>
          <w:tcPr>
            <w:tcW w:w="781" w:type="pct"/>
            <w:shd w:val="clear" w:color="auto" w:fill="auto"/>
            <w:vAlign w:val="center"/>
          </w:tcPr>
          <w:p>
            <w:pPr>
              <w:jc w:val="center"/>
              <w:rPr>
                <w:sz w:val="24"/>
                <w:highlight w:val="none"/>
              </w:rPr>
            </w:pPr>
            <w:r>
              <w:rPr>
                <w:sz w:val="24"/>
                <w:highlight w:val="none"/>
              </w:rPr>
              <w:t>规划泊位数（个）</w:t>
            </w:r>
          </w:p>
        </w:tc>
        <w:tc>
          <w:tcPr>
            <w:tcW w:w="860" w:type="pct"/>
            <w:shd w:val="clear" w:color="auto" w:fill="auto"/>
            <w:vAlign w:val="center"/>
          </w:tcPr>
          <w:p>
            <w:pPr>
              <w:jc w:val="center"/>
              <w:rPr>
                <w:sz w:val="24"/>
                <w:highlight w:val="none"/>
              </w:rPr>
            </w:pPr>
            <w:r>
              <w:rPr>
                <w:sz w:val="24"/>
                <w:highlight w:val="none"/>
              </w:rPr>
              <w:t>通过能力</w:t>
            </w:r>
          </w:p>
          <w:p>
            <w:pPr>
              <w:ind w:left="42" w:leftChars="-38" w:right="-80" w:rightChars="-38" w:hanging="122" w:hangingChars="51"/>
              <w:jc w:val="center"/>
              <w:rPr>
                <w:sz w:val="24"/>
                <w:highlight w:val="none"/>
              </w:rPr>
            </w:pPr>
            <w:r>
              <w:rPr>
                <w:sz w:val="24"/>
                <w:highlight w:val="none"/>
              </w:rPr>
              <w:t>（万TEU、万t/万人次）</w:t>
            </w:r>
          </w:p>
        </w:tc>
        <w:tc>
          <w:tcPr>
            <w:tcW w:w="860" w:type="pct"/>
            <w:shd w:val="clear" w:color="auto" w:fill="auto"/>
            <w:vAlign w:val="center"/>
          </w:tcPr>
          <w:p>
            <w:pPr>
              <w:jc w:val="center"/>
              <w:rPr>
                <w:sz w:val="24"/>
                <w:highlight w:val="none"/>
              </w:rPr>
            </w:pPr>
            <w:r>
              <w:rPr>
                <w:sz w:val="24"/>
                <w:highlight w:val="none"/>
              </w:rPr>
              <w:t>占用土地</w:t>
            </w:r>
          </w:p>
          <w:p>
            <w:pPr>
              <w:jc w:val="center"/>
              <w:rPr>
                <w:sz w:val="24"/>
                <w:highlight w:val="none"/>
              </w:rPr>
            </w:pPr>
            <w:r>
              <w:rPr>
                <w:sz w:val="24"/>
                <w:highlight w:val="none"/>
              </w:rPr>
              <w:t>（m</w:t>
            </w:r>
            <w:r>
              <w:rPr>
                <w:sz w:val="24"/>
                <w:highlight w:val="none"/>
                <w:vertAlign w:val="superscript"/>
              </w:rPr>
              <w:t>2</w:t>
            </w:r>
            <w:r>
              <w:rPr>
                <w:sz w:val="24"/>
                <w:highlight w:val="none"/>
              </w:rPr>
              <w:t>）</w:t>
            </w:r>
          </w:p>
        </w:tc>
        <w:tc>
          <w:tcPr>
            <w:tcW w:w="467" w:type="pct"/>
            <w:shd w:val="clear" w:color="auto" w:fill="auto"/>
            <w:vAlign w:val="center"/>
          </w:tcPr>
          <w:p>
            <w:pPr>
              <w:jc w:val="center"/>
              <w:rPr>
                <w:sz w:val="24"/>
                <w:highlight w:val="none"/>
              </w:rPr>
            </w:pPr>
            <w:r>
              <w:rPr>
                <w:sz w:val="24"/>
                <w:highlight w:val="none"/>
              </w:rPr>
              <w:t>备注</w:t>
            </w:r>
          </w:p>
        </w:tc>
      </w:tr>
      <w:tr>
        <w:tblPrEx>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1" w:hRule="atLeast"/>
          <w:tblHeader/>
          <w:jc w:val="center"/>
        </w:trPr>
        <w:tc>
          <w:tcPr>
            <w:tcW w:w="1329" w:type="pct"/>
            <w:vMerge w:val="restart"/>
            <w:vAlign w:val="center"/>
          </w:tcPr>
          <w:p>
            <w:pPr>
              <w:jc w:val="center"/>
              <w:rPr>
                <w:sz w:val="24"/>
                <w:highlight w:val="none"/>
              </w:rPr>
            </w:pPr>
            <w:r>
              <w:rPr>
                <w:sz w:val="24"/>
                <w:highlight w:val="none"/>
              </w:rPr>
              <w:t>高石坝作业区</w:t>
            </w:r>
          </w:p>
        </w:tc>
        <w:tc>
          <w:tcPr>
            <w:tcW w:w="703" w:type="pct"/>
            <w:vAlign w:val="center"/>
          </w:tcPr>
          <w:p>
            <w:pPr>
              <w:jc w:val="center"/>
              <w:rPr>
                <w:sz w:val="24"/>
                <w:highlight w:val="none"/>
              </w:rPr>
            </w:pPr>
            <w:r>
              <w:rPr>
                <w:sz w:val="24"/>
                <w:highlight w:val="none"/>
              </w:rPr>
              <w:t>集装箱</w:t>
            </w:r>
          </w:p>
        </w:tc>
        <w:tc>
          <w:tcPr>
            <w:tcW w:w="781" w:type="pct"/>
            <w:shd w:val="clear" w:color="auto" w:fill="auto"/>
            <w:vAlign w:val="center"/>
          </w:tcPr>
          <w:p>
            <w:pPr>
              <w:jc w:val="center"/>
              <w:rPr>
                <w:sz w:val="24"/>
                <w:highlight w:val="none"/>
              </w:rPr>
            </w:pPr>
            <w:r>
              <w:rPr>
                <w:rFonts w:hint="eastAsia"/>
                <w:sz w:val="24"/>
                <w:highlight w:val="none"/>
              </w:rPr>
              <w:t>4</w:t>
            </w:r>
          </w:p>
        </w:tc>
        <w:tc>
          <w:tcPr>
            <w:tcW w:w="860" w:type="pct"/>
            <w:vMerge w:val="restart"/>
            <w:shd w:val="clear" w:color="auto" w:fill="auto"/>
            <w:vAlign w:val="center"/>
          </w:tcPr>
          <w:p>
            <w:pPr>
              <w:jc w:val="center"/>
              <w:rPr>
                <w:sz w:val="24"/>
                <w:highlight w:val="none"/>
              </w:rPr>
            </w:pPr>
            <w:r>
              <w:rPr>
                <w:sz w:val="24"/>
                <w:highlight w:val="none"/>
              </w:rPr>
              <w:t>35万TEU、780万t</w:t>
            </w:r>
          </w:p>
        </w:tc>
        <w:tc>
          <w:tcPr>
            <w:tcW w:w="860" w:type="pct"/>
            <w:vMerge w:val="restart"/>
            <w:shd w:val="clear" w:color="auto" w:fill="auto"/>
            <w:vAlign w:val="center"/>
          </w:tcPr>
          <w:p>
            <w:pPr>
              <w:jc w:val="center"/>
              <w:rPr>
                <w:sz w:val="24"/>
                <w:highlight w:val="none"/>
              </w:rPr>
            </w:pPr>
            <w:r>
              <w:rPr>
                <w:sz w:val="24"/>
                <w:highlight w:val="none"/>
              </w:rPr>
              <w:t>1840000</w:t>
            </w:r>
          </w:p>
        </w:tc>
        <w:tc>
          <w:tcPr>
            <w:tcW w:w="467" w:type="pct"/>
            <w:vMerge w:val="restart"/>
            <w:shd w:val="clear" w:color="auto" w:fill="auto"/>
            <w:vAlign w:val="center"/>
          </w:tcPr>
          <w:p>
            <w:pPr>
              <w:pStyle w:val="2"/>
              <w:rPr>
                <w:color w:val="auto"/>
                <w:highlight w:val="none"/>
              </w:rPr>
            </w:pPr>
          </w:p>
          <w:p>
            <w:pPr>
              <w:pStyle w:val="2"/>
              <w:rPr>
                <w:color w:val="auto"/>
                <w:highlight w:val="none"/>
              </w:rPr>
            </w:pPr>
          </w:p>
        </w:tc>
      </w:tr>
      <w:tr>
        <w:tblPrEx>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329" w:type="pct"/>
            <w:vMerge w:val="continue"/>
            <w:vAlign w:val="center"/>
          </w:tcPr>
          <w:p>
            <w:pPr>
              <w:jc w:val="center"/>
              <w:rPr>
                <w:sz w:val="24"/>
                <w:highlight w:val="none"/>
              </w:rPr>
            </w:pPr>
          </w:p>
        </w:tc>
        <w:tc>
          <w:tcPr>
            <w:tcW w:w="703" w:type="pct"/>
            <w:vAlign w:val="center"/>
          </w:tcPr>
          <w:p>
            <w:pPr>
              <w:jc w:val="center"/>
              <w:rPr>
                <w:sz w:val="24"/>
                <w:highlight w:val="none"/>
              </w:rPr>
            </w:pPr>
            <w:r>
              <w:rPr>
                <w:sz w:val="24"/>
                <w:highlight w:val="none"/>
              </w:rPr>
              <w:t>多用途</w:t>
            </w:r>
          </w:p>
        </w:tc>
        <w:tc>
          <w:tcPr>
            <w:tcW w:w="781" w:type="pct"/>
            <w:vAlign w:val="center"/>
          </w:tcPr>
          <w:p>
            <w:pPr>
              <w:jc w:val="center"/>
              <w:rPr>
                <w:sz w:val="24"/>
                <w:highlight w:val="none"/>
              </w:rPr>
            </w:pPr>
            <w:r>
              <w:rPr>
                <w:rFonts w:hint="eastAsia"/>
                <w:sz w:val="24"/>
                <w:highlight w:val="none"/>
              </w:rPr>
              <w:t>8</w:t>
            </w:r>
          </w:p>
        </w:tc>
        <w:tc>
          <w:tcPr>
            <w:tcW w:w="860" w:type="pct"/>
            <w:vMerge w:val="continue"/>
            <w:shd w:val="clear" w:color="auto" w:fill="auto"/>
            <w:vAlign w:val="center"/>
          </w:tcPr>
          <w:p>
            <w:pPr>
              <w:jc w:val="center"/>
              <w:rPr>
                <w:sz w:val="24"/>
                <w:highlight w:val="none"/>
              </w:rPr>
            </w:pPr>
          </w:p>
        </w:tc>
        <w:tc>
          <w:tcPr>
            <w:tcW w:w="860" w:type="pct"/>
            <w:vMerge w:val="continue"/>
            <w:shd w:val="clear" w:color="auto" w:fill="auto"/>
            <w:vAlign w:val="center"/>
          </w:tcPr>
          <w:p>
            <w:pPr>
              <w:jc w:val="center"/>
              <w:rPr>
                <w:sz w:val="24"/>
                <w:highlight w:val="none"/>
              </w:rPr>
            </w:pPr>
          </w:p>
        </w:tc>
        <w:tc>
          <w:tcPr>
            <w:tcW w:w="467" w:type="pct"/>
            <w:vMerge w:val="continue"/>
            <w:shd w:val="clear" w:color="auto" w:fill="auto"/>
            <w:vAlign w:val="center"/>
          </w:tcPr>
          <w:p>
            <w:pPr>
              <w:pStyle w:val="2"/>
              <w:rPr>
                <w:rFonts w:ascii="Times New Roman" w:cs="Times New Roman"/>
                <w:color w:val="auto"/>
                <w:highlight w:val="none"/>
              </w:rPr>
            </w:pPr>
          </w:p>
        </w:tc>
      </w:tr>
      <w:tr>
        <w:tblPrEx>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329" w:type="pct"/>
            <w:vMerge w:val="continue"/>
            <w:vAlign w:val="center"/>
          </w:tcPr>
          <w:p>
            <w:pPr>
              <w:jc w:val="center"/>
              <w:rPr>
                <w:sz w:val="24"/>
                <w:highlight w:val="none"/>
              </w:rPr>
            </w:pPr>
          </w:p>
        </w:tc>
        <w:tc>
          <w:tcPr>
            <w:tcW w:w="703" w:type="pct"/>
            <w:vAlign w:val="center"/>
          </w:tcPr>
          <w:p>
            <w:pPr>
              <w:jc w:val="center"/>
              <w:rPr>
                <w:sz w:val="24"/>
                <w:highlight w:val="none"/>
              </w:rPr>
            </w:pPr>
            <w:r>
              <w:rPr>
                <w:sz w:val="24"/>
                <w:highlight w:val="none"/>
              </w:rPr>
              <w:t>通用</w:t>
            </w:r>
          </w:p>
        </w:tc>
        <w:tc>
          <w:tcPr>
            <w:tcW w:w="781" w:type="pct"/>
            <w:vAlign w:val="center"/>
          </w:tcPr>
          <w:p>
            <w:pPr>
              <w:jc w:val="center"/>
              <w:rPr>
                <w:sz w:val="24"/>
                <w:highlight w:val="none"/>
              </w:rPr>
            </w:pPr>
            <w:r>
              <w:rPr>
                <w:sz w:val="24"/>
                <w:highlight w:val="none"/>
              </w:rPr>
              <w:t>8</w:t>
            </w:r>
          </w:p>
        </w:tc>
        <w:tc>
          <w:tcPr>
            <w:tcW w:w="860" w:type="pct"/>
            <w:vMerge w:val="continue"/>
            <w:shd w:val="clear" w:color="auto" w:fill="auto"/>
            <w:vAlign w:val="center"/>
          </w:tcPr>
          <w:p>
            <w:pPr>
              <w:jc w:val="center"/>
              <w:rPr>
                <w:sz w:val="24"/>
                <w:highlight w:val="none"/>
              </w:rPr>
            </w:pPr>
          </w:p>
        </w:tc>
        <w:tc>
          <w:tcPr>
            <w:tcW w:w="860" w:type="pct"/>
            <w:vMerge w:val="continue"/>
            <w:shd w:val="clear" w:color="auto" w:fill="auto"/>
            <w:vAlign w:val="center"/>
          </w:tcPr>
          <w:p>
            <w:pPr>
              <w:jc w:val="center"/>
              <w:rPr>
                <w:sz w:val="24"/>
                <w:highlight w:val="none"/>
              </w:rPr>
            </w:pPr>
          </w:p>
        </w:tc>
        <w:tc>
          <w:tcPr>
            <w:tcW w:w="467" w:type="pct"/>
            <w:vMerge w:val="continue"/>
            <w:shd w:val="clear" w:color="auto" w:fill="auto"/>
            <w:vAlign w:val="center"/>
          </w:tcPr>
          <w:p>
            <w:pPr>
              <w:pStyle w:val="2"/>
              <w:rPr>
                <w:rFonts w:ascii="Times New Roman" w:cs="Times New Roman"/>
                <w:color w:val="auto"/>
                <w:highlight w:val="none"/>
              </w:rPr>
            </w:pPr>
          </w:p>
        </w:tc>
      </w:tr>
      <w:tr>
        <w:tblPrEx>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329" w:type="pct"/>
            <w:vMerge w:val="continue"/>
            <w:vAlign w:val="center"/>
          </w:tcPr>
          <w:p>
            <w:pPr>
              <w:jc w:val="center"/>
              <w:rPr>
                <w:sz w:val="24"/>
                <w:highlight w:val="none"/>
              </w:rPr>
            </w:pPr>
          </w:p>
        </w:tc>
        <w:tc>
          <w:tcPr>
            <w:tcW w:w="703" w:type="pct"/>
            <w:vAlign w:val="center"/>
          </w:tcPr>
          <w:p>
            <w:pPr>
              <w:jc w:val="center"/>
              <w:rPr>
                <w:sz w:val="24"/>
                <w:highlight w:val="none"/>
              </w:rPr>
            </w:pPr>
            <w:r>
              <w:rPr>
                <w:sz w:val="24"/>
                <w:highlight w:val="none"/>
              </w:rPr>
              <w:t>散货</w:t>
            </w:r>
          </w:p>
        </w:tc>
        <w:tc>
          <w:tcPr>
            <w:tcW w:w="781" w:type="pct"/>
            <w:vAlign w:val="center"/>
          </w:tcPr>
          <w:p>
            <w:pPr>
              <w:jc w:val="center"/>
              <w:rPr>
                <w:sz w:val="24"/>
                <w:highlight w:val="none"/>
              </w:rPr>
            </w:pPr>
            <w:r>
              <w:rPr>
                <w:sz w:val="24"/>
                <w:highlight w:val="none"/>
              </w:rPr>
              <w:t>3</w:t>
            </w:r>
          </w:p>
        </w:tc>
        <w:tc>
          <w:tcPr>
            <w:tcW w:w="860" w:type="pct"/>
            <w:shd w:val="clear" w:color="auto" w:fill="auto"/>
            <w:vAlign w:val="center"/>
          </w:tcPr>
          <w:p>
            <w:pPr>
              <w:jc w:val="center"/>
              <w:rPr>
                <w:sz w:val="24"/>
                <w:highlight w:val="none"/>
              </w:rPr>
            </w:pPr>
            <w:r>
              <w:rPr>
                <w:sz w:val="24"/>
                <w:highlight w:val="none"/>
              </w:rPr>
              <w:t>240万t</w:t>
            </w:r>
          </w:p>
        </w:tc>
        <w:tc>
          <w:tcPr>
            <w:tcW w:w="860" w:type="pct"/>
            <w:vMerge w:val="continue"/>
            <w:shd w:val="clear" w:color="auto" w:fill="auto"/>
            <w:vAlign w:val="center"/>
          </w:tcPr>
          <w:p>
            <w:pPr>
              <w:jc w:val="center"/>
              <w:rPr>
                <w:sz w:val="24"/>
                <w:highlight w:val="none"/>
              </w:rPr>
            </w:pPr>
          </w:p>
        </w:tc>
        <w:tc>
          <w:tcPr>
            <w:tcW w:w="467" w:type="pct"/>
            <w:vMerge w:val="continue"/>
            <w:shd w:val="clear" w:color="auto" w:fill="auto"/>
            <w:vAlign w:val="center"/>
          </w:tcPr>
          <w:p>
            <w:pPr>
              <w:pStyle w:val="2"/>
              <w:rPr>
                <w:rFonts w:ascii="Times New Roman" w:cs="Times New Roman"/>
                <w:color w:val="auto"/>
                <w:highlight w:val="none"/>
              </w:rPr>
            </w:pPr>
          </w:p>
        </w:tc>
      </w:tr>
      <w:tr>
        <w:tblPrEx>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329" w:type="pct"/>
            <w:vMerge w:val="continue"/>
            <w:vAlign w:val="center"/>
          </w:tcPr>
          <w:p>
            <w:pPr>
              <w:jc w:val="center"/>
              <w:rPr>
                <w:sz w:val="24"/>
                <w:highlight w:val="none"/>
              </w:rPr>
            </w:pPr>
          </w:p>
        </w:tc>
        <w:tc>
          <w:tcPr>
            <w:tcW w:w="703" w:type="pct"/>
            <w:vAlign w:val="center"/>
          </w:tcPr>
          <w:p>
            <w:pPr>
              <w:jc w:val="center"/>
              <w:rPr>
                <w:sz w:val="24"/>
                <w:highlight w:val="none"/>
              </w:rPr>
            </w:pPr>
            <w:r>
              <w:rPr>
                <w:sz w:val="24"/>
                <w:highlight w:val="none"/>
              </w:rPr>
              <w:t>加油</w:t>
            </w:r>
          </w:p>
        </w:tc>
        <w:tc>
          <w:tcPr>
            <w:tcW w:w="781" w:type="pct"/>
            <w:vAlign w:val="center"/>
          </w:tcPr>
          <w:p>
            <w:pPr>
              <w:jc w:val="center"/>
              <w:rPr>
                <w:sz w:val="24"/>
                <w:highlight w:val="none"/>
              </w:rPr>
            </w:pPr>
            <w:r>
              <w:rPr>
                <w:rFonts w:hint="eastAsia"/>
                <w:sz w:val="24"/>
                <w:highlight w:val="none"/>
              </w:rPr>
              <w:t>1</w:t>
            </w:r>
          </w:p>
        </w:tc>
        <w:tc>
          <w:tcPr>
            <w:tcW w:w="860" w:type="pct"/>
            <w:shd w:val="clear" w:color="auto" w:fill="auto"/>
            <w:vAlign w:val="center"/>
          </w:tcPr>
          <w:p>
            <w:pPr>
              <w:jc w:val="center"/>
              <w:rPr>
                <w:sz w:val="24"/>
                <w:highlight w:val="none"/>
              </w:rPr>
            </w:pPr>
          </w:p>
        </w:tc>
        <w:tc>
          <w:tcPr>
            <w:tcW w:w="860" w:type="pct"/>
            <w:vMerge w:val="continue"/>
            <w:shd w:val="clear" w:color="auto" w:fill="auto"/>
            <w:vAlign w:val="center"/>
          </w:tcPr>
          <w:p>
            <w:pPr>
              <w:ind w:firstLine="560"/>
              <w:jc w:val="center"/>
              <w:rPr>
                <w:sz w:val="24"/>
                <w:highlight w:val="none"/>
              </w:rPr>
            </w:pPr>
          </w:p>
        </w:tc>
        <w:tc>
          <w:tcPr>
            <w:tcW w:w="467" w:type="pct"/>
            <w:vMerge w:val="continue"/>
            <w:shd w:val="clear" w:color="auto" w:fill="auto"/>
            <w:vAlign w:val="center"/>
          </w:tcPr>
          <w:p>
            <w:pPr>
              <w:pStyle w:val="2"/>
              <w:rPr>
                <w:rFonts w:ascii="Times New Roman" w:cs="Times New Roman"/>
                <w:color w:val="auto"/>
                <w:highlight w:val="none"/>
              </w:rPr>
            </w:pPr>
          </w:p>
        </w:tc>
      </w:tr>
      <w:tr>
        <w:tblPrEx>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329" w:type="pct"/>
            <w:vAlign w:val="center"/>
          </w:tcPr>
          <w:p>
            <w:pPr>
              <w:jc w:val="center"/>
              <w:rPr>
                <w:sz w:val="24"/>
                <w:highlight w:val="none"/>
              </w:rPr>
            </w:pPr>
            <w:r>
              <w:rPr>
                <w:rFonts w:hint="eastAsia"/>
                <w:sz w:val="24"/>
                <w:highlight w:val="none"/>
              </w:rPr>
              <w:t>新民水上服务中心</w:t>
            </w:r>
          </w:p>
        </w:tc>
        <w:tc>
          <w:tcPr>
            <w:tcW w:w="703" w:type="pct"/>
            <w:vAlign w:val="center"/>
          </w:tcPr>
          <w:p>
            <w:pPr>
              <w:jc w:val="center"/>
              <w:rPr>
                <w:sz w:val="24"/>
                <w:highlight w:val="none"/>
              </w:rPr>
            </w:pPr>
            <w:r>
              <w:rPr>
                <w:rFonts w:hint="eastAsia"/>
                <w:sz w:val="24"/>
                <w:highlight w:val="none"/>
              </w:rPr>
              <w:t>综合服务</w:t>
            </w:r>
          </w:p>
        </w:tc>
        <w:tc>
          <w:tcPr>
            <w:tcW w:w="781" w:type="pct"/>
            <w:vAlign w:val="center"/>
          </w:tcPr>
          <w:p>
            <w:pPr>
              <w:jc w:val="center"/>
              <w:rPr>
                <w:sz w:val="24"/>
                <w:highlight w:val="none"/>
              </w:rPr>
            </w:pPr>
            <w:r>
              <w:rPr>
                <w:sz w:val="24"/>
                <w:highlight w:val="none"/>
              </w:rPr>
              <w:t>3</w:t>
            </w:r>
          </w:p>
        </w:tc>
        <w:tc>
          <w:tcPr>
            <w:tcW w:w="860" w:type="pct"/>
            <w:shd w:val="clear" w:color="auto" w:fill="auto"/>
            <w:vAlign w:val="center"/>
          </w:tcPr>
          <w:p>
            <w:pPr>
              <w:jc w:val="center"/>
              <w:rPr>
                <w:sz w:val="24"/>
                <w:highlight w:val="none"/>
              </w:rPr>
            </w:pPr>
          </w:p>
        </w:tc>
        <w:tc>
          <w:tcPr>
            <w:tcW w:w="860" w:type="pct"/>
            <w:shd w:val="clear" w:color="auto" w:fill="auto"/>
            <w:vAlign w:val="center"/>
          </w:tcPr>
          <w:p>
            <w:pPr>
              <w:jc w:val="center"/>
              <w:rPr>
                <w:sz w:val="24"/>
                <w:highlight w:val="none"/>
              </w:rPr>
            </w:pPr>
            <w:r>
              <w:rPr>
                <w:rFonts w:hint="eastAsia"/>
                <w:sz w:val="24"/>
                <w:highlight w:val="none"/>
              </w:rPr>
              <w:t>74</w:t>
            </w:r>
            <w:r>
              <w:rPr>
                <w:sz w:val="24"/>
                <w:highlight w:val="none"/>
              </w:rPr>
              <w:t>000</w:t>
            </w:r>
          </w:p>
        </w:tc>
        <w:tc>
          <w:tcPr>
            <w:tcW w:w="467" w:type="pct"/>
            <w:shd w:val="clear" w:color="auto" w:fill="auto"/>
            <w:vAlign w:val="center"/>
          </w:tcPr>
          <w:p>
            <w:pPr>
              <w:jc w:val="center"/>
              <w:rPr>
                <w:sz w:val="24"/>
                <w:highlight w:val="none"/>
              </w:rPr>
            </w:pPr>
          </w:p>
        </w:tc>
      </w:tr>
    </w:tbl>
    <w:p>
      <w:pPr>
        <w:pStyle w:val="2"/>
        <w:spacing w:line="360" w:lineRule="auto"/>
        <w:ind w:firstLine="562" w:firstLineChars="200"/>
        <w:rPr>
          <w:rFonts w:ascii="Times New Roman" w:cs="Times New Roman"/>
          <w:b/>
          <w:color w:val="auto"/>
          <w:sz w:val="28"/>
          <w:szCs w:val="28"/>
          <w:highlight w:val="none"/>
        </w:rPr>
      </w:pPr>
      <w:r>
        <w:rPr>
          <w:rFonts w:ascii="Times New Roman" w:cs="Times New Roman"/>
          <w:b/>
          <w:color w:val="auto"/>
          <w:sz w:val="28"/>
          <w:szCs w:val="28"/>
          <w:highlight w:val="none"/>
        </w:rPr>
        <w:t>（四）沐川港区</w:t>
      </w:r>
    </w:p>
    <w:p>
      <w:pPr>
        <w:pStyle w:val="2"/>
        <w:ind w:firstLine="562" w:firstLineChars="200"/>
        <w:jc w:val="both"/>
        <w:rPr>
          <w:rFonts w:ascii="Times New Roman" w:cs="Times New Roman"/>
          <w:color w:val="auto"/>
          <w:sz w:val="28"/>
          <w:szCs w:val="28"/>
          <w:highlight w:val="none"/>
        </w:rPr>
      </w:pPr>
      <w:r>
        <w:rPr>
          <w:rFonts w:ascii="Times New Roman" w:cs="Times New Roman"/>
          <w:b/>
          <w:color w:val="auto"/>
          <w:sz w:val="28"/>
          <w:szCs w:val="28"/>
          <w:highlight w:val="none"/>
        </w:rPr>
        <w:t>1.罗家坝作业区：</w:t>
      </w:r>
      <w:r>
        <w:rPr>
          <w:rFonts w:ascii="Times New Roman" w:cs="Times New Roman"/>
          <w:color w:val="auto"/>
          <w:sz w:val="28"/>
          <w:szCs w:val="28"/>
          <w:highlight w:val="none"/>
        </w:rPr>
        <w:t>位于规划龙溪口枢纽库区内，沐溪河回水末端右岸，紧邻规划的沐川县炭库临港工业园，规划建设2个500吨级件杂货泊位、4个500吨级散货泊位，共占用岸线400m，通过能力为件杂货30万t/年、散货240万t/年，陆域总面积185000m²。进出港道路通过园区规划道路与S310箭板至新凡段新改建工程连接</w:t>
      </w:r>
      <w:r>
        <w:rPr>
          <w:rFonts w:hint="eastAsia" w:ascii="Times New Roman" w:cs="Times New Roman"/>
          <w:color w:val="auto"/>
          <w:sz w:val="28"/>
          <w:szCs w:val="28"/>
          <w:highlight w:val="none"/>
        </w:rPr>
        <w:t>，S</w:t>
      </w:r>
      <w:r>
        <w:rPr>
          <w:rFonts w:ascii="Times New Roman" w:cs="Times New Roman"/>
          <w:color w:val="auto"/>
          <w:sz w:val="28"/>
          <w:szCs w:val="28"/>
          <w:highlight w:val="none"/>
        </w:rPr>
        <w:t>310</w:t>
      </w:r>
      <w:r>
        <w:rPr>
          <w:rFonts w:hint="eastAsia" w:ascii="Times New Roman" w:cs="Times New Roman"/>
          <w:color w:val="auto"/>
          <w:sz w:val="28"/>
          <w:szCs w:val="28"/>
          <w:highlight w:val="none"/>
        </w:rPr>
        <w:t>可通过改建建老路实现与马边矿区的连接</w:t>
      </w:r>
      <w:r>
        <w:rPr>
          <w:rFonts w:ascii="Times New Roman" w:cs="Times New Roman"/>
          <w:color w:val="auto"/>
          <w:sz w:val="28"/>
          <w:szCs w:val="28"/>
          <w:highlight w:val="none"/>
        </w:rPr>
        <w:t>。</w:t>
      </w:r>
    </w:p>
    <w:p>
      <w:pPr>
        <w:pStyle w:val="2"/>
        <w:spacing w:line="360" w:lineRule="auto"/>
        <w:ind w:firstLine="562" w:firstLineChars="200"/>
        <w:jc w:val="both"/>
        <w:rPr>
          <w:rFonts w:ascii="Times New Roman" w:cs="Times New Roman"/>
          <w:color w:val="auto"/>
          <w:sz w:val="28"/>
          <w:szCs w:val="28"/>
          <w:highlight w:val="none"/>
        </w:rPr>
      </w:pPr>
      <w:r>
        <w:rPr>
          <w:rFonts w:ascii="Times New Roman" w:cs="Times New Roman"/>
          <w:b/>
          <w:color w:val="auto"/>
          <w:sz w:val="28"/>
          <w:szCs w:val="28"/>
          <w:highlight w:val="none"/>
        </w:rPr>
        <w:t>2.茨竹坪散货码头</w:t>
      </w:r>
      <w:r>
        <w:rPr>
          <w:rFonts w:ascii="Times New Roman" w:cs="Times New Roman"/>
          <w:b/>
          <w:color w:val="auto"/>
          <w:kern w:val="2"/>
          <w:sz w:val="28"/>
          <w:szCs w:val="28"/>
          <w:highlight w:val="none"/>
        </w:rPr>
        <w:t>：</w:t>
      </w:r>
      <w:r>
        <w:rPr>
          <w:rFonts w:ascii="Times New Roman" w:cs="Times New Roman"/>
          <w:color w:val="auto"/>
          <w:sz w:val="28"/>
          <w:szCs w:val="28"/>
          <w:highlight w:val="none"/>
        </w:rPr>
        <w:t>位于大渡河铜街子枢纽库区内，</w:t>
      </w:r>
      <w:r>
        <w:rPr>
          <w:rFonts w:hint="eastAsia" w:ascii="Times New Roman" w:cs="Times New Roman"/>
          <w:color w:val="auto"/>
          <w:sz w:val="28"/>
          <w:szCs w:val="28"/>
          <w:highlight w:val="none"/>
        </w:rPr>
        <w:t>码头</w:t>
      </w:r>
      <w:r>
        <w:rPr>
          <w:rFonts w:ascii="Times New Roman" w:cs="Times New Roman"/>
          <w:color w:val="auto"/>
          <w:sz w:val="28"/>
          <w:szCs w:val="28"/>
          <w:highlight w:val="none"/>
        </w:rPr>
        <w:t>顺岸布置，直立式码头，布置2个300吨级散货泊位，占用岸线200m，散货通过能力60万t/年，陆域高程约475.00m，陆域占地面积约28500m</w:t>
      </w:r>
      <w:r>
        <w:rPr>
          <w:rFonts w:ascii="Times New Roman" w:cs="Times New Roman"/>
          <w:color w:val="auto"/>
          <w:sz w:val="28"/>
          <w:szCs w:val="28"/>
          <w:highlight w:val="none"/>
          <w:vertAlign w:val="superscript"/>
        </w:rPr>
        <w:t>2</w:t>
      </w:r>
      <w:r>
        <w:rPr>
          <w:rFonts w:ascii="Times New Roman" w:cs="Times New Roman"/>
          <w:color w:val="auto"/>
          <w:sz w:val="28"/>
          <w:szCs w:val="28"/>
          <w:highlight w:val="none"/>
        </w:rPr>
        <w:t>。</w:t>
      </w:r>
    </w:p>
    <w:p>
      <w:pPr>
        <w:spacing w:line="360" w:lineRule="auto"/>
        <w:ind w:firstLine="480"/>
        <w:rPr>
          <w:sz w:val="28"/>
          <w:szCs w:val="28"/>
          <w:highlight w:val="none"/>
        </w:rPr>
      </w:pPr>
      <w:r>
        <w:rPr>
          <w:kern w:val="0"/>
          <w:sz w:val="28"/>
          <w:szCs w:val="28"/>
          <w:highlight w:val="none"/>
        </w:rPr>
        <w:t>罗家坝作业区规划图详见附图LSZGⅡ-05。</w:t>
      </w:r>
      <w:r>
        <w:rPr>
          <w:sz w:val="28"/>
          <w:szCs w:val="28"/>
          <w:highlight w:val="none"/>
        </w:rPr>
        <w:t>茨竹坪散货码头规划图详见附图LSZGⅡ-08。</w:t>
      </w:r>
    </w:p>
    <w:p>
      <w:pPr>
        <w:spacing w:line="360" w:lineRule="auto"/>
        <w:ind w:firstLine="480"/>
        <w:rPr>
          <w:highlight w:val="none"/>
        </w:rPr>
      </w:pPr>
      <w:r>
        <w:rPr>
          <w:kern w:val="0"/>
          <w:sz w:val="28"/>
          <w:szCs w:val="28"/>
          <w:highlight w:val="none"/>
        </w:rPr>
        <w:t>沐川港区规划情况见表5.3-4。</w:t>
      </w:r>
    </w:p>
    <w:p>
      <w:pPr>
        <w:widowControl/>
        <w:jc w:val="left"/>
        <w:rPr>
          <w:rFonts w:eastAsia="黑体"/>
          <w:kern w:val="0"/>
          <w:sz w:val="28"/>
          <w:szCs w:val="28"/>
          <w:highlight w:val="none"/>
        </w:rPr>
      </w:pPr>
      <w:r>
        <w:rPr>
          <w:rFonts w:eastAsia="黑体"/>
          <w:kern w:val="0"/>
          <w:sz w:val="28"/>
          <w:szCs w:val="28"/>
          <w:highlight w:val="none"/>
        </w:rPr>
        <w:br w:type="page"/>
      </w:r>
    </w:p>
    <w:p>
      <w:pPr>
        <w:spacing w:line="360" w:lineRule="auto"/>
        <w:jc w:val="center"/>
        <w:rPr>
          <w:rFonts w:eastAsia="黑体"/>
          <w:sz w:val="28"/>
          <w:szCs w:val="28"/>
          <w:highlight w:val="none"/>
        </w:rPr>
      </w:pPr>
      <w:r>
        <w:rPr>
          <w:rFonts w:eastAsia="黑体"/>
          <w:kern w:val="0"/>
          <w:sz w:val="28"/>
          <w:szCs w:val="28"/>
          <w:highlight w:val="none"/>
        </w:rPr>
        <w:t xml:space="preserve">表5.3-4 </w:t>
      </w:r>
      <w:r>
        <w:rPr>
          <w:rFonts w:eastAsia="黑体"/>
          <w:sz w:val="28"/>
          <w:szCs w:val="28"/>
          <w:highlight w:val="none"/>
        </w:rPr>
        <w:t>沐川港区主要作业区及码头规划情况表</w:t>
      </w:r>
    </w:p>
    <w:tbl>
      <w:tblPr>
        <w:tblStyle w:val="32"/>
        <w:tblW w:w="0" w:type="auto"/>
        <w:jc w:val="center"/>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843"/>
        <w:gridCol w:w="1101"/>
        <w:gridCol w:w="1462"/>
        <w:gridCol w:w="1690"/>
        <w:gridCol w:w="1245"/>
        <w:gridCol w:w="1557"/>
      </w:tblGrid>
      <w:tr>
        <w:tblPrEx>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843" w:type="dxa"/>
            <w:vAlign w:val="center"/>
          </w:tcPr>
          <w:p>
            <w:pPr>
              <w:jc w:val="center"/>
              <w:rPr>
                <w:sz w:val="24"/>
                <w:highlight w:val="none"/>
              </w:rPr>
            </w:pPr>
            <w:r>
              <w:rPr>
                <w:sz w:val="24"/>
                <w:highlight w:val="none"/>
              </w:rPr>
              <w:t>作业区名称</w:t>
            </w:r>
          </w:p>
        </w:tc>
        <w:tc>
          <w:tcPr>
            <w:tcW w:w="1101" w:type="dxa"/>
            <w:vAlign w:val="center"/>
          </w:tcPr>
          <w:p>
            <w:pPr>
              <w:jc w:val="center"/>
              <w:rPr>
                <w:sz w:val="24"/>
                <w:highlight w:val="none"/>
              </w:rPr>
            </w:pPr>
            <w:r>
              <w:rPr>
                <w:sz w:val="24"/>
                <w:highlight w:val="none"/>
              </w:rPr>
              <w:t>主要功能</w:t>
            </w:r>
          </w:p>
        </w:tc>
        <w:tc>
          <w:tcPr>
            <w:tcW w:w="1462" w:type="dxa"/>
            <w:shd w:val="clear" w:color="auto" w:fill="auto"/>
            <w:vAlign w:val="center"/>
          </w:tcPr>
          <w:p>
            <w:pPr>
              <w:jc w:val="center"/>
              <w:rPr>
                <w:sz w:val="24"/>
                <w:highlight w:val="none"/>
              </w:rPr>
            </w:pPr>
            <w:r>
              <w:rPr>
                <w:sz w:val="24"/>
                <w:highlight w:val="none"/>
              </w:rPr>
              <w:t>规划泊位数（个）</w:t>
            </w:r>
          </w:p>
        </w:tc>
        <w:tc>
          <w:tcPr>
            <w:tcW w:w="0" w:type="auto"/>
            <w:shd w:val="clear" w:color="auto" w:fill="auto"/>
            <w:vAlign w:val="center"/>
          </w:tcPr>
          <w:p>
            <w:pPr>
              <w:jc w:val="center"/>
              <w:rPr>
                <w:sz w:val="24"/>
                <w:highlight w:val="none"/>
              </w:rPr>
            </w:pPr>
            <w:r>
              <w:rPr>
                <w:sz w:val="24"/>
                <w:highlight w:val="none"/>
              </w:rPr>
              <w:t>通过能力</w:t>
            </w:r>
          </w:p>
          <w:p>
            <w:pPr>
              <w:ind w:left="42" w:leftChars="-38" w:right="-80" w:rightChars="-38" w:hanging="122" w:hangingChars="51"/>
              <w:jc w:val="center"/>
              <w:rPr>
                <w:sz w:val="24"/>
                <w:highlight w:val="none"/>
              </w:rPr>
            </w:pPr>
            <w:r>
              <w:rPr>
                <w:sz w:val="24"/>
                <w:highlight w:val="none"/>
              </w:rPr>
              <w:t>（万t/万人次）</w:t>
            </w:r>
          </w:p>
        </w:tc>
        <w:tc>
          <w:tcPr>
            <w:tcW w:w="1245" w:type="dxa"/>
            <w:shd w:val="clear" w:color="auto" w:fill="auto"/>
            <w:vAlign w:val="center"/>
          </w:tcPr>
          <w:p>
            <w:pPr>
              <w:jc w:val="center"/>
              <w:rPr>
                <w:sz w:val="24"/>
                <w:highlight w:val="none"/>
              </w:rPr>
            </w:pPr>
            <w:r>
              <w:rPr>
                <w:sz w:val="24"/>
                <w:highlight w:val="none"/>
              </w:rPr>
              <w:t>占用土地</w:t>
            </w:r>
          </w:p>
          <w:p>
            <w:pPr>
              <w:jc w:val="center"/>
              <w:rPr>
                <w:sz w:val="24"/>
                <w:highlight w:val="none"/>
              </w:rPr>
            </w:pPr>
            <w:r>
              <w:rPr>
                <w:sz w:val="24"/>
                <w:highlight w:val="none"/>
              </w:rPr>
              <w:t>（m</w:t>
            </w:r>
            <w:r>
              <w:rPr>
                <w:sz w:val="24"/>
                <w:highlight w:val="none"/>
                <w:vertAlign w:val="superscript"/>
              </w:rPr>
              <w:t>2</w:t>
            </w:r>
            <w:r>
              <w:rPr>
                <w:sz w:val="24"/>
                <w:highlight w:val="none"/>
              </w:rPr>
              <w:t>）</w:t>
            </w:r>
          </w:p>
        </w:tc>
        <w:tc>
          <w:tcPr>
            <w:tcW w:w="1557" w:type="dxa"/>
            <w:shd w:val="clear" w:color="auto" w:fill="auto"/>
            <w:vAlign w:val="center"/>
          </w:tcPr>
          <w:p>
            <w:pPr>
              <w:jc w:val="center"/>
              <w:rPr>
                <w:sz w:val="24"/>
                <w:highlight w:val="none"/>
              </w:rPr>
            </w:pPr>
            <w:r>
              <w:rPr>
                <w:sz w:val="24"/>
                <w:highlight w:val="none"/>
              </w:rPr>
              <w:t>备注</w:t>
            </w:r>
          </w:p>
        </w:tc>
      </w:tr>
      <w:tr>
        <w:tblPrEx>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843" w:type="dxa"/>
            <w:vMerge w:val="restart"/>
            <w:vAlign w:val="center"/>
          </w:tcPr>
          <w:p>
            <w:pPr>
              <w:rPr>
                <w:sz w:val="24"/>
                <w:highlight w:val="none"/>
              </w:rPr>
            </w:pPr>
            <w:r>
              <w:rPr>
                <w:sz w:val="24"/>
                <w:highlight w:val="none"/>
              </w:rPr>
              <w:t>罗家坝作业区</w:t>
            </w:r>
          </w:p>
        </w:tc>
        <w:tc>
          <w:tcPr>
            <w:tcW w:w="1101" w:type="dxa"/>
            <w:vAlign w:val="center"/>
          </w:tcPr>
          <w:p>
            <w:pPr>
              <w:rPr>
                <w:sz w:val="24"/>
                <w:highlight w:val="none"/>
              </w:rPr>
            </w:pPr>
            <w:r>
              <w:rPr>
                <w:sz w:val="24"/>
                <w:highlight w:val="none"/>
              </w:rPr>
              <w:t>件杂货</w:t>
            </w:r>
          </w:p>
        </w:tc>
        <w:tc>
          <w:tcPr>
            <w:tcW w:w="1462" w:type="dxa"/>
            <w:vAlign w:val="center"/>
          </w:tcPr>
          <w:p>
            <w:pPr>
              <w:jc w:val="center"/>
              <w:rPr>
                <w:sz w:val="24"/>
                <w:highlight w:val="none"/>
              </w:rPr>
            </w:pPr>
            <w:r>
              <w:rPr>
                <w:sz w:val="24"/>
                <w:highlight w:val="none"/>
              </w:rPr>
              <w:t>2</w:t>
            </w:r>
          </w:p>
        </w:tc>
        <w:tc>
          <w:tcPr>
            <w:tcW w:w="0" w:type="auto"/>
            <w:shd w:val="clear" w:color="auto" w:fill="auto"/>
            <w:vAlign w:val="center"/>
          </w:tcPr>
          <w:p>
            <w:pPr>
              <w:jc w:val="center"/>
              <w:rPr>
                <w:sz w:val="24"/>
                <w:highlight w:val="none"/>
              </w:rPr>
            </w:pPr>
            <w:r>
              <w:rPr>
                <w:sz w:val="24"/>
                <w:highlight w:val="none"/>
              </w:rPr>
              <w:t>30</w:t>
            </w:r>
          </w:p>
        </w:tc>
        <w:tc>
          <w:tcPr>
            <w:tcW w:w="1245" w:type="dxa"/>
            <w:vMerge w:val="restart"/>
            <w:shd w:val="clear" w:color="auto" w:fill="auto"/>
            <w:vAlign w:val="center"/>
          </w:tcPr>
          <w:p>
            <w:pPr>
              <w:jc w:val="center"/>
              <w:rPr>
                <w:sz w:val="24"/>
                <w:highlight w:val="none"/>
              </w:rPr>
            </w:pPr>
            <w:r>
              <w:rPr>
                <w:sz w:val="24"/>
                <w:highlight w:val="none"/>
              </w:rPr>
              <w:t>185000</w:t>
            </w:r>
          </w:p>
        </w:tc>
        <w:tc>
          <w:tcPr>
            <w:tcW w:w="1557" w:type="dxa"/>
            <w:vMerge w:val="restart"/>
            <w:shd w:val="clear" w:color="auto" w:fill="auto"/>
            <w:vAlign w:val="center"/>
          </w:tcPr>
          <w:p>
            <w:pPr>
              <w:spacing w:line="360" w:lineRule="auto"/>
              <w:jc w:val="center"/>
              <w:rPr>
                <w:sz w:val="24"/>
                <w:highlight w:val="none"/>
              </w:rPr>
            </w:pPr>
            <w:r>
              <w:rPr>
                <w:sz w:val="24"/>
                <w:highlight w:val="none"/>
              </w:rPr>
              <w:t>+1个港航管理</w:t>
            </w:r>
          </w:p>
        </w:tc>
      </w:tr>
      <w:tr>
        <w:tblPrEx>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rPr>
                <w:sz w:val="24"/>
                <w:highlight w:val="none"/>
              </w:rPr>
            </w:pPr>
          </w:p>
        </w:tc>
        <w:tc>
          <w:tcPr>
            <w:tcW w:w="1101" w:type="dxa"/>
            <w:vAlign w:val="center"/>
          </w:tcPr>
          <w:p>
            <w:pPr>
              <w:rPr>
                <w:sz w:val="24"/>
                <w:highlight w:val="none"/>
              </w:rPr>
            </w:pPr>
            <w:r>
              <w:rPr>
                <w:sz w:val="24"/>
                <w:highlight w:val="none"/>
              </w:rPr>
              <w:t>散货</w:t>
            </w:r>
          </w:p>
        </w:tc>
        <w:tc>
          <w:tcPr>
            <w:tcW w:w="1462" w:type="dxa"/>
            <w:vAlign w:val="center"/>
          </w:tcPr>
          <w:p>
            <w:pPr>
              <w:jc w:val="center"/>
              <w:rPr>
                <w:sz w:val="24"/>
                <w:highlight w:val="none"/>
              </w:rPr>
            </w:pPr>
            <w:r>
              <w:rPr>
                <w:sz w:val="24"/>
                <w:highlight w:val="none"/>
              </w:rPr>
              <w:t>4</w:t>
            </w:r>
          </w:p>
        </w:tc>
        <w:tc>
          <w:tcPr>
            <w:tcW w:w="0" w:type="auto"/>
            <w:shd w:val="clear" w:color="auto" w:fill="auto"/>
            <w:vAlign w:val="center"/>
          </w:tcPr>
          <w:p>
            <w:pPr>
              <w:jc w:val="center"/>
              <w:rPr>
                <w:sz w:val="24"/>
                <w:highlight w:val="none"/>
              </w:rPr>
            </w:pPr>
            <w:r>
              <w:rPr>
                <w:sz w:val="24"/>
                <w:highlight w:val="none"/>
              </w:rPr>
              <w:t>240</w:t>
            </w:r>
          </w:p>
        </w:tc>
        <w:tc>
          <w:tcPr>
            <w:tcW w:w="1245" w:type="dxa"/>
            <w:vMerge w:val="continue"/>
            <w:shd w:val="clear" w:color="auto" w:fill="auto"/>
            <w:vAlign w:val="center"/>
          </w:tcPr>
          <w:p>
            <w:pPr>
              <w:jc w:val="center"/>
              <w:rPr>
                <w:sz w:val="24"/>
                <w:highlight w:val="none"/>
              </w:rPr>
            </w:pPr>
          </w:p>
        </w:tc>
        <w:tc>
          <w:tcPr>
            <w:tcW w:w="1557" w:type="dxa"/>
            <w:vMerge w:val="continue"/>
            <w:shd w:val="clear" w:color="auto" w:fill="auto"/>
            <w:vAlign w:val="center"/>
          </w:tcPr>
          <w:p>
            <w:pPr>
              <w:spacing w:line="360" w:lineRule="auto"/>
              <w:jc w:val="center"/>
              <w:rPr>
                <w:sz w:val="24"/>
                <w:highlight w:val="none"/>
              </w:rPr>
            </w:pPr>
          </w:p>
        </w:tc>
      </w:tr>
      <w:tr>
        <w:tblPrEx>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843" w:type="dxa"/>
            <w:vAlign w:val="center"/>
          </w:tcPr>
          <w:p>
            <w:pPr>
              <w:rPr>
                <w:sz w:val="24"/>
                <w:highlight w:val="none"/>
              </w:rPr>
            </w:pPr>
            <w:r>
              <w:rPr>
                <w:sz w:val="24"/>
                <w:highlight w:val="none"/>
              </w:rPr>
              <w:t>茨竹坪散货码头</w:t>
            </w:r>
          </w:p>
        </w:tc>
        <w:tc>
          <w:tcPr>
            <w:tcW w:w="1101" w:type="dxa"/>
            <w:vAlign w:val="center"/>
          </w:tcPr>
          <w:p>
            <w:pPr>
              <w:rPr>
                <w:sz w:val="24"/>
                <w:highlight w:val="none"/>
              </w:rPr>
            </w:pPr>
            <w:r>
              <w:rPr>
                <w:sz w:val="24"/>
                <w:highlight w:val="none"/>
              </w:rPr>
              <w:t>散货</w:t>
            </w:r>
          </w:p>
        </w:tc>
        <w:tc>
          <w:tcPr>
            <w:tcW w:w="1462" w:type="dxa"/>
            <w:vAlign w:val="center"/>
          </w:tcPr>
          <w:p>
            <w:pPr>
              <w:jc w:val="center"/>
              <w:rPr>
                <w:sz w:val="24"/>
                <w:highlight w:val="none"/>
              </w:rPr>
            </w:pPr>
            <w:r>
              <w:rPr>
                <w:rFonts w:hint="eastAsia"/>
                <w:sz w:val="24"/>
                <w:highlight w:val="none"/>
              </w:rPr>
              <w:t>2</w:t>
            </w:r>
          </w:p>
        </w:tc>
        <w:tc>
          <w:tcPr>
            <w:tcW w:w="0" w:type="auto"/>
            <w:shd w:val="clear" w:color="auto" w:fill="auto"/>
            <w:vAlign w:val="center"/>
          </w:tcPr>
          <w:p>
            <w:pPr>
              <w:jc w:val="center"/>
              <w:rPr>
                <w:sz w:val="24"/>
                <w:highlight w:val="none"/>
              </w:rPr>
            </w:pPr>
            <w:r>
              <w:rPr>
                <w:rFonts w:hint="eastAsia"/>
                <w:sz w:val="24"/>
                <w:highlight w:val="none"/>
              </w:rPr>
              <w:t>6</w:t>
            </w:r>
            <w:r>
              <w:rPr>
                <w:sz w:val="24"/>
                <w:highlight w:val="none"/>
              </w:rPr>
              <w:t>0</w:t>
            </w:r>
          </w:p>
        </w:tc>
        <w:tc>
          <w:tcPr>
            <w:tcW w:w="1245" w:type="dxa"/>
            <w:shd w:val="clear" w:color="auto" w:fill="auto"/>
            <w:vAlign w:val="center"/>
          </w:tcPr>
          <w:p>
            <w:pPr>
              <w:jc w:val="center"/>
              <w:rPr>
                <w:sz w:val="24"/>
                <w:highlight w:val="none"/>
              </w:rPr>
            </w:pPr>
            <w:r>
              <w:rPr>
                <w:rFonts w:hint="eastAsia"/>
                <w:sz w:val="24"/>
                <w:highlight w:val="none"/>
              </w:rPr>
              <w:t>2</w:t>
            </w:r>
            <w:r>
              <w:rPr>
                <w:sz w:val="24"/>
                <w:highlight w:val="none"/>
              </w:rPr>
              <w:t>8500</w:t>
            </w:r>
          </w:p>
        </w:tc>
        <w:tc>
          <w:tcPr>
            <w:tcW w:w="1557" w:type="dxa"/>
            <w:shd w:val="clear" w:color="auto" w:fill="auto"/>
            <w:vAlign w:val="center"/>
          </w:tcPr>
          <w:p>
            <w:pPr>
              <w:spacing w:line="360" w:lineRule="auto"/>
              <w:jc w:val="center"/>
              <w:rPr>
                <w:sz w:val="24"/>
                <w:highlight w:val="none"/>
              </w:rPr>
            </w:pPr>
          </w:p>
        </w:tc>
      </w:tr>
    </w:tbl>
    <w:p>
      <w:pPr>
        <w:pStyle w:val="2"/>
        <w:spacing w:before="312" w:beforeLines="100" w:line="360" w:lineRule="auto"/>
        <w:ind w:firstLine="561"/>
        <w:outlineLvl w:val="3"/>
        <w:rPr>
          <w:rFonts w:ascii="Times New Roman" w:cs="Times New Roman"/>
          <w:b/>
          <w:color w:val="auto"/>
          <w:sz w:val="28"/>
          <w:szCs w:val="28"/>
          <w:highlight w:val="none"/>
        </w:rPr>
      </w:pPr>
      <w:r>
        <w:rPr>
          <w:rFonts w:ascii="Times New Roman" w:cs="Times New Roman"/>
          <w:b/>
          <w:color w:val="auto"/>
          <w:sz w:val="28"/>
          <w:szCs w:val="28"/>
          <w:highlight w:val="none"/>
        </w:rPr>
        <w:t>（</w:t>
      </w:r>
      <w:r>
        <w:rPr>
          <w:rFonts w:hint="eastAsia" w:ascii="Times New Roman" w:cs="Times New Roman"/>
          <w:b/>
          <w:color w:val="auto"/>
          <w:sz w:val="28"/>
          <w:szCs w:val="28"/>
          <w:highlight w:val="none"/>
        </w:rPr>
        <w:t>五</w:t>
      </w:r>
      <w:r>
        <w:rPr>
          <w:rFonts w:ascii="Times New Roman" w:cs="Times New Roman"/>
          <w:b/>
          <w:color w:val="auto"/>
          <w:sz w:val="28"/>
          <w:szCs w:val="28"/>
          <w:highlight w:val="none"/>
        </w:rPr>
        <w:t>）</w:t>
      </w:r>
      <w:r>
        <w:rPr>
          <w:rFonts w:hint="eastAsia" w:ascii="Times New Roman" w:cs="Times New Roman"/>
          <w:b/>
          <w:color w:val="auto"/>
          <w:sz w:val="28"/>
          <w:szCs w:val="28"/>
          <w:highlight w:val="none"/>
        </w:rPr>
        <w:t>沙湾</w:t>
      </w:r>
      <w:r>
        <w:rPr>
          <w:rFonts w:ascii="Times New Roman" w:cs="Times New Roman"/>
          <w:b/>
          <w:color w:val="auto"/>
          <w:sz w:val="28"/>
          <w:szCs w:val="28"/>
          <w:highlight w:val="none"/>
        </w:rPr>
        <w:t>港区</w:t>
      </w:r>
    </w:p>
    <w:p>
      <w:pPr>
        <w:pStyle w:val="2"/>
        <w:spacing w:line="360" w:lineRule="auto"/>
        <w:ind w:firstLine="562" w:firstLineChars="200"/>
        <w:jc w:val="both"/>
        <w:rPr>
          <w:rFonts w:ascii="Times New Roman" w:cs="Times New Roman"/>
          <w:color w:val="auto"/>
          <w:sz w:val="28"/>
          <w:szCs w:val="28"/>
          <w:highlight w:val="none"/>
        </w:rPr>
      </w:pPr>
      <w:r>
        <w:rPr>
          <w:rFonts w:ascii="Times New Roman" w:cs="Times New Roman"/>
          <w:b/>
          <w:color w:val="auto"/>
          <w:sz w:val="28"/>
          <w:szCs w:val="28"/>
          <w:highlight w:val="none"/>
        </w:rPr>
        <w:t>1.月亮湾</w:t>
      </w:r>
      <w:r>
        <w:rPr>
          <w:rFonts w:hint="eastAsia" w:ascii="Times New Roman" w:cs="Times New Roman"/>
          <w:b/>
          <w:color w:val="auto"/>
          <w:sz w:val="28"/>
          <w:szCs w:val="28"/>
          <w:highlight w:val="none"/>
        </w:rPr>
        <w:t>客运码头：</w:t>
      </w:r>
      <w:r>
        <w:rPr>
          <w:rFonts w:ascii="Times New Roman" w:cs="Times New Roman"/>
          <w:color w:val="auto"/>
          <w:sz w:val="28"/>
          <w:szCs w:val="28"/>
          <w:highlight w:val="none"/>
        </w:rPr>
        <w:t>位于大渡河</w:t>
      </w:r>
      <w:r>
        <w:rPr>
          <w:rFonts w:hint="eastAsia" w:ascii="Times New Roman" w:cs="Times New Roman"/>
          <w:color w:val="auto"/>
          <w:sz w:val="28"/>
          <w:szCs w:val="28"/>
          <w:highlight w:val="none"/>
        </w:rPr>
        <w:t>铜街子</w:t>
      </w:r>
      <w:r>
        <w:rPr>
          <w:rFonts w:ascii="Times New Roman" w:cs="Times New Roman"/>
          <w:color w:val="auto"/>
          <w:sz w:val="28"/>
          <w:szCs w:val="28"/>
          <w:highlight w:val="none"/>
        </w:rPr>
        <w:t>枢纽库区内，共规划建设2个</w:t>
      </w:r>
      <w:r>
        <w:rPr>
          <w:rFonts w:hint="eastAsia" w:ascii="Times New Roman" w:cs="Times New Roman"/>
          <w:color w:val="auto"/>
          <w:sz w:val="28"/>
          <w:szCs w:val="28"/>
          <w:highlight w:val="none"/>
        </w:rPr>
        <w:t>客运</w:t>
      </w:r>
      <w:r>
        <w:rPr>
          <w:rFonts w:ascii="Times New Roman" w:cs="Times New Roman"/>
          <w:color w:val="auto"/>
          <w:sz w:val="28"/>
          <w:szCs w:val="28"/>
          <w:highlight w:val="none"/>
        </w:rPr>
        <w:t>泊位</w:t>
      </w:r>
      <w:r>
        <w:rPr>
          <w:rFonts w:hint="eastAsia" w:ascii="Times New Roman" w:cs="Times New Roman"/>
          <w:color w:val="auto"/>
          <w:sz w:val="28"/>
          <w:szCs w:val="28"/>
          <w:highlight w:val="none"/>
        </w:rPr>
        <w:t>，码头</w:t>
      </w:r>
      <w:r>
        <w:rPr>
          <w:rFonts w:ascii="Times New Roman" w:cs="Times New Roman"/>
          <w:color w:val="auto"/>
          <w:sz w:val="28"/>
          <w:szCs w:val="28"/>
          <w:highlight w:val="none"/>
        </w:rPr>
        <w:t>顺岸布置，</w:t>
      </w:r>
      <w:r>
        <w:rPr>
          <w:rFonts w:hint="eastAsia" w:ascii="Times New Roman" w:cs="Times New Roman"/>
          <w:color w:val="auto"/>
          <w:sz w:val="28"/>
          <w:szCs w:val="28"/>
          <w:highlight w:val="none"/>
        </w:rPr>
        <w:t>斜坡道</w:t>
      </w:r>
      <w:r>
        <w:rPr>
          <w:rFonts w:ascii="Times New Roman" w:cs="Times New Roman"/>
          <w:color w:val="auto"/>
          <w:sz w:val="28"/>
          <w:szCs w:val="28"/>
          <w:highlight w:val="none"/>
        </w:rPr>
        <w:t>码头，占用岸线100m，</w:t>
      </w:r>
      <w:r>
        <w:rPr>
          <w:rFonts w:hint="eastAsia" w:ascii="Times New Roman" w:cs="Times New Roman"/>
          <w:color w:val="auto"/>
          <w:sz w:val="28"/>
          <w:szCs w:val="28"/>
          <w:highlight w:val="none"/>
        </w:rPr>
        <w:t>客运</w:t>
      </w:r>
      <w:r>
        <w:rPr>
          <w:rFonts w:ascii="Times New Roman" w:cs="Times New Roman"/>
          <w:color w:val="auto"/>
          <w:sz w:val="28"/>
          <w:szCs w:val="28"/>
          <w:highlight w:val="none"/>
        </w:rPr>
        <w:t>通过能力为60万</w:t>
      </w:r>
      <w:r>
        <w:rPr>
          <w:rFonts w:hint="eastAsia" w:ascii="Times New Roman" w:cs="Times New Roman"/>
          <w:color w:val="auto"/>
          <w:sz w:val="28"/>
          <w:szCs w:val="28"/>
          <w:highlight w:val="none"/>
        </w:rPr>
        <w:t>人次</w:t>
      </w:r>
      <w:r>
        <w:rPr>
          <w:rFonts w:ascii="Times New Roman" w:cs="Times New Roman"/>
          <w:color w:val="auto"/>
          <w:sz w:val="28"/>
          <w:szCs w:val="28"/>
          <w:highlight w:val="none"/>
        </w:rPr>
        <w:t>/年，陆域高程约478.50m，陆域占地面积约3800m</w:t>
      </w:r>
      <w:r>
        <w:rPr>
          <w:rFonts w:ascii="Times New Roman" w:cs="Times New Roman"/>
          <w:color w:val="auto"/>
          <w:sz w:val="28"/>
          <w:szCs w:val="28"/>
          <w:highlight w:val="none"/>
          <w:vertAlign w:val="superscript"/>
        </w:rPr>
        <w:t>2</w:t>
      </w:r>
      <w:r>
        <w:rPr>
          <w:rFonts w:ascii="Times New Roman" w:cs="Times New Roman"/>
          <w:color w:val="auto"/>
          <w:sz w:val="28"/>
          <w:szCs w:val="28"/>
          <w:highlight w:val="none"/>
        </w:rPr>
        <w:t>。</w:t>
      </w:r>
      <w:r>
        <w:rPr>
          <w:rFonts w:hint="eastAsia"/>
          <w:sz w:val="28"/>
          <w:szCs w:val="28"/>
          <w:highlight w:val="none"/>
        </w:rPr>
        <w:t>月亮湾</w:t>
      </w:r>
      <w:r>
        <w:rPr>
          <w:sz w:val="28"/>
          <w:szCs w:val="28"/>
          <w:highlight w:val="none"/>
        </w:rPr>
        <w:t>客运码头</w:t>
      </w:r>
      <w:r>
        <w:rPr>
          <w:rFonts w:ascii="Times New Roman" w:cs="Times New Roman"/>
          <w:color w:val="auto"/>
          <w:kern w:val="2"/>
          <w:sz w:val="28"/>
          <w:szCs w:val="28"/>
          <w:highlight w:val="none"/>
        </w:rPr>
        <w:t>规划图详见附图LSZGⅡ-09。</w:t>
      </w:r>
    </w:p>
    <w:p>
      <w:pPr>
        <w:spacing w:line="360" w:lineRule="auto"/>
        <w:jc w:val="center"/>
        <w:rPr>
          <w:rFonts w:eastAsia="黑体"/>
          <w:sz w:val="28"/>
          <w:szCs w:val="28"/>
          <w:highlight w:val="none"/>
        </w:rPr>
      </w:pPr>
      <w:r>
        <w:rPr>
          <w:rFonts w:eastAsia="黑体"/>
          <w:kern w:val="0"/>
          <w:sz w:val="28"/>
          <w:szCs w:val="28"/>
          <w:highlight w:val="none"/>
        </w:rPr>
        <w:t xml:space="preserve">表5.3-5 </w:t>
      </w:r>
      <w:r>
        <w:rPr>
          <w:rFonts w:hint="eastAsia" w:eastAsia="黑体"/>
          <w:sz w:val="28"/>
          <w:szCs w:val="28"/>
          <w:highlight w:val="none"/>
        </w:rPr>
        <w:t>沙湾</w:t>
      </w:r>
      <w:r>
        <w:rPr>
          <w:rFonts w:eastAsia="黑体"/>
          <w:sz w:val="28"/>
          <w:szCs w:val="28"/>
          <w:highlight w:val="none"/>
        </w:rPr>
        <w:t>港区主要作业区及码头规划情况表</w:t>
      </w:r>
    </w:p>
    <w:tbl>
      <w:tblPr>
        <w:tblStyle w:val="32"/>
        <w:tblW w:w="0" w:type="auto"/>
        <w:jc w:val="center"/>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843"/>
        <w:gridCol w:w="1101"/>
        <w:gridCol w:w="1462"/>
        <w:gridCol w:w="1690"/>
        <w:gridCol w:w="1245"/>
        <w:gridCol w:w="1557"/>
      </w:tblGrid>
      <w:tr>
        <w:tblPrEx>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843" w:type="dxa"/>
            <w:vAlign w:val="center"/>
          </w:tcPr>
          <w:p>
            <w:pPr>
              <w:jc w:val="center"/>
              <w:rPr>
                <w:sz w:val="24"/>
                <w:highlight w:val="none"/>
              </w:rPr>
            </w:pPr>
            <w:r>
              <w:rPr>
                <w:sz w:val="24"/>
                <w:highlight w:val="none"/>
              </w:rPr>
              <w:t>作业区名称</w:t>
            </w:r>
          </w:p>
        </w:tc>
        <w:tc>
          <w:tcPr>
            <w:tcW w:w="1101" w:type="dxa"/>
            <w:vAlign w:val="center"/>
          </w:tcPr>
          <w:p>
            <w:pPr>
              <w:jc w:val="center"/>
              <w:rPr>
                <w:sz w:val="24"/>
                <w:highlight w:val="none"/>
              </w:rPr>
            </w:pPr>
            <w:r>
              <w:rPr>
                <w:sz w:val="24"/>
                <w:highlight w:val="none"/>
              </w:rPr>
              <w:t>主要功能</w:t>
            </w:r>
          </w:p>
        </w:tc>
        <w:tc>
          <w:tcPr>
            <w:tcW w:w="1462" w:type="dxa"/>
            <w:shd w:val="clear" w:color="auto" w:fill="auto"/>
            <w:vAlign w:val="center"/>
          </w:tcPr>
          <w:p>
            <w:pPr>
              <w:jc w:val="center"/>
              <w:rPr>
                <w:sz w:val="24"/>
                <w:highlight w:val="none"/>
              </w:rPr>
            </w:pPr>
            <w:r>
              <w:rPr>
                <w:sz w:val="24"/>
                <w:highlight w:val="none"/>
              </w:rPr>
              <w:t>规划泊位数（个）</w:t>
            </w:r>
          </w:p>
        </w:tc>
        <w:tc>
          <w:tcPr>
            <w:tcW w:w="0" w:type="auto"/>
            <w:shd w:val="clear" w:color="auto" w:fill="auto"/>
            <w:vAlign w:val="center"/>
          </w:tcPr>
          <w:p>
            <w:pPr>
              <w:jc w:val="center"/>
              <w:rPr>
                <w:sz w:val="24"/>
                <w:highlight w:val="none"/>
              </w:rPr>
            </w:pPr>
            <w:r>
              <w:rPr>
                <w:sz w:val="24"/>
                <w:highlight w:val="none"/>
              </w:rPr>
              <w:t>通过能力</w:t>
            </w:r>
          </w:p>
          <w:p>
            <w:pPr>
              <w:ind w:left="42" w:leftChars="-38" w:right="-80" w:rightChars="-38" w:hanging="122" w:hangingChars="51"/>
              <w:jc w:val="center"/>
              <w:rPr>
                <w:sz w:val="24"/>
                <w:highlight w:val="none"/>
              </w:rPr>
            </w:pPr>
            <w:r>
              <w:rPr>
                <w:sz w:val="24"/>
                <w:highlight w:val="none"/>
              </w:rPr>
              <w:t>（万t/万人次）</w:t>
            </w:r>
          </w:p>
        </w:tc>
        <w:tc>
          <w:tcPr>
            <w:tcW w:w="1245" w:type="dxa"/>
            <w:shd w:val="clear" w:color="auto" w:fill="auto"/>
            <w:vAlign w:val="center"/>
          </w:tcPr>
          <w:p>
            <w:pPr>
              <w:jc w:val="center"/>
              <w:rPr>
                <w:sz w:val="24"/>
                <w:highlight w:val="none"/>
              </w:rPr>
            </w:pPr>
            <w:r>
              <w:rPr>
                <w:sz w:val="24"/>
                <w:highlight w:val="none"/>
              </w:rPr>
              <w:t>占用土地</w:t>
            </w:r>
          </w:p>
          <w:p>
            <w:pPr>
              <w:jc w:val="center"/>
              <w:rPr>
                <w:sz w:val="24"/>
                <w:highlight w:val="none"/>
              </w:rPr>
            </w:pPr>
            <w:r>
              <w:rPr>
                <w:sz w:val="24"/>
                <w:highlight w:val="none"/>
              </w:rPr>
              <w:t>（m</w:t>
            </w:r>
            <w:r>
              <w:rPr>
                <w:sz w:val="24"/>
                <w:highlight w:val="none"/>
                <w:vertAlign w:val="superscript"/>
              </w:rPr>
              <w:t>2</w:t>
            </w:r>
            <w:r>
              <w:rPr>
                <w:sz w:val="24"/>
                <w:highlight w:val="none"/>
              </w:rPr>
              <w:t>）</w:t>
            </w:r>
          </w:p>
        </w:tc>
        <w:tc>
          <w:tcPr>
            <w:tcW w:w="1557" w:type="dxa"/>
            <w:shd w:val="clear" w:color="auto" w:fill="auto"/>
            <w:vAlign w:val="center"/>
          </w:tcPr>
          <w:p>
            <w:pPr>
              <w:jc w:val="center"/>
              <w:rPr>
                <w:sz w:val="24"/>
                <w:highlight w:val="none"/>
              </w:rPr>
            </w:pPr>
            <w:r>
              <w:rPr>
                <w:sz w:val="24"/>
                <w:highlight w:val="none"/>
              </w:rPr>
              <w:t>备注</w:t>
            </w:r>
          </w:p>
        </w:tc>
      </w:tr>
      <w:tr>
        <w:tblPrEx>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843" w:type="dxa"/>
            <w:vAlign w:val="center"/>
          </w:tcPr>
          <w:p>
            <w:pPr>
              <w:rPr>
                <w:sz w:val="24"/>
                <w:highlight w:val="none"/>
              </w:rPr>
            </w:pPr>
            <w:r>
              <w:rPr>
                <w:rFonts w:hint="eastAsia"/>
                <w:sz w:val="24"/>
                <w:highlight w:val="none"/>
              </w:rPr>
              <w:t>月亮湾</w:t>
            </w:r>
            <w:r>
              <w:rPr>
                <w:sz w:val="24"/>
                <w:highlight w:val="none"/>
              </w:rPr>
              <w:t>客运码头</w:t>
            </w:r>
          </w:p>
        </w:tc>
        <w:tc>
          <w:tcPr>
            <w:tcW w:w="1101" w:type="dxa"/>
            <w:vAlign w:val="center"/>
          </w:tcPr>
          <w:p>
            <w:pPr>
              <w:rPr>
                <w:sz w:val="24"/>
                <w:highlight w:val="none"/>
              </w:rPr>
            </w:pPr>
            <w:r>
              <w:rPr>
                <w:rFonts w:hint="eastAsia"/>
                <w:sz w:val="24"/>
                <w:highlight w:val="none"/>
              </w:rPr>
              <w:t>客运</w:t>
            </w:r>
          </w:p>
        </w:tc>
        <w:tc>
          <w:tcPr>
            <w:tcW w:w="1462" w:type="dxa"/>
            <w:vAlign w:val="center"/>
          </w:tcPr>
          <w:p>
            <w:pPr>
              <w:jc w:val="center"/>
              <w:rPr>
                <w:sz w:val="24"/>
                <w:highlight w:val="none"/>
              </w:rPr>
            </w:pPr>
            <w:r>
              <w:rPr>
                <w:rFonts w:hint="eastAsia"/>
                <w:sz w:val="24"/>
                <w:highlight w:val="none"/>
              </w:rPr>
              <w:t>2</w:t>
            </w:r>
          </w:p>
        </w:tc>
        <w:tc>
          <w:tcPr>
            <w:tcW w:w="0" w:type="auto"/>
            <w:shd w:val="clear" w:color="auto" w:fill="auto"/>
            <w:vAlign w:val="center"/>
          </w:tcPr>
          <w:p>
            <w:pPr>
              <w:jc w:val="center"/>
              <w:rPr>
                <w:sz w:val="24"/>
                <w:highlight w:val="none"/>
              </w:rPr>
            </w:pPr>
            <w:r>
              <w:rPr>
                <w:sz w:val="24"/>
                <w:highlight w:val="none"/>
              </w:rPr>
              <w:t>60</w:t>
            </w:r>
          </w:p>
        </w:tc>
        <w:tc>
          <w:tcPr>
            <w:tcW w:w="1245" w:type="dxa"/>
            <w:shd w:val="clear" w:color="auto" w:fill="auto"/>
            <w:vAlign w:val="center"/>
          </w:tcPr>
          <w:p>
            <w:pPr>
              <w:jc w:val="center"/>
              <w:rPr>
                <w:sz w:val="24"/>
                <w:highlight w:val="none"/>
              </w:rPr>
            </w:pPr>
            <w:r>
              <w:rPr>
                <w:sz w:val="24"/>
                <w:highlight w:val="none"/>
              </w:rPr>
              <w:t>3800</w:t>
            </w:r>
          </w:p>
        </w:tc>
        <w:tc>
          <w:tcPr>
            <w:tcW w:w="1557" w:type="dxa"/>
            <w:shd w:val="clear" w:color="auto" w:fill="auto"/>
            <w:vAlign w:val="center"/>
          </w:tcPr>
          <w:p>
            <w:pPr>
              <w:spacing w:line="360" w:lineRule="auto"/>
              <w:jc w:val="center"/>
              <w:rPr>
                <w:sz w:val="24"/>
                <w:highlight w:val="none"/>
              </w:rPr>
            </w:pPr>
          </w:p>
        </w:tc>
      </w:tr>
    </w:tbl>
    <w:p>
      <w:pPr>
        <w:pStyle w:val="2"/>
        <w:spacing w:before="312" w:beforeLines="100" w:line="360" w:lineRule="auto"/>
        <w:ind w:firstLine="561"/>
        <w:outlineLvl w:val="3"/>
        <w:rPr>
          <w:rFonts w:ascii="Times New Roman" w:cs="Times New Roman"/>
          <w:b/>
          <w:color w:val="auto"/>
          <w:sz w:val="28"/>
          <w:szCs w:val="28"/>
          <w:highlight w:val="none"/>
        </w:rPr>
      </w:pPr>
      <w:r>
        <w:rPr>
          <w:rFonts w:ascii="Times New Roman" w:cs="Times New Roman"/>
          <w:b/>
          <w:color w:val="auto"/>
          <w:sz w:val="28"/>
          <w:szCs w:val="28"/>
          <w:highlight w:val="none"/>
        </w:rPr>
        <w:t>（</w:t>
      </w:r>
      <w:r>
        <w:rPr>
          <w:rFonts w:hint="eastAsia" w:ascii="Times New Roman" w:cs="Times New Roman"/>
          <w:b/>
          <w:color w:val="auto"/>
          <w:sz w:val="28"/>
          <w:szCs w:val="28"/>
          <w:highlight w:val="none"/>
        </w:rPr>
        <w:t>六</w:t>
      </w:r>
      <w:r>
        <w:rPr>
          <w:rFonts w:ascii="Times New Roman" w:cs="Times New Roman"/>
          <w:b/>
          <w:color w:val="auto"/>
          <w:sz w:val="28"/>
          <w:szCs w:val="28"/>
          <w:highlight w:val="none"/>
        </w:rPr>
        <w:t>）峨边港区</w:t>
      </w:r>
    </w:p>
    <w:p>
      <w:pPr>
        <w:ind w:firstLine="562" w:firstLineChars="200"/>
        <w:rPr>
          <w:sz w:val="28"/>
          <w:szCs w:val="28"/>
          <w:highlight w:val="none"/>
        </w:rPr>
      </w:pPr>
      <w:r>
        <w:rPr>
          <w:b/>
          <w:sz w:val="28"/>
          <w:szCs w:val="28"/>
          <w:highlight w:val="none"/>
        </w:rPr>
        <w:t>1.龚嘴旅游客运作业区：</w:t>
      </w:r>
      <w:r>
        <w:rPr>
          <w:sz w:val="28"/>
          <w:szCs w:val="28"/>
          <w:highlight w:val="none"/>
        </w:rPr>
        <w:t>位于峨边县境内大渡河龚嘴电站库区内，距龚嘴电站约600m。作业区顺岸布置4个旅游客运泊位，占用岸线130m，陆域高程约529.00m，陆域占地面积约25000m</w:t>
      </w:r>
      <w:r>
        <w:rPr>
          <w:sz w:val="28"/>
          <w:szCs w:val="28"/>
          <w:highlight w:val="none"/>
          <w:vertAlign w:val="superscript"/>
        </w:rPr>
        <w:t>2</w:t>
      </w:r>
      <w:r>
        <w:rPr>
          <w:sz w:val="28"/>
          <w:szCs w:val="28"/>
          <w:highlight w:val="none"/>
        </w:rPr>
        <w:t>。后方紧邻L27县道。</w:t>
      </w:r>
    </w:p>
    <w:p>
      <w:pPr>
        <w:pStyle w:val="2"/>
        <w:spacing w:line="360" w:lineRule="auto"/>
        <w:ind w:firstLine="562" w:firstLineChars="200"/>
        <w:jc w:val="both"/>
        <w:rPr>
          <w:rFonts w:ascii="Times New Roman" w:cs="Times New Roman"/>
          <w:color w:val="auto"/>
          <w:sz w:val="28"/>
          <w:szCs w:val="28"/>
          <w:highlight w:val="none"/>
        </w:rPr>
      </w:pPr>
      <w:r>
        <w:rPr>
          <w:rFonts w:ascii="Times New Roman" w:cs="Times New Roman"/>
          <w:b/>
          <w:color w:val="auto"/>
          <w:sz w:val="28"/>
          <w:szCs w:val="28"/>
          <w:highlight w:val="none"/>
        </w:rPr>
        <w:t>2.</w:t>
      </w:r>
      <w:r>
        <w:rPr>
          <w:rFonts w:hint="eastAsia" w:ascii="Times New Roman" w:cs="Times New Roman"/>
          <w:b/>
          <w:color w:val="auto"/>
          <w:sz w:val="28"/>
          <w:szCs w:val="28"/>
          <w:highlight w:val="none"/>
        </w:rPr>
        <w:t>五渡客运码头：</w:t>
      </w:r>
      <w:r>
        <w:rPr>
          <w:rFonts w:ascii="Times New Roman" w:cs="Times New Roman"/>
          <w:color w:val="auto"/>
          <w:sz w:val="28"/>
          <w:szCs w:val="28"/>
          <w:highlight w:val="none"/>
        </w:rPr>
        <w:t>位于大渡河</w:t>
      </w:r>
      <w:r>
        <w:rPr>
          <w:rFonts w:hint="eastAsia" w:ascii="Times New Roman" w:cs="Times New Roman"/>
          <w:color w:val="auto"/>
          <w:sz w:val="28"/>
          <w:szCs w:val="28"/>
          <w:highlight w:val="none"/>
        </w:rPr>
        <w:t>铜街子</w:t>
      </w:r>
      <w:r>
        <w:rPr>
          <w:rFonts w:ascii="Times New Roman" w:cs="Times New Roman"/>
          <w:color w:val="auto"/>
          <w:sz w:val="28"/>
          <w:szCs w:val="28"/>
          <w:highlight w:val="none"/>
        </w:rPr>
        <w:t>枢纽库区内，共规划建设2个</w:t>
      </w:r>
      <w:r>
        <w:rPr>
          <w:rFonts w:hint="eastAsia" w:ascii="Times New Roman" w:cs="Times New Roman"/>
          <w:color w:val="auto"/>
          <w:sz w:val="28"/>
          <w:szCs w:val="28"/>
          <w:highlight w:val="none"/>
        </w:rPr>
        <w:t>客运</w:t>
      </w:r>
      <w:r>
        <w:rPr>
          <w:rFonts w:ascii="Times New Roman" w:cs="Times New Roman"/>
          <w:color w:val="auto"/>
          <w:sz w:val="28"/>
          <w:szCs w:val="28"/>
          <w:highlight w:val="none"/>
        </w:rPr>
        <w:t>泊位</w:t>
      </w:r>
      <w:r>
        <w:rPr>
          <w:rFonts w:hint="eastAsia" w:ascii="Times New Roman" w:cs="Times New Roman"/>
          <w:color w:val="auto"/>
          <w:sz w:val="28"/>
          <w:szCs w:val="28"/>
          <w:highlight w:val="none"/>
        </w:rPr>
        <w:t>，码头</w:t>
      </w:r>
      <w:r>
        <w:rPr>
          <w:rFonts w:ascii="Times New Roman" w:cs="Times New Roman"/>
          <w:color w:val="auto"/>
          <w:sz w:val="28"/>
          <w:szCs w:val="28"/>
          <w:highlight w:val="none"/>
        </w:rPr>
        <w:t>顺岸布置，</w:t>
      </w:r>
      <w:r>
        <w:rPr>
          <w:rFonts w:hint="eastAsia" w:ascii="Times New Roman" w:cs="Times New Roman"/>
          <w:color w:val="auto"/>
          <w:sz w:val="28"/>
          <w:szCs w:val="28"/>
          <w:highlight w:val="none"/>
        </w:rPr>
        <w:t>斜坡道</w:t>
      </w:r>
      <w:r>
        <w:rPr>
          <w:rFonts w:ascii="Times New Roman" w:cs="Times New Roman"/>
          <w:color w:val="auto"/>
          <w:sz w:val="28"/>
          <w:szCs w:val="28"/>
          <w:highlight w:val="none"/>
        </w:rPr>
        <w:t>码头，占用岸线153m，</w:t>
      </w:r>
      <w:r>
        <w:rPr>
          <w:rFonts w:hint="eastAsia" w:ascii="Times New Roman" w:cs="Times New Roman"/>
          <w:color w:val="auto"/>
          <w:sz w:val="28"/>
          <w:szCs w:val="28"/>
          <w:highlight w:val="none"/>
        </w:rPr>
        <w:t>客运</w:t>
      </w:r>
      <w:r>
        <w:rPr>
          <w:rFonts w:ascii="Times New Roman" w:cs="Times New Roman"/>
          <w:color w:val="auto"/>
          <w:sz w:val="28"/>
          <w:szCs w:val="28"/>
          <w:highlight w:val="none"/>
        </w:rPr>
        <w:t>通过能力为60万</w:t>
      </w:r>
      <w:r>
        <w:rPr>
          <w:rFonts w:hint="eastAsia" w:ascii="Times New Roman" w:cs="Times New Roman"/>
          <w:color w:val="auto"/>
          <w:sz w:val="28"/>
          <w:szCs w:val="28"/>
          <w:highlight w:val="none"/>
        </w:rPr>
        <w:t>人次</w:t>
      </w:r>
      <w:r>
        <w:rPr>
          <w:rFonts w:ascii="Times New Roman" w:cs="Times New Roman"/>
          <w:color w:val="auto"/>
          <w:sz w:val="28"/>
          <w:szCs w:val="28"/>
          <w:highlight w:val="none"/>
        </w:rPr>
        <w:t>/年，陆域高程约478.00m，陆域占地面积约12570m</w:t>
      </w:r>
      <w:r>
        <w:rPr>
          <w:rFonts w:ascii="Times New Roman" w:cs="Times New Roman"/>
          <w:color w:val="auto"/>
          <w:sz w:val="28"/>
          <w:szCs w:val="28"/>
          <w:highlight w:val="none"/>
          <w:vertAlign w:val="superscript"/>
        </w:rPr>
        <w:t>2</w:t>
      </w:r>
      <w:r>
        <w:rPr>
          <w:rFonts w:ascii="Times New Roman" w:cs="Times New Roman"/>
          <w:color w:val="auto"/>
          <w:sz w:val="28"/>
          <w:szCs w:val="28"/>
          <w:highlight w:val="none"/>
        </w:rPr>
        <w:t>。</w:t>
      </w:r>
    </w:p>
    <w:p>
      <w:pPr>
        <w:pStyle w:val="2"/>
        <w:spacing w:line="360" w:lineRule="auto"/>
        <w:ind w:firstLine="562" w:firstLineChars="200"/>
        <w:jc w:val="both"/>
        <w:rPr>
          <w:rFonts w:ascii="Times New Roman" w:cs="Times New Roman"/>
          <w:color w:val="auto"/>
          <w:sz w:val="28"/>
          <w:szCs w:val="28"/>
          <w:highlight w:val="none"/>
        </w:rPr>
      </w:pPr>
      <w:r>
        <w:rPr>
          <w:rFonts w:ascii="Times New Roman" w:cs="Times New Roman"/>
          <w:b/>
          <w:color w:val="auto"/>
          <w:sz w:val="28"/>
          <w:szCs w:val="28"/>
          <w:highlight w:val="none"/>
        </w:rPr>
        <w:t>3.龙眼坝码头：</w:t>
      </w:r>
      <w:r>
        <w:rPr>
          <w:rFonts w:ascii="Times New Roman" w:cs="Times New Roman"/>
          <w:color w:val="auto"/>
          <w:sz w:val="28"/>
          <w:szCs w:val="28"/>
          <w:highlight w:val="none"/>
        </w:rPr>
        <w:t>主要为周边砂石开采提供运输中转服务</w:t>
      </w:r>
      <w:r>
        <w:rPr>
          <w:rFonts w:hint="eastAsia" w:ascii="Times New Roman" w:cs="Times New Roman"/>
          <w:color w:val="auto"/>
          <w:sz w:val="28"/>
          <w:szCs w:val="28"/>
          <w:highlight w:val="none"/>
        </w:rPr>
        <w:t>并兼顾港航管理职能</w:t>
      </w:r>
      <w:r>
        <w:rPr>
          <w:rFonts w:ascii="Times New Roman" w:cs="Times New Roman"/>
          <w:color w:val="auto"/>
          <w:sz w:val="28"/>
          <w:szCs w:val="28"/>
          <w:highlight w:val="none"/>
        </w:rPr>
        <w:t>。位于大渡河龚嘴枢纽库区内，共规划建设2个300吨级散货泊位、1个应急搜救泊位和1个港航管理泊位。</w:t>
      </w:r>
      <w:r>
        <w:rPr>
          <w:rFonts w:hint="eastAsia" w:ascii="Times New Roman" w:cs="Times New Roman"/>
          <w:color w:val="auto"/>
          <w:sz w:val="28"/>
          <w:szCs w:val="28"/>
          <w:highlight w:val="none"/>
        </w:rPr>
        <w:t>码头</w:t>
      </w:r>
      <w:r>
        <w:rPr>
          <w:rFonts w:ascii="Times New Roman" w:cs="Times New Roman"/>
          <w:color w:val="auto"/>
          <w:sz w:val="28"/>
          <w:szCs w:val="28"/>
          <w:highlight w:val="none"/>
        </w:rPr>
        <w:t>顺岸布置，直立式码头，占用岸线280m，散货通过能力为60万t/年，陆域高程约533.00m，陆域占地面积约38500m</w:t>
      </w:r>
      <w:r>
        <w:rPr>
          <w:rFonts w:ascii="Times New Roman" w:cs="Times New Roman"/>
          <w:color w:val="auto"/>
          <w:sz w:val="28"/>
          <w:szCs w:val="28"/>
          <w:highlight w:val="none"/>
          <w:vertAlign w:val="superscript"/>
        </w:rPr>
        <w:t>2</w:t>
      </w:r>
      <w:r>
        <w:rPr>
          <w:rFonts w:ascii="Times New Roman" w:cs="Times New Roman"/>
          <w:color w:val="auto"/>
          <w:sz w:val="28"/>
          <w:szCs w:val="28"/>
          <w:highlight w:val="none"/>
        </w:rPr>
        <w:t>。</w:t>
      </w:r>
    </w:p>
    <w:p>
      <w:pPr>
        <w:pStyle w:val="2"/>
        <w:spacing w:line="360" w:lineRule="auto"/>
        <w:ind w:firstLine="562" w:firstLineChars="200"/>
        <w:jc w:val="both"/>
        <w:rPr>
          <w:rFonts w:ascii="Times New Roman" w:cs="Times New Roman"/>
          <w:color w:val="auto"/>
          <w:sz w:val="28"/>
          <w:szCs w:val="28"/>
          <w:highlight w:val="none"/>
        </w:rPr>
      </w:pPr>
      <w:r>
        <w:rPr>
          <w:rFonts w:ascii="Times New Roman" w:cs="Times New Roman"/>
          <w:b/>
          <w:color w:val="auto"/>
          <w:sz w:val="28"/>
          <w:szCs w:val="28"/>
          <w:highlight w:val="none"/>
        </w:rPr>
        <w:t>4.白果散货码头：</w:t>
      </w:r>
      <w:r>
        <w:rPr>
          <w:rFonts w:ascii="Times New Roman" w:cs="Times New Roman"/>
          <w:color w:val="auto"/>
          <w:sz w:val="28"/>
          <w:szCs w:val="28"/>
          <w:highlight w:val="none"/>
        </w:rPr>
        <w:t>主要为周边砂石开采提供运输中转服务。位于大渡河龚嘴枢纽库区内，共规划建设3个散货泊位。</w:t>
      </w:r>
      <w:r>
        <w:rPr>
          <w:rFonts w:hint="eastAsia" w:ascii="Times New Roman" w:cs="Times New Roman"/>
          <w:color w:val="auto"/>
          <w:sz w:val="28"/>
          <w:szCs w:val="28"/>
          <w:highlight w:val="none"/>
        </w:rPr>
        <w:t>码头</w:t>
      </w:r>
      <w:r>
        <w:rPr>
          <w:rFonts w:ascii="Times New Roman" w:cs="Times New Roman"/>
          <w:color w:val="auto"/>
          <w:sz w:val="28"/>
          <w:szCs w:val="28"/>
          <w:highlight w:val="none"/>
        </w:rPr>
        <w:t>顺岸布置，直立式码头，占用岸线225m，散货通过能力为90万t/年，陆域高程约531.00m，陆域占地面积约40500m</w:t>
      </w:r>
      <w:r>
        <w:rPr>
          <w:rFonts w:ascii="Times New Roman" w:cs="Times New Roman"/>
          <w:color w:val="auto"/>
          <w:sz w:val="28"/>
          <w:szCs w:val="28"/>
          <w:highlight w:val="none"/>
          <w:vertAlign w:val="superscript"/>
        </w:rPr>
        <w:t>2</w:t>
      </w:r>
      <w:r>
        <w:rPr>
          <w:rFonts w:ascii="Times New Roman" w:cs="Times New Roman"/>
          <w:color w:val="auto"/>
          <w:sz w:val="28"/>
          <w:szCs w:val="28"/>
          <w:highlight w:val="none"/>
        </w:rPr>
        <w:t>。</w:t>
      </w:r>
    </w:p>
    <w:p>
      <w:pPr>
        <w:spacing w:line="360" w:lineRule="auto"/>
        <w:ind w:firstLine="480"/>
        <w:rPr>
          <w:highlight w:val="none"/>
        </w:rPr>
      </w:pPr>
      <w:r>
        <w:rPr>
          <w:kern w:val="0"/>
          <w:sz w:val="28"/>
          <w:szCs w:val="28"/>
          <w:highlight w:val="none"/>
        </w:rPr>
        <w:t>龚嘴旅游客运作业区规划图详见附图LSZG</w:t>
      </w:r>
      <w:r>
        <w:rPr>
          <w:sz w:val="28"/>
          <w:szCs w:val="28"/>
          <w:highlight w:val="none"/>
        </w:rPr>
        <w:t>Ⅱ</w:t>
      </w:r>
      <w:r>
        <w:rPr>
          <w:kern w:val="0"/>
          <w:sz w:val="28"/>
          <w:szCs w:val="28"/>
          <w:highlight w:val="none"/>
        </w:rPr>
        <w:t>-06。</w:t>
      </w:r>
      <w:r>
        <w:rPr>
          <w:rFonts w:hint="eastAsia"/>
          <w:kern w:val="0"/>
          <w:sz w:val="28"/>
          <w:szCs w:val="28"/>
          <w:highlight w:val="none"/>
        </w:rPr>
        <w:t>五渡客运码头规划图详见附图</w:t>
      </w:r>
      <w:r>
        <w:rPr>
          <w:sz w:val="28"/>
          <w:szCs w:val="28"/>
          <w:highlight w:val="none"/>
        </w:rPr>
        <w:t>LSZGⅡ-09</w:t>
      </w:r>
      <w:r>
        <w:rPr>
          <w:rFonts w:hint="eastAsia"/>
          <w:sz w:val="28"/>
          <w:szCs w:val="28"/>
          <w:highlight w:val="none"/>
        </w:rPr>
        <w:t>。</w:t>
      </w:r>
      <w:r>
        <w:rPr>
          <w:sz w:val="28"/>
          <w:szCs w:val="28"/>
          <w:highlight w:val="none"/>
        </w:rPr>
        <w:t>龙眼坝码头、白果散货码头规划图详见附图LSZGⅡ-08。</w:t>
      </w:r>
    </w:p>
    <w:p>
      <w:pPr>
        <w:spacing w:line="360" w:lineRule="auto"/>
        <w:ind w:firstLine="480"/>
        <w:rPr>
          <w:kern w:val="0"/>
          <w:sz w:val="28"/>
          <w:szCs w:val="28"/>
          <w:highlight w:val="none"/>
        </w:rPr>
      </w:pPr>
      <w:r>
        <w:rPr>
          <w:kern w:val="0"/>
          <w:sz w:val="28"/>
          <w:szCs w:val="28"/>
          <w:highlight w:val="none"/>
        </w:rPr>
        <w:t>峨边港区规划情况见表5.3-6。</w:t>
      </w:r>
    </w:p>
    <w:p>
      <w:pPr>
        <w:spacing w:line="360" w:lineRule="auto"/>
        <w:ind w:firstLine="480"/>
        <w:jc w:val="center"/>
        <w:rPr>
          <w:rFonts w:eastAsia="黑体"/>
          <w:sz w:val="28"/>
          <w:szCs w:val="28"/>
          <w:highlight w:val="none"/>
        </w:rPr>
      </w:pPr>
      <w:r>
        <w:rPr>
          <w:rFonts w:eastAsia="黑体"/>
          <w:kern w:val="0"/>
          <w:sz w:val="28"/>
          <w:szCs w:val="28"/>
          <w:highlight w:val="none"/>
        </w:rPr>
        <w:t xml:space="preserve">表5.3-6 </w:t>
      </w:r>
      <w:r>
        <w:rPr>
          <w:rFonts w:eastAsia="黑体"/>
          <w:sz w:val="28"/>
          <w:szCs w:val="28"/>
          <w:highlight w:val="none"/>
        </w:rPr>
        <w:t>峨边港区主要作业区及码头规划情况表</w:t>
      </w:r>
    </w:p>
    <w:tbl>
      <w:tblPr>
        <w:tblStyle w:val="32"/>
        <w:tblW w:w="5000" w:type="pct"/>
        <w:jc w:val="center"/>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2758"/>
        <w:gridCol w:w="1066"/>
        <w:gridCol w:w="1313"/>
        <w:gridCol w:w="1621"/>
        <w:gridCol w:w="1155"/>
        <w:gridCol w:w="1373"/>
      </w:tblGrid>
      <w:tr>
        <w:tblPrEx>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blHeader/>
          <w:jc w:val="center"/>
        </w:trPr>
        <w:tc>
          <w:tcPr>
            <w:tcW w:w="1485" w:type="pct"/>
            <w:tcBorders>
              <w:top w:val="thinThickSmallGap" w:color="auto" w:sz="18" w:space="0"/>
              <w:bottom w:val="single" w:color="auto" w:sz="6" w:space="0"/>
            </w:tcBorders>
            <w:vAlign w:val="center"/>
          </w:tcPr>
          <w:p>
            <w:pPr>
              <w:jc w:val="center"/>
              <w:rPr>
                <w:sz w:val="24"/>
                <w:highlight w:val="none"/>
              </w:rPr>
            </w:pPr>
            <w:r>
              <w:rPr>
                <w:sz w:val="24"/>
                <w:highlight w:val="none"/>
              </w:rPr>
              <w:t>作业区名称</w:t>
            </w:r>
          </w:p>
        </w:tc>
        <w:tc>
          <w:tcPr>
            <w:tcW w:w="574" w:type="pct"/>
            <w:tcBorders>
              <w:top w:val="thinThickSmallGap" w:color="auto" w:sz="18" w:space="0"/>
              <w:bottom w:val="single" w:color="auto" w:sz="6" w:space="0"/>
            </w:tcBorders>
            <w:vAlign w:val="center"/>
          </w:tcPr>
          <w:p>
            <w:pPr>
              <w:jc w:val="center"/>
              <w:rPr>
                <w:sz w:val="24"/>
                <w:highlight w:val="none"/>
              </w:rPr>
            </w:pPr>
            <w:r>
              <w:rPr>
                <w:sz w:val="24"/>
                <w:highlight w:val="none"/>
              </w:rPr>
              <w:t>主要功能</w:t>
            </w:r>
          </w:p>
        </w:tc>
        <w:tc>
          <w:tcPr>
            <w:tcW w:w="707" w:type="pct"/>
            <w:tcBorders>
              <w:top w:val="thinThickSmallGap" w:color="auto" w:sz="18" w:space="0"/>
              <w:bottom w:val="single" w:color="auto" w:sz="6" w:space="0"/>
            </w:tcBorders>
            <w:shd w:val="clear" w:color="auto" w:fill="auto"/>
            <w:vAlign w:val="center"/>
          </w:tcPr>
          <w:p>
            <w:pPr>
              <w:jc w:val="center"/>
              <w:rPr>
                <w:sz w:val="24"/>
                <w:highlight w:val="none"/>
              </w:rPr>
            </w:pPr>
            <w:r>
              <w:rPr>
                <w:sz w:val="24"/>
                <w:highlight w:val="none"/>
              </w:rPr>
              <w:t>规划泊位数（个）</w:t>
            </w:r>
          </w:p>
        </w:tc>
        <w:tc>
          <w:tcPr>
            <w:tcW w:w="873" w:type="pct"/>
            <w:tcBorders>
              <w:top w:val="thinThickSmallGap" w:color="auto" w:sz="18" w:space="0"/>
              <w:bottom w:val="single" w:color="auto" w:sz="6" w:space="0"/>
            </w:tcBorders>
            <w:shd w:val="clear" w:color="auto" w:fill="auto"/>
            <w:vAlign w:val="center"/>
          </w:tcPr>
          <w:p>
            <w:pPr>
              <w:jc w:val="center"/>
              <w:rPr>
                <w:sz w:val="24"/>
                <w:highlight w:val="none"/>
              </w:rPr>
            </w:pPr>
            <w:r>
              <w:rPr>
                <w:sz w:val="24"/>
                <w:highlight w:val="none"/>
              </w:rPr>
              <w:t>通过能力</w:t>
            </w:r>
          </w:p>
          <w:p>
            <w:pPr>
              <w:ind w:left="42" w:leftChars="-38" w:right="-80" w:rightChars="-38" w:hanging="122" w:hangingChars="51"/>
              <w:jc w:val="center"/>
              <w:rPr>
                <w:sz w:val="24"/>
                <w:highlight w:val="none"/>
              </w:rPr>
            </w:pPr>
            <w:r>
              <w:rPr>
                <w:sz w:val="24"/>
                <w:highlight w:val="none"/>
              </w:rPr>
              <w:t>（万t/万人次）</w:t>
            </w:r>
          </w:p>
        </w:tc>
        <w:tc>
          <w:tcPr>
            <w:tcW w:w="622" w:type="pct"/>
            <w:tcBorders>
              <w:top w:val="thinThickSmallGap" w:color="auto" w:sz="18" w:space="0"/>
              <w:bottom w:val="single" w:color="auto" w:sz="6" w:space="0"/>
            </w:tcBorders>
            <w:shd w:val="clear" w:color="auto" w:fill="auto"/>
            <w:vAlign w:val="center"/>
          </w:tcPr>
          <w:p>
            <w:pPr>
              <w:jc w:val="center"/>
              <w:rPr>
                <w:sz w:val="24"/>
                <w:highlight w:val="none"/>
              </w:rPr>
            </w:pPr>
            <w:r>
              <w:rPr>
                <w:sz w:val="24"/>
                <w:highlight w:val="none"/>
              </w:rPr>
              <w:t>占用土地</w:t>
            </w:r>
          </w:p>
          <w:p>
            <w:pPr>
              <w:jc w:val="center"/>
              <w:rPr>
                <w:sz w:val="24"/>
                <w:highlight w:val="none"/>
              </w:rPr>
            </w:pPr>
            <w:r>
              <w:rPr>
                <w:sz w:val="24"/>
                <w:highlight w:val="none"/>
              </w:rPr>
              <w:t>（m</w:t>
            </w:r>
            <w:r>
              <w:rPr>
                <w:sz w:val="24"/>
                <w:highlight w:val="none"/>
                <w:vertAlign w:val="superscript"/>
              </w:rPr>
              <w:t>2</w:t>
            </w:r>
            <w:r>
              <w:rPr>
                <w:sz w:val="24"/>
                <w:highlight w:val="none"/>
              </w:rPr>
              <w:t>）</w:t>
            </w:r>
          </w:p>
        </w:tc>
        <w:tc>
          <w:tcPr>
            <w:tcW w:w="739" w:type="pct"/>
            <w:tcBorders>
              <w:top w:val="thinThickSmallGap" w:color="auto" w:sz="18" w:space="0"/>
              <w:bottom w:val="single" w:color="auto" w:sz="6" w:space="0"/>
            </w:tcBorders>
            <w:shd w:val="clear" w:color="auto" w:fill="auto"/>
            <w:vAlign w:val="center"/>
          </w:tcPr>
          <w:p>
            <w:pPr>
              <w:jc w:val="center"/>
              <w:rPr>
                <w:sz w:val="24"/>
                <w:highlight w:val="none"/>
              </w:rPr>
            </w:pPr>
            <w:r>
              <w:rPr>
                <w:sz w:val="24"/>
                <w:highlight w:val="none"/>
              </w:rPr>
              <w:t>备注</w:t>
            </w:r>
          </w:p>
        </w:tc>
      </w:tr>
      <w:tr>
        <w:tblPrEx>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485" w:type="pct"/>
            <w:tcBorders>
              <w:top w:val="single" w:color="auto" w:sz="6" w:space="0"/>
            </w:tcBorders>
            <w:vAlign w:val="center"/>
          </w:tcPr>
          <w:p>
            <w:pPr>
              <w:jc w:val="center"/>
              <w:rPr>
                <w:sz w:val="24"/>
                <w:highlight w:val="none"/>
              </w:rPr>
            </w:pPr>
            <w:r>
              <w:rPr>
                <w:sz w:val="24"/>
                <w:highlight w:val="none"/>
              </w:rPr>
              <w:t>龚嘴旅游客运作业区</w:t>
            </w:r>
          </w:p>
        </w:tc>
        <w:tc>
          <w:tcPr>
            <w:tcW w:w="574" w:type="pct"/>
            <w:tcBorders>
              <w:top w:val="single" w:color="auto" w:sz="6" w:space="0"/>
            </w:tcBorders>
            <w:vAlign w:val="center"/>
          </w:tcPr>
          <w:p>
            <w:pPr>
              <w:rPr>
                <w:sz w:val="24"/>
                <w:highlight w:val="none"/>
              </w:rPr>
            </w:pPr>
            <w:r>
              <w:rPr>
                <w:sz w:val="24"/>
                <w:highlight w:val="none"/>
              </w:rPr>
              <w:t>旅游客运</w:t>
            </w:r>
          </w:p>
        </w:tc>
        <w:tc>
          <w:tcPr>
            <w:tcW w:w="707" w:type="pct"/>
            <w:tcBorders>
              <w:top w:val="single" w:color="auto" w:sz="6" w:space="0"/>
            </w:tcBorders>
            <w:vAlign w:val="center"/>
          </w:tcPr>
          <w:p>
            <w:pPr>
              <w:jc w:val="center"/>
              <w:rPr>
                <w:sz w:val="24"/>
                <w:highlight w:val="none"/>
              </w:rPr>
            </w:pPr>
            <w:r>
              <w:rPr>
                <w:sz w:val="24"/>
                <w:highlight w:val="none"/>
              </w:rPr>
              <w:t>4</w:t>
            </w:r>
          </w:p>
        </w:tc>
        <w:tc>
          <w:tcPr>
            <w:tcW w:w="873" w:type="pct"/>
            <w:tcBorders>
              <w:top w:val="single" w:color="auto" w:sz="6" w:space="0"/>
            </w:tcBorders>
            <w:shd w:val="clear" w:color="auto" w:fill="auto"/>
            <w:vAlign w:val="center"/>
          </w:tcPr>
          <w:p>
            <w:pPr>
              <w:jc w:val="center"/>
              <w:rPr>
                <w:sz w:val="24"/>
                <w:highlight w:val="none"/>
              </w:rPr>
            </w:pPr>
            <w:r>
              <w:rPr>
                <w:sz w:val="24"/>
                <w:highlight w:val="none"/>
              </w:rPr>
              <w:t>/120</w:t>
            </w:r>
          </w:p>
        </w:tc>
        <w:tc>
          <w:tcPr>
            <w:tcW w:w="622" w:type="pct"/>
            <w:tcBorders>
              <w:top w:val="single" w:color="auto" w:sz="6" w:space="0"/>
            </w:tcBorders>
            <w:shd w:val="clear" w:color="auto" w:fill="auto"/>
            <w:vAlign w:val="center"/>
          </w:tcPr>
          <w:p>
            <w:pPr>
              <w:jc w:val="center"/>
              <w:rPr>
                <w:sz w:val="24"/>
                <w:highlight w:val="none"/>
              </w:rPr>
            </w:pPr>
            <w:r>
              <w:rPr>
                <w:sz w:val="24"/>
                <w:highlight w:val="none"/>
              </w:rPr>
              <w:t>25000</w:t>
            </w:r>
          </w:p>
        </w:tc>
        <w:tc>
          <w:tcPr>
            <w:tcW w:w="739" w:type="pct"/>
            <w:tcBorders>
              <w:top w:val="single" w:color="auto" w:sz="6" w:space="0"/>
            </w:tcBorders>
            <w:shd w:val="clear" w:color="auto" w:fill="auto"/>
            <w:vAlign w:val="center"/>
          </w:tcPr>
          <w:p>
            <w:pPr>
              <w:spacing w:line="360" w:lineRule="auto"/>
              <w:jc w:val="center"/>
              <w:rPr>
                <w:sz w:val="24"/>
                <w:highlight w:val="none"/>
              </w:rPr>
            </w:pPr>
          </w:p>
        </w:tc>
      </w:tr>
      <w:tr>
        <w:tblPrEx>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485" w:type="pct"/>
            <w:vAlign w:val="center"/>
          </w:tcPr>
          <w:p>
            <w:pPr>
              <w:jc w:val="center"/>
              <w:rPr>
                <w:sz w:val="24"/>
                <w:highlight w:val="none"/>
              </w:rPr>
            </w:pPr>
            <w:r>
              <w:rPr>
                <w:sz w:val="24"/>
                <w:highlight w:val="none"/>
              </w:rPr>
              <w:t>龙眼坝码头</w:t>
            </w:r>
          </w:p>
        </w:tc>
        <w:tc>
          <w:tcPr>
            <w:tcW w:w="574" w:type="pct"/>
            <w:vAlign w:val="center"/>
          </w:tcPr>
          <w:p>
            <w:pPr>
              <w:rPr>
                <w:sz w:val="24"/>
                <w:highlight w:val="none"/>
              </w:rPr>
            </w:pPr>
            <w:r>
              <w:rPr>
                <w:sz w:val="24"/>
                <w:highlight w:val="none"/>
              </w:rPr>
              <w:t>散货</w:t>
            </w:r>
          </w:p>
        </w:tc>
        <w:tc>
          <w:tcPr>
            <w:tcW w:w="707" w:type="pct"/>
            <w:vAlign w:val="center"/>
          </w:tcPr>
          <w:p>
            <w:pPr>
              <w:jc w:val="center"/>
              <w:rPr>
                <w:sz w:val="24"/>
                <w:highlight w:val="none"/>
              </w:rPr>
            </w:pPr>
            <w:r>
              <w:rPr>
                <w:sz w:val="24"/>
                <w:highlight w:val="none"/>
              </w:rPr>
              <w:t>2</w:t>
            </w:r>
          </w:p>
        </w:tc>
        <w:tc>
          <w:tcPr>
            <w:tcW w:w="873" w:type="pct"/>
            <w:shd w:val="clear" w:color="auto" w:fill="auto"/>
            <w:vAlign w:val="center"/>
          </w:tcPr>
          <w:p>
            <w:pPr>
              <w:jc w:val="center"/>
              <w:rPr>
                <w:sz w:val="24"/>
                <w:highlight w:val="none"/>
              </w:rPr>
            </w:pPr>
            <w:r>
              <w:rPr>
                <w:sz w:val="24"/>
                <w:highlight w:val="none"/>
              </w:rPr>
              <w:t>60</w:t>
            </w:r>
          </w:p>
        </w:tc>
        <w:tc>
          <w:tcPr>
            <w:tcW w:w="622" w:type="pct"/>
            <w:shd w:val="clear" w:color="auto" w:fill="auto"/>
            <w:vAlign w:val="center"/>
          </w:tcPr>
          <w:p>
            <w:pPr>
              <w:jc w:val="center"/>
              <w:rPr>
                <w:sz w:val="24"/>
                <w:highlight w:val="none"/>
              </w:rPr>
            </w:pPr>
            <w:r>
              <w:rPr>
                <w:sz w:val="24"/>
                <w:highlight w:val="none"/>
              </w:rPr>
              <w:t>38500</w:t>
            </w:r>
          </w:p>
        </w:tc>
        <w:tc>
          <w:tcPr>
            <w:tcW w:w="739" w:type="pct"/>
            <w:shd w:val="clear" w:color="auto" w:fill="auto"/>
            <w:vAlign w:val="center"/>
          </w:tcPr>
          <w:p>
            <w:pPr>
              <w:jc w:val="center"/>
              <w:rPr>
                <w:sz w:val="24"/>
                <w:highlight w:val="none"/>
              </w:rPr>
            </w:pPr>
            <w:r>
              <w:rPr>
                <w:sz w:val="24"/>
                <w:highlight w:val="none"/>
              </w:rPr>
              <w:t>+1个港航管理+1个应急搜救</w:t>
            </w:r>
          </w:p>
        </w:tc>
      </w:tr>
      <w:tr>
        <w:tblPrEx>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485" w:type="pct"/>
            <w:vAlign w:val="center"/>
          </w:tcPr>
          <w:p>
            <w:pPr>
              <w:jc w:val="center"/>
              <w:rPr>
                <w:sz w:val="24"/>
                <w:highlight w:val="none"/>
              </w:rPr>
            </w:pPr>
            <w:r>
              <w:rPr>
                <w:sz w:val="24"/>
                <w:highlight w:val="none"/>
              </w:rPr>
              <w:t>白果散货码头</w:t>
            </w:r>
          </w:p>
        </w:tc>
        <w:tc>
          <w:tcPr>
            <w:tcW w:w="574" w:type="pct"/>
            <w:vAlign w:val="center"/>
          </w:tcPr>
          <w:p>
            <w:pPr>
              <w:rPr>
                <w:sz w:val="24"/>
                <w:highlight w:val="none"/>
              </w:rPr>
            </w:pPr>
            <w:r>
              <w:rPr>
                <w:sz w:val="24"/>
                <w:highlight w:val="none"/>
              </w:rPr>
              <w:t>散货</w:t>
            </w:r>
          </w:p>
        </w:tc>
        <w:tc>
          <w:tcPr>
            <w:tcW w:w="707" w:type="pct"/>
            <w:vAlign w:val="center"/>
          </w:tcPr>
          <w:p>
            <w:pPr>
              <w:jc w:val="center"/>
              <w:rPr>
                <w:sz w:val="24"/>
                <w:highlight w:val="none"/>
              </w:rPr>
            </w:pPr>
            <w:r>
              <w:rPr>
                <w:sz w:val="24"/>
                <w:highlight w:val="none"/>
              </w:rPr>
              <w:t>3</w:t>
            </w:r>
          </w:p>
        </w:tc>
        <w:tc>
          <w:tcPr>
            <w:tcW w:w="873" w:type="pct"/>
            <w:shd w:val="clear" w:color="auto" w:fill="auto"/>
            <w:vAlign w:val="center"/>
          </w:tcPr>
          <w:p>
            <w:pPr>
              <w:jc w:val="center"/>
              <w:rPr>
                <w:sz w:val="24"/>
                <w:highlight w:val="none"/>
              </w:rPr>
            </w:pPr>
            <w:r>
              <w:rPr>
                <w:sz w:val="24"/>
                <w:highlight w:val="none"/>
              </w:rPr>
              <w:t>90</w:t>
            </w:r>
          </w:p>
        </w:tc>
        <w:tc>
          <w:tcPr>
            <w:tcW w:w="622" w:type="pct"/>
            <w:shd w:val="clear" w:color="auto" w:fill="auto"/>
            <w:vAlign w:val="center"/>
          </w:tcPr>
          <w:p>
            <w:pPr>
              <w:jc w:val="center"/>
              <w:rPr>
                <w:sz w:val="24"/>
                <w:highlight w:val="none"/>
              </w:rPr>
            </w:pPr>
            <w:r>
              <w:rPr>
                <w:sz w:val="24"/>
                <w:highlight w:val="none"/>
              </w:rPr>
              <w:t>40500</w:t>
            </w:r>
          </w:p>
        </w:tc>
        <w:tc>
          <w:tcPr>
            <w:tcW w:w="739" w:type="pct"/>
            <w:shd w:val="clear" w:color="auto" w:fill="auto"/>
            <w:vAlign w:val="center"/>
          </w:tcPr>
          <w:p>
            <w:pPr>
              <w:spacing w:line="360" w:lineRule="auto"/>
              <w:jc w:val="center"/>
              <w:rPr>
                <w:sz w:val="24"/>
                <w:highlight w:val="none"/>
              </w:rPr>
            </w:pPr>
          </w:p>
        </w:tc>
      </w:tr>
      <w:tr>
        <w:tblPrEx>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485" w:type="pct"/>
            <w:vAlign w:val="center"/>
          </w:tcPr>
          <w:p>
            <w:pPr>
              <w:jc w:val="center"/>
              <w:rPr>
                <w:sz w:val="24"/>
                <w:highlight w:val="none"/>
              </w:rPr>
            </w:pPr>
            <w:r>
              <w:rPr>
                <w:rFonts w:hint="eastAsia"/>
                <w:sz w:val="24"/>
                <w:highlight w:val="none"/>
              </w:rPr>
              <w:t>五渡客运码头</w:t>
            </w:r>
          </w:p>
        </w:tc>
        <w:tc>
          <w:tcPr>
            <w:tcW w:w="574" w:type="pct"/>
            <w:vAlign w:val="center"/>
          </w:tcPr>
          <w:p>
            <w:pPr>
              <w:rPr>
                <w:sz w:val="24"/>
                <w:highlight w:val="none"/>
              </w:rPr>
            </w:pPr>
            <w:r>
              <w:rPr>
                <w:rFonts w:hint="eastAsia"/>
                <w:sz w:val="24"/>
                <w:highlight w:val="none"/>
              </w:rPr>
              <w:t>客运</w:t>
            </w:r>
          </w:p>
        </w:tc>
        <w:tc>
          <w:tcPr>
            <w:tcW w:w="707" w:type="pct"/>
            <w:vAlign w:val="center"/>
          </w:tcPr>
          <w:p>
            <w:pPr>
              <w:jc w:val="center"/>
              <w:rPr>
                <w:sz w:val="24"/>
                <w:highlight w:val="none"/>
              </w:rPr>
            </w:pPr>
            <w:r>
              <w:rPr>
                <w:rFonts w:hint="eastAsia"/>
                <w:sz w:val="24"/>
                <w:highlight w:val="none"/>
              </w:rPr>
              <w:t>2</w:t>
            </w:r>
          </w:p>
        </w:tc>
        <w:tc>
          <w:tcPr>
            <w:tcW w:w="873" w:type="pct"/>
            <w:shd w:val="clear" w:color="auto" w:fill="auto"/>
            <w:vAlign w:val="center"/>
          </w:tcPr>
          <w:p>
            <w:pPr>
              <w:jc w:val="center"/>
              <w:rPr>
                <w:sz w:val="24"/>
                <w:highlight w:val="none"/>
              </w:rPr>
            </w:pPr>
            <w:r>
              <w:rPr>
                <w:sz w:val="24"/>
                <w:highlight w:val="none"/>
              </w:rPr>
              <w:t>/60</w:t>
            </w:r>
          </w:p>
        </w:tc>
        <w:tc>
          <w:tcPr>
            <w:tcW w:w="622" w:type="pct"/>
            <w:shd w:val="clear" w:color="auto" w:fill="auto"/>
            <w:vAlign w:val="center"/>
          </w:tcPr>
          <w:p>
            <w:pPr>
              <w:jc w:val="center"/>
              <w:rPr>
                <w:sz w:val="24"/>
                <w:highlight w:val="none"/>
              </w:rPr>
            </w:pPr>
            <w:r>
              <w:rPr>
                <w:rFonts w:hint="eastAsia"/>
                <w:sz w:val="24"/>
                <w:highlight w:val="none"/>
              </w:rPr>
              <w:t>1</w:t>
            </w:r>
            <w:r>
              <w:rPr>
                <w:sz w:val="24"/>
                <w:highlight w:val="none"/>
              </w:rPr>
              <w:t>2570</w:t>
            </w:r>
          </w:p>
        </w:tc>
        <w:tc>
          <w:tcPr>
            <w:tcW w:w="739" w:type="pct"/>
            <w:shd w:val="clear" w:color="auto" w:fill="auto"/>
            <w:vAlign w:val="center"/>
          </w:tcPr>
          <w:p>
            <w:pPr>
              <w:spacing w:line="360" w:lineRule="auto"/>
              <w:jc w:val="center"/>
              <w:rPr>
                <w:sz w:val="24"/>
                <w:highlight w:val="none"/>
              </w:rPr>
            </w:pPr>
          </w:p>
        </w:tc>
      </w:tr>
    </w:tbl>
    <w:p>
      <w:pPr>
        <w:pStyle w:val="2"/>
        <w:spacing w:before="312" w:beforeLines="100" w:line="360" w:lineRule="auto"/>
        <w:ind w:firstLine="561"/>
        <w:outlineLvl w:val="3"/>
        <w:rPr>
          <w:rFonts w:ascii="Times New Roman" w:cs="Times New Roman"/>
          <w:b/>
          <w:color w:val="auto"/>
          <w:sz w:val="28"/>
          <w:szCs w:val="28"/>
          <w:highlight w:val="none"/>
        </w:rPr>
      </w:pPr>
      <w:r>
        <w:rPr>
          <w:rFonts w:ascii="Times New Roman" w:cs="Times New Roman"/>
          <w:b/>
          <w:color w:val="auto"/>
          <w:sz w:val="28"/>
          <w:szCs w:val="28"/>
          <w:highlight w:val="none"/>
        </w:rPr>
        <w:t>（七）夹江港区</w:t>
      </w:r>
    </w:p>
    <w:p>
      <w:pPr>
        <w:pStyle w:val="2"/>
        <w:spacing w:line="360" w:lineRule="auto"/>
        <w:ind w:firstLine="562" w:firstLineChars="200"/>
        <w:jc w:val="both"/>
        <w:rPr>
          <w:rFonts w:ascii="Times New Roman" w:cs="Times New Roman"/>
          <w:color w:val="auto"/>
          <w:sz w:val="28"/>
          <w:szCs w:val="28"/>
          <w:highlight w:val="none"/>
        </w:rPr>
      </w:pPr>
      <w:r>
        <w:rPr>
          <w:rFonts w:ascii="Times New Roman" w:cs="Times New Roman"/>
          <w:b/>
          <w:color w:val="auto"/>
          <w:kern w:val="2"/>
          <w:sz w:val="28"/>
          <w:szCs w:val="28"/>
          <w:highlight w:val="none"/>
        </w:rPr>
        <w:t>1.柏杨湾旅游客运</w:t>
      </w:r>
      <w:r>
        <w:rPr>
          <w:rFonts w:hint="eastAsia" w:ascii="Times New Roman" w:cs="Times New Roman"/>
          <w:b/>
          <w:color w:val="auto"/>
          <w:kern w:val="2"/>
          <w:sz w:val="28"/>
          <w:szCs w:val="28"/>
          <w:highlight w:val="none"/>
        </w:rPr>
        <w:t>码头</w:t>
      </w:r>
      <w:r>
        <w:rPr>
          <w:rFonts w:ascii="Times New Roman" w:cs="Times New Roman"/>
          <w:b/>
          <w:color w:val="auto"/>
          <w:kern w:val="2"/>
          <w:sz w:val="28"/>
          <w:szCs w:val="28"/>
          <w:highlight w:val="none"/>
        </w:rPr>
        <w:t>：</w:t>
      </w:r>
      <w:r>
        <w:rPr>
          <w:rFonts w:ascii="Times New Roman" w:cs="Times New Roman"/>
          <w:color w:val="auto"/>
          <w:sz w:val="28"/>
          <w:szCs w:val="28"/>
          <w:highlight w:val="none"/>
        </w:rPr>
        <w:t>位于夹江县境内青衣江毛滩电站库区内，紧邻千佛岩景区，</w:t>
      </w:r>
      <w:r>
        <w:rPr>
          <w:rFonts w:hint="eastAsia" w:ascii="Times New Roman" w:cs="Times New Roman"/>
          <w:color w:val="auto"/>
          <w:sz w:val="28"/>
          <w:szCs w:val="28"/>
          <w:highlight w:val="none"/>
        </w:rPr>
        <w:t>码头</w:t>
      </w:r>
      <w:r>
        <w:rPr>
          <w:rFonts w:ascii="Times New Roman" w:cs="Times New Roman"/>
          <w:color w:val="auto"/>
          <w:sz w:val="28"/>
          <w:szCs w:val="28"/>
          <w:highlight w:val="none"/>
        </w:rPr>
        <w:t>顺岸布置，布置3个旅游客运泊位、1个港航管理、1个应急搜救、1个消防泊位，占用岸线170m，陆域高程约410.00m，陆域占地面积约11400m</w:t>
      </w:r>
      <w:r>
        <w:rPr>
          <w:rFonts w:ascii="Times New Roman" w:cs="Times New Roman"/>
          <w:color w:val="auto"/>
          <w:sz w:val="28"/>
          <w:szCs w:val="28"/>
          <w:highlight w:val="none"/>
          <w:vertAlign w:val="superscript"/>
        </w:rPr>
        <w:t>2</w:t>
      </w:r>
      <w:r>
        <w:rPr>
          <w:rFonts w:ascii="Times New Roman" w:cs="Times New Roman"/>
          <w:color w:val="auto"/>
          <w:sz w:val="28"/>
          <w:szCs w:val="28"/>
          <w:highlight w:val="none"/>
        </w:rPr>
        <w:t>。</w:t>
      </w:r>
    </w:p>
    <w:p>
      <w:pPr>
        <w:spacing w:line="360" w:lineRule="auto"/>
        <w:ind w:firstLine="480"/>
        <w:rPr>
          <w:sz w:val="28"/>
          <w:szCs w:val="28"/>
          <w:highlight w:val="none"/>
        </w:rPr>
      </w:pPr>
      <w:r>
        <w:rPr>
          <w:kern w:val="0"/>
          <w:sz w:val="28"/>
          <w:szCs w:val="28"/>
          <w:highlight w:val="none"/>
        </w:rPr>
        <w:t>柏杨湾旅游客运</w:t>
      </w:r>
      <w:r>
        <w:rPr>
          <w:rFonts w:hint="eastAsia"/>
          <w:kern w:val="0"/>
          <w:sz w:val="28"/>
          <w:szCs w:val="28"/>
          <w:highlight w:val="none"/>
        </w:rPr>
        <w:t>码头</w:t>
      </w:r>
      <w:r>
        <w:rPr>
          <w:kern w:val="0"/>
          <w:sz w:val="28"/>
          <w:szCs w:val="28"/>
          <w:highlight w:val="none"/>
        </w:rPr>
        <w:t>规划图详见附图LSZG</w:t>
      </w:r>
      <w:r>
        <w:rPr>
          <w:sz w:val="28"/>
          <w:szCs w:val="28"/>
          <w:highlight w:val="none"/>
        </w:rPr>
        <w:t>Ⅱ</w:t>
      </w:r>
      <w:r>
        <w:rPr>
          <w:kern w:val="0"/>
          <w:sz w:val="28"/>
          <w:szCs w:val="28"/>
          <w:highlight w:val="none"/>
        </w:rPr>
        <w:t>-07。</w:t>
      </w:r>
    </w:p>
    <w:p>
      <w:pPr>
        <w:spacing w:line="360" w:lineRule="auto"/>
        <w:ind w:firstLine="480"/>
        <w:rPr>
          <w:kern w:val="0"/>
          <w:sz w:val="28"/>
          <w:szCs w:val="28"/>
          <w:highlight w:val="none"/>
        </w:rPr>
      </w:pPr>
      <w:r>
        <w:rPr>
          <w:kern w:val="0"/>
          <w:sz w:val="28"/>
          <w:szCs w:val="28"/>
          <w:highlight w:val="none"/>
        </w:rPr>
        <w:t>夹江港区规划情况见表5.3-7。</w:t>
      </w:r>
    </w:p>
    <w:p>
      <w:pPr>
        <w:spacing w:line="360" w:lineRule="auto"/>
        <w:ind w:firstLine="480"/>
        <w:jc w:val="center"/>
        <w:rPr>
          <w:rFonts w:eastAsia="黑体"/>
          <w:sz w:val="28"/>
          <w:szCs w:val="28"/>
          <w:highlight w:val="none"/>
        </w:rPr>
      </w:pPr>
      <w:r>
        <w:rPr>
          <w:rFonts w:eastAsia="黑体"/>
          <w:kern w:val="0"/>
          <w:sz w:val="28"/>
          <w:szCs w:val="28"/>
          <w:highlight w:val="none"/>
        </w:rPr>
        <w:t xml:space="preserve">表5.3-7 </w:t>
      </w:r>
      <w:r>
        <w:rPr>
          <w:rFonts w:eastAsia="黑体"/>
          <w:sz w:val="28"/>
          <w:szCs w:val="28"/>
          <w:highlight w:val="none"/>
        </w:rPr>
        <w:t>夹江港区主要作业区及码头规划情况表</w:t>
      </w:r>
    </w:p>
    <w:tbl>
      <w:tblPr>
        <w:tblStyle w:val="32"/>
        <w:tblW w:w="5000" w:type="pct"/>
        <w:jc w:val="center"/>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2178"/>
        <w:gridCol w:w="1324"/>
        <w:gridCol w:w="1371"/>
        <w:gridCol w:w="1660"/>
        <w:gridCol w:w="1224"/>
        <w:gridCol w:w="1529"/>
      </w:tblGrid>
      <w:tr>
        <w:tblPrEx>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173" w:type="pct"/>
            <w:vAlign w:val="center"/>
          </w:tcPr>
          <w:p>
            <w:pPr>
              <w:jc w:val="center"/>
              <w:rPr>
                <w:sz w:val="24"/>
                <w:highlight w:val="none"/>
              </w:rPr>
            </w:pPr>
            <w:r>
              <w:rPr>
                <w:sz w:val="24"/>
                <w:highlight w:val="none"/>
              </w:rPr>
              <w:t>作业区名称</w:t>
            </w:r>
          </w:p>
        </w:tc>
        <w:tc>
          <w:tcPr>
            <w:tcW w:w="713" w:type="pct"/>
            <w:vAlign w:val="center"/>
          </w:tcPr>
          <w:p>
            <w:pPr>
              <w:jc w:val="center"/>
              <w:rPr>
                <w:sz w:val="24"/>
                <w:highlight w:val="none"/>
              </w:rPr>
            </w:pPr>
            <w:r>
              <w:rPr>
                <w:sz w:val="24"/>
                <w:highlight w:val="none"/>
              </w:rPr>
              <w:t>主要功能</w:t>
            </w:r>
          </w:p>
        </w:tc>
        <w:tc>
          <w:tcPr>
            <w:tcW w:w="738" w:type="pct"/>
            <w:shd w:val="clear" w:color="auto" w:fill="auto"/>
            <w:vAlign w:val="center"/>
          </w:tcPr>
          <w:p>
            <w:pPr>
              <w:jc w:val="center"/>
              <w:rPr>
                <w:sz w:val="24"/>
                <w:highlight w:val="none"/>
              </w:rPr>
            </w:pPr>
            <w:r>
              <w:rPr>
                <w:sz w:val="24"/>
                <w:highlight w:val="none"/>
              </w:rPr>
              <w:t>规划泊位数（个）</w:t>
            </w:r>
          </w:p>
        </w:tc>
        <w:tc>
          <w:tcPr>
            <w:tcW w:w="894" w:type="pct"/>
            <w:shd w:val="clear" w:color="auto" w:fill="auto"/>
            <w:vAlign w:val="center"/>
          </w:tcPr>
          <w:p>
            <w:pPr>
              <w:jc w:val="center"/>
              <w:rPr>
                <w:sz w:val="24"/>
                <w:highlight w:val="none"/>
              </w:rPr>
            </w:pPr>
            <w:r>
              <w:rPr>
                <w:sz w:val="24"/>
                <w:highlight w:val="none"/>
              </w:rPr>
              <w:t>通过能力</w:t>
            </w:r>
          </w:p>
          <w:p>
            <w:pPr>
              <w:ind w:left="42" w:leftChars="-38" w:right="-80" w:rightChars="-38" w:hanging="122" w:hangingChars="51"/>
              <w:jc w:val="center"/>
              <w:rPr>
                <w:sz w:val="24"/>
                <w:highlight w:val="none"/>
              </w:rPr>
            </w:pPr>
            <w:r>
              <w:rPr>
                <w:sz w:val="24"/>
                <w:highlight w:val="none"/>
              </w:rPr>
              <w:t>（万t/万人次）</w:t>
            </w:r>
          </w:p>
        </w:tc>
        <w:tc>
          <w:tcPr>
            <w:tcW w:w="659" w:type="pct"/>
            <w:shd w:val="clear" w:color="auto" w:fill="auto"/>
            <w:vAlign w:val="center"/>
          </w:tcPr>
          <w:p>
            <w:pPr>
              <w:jc w:val="center"/>
              <w:rPr>
                <w:sz w:val="24"/>
                <w:highlight w:val="none"/>
              </w:rPr>
            </w:pPr>
            <w:r>
              <w:rPr>
                <w:sz w:val="24"/>
                <w:highlight w:val="none"/>
              </w:rPr>
              <w:t>占用土地</w:t>
            </w:r>
          </w:p>
          <w:p>
            <w:pPr>
              <w:jc w:val="center"/>
              <w:rPr>
                <w:sz w:val="24"/>
                <w:highlight w:val="none"/>
              </w:rPr>
            </w:pPr>
            <w:r>
              <w:rPr>
                <w:sz w:val="24"/>
                <w:highlight w:val="none"/>
              </w:rPr>
              <w:t>（m</w:t>
            </w:r>
            <w:r>
              <w:rPr>
                <w:sz w:val="24"/>
                <w:highlight w:val="none"/>
                <w:vertAlign w:val="superscript"/>
              </w:rPr>
              <w:t>2</w:t>
            </w:r>
            <w:r>
              <w:rPr>
                <w:sz w:val="24"/>
                <w:highlight w:val="none"/>
              </w:rPr>
              <w:t>）</w:t>
            </w:r>
          </w:p>
        </w:tc>
        <w:tc>
          <w:tcPr>
            <w:tcW w:w="823" w:type="pct"/>
            <w:shd w:val="clear" w:color="auto" w:fill="auto"/>
            <w:vAlign w:val="center"/>
          </w:tcPr>
          <w:p>
            <w:pPr>
              <w:jc w:val="center"/>
              <w:rPr>
                <w:sz w:val="24"/>
                <w:highlight w:val="none"/>
              </w:rPr>
            </w:pPr>
            <w:r>
              <w:rPr>
                <w:sz w:val="24"/>
                <w:highlight w:val="none"/>
              </w:rPr>
              <w:t>备注</w:t>
            </w:r>
          </w:p>
        </w:tc>
      </w:tr>
      <w:tr>
        <w:tblPrEx>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173" w:type="pct"/>
            <w:vAlign w:val="center"/>
          </w:tcPr>
          <w:p>
            <w:pPr>
              <w:jc w:val="center"/>
              <w:rPr>
                <w:sz w:val="24"/>
                <w:highlight w:val="none"/>
              </w:rPr>
            </w:pPr>
            <w:r>
              <w:rPr>
                <w:sz w:val="24"/>
                <w:highlight w:val="none"/>
              </w:rPr>
              <w:t>柏杨湾旅游客运</w:t>
            </w:r>
            <w:r>
              <w:rPr>
                <w:rFonts w:hint="eastAsia"/>
                <w:sz w:val="24"/>
                <w:highlight w:val="none"/>
              </w:rPr>
              <w:t>码头</w:t>
            </w:r>
          </w:p>
        </w:tc>
        <w:tc>
          <w:tcPr>
            <w:tcW w:w="713" w:type="pct"/>
            <w:vAlign w:val="center"/>
          </w:tcPr>
          <w:p>
            <w:pPr>
              <w:rPr>
                <w:sz w:val="24"/>
                <w:highlight w:val="none"/>
              </w:rPr>
            </w:pPr>
            <w:r>
              <w:rPr>
                <w:sz w:val="24"/>
                <w:highlight w:val="none"/>
              </w:rPr>
              <w:t>旅游客运</w:t>
            </w:r>
          </w:p>
        </w:tc>
        <w:tc>
          <w:tcPr>
            <w:tcW w:w="738" w:type="pct"/>
            <w:vAlign w:val="center"/>
          </w:tcPr>
          <w:p>
            <w:pPr>
              <w:jc w:val="center"/>
              <w:rPr>
                <w:sz w:val="24"/>
                <w:highlight w:val="none"/>
              </w:rPr>
            </w:pPr>
            <w:r>
              <w:rPr>
                <w:sz w:val="24"/>
                <w:highlight w:val="none"/>
              </w:rPr>
              <w:t>3</w:t>
            </w:r>
          </w:p>
        </w:tc>
        <w:tc>
          <w:tcPr>
            <w:tcW w:w="894" w:type="pct"/>
            <w:shd w:val="clear" w:color="auto" w:fill="auto"/>
            <w:vAlign w:val="center"/>
          </w:tcPr>
          <w:p>
            <w:pPr>
              <w:jc w:val="center"/>
              <w:rPr>
                <w:sz w:val="24"/>
                <w:highlight w:val="none"/>
              </w:rPr>
            </w:pPr>
            <w:r>
              <w:rPr>
                <w:sz w:val="24"/>
                <w:highlight w:val="none"/>
              </w:rPr>
              <w:t>90</w:t>
            </w:r>
          </w:p>
        </w:tc>
        <w:tc>
          <w:tcPr>
            <w:tcW w:w="659" w:type="pct"/>
            <w:shd w:val="clear" w:color="auto" w:fill="auto"/>
            <w:vAlign w:val="center"/>
          </w:tcPr>
          <w:p>
            <w:pPr>
              <w:jc w:val="center"/>
              <w:rPr>
                <w:sz w:val="24"/>
                <w:highlight w:val="none"/>
              </w:rPr>
            </w:pPr>
            <w:r>
              <w:rPr>
                <w:sz w:val="24"/>
                <w:highlight w:val="none"/>
              </w:rPr>
              <w:t>11300</w:t>
            </w:r>
          </w:p>
        </w:tc>
        <w:tc>
          <w:tcPr>
            <w:tcW w:w="823" w:type="pct"/>
            <w:shd w:val="clear" w:color="auto" w:fill="auto"/>
            <w:vAlign w:val="center"/>
          </w:tcPr>
          <w:p>
            <w:pPr>
              <w:jc w:val="center"/>
              <w:rPr>
                <w:sz w:val="24"/>
                <w:highlight w:val="none"/>
              </w:rPr>
            </w:pPr>
            <w:r>
              <w:rPr>
                <w:sz w:val="24"/>
                <w:highlight w:val="none"/>
              </w:rPr>
              <w:t>+1个港航管理+1个应急搜救+1个消防泊位</w:t>
            </w:r>
          </w:p>
        </w:tc>
      </w:tr>
    </w:tbl>
    <w:p>
      <w:pPr>
        <w:spacing w:before="156" w:beforeLines="50" w:after="156" w:afterLines="50" w:line="520" w:lineRule="exact"/>
        <w:jc w:val="center"/>
        <w:outlineLvl w:val="1"/>
        <w:rPr>
          <w:rFonts w:eastAsia="黑体"/>
          <w:b/>
          <w:sz w:val="30"/>
          <w:highlight w:val="none"/>
        </w:rPr>
      </w:pPr>
      <w:bookmarkStart w:id="229" w:name="_Toc77781924"/>
      <w:bookmarkStart w:id="230" w:name="_Toc67908291"/>
      <w:r>
        <w:rPr>
          <w:rFonts w:eastAsia="黑体"/>
          <w:b/>
          <w:sz w:val="30"/>
          <w:highlight w:val="none"/>
        </w:rPr>
        <w:t>第四节水域布置规划</w:t>
      </w:r>
      <w:bookmarkEnd w:id="229"/>
      <w:bookmarkEnd w:id="230"/>
    </w:p>
    <w:p>
      <w:pPr>
        <w:pStyle w:val="19"/>
        <w:ind w:firstLine="560"/>
        <w:rPr>
          <w:rFonts w:ascii="Times New Roman" w:hAnsi="Times New Roman" w:eastAsia="宋体" w:cs="Times New Roman"/>
          <w:szCs w:val="28"/>
          <w:highlight w:val="none"/>
        </w:rPr>
      </w:pPr>
      <w:r>
        <w:rPr>
          <w:rFonts w:ascii="Times New Roman" w:hAnsi="Times New Roman" w:eastAsia="宋体" w:cs="Times New Roman"/>
          <w:szCs w:val="28"/>
          <w:highlight w:val="none"/>
        </w:rPr>
        <w:t>根据到港船舶所需的锚泊区和进港安全航行需要，结合水域条件，</w:t>
      </w:r>
      <w:r>
        <w:rPr>
          <w:rFonts w:hint="eastAsia" w:ascii="Times New Roman" w:hAnsi="Times New Roman" w:eastAsia="宋体" w:cs="Times New Roman"/>
          <w:szCs w:val="28"/>
          <w:highlight w:val="none"/>
        </w:rPr>
        <w:t>在岷江规划了</w:t>
      </w:r>
      <w:r>
        <w:rPr>
          <w:rFonts w:ascii="Times New Roman" w:hAnsi="Times New Roman" w:eastAsia="宋体" w:cs="Times New Roman"/>
          <w:szCs w:val="28"/>
          <w:highlight w:val="none"/>
        </w:rPr>
        <w:t>5</w:t>
      </w:r>
      <w:r>
        <w:rPr>
          <w:rFonts w:hint="eastAsia" w:ascii="Times New Roman" w:hAnsi="Times New Roman" w:eastAsia="宋体" w:cs="Times New Roman"/>
          <w:szCs w:val="28"/>
          <w:highlight w:val="none"/>
        </w:rPr>
        <w:t>处锚地、大渡河规划了</w:t>
      </w:r>
      <w:r>
        <w:rPr>
          <w:rFonts w:ascii="Times New Roman" w:hAnsi="Times New Roman" w:eastAsia="宋体" w:cs="Times New Roman"/>
          <w:szCs w:val="28"/>
          <w:highlight w:val="none"/>
        </w:rPr>
        <w:t>4</w:t>
      </w:r>
      <w:r>
        <w:rPr>
          <w:rFonts w:hint="eastAsia" w:ascii="Times New Roman" w:hAnsi="Times New Roman" w:eastAsia="宋体" w:cs="Times New Roman"/>
          <w:szCs w:val="28"/>
          <w:highlight w:val="none"/>
        </w:rPr>
        <w:t>处锚地</w:t>
      </w:r>
      <w:r>
        <w:rPr>
          <w:rFonts w:ascii="Times New Roman" w:hAnsi="Times New Roman" w:eastAsia="宋体" w:cs="Times New Roman"/>
          <w:szCs w:val="28"/>
          <w:highlight w:val="none"/>
        </w:rPr>
        <w:t>，各锚地详见表5.4-1。</w:t>
      </w:r>
    </w:p>
    <w:p>
      <w:pPr>
        <w:widowControl/>
        <w:jc w:val="center"/>
        <w:rPr>
          <w:rFonts w:eastAsia="黑体"/>
          <w:sz w:val="28"/>
          <w:szCs w:val="28"/>
          <w:highlight w:val="none"/>
          <w:lang w:val="en-GB"/>
        </w:rPr>
      </w:pPr>
      <w:r>
        <w:rPr>
          <w:rFonts w:eastAsia="黑体"/>
          <w:spacing w:val="8"/>
          <w:sz w:val="28"/>
          <w:szCs w:val="28"/>
          <w:highlight w:val="none"/>
        </w:rPr>
        <w:t xml:space="preserve">表5.4-1 </w:t>
      </w:r>
      <w:r>
        <w:rPr>
          <w:rFonts w:eastAsia="黑体"/>
          <w:sz w:val="28"/>
          <w:szCs w:val="28"/>
          <w:highlight w:val="none"/>
          <w:lang w:val="en-GB"/>
        </w:rPr>
        <w:t>乐山港锚地利用规划表</w:t>
      </w:r>
    </w:p>
    <w:tbl>
      <w:tblPr>
        <w:tblStyle w:val="32"/>
        <w:tblW w:w="9093" w:type="dxa"/>
        <w:jc w:val="center"/>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719"/>
        <w:gridCol w:w="2538"/>
        <w:gridCol w:w="1601"/>
        <w:gridCol w:w="1483"/>
        <w:gridCol w:w="2752"/>
      </w:tblGrid>
      <w:tr>
        <w:tblPrEx>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02" w:hRule="atLeast"/>
          <w:tblHeader/>
          <w:jc w:val="center"/>
        </w:trPr>
        <w:tc>
          <w:tcPr>
            <w:tcW w:w="719" w:type="dxa"/>
            <w:vMerge w:val="restart"/>
            <w:vAlign w:val="center"/>
          </w:tcPr>
          <w:p>
            <w:pPr>
              <w:pStyle w:val="19"/>
              <w:ind w:firstLine="0" w:firstLineChars="0"/>
              <w:jc w:val="center"/>
              <w:rPr>
                <w:rFonts w:ascii="Times New Roman" w:hAnsi="Times New Roman" w:cs="Times New Roman"/>
                <w:bCs/>
                <w:snapToGrid w:val="0"/>
                <w:kern w:val="0"/>
                <w:sz w:val="24"/>
                <w:szCs w:val="24"/>
                <w:highlight w:val="none"/>
              </w:rPr>
            </w:pPr>
            <w:bookmarkStart w:id="231" w:name="_Toc241152197"/>
            <w:bookmarkStart w:id="232" w:name="_Toc233088649"/>
            <w:r>
              <w:rPr>
                <w:rFonts w:ascii="Times New Roman" w:hAnsi="Times New Roman" w:cs="Times New Roman"/>
                <w:bCs/>
                <w:snapToGrid w:val="0"/>
                <w:kern w:val="0"/>
                <w:sz w:val="24"/>
                <w:szCs w:val="24"/>
                <w:highlight w:val="none"/>
              </w:rPr>
              <w:t>序号</w:t>
            </w:r>
            <w:bookmarkEnd w:id="231"/>
            <w:bookmarkEnd w:id="232"/>
          </w:p>
        </w:tc>
        <w:tc>
          <w:tcPr>
            <w:tcW w:w="2538" w:type="dxa"/>
            <w:vMerge w:val="restart"/>
            <w:vAlign w:val="center"/>
          </w:tcPr>
          <w:p>
            <w:pPr>
              <w:pStyle w:val="75"/>
              <w:keepNext/>
              <w:ind w:firstLine="0" w:firstLineChars="0"/>
              <w:rPr>
                <w:sz w:val="24"/>
                <w:szCs w:val="24"/>
                <w:highlight w:val="none"/>
              </w:rPr>
            </w:pPr>
            <w:r>
              <w:rPr>
                <w:sz w:val="24"/>
                <w:szCs w:val="24"/>
                <w:highlight w:val="none"/>
              </w:rPr>
              <w:t>岸线名称</w:t>
            </w:r>
          </w:p>
        </w:tc>
        <w:tc>
          <w:tcPr>
            <w:tcW w:w="3084" w:type="dxa"/>
            <w:gridSpan w:val="2"/>
            <w:vAlign w:val="center"/>
          </w:tcPr>
          <w:p>
            <w:pPr>
              <w:pStyle w:val="75"/>
              <w:keepNext/>
              <w:ind w:firstLine="0" w:firstLineChars="0"/>
              <w:rPr>
                <w:sz w:val="24"/>
                <w:szCs w:val="24"/>
                <w:highlight w:val="none"/>
              </w:rPr>
            </w:pPr>
            <w:r>
              <w:rPr>
                <w:sz w:val="24"/>
                <w:szCs w:val="24"/>
                <w:highlight w:val="none"/>
              </w:rPr>
              <w:t>锚地岸线利用基本情况</w:t>
            </w:r>
          </w:p>
        </w:tc>
        <w:tc>
          <w:tcPr>
            <w:tcW w:w="2752" w:type="dxa"/>
            <w:vMerge w:val="restart"/>
            <w:vAlign w:val="center"/>
          </w:tcPr>
          <w:p>
            <w:pPr>
              <w:pStyle w:val="75"/>
              <w:keepNext/>
              <w:ind w:firstLine="0" w:firstLineChars="0"/>
              <w:rPr>
                <w:sz w:val="24"/>
                <w:szCs w:val="24"/>
                <w:highlight w:val="none"/>
              </w:rPr>
            </w:pPr>
            <w:r>
              <w:rPr>
                <w:sz w:val="24"/>
                <w:szCs w:val="24"/>
                <w:highlight w:val="none"/>
              </w:rPr>
              <w:t>备注</w:t>
            </w:r>
          </w:p>
        </w:tc>
      </w:tr>
      <w:tr>
        <w:tblPrEx>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542" w:hRule="atLeast"/>
          <w:tblHeader/>
          <w:jc w:val="center"/>
        </w:trPr>
        <w:tc>
          <w:tcPr>
            <w:tcW w:w="719" w:type="dxa"/>
            <w:vMerge w:val="continue"/>
            <w:vAlign w:val="center"/>
          </w:tcPr>
          <w:p>
            <w:pPr>
              <w:pStyle w:val="19"/>
              <w:ind w:firstLine="0" w:firstLineChars="0"/>
              <w:jc w:val="center"/>
              <w:rPr>
                <w:rFonts w:ascii="Times New Roman" w:hAnsi="Times New Roman" w:cs="Times New Roman"/>
                <w:bCs/>
                <w:snapToGrid w:val="0"/>
                <w:kern w:val="0"/>
                <w:sz w:val="24"/>
                <w:szCs w:val="24"/>
                <w:highlight w:val="none"/>
              </w:rPr>
            </w:pPr>
          </w:p>
        </w:tc>
        <w:tc>
          <w:tcPr>
            <w:tcW w:w="2538" w:type="dxa"/>
            <w:vMerge w:val="continue"/>
            <w:vAlign w:val="center"/>
          </w:tcPr>
          <w:p>
            <w:pPr>
              <w:pStyle w:val="75"/>
              <w:keepNext/>
              <w:ind w:firstLine="0" w:firstLineChars="0"/>
              <w:rPr>
                <w:sz w:val="24"/>
                <w:szCs w:val="24"/>
                <w:highlight w:val="none"/>
              </w:rPr>
            </w:pPr>
          </w:p>
        </w:tc>
        <w:tc>
          <w:tcPr>
            <w:tcW w:w="1601" w:type="dxa"/>
            <w:vAlign w:val="center"/>
          </w:tcPr>
          <w:p>
            <w:pPr>
              <w:pStyle w:val="75"/>
              <w:keepNext/>
              <w:spacing w:line="240" w:lineRule="auto"/>
              <w:ind w:firstLine="0" w:firstLineChars="0"/>
              <w:rPr>
                <w:sz w:val="24"/>
                <w:szCs w:val="24"/>
                <w:highlight w:val="none"/>
              </w:rPr>
            </w:pPr>
            <w:r>
              <w:rPr>
                <w:sz w:val="24"/>
                <w:szCs w:val="24"/>
                <w:highlight w:val="none"/>
              </w:rPr>
              <w:t>占用岸线长（m）</w:t>
            </w:r>
          </w:p>
        </w:tc>
        <w:tc>
          <w:tcPr>
            <w:tcW w:w="1483" w:type="dxa"/>
            <w:vAlign w:val="center"/>
          </w:tcPr>
          <w:p>
            <w:pPr>
              <w:pStyle w:val="75"/>
              <w:keepNext/>
              <w:spacing w:line="240" w:lineRule="auto"/>
              <w:ind w:firstLine="0" w:firstLineChars="0"/>
              <w:rPr>
                <w:sz w:val="24"/>
                <w:szCs w:val="24"/>
                <w:highlight w:val="none"/>
              </w:rPr>
            </w:pPr>
            <w:r>
              <w:rPr>
                <w:sz w:val="24"/>
                <w:szCs w:val="24"/>
                <w:highlight w:val="none"/>
              </w:rPr>
              <w:t>占用水域宽（m）</w:t>
            </w:r>
          </w:p>
        </w:tc>
        <w:tc>
          <w:tcPr>
            <w:tcW w:w="2752" w:type="dxa"/>
            <w:vMerge w:val="continue"/>
            <w:vAlign w:val="center"/>
          </w:tcPr>
          <w:p>
            <w:pPr>
              <w:pStyle w:val="75"/>
              <w:keepNext/>
              <w:ind w:firstLine="0" w:firstLineChars="0"/>
              <w:rPr>
                <w:sz w:val="24"/>
                <w:szCs w:val="24"/>
                <w:highlight w:val="none"/>
              </w:rPr>
            </w:pPr>
          </w:p>
        </w:tc>
      </w:tr>
      <w:tr>
        <w:tblPrEx>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719" w:type="dxa"/>
            <w:vAlign w:val="center"/>
          </w:tcPr>
          <w:p>
            <w:pPr>
              <w:pStyle w:val="19"/>
              <w:ind w:firstLine="0" w:firstLineChars="0"/>
              <w:jc w:val="center"/>
              <w:rPr>
                <w:rFonts w:ascii="Times New Roman" w:hAnsi="Times New Roman" w:eastAsia="宋体" w:cs="Times New Roman"/>
                <w:spacing w:val="4"/>
                <w:sz w:val="24"/>
                <w:szCs w:val="24"/>
                <w:highlight w:val="none"/>
              </w:rPr>
            </w:pPr>
            <w:r>
              <w:rPr>
                <w:rFonts w:hint="eastAsia" w:ascii="Times New Roman" w:hAnsi="Times New Roman" w:eastAsia="宋体" w:cs="Times New Roman"/>
                <w:spacing w:val="4"/>
                <w:sz w:val="24"/>
                <w:szCs w:val="24"/>
                <w:highlight w:val="none"/>
              </w:rPr>
              <w:t>一</w:t>
            </w:r>
          </w:p>
        </w:tc>
        <w:tc>
          <w:tcPr>
            <w:tcW w:w="2538" w:type="dxa"/>
            <w:vAlign w:val="center"/>
          </w:tcPr>
          <w:p>
            <w:pPr>
              <w:pStyle w:val="19"/>
              <w:ind w:firstLine="0" w:firstLineChars="0"/>
              <w:rPr>
                <w:rFonts w:ascii="Times New Roman" w:hAnsi="Times New Roman" w:eastAsia="宋体" w:cs="Times New Roman"/>
                <w:spacing w:val="4"/>
                <w:sz w:val="24"/>
                <w:szCs w:val="24"/>
                <w:highlight w:val="none"/>
              </w:rPr>
            </w:pPr>
            <w:r>
              <w:rPr>
                <w:rFonts w:hint="eastAsia" w:ascii="Times New Roman" w:hAnsi="Times New Roman" w:eastAsia="宋体" w:cs="Times New Roman"/>
                <w:spacing w:val="4"/>
                <w:sz w:val="24"/>
                <w:szCs w:val="24"/>
                <w:highlight w:val="none"/>
              </w:rPr>
              <w:t>五通港桥港区</w:t>
            </w:r>
          </w:p>
        </w:tc>
        <w:tc>
          <w:tcPr>
            <w:tcW w:w="1601" w:type="dxa"/>
            <w:vAlign w:val="center"/>
          </w:tcPr>
          <w:p>
            <w:pPr>
              <w:pStyle w:val="75"/>
              <w:keepNext/>
              <w:ind w:firstLine="0" w:firstLineChars="0"/>
              <w:rPr>
                <w:sz w:val="24"/>
                <w:szCs w:val="24"/>
                <w:highlight w:val="none"/>
              </w:rPr>
            </w:pPr>
          </w:p>
        </w:tc>
        <w:tc>
          <w:tcPr>
            <w:tcW w:w="1483" w:type="dxa"/>
            <w:vAlign w:val="center"/>
          </w:tcPr>
          <w:p>
            <w:pPr>
              <w:pStyle w:val="75"/>
              <w:keepNext/>
              <w:ind w:firstLine="0" w:firstLineChars="0"/>
              <w:rPr>
                <w:sz w:val="24"/>
                <w:szCs w:val="24"/>
                <w:highlight w:val="none"/>
              </w:rPr>
            </w:pPr>
          </w:p>
        </w:tc>
        <w:tc>
          <w:tcPr>
            <w:tcW w:w="2752" w:type="dxa"/>
            <w:vAlign w:val="center"/>
          </w:tcPr>
          <w:p>
            <w:pPr>
              <w:pStyle w:val="75"/>
              <w:keepNext/>
              <w:ind w:firstLine="0" w:firstLineChars="0"/>
              <w:rPr>
                <w:sz w:val="24"/>
                <w:szCs w:val="24"/>
                <w:highlight w:val="none"/>
              </w:rPr>
            </w:pPr>
          </w:p>
        </w:tc>
      </w:tr>
      <w:tr>
        <w:tblPrEx>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719" w:type="dxa"/>
            <w:vAlign w:val="center"/>
          </w:tcPr>
          <w:p>
            <w:pPr>
              <w:pStyle w:val="19"/>
              <w:ind w:firstLine="0" w:firstLineChars="0"/>
              <w:jc w:val="center"/>
              <w:rPr>
                <w:rFonts w:ascii="Times New Roman" w:hAnsi="Times New Roman" w:eastAsia="宋体" w:cs="Times New Roman"/>
                <w:spacing w:val="4"/>
                <w:sz w:val="24"/>
                <w:szCs w:val="24"/>
                <w:highlight w:val="none"/>
              </w:rPr>
            </w:pPr>
            <w:r>
              <w:rPr>
                <w:rFonts w:hint="eastAsia" w:ascii="Times New Roman" w:hAnsi="Times New Roman" w:eastAsia="宋体" w:cs="Times New Roman"/>
                <w:spacing w:val="4"/>
                <w:sz w:val="24"/>
                <w:szCs w:val="24"/>
                <w:highlight w:val="none"/>
              </w:rPr>
              <w:t>1</w:t>
            </w:r>
          </w:p>
        </w:tc>
        <w:tc>
          <w:tcPr>
            <w:tcW w:w="2538" w:type="dxa"/>
            <w:vAlign w:val="center"/>
          </w:tcPr>
          <w:p>
            <w:pPr>
              <w:pStyle w:val="19"/>
              <w:ind w:firstLine="0" w:firstLineChars="0"/>
              <w:rPr>
                <w:rFonts w:ascii="Times New Roman" w:hAnsi="Times New Roman" w:eastAsia="宋体" w:cs="Times New Roman"/>
                <w:spacing w:val="4"/>
                <w:sz w:val="24"/>
                <w:szCs w:val="24"/>
                <w:highlight w:val="none"/>
              </w:rPr>
            </w:pPr>
            <w:r>
              <w:rPr>
                <w:rFonts w:hint="eastAsia" w:ascii="Times New Roman" w:hAnsi="Times New Roman" w:eastAsia="宋体" w:cs="Times New Roman"/>
                <w:spacing w:val="4"/>
                <w:sz w:val="24"/>
                <w:szCs w:val="24"/>
                <w:highlight w:val="none"/>
              </w:rPr>
              <w:t>何桥村锚地</w:t>
            </w:r>
          </w:p>
        </w:tc>
        <w:tc>
          <w:tcPr>
            <w:tcW w:w="1601" w:type="dxa"/>
            <w:vAlign w:val="center"/>
          </w:tcPr>
          <w:p>
            <w:pPr>
              <w:pStyle w:val="75"/>
              <w:keepNext/>
              <w:ind w:firstLine="0" w:firstLineChars="0"/>
              <w:rPr>
                <w:sz w:val="24"/>
                <w:szCs w:val="24"/>
                <w:highlight w:val="none"/>
              </w:rPr>
            </w:pPr>
            <w:r>
              <w:rPr>
                <w:rFonts w:hint="eastAsia"/>
                <w:sz w:val="24"/>
                <w:szCs w:val="24"/>
                <w:highlight w:val="none"/>
              </w:rPr>
              <w:t>3</w:t>
            </w:r>
            <w:r>
              <w:rPr>
                <w:sz w:val="24"/>
                <w:szCs w:val="24"/>
                <w:highlight w:val="none"/>
              </w:rPr>
              <w:t>00</w:t>
            </w:r>
          </w:p>
        </w:tc>
        <w:tc>
          <w:tcPr>
            <w:tcW w:w="1483" w:type="dxa"/>
            <w:vAlign w:val="center"/>
          </w:tcPr>
          <w:p>
            <w:pPr>
              <w:pStyle w:val="75"/>
              <w:keepNext/>
              <w:ind w:firstLine="0" w:firstLineChars="0"/>
              <w:rPr>
                <w:sz w:val="24"/>
                <w:szCs w:val="24"/>
                <w:highlight w:val="none"/>
              </w:rPr>
            </w:pPr>
            <w:r>
              <w:rPr>
                <w:rFonts w:hint="eastAsia"/>
                <w:sz w:val="24"/>
                <w:szCs w:val="24"/>
                <w:highlight w:val="none"/>
              </w:rPr>
              <w:t>1</w:t>
            </w:r>
            <w:r>
              <w:rPr>
                <w:sz w:val="24"/>
                <w:szCs w:val="24"/>
                <w:highlight w:val="none"/>
              </w:rPr>
              <w:t>00</w:t>
            </w:r>
          </w:p>
        </w:tc>
        <w:tc>
          <w:tcPr>
            <w:tcW w:w="2752" w:type="dxa"/>
            <w:vAlign w:val="center"/>
          </w:tcPr>
          <w:p>
            <w:pPr>
              <w:pStyle w:val="75"/>
              <w:keepNext/>
              <w:spacing w:line="240" w:lineRule="auto"/>
              <w:ind w:firstLine="0" w:firstLineChars="0"/>
              <w:rPr>
                <w:sz w:val="24"/>
                <w:szCs w:val="24"/>
                <w:highlight w:val="none"/>
              </w:rPr>
            </w:pPr>
            <w:r>
              <w:rPr>
                <w:rFonts w:hint="eastAsia"/>
                <w:sz w:val="24"/>
                <w:szCs w:val="24"/>
                <w:highlight w:val="none"/>
              </w:rPr>
              <w:t>岷江东风岩库区</w:t>
            </w:r>
          </w:p>
        </w:tc>
      </w:tr>
      <w:tr>
        <w:tblPrEx>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719" w:type="dxa"/>
            <w:vAlign w:val="center"/>
          </w:tcPr>
          <w:p>
            <w:pPr>
              <w:pStyle w:val="19"/>
              <w:ind w:firstLine="0" w:firstLineChars="0"/>
              <w:jc w:val="center"/>
              <w:rPr>
                <w:rFonts w:ascii="Times New Roman" w:hAnsi="Times New Roman" w:eastAsia="宋体" w:cs="Times New Roman"/>
                <w:spacing w:val="4"/>
                <w:sz w:val="24"/>
                <w:szCs w:val="24"/>
                <w:highlight w:val="none"/>
              </w:rPr>
            </w:pPr>
            <w:r>
              <w:rPr>
                <w:rFonts w:hint="eastAsia" w:ascii="Times New Roman" w:hAnsi="Times New Roman" w:eastAsia="宋体" w:cs="Times New Roman"/>
                <w:spacing w:val="4"/>
                <w:sz w:val="24"/>
                <w:szCs w:val="24"/>
                <w:highlight w:val="none"/>
              </w:rPr>
              <w:t>2</w:t>
            </w:r>
          </w:p>
        </w:tc>
        <w:tc>
          <w:tcPr>
            <w:tcW w:w="2538" w:type="dxa"/>
            <w:vAlign w:val="center"/>
          </w:tcPr>
          <w:p>
            <w:pPr>
              <w:pStyle w:val="19"/>
              <w:ind w:firstLine="0" w:firstLineChars="0"/>
              <w:rPr>
                <w:rFonts w:ascii="Times New Roman" w:hAnsi="Times New Roman" w:eastAsia="宋体" w:cs="Times New Roman"/>
                <w:spacing w:val="4"/>
                <w:sz w:val="24"/>
                <w:szCs w:val="24"/>
                <w:highlight w:val="none"/>
              </w:rPr>
            </w:pPr>
            <w:r>
              <w:rPr>
                <w:rFonts w:hint="eastAsia" w:ascii="Times New Roman" w:hAnsi="Times New Roman" w:eastAsia="宋体" w:cs="Times New Roman"/>
                <w:spacing w:val="4"/>
                <w:sz w:val="24"/>
                <w:szCs w:val="24"/>
                <w:highlight w:val="none"/>
              </w:rPr>
              <w:t>金粟锚地</w:t>
            </w:r>
          </w:p>
        </w:tc>
        <w:tc>
          <w:tcPr>
            <w:tcW w:w="1601" w:type="dxa"/>
            <w:vAlign w:val="center"/>
          </w:tcPr>
          <w:p>
            <w:pPr>
              <w:pStyle w:val="75"/>
              <w:keepNext/>
              <w:ind w:firstLine="0" w:firstLineChars="0"/>
              <w:rPr>
                <w:sz w:val="24"/>
                <w:szCs w:val="24"/>
                <w:highlight w:val="none"/>
              </w:rPr>
            </w:pPr>
            <w:r>
              <w:rPr>
                <w:sz w:val="24"/>
                <w:szCs w:val="24"/>
                <w:highlight w:val="none"/>
              </w:rPr>
              <w:t>200</w:t>
            </w:r>
          </w:p>
        </w:tc>
        <w:tc>
          <w:tcPr>
            <w:tcW w:w="1483" w:type="dxa"/>
            <w:vAlign w:val="center"/>
          </w:tcPr>
          <w:p>
            <w:pPr>
              <w:pStyle w:val="75"/>
              <w:keepNext/>
              <w:ind w:firstLine="0" w:firstLineChars="0"/>
              <w:rPr>
                <w:sz w:val="24"/>
                <w:szCs w:val="24"/>
                <w:highlight w:val="none"/>
              </w:rPr>
            </w:pPr>
            <w:r>
              <w:rPr>
                <w:rFonts w:hint="eastAsia"/>
                <w:sz w:val="24"/>
                <w:szCs w:val="24"/>
                <w:highlight w:val="none"/>
              </w:rPr>
              <w:t>1</w:t>
            </w:r>
            <w:r>
              <w:rPr>
                <w:sz w:val="24"/>
                <w:szCs w:val="24"/>
                <w:highlight w:val="none"/>
              </w:rPr>
              <w:t>00</w:t>
            </w:r>
          </w:p>
        </w:tc>
        <w:tc>
          <w:tcPr>
            <w:tcW w:w="2752" w:type="dxa"/>
            <w:vAlign w:val="center"/>
          </w:tcPr>
          <w:p>
            <w:pPr>
              <w:pStyle w:val="75"/>
              <w:keepNext/>
              <w:spacing w:line="240" w:lineRule="auto"/>
              <w:ind w:firstLine="0" w:firstLineChars="0"/>
              <w:rPr>
                <w:sz w:val="24"/>
                <w:szCs w:val="24"/>
                <w:highlight w:val="none"/>
              </w:rPr>
            </w:pPr>
            <w:r>
              <w:rPr>
                <w:rFonts w:hint="eastAsia"/>
                <w:sz w:val="24"/>
                <w:szCs w:val="24"/>
                <w:highlight w:val="none"/>
              </w:rPr>
              <w:t>岷江犍为库区</w:t>
            </w:r>
          </w:p>
        </w:tc>
      </w:tr>
      <w:tr>
        <w:tblPrEx>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719" w:type="dxa"/>
            <w:vAlign w:val="center"/>
          </w:tcPr>
          <w:p>
            <w:pPr>
              <w:pStyle w:val="19"/>
              <w:ind w:firstLine="0" w:firstLineChars="0"/>
              <w:jc w:val="center"/>
              <w:rPr>
                <w:rFonts w:ascii="Times New Roman" w:hAnsi="Times New Roman" w:eastAsia="宋体" w:cs="Times New Roman"/>
                <w:spacing w:val="4"/>
                <w:sz w:val="24"/>
                <w:szCs w:val="24"/>
                <w:highlight w:val="none"/>
              </w:rPr>
            </w:pPr>
            <w:bookmarkStart w:id="233" w:name="_Toc233088655"/>
            <w:bookmarkStart w:id="234" w:name="_Toc241152203"/>
            <w:r>
              <w:rPr>
                <w:rFonts w:ascii="Times New Roman" w:hAnsi="Times New Roman" w:eastAsia="宋体" w:cs="Times New Roman"/>
                <w:spacing w:val="4"/>
                <w:sz w:val="24"/>
                <w:szCs w:val="24"/>
                <w:highlight w:val="none"/>
              </w:rPr>
              <w:t>二</w:t>
            </w:r>
            <w:bookmarkEnd w:id="233"/>
            <w:bookmarkEnd w:id="234"/>
          </w:p>
        </w:tc>
        <w:tc>
          <w:tcPr>
            <w:tcW w:w="2538" w:type="dxa"/>
            <w:vAlign w:val="center"/>
          </w:tcPr>
          <w:p>
            <w:pPr>
              <w:pStyle w:val="19"/>
              <w:ind w:firstLine="0" w:firstLineChars="0"/>
              <w:rPr>
                <w:rFonts w:ascii="Times New Roman" w:hAnsi="Times New Roman" w:eastAsia="宋体" w:cs="Times New Roman"/>
                <w:spacing w:val="4"/>
                <w:sz w:val="24"/>
                <w:szCs w:val="24"/>
                <w:highlight w:val="none"/>
              </w:rPr>
            </w:pPr>
            <w:r>
              <w:rPr>
                <w:rFonts w:ascii="Times New Roman" w:hAnsi="Times New Roman" w:eastAsia="宋体" w:cs="Times New Roman"/>
                <w:spacing w:val="4"/>
                <w:sz w:val="24"/>
                <w:szCs w:val="24"/>
                <w:highlight w:val="none"/>
              </w:rPr>
              <w:t>犍为港区</w:t>
            </w:r>
          </w:p>
        </w:tc>
        <w:tc>
          <w:tcPr>
            <w:tcW w:w="1601" w:type="dxa"/>
            <w:vAlign w:val="center"/>
          </w:tcPr>
          <w:p>
            <w:pPr>
              <w:pStyle w:val="75"/>
              <w:keepNext/>
              <w:ind w:firstLine="0" w:firstLineChars="0"/>
              <w:rPr>
                <w:sz w:val="24"/>
                <w:szCs w:val="24"/>
                <w:highlight w:val="none"/>
              </w:rPr>
            </w:pPr>
          </w:p>
        </w:tc>
        <w:tc>
          <w:tcPr>
            <w:tcW w:w="1483" w:type="dxa"/>
            <w:vAlign w:val="center"/>
          </w:tcPr>
          <w:p>
            <w:pPr>
              <w:pStyle w:val="75"/>
              <w:keepNext/>
              <w:ind w:firstLine="0" w:firstLineChars="0"/>
              <w:rPr>
                <w:sz w:val="24"/>
                <w:szCs w:val="24"/>
                <w:highlight w:val="none"/>
              </w:rPr>
            </w:pPr>
          </w:p>
        </w:tc>
        <w:tc>
          <w:tcPr>
            <w:tcW w:w="2752" w:type="dxa"/>
            <w:vAlign w:val="center"/>
          </w:tcPr>
          <w:p>
            <w:pPr>
              <w:pStyle w:val="75"/>
              <w:keepNext/>
              <w:spacing w:line="240" w:lineRule="auto"/>
              <w:ind w:firstLine="0" w:firstLineChars="0"/>
              <w:rPr>
                <w:sz w:val="24"/>
                <w:szCs w:val="24"/>
                <w:highlight w:val="none"/>
              </w:rPr>
            </w:pPr>
          </w:p>
        </w:tc>
      </w:tr>
      <w:tr>
        <w:tblPrEx>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719" w:type="dxa"/>
            <w:vAlign w:val="center"/>
          </w:tcPr>
          <w:p>
            <w:pPr>
              <w:pStyle w:val="19"/>
              <w:ind w:firstLine="0" w:firstLineChars="0"/>
              <w:jc w:val="center"/>
              <w:rPr>
                <w:rFonts w:ascii="Times New Roman" w:hAnsi="Times New Roman" w:eastAsia="宋体" w:cs="Times New Roman"/>
                <w:spacing w:val="4"/>
                <w:sz w:val="24"/>
                <w:szCs w:val="24"/>
                <w:highlight w:val="none"/>
              </w:rPr>
            </w:pPr>
            <w:r>
              <w:rPr>
                <w:rFonts w:hint="eastAsia" w:ascii="Times New Roman" w:hAnsi="Times New Roman" w:eastAsia="宋体" w:cs="Times New Roman"/>
                <w:spacing w:val="4"/>
                <w:sz w:val="24"/>
                <w:szCs w:val="24"/>
                <w:highlight w:val="none"/>
              </w:rPr>
              <w:t>1</w:t>
            </w:r>
          </w:p>
        </w:tc>
        <w:tc>
          <w:tcPr>
            <w:tcW w:w="2538" w:type="dxa"/>
            <w:vAlign w:val="center"/>
          </w:tcPr>
          <w:p>
            <w:pPr>
              <w:pStyle w:val="19"/>
              <w:ind w:firstLine="0" w:firstLineChars="0"/>
              <w:rPr>
                <w:rFonts w:ascii="Times New Roman" w:hAnsi="Times New Roman" w:eastAsia="宋体" w:cs="Times New Roman"/>
                <w:spacing w:val="4"/>
                <w:sz w:val="24"/>
                <w:szCs w:val="24"/>
                <w:highlight w:val="none"/>
              </w:rPr>
            </w:pPr>
            <w:r>
              <w:rPr>
                <w:rFonts w:hint="eastAsia" w:ascii="Times New Roman" w:hAnsi="Times New Roman" w:eastAsia="宋体" w:cs="Times New Roman"/>
                <w:spacing w:val="4"/>
                <w:sz w:val="24"/>
                <w:szCs w:val="24"/>
                <w:highlight w:val="none"/>
              </w:rPr>
              <w:t>犍为锚地</w:t>
            </w:r>
          </w:p>
        </w:tc>
        <w:tc>
          <w:tcPr>
            <w:tcW w:w="1601" w:type="dxa"/>
            <w:vAlign w:val="center"/>
          </w:tcPr>
          <w:p>
            <w:pPr>
              <w:pStyle w:val="75"/>
              <w:keepNext/>
              <w:ind w:firstLine="0" w:firstLineChars="0"/>
              <w:rPr>
                <w:sz w:val="24"/>
                <w:szCs w:val="24"/>
                <w:highlight w:val="none"/>
              </w:rPr>
            </w:pPr>
            <w:r>
              <w:rPr>
                <w:rFonts w:hint="eastAsia"/>
                <w:sz w:val="24"/>
                <w:szCs w:val="24"/>
                <w:highlight w:val="none"/>
              </w:rPr>
              <w:t>1</w:t>
            </w:r>
            <w:r>
              <w:rPr>
                <w:sz w:val="24"/>
                <w:szCs w:val="24"/>
                <w:highlight w:val="none"/>
              </w:rPr>
              <w:t>00</w:t>
            </w:r>
          </w:p>
        </w:tc>
        <w:tc>
          <w:tcPr>
            <w:tcW w:w="1483" w:type="dxa"/>
            <w:vAlign w:val="center"/>
          </w:tcPr>
          <w:p>
            <w:pPr>
              <w:pStyle w:val="75"/>
              <w:keepNext/>
              <w:ind w:firstLine="0" w:firstLineChars="0"/>
              <w:rPr>
                <w:sz w:val="24"/>
                <w:szCs w:val="24"/>
                <w:highlight w:val="none"/>
              </w:rPr>
            </w:pPr>
            <w:r>
              <w:rPr>
                <w:rFonts w:hint="eastAsia"/>
                <w:sz w:val="24"/>
                <w:szCs w:val="24"/>
                <w:highlight w:val="none"/>
              </w:rPr>
              <w:t>3</w:t>
            </w:r>
            <w:r>
              <w:rPr>
                <w:sz w:val="24"/>
                <w:szCs w:val="24"/>
                <w:highlight w:val="none"/>
              </w:rPr>
              <w:t>0</w:t>
            </w:r>
          </w:p>
        </w:tc>
        <w:tc>
          <w:tcPr>
            <w:tcW w:w="2752" w:type="dxa"/>
            <w:vAlign w:val="center"/>
          </w:tcPr>
          <w:p>
            <w:pPr>
              <w:pStyle w:val="75"/>
              <w:keepNext/>
              <w:spacing w:line="240" w:lineRule="auto"/>
              <w:ind w:firstLine="0" w:firstLineChars="0"/>
              <w:rPr>
                <w:sz w:val="24"/>
                <w:szCs w:val="24"/>
                <w:highlight w:val="none"/>
              </w:rPr>
            </w:pPr>
            <w:r>
              <w:rPr>
                <w:rFonts w:hint="eastAsia"/>
                <w:sz w:val="24"/>
                <w:szCs w:val="24"/>
                <w:highlight w:val="none"/>
              </w:rPr>
              <w:t>岷江龙溪口库区</w:t>
            </w:r>
          </w:p>
        </w:tc>
      </w:tr>
      <w:tr>
        <w:tblPrEx>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719" w:type="dxa"/>
            <w:vAlign w:val="center"/>
          </w:tcPr>
          <w:p>
            <w:pPr>
              <w:pStyle w:val="19"/>
              <w:ind w:firstLine="0" w:firstLineChars="0"/>
              <w:jc w:val="center"/>
              <w:rPr>
                <w:rFonts w:ascii="Times New Roman" w:hAnsi="Times New Roman" w:eastAsia="宋体" w:cs="Times New Roman"/>
                <w:spacing w:val="4"/>
                <w:sz w:val="24"/>
                <w:szCs w:val="24"/>
                <w:highlight w:val="none"/>
              </w:rPr>
            </w:pPr>
            <w:r>
              <w:rPr>
                <w:rFonts w:hint="eastAsia" w:ascii="Times New Roman" w:hAnsi="Times New Roman" w:eastAsia="宋体" w:cs="Times New Roman"/>
                <w:spacing w:val="4"/>
                <w:sz w:val="24"/>
                <w:szCs w:val="24"/>
                <w:highlight w:val="none"/>
              </w:rPr>
              <w:t>2</w:t>
            </w:r>
          </w:p>
        </w:tc>
        <w:tc>
          <w:tcPr>
            <w:tcW w:w="2538" w:type="dxa"/>
            <w:vAlign w:val="center"/>
          </w:tcPr>
          <w:p>
            <w:pPr>
              <w:pStyle w:val="19"/>
              <w:ind w:firstLine="0" w:firstLineChars="0"/>
              <w:rPr>
                <w:rFonts w:ascii="Times New Roman" w:hAnsi="Times New Roman" w:eastAsia="宋体" w:cs="Times New Roman"/>
                <w:spacing w:val="4"/>
                <w:sz w:val="24"/>
                <w:szCs w:val="24"/>
                <w:highlight w:val="none"/>
              </w:rPr>
            </w:pPr>
            <w:r>
              <w:rPr>
                <w:rFonts w:hint="eastAsia" w:ascii="Times New Roman" w:hAnsi="Times New Roman" w:eastAsia="宋体" w:cs="Times New Roman"/>
                <w:spacing w:val="4"/>
                <w:sz w:val="24"/>
                <w:szCs w:val="24"/>
                <w:highlight w:val="none"/>
              </w:rPr>
              <w:t>龙仓湾锚地</w:t>
            </w:r>
          </w:p>
        </w:tc>
        <w:tc>
          <w:tcPr>
            <w:tcW w:w="1601" w:type="dxa"/>
            <w:vAlign w:val="center"/>
          </w:tcPr>
          <w:p>
            <w:pPr>
              <w:pStyle w:val="75"/>
              <w:keepNext/>
              <w:ind w:firstLine="0" w:firstLineChars="0"/>
              <w:rPr>
                <w:sz w:val="24"/>
                <w:szCs w:val="24"/>
                <w:highlight w:val="none"/>
              </w:rPr>
            </w:pPr>
            <w:r>
              <w:rPr>
                <w:rFonts w:hint="eastAsia"/>
                <w:sz w:val="24"/>
                <w:szCs w:val="24"/>
                <w:highlight w:val="none"/>
              </w:rPr>
              <w:t>2</w:t>
            </w:r>
            <w:r>
              <w:rPr>
                <w:sz w:val="24"/>
                <w:szCs w:val="24"/>
                <w:highlight w:val="none"/>
              </w:rPr>
              <w:t>00</w:t>
            </w:r>
          </w:p>
        </w:tc>
        <w:tc>
          <w:tcPr>
            <w:tcW w:w="1483" w:type="dxa"/>
            <w:vAlign w:val="center"/>
          </w:tcPr>
          <w:p>
            <w:pPr>
              <w:pStyle w:val="75"/>
              <w:keepNext/>
              <w:ind w:firstLine="0" w:firstLineChars="0"/>
              <w:rPr>
                <w:sz w:val="24"/>
                <w:szCs w:val="24"/>
                <w:highlight w:val="none"/>
              </w:rPr>
            </w:pPr>
            <w:r>
              <w:rPr>
                <w:rFonts w:hint="eastAsia"/>
                <w:sz w:val="24"/>
                <w:szCs w:val="24"/>
                <w:highlight w:val="none"/>
              </w:rPr>
              <w:t>1</w:t>
            </w:r>
            <w:r>
              <w:rPr>
                <w:sz w:val="24"/>
                <w:szCs w:val="24"/>
                <w:highlight w:val="none"/>
              </w:rPr>
              <w:t>00</w:t>
            </w:r>
          </w:p>
        </w:tc>
        <w:tc>
          <w:tcPr>
            <w:tcW w:w="2752" w:type="dxa"/>
            <w:vAlign w:val="center"/>
          </w:tcPr>
          <w:p>
            <w:pPr>
              <w:pStyle w:val="75"/>
              <w:keepNext/>
              <w:spacing w:line="240" w:lineRule="auto"/>
              <w:ind w:firstLine="0" w:firstLineChars="0"/>
              <w:rPr>
                <w:sz w:val="24"/>
                <w:szCs w:val="24"/>
                <w:highlight w:val="none"/>
              </w:rPr>
            </w:pPr>
            <w:r>
              <w:rPr>
                <w:rFonts w:hint="eastAsia"/>
                <w:sz w:val="24"/>
                <w:szCs w:val="24"/>
                <w:highlight w:val="none"/>
              </w:rPr>
              <w:t>岷江龙溪口库区</w:t>
            </w:r>
          </w:p>
        </w:tc>
      </w:tr>
      <w:tr>
        <w:tblPrEx>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553" w:hRule="exact"/>
          <w:jc w:val="center"/>
        </w:trPr>
        <w:tc>
          <w:tcPr>
            <w:tcW w:w="719" w:type="dxa"/>
            <w:vAlign w:val="center"/>
          </w:tcPr>
          <w:p>
            <w:pPr>
              <w:pStyle w:val="19"/>
              <w:ind w:firstLine="0" w:firstLineChars="0"/>
              <w:jc w:val="center"/>
              <w:rPr>
                <w:rFonts w:ascii="Times New Roman" w:hAnsi="Times New Roman" w:eastAsia="宋体" w:cs="Times New Roman"/>
                <w:spacing w:val="4"/>
                <w:sz w:val="24"/>
                <w:szCs w:val="24"/>
                <w:highlight w:val="none"/>
              </w:rPr>
            </w:pPr>
            <w:r>
              <w:rPr>
                <w:rFonts w:hint="eastAsia" w:ascii="Times New Roman" w:hAnsi="Times New Roman" w:eastAsia="宋体" w:cs="Times New Roman"/>
                <w:spacing w:val="4"/>
                <w:sz w:val="24"/>
                <w:szCs w:val="24"/>
                <w:highlight w:val="none"/>
              </w:rPr>
              <w:t>3</w:t>
            </w:r>
          </w:p>
        </w:tc>
        <w:tc>
          <w:tcPr>
            <w:tcW w:w="2538" w:type="dxa"/>
            <w:vAlign w:val="center"/>
          </w:tcPr>
          <w:p>
            <w:pPr>
              <w:pStyle w:val="19"/>
              <w:ind w:firstLine="0" w:firstLineChars="0"/>
              <w:rPr>
                <w:rFonts w:ascii="Times New Roman" w:hAnsi="Times New Roman" w:eastAsia="宋体" w:cs="Times New Roman"/>
                <w:spacing w:val="4"/>
                <w:sz w:val="24"/>
                <w:szCs w:val="24"/>
                <w:highlight w:val="none"/>
              </w:rPr>
            </w:pPr>
            <w:r>
              <w:rPr>
                <w:rFonts w:ascii="Times New Roman" w:hAnsi="Times New Roman" w:eastAsia="宋体" w:cs="Times New Roman"/>
                <w:spacing w:val="4"/>
                <w:sz w:val="24"/>
                <w:szCs w:val="24"/>
                <w:highlight w:val="none"/>
              </w:rPr>
              <w:t>新民水上服务中心</w:t>
            </w:r>
          </w:p>
        </w:tc>
        <w:tc>
          <w:tcPr>
            <w:tcW w:w="1601" w:type="dxa"/>
            <w:vAlign w:val="center"/>
          </w:tcPr>
          <w:p>
            <w:pPr>
              <w:pStyle w:val="75"/>
              <w:keepNext/>
              <w:ind w:firstLine="0" w:firstLineChars="0"/>
              <w:rPr>
                <w:sz w:val="24"/>
                <w:szCs w:val="24"/>
                <w:highlight w:val="none"/>
              </w:rPr>
            </w:pPr>
            <w:r>
              <w:rPr>
                <w:sz w:val="24"/>
                <w:szCs w:val="24"/>
                <w:highlight w:val="none"/>
              </w:rPr>
              <w:t>210</w:t>
            </w:r>
          </w:p>
        </w:tc>
        <w:tc>
          <w:tcPr>
            <w:tcW w:w="1483" w:type="dxa"/>
            <w:vAlign w:val="center"/>
          </w:tcPr>
          <w:p>
            <w:pPr>
              <w:pStyle w:val="75"/>
              <w:keepNext/>
              <w:ind w:firstLine="0" w:firstLineChars="0"/>
              <w:rPr>
                <w:sz w:val="24"/>
                <w:szCs w:val="24"/>
                <w:highlight w:val="none"/>
              </w:rPr>
            </w:pPr>
            <w:r>
              <w:rPr>
                <w:sz w:val="24"/>
                <w:szCs w:val="24"/>
                <w:highlight w:val="none"/>
              </w:rPr>
              <w:t>30</w:t>
            </w:r>
          </w:p>
        </w:tc>
        <w:tc>
          <w:tcPr>
            <w:tcW w:w="2752" w:type="dxa"/>
            <w:vAlign w:val="center"/>
          </w:tcPr>
          <w:p>
            <w:pPr>
              <w:pStyle w:val="75"/>
              <w:keepNext/>
              <w:spacing w:line="240" w:lineRule="auto"/>
              <w:ind w:firstLine="0" w:firstLineChars="0"/>
              <w:rPr>
                <w:sz w:val="24"/>
                <w:szCs w:val="24"/>
                <w:highlight w:val="none"/>
              </w:rPr>
            </w:pPr>
            <w:r>
              <w:rPr>
                <w:rFonts w:hint="eastAsia"/>
                <w:sz w:val="24"/>
                <w:szCs w:val="24"/>
                <w:highlight w:val="none"/>
              </w:rPr>
              <w:t>龙溪口库区以下，岷江</w:t>
            </w:r>
          </w:p>
        </w:tc>
      </w:tr>
      <w:tr>
        <w:tblPrEx>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719" w:type="dxa"/>
            <w:vAlign w:val="center"/>
          </w:tcPr>
          <w:p>
            <w:pPr>
              <w:pStyle w:val="19"/>
              <w:ind w:firstLine="0" w:firstLineChars="0"/>
              <w:jc w:val="center"/>
              <w:rPr>
                <w:rFonts w:ascii="Times New Roman" w:hAnsi="Times New Roman" w:eastAsia="宋体" w:cs="Times New Roman"/>
                <w:spacing w:val="4"/>
                <w:sz w:val="24"/>
                <w:szCs w:val="24"/>
                <w:highlight w:val="none"/>
              </w:rPr>
            </w:pPr>
            <w:r>
              <w:rPr>
                <w:rFonts w:hint="eastAsia" w:ascii="Times New Roman" w:hAnsi="Times New Roman" w:eastAsia="宋体" w:cs="Times New Roman"/>
                <w:spacing w:val="4"/>
                <w:sz w:val="24"/>
                <w:szCs w:val="24"/>
                <w:highlight w:val="none"/>
              </w:rPr>
              <w:t>三</w:t>
            </w:r>
          </w:p>
        </w:tc>
        <w:tc>
          <w:tcPr>
            <w:tcW w:w="2538" w:type="dxa"/>
            <w:vAlign w:val="center"/>
          </w:tcPr>
          <w:p>
            <w:pPr>
              <w:pStyle w:val="19"/>
              <w:ind w:firstLine="0" w:firstLineChars="0"/>
              <w:rPr>
                <w:rFonts w:ascii="Times New Roman" w:hAnsi="Times New Roman" w:eastAsia="宋体" w:cs="Times New Roman"/>
                <w:spacing w:val="4"/>
                <w:sz w:val="24"/>
                <w:szCs w:val="24"/>
                <w:highlight w:val="none"/>
              </w:rPr>
            </w:pPr>
            <w:r>
              <w:rPr>
                <w:rFonts w:hint="eastAsia" w:ascii="Times New Roman" w:hAnsi="Times New Roman" w:eastAsia="宋体" w:cs="Times New Roman"/>
                <w:spacing w:val="4"/>
                <w:sz w:val="24"/>
                <w:szCs w:val="24"/>
                <w:highlight w:val="none"/>
              </w:rPr>
              <w:t>沐川港区</w:t>
            </w:r>
          </w:p>
        </w:tc>
        <w:tc>
          <w:tcPr>
            <w:tcW w:w="1601" w:type="dxa"/>
            <w:vAlign w:val="center"/>
          </w:tcPr>
          <w:p>
            <w:pPr>
              <w:pStyle w:val="75"/>
              <w:keepNext/>
              <w:ind w:firstLine="0" w:firstLineChars="0"/>
              <w:rPr>
                <w:sz w:val="24"/>
                <w:szCs w:val="24"/>
                <w:highlight w:val="none"/>
              </w:rPr>
            </w:pPr>
          </w:p>
        </w:tc>
        <w:tc>
          <w:tcPr>
            <w:tcW w:w="1483" w:type="dxa"/>
            <w:vAlign w:val="center"/>
          </w:tcPr>
          <w:p>
            <w:pPr>
              <w:pStyle w:val="75"/>
              <w:keepNext/>
              <w:ind w:firstLine="0" w:firstLineChars="0"/>
              <w:rPr>
                <w:sz w:val="24"/>
                <w:szCs w:val="24"/>
                <w:highlight w:val="none"/>
              </w:rPr>
            </w:pPr>
          </w:p>
        </w:tc>
        <w:tc>
          <w:tcPr>
            <w:tcW w:w="2752" w:type="dxa"/>
            <w:vAlign w:val="center"/>
          </w:tcPr>
          <w:p>
            <w:pPr>
              <w:pStyle w:val="75"/>
              <w:keepNext/>
              <w:spacing w:line="240" w:lineRule="auto"/>
              <w:ind w:firstLine="0" w:firstLineChars="0"/>
              <w:rPr>
                <w:sz w:val="24"/>
                <w:szCs w:val="24"/>
                <w:highlight w:val="none"/>
              </w:rPr>
            </w:pPr>
          </w:p>
        </w:tc>
      </w:tr>
      <w:tr>
        <w:tblPrEx>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719" w:type="dxa"/>
            <w:vAlign w:val="center"/>
          </w:tcPr>
          <w:p>
            <w:pPr>
              <w:pStyle w:val="19"/>
              <w:ind w:firstLine="0" w:firstLineChars="0"/>
              <w:jc w:val="center"/>
              <w:rPr>
                <w:rFonts w:ascii="Times New Roman" w:hAnsi="Times New Roman" w:eastAsia="宋体" w:cs="Times New Roman"/>
                <w:spacing w:val="4"/>
                <w:sz w:val="24"/>
                <w:szCs w:val="24"/>
                <w:highlight w:val="none"/>
              </w:rPr>
            </w:pPr>
            <w:r>
              <w:rPr>
                <w:rFonts w:hint="eastAsia" w:ascii="Times New Roman" w:hAnsi="Times New Roman" w:eastAsia="宋体" w:cs="Times New Roman"/>
                <w:spacing w:val="4"/>
                <w:sz w:val="24"/>
                <w:szCs w:val="24"/>
                <w:highlight w:val="none"/>
              </w:rPr>
              <w:t>1</w:t>
            </w:r>
          </w:p>
        </w:tc>
        <w:tc>
          <w:tcPr>
            <w:tcW w:w="2538" w:type="dxa"/>
            <w:vAlign w:val="center"/>
          </w:tcPr>
          <w:p>
            <w:pPr>
              <w:pStyle w:val="19"/>
              <w:ind w:firstLine="0" w:firstLineChars="0"/>
              <w:rPr>
                <w:rFonts w:ascii="Times New Roman" w:hAnsi="Times New Roman" w:eastAsia="宋体" w:cs="Times New Roman"/>
                <w:spacing w:val="4"/>
                <w:sz w:val="24"/>
                <w:szCs w:val="24"/>
                <w:highlight w:val="none"/>
              </w:rPr>
            </w:pPr>
            <w:r>
              <w:rPr>
                <w:rFonts w:hint="eastAsia" w:ascii="Times New Roman" w:hAnsi="Times New Roman" w:eastAsia="宋体" w:cs="Times New Roman"/>
                <w:spacing w:val="4"/>
                <w:sz w:val="24"/>
                <w:szCs w:val="24"/>
                <w:highlight w:val="none"/>
              </w:rPr>
              <w:t>寺坪锚地</w:t>
            </w:r>
          </w:p>
        </w:tc>
        <w:tc>
          <w:tcPr>
            <w:tcW w:w="1601" w:type="dxa"/>
            <w:vAlign w:val="center"/>
          </w:tcPr>
          <w:p>
            <w:pPr>
              <w:pStyle w:val="75"/>
              <w:keepNext/>
              <w:ind w:firstLine="0" w:firstLineChars="0"/>
              <w:rPr>
                <w:sz w:val="24"/>
                <w:szCs w:val="24"/>
                <w:highlight w:val="none"/>
              </w:rPr>
            </w:pPr>
            <w:r>
              <w:rPr>
                <w:rFonts w:hint="eastAsia"/>
                <w:sz w:val="24"/>
                <w:szCs w:val="24"/>
                <w:highlight w:val="none"/>
              </w:rPr>
              <w:t>4</w:t>
            </w:r>
            <w:r>
              <w:rPr>
                <w:sz w:val="24"/>
                <w:szCs w:val="24"/>
                <w:highlight w:val="none"/>
              </w:rPr>
              <w:t>00</w:t>
            </w:r>
          </w:p>
        </w:tc>
        <w:tc>
          <w:tcPr>
            <w:tcW w:w="1483" w:type="dxa"/>
            <w:vAlign w:val="center"/>
          </w:tcPr>
          <w:p>
            <w:pPr>
              <w:pStyle w:val="75"/>
              <w:keepNext/>
              <w:ind w:firstLine="0" w:firstLineChars="0"/>
              <w:rPr>
                <w:sz w:val="24"/>
                <w:szCs w:val="24"/>
                <w:highlight w:val="none"/>
              </w:rPr>
            </w:pPr>
            <w:r>
              <w:rPr>
                <w:rFonts w:hint="eastAsia"/>
                <w:sz w:val="24"/>
                <w:szCs w:val="24"/>
                <w:highlight w:val="none"/>
              </w:rPr>
              <w:t>6</w:t>
            </w:r>
            <w:r>
              <w:rPr>
                <w:sz w:val="24"/>
                <w:szCs w:val="24"/>
                <w:highlight w:val="none"/>
              </w:rPr>
              <w:t>0</w:t>
            </w:r>
          </w:p>
        </w:tc>
        <w:tc>
          <w:tcPr>
            <w:tcW w:w="2752" w:type="dxa"/>
            <w:vAlign w:val="center"/>
          </w:tcPr>
          <w:p>
            <w:pPr>
              <w:pStyle w:val="75"/>
              <w:keepNext/>
              <w:spacing w:line="240" w:lineRule="auto"/>
              <w:ind w:firstLine="0" w:firstLineChars="0"/>
              <w:rPr>
                <w:sz w:val="24"/>
                <w:szCs w:val="24"/>
                <w:highlight w:val="none"/>
              </w:rPr>
            </w:pPr>
            <w:r>
              <w:rPr>
                <w:rFonts w:hint="eastAsia"/>
                <w:sz w:val="24"/>
                <w:szCs w:val="24"/>
                <w:highlight w:val="none"/>
              </w:rPr>
              <w:t>大渡河铜街子库区</w:t>
            </w:r>
          </w:p>
        </w:tc>
      </w:tr>
      <w:tr>
        <w:tblPrEx>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719" w:type="dxa"/>
            <w:vAlign w:val="center"/>
          </w:tcPr>
          <w:p>
            <w:pPr>
              <w:pStyle w:val="19"/>
              <w:ind w:firstLine="0" w:firstLineChars="0"/>
              <w:jc w:val="center"/>
              <w:rPr>
                <w:rFonts w:ascii="Times New Roman" w:hAnsi="Times New Roman" w:eastAsia="宋体" w:cs="Times New Roman"/>
                <w:spacing w:val="4"/>
                <w:sz w:val="24"/>
                <w:szCs w:val="24"/>
                <w:highlight w:val="none"/>
              </w:rPr>
            </w:pPr>
            <w:r>
              <w:rPr>
                <w:rFonts w:hint="eastAsia" w:ascii="Times New Roman" w:hAnsi="Times New Roman" w:eastAsia="宋体" w:cs="Times New Roman"/>
                <w:spacing w:val="4"/>
                <w:sz w:val="24"/>
                <w:szCs w:val="24"/>
                <w:highlight w:val="none"/>
              </w:rPr>
              <w:t>四</w:t>
            </w:r>
          </w:p>
        </w:tc>
        <w:tc>
          <w:tcPr>
            <w:tcW w:w="2538" w:type="dxa"/>
            <w:vAlign w:val="center"/>
          </w:tcPr>
          <w:p>
            <w:pPr>
              <w:pStyle w:val="19"/>
              <w:ind w:firstLine="0" w:firstLineChars="0"/>
              <w:rPr>
                <w:rFonts w:ascii="Times New Roman" w:hAnsi="Times New Roman" w:eastAsia="宋体" w:cs="Times New Roman"/>
                <w:spacing w:val="4"/>
                <w:sz w:val="24"/>
                <w:szCs w:val="24"/>
                <w:highlight w:val="none"/>
              </w:rPr>
            </w:pPr>
            <w:r>
              <w:rPr>
                <w:rFonts w:ascii="Times New Roman" w:hAnsi="Times New Roman" w:eastAsia="宋体" w:cs="Times New Roman"/>
                <w:spacing w:val="4"/>
                <w:sz w:val="24"/>
                <w:szCs w:val="24"/>
                <w:highlight w:val="none"/>
              </w:rPr>
              <w:t>沙湾港区</w:t>
            </w:r>
          </w:p>
        </w:tc>
        <w:tc>
          <w:tcPr>
            <w:tcW w:w="1601" w:type="dxa"/>
            <w:vAlign w:val="center"/>
          </w:tcPr>
          <w:p>
            <w:pPr>
              <w:pStyle w:val="75"/>
              <w:keepNext/>
              <w:ind w:firstLine="0" w:firstLineChars="0"/>
              <w:rPr>
                <w:sz w:val="24"/>
                <w:szCs w:val="24"/>
                <w:highlight w:val="none"/>
              </w:rPr>
            </w:pPr>
          </w:p>
        </w:tc>
        <w:tc>
          <w:tcPr>
            <w:tcW w:w="1483" w:type="dxa"/>
            <w:vAlign w:val="center"/>
          </w:tcPr>
          <w:p>
            <w:pPr>
              <w:pStyle w:val="75"/>
              <w:keepNext/>
              <w:ind w:firstLine="0" w:firstLineChars="0"/>
              <w:rPr>
                <w:sz w:val="24"/>
                <w:szCs w:val="24"/>
                <w:highlight w:val="none"/>
              </w:rPr>
            </w:pPr>
          </w:p>
        </w:tc>
        <w:tc>
          <w:tcPr>
            <w:tcW w:w="2752" w:type="dxa"/>
            <w:vAlign w:val="center"/>
          </w:tcPr>
          <w:p>
            <w:pPr>
              <w:pStyle w:val="75"/>
              <w:keepNext/>
              <w:ind w:firstLine="0" w:firstLineChars="0"/>
              <w:rPr>
                <w:b/>
                <w:sz w:val="24"/>
                <w:szCs w:val="24"/>
                <w:highlight w:val="none"/>
              </w:rPr>
            </w:pPr>
          </w:p>
        </w:tc>
      </w:tr>
      <w:tr>
        <w:tblPrEx>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719" w:type="dxa"/>
            <w:vAlign w:val="center"/>
          </w:tcPr>
          <w:p>
            <w:pPr>
              <w:pStyle w:val="19"/>
              <w:ind w:firstLine="0" w:firstLineChars="0"/>
              <w:jc w:val="center"/>
              <w:rPr>
                <w:rFonts w:ascii="Times New Roman" w:hAnsi="Times New Roman" w:eastAsia="宋体" w:cs="Times New Roman"/>
                <w:spacing w:val="4"/>
                <w:sz w:val="24"/>
                <w:szCs w:val="24"/>
                <w:highlight w:val="none"/>
              </w:rPr>
            </w:pPr>
            <w:r>
              <w:rPr>
                <w:rFonts w:ascii="Times New Roman" w:hAnsi="Times New Roman" w:eastAsia="宋体" w:cs="Times New Roman"/>
                <w:spacing w:val="4"/>
                <w:sz w:val="24"/>
                <w:szCs w:val="24"/>
                <w:highlight w:val="none"/>
              </w:rPr>
              <w:t>1</w:t>
            </w:r>
          </w:p>
        </w:tc>
        <w:tc>
          <w:tcPr>
            <w:tcW w:w="2538" w:type="dxa"/>
            <w:vAlign w:val="center"/>
          </w:tcPr>
          <w:p>
            <w:pPr>
              <w:pStyle w:val="19"/>
              <w:ind w:firstLine="0" w:firstLineChars="0"/>
              <w:rPr>
                <w:rFonts w:ascii="Times New Roman" w:hAnsi="Times New Roman" w:eastAsia="宋体" w:cs="Times New Roman"/>
                <w:spacing w:val="4"/>
                <w:sz w:val="24"/>
                <w:szCs w:val="24"/>
                <w:highlight w:val="none"/>
              </w:rPr>
            </w:pPr>
            <w:r>
              <w:rPr>
                <w:rFonts w:hint="eastAsia" w:ascii="Times New Roman" w:hAnsi="Times New Roman" w:eastAsia="宋体" w:cs="Times New Roman"/>
                <w:spacing w:val="4"/>
                <w:sz w:val="24"/>
                <w:szCs w:val="24"/>
                <w:highlight w:val="none"/>
              </w:rPr>
              <w:t>龙拖坝锚地</w:t>
            </w:r>
          </w:p>
        </w:tc>
        <w:tc>
          <w:tcPr>
            <w:tcW w:w="1601" w:type="dxa"/>
            <w:vAlign w:val="center"/>
          </w:tcPr>
          <w:p>
            <w:pPr>
              <w:pStyle w:val="75"/>
              <w:keepNext/>
              <w:ind w:firstLine="0" w:firstLineChars="0"/>
              <w:rPr>
                <w:sz w:val="24"/>
                <w:szCs w:val="24"/>
                <w:highlight w:val="none"/>
              </w:rPr>
            </w:pPr>
            <w:r>
              <w:rPr>
                <w:rFonts w:hint="eastAsia"/>
                <w:sz w:val="24"/>
                <w:szCs w:val="24"/>
                <w:highlight w:val="none"/>
              </w:rPr>
              <w:t>5</w:t>
            </w:r>
            <w:r>
              <w:rPr>
                <w:sz w:val="24"/>
                <w:szCs w:val="24"/>
                <w:highlight w:val="none"/>
              </w:rPr>
              <w:t>00</w:t>
            </w:r>
          </w:p>
        </w:tc>
        <w:tc>
          <w:tcPr>
            <w:tcW w:w="1483" w:type="dxa"/>
            <w:vAlign w:val="center"/>
          </w:tcPr>
          <w:p>
            <w:pPr>
              <w:pStyle w:val="75"/>
              <w:keepNext/>
              <w:ind w:firstLine="0" w:firstLineChars="0"/>
              <w:rPr>
                <w:sz w:val="24"/>
                <w:szCs w:val="24"/>
                <w:highlight w:val="none"/>
              </w:rPr>
            </w:pPr>
            <w:r>
              <w:rPr>
                <w:rFonts w:hint="eastAsia"/>
                <w:sz w:val="24"/>
                <w:szCs w:val="24"/>
                <w:highlight w:val="none"/>
              </w:rPr>
              <w:t>6</w:t>
            </w:r>
            <w:r>
              <w:rPr>
                <w:sz w:val="24"/>
                <w:szCs w:val="24"/>
                <w:highlight w:val="none"/>
              </w:rPr>
              <w:t>0</w:t>
            </w:r>
          </w:p>
        </w:tc>
        <w:tc>
          <w:tcPr>
            <w:tcW w:w="2752" w:type="dxa"/>
            <w:vAlign w:val="center"/>
          </w:tcPr>
          <w:p>
            <w:pPr>
              <w:pStyle w:val="75"/>
              <w:keepNext/>
              <w:spacing w:line="240" w:lineRule="auto"/>
              <w:ind w:firstLine="0" w:firstLineChars="0"/>
              <w:rPr>
                <w:sz w:val="24"/>
                <w:szCs w:val="24"/>
                <w:highlight w:val="none"/>
              </w:rPr>
            </w:pPr>
            <w:r>
              <w:rPr>
                <w:rFonts w:hint="eastAsia"/>
                <w:sz w:val="24"/>
                <w:szCs w:val="24"/>
                <w:highlight w:val="none"/>
              </w:rPr>
              <w:t>大渡河铜街子库区</w:t>
            </w:r>
          </w:p>
        </w:tc>
      </w:tr>
      <w:tr>
        <w:tblPrEx>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719" w:type="dxa"/>
            <w:vAlign w:val="center"/>
          </w:tcPr>
          <w:p>
            <w:pPr>
              <w:pStyle w:val="19"/>
              <w:ind w:firstLine="0" w:firstLineChars="0"/>
              <w:jc w:val="center"/>
              <w:rPr>
                <w:rFonts w:ascii="Times New Roman" w:hAnsi="Times New Roman" w:eastAsia="宋体" w:cs="Times New Roman"/>
                <w:spacing w:val="4"/>
                <w:sz w:val="24"/>
                <w:szCs w:val="24"/>
                <w:highlight w:val="none"/>
              </w:rPr>
            </w:pPr>
            <w:r>
              <w:rPr>
                <w:rFonts w:ascii="Times New Roman" w:hAnsi="Times New Roman" w:eastAsia="宋体" w:cs="Times New Roman"/>
                <w:spacing w:val="4"/>
                <w:sz w:val="24"/>
                <w:szCs w:val="24"/>
                <w:highlight w:val="none"/>
              </w:rPr>
              <w:t>2</w:t>
            </w:r>
          </w:p>
        </w:tc>
        <w:tc>
          <w:tcPr>
            <w:tcW w:w="2538" w:type="dxa"/>
            <w:vAlign w:val="center"/>
          </w:tcPr>
          <w:p>
            <w:pPr>
              <w:pStyle w:val="19"/>
              <w:ind w:firstLine="0" w:firstLineChars="0"/>
              <w:rPr>
                <w:rFonts w:ascii="Times New Roman" w:hAnsi="Times New Roman" w:eastAsia="宋体" w:cs="Times New Roman"/>
                <w:szCs w:val="28"/>
                <w:highlight w:val="none"/>
              </w:rPr>
            </w:pPr>
            <w:r>
              <w:rPr>
                <w:rFonts w:hint="eastAsia" w:ascii="Times New Roman" w:hAnsi="Times New Roman" w:eastAsia="宋体" w:cs="Times New Roman"/>
                <w:spacing w:val="4"/>
                <w:sz w:val="24"/>
                <w:szCs w:val="24"/>
                <w:highlight w:val="none"/>
              </w:rPr>
              <w:t>代湾</w:t>
            </w:r>
            <w:r>
              <w:rPr>
                <w:rFonts w:ascii="Times New Roman" w:hAnsi="Times New Roman" w:eastAsia="宋体" w:cs="Times New Roman"/>
                <w:spacing w:val="4"/>
                <w:sz w:val="24"/>
                <w:szCs w:val="24"/>
                <w:highlight w:val="none"/>
              </w:rPr>
              <w:t>锚地</w:t>
            </w:r>
          </w:p>
        </w:tc>
        <w:tc>
          <w:tcPr>
            <w:tcW w:w="1601" w:type="dxa"/>
            <w:vAlign w:val="center"/>
          </w:tcPr>
          <w:p>
            <w:pPr>
              <w:pStyle w:val="75"/>
              <w:keepNext/>
              <w:ind w:firstLine="0" w:firstLineChars="0"/>
              <w:rPr>
                <w:sz w:val="24"/>
                <w:szCs w:val="24"/>
                <w:highlight w:val="none"/>
              </w:rPr>
            </w:pPr>
            <w:r>
              <w:rPr>
                <w:sz w:val="24"/>
                <w:szCs w:val="24"/>
                <w:highlight w:val="none"/>
              </w:rPr>
              <w:t>200</w:t>
            </w:r>
          </w:p>
        </w:tc>
        <w:tc>
          <w:tcPr>
            <w:tcW w:w="1483" w:type="dxa"/>
            <w:vAlign w:val="center"/>
          </w:tcPr>
          <w:p>
            <w:pPr>
              <w:pStyle w:val="75"/>
              <w:keepNext/>
              <w:ind w:firstLine="0" w:firstLineChars="0"/>
              <w:rPr>
                <w:sz w:val="24"/>
                <w:szCs w:val="24"/>
                <w:highlight w:val="none"/>
              </w:rPr>
            </w:pPr>
            <w:r>
              <w:rPr>
                <w:sz w:val="24"/>
                <w:szCs w:val="24"/>
                <w:highlight w:val="none"/>
              </w:rPr>
              <w:t>200</w:t>
            </w:r>
          </w:p>
        </w:tc>
        <w:tc>
          <w:tcPr>
            <w:tcW w:w="2752" w:type="dxa"/>
            <w:vAlign w:val="center"/>
          </w:tcPr>
          <w:p>
            <w:pPr>
              <w:pStyle w:val="75"/>
              <w:keepNext/>
              <w:spacing w:line="240" w:lineRule="auto"/>
              <w:ind w:firstLine="0" w:firstLineChars="0"/>
              <w:rPr>
                <w:sz w:val="24"/>
                <w:szCs w:val="24"/>
                <w:highlight w:val="none"/>
              </w:rPr>
            </w:pPr>
            <w:r>
              <w:rPr>
                <w:rFonts w:hint="eastAsia"/>
                <w:sz w:val="24"/>
                <w:szCs w:val="24"/>
                <w:highlight w:val="none"/>
              </w:rPr>
              <w:t>大渡河龚嘴库区</w:t>
            </w:r>
          </w:p>
        </w:tc>
      </w:tr>
      <w:tr>
        <w:tblPrEx>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719" w:type="dxa"/>
            <w:vAlign w:val="center"/>
          </w:tcPr>
          <w:p>
            <w:pPr>
              <w:pStyle w:val="19"/>
              <w:ind w:firstLine="0" w:firstLineChars="0"/>
              <w:jc w:val="center"/>
              <w:rPr>
                <w:rFonts w:ascii="Times New Roman" w:hAnsi="Times New Roman" w:eastAsia="宋体" w:cs="Times New Roman"/>
                <w:spacing w:val="4"/>
                <w:sz w:val="24"/>
                <w:szCs w:val="24"/>
                <w:highlight w:val="none"/>
              </w:rPr>
            </w:pPr>
            <w:r>
              <w:rPr>
                <w:rFonts w:hint="eastAsia" w:ascii="Times New Roman" w:hAnsi="Times New Roman" w:eastAsia="宋体" w:cs="Times New Roman"/>
                <w:spacing w:val="4"/>
                <w:sz w:val="24"/>
                <w:szCs w:val="24"/>
                <w:highlight w:val="none"/>
              </w:rPr>
              <w:t>3</w:t>
            </w:r>
          </w:p>
        </w:tc>
        <w:tc>
          <w:tcPr>
            <w:tcW w:w="2538" w:type="dxa"/>
            <w:vAlign w:val="center"/>
          </w:tcPr>
          <w:p>
            <w:pPr>
              <w:pStyle w:val="19"/>
              <w:ind w:firstLine="0" w:firstLineChars="0"/>
              <w:rPr>
                <w:rFonts w:ascii="Times New Roman" w:hAnsi="Times New Roman" w:eastAsia="宋体" w:cs="Times New Roman"/>
                <w:spacing w:val="4"/>
                <w:sz w:val="24"/>
                <w:szCs w:val="24"/>
                <w:highlight w:val="none"/>
              </w:rPr>
            </w:pPr>
            <w:r>
              <w:rPr>
                <w:rFonts w:hint="eastAsia" w:ascii="Times New Roman" w:hAnsi="Times New Roman" w:eastAsia="宋体" w:cs="Times New Roman"/>
                <w:spacing w:val="4"/>
                <w:sz w:val="24"/>
                <w:szCs w:val="24"/>
                <w:highlight w:val="none"/>
              </w:rPr>
              <w:t>易坝锚地</w:t>
            </w:r>
          </w:p>
        </w:tc>
        <w:tc>
          <w:tcPr>
            <w:tcW w:w="1601" w:type="dxa"/>
            <w:vAlign w:val="center"/>
          </w:tcPr>
          <w:p>
            <w:pPr>
              <w:pStyle w:val="75"/>
              <w:keepNext/>
              <w:ind w:firstLine="0" w:firstLineChars="0"/>
              <w:rPr>
                <w:sz w:val="24"/>
                <w:szCs w:val="24"/>
                <w:highlight w:val="none"/>
              </w:rPr>
            </w:pPr>
            <w:r>
              <w:rPr>
                <w:rFonts w:hint="eastAsia"/>
                <w:sz w:val="24"/>
                <w:szCs w:val="24"/>
                <w:highlight w:val="none"/>
              </w:rPr>
              <w:t>5</w:t>
            </w:r>
            <w:r>
              <w:rPr>
                <w:sz w:val="24"/>
                <w:szCs w:val="24"/>
                <w:highlight w:val="none"/>
              </w:rPr>
              <w:t>50</w:t>
            </w:r>
          </w:p>
        </w:tc>
        <w:tc>
          <w:tcPr>
            <w:tcW w:w="1483" w:type="dxa"/>
            <w:vAlign w:val="center"/>
          </w:tcPr>
          <w:p>
            <w:pPr>
              <w:pStyle w:val="75"/>
              <w:keepNext/>
              <w:ind w:firstLine="0" w:firstLineChars="0"/>
              <w:rPr>
                <w:sz w:val="24"/>
                <w:szCs w:val="24"/>
                <w:highlight w:val="none"/>
              </w:rPr>
            </w:pPr>
            <w:r>
              <w:rPr>
                <w:rFonts w:hint="eastAsia"/>
                <w:sz w:val="24"/>
                <w:szCs w:val="24"/>
                <w:highlight w:val="none"/>
              </w:rPr>
              <w:t>9</w:t>
            </w:r>
            <w:r>
              <w:rPr>
                <w:sz w:val="24"/>
                <w:szCs w:val="24"/>
                <w:highlight w:val="none"/>
              </w:rPr>
              <w:t>0</w:t>
            </w:r>
          </w:p>
        </w:tc>
        <w:tc>
          <w:tcPr>
            <w:tcW w:w="2752" w:type="dxa"/>
            <w:vAlign w:val="center"/>
          </w:tcPr>
          <w:p>
            <w:pPr>
              <w:pStyle w:val="75"/>
              <w:keepNext/>
              <w:spacing w:line="240" w:lineRule="auto"/>
              <w:ind w:firstLine="0" w:firstLineChars="0"/>
              <w:rPr>
                <w:sz w:val="24"/>
                <w:szCs w:val="24"/>
                <w:highlight w:val="none"/>
              </w:rPr>
            </w:pPr>
            <w:r>
              <w:rPr>
                <w:rFonts w:hint="eastAsia"/>
                <w:sz w:val="24"/>
                <w:szCs w:val="24"/>
                <w:highlight w:val="none"/>
              </w:rPr>
              <w:t>大渡河龚嘴库区</w:t>
            </w:r>
          </w:p>
        </w:tc>
      </w:tr>
      <w:tr>
        <w:tblPrEx>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719" w:type="dxa"/>
            <w:vAlign w:val="center"/>
          </w:tcPr>
          <w:p>
            <w:pPr>
              <w:pStyle w:val="19"/>
              <w:ind w:firstLine="0" w:firstLineChars="0"/>
              <w:jc w:val="center"/>
              <w:rPr>
                <w:rFonts w:ascii="Times New Roman" w:hAnsi="Times New Roman" w:eastAsia="宋体" w:cs="Times New Roman"/>
                <w:spacing w:val="4"/>
                <w:sz w:val="24"/>
                <w:szCs w:val="24"/>
                <w:highlight w:val="none"/>
              </w:rPr>
            </w:pPr>
            <w:r>
              <w:rPr>
                <w:rFonts w:hint="eastAsia" w:ascii="Times New Roman" w:hAnsi="Times New Roman" w:eastAsia="宋体" w:cs="Times New Roman"/>
                <w:spacing w:val="4"/>
                <w:sz w:val="24"/>
                <w:szCs w:val="24"/>
                <w:highlight w:val="none"/>
              </w:rPr>
              <w:t>五</w:t>
            </w:r>
          </w:p>
        </w:tc>
        <w:tc>
          <w:tcPr>
            <w:tcW w:w="2538" w:type="dxa"/>
            <w:vAlign w:val="center"/>
          </w:tcPr>
          <w:p>
            <w:pPr>
              <w:pStyle w:val="19"/>
              <w:ind w:firstLine="0" w:firstLineChars="0"/>
              <w:rPr>
                <w:rFonts w:ascii="Times New Roman" w:hAnsi="Times New Roman" w:eastAsia="宋体" w:cs="Times New Roman"/>
                <w:spacing w:val="4"/>
                <w:sz w:val="24"/>
                <w:szCs w:val="24"/>
                <w:highlight w:val="none"/>
              </w:rPr>
            </w:pPr>
            <w:r>
              <w:rPr>
                <w:rFonts w:hint="eastAsia" w:ascii="Times New Roman" w:hAnsi="Times New Roman" w:eastAsia="宋体" w:cs="Times New Roman"/>
                <w:spacing w:val="4"/>
                <w:sz w:val="24"/>
                <w:szCs w:val="24"/>
                <w:highlight w:val="none"/>
              </w:rPr>
              <w:t>峨边港点</w:t>
            </w:r>
          </w:p>
        </w:tc>
        <w:tc>
          <w:tcPr>
            <w:tcW w:w="1601" w:type="dxa"/>
            <w:vAlign w:val="center"/>
          </w:tcPr>
          <w:p>
            <w:pPr>
              <w:pStyle w:val="75"/>
              <w:keepNext/>
              <w:ind w:firstLine="0" w:firstLineChars="0"/>
              <w:rPr>
                <w:sz w:val="24"/>
                <w:szCs w:val="24"/>
                <w:highlight w:val="none"/>
              </w:rPr>
            </w:pPr>
          </w:p>
        </w:tc>
        <w:tc>
          <w:tcPr>
            <w:tcW w:w="1483" w:type="dxa"/>
            <w:vAlign w:val="center"/>
          </w:tcPr>
          <w:p>
            <w:pPr>
              <w:pStyle w:val="75"/>
              <w:keepNext/>
              <w:ind w:firstLine="0" w:firstLineChars="0"/>
              <w:rPr>
                <w:sz w:val="24"/>
                <w:szCs w:val="24"/>
                <w:highlight w:val="none"/>
              </w:rPr>
            </w:pPr>
          </w:p>
        </w:tc>
        <w:tc>
          <w:tcPr>
            <w:tcW w:w="2752" w:type="dxa"/>
            <w:vAlign w:val="center"/>
          </w:tcPr>
          <w:p>
            <w:pPr>
              <w:pStyle w:val="75"/>
              <w:keepNext/>
              <w:spacing w:line="240" w:lineRule="auto"/>
              <w:ind w:firstLine="0" w:firstLineChars="0"/>
              <w:rPr>
                <w:sz w:val="24"/>
                <w:szCs w:val="24"/>
                <w:highlight w:val="none"/>
              </w:rPr>
            </w:pPr>
          </w:p>
        </w:tc>
      </w:tr>
      <w:tr>
        <w:tblPrEx>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719" w:type="dxa"/>
            <w:vAlign w:val="center"/>
          </w:tcPr>
          <w:p>
            <w:pPr>
              <w:pStyle w:val="19"/>
              <w:ind w:firstLine="0" w:firstLineChars="0"/>
              <w:jc w:val="center"/>
              <w:rPr>
                <w:rFonts w:ascii="Times New Roman" w:hAnsi="Times New Roman" w:eastAsia="宋体" w:cs="Times New Roman"/>
                <w:spacing w:val="4"/>
                <w:sz w:val="24"/>
                <w:szCs w:val="24"/>
                <w:highlight w:val="none"/>
              </w:rPr>
            </w:pPr>
            <w:r>
              <w:rPr>
                <w:rFonts w:ascii="Times New Roman" w:hAnsi="Times New Roman" w:eastAsia="宋体" w:cs="Times New Roman"/>
                <w:spacing w:val="4"/>
                <w:sz w:val="24"/>
                <w:szCs w:val="24"/>
                <w:highlight w:val="none"/>
              </w:rPr>
              <w:t>1</w:t>
            </w:r>
          </w:p>
        </w:tc>
        <w:tc>
          <w:tcPr>
            <w:tcW w:w="2538" w:type="dxa"/>
            <w:vAlign w:val="center"/>
          </w:tcPr>
          <w:p>
            <w:pPr>
              <w:pStyle w:val="19"/>
              <w:ind w:firstLine="0" w:firstLineChars="0"/>
              <w:rPr>
                <w:rFonts w:ascii="Times New Roman" w:hAnsi="Times New Roman" w:eastAsia="宋体" w:cs="Times New Roman"/>
                <w:spacing w:val="4"/>
                <w:sz w:val="24"/>
                <w:szCs w:val="24"/>
                <w:highlight w:val="none"/>
              </w:rPr>
            </w:pPr>
            <w:r>
              <w:rPr>
                <w:rFonts w:hint="eastAsia" w:ascii="Times New Roman" w:hAnsi="Times New Roman" w:eastAsia="宋体" w:cs="Times New Roman"/>
                <w:spacing w:val="4"/>
                <w:sz w:val="24"/>
                <w:szCs w:val="24"/>
                <w:highlight w:val="none"/>
              </w:rPr>
              <w:t>龙门乡大村锚地</w:t>
            </w:r>
          </w:p>
        </w:tc>
        <w:tc>
          <w:tcPr>
            <w:tcW w:w="1601" w:type="dxa"/>
            <w:vAlign w:val="center"/>
          </w:tcPr>
          <w:p>
            <w:pPr>
              <w:pStyle w:val="75"/>
              <w:keepNext/>
              <w:ind w:firstLine="0" w:firstLineChars="0"/>
              <w:rPr>
                <w:sz w:val="24"/>
                <w:szCs w:val="24"/>
                <w:highlight w:val="none"/>
              </w:rPr>
            </w:pPr>
            <w:r>
              <w:rPr>
                <w:rFonts w:hint="eastAsia"/>
                <w:sz w:val="24"/>
                <w:szCs w:val="24"/>
                <w:highlight w:val="none"/>
              </w:rPr>
              <w:t>2</w:t>
            </w:r>
            <w:r>
              <w:rPr>
                <w:sz w:val="24"/>
                <w:szCs w:val="24"/>
                <w:highlight w:val="none"/>
              </w:rPr>
              <w:t>00</w:t>
            </w:r>
          </w:p>
        </w:tc>
        <w:tc>
          <w:tcPr>
            <w:tcW w:w="1483" w:type="dxa"/>
            <w:vAlign w:val="center"/>
          </w:tcPr>
          <w:p>
            <w:pPr>
              <w:pStyle w:val="75"/>
              <w:keepNext/>
              <w:ind w:firstLine="0" w:firstLineChars="0"/>
              <w:rPr>
                <w:sz w:val="24"/>
                <w:szCs w:val="24"/>
                <w:highlight w:val="none"/>
              </w:rPr>
            </w:pPr>
            <w:r>
              <w:rPr>
                <w:sz w:val="24"/>
                <w:szCs w:val="24"/>
                <w:highlight w:val="none"/>
              </w:rPr>
              <w:t>80</w:t>
            </w:r>
          </w:p>
        </w:tc>
        <w:tc>
          <w:tcPr>
            <w:tcW w:w="2752" w:type="dxa"/>
            <w:vAlign w:val="center"/>
          </w:tcPr>
          <w:p>
            <w:pPr>
              <w:pStyle w:val="75"/>
              <w:keepNext/>
              <w:spacing w:line="240" w:lineRule="auto"/>
              <w:ind w:firstLine="0" w:firstLineChars="0"/>
              <w:rPr>
                <w:sz w:val="24"/>
                <w:szCs w:val="24"/>
                <w:highlight w:val="none"/>
              </w:rPr>
            </w:pPr>
            <w:r>
              <w:rPr>
                <w:rFonts w:hint="eastAsia"/>
                <w:sz w:val="24"/>
                <w:szCs w:val="24"/>
                <w:highlight w:val="none"/>
              </w:rPr>
              <w:t>大渡河龚嘴库区</w:t>
            </w:r>
          </w:p>
          <w:p>
            <w:pPr>
              <w:pStyle w:val="75"/>
              <w:keepNext/>
              <w:spacing w:line="240" w:lineRule="auto"/>
              <w:ind w:firstLine="0" w:firstLineChars="0"/>
              <w:rPr>
                <w:sz w:val="24"/>
                <w:szCs w:val="24"/>
                <w:highlight w:val="none"/>
              </w:rPr>
            </w:pPr>
          </w:p>
        </w:tc>
      </w:tr>
    </w:tbl>
    <w:p>
      <w:pPr>
        <w:spacing w:before="156" w:beforeLines="50" w:after="156" w:afterLines="50" w:line="520" w:lineRule="exact"/>
        <w:jc w:val="center"/>
        <w:outlineLvl w:val="1"/>
        <w:rPr>
          <w:rFonts w:eastAsia="黑体"/>
          <w:b/>
          <w:sz w:val="30"/>
          <w:highlight w:val="none"/>
        </w:rPr>
      </w:pPr>
      <w:r>
        <w:rPr>
          <w:rFonts w:eastAsia="黑体"/>
          <w:b/>
          <w:sz w:val="30"/>
          <w:highlight w:val="none"/>
        </w:rPr>
        <w:t>第五节港界</w:t>
      </w:r>
      <w:bookmarkEnd w:id="227"/>
      <w:bookmarkEnd w:id="228"/>
    </w:p>
    <w:p>
      <w:pPr>
        <w:pStyle w:val="19"/>
        <w:ind w:firstLine="560"/>
        <w:jc w:val="both"/>
        <w:rPr>
          <w:rFonts w:ascii="Times New Roman" w:hAnsi="Times New Roman" w:eastAsia="宋体" w:cs="Times New Roman"/>
          <w:szCs w:val="28"/>
          <w:highlight w:val="none"/>
        </w:rPr>
      </w:pPr>
      <w:r>
        <w:rPr>
          <w:rFonts w:ascii="Times New Roman" w:hAnsi="Times New Roman" w:eastAsia="宋体" w:cs="Times New Roman"/>
          <w:szCs w:val="28"/>
          <w:highlight w:val="none"/>
        </w:rPr>
        <w:t>明确划分港区与后方陆域的界限，保证港口拥有充足的发展用地，是乐山港可持续发展的重要保障。水域港界的合理划分则有利于有关部门对进出港船舶实施有效的交通管制，以确保船舶航行和锚泊的安全。根据目前港口建设情况、今后港口发展需要及城市规划等要求，确定乐山港港区内各作业区及码头港界。</w:t>
      </w:r>
    </w:p>
    <w:p>
      <w:pPr>
        <w:widowControl/>
        <w:jc w:val="left"/>
        <w:rPr>
          <w:rFonts w:eastAsia="黑体"/>
          <w:spacing w:val="8"/>
          <w:sz w:val="28"/>
          <w:szCs w:val="28"/>
          <w:highlight w:val="none"/>
        </w:rPr>
      </w:pPr>
      <w:r>
        <w:rPr>
          <w:rFonts w:eastAsia="黑体"/>
          <w:spacing w:val="8"/>
          <w:szCs w:val="28"/>
          <w:highlight w:val="none"/>
        </w:rPr>
        <w:br w:type="page"/>
      </w:r>
    </w:p>
    <w:bookmarkEnd w:id="190"/>
    <w:p>
      <w:pPr>
        <w:pStyle w:val="14"/>
        <w:spacing w:before="156" w:beforeLines="50" w:line="520" w:lineRule="exact"/>
        <w:jc w:val="center"/>
        <w:outlineLvl w:val="0"/>
        <w:rPr>
          <w:rFonts w:ascii="Times New Roman" w:hAnsi="Times New Roman" w:eastAsia="黑体" w:cs="Times New Roman"/>
          <w:b/>
          <w:sz w:val="32"/>
          <w:szCs w:val="32"/>
          <w:highlight w:val="none"/>
        </w:rPr>
      </w:pPr>
      <w:bookmarkStart w:id="235" w:name="_Toc39688307"/>
      <w:bookmarkStart w:id="236" w:name="_Toc77781926"/>
      <w:bookmarkStart w:id="237" w:name="_Toc67908293"/>
      <w:r>
        <w:rPr>
          <w:rFonts w:ascii="Times New Roman" w:hAnsi="Times New Roman" w:eastAsia="黑体" w:cs="Times New Roman"/>
          <w:b/>
          <w:sz w:val="32"/>
          <w:szCs w:val="32"/>
          <w:highlight w:val="none"/>
        </w:rPr>
        <w:t>第</w:t>
      </w:r>
      <w:r>
        <w:rPr>
          <w:rFonts w:hint="eastAsia" w:ascii="Times New Roman" w:hAnsi="Times New Roman" w:eastAsia="黑体" w:cs="Times New Roman"/>
          <w:b/>
          <w:sz w:val="32"/>
          <w:szCs w:val="32"/>
          <w:highlight w:val="none"/>
        </w:rPr>
        <w:t>六</w:t>
      </w:r>
      <w:r>
        <w:rPr>
          <w:rFonts w:ascii="Times New Roman" w:hAnsi="Times New Roman" w:eastAsia="黑体" w:cs="Times New Roman"/>
          <w:b/>
          <w:sz w:val="32"/>
          <w:szCs w:val="32"/>
          <w:highlight w:val="none"/>
        </w:rPr>
        <w:t>章 港口配套设施规划</w:t>
      </w:r>
      <w:bookmarkEnd w:id="235"/>
      <w:bookmarkEnd w:id="236"/>
      <w:bookmarkEnd w:id="237"/>
    </w:p>
    <w:p>
      <w:pPr>
        <w:spacing w:before="156" w:beforeLines="50" w:after="156" w:afterLines="50" w:line="520" w:lineRule="exact"/>
        <w:jc w:val="center"/>
        <w:outlineLvl w:val="1"/>
        <w:rPr>
          <w:rFonts w:eastAsia="黑体"/>
          <w:b/>
          <w:sz w:val="30"/>
          <w:highlight w:val="none"/>
        </w:rPr>
      </w:pPr>
      <w:bookmarkStart w:id="238" w:name="_Toc67908294"/>
      <w:bookmarkStart w:id="239" w:name="_Toc77781927"/>
      <w:r>
        <w:rPr>
          <w:rFonts w:eastAsia="黑体"/>
          <w:b/>
          <w:sz w:val="30"/>
          <w:highlight w:val="none"/>
        </w:rPr>
        <w:t>第一节</w:t>
      </w:r>
      <w:r>
        <w:rPr>
          <w:rFonts w:hint="eastAsia" w:eastAsia="黑体"/>
          <w:b/>
          <w:sz w:val="30"/>
          <w:highlight w:val="none"/>
        </w:rPr>
        <w:t xml:space="preserve"> </w:t>
      </w:r>
      <w:r>
        <w:rPr>
          <w:rFonts w:eastAsia="黑体"/>
          <w:b/>
          <w:sz w:val="30"/>
          <w:highlight w:val="none"/>
        </w:rPr>
        <w:t>集疏运规划</w:t>
      </w:r>
      <w:bookmarkEnd w:id="238"/>
      <w:bookmarkEnd w:id="239"/>
    </w:p>
    <w:p>
      <w:pPr>
        <w:pStyle w:val="2"/>
        <w:spacing w:line="360" w:lineRule="auto"/>
        <w:ind w:firstLine="562" w:firstLineChars="200"/>
        <w:rPr>
          <w:rFonts w:ascii="Times New Roman" w:eastAsia="黑体" w:cs="Times New Roman"/>
          <w:b/>
          <w:color w:val="auto"/>
          <w:kern w:val="2"/>
          <w:sz w:val="28"/>
          <w:szCs w:val="28"/>
          <w:highlight w:val="none"/>
        </w:rPr>
      </w:pPr>
      <w:r>
        <w:rPr>
          <w:rFonts w:ascii="Times New Roman" w:eastAsia="黑体" w:cs="Times New Roman"/>
          <w:b/>
          <w:color w:val="auto"/>
          <w:kern w:val="2"/>
          <w:sz w:val="28"/>
          <w:szCs w:val="28"/>
          <w:highlight w:val="none"/>
        </w:rPr>
        <w:t>一、港口与腹地的衔接</w:t>
      </w:r>
    </w:p>
    <w:p>
      <w:pPr>
        <w:pStyle w:val="20"/>
        <w:spacing w:after="0" w:line="360" w:lineRule="auto"/>
        <w:ind w:left="0" w:leftChars="0" w:firstLine="560" w:firstLineChars="200"/>
        <w:rPr>
          <w:rFonts w:ascii="Times New Roman" w:hAnsi="Times New Roman" w:cs="Times New Roman"/>
          <w:bCs/>
          <w:sz w:val="28"/>
          <w:szCs w:val="28"/>
          <w:highlight w:val="none"/>
        </w:rPr>
      </w:pPr>
      <w:r>
        <w:rPr>
          <w:rFonts w:ascii="Times New Roman" w:hAnsi="Times New Roman" w:cs="Times New Roman"/>
          <w:sz w:val="28"/>
          <w:szCs w:val="28"/>
          <w:highlight w:val="none"/>
        </w:rPr>
        <w:t>乐山港</w:t>
      </w:r>
      <w:r>
        <w:rPr>
          <w:rFonts w:ascii="Times New Roman" w:hAnsi="Times New Roman" w:cs="Times New Roman"/>
          <w:bCs/>
          <w:sz w:val="28"/>
          <w:szCs w:val="28"/>
          <w:highlight w:val="none"/>
        </w:rPr>
        <w:t>直接经济腹地为乐山市，间接经济腹地主要包括成都市、德阳市、眉山市、雅安市以及凉山州东北部毗邻地区。集装箱大件生成量主要在成都-德阳一线，干散货运量集中在乐山、眉山等资源富集区。因此，集疏运主通道方向为东北、西北、西南及长江中下游方向。</w:t>
      </w:r>
    </w:p>
    <w:p>
      <w:pPr>
        <w:spacing w:line="360" w:lineRule="auto"/>
        <w:ind w:firstLine="562" w:firstLineChars="200"/>
        <w:rPr>
          <w:b/>
          <w:sz w:val="28"/>
          <w:szCs w:val="28"/>
          <w:highlight w:val="none"/>
        </w:rPr>
      </w:pPr>
      <w:r>
        <w:rPr>
          <w:b/>
          <w:sz w:val="28"/>
          <w:szCs w:val="28"/>
          <w:highlight w:val="none"/>
        </w:rPr>
        <w:t>（一）公路集疏运通道</w:t>
      </w:r>
    </w:p>
    <w:p>
      <w:pPr>
        <w:pStyle w:val="20"/>
        <w:spacing w:after="0" w:line="360" w:lineRule="auto"/>
        <w:ind w:left="0" w:leftChars="0" w:firstLine="560" w:firstLineChars="200"/>
        <w:rPr>
          <w:rFonts w:ascii="Times New Roman" w:hAnsi="Times New Roman" w:cs="Times New Roman"/>
          <w:sz w:val="28"/>
          <w:szCs w:val="28"/>
          <w:highlight w:val="none"/>
        </w:rPr>
      </w:pPr>
      <w:r>
        <w:rPr>
          <w:rFonts w:ascii="Times New Roman" w:hAnsi="Times New Roman" w:cs="Times New Roman"/>
          <w:sz w:val="28"/>
          <w:szCs w:val="28"/>
          <w:highlight w:val="none"/>
        </w:rPr>
        <w:t>乐山港现有六条和腹地衔接的高速公路，即成乐、乐宜、乐雅、乐自、仁沐新高速仁寿至孝姑段、绕城高速，经成乐、乐雅高速公路将乐山港和成都、眉山、德阳、雅安等地连接，经乐宜、乐自高速公路将乐山港和川南经济区相连接；规划期内将新增仁沐新高速、峨汉高速、成乐高速扩容、乐西高速、天府新区经眉山至乐山高速、乐山经资中至重庆铜梁高速公路等。</w:t>
      </w:r>
    </w:p>
    <w:p>
      <w:pPr>
        <w:pStyle w:val="20"/>
        <w:spacing w:after="0" w:line="360" w:lineRule="auto"/>
        <w:ind w:left="0" w:leftChars="0" w:firstLine="560" w:firstLineChars="200"/>
        <w:rPr>
          <w:rFonts w:ascii="Times New Roman" w:hAnsi="Times New Roman" w:cs="Times New Roman"/>
          <w:sz w:val="28"/>
          <w:szCs w:val="28"/>
          <w:highlight w:val="none"/>
        </w:rPr>
      </w:pPr>
      <w:r>
        <w:rPr>
          <w:rFonts w:ascii="Times New Roman" w:hAnsi="Times New Roman" w:cs="Times New Roman"/>
          <w:sz w:val="28"/>
          <w:szCs w:val="28"/>
          <w:highlight w:val="none"/>
        </w:rPr>
        <w:t>现有和规划的高速公路通行能力能够满足港口集疏运需求。乐山市</w:t>
      </w:r>
      <w:r>
        <w:rPr>
          <w:rFonts w:ascii="Times New Roman" w:hAnsi="Times New Roman" w:cs="Times New Roman"/>
          <w:bCs/>
          <w:sz w:val="28"/>
          <w:szCs w:val="28"/>
          <w:highlight w:val="none"/>
        </w:rPr>
        <w:t>、成都市、德阳市、眉山市、雅安市以及凉山州东北部毗邻地区</w:t>
      </w:r>
      <w:r>
        <w:rPr>
          <w:rFonts w:ascii="Times New Roman" w:hAnsi="Times New Roman" w:cs="Times New Roman"/>
          <w:sz w:val="28"/>
          <w:szCs w:val="28"/>
          <w:highlight w:val="none"/>
        </w:rPr>
        <w:t>是乐山港主要的货物生成地，为了充分发挥岷江-长江出川大通道的作用，带动区域经济的发展，建议加快建设仁沐新高速、峨汉高速、成乐高速扩容、乐西高速、天府新区经眉山至乐山高速、乐山经资中至重庆铜梁高速公路，在2025年前形成通车能力。</w:t>
      </w:r>
    </w:p>
    <w:p>
      <w:pPr>
        <w:spacing w:line="360" w:lineRule="auto"/>
        <w:ind w:firstLine="562" w:firstLineChars="200"/>
        <w:rPr>
          <w:b/>
          <w:sz w:val="28"/>
          <w:szCs w:val="28"/>
          <w:highlight w:val="none"/>
        </w:rPr>
      </w:pPr>
      <w:r>
        <w:rPr>
          <w:b/>
          <w:sz w:val="28"/>
          <w:szCs w:val="28"/>
          <w:highlight w:val="none"/>
        </w:rPr>
        <w:t>（二）铁路集疏运通道</w:t>
      </w:r>
    </w:p>
    <w:p>
      <w:pPr>
        <w:pStyle w:val="20"/>
        <w:spacing w:after="0" w:line="360" w:lineRule="auto"/>
        <w:ind w:left="0" w:leftChars="0" w:firstLine="560" w:firstLineChars="200"/>
        <w:rPr>
          <w:rFonts w:ascii="Times New Roman" w:hAnsi="Times New Roman" w:cs="Times New Roman"/>
          <w:sz w:val="28"/>
          <w:szCs w:val="28"/>
          <w:highlight w:val="none"/>
        </w:rPr>
      </w:pPr>
      <w:r>
        <w:rPr>
          <w:rFonts w:ascii="Times New Roman" w:hAnsi="Times New Roman" w:cs="Times New Roman"/>
          <w:sz w:val="28"/>
          <w:szCs w:val="28"/>
          <w:highlight w:val="none"/>
        </w:rPr>
        <w:t>乐山港腹地现有成昆铁路纵贯夹江、峨眉、沙湾、峨边、金河口，年通行能力2000万t，将乐山港和成都平原经济区（成都、眉山、乐山）、凉山州东北部地区（甘洛县、越西县、喜得县）相连接；2018年川藏铁路成雅段开通运营，增加乐山港与成都、眉山、雅安之间的铁路集疏运通道；规划期内将新增成昆铁路扩能改造峨米段、连乐铁路、峨宜铁路，将形成连接乐山港和攀西地区、川南经济区的铁路集疏运通道。建议加快建设川藏铁路，打通西藏地区出海口通道。</w:t>
      </w:r>
    </w:p>
    <w:p>
      <w:pPr>
        <w:pStyle w:val="20"/>
        <w:spacing w:after="0" w:line="360" w:lineRule="auto"/>
        <w:ind w:left="0" w:leftChars="0" w:firstLine="560" w:firstLineChars="200"/>
        <w:rPr>
          <w:rFonts w:ascii="Times New Roman" w:hAnsi="Times New Roman" w:cs="Times New Roman"/>
          <w:sz w:val="28"/>
          <w:szCs w:val="28"/>
          <w:highlight w:val="none"/>
        </w:rPr>
      </w:pPr>
      <w:r>
        <w:rPr>
          <w:rFonts w:ascii="Times New Roman" w:hAnsi="Times New Roman" w:cs="Times New Roman"/>
          <w:sz w:val="28"/>
          <w:szCs w:val="28"/>
          <w:highlight w:val="none"/>
        </w:rPr>
        <w:t>现有铁路和规划铁路通行能力满足规划期乐山港铁路集疏运量的要求，经成都铁路枢纽等沟通全国铁路网，形成顺畅的铁路集疏运网络。</w:t>
      </w:r>
    </w:p>
    <w:p>
      <w:pPr>
        <w:spacing w:line="360" w:lineRule="auto"/>
        <w:ind w:firstLine="562" w:firstLineChars="200"/>
        <w:rPr>
          <w:b/>
          <w:sz w:val="28"/>
          <w:szCs w:val="28"/>
          <w:highlight w:val="none"/>
        </w:rPr>
      </w:pPr>
      <w:r>
        <w:rPr>
          <w:b/>
          <w:sz w:val="28"/>
          <w:szCs w:val="28"/>
          <w:highlight w:val="none"/>
        </w:rPr>
        <w:t>（三）水路集疏运通道</w:t>
      </w:r>
    </w:p>
    <w:p>
      <w:pPr>
        <w:pStyle w:val="20"/>
        <w:spacing w:after="0" w:line="360" w:lineRule="auto"/>
        <w:ind w:left="0" w:leftChars="0" w:firstLine="560" w:firstLineChars="200"/>
        <w:rPr>
          <w:rFonts w:ascii="Times New Roman" w:hAnsi="Times New Roman" w:cs="Times New Roman"/>
          <w:sz w:val="28"/>
          <w:szCs w:val="28"/>
          <w:highlight w:val="none"/>
        </w:rPr>
      </w:pPr>
      <w:r>
        <w:rPr>
          <w:rFonts w:ascii="Times New Roman" w:hAnsi="Times New Roman" w:cs="Times New Roman"/>
          <w:sz w:val="28"/>
          <w:szCs w:val="28"/>
          <w:highlight w:val="none"/>
        </w:rPr>
        <w:t>乐山港所依托的疏港航道有长江、岷江、大渡河三条航道，目前岷江、大渡河航道等级较低，制约了乐山港的发展。</w:t>
      </w:r>
    </w:p>
    <w:p>
      <w:pPr>
        <w:pStyle w:val="20"/>
        <w:spacing w:after="0" w:line="360" w:lineRule="auto"/>
        <w:ind w:left="0" w:leftChars="0" w:firstLine="560" w:firstLineChars="200"/>
        <w:rPr>
          <w:rFonts w:ascii="Times New Roman" w:hAnsi="Times New Roman" w:cs="Times New Roman"/>
          <w:sz w:val="28"/>
          <w:szCs w:val="28"/>
          <w:highlight w:val="none"/>
        </w:rPr>
      </w:pPr>
      <w:r>
        <w:rPr>
          <w:rFonts w:ascii="Times New Roman" w:hAnsi="Times New Roman" w:cs="Times New Roman"/>
          <w:sz w:val="28"/>
          <w:szCs w:val="28"/>
          <w:highlight w:val="none"/>
        </w:rPr>
        <w:t>目前，长江宜宾至泸州（彩溪口）228km已建成Ⅲ级航道。至2025年长江水富至宜宾30km达到Ⅲ级航道标准，长江宜宾至泸州（彩溪口）228km达到满足2000t级通行的Ⅱ级航道标准；至2035年长江水富至宜宾30km达到满足2000t级通行的Ⅱ级航道标准，长江宜宾至泸州（彩溪口）228km达到满足5000t级通行的I级航道标准。通过岷江经长江沟通长江中下游地区和“长三角港口群”，形成通江达海的水路集疏运网络。</w:t>
      </w:r>
    </w:p>
    <w:p>
      <w:pPr>
        <w:pStyle w:val="20"/>
        <w:spacing w:after="0" w:line="360" w:lineRule="auto"/>
        <w:ind w:left="0" w:leftChars="0" w:firstLine="560" w:firstLineChars="200"/>
        <w:rPr>
          <w:rFonts w:ascii="Times New Roman" w:hAnsi="Times New Roman" w:cs="Times New Roman"/>
          <w:sz w:val="28"/>
          <w:szCs w:val="28"/>
          <w:highlight w:val="none"/>
        </w:rPr>
      </w:pPr>
      <w:r>
        <w:rPr>
          <w:rFonts w:ascii="Times New Roman" w:hAnsi="Times New Roman" w:cs="Times New Roman"/>
          <w:sz w:val="28"/>
          <w:szCs w:val="28"/>
          <w:highlight w:val="none"/>
        </w:rPr>
        <w:t>岷江（乐山～宜宾段）以航运为主进行开发，2025年达到Ⅲ级航道标准。岷江（彭山~乐山段）以发电、航运为主，通过渠化，结合岷江上游紫坪铺等水利枢纽工程、引大济岷工程的实施，规划该段115km航道等级为Ⅲ级。</w:t>
      </w:r>
    </w:p>
    <w:p>
      <w:pPr>
        <w:pStyle w:val="20"/>
        <w:spacing w:after="0" w:line="360" w:lineRule="auto"/>
        <w:ind w:left="0" w:leftChars="0" w:firstLine="560" w:firstLineChars="200"/>
        <w:rPr>
          <w:rFonts w:ascii="Times New Roman" w:hAnsi="Times New Roman" w:cs="Times New Roman"/>
          <w:sz w:val="28"/>
          <w:szCs w:val="28"/>
          <w:highlight w:val="none"/>
        </w:rPr>
      </w:pPr>
      <w:r>
        <w:rPr>
          <w:rFonts w:ascii="Times New Roman" w:hAnsi="Times New Roman" w:cs="Times New Roman"/>
          <w:sz w:val="28"/>
          <w:szCs w:val="28"/>
          <w:highlight w:val="none"/>
        </w:rPr>
        <w:t>大渡河（沙湾~乐山）通过补建安谷船闸、航道整治和上游枢纽流量调节改善该段航道条件，使该段航道达到Ⅳ级，与岷江Ⅲ级航道连通。</w:t>
      </w:r>
    </w:p>
    <w:p>
      <w:pPr>
        <w:pStyle w:val="2"/>
        <w:spacing w:line="360" w:lineRule="auto"/>
        <w:ind w:firstLine="562" w:firstLineChars="200"/>
        <w:rPr>
          <w:rFonts w:ascii="Times New Roman" w:eastAsia="黑体" w:cs="Times New Roman"/>
          <w:b/>
          <w:color w:val="auto"/>
          <w:kern w:val="2"/>
          <w:sz w:val="28"/>
          <w:szCs w:val="28"/>
          <w:highlight w:val="none"/>
        </w:rPr>
      </w:pPr>
      <w:r>
        <w:rPr>
          <w:rFonts w:ascii="Times New Roman" w:eastAsia="黑体" w:cs="Times New Roman"/>
          <w:b/>
          <w:color w:val="auto"/>
          <w:kern w:val="2"/>
          <w:sz w:val="28"/>
          <w:szCs w:val="28"/>
          <w:highlight w:val="none"/>
        </w:rPr>
        <w:t>二、与宜宾港、泸州港等周边港口的衔接</w:t>
      </w:r>
    </w:p>
    <w:p>
      <w:pPr>
        <w:pStyle w:val="20"/>
        <w:spacing w:after="0" w:line="360" w:lineRule="auto"/>
        <w:ind w:left="0" w:leftChars="0" w:firstLine="560" w:firstLineChars="200"/>
        <w:rPr>
          <w:rFonts w:ascii="Times New Roman" w:hAnsi="Times New Roman" w:cs="Times New Roman"/>
          <w:sz w:val="28"/>
          <w:szCs w:val="28"/>
          <w:highlight w:val="none"/>
        </w:rPr>
      </w:pPr>
      <w:r>
        <w:rPr>
          <w:rFonts w:ascii="Times New Roman" w:hAnsi="Times New Roman" w:cs="Times New Roman"/>
          <w:sz w:val="28"/>
          <w:szCs w:val="28"/>
          <w:highlight w:val="none"/>
        </w:rPr>
        <w:t>乐山港将与宜宾港、泸州港等周边港口在物流和航线等方面进行合作，规划做到错位发展、合作共赢。</w:t>
      </w:r>
    </w:p>
    <w:p>
      <w:pPr>
        <w:pStyle w:val="20"/>
        <w:spacing w:after="0" w:line="360" w:lineRule="auto"/>
        <w:ind w:left="0" w:leftChars="0" w:firstLine="560" w:firstLineChars="200"/>
        <w:rPr>
          <w:rFonts w:ascii="Times New Roman" w:hAnsi="Times New Roman" w:cs="Times New Roman"/>
          <w:sz w:val="28"/>
          <w:szCs w:val="28"/>
          <w:highlight w:val="none"/>
        </w:rPr>
      </w:pPr>
      <w:r>
        <w:rPr>
          <w:rFonts w:ascii="Times New Roman" w:hAnsi="Times New Roman" w:cs="Times New Roman"/>
          <w:sz w:val="28"/>
          <w:szCs w:val="28"/>
          <w:highlight w:val="none"/>
        </w:rPr>
        <w:t>乐山港与宜宾港之间的集疏运通道可由乐宜高速公路、岷江-长江水运通道、成贵铁路以及规划的峨宜铁路满足。</w:t>
      </w:r>
    </w:p>
    <w:p>
      <w:pPr>
        <w:pStyle w:val="20"/>
        <w:spacing w:after="0" w:line="360" w:lineRule="auto"/>
        <w:ind w:left="0" w:leftChars="0" w:firstLine="560" w:firstLineChars="200"/>
        <w:rPr>
          <w:rFonts w:ascii="Times New Roman" w:hAnsi="Times New Roman" w:cs="Times New Roman"/>
          <w:sz w:val="28"/>
          <w:szCs w:val="28"/>
          <w:highlight w:val="none"/>
        </w:rPr>
      </w:pPr>
      <w:r>
        <w:rPr>
          <w:rFonts w:ascii="Times New Roman" w:hAnsi="Times New Roman" w:cs="Times New Roman"/>
          <w:sz w:val="28"/>
          <w:szCs w:val="28"/>
          <w:highlight w:val="none"/>
        </w:rPr>
        <w:t>乐山港与泸州港之间的集疏运通道可由隆汉-蓉遵高速公路通道、G348-S305-S207国省干道、岷江-长江水运通道满足。</w:t>
      </w:r>
    </w:p>
    <w:p>
      <w:pPr>
        <w:pStyle w:val="2"/>
        <w:spacing w:line="360" w:lineRule="auto"/>
        <w:ind w:firstLine="562" w:firstLineChars="200"/>
        <w:rPr>
          <w:rFonts w:ascii="Times New Roman" w:eastAsia="黑体" w:cs="Times New Roman"/>
          <w:b/>
          <w:color w:val="auto"/>
          <w:kern w:val="2"/>
          <w:sz w:val="28"/>
          <w:szCs w:val="28"/>
          <w:highlight w:val="none"/>
        </w:rPr>
      </w:pPr>
      <w:r>
        <w:rPr>
          <w:rFonts w:ascii="Times New Roman" w:eastAsia="黑体" w:cs="Times New Roman"/>
          <w:b/>
          <w:color w:val="auto"/>
          <w:kern w:val="2"/>
          <w:sz w:val="28"/>
          <w:szCs w:val="28"/>
          <w:highlight w:val="none"/>
        </w:rPr>
        <w:t>三、港口内部的衔接</w:t>
      </w:r>
    </w:p>
    <w:p>
      <w:pPr>
        <w:pStyle w:val="20"/>
        <w:spacing w:after="0" w:line="360" w:lineRule="auto"/>
        <w:ind w:left="0" w:leftChars="0" w:firstLine="560" w:firstLineChars="200"/>
        <w:rPr>
          <w:rFonts w:ascii="Times New Roman" w:hAnsi="Times New Roman" w:cs="Times New Roman"/>
          <w:sz w:val="28"/>
          <w:szCs w:val="28"/>
          <w:highlight w:val="none"/>
        </w:rPr>
      </w:pPr>
      <w:r>
        <w:rPr>
          <w:rFonts w:ascii="Times New Roman" w:hAnsi="Times New Roman" w:cs="Times New Roman"/>
          <w:sz w:val="28"/>
          <w:szCs w:val="28"/>
          <w:highlight w:val="none"/>
        </w:rPr>
        <w:t>港口之间的衔接包括港区与港区之间、作业区与作业区之间的衔接。</w:t>
      </w:r>
    </w:p>
    <w:p>
      <w:pPr>
        <w:spacing w:line="360" w:lineRule="auto"/>
        <w:ind w:firstLine="560" w:firstLineChars="200"/>
        <w:rPr>
          <w:rFonts w:eastAsiaTheme="minorEastAsia"/>
          <w:sz w:val="28"/>
          <w:szCs w:val="28"/>
          <w:highlight w:val="none"/>
        </w:rPr>
      </w:pPr>
      <w:r>
        <w:rPr>
          <w:rFonts w:eastAsiaTheme="minorEastAsia"/>
          <w:sz w:val="28"/>
          <w:szCs w:val="28"/>
          <w:highlight w:val="none"/>
        </w:rPr>
        <w:t>乐山港各港区腹地既有重叠又各有侧重，港区与港区之间的货物交换量不大，港区与港区之间的衔接可由现有的国道G213、G245、G348、五犍沐快速路、乐峨大道、乐夹大道（千佛大道）、乐井大道、乐沙大道、进港大道、剑南大道乐山段、省道S103、S215、S307、S309，县道及成乐、乐雅、乐宜等高速公路满足。</w:t>
      </w:r>
    </w:p>
    <w:p>
      <w:pPr>
        <w:pStyle w:val="20"/>
        <w:spacing w:after="0" w:line="360" w:lineRule="auto"/>
        <w:ind w:left="0" w:leftChars="0" w:firstLine="560" w:firstLineChars="200"/>
        <w:rPr>
          <w:rFonts w:ascii="Times New Roman" w:hAnsi="Times New Roman" w:cs="Times New Roman"/>
          <w:sz w:val="28"/>
          <w:szCs w:val="28"/>
          <w:highlight w:val="none"/>
        </w:rPr>
      </w:pPr>
      <w:r>
        <w:rPr>
          <w:rFonts w:ascii="Times New Roman" w:hAnsi="Times New Roman" w:cs="Times New Roman"/>
          <w:sz w:val="28"/>
          <w:szCs w:val="28"/>
          <w:highlight w:val="none"/>
        </w:rPr>
        <w:t>在当作业区存在饱和或者紧急情况下才有可能存在内部集疏运需求，因此作业区与作业区之间的货物交换运量不大，内部集疏运条件可通过省道、县道及部分农村公路满足。</w:t>
      </w:r>
    </w:p>
    <w:p>
      <w:pPr>
        <w:pStyle w:val="2"/>
        <w:spacing w:line="360" w:lineRule="auto"/>
        <w:ind w:firstLine="562" w:firstLineChars="200"/>
        <w:rPr>
          <w:rFonts w:ascii="Times New Roman" w:eastAsia="黑体" w:cs="Times New Roman"/>
          <w:b/>
          <w:color w:val="auto"/>
          <w:kern w:val="2"/>
          <w:sz w:val="28"/>
          <w:szCs w:val="28"/>
          <w:highlight w:val="none"/>
        </w:rPr>
      </w:pPr>
      <w:r>
        <w:rPr>
          <w:rFonts w:ascii="Times New Roman" w:eastAsia="黑体" w:cs="Times New Roman"/>
          <w:b/>
          <w:color w:val="auto"/>
          <w:kern w:val="2"/>
          <w:sz w:val="28"/>
          <w:szCs w:val="28"/>
          <w:highlight w:val="none"/>
        </w:rPr>
        <w:t>四、作业区和路网的衔接</w:t>
      </w:r>
    </w:p>
    <w:p>
      <w:pPr>
        <w:spacing w:line="360" w:lineRule="auto"/>
        <w:ind w:firstLine="562" w:firstLineChars="200"/>
        <w:rPr>
          <w:b/>
          <w:sz w:val="28"/>
          <w:szCs w:val="28"/>
          <w:highlight w:val="none"/>
        </w:rPr>
      </w:pPr>
      <w:r>
        <w:rPr>
          <w:b/>
          <w:sz w:val="28"/>
          <w:szCs w:val="28"/>
          <w:highlight w:val="none"/>
        </w:rPr>
        <w:t>（一）嘉州港区</w:t>
      </w:r>
    </w:p>
    <w:p>
      <w:pPr>
        <w:pStyle w:val="20"/>
        <w:spacing w:after="0"/>
        <w:ind w:left="0" w:leftChars="0" w:firstLine="562" w:firstLineChars="200"/>
        <w:rPr>
          <w:rFonts w:ascii="Times New Roman" w:hAnsi="Times New Roman" w:cs="Times New Roman"/>
          <w:sz w:val="28"/>
          <w:szCs w:val="28"/>
          <w:highlight w:val="none"/>
        </w:rPr>
      </w:pPr>
      <w:r>
        <w:rPr>
          <w:rFonts w:ascii="Times New Roman" w:hAnsi="Times New Roman" w:cs="Times New Roman"/>
          <w:b/>
          <w:sz w:val="28"/>
          <w:szCs w:val="28"/>
          <w:highlight w:val="none"/>
        </w:rPr>
        <w:t>1.</w:t>
      </w:r>
      <w:r>
        <w:rPr>
          <w:rFonts w:hint="eastAsia" w:ascii="Times New Roman" w:hAnsi="Times New Roman" w:cs="Times New Roman"/>
          <w:b/>
          <w:sz w:val="28"/>
          <w:szCs w:val="28"/>
          <w:highlight w:val="none"/>
        </w:rPr>
        <w:t>老江坝作业区</w:t>
      </w:r>
      <w:r>
        <w:rPr>
          <w:rFonts w:hint="eastAsia"/>
          <w:b/>
          <w:sz w:val="28"/>
          <w:szCs w:val="28"/>
          <w:highlight w:val="none"/>
        </w:rPr>
        <w:t>岷江水上应急救援中心：</w:t>
      </w:r>
      <w:r>
        <w:rPr>
          <w:rFonts w:hint="eastAsia" w:ascii="Times New Roman" w:hAnsi="Times New Roman" w:cs="Times New Roman"/>
          <w:sz w:val="28"/>
          <w:szCs w:val="28"/>
          <w:highlight w:val="none"/>
        </w:rPr>
        <w:t>进港大道通过作业区后方，规划新建进港道路（三级路）连接进港大道，里程约</w:t>
      </w:r>
      <w:r>
        <w:rPr>
          <w:rFonts w:ascii="Times New Roman" w:hAnsi="Times New Roman" w:cs="Times New Roman"/>
          <w:sz w:val="28"/>
          <w:szCs w:val="28"/>
          <w:highlight w:val="none"/>
        </w:rPr>
        <w:t>1km</w:t>
      </w:r>
      <w:r>
        <w:rPr>
          <w:rFonts w:hint="eastAsia" w:ascii="Times New Roman" w:hAnsi="Times New Roman" w:cs="Times New Roman"/>
          <w:sz w:val="28"/>
          <w:szCs w:val="28"/>
          <w:highlight w:val="none"/>
        </w:rPr>
        <w:t>。</w:t>
      </w:r>
    </w:p>
    <w:p>
      <w:pPr>
        <w:pStyle w:val="20"/>
        <w:spacing w:after="0"/>
        <w:ind w:left="0" w:leftChars="0" w:firstLine="562" w:firstLineChars="200"/>
        <w:rPr>
          <w:rFonts w:ascii="Times New Roman" w:hAnsi="Times New Roman" w:cs="Times New Roman"/>
          <w:sz w:val="28"/>
          <w:szCs w:val="28"/>
          <w:highlight w:val="none"/>
        </w:rPr>
      </w:pPr>
      <w:r>
        <w:rPr>
          <w:rFonts w:ascii="Times New Roman" w:hAnsi="Times New Roman" w:cs="Times New Roman"/>
          <w:b/>
          <w:sz w:val="28"/>
          <w:szCs w:val="28"/>
          <w:highlight w:val="none"/>
        </w:rPr>
        <w:t>2.</w:t>
      </w:r>
      <w:r>
        <w:rPr>
          <w:rFonts w:hint="eastAsia" w:ascii="Times New Roman" w:hAnsi="Times New Roman" w:cs="Times New Roman"/>
          <w:b/>
          <w:sz w:val="28"/>
          <w:szCs w:val="28"/>
          <w:highlight w:val="none"/>
        </w:rPr>
        <w:t>老江坝作业区游轮码头：</w:t>
      </w:r>
      <w:r>
        <w:rPr>
          <w:rFonts w:ascii="Times New Roman" w:hAnsi="Times New Roman" w:cs="Times New Roman"/>
          <w:sz w:val="28"/>
          <w:szCs w:val="28"/>
          <w:highlight w:val="none"/>
        </w:rPr>
        <w:t>2035</w:t>
      </w:r>
      <w:r>
        <w:rPr>
          <w:rFonts w:hint="eastAsia" w:ascii="Times New Roman" w:hAnsi="Times New Roman" w:cs="Times New Roman"/>
          <w:sz w:val="28"/>
          <w:szCs w:val="28"/>
          <w:highlight w:val="none"/>
        </w:rPr>
        <w:t>年通过能力将达到</w:t>
      </w:r>
      <w:r>
        <w:rPr>
          <w:rFonts w:ascii="Times New Roman" w:hAnsi="Times New Roman" w:cs="Times New Roman"/>
          <w:sz w:val="28"/>
          <w:szCs w:val="28"/>
          <w:highlight w:val="none"/>
        </w:rPr>
        <w:t>600</w:t>
      </w:r>
      <w:r>
        <w:rPr>
          <w:rFonts w:hint="eastAsia" w:ascii="Times New Roman" w:hAnsi="Times New Roman" w:cs="Times New Roman"/>
          <w:sz w:val="28"/>
          <w:szCs w:val="28"/>
          <w:highlight w:val="none"/>
        </w:rPr>
        <w:t>万人次</w:t>
      </w:r>
      <w:r>
        <w:rPr>
          <w:rFonts w:ascii="Times New Roman" w:hAnsi="Times New Roman" w:cs="Times New Roman"/>
          <w:sz w:val="28"/>
          <w:szCs w:val="28"/>
          <w:highlight w:val="none"/>
        </w:rPr>
        <w:t>/</w:t>
      </w:r>
      <w:r>
        <w:rPr>
          <w:rFonts w:hint="eastAsia" w:ascii="Times New Roman" w:hAnsi="Times New Roman" w:cs="Times New Roman"/>
          <w:sz w:val="28"/>
          <w:szCs w:val="28"/>
          <w:highlight w:val="none"/>
        </w:rPr>
        <w:t>年，需要疏港道路集疏运量</w:t>
      </w:r>
      <w:r>
        <w:rPr>
          <w:rFonts w:ascii="Times New Roman" w:hAnsi="Times New Roman" w:cs="Times New Roman"/>
          <w:sz w:val="28"/>
          <w:szCs w:val="28"/>
          <w:highlight w:val="none"/>
        </w:rPr>
        <w:t>8220pcu/d</w:t>
      </w:r>
      <w:r>
        <w:rPr>
          <w:rFonts w:hint="eastAsia" w:ascii="Times New Roman" w:hAnsi="Times New Roman" w:cs="Times New Roman"/>
          <w:sz w:val="28"/>
          <w:szCs w:val="28"/>
          <w:highlight w:val="none"/>
        </w:rPr>
        <w:t>。作业区后方建有进港大道并连接乐宜、乐自和成乐高速公路。规划建设乐山国际旅游机场至老江坝作业区游轮码头集疏运公路</w:t>
      </w:r>
      <w:r>
        <w:rPr>
          <w:rFonts w:ascii="Times New Roman" w:hAnsi="Times New Roman" w:cs="Times New Roman"/>
          <w:sz w:val="28"/>
          <w:szCs w:val="28"/>
          <w:highlight w:val="none"/>
        </w:rPr>
        <w:t>15km</w:t>
      </w:r>
      <w:r>
        <w:rPr>
          <w:rFonts w:hint="eastAsia" w:ascii="Times New Roman" w:hAnsi="Times New Roman" w:cs="Times New Roman"/>
          <w:sz w:val="28"/>
          <w:szCs w:val="28"/>
          <w:highlight w:val="none"/>
        </w:rPr>
        <w:t>。</w:t>
      </w:r>
    </w:p>
    <w:p>
      <w:pPr>
        <w:pStyle w:val="20"/>
        <w:spacing w:after="0"/>
        <w:ind w:left="0" w:leftChars="0" w:firstLine="562" w:firstLineChars="200"/>
        <w:rPr>
          <w:rFonts w:ascii="Times New Roman" w:hAnsi="Times New Roman" w:cs="Times New Roman"/>
          <w:sz w:val="28"/>
          <w:szCs w:val="28"/>
          <w:highlight w:val="none"/>
        </w:rPr>
      </w:pPr>
      <w:r>
        <w:rPr>
          <w:rFonts w:ascii="Times New Roman" w:hAnsi="Times New Roman" w:cs="Times New Roman"/>
          <w:b/>
          <w:sz w:val="28"/>
          <w:szCs w:val="28"/>
          <w:highlight w:val="none"/>
        </w:rPr>
        <w:t>3.</w:t>
      </w:r>
      <w:r>
        <w:rPr>
          <w:rFonts w:hint="eastAsia" w:ascii="Times New Roman" w:hAnsi="Times New Roman" w:cs="Times New Roman"/>
          <w:b/>
          <w:sz w:val="28"/>
          <w:szCs w:val="28"/>
          <w:highlight w:val="none"/>
        </w:rPr>
        <w:t>老江坝作业区大件码头：</w:t>
      </w:r>
      <w:r>
        <w:rPr>
          <w:rFonts w:ascii="Times New Roman" w:hAnsi="Times New Roman" w:cs="Times New Roman"/>
          <w:sz w:val="28"/>
          <w:szCs w:val="28"/>
          <w:highlight w:val="none"/>
        </w:rPr>
        <w:t>2035</w:t>
      </w:r>
      <w:r>
        <w:rPr>
          <w:rFonts w:hint="eastAsia" w:ascii="Times New Roman" w:hAnsi="Times New Roman" w:cs="Times New Roman"/>
          <w:sz w:val="28"/>
          <w:szCs w:val="28"/>
          <w:highlight w:val="none"/>
        </w:rPr>
        <w:t>年通过能力将达到重大件</w:t>
      </w:r>
      <w:r>
        <w:rPr>
          <w:rFonts w:ascii="Times New Roman" w:hAnsi="Times New Roman" w:cs="Times New Roman"/>
          <w:sz w:val="28"/>
          <w:szCs w:val="28"/>
          <w:highlight w:val="none"/>
        </w:rPr>
        <w:t>15</w:t>
      </w:r>
      <w:r>
        <w:rPr>
          <w:rFonts w:hint="eastAsia" w:ascii="Times New Roman" w:hAnsi="Times New Roman" w:cs="Times New Roman"/>
          <w:sz w:val="28"/>
          <w:szCs w:val="28"/>
          <w:highlight w:val="none"/>
        </w:rPr>
        <w:t>万</w:t>
      </w:r>
      <w:r>
        <w:rPr>
          <w:rFonts w:ascii="Times New Roman" w:hAnsi="Times New Roman" w:cs="Times New Roman"/>
          <w:sz w:val="28"/>
          <w:szCs w:val="28"/>
          <w:highlight w:val="none"/>
        </w:rPr>
        <w:t>t、集装箱</w:t>
      </w:r>
      <w:r>
        <w:rPr>
          <w:rFonts w:hint="eastAsia" w:ascii="Times New Roman" w:hAnsi="Times New Roman" w:cs="Times New Roman"/>
          <w:sz w:val="28"/>
          <w:szCs w:val="28"/>
          <w:highlight w:val="none"/>
        </w:rPr>
        <w:t>1</w:t>
      </w:r>
      <w:r>
        <w:rPr>
          <w:rFonts w:ascii="Times New Roman" w:hAnsi="Times New Roman" w:cs="Times New Roman"/>
          <w:sz w:val="28"/>
          <w:szCs w:val="28"/>
          <w:highlight w:val="none"/>
        </w:rPr>
        <w:t>5万</w:t>
      </w:r>
      <w:r>
        <w:rPr>
          <w:rFonts w:hint="eastAsia" w:ascii="Times New Roman" w:hAnsi="Times New Roman" w:cs="Times New Roman"/>
          <w:sz w:val="28"/>
          <w:szCs w:val="28"/>
          <w:highlight w:val="none"/>
        </w:rPr>
        <w:t>TEU</w:t>
      </w:r>
      <w:r>
        <w:rPr>
          <w:rFonts w:ascii="Times New Roman" w:hAnsi="Times New Roman" w:cs="Times New Roman"/>
          <w:sz w:val="28"/>
          <w:szCs w:val="28"/>
          <w:highlight w:val="none"/>
        </w:rPr>
        <w:t>、件杂货</w:t>
      </w:r>
      <w:r>
        <w:rPr>
          <w:rFonts w:hint="eastAsia" w:ascii="Times New Roman" w:hAnsi="Times New Roman" w:cs="Times New Roman"/>
          <w:sz w:val="28"/>
          <w:szCs w:val="28"/>
          <w:highlight w:val="none"/>
        </w:rPr>
        <w:t>1</w:t>
      </w:r>
      <w:r>
        <w:rPr>
          <w:rFonts w:ascii="Times New Roman" w:hAnsi="Times New Roman" w:cs="Times New Roman"/>
          <w:sz w:val="28"/>
          <w:szCs w:val="28"/>
          <w:highlight w:val="none"/>
        </w:rPr>
        <w:t>20万t</w:t>
      </w:r>
      <w:r>
        <w:rPr>
          <w:rFonts w:hint="eastAsia" w:ascii="Times New Roman" w:hAnsi="Times New Roman" w:cs="Times New Roman"/>
          <w:sz w:val="28"/>
          <w:szCs w:val="28"/>
          <w:highlight w:val="none"/>
        </w:rPr>
        <w:t>，需要疏港道</w:t>
      </w:r>
      <w:r>
        <w:rPr>
          <w:rFonts w:ascii="Times New Roman" w:hAnsi="Times New Roman" w:cs="Times New Roman"/>
          <w:sz w:val="28"/>
          <w:szCs w:val="28"/>
          <w:highlight w:val="none"/>
        </w:rPr>
        <w:t>路集疏运量2154pcu/d。作业区后方建有进港大道路并连接乐宜、乐自和成乐高速公路。老江坝作业区大件码头将承担乐山港重大件、集装箱、件杂货运输，规划新建省道215线大件码头进港专用公路（一级路）约8km，规划从连乐铁路乐山南站接支线进港。</w:t>
      </w:r>
    </w:p>
    <w:p>
      <w:pPr>
        <w:pStyle w:val="20"/>
        <w:spacing w:after="0"/>
        <w:ind w:left="0" w:leftChars="0" w:firstLine="562" w:firstLineChars="200"/>
        <w:rPr>
          <w:rFonts w:ascii="Times New Roman" w:hAnsi="Times New Roman" w:cs="Times New Roman"/>
          <w:b/>
          <w:sz w:val="28"/>
          <w:szCs w:val="28"/>
          <w:highlight w:val="none"/>
        </w:rPr>
      </w:pPr>
      <w:r>
        <w:rPr>
          <w:rFonts w:ascii="Times New Roman" w:hAnsi="Times New Roman" w:cs="Times New Roman"/>
          <w:b/>
          <w:sz w:val="28"/>
          <w:szCs w:val="28"/>
          <w:highlight w:val="none"/>
        </w:rPr>
        <w:t>4.</w:t>
      </w:r>
      <w:r>
        <w:rPr>
          <w:rFonts w:hint="eastAsia" w:ascii="Times New Roman" w:hAnsi="Times New Roman" w:cs="Times New Roman"/>
          <w:b/>
          <w:sz w:val="28"/>
          <w:szCs w:val="28"/>
          <w:highlight w:val="none"/>
        </w:rPr>
        <w:t>大佛客运作业区</w:t>
      </w:r>
      <w:r>
        <w:rPr>
          <w:rFonts w:ascii="Times New Roman" w:hAnsi="Times New Roman" w:cs="Times New Roman"/>
          <w:b/>
          <w:sz w:val="28"/>
          <w:szCs w:val="28"/>
          <w:highlight w:val="none"/>
        </w:rPr>
        <w:t>芭蕉林旅游客运码头：</w:t>
      </w:r>
      <w:r>
        <w:rPr>
          <w:rFonts w:ascii="Times New Roman" w:hAnsi="Times New Roman" w:cs="Times New Roman"/>
          <w:sz w:val="28"/>
          <w:szCs w:val="28"/>
          <w:highlight w:val="none"/>
        </w:rPr>
        <w:t>2035年通过能力将达到90万人次/年，需要疏港道路集疏运量1233pcu/d。凌云路从码头后方通过，现有城市道路与后方的凌云路连接，满足集疏运通道要求。</w:t>
      </w:r>
    </w:p>
    <w:p>
      <w:pPr>
        <w:pStyle w:val="20"/>
        <w:spacing w:after="0"/>
        <w:ind w:left="0" w:leftChars="0" w:firstLine="562" w:firstLineChars="200"/>
        <w:rPr>
          <w:rFonts w:ascii="Times New Roman" w:hAnsi="Times New Roman" w:cs="Times New Roman"/>
          <w:sz w:val="28"/>
          <w:szCs w:val="28"/>
          <w:highlight w:val="none"/>
        </w:rPr>
      </w:pPr>
      <w:r>
        <w:rPr>
          <w:rFonts w:ascii="Times New Roman" w:hAnsi="Times New Roman" w:cs="Times New Roman"/>
          <w:b/>
          <w:sz w:val="28"/>
          <w:szCs w:val="28"/>
          <w:highlight w:val="none"/>
        </w:rPr>
        <w:t>5.</w:t>
      </w:r>
      <w:r>
        <w:rPr>
          <w:rFonts w:hint="eastAsia" w:ascii="Times New Roman" w:hAnsi="Times New Roman" w:cs="Times New Roman"/>
          <w:b/>
          <w:sz w:val="28"/>
          <w:szCs w:val="28"/>
          <w:highlight w:val="none"/>
        </w:rPr>
        <w:t>大佛客运作业区</w:t>
      </w:r>
      <w:r>
        <w:rPr>
          <w:rFonts w:ascii="Times New Roman" w:hAnsi="Times New Roman" w:cs="Times New Roman"/>
          <w:b/>
          <w:sz w:val="28"/>
          <w:szCs w:val="28"/>
          <w:highlight w:val="none"/>
        </w:rPr>
        <w:t>乌尤寺旅游客运码头：</w:t>
      </w:r>
      <w:r>
        <w:rPr>
          <w:rFonts w:ascii="Times New Roman" w:hAnsi="Times New Roman" w:cs="Times New Roman"/>
          <w:sz w:val="28"/>
          <w:szCs w:val="28"/>
          <w:highlight w:val="none"/>
        </w:rPr>
        <w:t>2035年通过能力将达到90万人次/年，需要疏港道路集疏运量1233pcu/d。九峰路、凌云路从码头后方通过，现有城市道路和景区道路与后方的九峰路和凌云路连接，满足集疏运通道要求。</w:t>
      </w:r>
    </w:p>
    <w:p>
      <w:pPr>
        <w:pStyle w:val="20"/>
        <w:spacing w:after="0"/>
        <w:ind w:left="0" w:leftChars="0" w:firstLine="562" w:firstLineChars="200"/>
        <w:rPr>
          <w:rFonts w:ascii="Times New Roman" w:hAnsi="Times New Roman" w:cs="Times New Roman"/>
          <w:sz w:val="28"/>
          <w:szCs w:val="28"/>
          <w:highlight w:val="none"/>
        </w:rPr>
      </w:pPr>
      <w:r>
        <w:rPr>
          <w:rFonts w:ascii="Times New Roman" w:hAnsi="Times New Roman" w:cs="Times New Roman"/>
          <w:b/>
          <w:sz w:val="28"/>
          <w:szCs w:val="28"/>
          <w:highlight w:val="none"/>
        </w:rPr>
        <w:t>6.</w:t>
      </w:r>
      <w:r>
        <w:rPr>
          <w:rFonts w:hint="eastAsia" w:ascii="Times New Roman" w:hAnsi="Times New Roman" w:cs="Times New Roman"/>
          <w:b/>
          <w:sz w:val="28"/>
          <w:szCs w:val="28"/>
          <w:highlight w:val="none"/>
        </w:rPr>
        <w:t>大佛客运作业区</w:t>
      </w:r>
      <w:r>
        <w:rPr>
          <w:rFonts w:ascii="Times New Roman" w:hAnsi="Times New Roman" w:cs="Times New Roman"/>
          <w:b/>
          <w:sz w:val="28"/>
          <w:szCs w:val="28"/>
          <w:highlight w:val="none"/>
        </w:rPr>
        <w:t>凤洲岛旅游客运码头：</w:t>
      </w:r>
      <w:r>
        <w:rPr>
          <w:rFonts w:ascii="Times New Roman" w:hAnsi="Times New Roman" w:cs="Times New Roman"/>
          <w:sz w:val="28"/>
          <w:szCs w:val="28"/>
          <w:highlight w:val="none"/>
        </w:rPr>
        <w:t>2035年通过能力将达到80万人次/年，需要疏港道路集疏运量1096pcu/d。码头后方大渡河左岸建有临江东路、高新大道等城市道路，岛上建有村道与后方城市道路连接。规划新建进港道路（三级路）连接城市道路，里程约3km。</w:t>
      </w:r>
    </w:p>
    <w:p>
      <w:pPr>
        <w:pStyle w:val="20"/>
        <w:spacing w:after="0"/>
        <w:ind w:left="0" w:leftChars="0" w:firstLine="562" w:firstLineChars="200"/>
        <w:rPr>
          <w:rFonts w:ascii="Times New Roman" w:hAnsi="Times New Roman" w:cs="Times New Roman"/>
          <w:sz w:val="28"/>
          <w:szCs w:val="28"/>
          <w:highlight w:val="none"/>
        </w:rPr>
      </w:pPr>
      <w:r>
        <w:rPr>
          <w:rFonts w:ascii="Times New Roman" w:hAnsi="Times New Roman" w:cs="Times New Roman"/>
          <w:b/>
          <w:sz w:val="28"/>
          <w:szCs w:val="28"/>
          <w:highlight w:val="none"/>
        </w:rPr>
        <w:t>7.高新区旅游客运码头：</w:t>
      </w:r>
      <w:r>
        <w:rPr>
          <w:rFonts w:ascii="Times New Roman" w:hAnsi="Times New Roman" w:cs="Times New Roman"/>
          <w:sz w:val="28"/>
          <w:szCs w:val="28"/>
          <w:highlight w:val="none"/>
        </w:rPr>
        <w:t>2035年通过能力将达到60万人次/年，需要疏港道路集疏运量822pcu/d。码头后方有临江北路、高新大道、建业大道北段等城市道路，满足集疏运通道要求。</w:t>
      </w:r>
    </w:p>
    <w:p>
      <w:pPr>
        <w:spacing w:line="360" w:lineRule="auto"/>
        <w:ind w:firstLine="562" w:firstLineChars="200"/>
        <w:rPr>
          <w:rFonts w:eastAsiaTheme="minorEastAsia"/>
          <w:b/>
          <w:sz w:val="28"/>
          <w:szCs w:val="28"/>
          <w:highlight w:val="none"/>
        </w:rPr>
      </w:pPr>
      <w:r>
        <w:rPr>
          <w:b/>
          <w:sz w:val="28"/>
          <w:szCs w:val="28"/>
          <w:highlight w:val="none"/>
        </w:rPr>
        <w:t>（二）</w:t>
      </w:r>
      <w:r>
        <w:rPr>
          <w:rFonts w:eastAsiaTheme="minorEastAsia"/>
          <w:b/>
          <w:sz w:val="28"/>
          <w:szCs w:val="28"/>
          <w:highlight w:val="none"/>
        </w:rPr>
        <w:t>五通桥港区</w:t>
      </w:r>
    </w:p>
    <w:p>
      <w:pPr>
        <w:pStyle w:val="20"/>
        <w:ind w:left="0" w:leftChars="0" w:firstLine="562" w:firstLineChars="200"/>
        <w:rPr>
          <w:rFonts w:ascii="Times New Roman" w:hAnsi="Times New Roman" w:cs="Times New Roman"/>
          <w:sz w:val="28"/>
          <w:szCs w:val="28"/>
          <w:highlight w:val="none"/>
        </w:rPr>
      </w:pPr>
      <w:r>
        <w:rPr>
          <w:rFonts w:ascii="Times New Roman" w:hAnsi="Times New Roman" w:cs="Times New Roman"/>
          <w:b/>
          <w:sz w:val="28"/>
          <w:szCs w:val="28"/>
          <w:highlight w:val="none"/>
        </w:rPr>
        <w:t>1.桥沟作业区：</w:t>
      </w:r>
      <w:r>
        <w:rPr>
          <w:rFonts w:ascii="Times New Roman" w:hAnsi="Times New Roman" w:cs="Times New Roman"/>
          <w:sz w:val="28"/>
          <w:szCs w:val="28"/>
          <w:highlight w:val="none"/>
        </w:rPr>
        <w:t>2035年通过能力为件杂货90万t/年、散货60万t/年，需要疏港道路集疏运量1096pcu/d。国道G213线通过作业区后方，规划改造国道G213与五通绕线交汇处至桥沟作业区进港道路（一级路）约2.7km。为连接河对岸的乐宜高速，规划新建乐宜高速五通桥收费站至国道G213线连接线（一级路）约3.8km。</w:t>
      </w:r>
    </w:p>
    <w:p>
      <w:pPr>
        <w:spacing w:line="360" w:lineRule="auto"/>
        <w:ind w:firstLine="562" w:firstLineChars="200"/>
        <w:rPr>
          <w:b/>
          <w:sz w:val="28"/>
          <w:szCs w:val="28"/>
          <w:highlight w:val="none"/>
        </w:rPr>
      </w:pPr>
      <w:r>
        <w:rPr>
          <w:b/>
          <w:sz w:val="28"/>
          <w:szCs w:val="28"/>
          <w:highlight w:val="none"/>
        </w:rPr>
        <w:t>（三）犍为港区</w:t>
      </w:r>
    </w:p>
    <w:p>
      <w:pPr>
        <w:pStyle w:val="20"/>
        <w:spacing w:after="0"/>
        <w:ind w:left="0" w:leftChars="0" w:firstLine="562" w:firstLineChars="200"/>
        <w:rPr>
          <w:rFonts w:ascii="Times New Roman" w:hAnsi="Times New Roman" w:eastAsia="宋体" w:cs="Times New Roman"/>
          <w:sz w:val="28"/>
          <w:szCs w:val="28"/>
          <w:highlight w:val="none"/>
        </w:rPr>
      </w:pPr>
      <w:r>
        <w:rPr>
          <w:rFonts w:ascii="Times New Roman" w:hAnsi="Times New Roman" w:cs="Times New Roman"/>
          <w:b/>
          <w:sz w:val="28"/>
          <w:szCs w:val="28"/>
          <w:highlight w:val="none"/>
        </w:rPr>
        <w:t>1.高石坝作业区：</w:t>
      </w:r>
      <w:r>
        <w:rPr>
          <w:rFonts w:ascii="Times New Roman" w:hAnsi="Times New Roman" w:cs="Times New Roman"/>
          <w:sz w:val="28"/>
          <w:szCs w:val="28"/>
          <w:highlight w:val="none"/>
        </w:rPr>
        <w:t>2035年通过能力为集装箱35万TEU，件杂货300万t，散货720万t，其中</w:t>
      </w:r>
      <w:r>
        <w:rPr>
          <w:rFonts w:hint="eastAsia" w:ascii="Times New Roman" w:hAnsi="Times New Roman" w:cs="Times New Roman"/>
          <w:sz w:val="28"/>
          <w:szCs w:val="28"/>
          <w:highlight w:val="none"/>
        </w:rPr>
        <w:t>8</w:t>
      </w:r>
      <w:r>
        <w:rPr>
          <w:rFonts w:ascii="Times New Roman" w:hAnsi="Times New Roman" w:cs="Times New Roman"/>
          <w:sz w:val="28"/>
          <w:szCs w:val="28"/>
          <w:highlight w:val="none"/>
        </w:rPr>
        <w:t>70万吨通过公路集疏运，</w:t>
      </w:r>
      <w:r>
        <w:rPr>
          <w:rFonts w:hint="eastAsia" w:ascii="Times New Roman" w:hAnsi="Times New Roman" w:cs="Times New Roman"/>
          <w:sz w:val="28"/>
          <w:szCs w:val="28"/>
          <w:highlight w:val="none"/>
        </w:rPr>
        <w:t>5</w:t>
      </w:r>
      <w:r>
        <w:rPr>
          <w:rFonts w:ascii="Times New Roman" w:hAnsi="Times New Roman" w:cs="Times New Roman"/>
          <w:sz w:val="28"/>
          <w:szCs w:val="28"/>
          <w:highlight w:val="none"/>
        </w:rPr>
        <w:t>00万吨通过铁路集疏运需要，疏港</w:t>
      </w:r>
      <w:r>
        <w:rPr>
          <w:rFonts w:hint="eastAsia" w:ascii="Times New Roman" w:hAnsi="Times New Roman" w:cs="Times New Roman"/>
          <w:sz w:val="28"/>
          <w:szCs w:val="28"/>
          <w:highlight w:val="none"/>
        </w:rPr>
        <w:t>公路</w:t>
      </w:r>
      <w:r>
        <w:rPr>
          <w:rFonts w:ascii="Times New Roman" w:hAnsi="Times New Roman" w:cs="Times New Roman"/>
          <w:sz w:val="28"/>
          <w:szCs w:val="28"/>
          <w:highlight w:val="none"/>
        </w:rPr>
        <w:t>集疏运量7610pcu/d。公路方面，</w:t>
      </w:r>
      <w:r>
        <w:rPr>
          <w:rFonts w:ascii="Times New Roman" w:hAnsi="Times New Roman" w:eastAsia="宋体" w:cs="Times New Roman"/>
          <w:sz w:val="28"/>
          <w:szCs w:val="28"/>
          <w:highlight w:val="none"/>
        </w:rPr>
        <w:t>县道S215</w:t>
      </w:r>
      <w:r>
        <w:rPr>
          <w:rFonts w:ascii="Times New Roman" w:hAnsi="Times New Roman" w:cs="Times New Roman"/>
          <w:sz w:val="28"/>
          <w:szCs w:val="28"/>
          <w:highlight w:val="none"/>
        </w:rPr>
        <w:t>通过作业区后方，</w:t>
      </w:r>
      <w:r>
        <w:rPr>
          <w:rFonts w:ascii="Times New Roman" w:hAnsi="Times New Roman" w:eastAsia="宋体" w:cs="Times New Roman"/>
          <w:sz w:val="28"/>
          <w:szCs w:val="28"/>
          <w:highlight w:val="none"/>
        </w:rPr>
        <w:t>可便捷连接乐宜高速、</w:t>
      </w:r>
      <w:r>
        <w:rPr>
          <w:rFonts w:ascii="Times New Roman" w:hAnsi="Times New Roman" w:cs="Times New Roman"/>
          <w:sz w:val="28"/>
          <w:szCs w:val="28"/>
          <w:highlight w:val="none"/>
        </w:rPr>
        <w:t>蓉丽高速</w:t>
      </w:r>
      <w:r>
        <w:rPr>
          <w:rFonts w:ascii="Times New Roman" w:hAnsi="Times New Roman" w:eastAsia="宋体" w:cs="Times New Roman"/>
          <w:sz w:val="28"/>
          <w:szCs w:val="28"/>
          <w:highlight w:val="none"/>
        </w:rPr>
        <w:t>等干线公路，但道路等级较低</w:t>
      </w:r>
      <w:r>
        <w:rPr>
          <w:rFonts w:ascii="Times New Roman" w:hAnsi="Times New Roman" w:cs="Times New Roman"/>
          <w:sz w:val="28"/>
          <w:szCs w:val="28"/>
          <w:highlight w:val="none"/>
        </w:rPr>
        <w:t>，</w:t>
      </w:r>
      <w:r>
        <w:rPr>
          <w:rFonts w:ascii="Times New Roman" w:hAnsi="Times New Roman" w:eastAsia="宋体" w:cs="Times New Roman"/>
          <w:sz w:val="28"/>
          <w:szCs w:val="28"/>
          <w:highlight w:val="none"/>
        </w:rPr>
        <w:t>规划省道S215线犍为岷江大桥至孝姑段（进港大道东）一级路14km。</w:t>
      </w:r>
      <w:r>
        <w:rPr>
          <w:rFonts w:ascii="Times New Roman" w:hAnsi="Times New Roman" w:cs="Times New Roman"/>
          <w:sz w:val="28"/>
          <w:szCs w:val="28"/>
          <w:highlight w:val="none"/>
        </w:rPr>
        <w:t>铁路方面，</w:t>
      </w:r>
      <w:r>
        <w:rPr>
          <w:rFonts w:ascii="Times New Roman" w:hAnsi="Times New Roman" w:eastAsia="宋体" w:cs="Times New Roman"/>
          <w:sz w:val="28"/>
          <w:szCs w:val="28"/>
          <w:highlight w:val="none"/>
        </w:rPr>
        <w:t>连乐铁路建成后，规划建设进港铁路专线15km，起于五通桥区金粟镇，经岷东、舞雩、下渡，止于高石坝作业区</w:t>
      </w:r>
      <w:r>
        <w:rPr>
          <w:rFonts w:ascii="Times New Roman" w:hAnsi="Times New Roman" w:cs="Times New Roman"/>
          <w:sz w:val="28"/>
          <w:szCs w:val="28"/>
          <w:highlight w:val="none"/>
        </w:rPr>
        <w:t>。</w:t>
      </w:r>
      <w:r>
        <w:rPr>
          <w:rFonts w:ascii="Times New Roman" w:hAnsi="Times New Roman" w:eastAsia="宋体" w:cs="Times New Roman"/>
          <w:sz w:val="28"/>
          <w:szCs w:val="28"/>
          <w:highlight w:val="none"/>
        </w:rPr>
        <w:t>通过高石坝作业区进港铁路，形成与内江、成都等地连接的快速铁水联运通道。</w:t>
      </w:r>
    </w:p>
    <w:p>
      <w:pPr>
        <w:pStyle w:val="20"/>
        <w:ind w:left="0" w:leftChars="0" w:firstLine="562" w:firstLineChars="200"/>
        <w:rPr>
          <w:rFonts w:ascii="Times New Roman" w:hAnsi="Times New Roman" w:cs="Times New Roman"/>
          <w:b/>
          <w:sz w:val="28"/>
          <w:szCs w:val="28"/>
          <w:highlight w:val="none"/>
        </w:rPr>
      </w:pPr>
      <w:r>
        <w:rPr>
          <w:rFonts w:ascii="Times New Roman" w:hAnsi="Times New Roman" w:cs="Times New Roman"/>
          <w:b/>
          <w:sz w:val="28"/>
          <w:szCs w:val="28"/>
          <w:highlight w:val="none"/>
        </w:rPr>
        <w:t>2.新民水上服务中心：</w:t>
      </w:r>
      <w:r>
        <w:rPr>
          <w:rFonts w:ascii="Times New Roman" w:hAnsi="Times New Roman" w:eastAsia="宋体" w:cs="Times New Roman"/>
          <w:sz w:val="28"/>
          <w:szCs w:val="28"/>
          <w:highlight w:val="none"/>
        </w:rPr>
        <w:t>县道S215</w:t>
      </w:r>
      <w:r>
        <w:rPr>
          <w:rFonts w:ascii="Times New Roman" w:hAnsi="Times New Roman" w:cs="Times New Roman"/>
          <w:sz w:val="28"/>
          <w:szCs w:val="28"/>
          <w:highlight w:val="none"/>
        </w:rPr>
        <w:t>、滨江道路通过服务中心后方，可作为集疏运道路。</w:t>
      </w:r>
    </w:p>
    <w:p>
      <w:pPr>
        <w:pStyle w:val="20"/>
        <w:ind w:left="0" w:leftChars="0" w:firstLine="562" w:firstLineChars="200"/>
        <w:rPr>
          <w:rFonts w:ascii="Times New Roman" w:hAnsi="Times New Roman" w:cs="Times New Roman"/>
          <w:b/>
          <w:sz w:val="28"/>
          <w:szCs w:val="28"/>
          <w:highlight w:val="none"/>
        </w:rPr>
      </w:pPr>
      <w:r>
        <w:rPr>
          <w:rFonts w:ascii="Times New Roman" w:hAnsi="Times New Roman" w:cs="Times New Roman"/>
          <w:b/>
          <w:sz w:val="28"/>
          <w:szCs w:val="28"/>
          <w:highlight w:val="none"/>
        </w:rPr>
        <w:t>（四）沐川港区</w:t>
      </w:r>
    </w:p>
    <w:p>
      <w:pPr>
        <w:pStyle w:val="2"/>
        <w:ind w:firstLine="562" w:firstLineChars="200"/>
        <w:rPr>
          <w:rFonts w:ascii="Times New Roman" w:cs="Times New Roman"/>
          <w:color w:val="auto"/>
          <w:sz w:val="28"/>
          <w:szCs w:val="28"/>
          <w:highlight w:val="none"/>
        </w:rPr>
      </w:pPr>
      <w:r>
        <w:rPr>
          <w:rFonts w:ascii="Times New Roman" w:cs="Times New Roman" w:eastAsiaTheme="minorEastAsia"/>
          <w:b/>
          <w:color w:val="auto"/>
          <w:kern w:val="2"/>
          <w:sz w:val="28"/>
          <w:szCs w:val="28"/>
          <w:highlight w:val="none"/>
        </w:rPr>
        <w:t>1.罗家坝作业区：</w:t>
      </w:r>
      <w:r>
        <w:rPr>
          <w:rFonts w:ascii="Times New Roman" w:cs="Times New Roman"/>
          <w:color w:val="auto"/>
          <w:sz w:val="28"/>
          <w:szCs w:val="28"/>
          <w:highlight w:val="none"/>
        </w:rPr>
        <w:t>2035年通过能力为件杂货60万t、散货300万t，需要疏港道路集疏运量2630pcu/d。作业区紧邻规划的沐川县炭库临港工业园，规划S310线沐川县箭板镇至新凡段新改建工程（新凡至炭库段）一级路26km。</w:t>
      </w:r>
      <w:r>
        <w:rPr>
          <w:rFonts w:hint="eastAsia" w:ascii="Times New Roman" w:cs="Times New Roman"/>
          <w:color w:val="auto"/>
          <w:sz w:val="28"/>
          <w:szCs w:val="28"/>
          <w:highlight w:val="none"/>
        </w:rPr>
        <w:t>为了实现马边磷矿从乐山港罗家坝作业区下水，利用建老路改建二级路</w:t>
      </w:r>
      <w:r>
        <w:rPr>
          <w:rFonts w:ascii="Times New Roman" w:cs="Times New Roman"/>
          <w:color w:val="auto"/>
          <w:sz w:val="28"/>
          <w:szCs w:val="28"/>
          <w:highlight w:val="none"/>
        </w:rPr>
        <w:t>15km</w:t>
      </w:r>
      <w:r>
        <w:rPr>
          <w:rFonts w:hint="eastAsia" w:ascii="Times New Roman" w:cs="Times New Roman"/>
          <w:color w:val="auto"/>
          <w:sz w:val="28"/>
          <w:szCs w:val="28"/>
          <w:highlight w:val="none"/>
        </w:rPr>
        <w:t>，新建二级路</w:t>
      </w:r>
      <w:r>
        <w:rPr>
          <w:rFonts w:ascii="Times New Roman" w:cs="Times New Roman"/>
          <w:color w:val="auto"/>
          <w:sz w:val="28"/>
          <w:szCs w:val="28"/>
          <w:highlight w:val="none"/>
        </w:rPr>
        <w:t>15km</w:t>
      </w:r>
      <w:r>
        <w:rPr>
          <w:rFonts w:hint="eastAsia" w:ascii="Times New Roman" w:cs="Times New Roman"/>
          <w:color w:val="auto"/>
          <w:sz w:val="28"/>
          <w:szCs w:val="28"/>
          <w:highlight w:val="none"/>
        </w:rPr>
        <w:t>。远期规划铁路专用线连接马边县磷矿区至沐川港区罗家坝作业区。</w:t>
      </w:r>
    </w:p>
    <w:p>
      <w:pPr>
        <w:pStyle w:val="20"/>
        <w:ind w:left="0" w:leftChars="0" w:firstLine="562" w:firstLineChars="200"/>
        <w:rPr>
          <w:rFonts w:ascii="Times New Roman" w:hAnsi="Times New Roman" w:cs="Times New Roman"/>
          <w:sz w:val="28"/>
          <w:szCs w:val="28"/>
          <w:highlight w:val="none"/>
        </w:rPr>
      </w:pPr>
      <w:r>
        <w:rPr>
          <w:rFonts w:ascii="Times New Roman" w:hAnsi="Times New Roman" w:cs="Times New Roman"/>
          <w:b/>
          <w:sz w:val="28"/>
          <w:szCs w:val="28"/>
          <w:highlight w:val="none"/>
        </w:rPr>
        <w:t>2.炭库古镇旅游客运码头：</w:t>
      </w:r>
      <w:r>
        <w:rPr>
          <w:rFonts w:ascii="Times New Roman" w:hAnsi="Times New Roman" w:cs="Times New Roman"/>
          <w:sz w:val="28"/>
          <w:szCs w:val="28"/>
          <w:highlight w:val="none"/>
        </w:rPr>
        <w:t>2035年通过能力为客运30万人次/年，需要疏港道路集疏运量411pcu/d。规划进港道路（三级路）连接码头后方S310线，里程约1km。</w:t>
      </w:r>
    </w:p>
    <w:p>
      <w:pPr>
        <w:pStyle w:val="2"/>
        <w:ind w:firstLine="562" w:firstLineChars="200"/>
        <w:rPr>
          <w:rFonts w:ascii="Times New Roman" w:cs="Times New Roman"/>
          <w:color w:val="auto"/>
          <w:sz w:val="28"/>
          <w:szCs w:val="28"/>
          <w:highlight w:val="none"/>
        </w:rPr>
      </w:pPr>
      <w:r>
        <w:rPr>
          <w:rFonts w:ascii="Times New Roman" w:cs="Times New Roman" w:eastAsiaTheme="minorEastAsia"/>
          <w:b/>
          <w:color w:val="auto"/>
          <w:kern w:val="2"/>
          <w:sz w:val="28"/>
          <w:szCs w:val="28"/>
          <w:highlight w:val="none"/>
        </w:rPr>
        <w:t>3.茨竹坪散货码头:</w:t>
      </w:r>
      <w:r>
        <w:rPr>
          <w:rFonts w:ascii="Times New Roman" w:cs="Times New Roman"/>
          <w:color w:val="auto"/>
          <w:sz w:val="28"/>
          <w:szCs w:val="28"/>
          <w:highlight w:val="none"/>
        </w:rPr>
        <w:t>2035年通过能力为散货60万t，需要疏港道路集疏运量438pcu/d。国道G348从码头后方经过，规划进港道路（二级路）连接国道G348，里程约2km。</w:t>
      </w:r>
    </w:p>
    <w:p>
      <w:pPr>
        <w:spacing w:line="360" w:lineRule="auto"/>
        <w:ind w:firstLine="562" w:firstLineChars="200"/>
        <w:rPr>
          <w:b/>
          <w:sz w:val="28"/>
          <w:szCs w:val="28"/>
          <w:highlight w:val="none"/>
        </w:rPr>
      </w:pPr>
      <w:r>
        <w:rPr>
          <w:b/>
          <w:sz w:val="28"/>
          <w:szCs w:val="28"/>
          <w:highlight w:val="none"/>
        </w:rPr>
        <w:t>（五）沙湾港区</w:t>
      </w:r>
    </w:p>
    <w:p>
      <w:pPr>
        <w:pStyle w:val="20"/>
        <w:spacing w:after="0"/>
        <w:ind w:left="0" w:leftChars="0" w:firstLine="562" w:firstLineChars="200"/>
        <w:rPr>
          <w:rFonts w:ascii="Times New Roman" w:hAnsi="Times New Roman" w:cs="Times New Roman"/>
          <w:sz w:val="28"/>
          <w:szCs w:val="28"/>
          <w:highlight w:val="none"/>
        </w:rPr>
      </w:pPr>
      <w:r>
        <w:rPr>
          <w:rFonts w:ascii="Times New Roman" w:hAnsi="Times New Roman" w:cs="Times New Roman"/>
          <w:b/>
          <w:sz w:val="28"/>
          <w:szCs w:val="28"/>
          <w:highlight w:val="none"/>
        </w:rPr>
        <w:t>1.</w:t>
      </w:r>
      <w:r>
        <w:rPr>
          <w:rFonts w:hint="eastAsia" w:ascii="Times New Roman" w:hAnsi="Times New Roman" w:cs="Times New Roman"/>
          <w:b/>
          <w:sz w:val="28"/>
          <w:szCs w:val="28"/>
          <w:highlight w:val="none"/>
        </w:rPr>
        <w:t>代湾码头：</w:t>
      </w:r>
      <w:r>
        <w:rPr>
          <w:rFonts w:ascii="Times New Roman" w:hAnsi="Times New Roman" w:cs="Times New Roman"/>
          <w:sz w:val="28"/>
          <w:szCs w:val="28"/>
          <w:highlight w:val="none"/>
        </w:rPr>
        <w:t>2035</w:t>
      </w:r>
      <w:r>
        <w:rPr>
          <w:rFonts w:hint="eastAsia" w:ascii="Times New Roman" w:hAnsi="Times New Roman" w:cs="Times New Roman"/>
          <w:sz w:val="28"/>
          <w:szCs w:val="28"/>
          <w:highlight w:val="none"/>
        </w:rPr>
        <w:t>年通过能力为货运6</w:t>
      </w:r>
      <w:r>
        <w:rPr>
          <w:rFonts w:ascii="Times New Roman" w:hAnsi="Times New Roman" w:cs="Times New Roman"/>
          <w:sz w:val="28"/>
          <w:szCs w:val="28"/>
          <w:highlight w:val="none"/>
        </w:rPr>
        <w:t>0万t/年、</w:t>
      </w:r>
      <w:r>
        <w:rPr>
          <w:rFonts w:hint="eastAsia" w:ascii="Times New Roman" w:hAnsi="Times New Roman" w:cs="Times New Roman"/>
          <w:sz w:val="28"/>
          <w:szCs w:val="28"/>
          <w:highlight w:val="none"/>
        </w:rPr>
        <w:t>客运</w:t>
      </w:r>
      <w:r>
        <w:rPr>
          <w:rFonts w:ascii="Times New Roman" w:hAnsi="Times New Roman" w:cs="Times New Roman"/>
          <w:sz w:val="28"/>
          <w:szCs w:val="28"/>
          <w:highlight w:val="none"/>
        </w:rPr>
        <w:t>30</w:t>
      </w:r>
      <w:r>
        <w:rPr>
          <w:rFonts w:hint="eastAsia" w:ascii="Times New Roman" w:hAnsi="Times New Roman" w:cs="Times New Roman"/>
          <w:sz w:val="28"/>
          <w:szCs w:val="28"/>
          <w:highlight w:val="none"/>
        </w:rPr>
        <w:t>万人次</w:t>
      </w:r>
      <w:r>
        <w:rPr>
          <w:rFonts w:ascii="Times New Roman" w:hAnsi="Times New Roman" w:cs="Times New Roman"/>
          <w:sz w:val="28"/>
          <w:szCs w:val="28"/>
          <w:highlight w:val="none"/>
        </w:rPr>
        <w:t>/</w:t>
      </w:r>
      <w:r>
        <w:rPr>
          <w:rFonts w:hint="eastAsia" w:ascii="Times New Roman" w:hAnsi="Times New Roman" w:cs="Times New Roman"/>
          <w:sz w:val="28"/>
          <w:szCs w:val="28"/>
          <w:highlight w:val="none"/>
        </w:rPr>
        <w:t>年，需要疏港道路集疏运量</w:t>
      </w:r>
      <w:r>
        <w:rPr>
          <w:rFonts w:ascii="Times New Roman" w:hAnsi="Times New Roman" w:cs="Times New Roman"/>
          <w:sz w:val="28"/>
          <w:szCs w:val="28"/>
          <w:highlight w:val="none"/>
        </w:rPr>
        <w:t>849pcu/d</w:t>
      </w:r>
      <w:r>
        <w:rPr>
          <w:rFonts w:hint="eastAsia" w:ascii="Times New Roman" w:hAnsi="Times New Roman" w:cs="Times New Roman"/>
          <w:sz w:val="28"/>
          <w:szCs w:val="28"/>
          <w:highlight w:val="none"/>
        </w:rPr>
        <w:t>。码头后方紧邻乡道，该乡道可作为进港道路。</w:t>
      </w:r>
    </w:p>
    <w:p>
      <w:pPr>
        <w:pStyle w:val="20"/>
        <w:spacing w:after="0"/>
        <w:ind w:left="0" w:leftChars="0" w:firstLine="562" w:firstLineChars="200"/>
        <w:rPr>
          <w:rFonts w:ascii="Times New Roman" w:hAnsi="Times New Roman" w:cs="Times New Roman"/>
          <w:sz w:val="28"/>
          <w:szCs w:val="28"/>
          <w:highlight w:val="none"/>
        </w:rPr>
      </w:pPr>
      <w:r>
        <w:rPr>
          <w:rFonts w:ascii="Times New Roman" w:hAnsi="Times New Roman" w:cs="Times New Roman"/>
          <w:b/>
          <w:sz w:val="28"/>
          <w:szCs w:val="28"/>
          <w:highlight w:val="none"/>
        </w:rPr>
        <w:t>2.</w:t>
      </w:r>
      <w:r>
        <w:rPr>
          <w:rFonts w:hint="eastAsia" w:ascii="Times New Roman" w:hAnsi="Times New Roman" w:cs="Times New Roman"/>
          <w:b/>
          <w:sz w:val="28"/>
          <w:szCs w:val="28"/>
          <w:highlight w:val="none"/>
        </w:rPr>
        <w:t>月亮湾客运码头：</w:t>
      </w:r>
      <w:r>
        <w:rPr>
          <w:rFonts w:ascii="Times New Roman" w:hAnsi="Times New Roman" w:cs="Times New Roman"/>
          <w:sz w:val="28"/>
          <w:szCs w:val="28"/>
          <w:highlight w:val="none"/>
        </w:rPr>
        <w:t>2035</w:t>
      </w:r>
      <w:r>
        <w:rPr>
          <w:rFonts w:hint="eastAsia" w:ascii="Times New Roman" w:hAnsi="Times New Roman" w:cs="Times New Roman"/>
          <w:sz w:val="28"/>
          <w:szCs w:val="28"/>
          <w:highlight w:val="none"/>
        </w:rPr>
        <w:t>年通过能力为客运</w:t>
      </w:r>
      <w:r>
        <w:rPr>
          <w:rFonts w:ascii="Times New Roman" w:hAnsi="Times New Roman" w:cs="Times New Roman"/>
          <w:sz w:val="28"/>
          <w:szCs w:val="28"/>
          <w:highlight w:val="none"/>
        </w:rPr>
        <w:t>60</w:t>
      </w:r>
      <w:r>
        <w:rPr>
          <w:rFonts w:hint="eastAsia" w:ascii="Times New Roman" w:hAnsi="Times New Roman" w:cs="Times New Roman"/>
          <w:sz w:val="28"/>
          <w:szCs w:val="28"/>
          <w:highlight w:val="none"/>
        </w:rPr>
        <w:t>万人次</w:t>
      </w:r>
      <w:r>
        <w:rPr>
          <w:rFonts w:ascii="Times New Roman" w:hAnsi="Times New Roman" w:cs="Times New Roman"/>
          <w:sz w:val="28"/>
          <w:szCs w:val="28"/>
          <w:highlight w:val="none"/>
        </w:rPr>
        <w:t>/</w:t>
      </w:r>
      <w:r>
        <w:rPr>
          <w:rFonts w:hint="eastAsia" w:ascii="Times New Roman" w:hAnsi="Times New Roman" w:cs="Times New Roman"/>
          <w:sz w:val="28"/>
          <w:szCs w:val="28"/>
          <w:highlight w:val="none"/>
        </w:rPr>
        <w:t>年，需要疏港道路集疏运量</w:t>
      </w:r>
      <w:r>
        <w:rPr>
          <w:rFonts w:ascii="Times New Roman" w:hAnsi="Times New Roman" w:cs="Times New Roman"/>
          <w:sz w:val="28"/>
          <w:szCs w:val="28"/>
          <w:highlight w:val="none"/>
        </w:rPr>
        <w:t>822pcu/d</w:t>
      </w:r>
      <w:r>
        <w:rPr>
          <w:rFonts w:hint="eastAsia" w:ascii="Times New Roman" w:hAnsi="Times New Roman" w:cs="Times New Roman"/>
          <w:sz w:val="28"/>
          <w:szCs w:val="28"/>
          <w:highlight w:val="none"/>
        </w:rPr>
        <w:t>。码头后方紧邻乡道，该乡道可作为进港道路。</w:t>
      </w:r>
    </w:p>
    <w:p>
      <w:pPr>
        <w:spacing w:line="360" w:lineRule="auto"/>
        <w:ind w:firstLine="562" w:firstLineChars="200"/>
        <w:rPr>
          <w:b/>
          <w:sz w:val="28"/>
          <w:szCs w:val="28"/>
          <w:highlight w:val="none"/>
        </w:rPr>
      </w:pPr>
      <w:r>
        <w:rPr>
          <w:b/>
          <w:sz w:val="28"/>
          <w:szCs w:val="28"/>
          <w:highlight w:val="none"/>
        </w:rPr>
        <w:t>（六）峨边港区</w:t>
      </w:r>
    </w:p>
    <w:p>
      <w:pPr>
        <w:pStyle w:val="20"/>
        <w:spacing w:after="0"/>
        <w:ind w:left="0" w:leftChars="0" w:firstLine="562" w:firstLineChars="200"/>
        <w:rPr>
          <w:rFonts w:ascii="Times New Roman" w:hAnsi="Times New Roman" w:cs="Times New Roman"/>
          <w:sz w:val="28"/>
          <w:szCs w:val="28"/>
          <w:highlight w:val="none"/>
        </w:rPr>
      </w:pPr>
      <w:r>
        <w:rPr>
          <w:rFonts w:ascii="Times New Roman" w:hAnsi="Times New Roman" w:cs="Times New Roman"/>
          <w:b/>
          <w:sz w:val="28"/>
          <w:szCs w:val="28"/>
          <w:highlight w:val="none"/>
        </w:rPr>
        <w:t>1.龚嘴旅游客运作业区：</w:t>
      </w:r>
      <w:r>
        <w:rPr>
          <w:rFonts w:ascii="Times New Roman" w:hAnsi="Times New Roman" w:cs="Times New Roman"/>
          <w:sz w:val="28"/>
          <w:szCs w:val="28"/>
          <w:highlight w:val="none"/>
        </w:rPr>
        <w:t>2035年通过能力为散货120万人次/年，需要疏港道路集疏运量1644pcu/d。规划进港道路（三级路）连接作业区后方省道S309线，里程约1km。</w:t>
      </w:r>
    </w:p>
    <w:p>
      <w:pPr>
        <w:pStyle w:val="20"/>
        <w:spacing w:after="0"/>
        <w:ind w:left="0" w:leftChars="0" w:firstLine="562" w:firstLineChars="200"/>
        <w:rPr>
          <w:rFonts w:ascii="Times New Roman" w:hAnsi="Times New Roman" w:cs="Times New Roman"/>
          <w:sz w:val="28"/>
          <w:szCs w:val="28"/>
          <w:highlight w:val="none"/>
        </w:rPr>
      </w:pPr>
      <w:r>
        <w:rPr>
          <w:rFonts w:ascii="Times New Roman" w:hAnsi="Times New Roman" w:cs="Times New Roman"/>
          <w:b/>
          <w:sz w:val="28"/>
          <w:szCs w:val="28"/>
          <w:highlight w:val="none"/>
        </w:rPr>
        <w:t>2.龙眼坝码头：</w:t>
      </w:r>
      <w:r>
        <w:rPr>
          <w:rFonts w:ascii="Times New Roman" w:hAnsi="Times New Roman" w:cs="Times New Roman"/>
          <w:sz w:val="28"/>
          <w:szCs w:val="28"/>
          <w:highlight w:val="none"/>
        </w:rPr>
        <w:t>2035年通过能力为散货60万t，需要疏港道路集疏运量438pcu/d。规划进港道路（二级路）连接码头后方省道S306（国道245）线，里程约2km。</w:t>
      </w:r>
    </w:p>
    <w:p>
      <w:pPr>
        <w:pStyle w:val="20"/>
        <w:spacing w:after="0"/>
        <w:ind w:left="0" w:leftChars="0" w:firstLine="562" w:firstLineChars="200"/>
        <w:rPr>
          <w:rFonts w:ascii="Times New Roman" w:hAnsi="Times New Roman" w:cs="Times New Roman"/>
          <w:sz w:val="28"/>
          <w:szCs w:val="28"/>
          <w:highlight w:val="none"/>
        </w:rPr>
      </w:pPr>
      <w:r>
        <w:rPr>
          <w:rFonts w:ascii="Times New Roman" w:hAnsi="Times New Roman" w:cs="Times New Roman"/>
          <w:b/>
          <w:sz w:val="28"/>
          <w:szCs w:val="28"/>
          <w:highlight w:val="none"/>
        </w:rPr>
        <w:t>3.白果散货码头：</w:t>
      </w:r>
      <w:r>
        <w:rPr>
          <w:rFonts w:ascii="Times New Roman" w:hAnsi="Times New Roman" w:cs="Times New Roman"/>
          <w:sz w:val="28"/>
          <w:szCs w:val="28"/>
          <w:highlight w:val="none"/>
        </w:rPr>
        <w:t>2035年通过能力为散货80万t，需要疏港道路集疏运量584pcu/d。规划进港道路（二级路）连接码头后方省道S309线，里程约2km。</w:t>
      </w:r>
    </w:p>
    <w:p>
      <w:pPr>
        <w:pStyle w:val="20"/>
        <w:spacing w:after="0"/>
        <w:ind w:left="0" w:leftChars="0" w:firstLine="562" w:firstLineChars="200"/>
        <w:rPr>
          <w:rFonts w:ascii="Times New Roman" w:hAnsi="Times New Roman" w:cs="Times New Roman"/>
          <w:sz w:val="28"/>
          <w:szCs w:val="28"/>
          <w:highlight w:val="none"/>
        </w:rPr>
      </w:pPr>
      <w:r>
        <w:rPr>
          <w:rFonts w:ascii="Times New Roman" w:hAnsi="Times New Roman" w:cs="Times New Roman"/>
          <w:b/>
          <w:sz w:val="28"/>
          <w:szCs w:val="28"/>
          <w:highlight w:val="none"/>
        </w:rPr>
        <w:t>4.五渡客运码头：</w:t>
      </w:r>
      <w:r>
        <w:rPr>
          <w:rFonts w:ascii="Times New Roman" w:hAnsi="Times New Roman" w:cs="Times New Roman"/>
          <w:sz w:val="28"/>
          <w:szCs w:val="28"/>
          <w:highlight w:val="none"/>
        </w:rPr>
        <w:t>2035年通过能力为客运60万人次/年，需要疏港道路集疏运量822pcu/d。乡道004紧邻码头，可作为进港道路。</w:t>
      </w:r>
    </w:p>
    <w:p>
      <w:pPr>
        <w:pStyle w:val="20"/>
        <w:spacing w:after="0"/>
        <w:ind w:left="0" w:leftChars="0" w:firstLine="562" w:firstLineChars="200"/>
        <w:rPr>
          <w:rFonts w:ascii="Times New Roman" w:hAnsi="Times New Roman" w:cs="Times New Roman"/>
          <w:sz w:val="28"/>
          <w:szCs w:val="28"/>
          <w:highlight w:val="none"/>
        </w:rPr>
      </w:pPr>
      <w:r>
        <w:rPr>
          <w:rFonts w:ascii="Times New Roman" w:hAnsi="Times New Roman" w:cs="Times New Roman"/>
          <w:b/>
          <w:sz w:val="28"/>
          <w:szCs w:val="28"/>
          <w:highlight w:val="none"/>
        </w:rPr>
        <w:t>5.</w:t>
      </w:r>
      <w:r>
        <w:rPr>
          <w:rFonts w:hint="eastAsia" w:ascii="Times New Roman" w:hAnsi="Times New Roman" w:cs="Times New Roman"/>
          <w:b/>
          <w:sz w:val="28"/>
          <w:szCs w:val="28"/>
          <w:highlight w:val="none"/>
        </w:rPr>
        <w:t>五渡货运码头：</w:t>
      </w:r>
      <w:r>
        <w:rPr>
          <w:rFonts w:ascii="Times New Roman" w:cs="Times New Roman"/>
          <w:b/>
          <w:sz w:val="28"/>
          <w:szCs w:val="28"/>
          <w:highlight w:val="none"/>
        </w:rPr>
        <w:t>2035</w:t>
      </w:r>
      <w:r>
        <w:rPr>
          <w:rFonts w:hint="eastAsia" w:ascii="Times New Roman" w:hAnsi="Times New Roman" w:cs="Times New Roman"/>
          <w:sz w:val="28"/>
          <w:szCs w:val="28"/>
          <w:highlight w:val="none"/>
        </w:rPr>
        <w:t>年通过能力为散货</w:t>
      </w:r>
      <w:r>
        <w:rPr>
          <w:rFonts w:ascii="Times New Roman" w:hAnsi="Times New Roman" w:cs="Times New Roman"/>
          <w:sz w:val="28"/>
          <w:szCs w:val="28"/>
          <w:highlight w:val="none"/>
        </w:rPr>
        <w:t>100</w:t>
      </w:r>
      <w:r>
        <w:rPr>
          <w:rFonts w:hint="eastAsia" w:ascii="Times New Roman" w:hAnsi="Times New Roman" w:cs="Times New Roman"/>
          <w:sz w:val="28"/>
          <w:szCs w:val="28"/>
          <w:highlight w:val="none"/>
        </w:rPr>
        <w:t>万</w:t>
      </w:r>
      <w:r>
        <w:rPr>
          <w:rFonts w:ascii="Times New Roman" w:hAnsi="Times New Roman" w:cs="Times New Roman"/>
          <w:sz w:val="28"/>
          <w:szCs w:val="28"/>
          <w:highlight w:val="none"/>
        </w:rPr>
        <w:t>t</w:t>
      </w:r>
      <w:r>
        <w:rPr>
          <w:rFonts w:hint="eastAsia" w:ascii="Times New Roman" w:hAnsi="Times New Roman" w:cs="Times New Roman"/>
          <w:sz w:val="28"/>
          <w:szCs w:val="28"/>
          <w:highlight w:val="none"/>
        </w:rPr>
        <w:t>，需要疏港道路集疏运量</w:t>
      </w:r>
      <w:r>
        <w:rPr>
          <w:rFonts w:ascii="Times New Roman" w:hAnsi="Times New Roman" w:cs="Times New Roman"/>
          <w:sz w:val="28"/>
          <w:szCs w:val="28"/>
          <w:highlight w:val="none"/>
        </w:rPr>
        <w:t>731pcu/d</w:t>
      </w:r>
      <w:r>
        <w:rPr>
          <w:rFonts w:hint="eastAsia" w:ascii="Times New Roman" w:hAnsi="Times New Roman" w:cs="Times New Roman"/>
          <w:sz w:val="28"/>
          <w:szCs w:val="28"/>
          <w:highlight w:val="none"/>
        </w:rPr>
        <w:t>。乡道</w:t>
      </w:r>
      <w:r>
        <w:rPr>
          <w:rFonts w:ascii="Times New Roman" w:hAnsi="Times New Roman" w:cs="Times New Roman"/>
          <w:sz w:val="28"/>
          <w:szCs w:val="28"/>
          <w:highlight w:val="none"/>
        </w:rPr>
        <w:t>004</w:t>
      </w:r>
      <w:r>
        <w:rPr>
          <w:rFonts w:hint="eastAsia" w:ascii="Times New Roman" w:hAnsi="Times New Roman" w:cs="Times New Roman"/>
          <w:sz w:val="28"/>
          <w:szCs w:val="28"/>
          <w:highlight w:val="none"/>
        </w:rPr>
        <w:t>紧邻码头，可作为进港道路。</w:t>
      </w:r>
    </w:p>
    <w:p>
      <w:pPr>
        <w:spacing w:line="360" w:lineRule="auto"/>
        <w:ind w:firstLine="562" w:firstLineChars="200"/>
        <w:rPr>
          <w:b/>
          <w:sz w:val="28"/>
          <w:szCs w:val="28"/>
          <w:highlight w:val="none"/>
        </w:rPr>
      </w:pPr>
      <w:r>
        <w:rPr>
          <w:b/>
          <w:sz w:val="28"/>
          <w:szCs w:val="28"/>
          <w:highlight w:val="none"/>
        </w:rPr>
        <w:t>（七）金口河港区</w:t>
      </w:r>
    </w:p>
    <w:p>
      <w:pPr>
        <w:pStyle w:val="2"/>
        <w:ind w:firstLine="562" w:firstLineChars="200"/>
        <w:rPr>
          <w:rFonts w:ascii="Times New Roman" w:cs="Times New Roman" w:eastAsiaTheme="minorEastAsia"/>
          <w:b/>
          <w:color w:val="auto"/>
          <w:kern w:val="2"/>
          <w:sz w:val="28"/>
          <w:szCs w:val="28"/>
          <w:highlight w:val="none"/>
        </w:rPr>
      </w:pPr>
      <w:r>
        <w:rPr>
          <w:rFonts w:ascii="Times New Roman" w:cs="Times New Roman" w:eastAsiaTheme="minorEastAsia"/>
          <w:b/>
          <w:color w:val="auto"/>
          <w:kern w:val="2"/>
          <w:sz w:val="28"/>
          <w:szCs w:val="28"/>
          <w:highlight w:val="none"/>
        </w:rPr>
        <w:t>1.大峡谷旅游客运码头：</w:t>
      </w:r>
      <w:r>
        <w:rPr>
          <w:rFonts w:ascii="Times New Roman" w:cs="Times New Roman" w:eastAsiaTheme="minorEastAsia"/>
          <w:color w:val="auto"/>
          <w:kern w:val="2"/>
          <w:sz w:val="28"/>
          <w:szCs w:val="28"/>
          <w:highlight w:val="none"/>
        </w:rPr>
        <w:t>省道S306（国道G245）紧邻码头后方，可作为进港大道。</w:t>
      </w:r>
    </w:p>
    <w:p>
      <w:pPr>
        <w:spacing w:line="360" w:lineRule="auto"/>
        <w:ind w:firstLine="562" w:firstLineChars="200"/>
        <w:rPr>
          <w:b/>
          <w:sz w:val="28"/>
          <w:szCs w:val="28"/>
          <w:highlight w:val="none"/>
        </w:rPr>
      </w:pPr>
      <w:r>
        <w:rPr>
          <w:b/>
          <w:sz w:val="28"/>
          <w:szCs w:val="28"/>
          <w:highlight w:val="none"/>
        </w:rPr>
        <w:t>（八）夹江港区</w:t>
      </w:r>
    </w:p>
    <w:p>
      <w:pPr>
        <w:pStyle w:val="20"/>
        <w:ind w:left="0" w:leftChars="0" w:firstLine="562" w:firstLineChars="200"/>
        <w:rPr>
          <w:rFonts w:ascii="Times New Roman" w:hAnsi="Times New Roman" w:cs="Times New Roman"/>
          <w:sz w:val="28"/>
          <w:szCs w:val="28"/>
          <w:highlight w:val="none"/>
        </w:rPr>
      </w:pPr>
      <w:r>
        <w:rPr>
          <w:rFonts w:ascii="Times New Roman" w:hAnsi="Times New Roman" w:cs="Times New Roman"/>
          <w:b/>
          <w:sz w:val="28"/>
          <w:szCs w:val="28"/>
          <w:highlight w:val="none"/>
        </w:rPr>
        <w:t>1.柏杨湾旅游客运码头：</w:t>
      </w:r>
      <w:r>
        <w:rPr>
          <w:rFonts w:ascii="Times New Roman" w:hAnsi="Times New Roman" w:cs="Times New Roman"/>
          <w:sz w:val="28"/>
          <w:szCs w:val="28"/>
          <w:highlight w:val="none"/>
        </w:rPr>
        <w:t>2035年通过能力为散货60万人次/年，需要疏港道路集疏运量820pcu/d。规划进港道路（三级路）连接作业区后方千佛大道，里程约1km。</w:t>
      </w:r>
    </w:p>
    <w:p>
      <w:pPr>
        <w:pStyle w:val="20"/>
        <w:ind w:left="0" w:leftChars="0" w:firstLine="562" w:firstLineChars="200"/>
        <w:rPr>
          <w:rFonts w:ascii="Times New Roman" w:hAnsi="Times New Roman" w:cs="Times New Roman"/>
          <w:sz w:val="28"/>
          <w:szCs w:val="28"/>
          <w:highlight w:val="none"/>
        </w:rPr>
      </w:pPr>
      <w:r>
        <w:rPr>
          <w:rFonts w:ascii="Times New Roman" w:hAnsi="Times New Roman" w:cs="Times New Roman"/>
          <w:b/>
          <w:sz w:val="28"/>
          <w:szCs w:val="28"/>
          <w:highlight w:val="none"/>
        </w:rPr>
        <w:t>2.佩玉泉旅游客运码头：</w:t>
      </w:r>
      <w:r>
        <w:rPr>
          <w:rFonts w:ascii="Times New Roman" w:hAnsi="Times New Roman" w:cs="Times New Roman"/>
          <w:sz w:val="28"/>
          <w:szCs w:val="28"/>
          <w:highlight w:val="none"/>
        </w:rPr>
        <w:t>2035年通过能力为客运40万人次/年，需要疏港道路集疏运量548pcu/d。规划进港道路（三级路）连接码头后方县道X145，里程约1km。</w:t>
      </w:r>
    </w:p>
    <w:p>
      <w:pPr>
        <w:pStyle w:val="20"/>
        <w:ind w:left="0" w:leftChars="0" w:firstLine="560" w:firstLineChars="200"/>
        <w:rPr>
          <w:rFonts w:ascii="Times New Roman" w:hAnsi="Times New Roman" w:cs="Times New Roman"/>
          <w:sz w:val="28"/>
          <w:szCs w:val="28"/>
          <w:highlight w:val="none"/>
        </w:rPr>
        <w:sectPr>
          <w:pgSz w:w="11906" w:h="16838"/>
          <w:pgMar w:top="1440" w:right="1418" w:bottom="1440" w:left="1418" w:header="851" w:footer="992" w:gutter="0"/>
          <w:cols w:space="425" w:num="1"/>
          <w:docGrid w:type="lines" w:linePitch="312" w:charSpace="0"/>
        </w:sectPr>
      </w:pPr>
      <w:r>
        <w:rPr>
          <w:rFonts w:ascii="Times New Roman" w:hAnsi="Times New Roman" w:cs="Times New Roman"/>
          <w:sz w:val="28"/>
          <w:szCs w:val="28"/>
          <w:highlight w:val="none"/>
        </w:rPr>
        <w:t>各作业区及码头集疏运通道规划见表7.1-1。</w:t>
      </w:r>
    </w:p>
    <w:p>
      <w:pPr>
        <w:ind w:firstLine="560" w:firstLineChars="200"/>
        <w:jc w:val="center"/>
        <w:rPr>
          <w:rFonts w:eastAsia="黑体"/>
          <w:sz w:val="28"/>
          <w:szCs w:val="28"/>
          <w:highlight w:val="none"/>
        </w:rPr>
      </w:pPr>
      <w:r>
        <w:rPr>
          <w:rFonts w:eastAsia="黑体"/>
          <w:sz w:val="28"/>
          <w:szCs w:val="28"/>
          <w:highlight w:val="none"/>
        </w:rPr>
        <w:t>表7.1-1 各规划作业区及码头集疏运通道规划表</w:t>
      </w:r>
    </w:p>
    <w:tbl>
      <w:tblPr>
        <w:tblStyle w:val="32"/>
        <w:tblW w:w="5000" w:type="pct"/>
        <w:tblInd w:w="0" w:type="dxa"/>
        <w:tblBorders>
          <w:top w:val="thinThickSmallGap" w:color="000000" w:themeColor="text1" w:sz="18" w:space="0"/>
          <w:left w:val="none" w:color="auto" w:sz="0" w:space="0"/>
          <w:bottom w:val="thickThinSmallGap" w:color="auto" w:sz="18"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38"/>
        <w:gridCol w:w="2694"/>
        <w:gridCol w:w="2549"/>
        <w:gridCol w:w="1131"/>
        <w:gridCol w:w="2124"/>
        <w:gridCol w:w="2833"/>
        <w:gridCol w:w="695"/>
        <w:gridCol w:w="910"/>
      </w:tblGrid>
      <w:tr>
        <w:tblPrEx>
          <w:tblBorders>
            <w:top w:val="thinThickSmallGap" w:color="000000" w:themeColor="text1"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0" w:hRule="atLeast"/>
          <w:tblHeader/>
        </w:trPr>
        <w:tc>
          <w:tcPr>
            <w:tcW w:w="437" w:type="pct"/>
            <w:shd w:val="clear" w:color="auto" w:fill="auto"/>
            <w:vAlign w:val="center"/>
          </w:tcPr>
          <w:p>
            <w:pPr>
              <w:widowControl/>
              <w:jc w:val="center"/>
              <w:rPr>
                <w:b/>
                <w:bCs/>
                <w:kern w:val="0"/>
                <w:sz w:val="20"/>
                <w:szCs w:val="20"/>
                <w:highlight w:val="none"/>
              </w:rPr>
            </w:pPr>
            <w:r>
              <w:rPr>
                <w:b/>
                <w:bCs/>
                <w:kern w:val="0"/>
                <w:sz w:val="20"/>
                <w:szCs w:val="20"/>
                <w:highlight w:val="none"/>
              </w:rPr>
              <w:t>港区名称</w:t>
            </w:r>
          </w:p>
        </w:tc>
        <w:tc>
          <w:tcPr>
            <w:tcW w:w="950" w:type="pct"/>
            <w:shd w:val="clear" w:color="auto" w:fill="auto"/>
            <w:vAlign w:val="center"/>
          </w:tcPr>
          <w:p>
            <w:pPr>
              <w:widowControl/>
              <w:jc w:val="center"/>
              <w:rPr>
                <w:b/>
                <w:bCs/>
                <w:kern w:val="0"/>
                <w:sz w:val="20"/>
                <w:szCs w:val="20"/>
                <w:highlight w:val="none"/>
              </w:rPr>
            </w:pPr>
            <w:r>
              <w:rPr>
                <w:b/>
                <w:bCs/>
                <w:kern w:val="0"/>
                <w:sz w:val="20"/>
                <w:szCs w:val="20"/>
                <w:highlight w:val="none"/>
              </w:rPr>
              <w:t>作业区名称（码头）</w:t>
            </w:r>
          </w:p>
        </w:tc>
        <w:tc>
          <w:tcPr>
            <w:tcW w:w="899" w:type="pct"/>
            <w:shd w:val="clear" w:color="auto" w:fill="auto"/>
            <w:vAlign w:val="center"/>
          </w:tcPr>
          <w:p>
            <w:pPr>
              <w:widowControl/>
              <w:jc w:val="center"/>
              <w:rPr>
                <w:b/>
                <w:bCs/>
                <w:kern w:val="0"/>
                <w:sz w:val="20"/>
                <w:szCs w:val="20"/>
                <w:highlight w:val="none"/>
              </w:rPr>
            </w:pPr>
            <w:r>
              <w:rPr>
                <w:b/>
                <w:bCs/>
                <w:kern w:val="0"/>
                <w:sz w:val="20"/>
                <w:szCs w:val="20"/>
                <w:highlight w:val="none"/>
              </w:rPr>
              <w:t>通过能力</w:t>
            </w:r>
          </w:p>
        </w:tc>
        <w:tc>
          <w:tcPr>
            <w:tcW w:w="399" w:type="pct"/>
            <w:shd w:val="clear" w:color="auto" w:fill="auto"/>
            <w:vAlign w:val="center"/>
          </w:tcPr>
          <w:p>
            <w:pPr>
              <w:widowControl/>
              <w:jc w:val="center"/>
              <w:rPr>
                <w:b/>
                <w:bCs/>
                <w:kern w:val="0"/>
                <w:sz w:val="20"/>
                <w:szCs w:val="20"/>
                <w:highlight w:val="none"/>
              </w:rPr>
            </w:pPr>
            <w:r>
              <w:rPr>
                <w:b/>
                <w:bCs/>
                <w:kern w:val="0"/>
                <w:sz w:val="20"/>
                <w:szCs w:val="20"/>
                <w:highlight w:val="none"/>
              </w:rPr>
              <w:t>集疏运量</w:t>
            </w:r>
          </w:p>
          <w:p>
            <w:pPr>
              <w:widowControl/>
              <w:jc w:val="center"/>
              <w:rPr>
                <w:b/>
                <w:bCs/>
                <w:kern w:val="0"/>
                <w:sz w:val="20"/>
                <w:szCs w:val="20"/>
                <w:highlight w:val="none"/>
              </w:rPr>
            </w:pPr>
            <w:r>
              <w:rPr>
                <w:b/>
                <w:bCs/>
                <w:kern w:val="0"/>
                <w:sz w:val="20"/>
                <w:szCs w:val="20"/>
                <w:highlight w:val="none"/>
              </w:rPr>
              <w:t>（pcu/d）</w:t>
            </w:r>
          </w:p>
        </w:tc>
        <w:tc>
          <w:tcPr>
            <w:tcW w:w="749" w:type="pct"/>
            <w:shd w:val="clear" w:color="auto" w:fill="auto"/>
            <w:vAlign w:val="center"/>
          </w:tcPr>
          <w:p>
            <w:pPr>
              <w:widowControl/>
              <w:jc w:val="center"/>
              <w:rPr>
                <w:b/>
                <w:bCs/>
                <w:kern w:val="0"/>
                <w:sz w:val="20"/>
                <w:szCs w:val="20"/>
                <w:highlight w:val="none"/>
              </w:rPr>
            </w:pPr>
            <w:r>
              <w:rPr>
                <w:b/>
                <w:bCs/>
                <w:kern w:val="0"/>
                <w:sz w:val="20"/>
                <w:szCs w:val="20"/>
                <w:highlight w:val="none"/>
              </w:rPr>
              <w:t>后方连接道路</w:t>
            </w:r>
          </w:p>
        </w:tc>
        <w:tc>
          <w:tcPr>
            <w:tcW w:w="999" w:type="pct"/>
            <w:shd w:val="clear" w:color="auto" w:fill="auto"/>
            <w:vAlign w:val="center"/>
          </w:tcPr>
          <w:p>
            <w:pPr>
              <w:widowControl/>
              <w:jc w:val="center"/>
              <w:rPr>
                <w:b/>
                <w:bCs/>
                <w:kern w:val="0"/>
                <w:sz w:val="20"/>
                <w:szCs w:val="20"/>
                <w:highlight w:val="none"/>
              </w:rPr>
            </w:pPr>
            <w:r>
              <w:rPr>
                <w:b/>
                <w:bCs/>
                <w:kern w:val="0"/>
                <w:sz w:val="20"/>
                <w:szCs w:val="20"/>
                <w:highlight w:val="none"/>
              </w:rPr>
              <w:t>集疏运通道名称</w:t>
            </w:r>
          </w:p>
        </w:tc>
        <w:tc>
          <w:tcPr>
            <w:tcW w:w="245" w:type="pct"/>
            <w:shd w:val="clear" w:color="auto" w:fill="auto"/>
            <w:vAlign w:val="center"/>
          </w:tcPr>
          <w:p>
            <w:pPr>
              <w:widowControl/>
              <w:jc w:val="center"/>
              <w:rPr>
                <w:b/>
                <w:bCs/>
                <w:kern w:val="0"/>
                <w:sz w:val="20"/>
                <w:szCs w:val="20"/>
                <w:highlight w:val="none"/>
              </w:rPr>
            </w:pPr>
            <w:r>
              <w:rPr>
                <w:b/>
                <w:bCs/>
                <w:kern w:val="0"/>
                <w:sz w:val="20"/>
                <w:szCs w:val="20"/>
                <w:highlight w:val="none"/>
              </w:rPr>
              <w:t>技术</w:t>
            </w:r>
          </w:p>
          <w:p>
            <w:pPr>
              <w:widowControl/>
              <w:jc w:val="center"/>
              <w:rPr>
                <w:b/>
                <w:bCs/>
                <w:kern w:val="0"/>
                <w:sz w:val="20"/>
                <w:szCs w:val="20"/>
                <w:highlight w:val="none"/>
              </w:rPr>
            </w:pPr>
            <w:r>
              <w:rPr>
                <w:b/>
                <w:bCs/>
                <w:kern w:val="0"/>
                <w:sz w:val="20"/>
                <w:szCs w:val="20"/>
                <w:highlight w:val="none"/>
              </w:rPr>
              <w:t>标准</w:t>
            </w:r>
          </w:p>
        </w:tc>
        <w:tc>
          <w:tcPr>
            <w:tcW w:w="321" w:type="pct"/>
            <w:shd w:val="clear" w:color="auto" w:fill="auto"/>
            <w:vAlign w:val="center"/>
          </w:tcPr>
          <w:p>
            <w:pPr>
              <w:widowControl/>
              <w:jc w:val="center"/>
              <w:rPr>
                <w:b/>
                <w:bCs/>
                <w:kern w:val="0"/>
                <w:sz w:val="20"/>
                <w:szCs w:val="20"/>
                <w:highlight w:val="none"/>
              </w:rPr>
            </w:pPr>
            <w:r>
              <w:rPr>
                <w:b/>
                <w:bCs/>
                <w:kern w:val="0"/>
                <w:sz w:val="20"/>
                <w:szCs w:val="20"/>
                <w:highlight w:val="none"/>
              </w:rPr>
              <w:t>规模（km）</w:t>
            </w:r>
          </w:p>
        </w:tc>
      </w:tr>
      <w:tr>
        <w:tblPrEx>
          <w:tblBorders>
            <w:top w:val="thinThickSmallGap" w:color="000000" w:themeColor="text1"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37" w:type="pct"/>
            <w:vMerge w:val="restart"/>
            <w:vAlign w:val="center"/>
          </w:tcPr>
          <w:p>
            <w:pPr>
              <w:jc w:val="center"/>
              <w:rPr>
                <w:b/>
                <w:bCs/>
                <w:kern w:val="0"/>
                <w:sz w:val="20"/>
                <w:szCs w:val="20"/>
                <w:highlight w:val="none"/>
              </w:rPr>
            </w:pPr>
            <w:r>
              <w:rPr>
                <w:kern w:val="0"/>
                <w:sz w:val="20"/>
                <w:szCs w:val="20"/>
                <w:highlight w:val="none"/>
              </w:rPr>
              <w:t>嘉州港区</w:t>
            </w:r>
          </w:p>
        </w:tc>
        <w:tc>
          <w:tcPr>
            <w:tcW w:w="950" w:type="pct"/>
            <w:vAlign w:val="center"/>
          </w:tcPr>
          <w:p>
            <w:pPr>
              <w:widowControl/>
              <w:jc w:val="center"/>
              <w:rPr>
                <w:b/>
                <w:bCs/>
                <w:kern w:val="0"/>
                <w:sz w:val="20"/>
                <w:szCs w:val="20"/>
                <w:highlight w:val="none"/>
              </w:rPr>
            </w:pPr>
            <w:r>
              <w:rPr>
                <w:kern w:val="0"/>
                <w:sz w:val="20"/>
                <w:szCs w:val="20"/>
                <w:highlight w:val="none"/>
              </w:rPr>
              <w:t>老江坝作业区</w:t>
            </w:r>
            <w:r>
              <w:rPr>
                <w:rFonts w:hint="eastAsia"/>
                <w:kern w:val="0"/>
                <w:sz w:val="20"/>
                <w:szCs w:val="20"/>
                <w:highlight w:val="none"/>
              </w:rPr>
              <w:t>岷江水上应急救援中心</w:t>
            </w:r>
          </w:p>
        </w:tc>
        <w:tc>
          <w:tcPr>
            <w:tcW w:w="899" w:type="pct"/>
            <w:shd w:val="clear" w:color="auto" w:fill="auto"/>
            <w:vAlign w:val="center"/>
          </w:tcPr>
          <w:p>
            <w:pPr>
              <w:widowControl/>
              <w:jc w:val="center"/>
              <w:rPr>
                <w:kern w:val="0"/>
                <w:sz w:val="20"/>
                <w:szCs w:val="20"/>
                <w:highlight w:val="none"/>
              </w:rPr>
            </w:pPr>
          </w:p>
        </w:tc>
        <w:tc>
          <w:tcPr>
            <w:tcW w:w="399" w:type="pct"/>
            <w:shd w:val="clear" w:color="auto" w:fill="auto"/>
            <w:vAlign w:val="center"/>
          </w:tcPr>
          <w:p>
            <w:pPr>
              <w:widowControl/>
              <w:jc w:val="center"/>
              <w:rPr>
                <w:kern w:val="0"/>
                <w:sz w:val="20"/>
                <w:szCs w:val="20"/>
                <w:highlight w:val="none"/>
              </w:rPr>
            </w:pPr>
          </w:p>
        </w:tc>
        <w:tc>
          <w:tcPr>
            <w:tcW w:w="749" w:type="pct"/>
            <w:vAlign w:val="center"/>
          </w:tcPr>
          <w:p>
            <w:pPr>
              <w:widowControl/>
              <w:jc w:val="center"/>
              <w:rPr>
                <w:kern w:val="0"/>
                <w:sz w:val="20"/>
                <w:szCs w:val="20"/>
                <w:highlight w:val="none"/>
              </w:rPr>
            </w:pPr>
            <w:r>
              <w:rPr>
                <w:rFonts w:hint="eastAsia"/>
                <w:kern w:val="0"/>
                <w:sz w:val="20"/>
                <w:szCs w:val="20"/>
                <w:highlight w:val="none"/>
              </w:rPr>
              <w:t>进港大道</w:t>
            </w:r>
          </w:p>
        </w:tc>
        <w:tc>
          <w:tcPr>
            <w:tcW w:w="999" w:type="pct"/>
            <w:vAlign w:val="center"/>
          </w:tcPr>
          <w:p>
            <w:pPr>
              <w:widowControl/>
              <w:jc w:val="center"/>
              <w:rPr>
                <w:kern w:val="0"/>
                <w:sz w:val="20"/>
                <w:szCs w:val="20"/>
                <w:highlight w:val="none"/>
              </w:rPr>
            </w:pPr>
            <w:r>
              <w:rPr>
                <w:rFonts w:hint="eastAsia"/>
                <w:kern w:val="0"/>
                <w:sz w:val="20"/>
                <w:szCs w:val="20"/>
                <w:highlight w:val="none"/>
              </w:rPr>
              <w:t>进港公路</w:t>
            </w:r>
          </w:p>
        </w:tc>
        <w:tc>
          <w:tcPr>
            <w:tcW w:w="245" w:type="pct"/>
            <w:vAlign w:val="center"/>
          </w:tcPr>
          <w:p>
            <w:pPr>
              <w:widowControl/>
              <w:jc w:val="center"/>
              <w:rPr>
                <w:kern w:val="0"/>
                <w:sz w:val="20"/>
                <w:szCs w:val="20"/>
                <w:highlight w:val="none"/>
              </w:rPr>
            </w:pPr>
            <w:r>
              <w:rPr>
                <w:rFonts w:hint="eastAsia"/>
                <w:kern w:val="0"/>
                <w:sz w:val="20"/>
                <w:szCs w:val="20"/>
                <w:highlight w:val="none"/>
              </w:rPr>
              <w:t>三级</w:t>
            </w:r>
          </w:p>
        </w:tc>
        <w:tc>
          <w:tcPr>
            <w:tcW w:w="321" w:type="pct"/>
            <w:vAlign w:val="center"/>
          </w:tcPr>
          <w:p>
            <w:pPr>
              <w:widowControl/>
              <w:jc w:val="center"/>
              <w:rPr>
                <w:kern w:val="0"/>
                <w:sz w:val="20"/>
                <w:szCs w:val="20"/>
                <w:highlight w:val="none"/>
              </w:rPr>
            </w:pPr>
            <w:r>
              <w:rPr>
                <w:kern w:val="0"/>
                <w:sz w:val="20"/>
                <w:szCs w:val="20"/>
                <w:highlight w:val="none"/>
              </w:rPr>
              <w:t>1</w:t>
            </w:r>
          </w:p>
        </w:tc>
      </w:tr>
      <w:tr>
        <w:tblPrEx>
          <w:tblBorders>
            <w:top w:val="thinThickSmallGap" w:color="000000" w:themeColor="text1"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437" w:type="pct"/>
            <w:vMerge w:val="continue"/>
            <w:shd w:val="clear" w:color="auto" w:fill="auto"/>
            <w:vAlign w:val="center"/>
          </w:tcPr>
          <w:p>
            <w:pPr>
              <w:widowControl/>
              <w:jc w:val="center"/>
              <w:rPr>
                <w:kern w:val="0"/>
                <w:sz w:val="20"/>
                <w:szCs w:val="20"/>
                <w:highlight w:val="none"/>
              </w:rPr>
            </w:pPr>
          </w:p>
        </w:tc>
        <w:tc>
          <w:tcPr>
            <w:tcW w:w="950" w:type="pct"/>
            <w:shd w:val="clear" w:color="auto" w:fill="auto"/>
            <w:vAlign w:val="center"/>
          </w:tcPr>
          <w:p>
            <w:pPr>
              <w:widowControl/>
              <w:jc w:val="center"/>
              <w:rPr>
                <w:kern w:val="0"/>
                <w:sz w:val="20"/>
                <w:szCs w:val="20"/>
                <w:highlight w:val="none"/>
              </w:rPr>
            </w:pPr>
            <w:r>
              <w:rPr>
                <w:kern w:val="0"/>
                <w:sz w:val="20"/>
                <w:szCs w:val="20"/>
                <w:highlight w:val="none"/>
              </w:rPr>
              <w:t>老江坝作业区游轮码头</w:t>
            </w:r>
          </w:p>
        </w:tc>
        <w:tc>
          <w:tcPr>
            <w:tcW w:w="899" w:type="pct"/>
            <w:shd w:val="clear" w:color="auto" w:fill="auto"/>
            <w:vAlign w:val="center"/>
          </w:tcPr>
          <w:p>
            <w:pPr>
              <w:widowControl/>
              <w:jc w:val="center"/>
              <w:rPr>
                <w:kern w:val="0"/>
                <w:sz w:val="20"/>
                <w:szCs w:val="20"/>
                <w:highlight w:val="none"/>
              </w:rPr>
            </w:pPr>
            <w:r>
              <w:rPr>
                <w:kern w:val="0"/>
                <w:sz w:val="20"/>
                <w:szCs w:val="20"/>
                <w:highlight w:val="none"/>
              </w:rPr>
              <w:t>客运量600</w:t>
            </w:r>
            <w:r>
              <w:rPr>
                <w:bCs/>
                <w:kern w:val="0"/>
                <w:sz w:val="20"/>
                <w:szCs w:val="20"/>
                <w:highlight w:val="none"/>
              </w:rPr>
              <w:t>万人次/年</w:t>
            </w:r>
            <w:r>
              <w:rPr>
                <w:kern w:val="0"/>
                <w:sz w:val="20"/>
                <w:szCs w:val="20"/>
                <w:highlight w:val="none"/>
              </w:rPr>
              <w:t>　</w:t>
            </w:r>
          </w:p>
        </w:tc>
        <w:tc>
          <w:tcPr>
            <w:tcW w:w="399" w:type="pct"/>
            <w:shd w:val="clear" w:color="auto" w:fill="auto"/>
            <w:vAlign w:val="center"/>
          </w:tcPr>
          <w:p>
            <w:pPr>
              <w:widowControl/>
              <w:jc w:val="center"/>
              <w:rPr>
                <w:kern w:val="0"/>
                <w:sz w:val="20"/>
                <w:szCs w:val="20"/>
                <w:highlight w:val="none"/>
              </w:rPr>
            </w:pPr>
            <w:r>
              <w:rPr>
                <w:kern w:val="0"/>
                <w:sz w:val="20"/>
                <w:szCs w:val="20"/>
                <w:highlight w:val="none"/>
              </w:rPr>
              <w:t>8220</w:t>
            </w:r>
          </w:p>
        </w:tc>
        <w:tc>
          <w:tcPr>
            <w:tcW w:w="749" w:type="pct"/>
            <w:shd w:val="clear" w:color="auto" w:fill="auto"/>
            <w:vAlign w:val="center"/>
          </w:tcPr>
          <w:p>
            <w:pPr>
              <w:widowControl/>
              <w:jc w:val="center"/>
              <w:rPr>
                <w:kern w:val="0"/>
                <w:sz w:val="20"/>
                <w:szCs w:val="20"/>
                <w:highlight w:val="none"/>
              </w:rPr>
            </w:pPr>
            <w:r>
              <w:rPr>
                <w:kern w:val="0"/>
                <w:sz w:val="20"/>
                <w:szCs w:val="20"/>
                <w:highlight w:val="none"/>
              </w:rPr>
              <w:t>进港大道</w:t>
            </w:r>
          </w:p>
        </w:tc>
        <w:tc>
          <w:tcPr>
            <w:tcW w:w="999" w:type="pct"/>
            <w:shd w:val="clear" w:color="auto" w:fill="auto"/>
            <w:vAlign w:val="center"/>
          </w:tcPr>
          <w:p>
            <w:pPr>
              <w:widowControl/>
              <w:jc w:val="center"/>
              <w:rPr>
                <w:kern w:val="0"/>
                <w:sz w:val="20"/>
                <w:szCs w:val="20"/>
                <w:highlight w:val="none"/>
              </w:rPr>
            </w:pPr>
            <w:r>
              <w:rPr>
                <w:kern w:val="0"/>
                <w:sz w:val="20"/>
                <w:szCs w:val="20"/>
                <w:highlight w:val="none"/>
              </w:rPr>
              <w:t>乐山国际旅游机场至老江坝作业区游轮码头集疏运公路（具体内容见乐山市相关交通规划）</w:t>
            </w:r>
          </w:p>
        </w:tc>
        <w:tc>
          <w:tcPr>
            <w:tcW w:w="245" w:type="pct"/>
            <w:shd w:val="clear" w:color="auto" w:fill="auto"/>
            <w:vAlign w:val="center"/>
          </w:tcPr>
          <w:p>
            <w:pPr>
              <w:widowControl/>
              <w:jc w:val="center"/>
              <w:rPr>
                <w:kern w:val="0"/>
                <w:sz w:val="20"/>
                <w:szCs w:val="20"/>
                <w:highlight w:val="none"/>
              </w:rPr>
            </w:pPr>
            <w:r>
              <w:rPr>
                <w:kern w:val="0"/>
                <w:sz w:val="20"/>
                <w:szCs w:val="20"/>
                <w:highlight w:val="none"/>
              </w:rPr>
              <w:t>一级</w:t>
            </w:r>
          </w:p>
        </w:tc>
        <w:tc>
          <w:tcPr>
            <w:tcW w:w="321" w:type="pct"/>
            <w:shd w:val="clear" w:color="auto" w:fill="auto"/>
            <w:vAlign w:val="center"/>
          </w:tcPr>
          <w:p>
            <w:pPr>
              <w:widowControl/>
              <w:jc w:val="center"/>
              <w:rPr>
                <w:kern w:val="0"/>
                <w:sz w:val="20"/>
                <w:szCs w:val="20"/>
                <w:highlight w:val="none"/>
              </w:rPr>
            </w:pPr>
            <w:r>
              <w:rPr>
                <w:kern w:val="0"/>
                <w:sz w:val="20"/>
                <w:szCs w:val="20"/>
                <w:highlight w:val="none"/>
              </w:rPr>
              <w:t>15</w:t>
            </w:r>
          </w:p>
        </w:tc>
      </w:tr>
      <w:tr>
        <w:tblPrEx>
          <w:tblBorders>
            <w:top w:val="thinThickSmallGap" w:color="000000" w:themeColor="text1"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37" w:type="pct"/>
            <w:vMerge w:val="continue"/>
            <w:vAlign w:val="center"/>
          </w:tcPr>
          <w:p>
            <w:pPr>
              <w:widowControl/>
              <w:jc w:val="left"/>
              <w:rPr>
                <w:kern w:val="0"/>
                <w:sz w:val="20"/>
                <w:szCs w:val="20"/>
                <w:highlight w:val="none"/>
              </w:rPr>
            </w:pPr>
          </w:p>
        </w:tc>
        <w:tc>
          <w:tcPr>
            <w:tcW w:w="950" w:type="pct"/>
            <w:vMerge w:val="restart"/>
            <w:shd w:val="clear" w:color="auto" w:fill="auto"/>
            <w:vAlign w:val="center"/>
          </w:tcPr>
          <w:p>
            <w:pPr>
              <w:widowControl/>
              <w:jc w:val="center"/>
              <w:rPr>
                <w:kern w:val="0"/>
                <w:sz w:val="20"/>
                <w:szCs w:val="20"/>
                <w:highlight w:val="none"/>
              </w:rPr>
            </w:pPr>
            <w:r>
              <w:rPr>
                <w:kern w:val="0"/>
                <w:sz w:val="20"/>
                <w:szCs w:val="20"/>
                <w:highlight w:val="none"/>
              </w:rPr>
              <w:t>老江坝作业区大件码头</w:t>
            </w:r>
          </w:p>
        </w:tc>
        <w:tc>
          <w:tcPr>
            <w:tcW w:w="899" w:type="pct"/>
            <w:vMerge w:val="restart"/>
            <w:shd w:val="clear" w:color="auto" w:fill="auto"/>
            <w:vAlign w:val="center"/>
          </w:tcPr>
          <w:p>
            <w:pPr>
              <w:widowControl/>
              <w:jc w:val="center"/>
              <w:rPr>
                <w:kern w:val="0"/>
                <w:sz w:val="20"/>
                <w:szCs w:val="20"/>
                <w:highlight w:val="none"/>
              </w:rPr>
            </w:pPr>
            <w:r>
              <w:rPr>
                <w:kern w:val="0"/>
                <w:sz w:val="20"/>
                <w:szCs w:val="20"/>
                <w:highlight w:val="none"/>
              </w:rPr>
              <w:t>重大件15</w:t>
            </w:r>
            <w:r>
              <w:rPr>
                <w:bCs/>
                <w:kern w:val="0"/>
                <w:sz w:val="20"/>
                <w:szCs w:val="20"/>
                <w:highlight w:val="none"/>
              </w:rPr>
              <w:t>万t/年、集装箱</w:t>
            </w:r>
            <w:r>
              <w:rPr>
                <w:kern w:val="0"/>
                <w:sz w:val="20"/>
                <w:szCs w:val="20"/>
                <w:highlight w:val="none"/>
              </w:rPr>
              <w:t>15万TEU/年、件杂货120万t/年</w:t>
            </w:r>
          </w:p>
        </w:tc>
        <w:tc>
          <w:tcPr>
            <w:tcW w:w="399" w:type="pct"/>
            <w:vMerge w:val="restart"/>
            <w:shd w:val="clear" w:color="auto" w:fill="auto"/>
            <w:vAlign w:val="center"/>
          </w:tcPr>
          <w:p>
            <w:pPr>
              <w:widowControl/>
              <w:jc w:val="center"/>
              <w:rPr>
                <w:kern w:val="0"/>
                <w:sz w:val="20"/>
                <w:szCs w:val="20"/>
                <w:highlight w:val="none"/>
              </w:rPr>
            </w:pPr>
            <w:r>
              <w:rPr>
                <w:kern w:val="0"/>
                <w:sz w:val="20"/>
                <w:szCs w:val="20"/>
                <w:highlight w:val="none"/>
              </w:rPr>
              <w:t>2154</w:t>
            </w:r>
          </w:p>
        </w:tc>
        <w:tc>
          <w:tcPr>
            <w:tcW w:w="749" w:type="pct"/>
            <w:shd w:val="clear" w:color="auto" w:fill="auto"/>
            <w:vAlign w:val="center"/>
          </w:tcPr>
          <w:p>
            <w:pPr>
              <w:widowControl/>
              <w:jc w:val="center"/>
              <w:rPr>
                <w:kern w:val="0"/>
                <w:sz w:val="20"/>
                <w:szCs w:val="20"/>
                <w:highlight w:val="none"/>
              </w:rPr>
            </w:pPr>
            <w:r>
              <w:rPr>
                <w:kern w:val="0"/>
                <w:sz w:val="20"/>
                <w:szCs w:val="20"/>
                <w:highlight w:val="none"/>
              </w:rPr>
              <w:t>进港大道</w:t>
            </w:r>
          </w:p>
        </w:tc>
        <w:tc>
          <w:tcPr>
            <w:tcW w:w="999" w:type="pct"/>
            <w:shd w:val="clear" w:color="auto" w:fill="auto"/>
            <w:vAlign w:val="center"/>
          </w:tcPr>
          <w:p>
            <w:pPr>
              <w:widowControl/>
              <w:jc w:val="center"/>
              <w:rPr>
                <w:kern w:val="0"/>
                <w:sz w:val="20"/>
                <w:szCs w:val="20"/>
                <w:highlight w:val="none"/>
              </w:rPr>
            </w:pPr>
            <w:r>
              <w:rPr>
                <w:kern w:val="0"/>
                <w:sz w:val="20"/>
                <w:szCs w:val="20"/>
                <w:highlight w:val="none"/>
              </w:rPr>
              <w:t>省道215线大件码头进港专用公路（具体内容见乐山市相关交通规划）</w:t>
            </w:r>
          </w:p>
        </w:tc>
        <w:tc>
          <w:tcPr>
            <w:tcW w:w="245" w:type="pct"/>
            <w:shd w:val="clear" w:color="auto" w:fill="auto"/>
            <w:vAlign w:val="center"/>
          </w:tcPr>
          <w:p>
            <w:pPr>
              <w:widowControl/>
              <w:jc w:val="center"/>
              <w:rPr>
                <w:kern w:val="0"/>
                <w:sz w:val="20"/>
                <w:szCs w:val="20"/>
                <w:highlight w:val="none"/>
              </w:rPr>
            </w:pPr>
            <w:r>
              <w:rPr>
                <w:kern w:val="0"/>
                <w:sz w:val="20"/>
                <w:szCs w:val="20"/>
                <w:highlight w:val="none"/>
              </w:rPr>
              <w:t>一级</w:t>
            </w:r>
          </w:p>
        </w:tc>
        <w:tc>
          <w:tcPr>
            <w:tcW w:w="321" w:type="pct"/>
            <w:shd w:val="clear" w:color="auto" w:fill="auto"/>
            <w:vAlign w:val="center"/>
          </w:tcPr>
          <w:p>
            <w:pPr>
              <w:widowControl/>
              <w:jc w:val="center"/>
              <w:rPr>
                <w:kern w:val="0"/>
                <w:sz w:val="20"/>
                <w:szCs w:val="20"/>
                <w:highlight w:val="none"/>
              </w:rPr>
            </w:pPr>
            <w:r>
              <w:rPr>
                <w:kern w:val="0"/>
                <w:sz w:val="20"/>
                <w:szCs w:val="20"/>
                <w:highlight w:val="none"/>
              </w:rPr>
              <w:t>8</w:t>
            </w:r>
          </w:p>
        </w:tc>
      </w:tr>
      <w:tr>
        <w:tblPrEx>
          <w:tblBorders>
            <w:top w:val="thinThickSmallGap" w:color="000000" w:themeColor="text1"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37" w:type="pct"/>
            <w:vMerge w:val="continue"/>
            <w:vAlign w:val="center"/>
          </w:tcPr>
          <w:p>
            <w:pPr>
              <w:widowControl/>
              <w:jc w:val="left"/>
              <w:rPr>
                <w:kern w:val="0"/>
                <w:sz w:val="20"/>
                <w:szCs w:val="20"/>
                <w:highlight w:val="none"/>
              </w:rPr>
            </w:pPr>
          </w:p>
        </w:tc>
        <w:tc>
          <w:tcPr>
            <w:tcW w:w="950" w:type="pct"/>
            <w:vMerge w:val="continue"/>
            <w:shd w:val="clear" w:color="auto" w:fill="auto"/>
            <w:vAlign w:val="center"/>
          </w:tcPr>
          <w:p>
            <w:pPr>
              <w:widowControl/>
              <w:jc w:val="center"/>
              <w:rPr>
                <w:kern w:val="0"/>
                <w:sz w:val="20"/>
                <w:szCs w:val="20"/>
                <w:highlight w:val="none"/>
              </w:rPr>
            </w:pPr>
          </w:p>
        </w:tc>
        <w:tc>
          <w:tcPr>
            <w:tcW w:w="899" w:type="pct"/>
            <w:vMerge w:val="continue"/>
            <w:shd w:val="clear" w:color="auto" w:fill="auto"/>
            <w:vAlign w:val="center"/>
          </w:tcPr>
          <w:p>
            <w:pPr>
              <w:widowControl/>
              <w:jc w:val="center"/>
              <w:rPr>
                <w:kern w:val="0"/>
                <w:sz w:val="20"/>
                <w:szCs w:val="20"/>
                <w:highlight w:val="none"/>
              </w:rPr>
            </w:pPr>
          </w:p>
        </w:tc>
        <w:tc>
          <w:tcPr>
            <w:tcW w:w="399" w:type="pct"/>
            <w:vMerge w:val="continue"/>
            <w:shd w:val="clear" w:color="auto" w:fill="auto"/>
            <w:vAlign w:val="center"/>
          </w:tcPr>
          <w:p>
            <w:pPr>
              <w:widowControl/>
              <w:jc w:val="center"/>
              <w:rPr>
                <w:kern w:val="0"/>
                <w:sz w:val="20"/>
                <w:szCs w:val="20"/>
                <w:highlight w:val="none"/>
              </w:rPr>
            </w:pPr>
          </w:p>
        </w:tc>
        <w:tc>
          <w:tcPr>
            <w:tcW w:w="749" w:type="pct"/>
            <w:shd w:val="clear" w:color="auto" w:fill="auto"/>
            <w:vAlign w:val="center"/>
          </w:tcPr>
          <w:p>
            <w:pPr>
              <w:widowControl/>
              <w:jc w:val="center"/>
              <w:rPr>
                <w:kern w:val="0"/>
                <w:sz w:val="20"/>
                <w:szCs w:val="20"/>
                <w:highlight w:val="none"/>
              </w:rPr>
            </w:pPr>
            <w:r>
              <w:rPr>
                <w:kern w:val="0"/>
                <w:sz w:val="20"/>
                <w:szCs w:val="20"/>
                <w:highlight w:val="none"/>
              </w:rPr>
              <w:t>连乐铁路</w:t>
            </w:r>
          </w:p>
        </w:tc>
        <w:tc>
          <w:tcPr>
            <w:tcW w:w="999" w:type="pct"/>
            <w:shd w:val="clear" w:color="auto" w:fill="auto"/>
            <w:vAlign w:val="center"/>
          </w:tcPr>
          <w:p>
            <w:pPr>
              <w:widowControl/>
              <w:jc w:val="center"/>
              <w:rPr>
                <w:kern w:val="0"/>
                <w:sz w:val="20"/>
                <w:szCs w:val="20"/>
                <w:highlight w:val="none"/>
              </w:rPr>
            </w:pPr>
            <w:r>
              <w:rPr>
                <w:kern w:val="0"/>
                <w:sz w:val="20"/>
                <w:szCs w:val="20"/>
                <w:highlight w:val="none"/>
              </w:rPr>
              <w:t>进港铁路</w:t>
            </w:r>
          </w:p>
        </w:tc>
        <w:tc>
          <w:tcPr>
            <w:tcW w:w="245" w:type="pct"/>
            <w:shd w:val="clear" w:color="auto" w:fill="auto"/>
            <w:vAlign w:val="center"/>
          </w:tcPr>
          <w:p>
            <w:pPr>
              <w:widowControl/>
              <w:jc w:val="center"/>
              <w:rPr>
                <w:kern w:val="0"/>
                <w:sz w:val="20"/>
                <w:szCs w:val="20"/>
                <w:highlight w:val="none"/>
              </w:rPr>
            </w:pPr>
            <w:r>
              <w:rPr>
                <w:kern w:val="0"/>
                <w:sz w:val="20"/>
                <w:szCs w:val="20"/>
                <w:highlight w:val="none"/>
              </w:rPr>
              <w:t>I级</w:t>
            </w:r>
          </w:p>
        </w:tc>
        <w:tc>
          <w:tcPr>
            <w:tcW w:w="321" w:type="pct"/>
            <w:shd w:val="clear" w:color="auto" w:fill="auto"/>
            <w:vAlign w:val="center"/>
          </w:tcPr>
          <w:p>
            <w:pPr>
              <w:widowControl/>
              <w:jc w:val="center"/>
              <w:rPr>
                <w:kern w:val="0"/>
                <w:sz w:val="20"/>
                <w:szCs w:val="20"/>
                <w:highlight w:val="none"/>
              </w:rPr>
            </w:pPr>
            <w:r>
              <w:rPr>
                <w:rFonts w:hint="eastAsia"/>
                <w:kern w:val="0"/>
                <w:sz w:val="20"/>
                <w:szCs w:val="20"/>
                <w:highlight w:val="none"/>
              </w:rPr>
              <w:t>6</w:t>
            </w:r>
          </w:p>
        </w:tc>
      </w:tr>
      <w:tr>
        <w:tblPrEx>
          <w:tblBorders>
            <w:top w:val="thinThickSmallGap" w:color="000000" w:themeColor="text1"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37" w:type="pct"/>
            <w:vMerge w:val="continue"/>
            <w:vAlign w:val="center"/>
          </w:tcPr>
          <w:p>
            <w:pPr>
              <w:widowControl/>
              <w:jc w:val="left"/>
              <w:rPr>
                <w:kern w:val="0"/>
                <w:sz w:val="20"/>
                <w:szCs w:val="20"/>
                <w:highlight w:val="none"/>
              </w:rPr>
            </w:pPr>
          </w:p>
        </w:tc>
        <w:tc>
          <w:tcPr>
            <w:tcW w:w="950" w:type="pct"/>
            <w:shd w:val="clear" w:color="auto" w:fill="auto"/>
            <w:vAlign w:val="center"/>
          </w:tcPr>
          <w:p>
            <w:pPr>
              <w:widowControl/>
              <w:jc w:val="center"/>
              <w:rPr>
                <w:kern w:val="0"/>
                <w:sz w:val="20"/>
                <w:szCs w:val="20"/>
                <w:highlight w:val="none"/>
              </w:rPr>
            </w:pPr>
            <w:r>
              <w:rPr>
                <w:kern w:val="0"/>
                <w:sz w:val="20"/>
                <w:szCs w:val="20"/>
                <w:highlight w:val="none"/>
              </w:rPr>
              <w:t>芭蕉林旅游客运码头</w:t>
            </w:r>
          </w:p>
        </w:tc>
        <w:tc>
          <w:tcPr>
            <w:tcW w:w="899" w:type="pct"/>
            <w:shd w:val="clear" w:color="auto" w:fill="auto"/>
            <w:vAlign w:val="center"/>
          </w:tcPr>
          <w:p>
            <w:pPr>
              <w:widowControl/>
              <w:jc w:val="center"/>
              <w:rPr>
                <w:kern w:val="0"/>
                <w:sz w:val="20"/>
                <w:szCs w:val="20"/>
                <w:highlight w:val="none"/>
              </w:rPr>
            </w:pPr>
            <w:r>
              <w:rPr>
                <w:kern w:val="0"/>
                <w:sz w:val="20"/>
                <w:szCs w:val="20"/>
                <w:highlight w:val="none"/>
              </w:rPr>
              <w:t>客运量90</w:t>
            </w:r>
            <w:r>
              <w:rPr>
                <w:bCs/>
                <w:kern w:val="0"/>
                <w:sz w:val="20"/>
                <w:szCs w:val="20"/>
                <w:highlight w:val="none"/>
              </w:rPr>
              <w:t>万人次/年</w:t>
            </w:r>
          </w:p>
        </w:tc>
        <w:tc>
          <w:tcPr>
            <w:tcW w:w="399" w:type="pct"/>
            <w:shd w:val="clear" w:color="auto" w:fill="auto"/>
            <w:vAlign w:val="center"/>
          </w:tcPr>
          <w:p>
            <w:pPr>
              <w:widowControl/>
              <w:jc w:val="center"/>
              <w:rPr>
                <w:kern w:val="0"/>
                <w:sz w:val="20"/>
                <w:szCs w:val="20"/>
                <w:highlight w:val="none"/>
              </w:rPr>
            </w:pPr>
            <w:r>
              <w:rPr>
                <w:kern w:val="0"/>
                <w:sz w:val="20"/>
                <w:szCs w:val="20"/>
                <w:highlight w:val="none"/>
              </w:rPr>
              <w:t>1233</w:t>
            </w:r>
          </w:p>
        </w:tc>
        <w:tc>
          <w:tcPr>
            <w:tcW w:w="749" w:type="pct"/>
            <w:shd w:val="clear" w:color="auto" w:fill="auto"/>
            <w:vAlign w:val="center"/>
          </w:tcPr>
          <w:p>
            <w:pPr>
              <w:widowControl/>
              <w:jc w:val="center"/>
              <w:rPr>
                <w:kern w:val="0"/>
                <w:sz w:val="20"/>
                <w:szCs w:val="20"/>
                <w:highlight w:val="none"/>
              </w:rPr>
            </w:pPr>
            <w:r>
              <w:rPr>
                <w:kern w:val="0"/>
                <w:sz w:val="20"/>
                <w:szCs w:val="20"/>
                <w:highlight w:val="none"/>
              </w:rPr>
              <w:t>凌云路</w:t>
            </w:r>
          </w:p>
        </w:tc>
        <w:tc>
          <w:tcPr>
            <w:tcW w:w="999" w:type="pct"/>
            <w:shd w:val="clear" w:color="auto" w:fill="auto"/>
            <w:vAlign w:val="center"/>
          </w:tcPr>
          <w:p>
            <w:pPr>
              <w:widowControl/>
              <w:jc w:val="center"/>
              <w:rPr>
                <w:kern w:val="0"/>
                <w:sz w:val="20"/>
                <w:szCs w:val="20"/>
                <w:highlight w:val="none"/>
              </w:rPr>
            </w:pPr>
            <w:r>
              <w:rPr>
                <w:kern w:val="0"/>
                <w:sz w:val="20"/>
                <w:szCs w:val="20"/>
                <w:highlight w:val="none"/>
              </w:rPr>
              <w:t>城市道路（现有）</w:t>
            </w:r>
          </w:p>
        </w:tc>
        <w:tc>
          <w:tcPr>
            <w:tcW w:w="245" w:type="pct"/>
            <w:shd w:val="clear" w:color="auto" w:fill="auto"/>
            <w:vAlign w:val="center"/>
          </w:tcPr>
          <w:p>
            <w:pPr>
              <w:widowControl/>
              <w:jc w:val="center"/>
              <w:rPr>
                <w:kern w:val="0"/>
                <w:sz w:val="20"/>
                <w:szCs w:val="20"/>
                <w:highlight w:val="none"/>
              </w:rPr>
            </w:pPr>
          </w:p>
        </w:tc>
        <w:tc>
          <w:tcPr>
            <w:tcW w:w="321" w:type="pct"/>
            <w:shd w:val="clear" w:color="auto" w:fill="auto"/>
            <w:vAlign w:val="center"/>
          </w:tcPr>
          <w:p>
            <w:pPr>
              <w:widowControl/>
              <w:jc w:val="center"/>
              <w:rPr>
                <w:kern w:val="0"/>
                <w:sz w:val="20"/>
                <w:szCs w:val="20"/>
                <w:highlight w:val="none"/>
              </w:rPr>
            </w:pPr>
          </w:p>
        </w:tc>
      </w:tr>
      <w:tr>
        <w:tblPrEx>
          <w:tblBorders>
            <w:top w:val="thinThickSmallGap" w:color="000000" w:themeColor="text1"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37" w:type="pct"/>
            <w:vMerge w:val="continue"/>
            <w:vAlign w:val="center"/>
          </w:tcPr>
          <w:p>
            <w:pPr>
              <w:widowControl/>
              <w:jc w:val="left"/>
              <w:rPr>
                <w:kern w:val="0"/>
                <w:sz w:val="20"/>
                <w:szCs w:val="20"/>
                <w:highlight w:val="none"/>
              </w:rPr>
            </w:pPr>
          </w:p>
        </w:tc>
        <w:tc>
          <w:tcPr>
            <w:tcW w:w="950" w:type="pct"/>
            <w:shd w:val="clear" w:color="auto" w:fill="auto"/>
            <w:vAlign w:val="center"/>
          </w:tcPr>
          <w:p>
            <w:pPr>
              <w:widowControl/>
              <w:jc w:val="center"/>
              <w:rPr>
                <w:kern w:val="0"/>
                <w:sz w:val="20"/>
                <w:szCs w:val="20"/>
                <w:highlight w:val="none"/>
              </w:rPr>
            </w:pPr>
            <w:r>
              <w:rPr>
                <w:kern w:val="0"/>
                <w:sz w:val="20"/>
                <w:szCs w:val="20"/>
                <w:highlight w:val="none"/>
              </w:rPr>
              <w:t>乌尤寺旅游客运码头</w:t>
            </w:r>
          </w:p>
        </w:tc>
        <w:tc>
          <w:tcPr>
            <w:tcW w:w="899" w:type="pct"/>
            <w:shd w:val="clear" w:color="auto" w:fill="auto"/>
            <w:vAlign w:val="center"/>
          </w:tcPr>
          <w:p>
            <w:pPr>
              <w:widowControl/>
              <w:jc w:val="center"/>
              <w:rPr>
                <w:kern w:val="0"/>
                <w:sz w:val="20"/>
                <w:szCs w:val="20"/>
                <w:highlight w:val="none"/>
              </w:rPr>
            </w:pPr>
            <w:r>
              <w:rPr>
                <w:kern w:val="0"/>
                <w:sz w:val="20"/>
                <w:szCs w:val="20"/>
                <w:highlight w:val="none"/>
              </w:rPr>
              <w:t>客运量90</w:t>
            </w:r>
            <w:r>
              <w:rPr>
                <w:bCs/>
                <w:kern w:val="0"/>
                <w:sz w:val="20"/>
                <w:szCs w:val="20"/>
                <w:highlight w:val="none"/>
              </w:rPr>
              <w:t>万人次/年</w:t>
            </w:r>
          </w:p>
        </w:tc>
        <w:tc>
          <w:tcPr>
            <w:tcW w:w="399" w:type="pct"/>
            <w:shd w:val="clear" w:color="auto" w:fill="auto"/>
            <w:vAlign w:val="center"/>
          </w:tcPr>
          <w:p>
            <w:pPr>
              <w:widowControl/>
              <w:jc w:val="center"/>
              <w:rPr>
                <w:kern w:val="0"/>
                <w:sz w:val="20"/>
                <w:szCs w:val="20"/>
                <w:highlight w:val="none"/>
              </w:rPr>
            </w:pPr>
            <w:r>
              <w:rPr>
                <w:rFonts w:hint="eastAsia"/>
                <w:kern w:val="0"/>
                <w:sz w:val="20"/>
                <w:szCs w:val="20"/>
                <w:highlight w:val="none"/>
              </w:rPr>
              <w:t>1</w:t>
            </w:r>
            <w:r>
              <w:rPr>
                <w:kern w:val="0"/>
                <w:sz w:val="20"/>
                <w:szCs w:val="20"/>
                <w:highlight w:val="none"/>
              </w:rPr>
              <w:t>233</w:t>
            </w:r>
          </w:p>
        </w:tc>
        <w:tc>
          <w:tcPr>
            <w:tcW w:w="749" w:type="pct"/>
            <w:shd w:val="clear" w:color="auto" w:fill="auto"/>
            <w:vAlign w:val="center"/>
          </w:tcPr>
          <w:p>
            <w:pPr>
              <w:widowControl/>
              <w:jc w:val="center"/>
              <w:rPr>
                <w:kern w:val="0"/>
                <w:sz w:val="20"/>
                <w:szCs w:val="20"/>
                <w:highlight w:val="none"/>
              </w:rPr>
            </w:pPr>
            <w:r>
              <w:rPr>
                <w:kern w:val="0"/>
                <w:sz w:val="20"/>
                <w:szCs w:val="20"/>
                <w:highlight w:val="none"/>
              </w:rPr>
              <w:t>九峰路、凌云路</w:t>
            </w:r>
          </w:p>
        </w:tc>
        <w:tc>
          <w:tcPr>
            <w:tcW w:w="999" w:type="pct"/>
            <w:shd w:val="clear" w:color="auto" w:fill="auto"/>
            <w:vAlign w:val="center"/>
          </w:tcPr>
          <w:p>
            <w:pPr>
              <w:widowControl/>
              <w:jc w:val="center"/>
              <w:rPr>
                <w:kern w:val="0"/>
                <w:sz w:val="20"/>
                <w:szCs w:val="20"/>
                <w:highlight w:val="none"/>
              </w:rPr>
            </w:pPr>
            <w:r>
              <w:rPr>
                <w:kern w:val="0"/>
                <w:sz w:val="20"/>
                <w:szCs w:val="20"/>
                <w:highlight w:val="none"/>
              </w:rPr>
              <w:t>景区道路（现有）</w:t>
            </w:r>
          </w:p>
        </w:tc>
        <w:tc>
          <w:tcPr>
            <w:tcW w:w="245" w:type="pct"/>
            <w:shd w:val="clear" w:color="auto" w:fill="auto"/>
            <w:vAlign w:val="center"/>
          </w:tcPr>
          <w:p>
            <w:pPr>
              <w:widowControl/>
              <w:jc w:val="center"/>
              <w:rPr>
                <w:kern w:val="0"/>
                <w:sz w:val="20"/>
                <w:szCs w:val="20"/>
                <w:highlight w:val="none"/>
              </w:rPr>
            </w:pPr>
          </w:p>
        </w:tc>
        <w:tc>
          <w:tcPr>
            <w:tcW w:w="321" w:type="pct"/>
            <w:shd w:val="clear" w:color="auto" w:fill="auto"/>
            <w:vAlign w:val="center"/>
          </w:tcPr>
          <w:p>
            <w:pPr>
              <w:widowControl/>
              <w:jc w:val="center"/>
              <w:rPr>
                <w:kern w:val="0"/>
                <w:sz w:val="20"/>
                <w:szCs w:val="20"/>
                <w:highlight w:val="none"/>
              </w:rPr>
            </w:pPr>
          </w:p>
        </w:tc>
      </w:tr>
      <w:tr>
        <w:tblPrEx>
          <w:tblBorders>
            <w:top w:val="thinThickSmallGap" w:color="000000" w:themeColor="text1"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37" w:type="pct"/>
            <w:vMerge w:val="continue"/>
            <w:vAlign w:val="center"/>
          </w:tcPr>
          <w:p>
            <w:pPr>
              <w:widowControl/>
              <w:jc w:val="left"/>
              <w:rPr>
                <w:kern w:val="0"/>
                <w:sz w:val="20"/>
                <w:szCs w:val="20"/>
                <w:highlight w:val="none"/>
              </w:rPr>
            </w:pPr>
          </w:p>
        </w:tc>
        <w:tc>
          <w:tcPr>
            <w:tcW w:w="950" w:type="pct"/>
            <w:shd w:val="clear" w:color="auto" w:fill="auto"/>
            <w:vAlign w:val="center"/>
          </w:tcPr>
          <w:p>
            <w:pPr>
              <w:widowControl/>
              <w:jc w:val="center"/>
              <w:rPr>
                <w:sz w:val="22"/>
                <w:szCs w:val="22"/>
                <w:highlight w:val="none"/>
              </w:rPr>
            </w:pPr>
            <w:r>
              <w:rPr>
                <w:kern w:val="0"/>
                <w:sz w:val="20"/>
                <w:szCs w:val="20"/>
                <w:highlight w:val="none"/>
              </w:rPr>
              <w:t>凤洲岛旅游客运码头</w:t>
            </w:r>
          </w:p>
        </w:tc>
        <w:tc>
          <w:tcPr>
            <w:tcW w:w="899" w:type="pct"/>
            <w:shd w:val="clear" w:color="auto" w:fill="auto"/>
            <w:vAlign w:val="center"/>
          </w:tcPr>
          <w:p>
            <w:pPr>
              <w:widowControl/>
              <w:jc w:val="center"/>
              <w:rPr>
                <w:kern w:val="0"/>
                <w:sz w:val="20"/>
                <w:szCs w:val="20"/>
                <w:highlight w:val="none"/>
              </w:rPr>
            </w:pPr>
            <w:r>
              <w:rPr>
                <w:kern w:val="0"/>
                <w:sz w:val="20"/>
                <w:szCs w:val="20"/>
                <w:highlight w:val="none"/>
              </w:rPr>
              <w:t>客运量80</w:t>
            </w:r>
            <w:r>
              <w:rPr>
                <w:bCs/>
                <w:kern w:val="0"/>
                <w:sz w:val="20"/>
                <w:szCs w:val="20"/>
                <w:highlight w:val="none"/>
              </w:rPr>
              <w:t>万人次/年</w:t>
            </w:r>
          </w:p>
        </w:tc>
        <w:tc>
          <w:tcPr>
            <w:tcW w:w="399" w:type="pct"/>
            <w:shd w:val="clear" w:color="auto" w:fill="auto"/>
            <w:vAlign w:val="center"/>
          </w:tcPr>
          <w:p>
            <w:pPr>
              <w:widowControl/>
              <w:jc w:val="center"/>
              <w:rPr>
                <w:kern w:val="0"/>
                <w:sz w:val="20"/>
                <w:szCs w:val="20"/>
                <w:highlight w:val="none"/>
              </w:rPr>
            </w:pPr>
            <w:r>
              <w:rPr>
                <w:kern w:val="0"/>
                <w:sz w:val="20"/>
                <w:szCs w:val="20"/>
                <w:highlight w:val="none"/>
              </w:rPr>
              <w:t>1096</w:t>
            </w:r>
          </w:p>
        </w:tc>
        <w:tc>
          <w:tcPr>
            <w:tcW w:w="749" w:type="pct"/>
            <w:shd w:val="clear" w:color="auto" w:fill="auto"/>
            <w:vAlign w:val="center"/>
          </w:tcPr>
          <w:p>
            <w:pPr>
              <w:widowControl/>
              <w:jc w:val="center"/>
              <w:rPr>
                <w:kern w:val="0"/>
                <w:sz w:val="20"/>
                <w:szCs w:val="20"/>
                <w:highlight w:val="none"/>
              </w:rPr>
            </w:pPr>
            <w:r>
              <w:rPr>
                <w:kern w:val="0"/>
                <w:sz w:val="20"/>
                <w:szCs w:val="20"/>
                <w:highlight w:val="none"/>
              </w:rPr>
              <w:t>临江东路、高新大道</w:t>
            </w:r>
          </w:p>
        </w:tc>
        <w:tc>
          <w:tcPr>
            <w:tcW w:w="999" w:type="pct"/>
            <w:shd w:val="clear" w:color="auto" w:fill="auto"/>
            <w:vAlign w:val="center"/>
          </w:tcPr>
          <w:p>
            <w:pPr>
              <w:widowControl/>
              <w:jc w:val="center"/>
              <w:rPr>
                <w:kern w:val="0"/>
                <w:sz w:val="20"/>
                <w:szCs w:val="20"/>
                <w:highlight w:val="none"/>
              </w:rPr>
            </w:pPr>
            <w:r>
              <w:rPr>
                <w:kern w:val="0"/>
                <w:sz w:val="20"/>
                <w:szCs w:val="20"/>
                <w:highlight w:val="none"/>
              </w:rPr>
              <w:t>进港公路</w:t>
            </w:r>
          </w:p>
        </w:tc>
        <w:tc>
          <w:tcPr>
            <w:tcW w:w="245" w:type="pct"/>
            <w:shd w:val="clear" w:color="auto" w:fill="auto"/>
            <w:vAlign w:val="center"/>
          </w:tcPr>
          <w:p>
            <w:pPr>
              <w:widowControl/>
              <w:jc w:val="center"/>
              <w:rPr>
                <w:kern w:val="0"/>
                <w:sz w:val="20"/>
                <w:szCs w:val="20"/>
                <w:highlight w:val="none"/>
              </w:rPr>
            </w:pPr>
            <w:r>
              <w:rPr>
                <w:kern w:val="0"/>
                <w:sz w:val="20"/>
                <w:szCs w:val="20"/>
                <w:highlight w:val="none"/>
              </w:rPr>
              <w:t>三级</w:t>
            </w:r>
          </w:p>
        </w:tc>
        <w:tc>
          <w:tcPr>
            <w:tcW w:w="321" w:type="pct"/>
            <w:shd w:val="clear" w:color="auto" w:fill="auto"/>
            <w:vAlign w:val="center"/>
          </w:tcPr>
          <w:p>
            <w:pPr>
              <w:widowControl/>
              <w:jc w:val="center"/>
              <w:rPr>
                <w:kern w:val="0"/>
                <w:sz w:val="20"/>
                <w:szCs w:val="20"/>
                <w:highlight w:val="none"/>
              </w:rPr>
            </w:pPr>
            <w:r>
              <w:rPr>
                <w:kern w:val="0"/>
                <w:sz w:val="20"/>
                <w:szCs w:val="20"/>
                <w:highlight w:val="none"/>
              </w:rPr>
              <w:t>3</w:t>
            </w:r>
          </w:p>
        </w:tc>
      </w:tr>
      <w:tr>
        <w:tblPrEx>
          <w:tblBorders>
            <w:top w:val="thinThickSmallGap" w:color="000000" w:themeColor="text1"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37" w:type="pct"/>
            <w:vMerge w:val="continue"/>
            <w:vAlign w:val="center"/>
          </w:tcPr>
          <w:p>
            <w:pPr>
              <w:widowControl/>
              <w:jc w:val="left"/>
              <w:rPr>
                <w:kern w:val="0"/>
                <w:sz w:val="20"/>
                <w:szCs w:val="20"/>
                <w:highlight w:val="none"/>
              </w:rPr>
            </w:pPr>
          </w:p>
        </w:tc>
        <w:tc>
          <w:tcPr>
            <w:tcW w:w="950" w:type="pct"/>
            <w:shd w:val="clear" w:color="auto" w:fill="auto"/>
            <w:vAlign w:val="center"/>
          </w:tcPr>
          <w:p>
            <w:pPr>
              <w:widowControl/>
              <w:jc w:val="center"/>
              <w:rPr>
                <w:kern w:val="0"/>
                <w:sz w:val="20"/>
                <w:szCs w:val="20"/>
                <w:highlight w:val="none"/>
              </w:rPr>
            </w:pPr>
            <w:r>
              <w:rPr>
                <w:kern w:val="0"/>
                <w:sz w:val="20"/>
                <w:szCs w:val="20"/>
                <w:highlight w:val="none"/>
              </w:rPr>
              <w:t>高新区旅游客运码头</w:t>
            </w:r>
          </w:p>
        </w:tc>
        <w:tc>
          <w:tcPr>
            <w:tcW w:w="899" w:type="pct"/>
            <w:shd w:val="clear" w:color="auto" w:fill="auto"/>
            <w:vAlign w:val="center"/>
          </w:tcPr>
          <w:p>
            <w:pPr>
              <w:widowControl/>
              <w:jc w:val="center"/>
              <w:rPr>
                <w:kern w:val="0"/>
                <w:sz w:val="20"/>
                <w:szCs w:val="20"/>
                <w:highlight w:val="none"/>
              </w:rPr>
            </w:pPr>
            <w:r>
              <w:rPr>
                <w:kern w:val="0"/>
                <w:sz w:val="20"/>
                <w:szCs w:val="20"/>
                <w:highlight w:val="none"/>
              </w:rPr>
              <w:t>客运量60</w:t>
            </w:r>
            <w:r>
              <w:rPr>
                <w:bCs/>
                <w:kern w:val="0"/>
                <w:sz w:val="20"/>
                <w:szCs w:val="20"/>
                <w:highlight w:val="none"/>
              </w:rPr>
              <w:t>万人次/年</w:t>
            </w:r>
          </w:p>
        </w:tc>
        <w:tc>
          <w:tcPr>
            <w:tcW w:w="399" w:type="pct"/>
            <w:shd w:val="clear" w:color="auto" w:fill="auto"/>
            <w:vAlign w:val="center"/>
          </w:tcPr>
          <w:p>
            <w:pPr>
              <w:widowControl/>
              <w:jc w:val="center"/>
              <w:rPr>
                <w:kern w:val="0"/>
                <w:sz w:val="20"/>
                <w:szCs w:val="20"/>
                <w:highlight w:val="none"/>
              </w:rPr>
            </w:pPr>
            <w:r>
              <w:rPr>
                <w:rFonts w:hint="eastAsia"/>
                <w:kern w:val="0"/>
                <w:sz w:val="20"/>
                <w:szCs w:val="20"/>
                <w:highlight w:val="none"/>
              </w:rPr>
              <w:t>8</w:t>
            </w:r>
            <w:r>
              <w:rPr>
                <w:kern w:val="0"/>
                <w:sz w:val="20"/>
                <w:szCs w:val="20"/>
                <w:highlight w:val="none"/>
              </w:rPr>
              <w:t>22</w:t>
            </w:r>
          </w:p>
        </w:tc>
        <w:tc>
          <w:tcPr>
            <w:tcW w:w="749" w:type="pct"/>
            <w:shd w:val="clear" w:color="auto" w:fill="auto"/>
            <w:vAlign w:val="center"/>
          </w:tcPr>
          <w:p>
            <w:pPr>
              <w:widowControl/>
              <w:jc w:val="center"/>
              <w:rPr>
                <w:kern w:val="0"/>
                <w:sz w:val="20"/>
                <w:szCs w:val="20"/>
                <w:highlight w:val="none"/>
              </w:rPr>
            </w:pPr>
            <w:r>
              <w:rPr>
                <w:kern w:val="0"/>
                <w:sz w:val="20"/>
                <w:szCs w:val="20"/>
                <w:highlight w:val="none"/>
              </w:rPr>
              <w:t>临江北路、高新大道</w:t>
            </w:r>
          </w:p>
        </w:tc>
        <w:tc>
          <w:tcPr>
            <w:tcW w:w="999" w:type="pct"/>
            <w:shd w:val="clear" w:color="auto" w:fill="auto"/>
            <w:vAlign w:val="center"/>
          </w:tcPr>
          <w:p>
            <w:pPr>
              <w:widowControl/>
              <w:jc w:val="center"/>
              <w:rPr>
                <w:kern w:val="0"/>
                <w:sz w:val="20"/>
                <w:szCs w:val="20"/>
                <w:highlight w:val="none"/>
              </w:rPr>
            </w:pPr>
            <w:r>
              <w:rPr>
                <w:kern w:val="0"/>
                <w:sz w:val="20"/>
                <w:szCs w:val="20"/>
                <w:highlight w:val="none"/>
              </w:rPr>
              <w:t>临江北路（现有）</w:t>
            </w:r>
          </w:p>
        </w:tc>
        <w:tc>
          <w:tcPr>
            <w:tcW w:w="245" w:type="pct"/>
            <w:shd w:val="clear" w:color="auto" w:fill="auto"/>
            <w:vAlign w:val="center"/>
          </w:tcPr>
          <w:p>
            <w:pPr>
              <w:widowControl/>
              <w:jc w:val="center"/>
              <w:rPr>
                <w:kern w:val="0"/>
                <w:sz w:val="20"/>
                <w:szCs w:val="20"/>
                <w:highlight w:val="none"/>
              </w:rPr>
            </w:pPr>
          </w:p>
        </w:tc>
        <w:tc>
          <w:tcPr>
            <w:tcW w:w="321" w:type="pct"/>
            <w:shd w:val="clear" w:color="auto" w:fill="auto"/>
            <w:vAlign w:val="center"/>
          </w:tcPr>
          <w:p>
            <w:pPr>
              <w:widowControl/>
              <w:jc w:val="center"/>
              <w:rPr>
                <w:kern w:val="0"/>
                <w:sz w:val="20"/>
                <w:szCs w:val="20"/>
                <w:highlight w:val="none"/>
              </w:rPr>
            </w:pPr>
          </w:p>
        </w:tc>
      </w:tr>
      <w:tr>
        <w:tblPrEx>
          <w:tblBorders>
            <w:top w:val="thinThickSmallGap" w:color="000000" w:themeColor="text1"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437" w:type="pct"/>
            <w:vMerge w:val="restart"/>
            <w:shd w:val="clear" w:color="auto" w:fill="auto"/>
            <w:vAlign w:val="center"/>
          </w:tcPr>
          <w:p>
            <w:pPr>
              <w:jc w:val="center"/>
              <w:rPr>
                <w:kern w:val="0"/>
                <w:sz w:val="20"/>
                <w:szCs w:val="20"/>
                <w:highlight w:val="none"/>
              </w:rPr>
            </w:pPr>
            <w:r>
              <w:rPr>
                <w:kern w:val="0"/>
                <w:sz w:val="20"/>
                <w:szCs w:val="20"/>
                <w:highlight w:val="none"/>
              </w:rPr>
              <w:t>五通桥港区</w:t>
            </w:r>
          </w:p>
        </w:tc>
        <w:tc>
          <w:tcPr>
            <w:tcW w:w="950" w:type="pct"/>
            <w:vMerge w:val="restart"/>
            <w:shd w:val="clear" w:color="auto" w:fill="auto"/>
            <w:vAlign w:val="center"/>
          </w:tcPr>
          <w:p>
            <w:pPr>
              <w:widowControl/>
              <w:jc w:val="center"/>
              <w:rPr>
                <w:kern w:val="0"/>
                <w:sz w:val="20"/>
                <w:szCs w:val="20"/>
                <w:highlight w:val="none"/>
              </w:rPr>
            </w:pPr>
            <w:r>
              <w:rPr>
                <w:kern w:val="0"/>
                <w:sz w:val="20"/>
                <w:szCs w:val="20"/>
                <w:highlight w:val="none"/>
              </w:rPr>
              <w:t>桥沟作业区</w:t>
            </w:r>
          </w:p>
        </w:tc>
        <w:tc>
          <w:tcPr>
            <w:tcW w:w="899" w:type="pct"/>
            <w:vMerge w:val="restart"/>
            <w:shd w:val="clear" w:color="auto" w:fill="auto"/>
            <w:vAlign w:val="center"/>
          </w:tcPr>
          <w:p>
            <w:pPr>
              <w:widowControl/>
              <w:jc w:val="center"/>
              <w:rPr>
                <w:kern w:val="0"/>
                <w:sz w:val="20"/>
                <w:szCs w:val="20"/>
                <w:highlight w:val="none"/>
              </w:rPr>
            </w:pPr>
            <w:r>
              <w:rPr>
                <w:kern w:val="0"/>
                <w:sz w:val="20"/>
                <w:szCs w:val="20"/>
                <w:highlight w:val="none"/>
              </w:rPr>
              <w:t>散货100</w:t>
            </w:r>
            <w:r>
              <w:rPr>
                <w:bCs/>
                <w:kern w:val="0"/>
                <w:sz w:val="20"/>
                <w:szCs w:val="20"/>
                <w:highlight w:val="none"/>
              </w:rPr>
              <w:t>万</w:t>
            </w:r>
            <w:r>
              <w:rPr>
                <w:rFonts w:hint="eastAsia"/>
                <w:bCs/>
                <w:kern w:val="0"/>
                <w:sz w:val="20"/>
                <w:szCs w:val="20"/>
                <w:highlight w:val="none"/>
              </w:rPr>
              <w:t>t</w:t>
            </w:r>
            <w:r>
              <w:rPr>
                <w:bCs/>
                <w:kern w:val="0"/>
                <w:sz w:val="20"/>
                <w:szCs w:val="20"/>
                <w:highlight w:val="none"/>
              </w:rPr>
              <w:t>/年、</w:t>
            </w:r>
            <w:r>
              <w:rPr>
                <w:kern w:val="0"/>
                <w:sz w:val="20"/>
                <w:szCs w:val="20"/>
                <w:highlight w:val="none"/>
              </w:rPr>
              <w:t>件杂90</w:t>
            </w:r>
            <w:r>
              <w:rPr>
                <w:bCs/>
                <w:kern w:val="0"/>
                <w:sz w:val="20"/>
                <w:szCs w:val="20"/>
                <w:highlight w:val="none"/>
              </w:rPr>
              <w:t>万t/年</w:t>
            </w:r>
          </w:p>
        </w:tc>
        <w:tc>
          <w:tcPr>
            <w:tcW w:w="399" w:type="pct"/>
            <w:vMerge w:val="restart"/>
            <w:shd w:val="clear" w:color="auto" w:fill="auto"/>
            <w:vAlign w:val="center"/>
          </w:tcPr>
          <w:p>
            <w:pPr>
              <w:widowControl/>
              <w:jc w:val="center"/>
              <w:rPr>
                <w:kern w:val="0"/>
                <w:sz w:val="20"/>
                <w:szCs w:val="20"/>
                <w:highlight w:val="none"/>
              </w:rPr>
            </w:pPr>
            <w:r>
              <w:rPr>
                <w:kern w:val="0"/>
                <w:sz w:val="20"/>
                <w:szCs w:val="20"/>
                <w:highlight w:val="none"/>
              </w:rPr>
              <w:t>1096</w:t>
            </w:r>
          </w:p>
        </w:tc>
        <w:tc>
          <w:tcPr>
            <w:tcW w:w="749" w:type="pct"/>
            <w:vMerge w:val="restart"/>
            <w:shd w:val="clear" w:color="auto" w:fill="auto"/>
            <w:vAlign w:val="center"/>
          </w:tcPr>
          <w:p>
            <w:pPr>
              <w:widowControl/>
              <w:jc w:val="center"/>
              <w:rPr>
                <w:kern w:val="0"/>
                <w:sz w:val="20"/>
                <w:szCs w:val="20"/>
                <w:highlight w:val="none"/>
              </w:rPr>
            </w:pPr>
            <w:r>
              <w:rPr>
                <w:kern w:val="0"/>
                <w:sz w:val="20"/>
                <w:szCs w:val="20"/>
                <w:highlight w:val="none"/>
              </w:rPr>
              <w:t>国道G213</w:t>
            </w:r>
          </w:p>
        </w:tc>
        <w:tc>
          <w:tcPr>
            <w:tcW w:w="999" w:type="pct"/>
            <w:shd w:val="clear" w:color="auto" w:fill="auto"/>
            <w:vAlign w:val="center"/>
          </w:tcPr>
          <w:p>
            <w:pPr>
              <w:widowControl/>
              <w:jc w:val="center"/>
              <w:rPr>
                <w:kern w:val="0"/>
                <w:sz w:val="20"/>
                <w:szCs w:val="20"/>
                <w:highlight w:val="none"/>
              </w:rPr>
            </w:pPr>
            <w:r>
              <w:rPr>
                <w:kern w:val="0"/>
                <w:sz w:val="20"/>
                <w:szCs w:val="20"/>
                <w:highlight w:val="none"/>
              </w:rPr>
              <w:t>进港公路改造</w:t>
            </w:r>
          </w:p>
        </w:tc>
        <w:tc>
          <w:tcPr>
            <w:tcW w:w="245" w:type="pct"/>
            <w:shd w:val="clear" w:color="auto" w:fill="auto"/>
            <w:vAlign w:val="center"/>
          </w:tcPr>
          <w:p>
            <w:pPr>
              <w:widowControl/>
              <w:jc w:val="center"/>
              <w:rPr>
                <w:kern w:val="0"/>
                <w:sz w:val="20"/>
                <w:szCs w:val="20"/>
                <w:highlight w:val="none"/>
              </w:rPr>
            </w:pPr>
            <w:r>
              <w:rPr>
                <w:kern w:val="0"/>
                <w:sz w:val="20"/>
                <w:szCs w:val="20"/>
                <w:highlight w:val="none"/>
              </w:rPr>
              <w:t>一级</w:t>
            </w:r>
          </w:p>
        </w:tc>
        <w:tc>
          <w:tcPr>
            <w:tcW w:w="321" w:type="pct"/>
            <w:shd w:val="clear" w:color="auto" w:fill="auto"/>
            <w:vAlign w:val="center"/>
          </w:tcPr>
          <w:p>
            <w:pPr>
              <w:widowControl/>
              <w:jc w:val="center"/>
              <w:rPr>
                <w:kern w:val="0"/>
                <w:sz w:val="20"/>
                <w:szCs w:val="20"/>
                <w:highlight w:val="none"/>
              </w:rPr>
            </w:pPr>
            <w:r>
              <w:rPr>
                <w:kern w:val="0"/>
                <w:sz w:val="20"/>
                <w:szCs w:val="20"/>
                <w:highlight w:val="none"/>
              </w:rPr>
              <w:t>2.7</w:t>
            </w:r>
          </w:p>
        </w:tc>
      </w:tr>
      <w:tr>
        <w:tblPrEx>
          <w:tblBorders>
            <w:top w:val="thinThickSmallGap" w:color="000000" w:themeColor="text1"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437" w:type="pct"/>
            <w:vMerge w:val="continue"/>
            <w:shd w:val="clear" w:color="auto" w:fill="auto"/>
            <w:vAlign w:val="center"/>
          </w:tcPr>
          <w:p>
            <w:pPr>
              <w:widowControl/>
              <w:jc w:val="left"/>
              <w:rPr>
                <w:kern w:val="0"/>
                <w:sz w:val="20"/>
                <w:szCs w:val="20"/>
                <w:highlight w:val="none"/>
              </w:rPr>
            </w:pPr>
          </w:p>
        </w:tc>
        <w:tc>
          <w:tcPr>
            <w:tcW w:w="950" w:type="pct"/>
            <w:vMerge w:val="continue"/>
            <w:vAlign w:val="center"/>
          </w:tcPr>
          <w:p>
            <w:pPr>
              <w:widowControl/>
              <w:jc w:val="left"/>
              <w:rPr>
                <w:kern w:val="0"/>
                <w:sz w:val="20"/>
                <w:szCs w:val="20"/>
                <w:highlight w:val="none"/>
              </w:rPr>
            </w:pPr>
          </w:p>
        </w:tc>
        <w:tc>
          <w:tcPr>
            <w:tcW w:w="899" w:type="pct"/>
            <w:vMerge w:val="continue"/>
            <w:vAlign w:val="center"/>
          </w:tcPr>
          <w:p>
            <w:pPr>
              <w:widowControl/>
              <w:jc w:val="left"/>
              <w:rPr>
                <w:kern w:val="0"/>
                <w:sz w:val="20"/>
                <w:szCs w:val="20"/>
                <w:highlight w:val="none"/>
              </w:rPr>
            </w:pPr>
          </w:p>
        </w:tc>
        <w:tc>
          <w:tcPr>
            <w:tcW w:w="399" w:type="pct"/>
            <w:vMerge w:val="continue"/>
            <w:vAlign w:val="center"/>
          </w:tcPr>
          <w:p>
            <w:pPr>
              <w:widowControl/>
              <w:jc w:val="left"/>
              <w:rPr>
                <w:kern w:val="0"/>
                <w:sz w:val="20"/>
                <w:szCs w:val="20"/>
                <w:highlight w:val="none"/>
              </w:rPr>
            </w:pPr>
          </w:p>
        </w:tc>
        <w:tc>
          <w:tcPr>
            <w:tcW w:w="749" w:type="pct"/>
            <w:vMerge w:val="continue"/>
            <w:vAlign w:val="center"/>
          </w:tcPr>
          <w:p>
            <w:pPr>
              <w:widowControl/>
              <w:jc w:val="left"/>
              <w:rPr>
                <w:kern w:val="0"/>
                <w:sz w:val="20"/>
                <w:szCs w:val="20"/>
                <w:highlight w:val="none"/>
              </w:rPr>
            </w:pPr>
          </w:p>
        </w:tc>
        <w:tc>
          <w:tcPr>
            <w:tcW w:w="999" w:type="pct"/>
            <w:shd w:val="clear" w:color="auto" w:fill="auto"/>
            <w:vAlign w:val="center"/>
          </w:tcPr>
          <w:p>
            <w:pPr>
              <w:widowControl/>
              <w:jc w:val="center"/>
              <w:rPr>
                <w:kern w:val="0"/>
                <w:sz w:val="20"/>
                <w:szCs w:val="20"/>
                <w:highlight w:val="none"/>
              </w:rPr>
            </w:pPr>
            <w:r>
              <w:rPr>
                <w:kern w:val="0"/>
                <w:sz w:val="20"/>
                <w:szCs w:val="20"/>
                <w:highlight w:val="none"/>
              </w:rPr>
              <w:t>乐宜高速五通桥收费站至国道G213线连接线</w:t>
            </w:r>
          </w:p>
        </w:tc>
        <w:tc>
          <w:tcPr>
            <w:tcW w:w="245" w:type="pct"/>
            <w:shd w:val="clear" w:color="auto" w:fill="auto"/>
            <w:vAlign w:val="center"/>
          </w:tcPr>
          <w:p>
            <w:pPr>
              <w:widowControl/>
              <w:jc w:val="center"/>
              <w:rPr>
                <w:kern w:val="0"/>
                <w:sz w:val="20"/>
                <w:szCs w:val="20"/>
                <w:highlight w:val="none"/>
              </w:rPr>
            </w:pPr>
            <w:r>
              <w:rPr>
                <w:kern w:val="0"/>
                <w:sz w:val="20"/>
                <w:szCs w:val="20"/>
                <w:highlight w:val="none"/>
              </w:rPr>
              <w:t>一级</w:t>
            </w:r>
          </w:p>
        </w:tc>
        <w:tc>
          <w:tcPr>
            <w:tcW w:w="321" w:type="pct"/>
            <w:shd w:val="clear" w:color="auto" w:fill="auto"/>
            <w:vAlign w:val="center"/>
          </w:tcPr>
          <w:p>
            <w:pPr>
              <w:widowControl/>
              <w:jc w:val="center"/>
              <w:rPr>
                <w:kern w:val="0"/>
                <w:sz w:val="20"/>
                <w:szCs w:val="20"/>
                <w:highlight w:val="none"/>
              </w:rPr>
            </w:pPr>
            <w:r>
              <w:rPr>
                <w:kern w:val="0"/>
                <w:sz w:val="20"/>
                <w:szCs w:val="20"/>
                <w:highlight w:val="none"/>
              </w:rPr>
              <w:t>3.8</w:t>
            </w:r>
          </w:p>
        </w:tc>
      </w:tr>
      <w:tr>
        <w:tblPrEx>
          <w:tblBorders>
            <w:top w:val="thinThickSmallGap" w:color="000000" w:themeColor="text1"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437" w:type="pct"/>
            <w:vMerge w:val="restart"/>
            <w:shd w:val="clear" w:color="auto" w:fill="auto"/>
            <w:vAlign w:val="center"/>
          </w:tcPr>
          <w:p>
            <w:pPr>
              <w:widowControl/>
              <w:jc w:val="center"/>
              <w:rPr>
                <w:kern w:val="0"/>
                <w:sz w:val="20"/>
                <w:szCs w:val="20"/>
                <w:highlight w:val="none"/>
              </w:rPr>
            </w:pPr>
            <w:r>
              <w:rPr>
                <w:rFonts w:hint="eastAsia"/>
                <w:kern w:val="0"/>
                <w:sz w:val="20"/>
                <w:szCs w:val="20"/>
                <w:highlight w:val="none"/>
              </w:rPr>
              <w:t>犍为港区</w:t>
            </w:r>
          </w:p>
        </w:tc>
        <w:tc>
          <w:tcPr>
            <w:tcW w:w="950" w:type="pct"/>
            <w:vMerge w:val="restart"/>
            <w:shd w:val="clear" w:color="auto" w:fill="auto"/>
            <w:vAlign w:val="center"/>
          </w:tcPr>
          <w:p>
            <w:pPr>
              <w:widowControl/>
              <w:jc w:val="center"/>
              <w:rPr>
                <w:kern w:val="0"/>
                <w:sz w:val="20"/>
                <w:szCs w:val="20"/>
                <w:highlight w:val="none"/>
              </w:rPr>
            </w:pPr>
            <w:r>
              <w:rPr>
                <w:kern w:val="0"/>
                <w:sz w:val="20"/>
                <w:szCs w:val="20"/>
                <w:highlight w:val="none"/>
              </w:rPr>
              <w:t>高石坝作业区</w:t>
            </w:r>
          </w:p>
        </w:tc>
        <w:tc>
          <w:tcPr>
            <w:tcW w:w="899" w:type="pct"/>
            <w:vMerge w:val="restart"/>
            <w:shd w:val="clear" w:color="auto" w:fill="auto"/>
            <w:vAlign w:val="center"/>
          </w:tcPr>
          <w:p>
            <w:pPr>
              <w:widowControl/>
              <w:jc w:val="center"/>
              <w:rPr>
                <w:kern w:val="0"/>
                <w:sz w:val="20"/>
                <w:szCs w:val="20"/>
                <w:highlight w:val="none"/>
              </w:rPr>
            </w:pPr>
            <w:r>
              <w:rPr>
                <w:kern w:val="0"/>
                <w:sz w:val="20"/>
                <w:szCs w:val="20"/>
                <w:highlight w:val="none"/>
              </w:rPr>
              <w:t>集装箱35万TEU，件杂货300万t，散货720万t</w:t>
            </w:r>
          </w:p>
        </w:tc>
        <w:tc>
          <w:tcPr>
            <w:tcW w:w="399" w:type="pct"/>
            <w:vMerge w:val="restart"/>
            <w:shd w:val="clear" w:color="auto" w:fill="auto"/>
            <w:vAlign w:val="center"/>
          </w:tcPr>
          <w:p>
            <w:pPr>
              <w:widowControl/>
              <w:jc w:val="center"/>
              <w:rPr>
                <w:kern w:val="0"/>
                <w:sz w:val="20"/>
                <w:szCs w:val="20"/>
                <w:highlight w:val="none"/>
              </w:rPr>
            </w:pPr>
            <w:r>
              <w:rPr>
                <w:kern w:val="0"/>
                <w:sz w:val="20"/>
                <w:szCs w:val="20"/>
                <w:highlight w:val="none"/>
              </w:rPr>
              <w:t>7610</w:t>
            </w:r>
          </w:p>
        </w:tc>
        <w:tc>
          <w:tcPr>
            <w:tcW w:w="749" w:type="pct"/>
            <w:shd w:val="clear" w:color="auto" w:fill="auto"/>
            <w:vAlign w:val="center"/>
          </w:tcPr>
          <w:p>
            <w:pPr>
              <w:widowControl/>
              <w:jc w:val="center"/>
              <w:rPr>
                <w:kern w:val="0"/>
                <w:sz w:val="20"/>
                <w:szCs w:val="20"/>
                <w:highlight w:val="none"/>
              </w:rPr>
            </w:pPr>
            <w:r>
              <w:rPr>
                <w:kern w:val="0"/>
                <w:sz w:val="20"/>
                <w:szCs w:val="20"/>
                <w:highlight w:val="none"/>
              </w:rPr>
              <w:t>五犍沐快速路</w:t>
            </w:r>
          </w:p>
        </w:tc>
        <w:tc>
          <w:tcPr>
            <w:tcW w:w="999" w:type="pct"/>
            <w:shd w:val="clear" w:color="auto" w:fill="auto"/>
            <w:vAlign w:val="center"/>
          </w:tcPr>
          <w:p>
            <w:pPr>
              <w:widowControl/>
              <w:jc w:val="center"/>
              <w:rPr>
                <w:kern w:val="0"/>
                <w:sz w:val="20"/>
                <w:szCs w:val="20"/>
                <w:highlight w:val="none"/>
              </w:rPr>
            </w:pPr>
            <w:r>
              <w:rPr>
                <w:kern w:val="0"/>
                <w:sz w:val="20"/>
                <w:szCs w:val="20"/>
                <w:highlight w:val="none"/>
              </w:rPr>
              <w:t>省道215线犍为岷江大桥至孝姑段（进港大道东）公路（具体内容见乐山市相关交通规划）</w:t>
            </w:r>
          </w:p>
        </w:tc>
        <w:tc>
          <w:tcPr>
            <w:tcW w:w="245" w:type="pct"/>
            <w:shd w:val="clear" w:color="auto" w:fill="auto"/>
            <w:vAlign w:val="center"/>
          </w:tcPr>
          <w:p>
            <w:pPr>
              <w:widowControl/>
              <w:jc w:val="center"/>
              <w:rPr>
                <w:kern w:val="0"/>
                <w:sz w:val="20"/>
                <w:szCs w:val="20"/>
                <w:highlight w:val="none"/>
              </w:rPr>
            </w:pPr>
            <w:r>
              <w:rPr>
                <w:kern w:val="0"/>
                <w:sz w:val="20"/>
                <w:szCs w:val="20"/>
                <w:highlight w:val="none"/>
              </w:rPr>
              <w:t>一级</w:t>
            </w:r>
          </w:p>
        </w:tc>
        <w:tc>
          <w:tcPr>
            <w:tcW w:w="321" w:type="pct"/>
            <w:shd w:val="clear" w:color="auto" w:fill="auto"/>
            <w:vAlign w:val="center"/>
          </w:tcPr>
          <w:p>
            <w:pPr>
              <w:widowControl/>
              <w:jc w:val="center"/>
              <w:rPr>
                <w:kern w:val="0"/>
                <w:sz w:val="20"/>
                <w:szCs w:val="20"/>
                <w:highlight w:val="none"/>
              </w:rPr>
            </w:pPr>
            <w:r>
              <w:rPr>
                <w:kern w:val="0"/>
                <w:sz w:val="20"/>
                <w:szCs w:val="20"/>
                <w:highlight w:val="none"/>
              </w:rPr>
              <w:t>14</w:t>
            </w:r>
          </w:p>
        </w:tc>
      </w:tr>
      <w:tr>
        <w:tblPrEx>
          <w:tblBorders>
            <w:top w:val="thinThickSmallGap" w:color="000000" w:themeColor="text1"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37" w:type="pct"/>
            <w:vMerge w:val="continue"/>
            <w:shd w:val="clear" w:color="auto" w:fill="auto"/>
            <w:vAlign w:val="center"/>
          </w:tcPr>
          <w:p>
            <w:pPr>
              <w:widowControl/>
              <w:jc w:val="left"/>
              <w:rPr>
                <w:kern w:val="0"/>
                <w:sz w:val="20"/>
                <w:szCs w:val="20"/>
                <w:highlight w:val="none"/>
              </w:rPr>
            </w:pPr>
          </w:p>
        </w:tc>
        <w:tc>
          <w:tcPr>
            <w:tcW w:w="950" w:type="pct"/>
            <w:vMerge w:val="continue"/>
            <w:vAlign w:val="center"/>
          </w:tcPr>
          <w:p>
            <w:pPr>
              <w:widowControl/>
              <w:jc w:val="left"/>
              <w:rPr>
                <w:kern w:val="0"/>
                <w:sz w:val="20"/>
                <w:szCs w:val="20"/>
                <w:highlight w:val="none"/>
              </w:rPr>
            </w:pPr>
          </w:p>
        </w:tc>
        <w:tc>
          <w:tcPr>
            <w:tcW w:w="899" w:type="pct"/>
            <w:vMerge w:val="continue"/>
            <w:vAlign w:val="center"/>
          </w:tcPr>
          <w:p>
            <w:pPr>
              <w:widowControl/>
              <w:jc w:val="left"/>
              <w:rPr>
                <w:kern w:val="0"/>
                <w:sz w:val="20"/>
                <w:szCs w:val="20"/>
                <w:highlight w:val="none"/>
              </w:rPr>
            </w:pPr>
          </w:p>
        </w:tc>
        <w:tc>
          <w:tcPr>
            <w:tcW w:w="399" w:type="pct"/>
            <w:vMerge w:val="continue"/>
            <w:vAlign w:val="center"/>
          </w:tcPr>
          <w:p>
            <w:pPr>
              <w:widowControl/>
              <w:jc w:val="left"/>
              <w:rPr>
                <w:kern w:val="0"/>
                <w:sz w:val="20"/>
                <w:szCs w:val="20"/>
                <w:highlight w:val="none"/>
              </w:rPr>
            </w:pPr>
          </w:p>
        </w:tc>
        <w:tc>
          <w:tcPr>
            <w:tcW w:w="749" w:type="pct"/>
            <w:shd w:val="clear" w:color="auto" w:fill="auto"/>
            <w:vAlign w:val="center"/>
          </w:tcPr>
          <w:p>
            <w:pPr>
              <w:widowControl/>
              <w:jc w:val="center"/>
              <w:rPr>
                <w:kern w:val="0"/>
                <w:sz w:val="20"/>
                <w:szCs w:val="20"/>
                <w:highlight w:val="none"/>
              </w:rPr>
            </w:pPr>
            <w:r>
              <w:rPr>
                <w:kern w:val="0"/>
                <w:sz w:val="20"/>
                <w:szCs w:val="20"/>
                <w:highlight w:val="none"/>
              </w:rPr>
              <w:t>连乐铁路</w:t>
            </w:r>
          </w:p>
        </w:tc>
        <w:tc>
          <w:tcPr>
            <w:tcW w:w="999" w:type="pct"/>
            <w:shd w:val="clear" w:color="auto" w:fill="auto"/>
            <w:vAlign w:val="center"/>
          </w:tcPr>
          <w:p>
            <w:pPr>
              <w:widowControl/>
              <w:jc w:val="center"/>
              <w:rPr>
                <w:kern w:val="0"/>
                <w:sz w:val="20"/>
                <w:szCs w:val="20"/>
                <w:highlight w:val="none"/>
              </w:rPr>
            </w:pPr>
            <w:r>
              <w:rPr>
                <w:kern w:val="0"/>
                <w:sz w:val="20"/>
                <w:szCs w:val="20"/>
                <w:highlight w:val="none"/>
              </w:rPr>
              <w:t>进港铁路</w:t>
            </w:r>
          </w:p>
        </w:tc>
        <w:tc>
          <w:tcPr>
            <w:tcW w:w="245" w:type="pct"/>
            <w:shd w:val="clear" w:color="auto" w:fill="auto"/>
            <w:vAlign w:val="center"/>
          </w:tcPr>
          <w:p>
            <w:pPr>
              <w:widowControl/>
              <w:jc w:val="center"/>
              <w:rPr>
                <w:kern w:val="0"/>
                <w:sz w:val="20"/>
                <w:szCs w:val="20"/>
                <w:highlight w:val="none"/>
              </w:rPr>
            </w:pPr>
            <w:r>
              <w:rPr>
                <w:kern w:val="0"/>
                <w:sz w:val="20"/>
                <w:szCs w:val="20"/>
                <w:highlight w:val="none"/>
              </w:rPr>
              <w:t>I级</w:t>
            </w:r>
          </w:p>
        </w:tc>
        <w:tc>
          <w:tcPr>
            <w:tcW w:w="321" w:type="pct"/>
            <w:shd w:val="clear" w:color="auto" w:fill="auto"/>
            <w:vAlign w:val="center"/>
          </w:tcPr>
          <w:p>
            <w:pPr>
              <w:widowControl/>
              <w:jc w:val="center"/>
              <w:rPr>
                <w:kern w:val="0"/>
                <w:sz w:val="20"/>
                <w:szCs w:val="20"/>
                <w:highlight w:val="none"/>
              </w:rPr>
            </w:pPr>
            <w:r>
              <w:rPr>
                <w:kern w:val="0"/>
                <w:sz w:val="20"/>
                <w:szCs w:val="20"/>
                <w:highlight w:val="none"/>
              </w:rPr>
              <w:t>15</w:t>
            </w:r>
          </w:p>
        </w:tc>
      </w:tr>
      <w:tr>
        <w:tblPrEx>
          <w:tblBorders>
            <w:top w:val="thinThickSmallGap" w:color="000000" w:themeColor="text1"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37" w:type="pct"/>
            <w:vMerge w:val="continue"/>
            <w:shd w:val="clear" w:color="auto" w:fill="auto"/>
            <w:vAlign w:val="center"/>
          </w:tcPr>
          <w:p>
            <w:pPr>
              <w:widowControl/>
              <w:jc w:val="left"/>
              <w:rPr>
                <w:kern w:val="0"/>
                <w:sz w:val="20"/>
                <w:szCs w:val="20"/>
                <w:highlight w:val="none"/>
              </w:rPr>
            </w:pPr>
          </w:p>
        </w:tc>
        <w:tc>
          <w:tcPr>
            <w:tcW w:w="950" w:type="pct"/>
            <w:shd w:val="clear" w:color="auto" w:fill="auto"/>
            <w:vAlign w:val="center"/>
          </w:tcPr>
          <w:p>
            <w:pPr>
              <w:widowControl/>
              <w:jc w:val="center"/>
              <w:rPr>
                <w:kern w:val="0"/>
                <w:sz w:val="20"/>
                <w:szCs w:val="20"/>
                <w:highlight w:val="none"/>
              </w:rPr>
            </w:pPr>
            <w:r>
              <w:rPr>
                <w:kern w:val="0"/>
                <w:sz w:val="20"/>
                <w:szCs w:val="20"/>
                <w:highlight w:val="none"/>
              </w:rPr>
              <w:t>新民水上服务中心</w:t>
            </w:r>
          </w:p>
        </w:tc>
        <w:tc>
          <w:tcPr>
            <w:tcW w:w="899" w:type="pct"/>
            <w:shd w:val="clear" w:color="auto" w:fill="auto"/>
            <w:vAlign w:val="center"/>
          </w:tcPr>
          <w:p>
            <w:pPr>
              <w:widowControl/>
              <w:jc w:val="center"/>
              <w:rPr>
                <w:kern w:val="0"/>
                <w:sz w:val="20"/>
                <w:szCs w:val="20"/>
                <w:highlight w:val="none"/>
              </w:rPr>
            </w:pPr>
          </w:p>
        </w:tc>
        <w:tc>
          <w:tcPr>
            <w:tcW w:w="399" w:type="pct"/>
            <w:shd w:val="clear" w:color="auto" w:fill="auto"/>
            <w:vAlign w:val="center"/>
          </w:tcPr>
          <w:p>
            <w:pPr>
              <w:widowControl/>
              <w:jc w:val="center"/>
              <w:rPr>
                <w:kern w:val="0"/>
                <w:sz w:val="20"/>
                <w:szCs w:val="20"/>
                <w:highlight w:val="none"/>
              </w:rPr>
            </w:pPr>
          </w:p>
        </w:tc>
        <w:tc>
          <w:tcPr>
            <w:tcW w:w="749" w:type="pct"/>
            <w:shd w:val="clear" w:color="auto" w:fill="auto"/>
            <w:vAlign w:val="center"/>
          </w:tcPr>
          <w:p>
            <w:pPr>
              <w:widowControl/>
              <w:jc w:val="center"/>
              <w:rPr>
                <w:kern w:val="0"/>
                <w:sz w:val="20"/>
                <w:szCs w:val="20"/>
                <w:highlight w:val="none"/>
              </w:rPr>
            </w:pPr>
            <w:r>
              <w:rPr>
                <w:kern w:val="0"/>
                <w:sz w:val="20"/>
                <w:szCs w:val="20"/>
                <w:highlight w:val="none"/>
              </w:rPr>
              <w:t>县道S215、滨江道路</w:t>
            </w:r>
          </w:p>
        </w:tc>
        <w:tc>
          <w:tcPr>
            <w:tcW w:w="999" w:type="pct"/>
            <w:shd w:val="clear" w:color="auto" w:fill="auto"/>
            <w:vAlign w:val="center"/>
          </w:tcPr>
          <w:p>
            <w:pPr>
              <w:widowControl/>
              <w:jc w:val="center"/>
              <w:rPr>
                <w:kern w:val="0"/>
                <w:sz w:val="20"/>
                <w:szCs w:val="20"/>
                <w:highlight w:val="none"/>
              </w:rPr>
            </w:pPr>
            <w:r>
              <w:rPr>
                <w:kern w:val="0"/>
                <w:sz w:val="20"/>
                <w:szCs w:val="20"/>
                <w:highlight w:val="none"/>
              </w:rPr>
              <w:t>县道S215、滨江道路（现有）</w:t>
            </w:r>
          </w:p>
        </w:tc>
        <w:tc>
          <w:tcPr>
            <w:tcW w:w="245" w:type="pct"/>
            <w:shd w:val="clear" w:color="auto" w:fill="auto"/>
            <w:vAlign w:val="center"/>
          </w:tcPr>
          <w:p>
            <w:pPr>
              <w:widowControl/>
              <w:jc w:val="center"/>
              <w:rPr>
                <w:kern w:val="0"/>
                <w:sz w:val="20"/>
                <w:szCs w:val="20"/>
                <w:highlight w:val="none"/>
              </w:rPr>
            </w:pPr>
          </w:p>
        </w:tc>
        <w:tc>
          <w:tcPr>
            <w:tcW w:w="321" w:type="pct"/>
            <w:shd w:val="clear" w:color="auto" w:fill="auto"/>
            <w:vAlign w:val="center"/>
          </w:tcPr>
          <w:p>
            <w:pPr>
              <w:widowControl/>
              <w:jc w:val="center"/>
              <w:rPr>
                <w:kern w:val="0"/>
                <w:sz w:val="20"/>
                <w:szCs w:val="20"/>
                <w:highlight w:val="none"/>
              </w:rPr>
            </w:pPr>
          </w:p>
        </w:tc>
      </w:tr>
      <w:tr>
        <w:tblPrEx>
          <w:tblBorders>
            <w:top w:val="thinThickSmallGap" w:color="000000" w:themeColor="text1"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437" w:type="pct"/>
            <w:vMerge w:val="restart"/>
            <w:shd w:val="clear" w:color="auto" w:fill="auto"/>
            <w:vAlign w:val="center"/>
          </w:tcPr>
          <w:p>
            <w:pPr>
              <w:widowControl/>
              <w:jc w:val="center"/>
              <w:rPr>
                <w:kern w:val="0"/>
                <w:sz w:val="20"/>
                <w:szCs w:val="20"/>
                <w:highlight w:val="none"/>
              </w:rPr>
            </w:pPr>
            <w:r>
              <w:rPr>
                <w:kern w:val="0"/>
                <w:sz w:val="20"/>
                <w:szCs w:val="20"/>
                <w:highlight w:val="none"/>
              </w:rPr>
              <w:t>沐川港区</w:t>
            </w:r>
          </w:p>
        </w:tc>
        <w:tc>
          <w:tcPr>
            <w:tcW w:w="950" w:type="pct"/>
            <w:shd w:val="clear" w:color="auto" w:fill="auto"/>
            <w:vAlign w:val="center"/>
          </w:tcPr>
          <w:p>
            <w:pPr>
              <w:widowControl/>
              <w:jc w:val="center"/>
              <w:rPr>
                <w:kern w:val="0"/>
                <w:sz w:val="20"/>
                <w:szCs w:val="20"/>
                <w:highlight w:val="none"/>
              </w:rPr>
            </w:pPr>
            <w:r>
              <w:rPr>
                <w:kern w:val="0"/>
                <w:sz w:val="20"/>
                <w:szCs w:val="20"/>
                <w:highlight w:val="none"/>
              </w:rPr>
              <w:t>罗家坝作业区</w:t>
            </w:r>
          </w:p>
        </w:tc>
        <w:tc>
          <w:tcPr>
            <w:tcW w:w="899" w:type="pct"/>
            <w:shd w:val="clear" w:color="auto" w:fill="auto"/>
            <w:vAlign w:val="center"/>
          </w:tcPr>
          <w:p>
            <w:pPr>
              <w:widowControl/>
              <w:jc w:val="center"/>
              <w:rPr>
                <w:kern w:val="0"/>
                <w:sz w:val="20"/>
                <w:szCs w:val="20"/>
                <w:highlight w:val="none"/>
              </w:rPr>
            </w:pPr>
            <w:r>
              <w:rPr>
                <w:kern w:val="0"/>
                <w:sz w:val="20"/>
                <w:szCs w:val="20"/>
                <w:highlight w:val="none"/>
              </w:rPr>
              <w:t>散货300</w:t>
            </w:r>
            <w:r>
              <w:rPr>
                <w:bCs/>
                <w:kern w:val="0"/>
                <w:sz w:val="20"/>
                <w:szCs w:val="20"/>
                <w:highlight w:val="none"/>
              </w:rPr>
              <w:t>万t/年</w:t>
            </w:r>
            <w:r>
              <w:rPr>
                <w:kern w:val="0"/>
                <w:sz w:val="20"/>
                <w:szCs w:val="20"/>
                <w:highlight w:val="none"/>
              </w:rPr>
              <w:t>、件杂60</w:t>
            </w:r>
            <w:r>
              <w:rPr>
                <w:bCs/>
                <w:kern w:val="0"/>
                <w:sz w:val="20"/>
                <w:szCs w:val="20"/>
                <w:highlight w:val="none"/>
              </w:rPr>
              <w:t>万t/年</w:t>
            </w:r>
          </w:p>
        </w:tc>
        <w:tc>
          <w:tcPr>
            <w:tcW w:w="399" w:type="pct"/>
            <w:shd w:val="clear" w:color="auto" w:fill="auto"/>
            <w:vAlign w:val="center"/>
          </w:tcPr>
          <w:p>
            <w:pPr>
              <w:widowControl/>
              <w:jc w:val="center"/>
              <w:rPr>
                <w:kern w:val="0"/>
                <w:sz w:val="20"/>
                <w:szCs w:val="20"/>
                <w:highlight w:val="none"/>
              </w:rPr>
            </w:pPr>
            <w:r>
              <w:rPr>
                <w:kern w:val="0"/>
                <w:sz w:val="20"/>
                <w:szCs w:val="20"/>
                <w:highlight w:val="none"/>
              </w:rPr>
              <w:t>2630</w:t>
            </w:r>
          </w:p>
        </w:tc>
        <w:tc>
          <w:tcPr>
            <w:tcW w:w="749" w:type="pct"/>
            <w:shd w:val="clear" w:color="auto" w:fill="auto"/>
            <w:vAlign w:val="center"/>
          </w:tcPr>
          <w:p>
            <w:pPr>
              <w:widowControl/>
              <w:jc w:val="center"/>
              <w:rPr>
                <w:kern w:val="0"/>
                <w:sz w:val="20"/>
                <w:szCs w:val="20"/>
                <w:highlight w:val="none"/>
              </w:rPr>
            </w:pPr>
            <w:r>
              <w:rPr>
                <w:kern w:val="0"/>
                <w:sz w:val="20"/>
                <w:szCs w:val="20"/>
                <w:highlight w:val="none"/>
              </w:rPr>
              <w:t>S310线沐川县箭板镇至新凡段新改建工程（新凡至炭库段）</w:t>
            </w:r>
          </w:p>
        </w:tc>
        <w:tc>
          <w:tcPr>
            <w:tcW w:w="999" w:type="pct"/>
            <w:shd w:val="clear" w:color="auto" w:fill="auto"/>
            <w:vAlign w:val="center"/>
          </w:tcPr>
          <w:p>
            <w:pPr>
              <w:widowControl/>
              <w:jc w:val="center"/>
              <w:rPr>
                <w:kern w:val="0"/>
                <w:sz w:val="20"/>
                <w:szCs w:val="20"/>
                <w:highlight w:val="none"/>
              </w:rPr>
            </w:pPr>
            <w:r>
              <w:rPr>
                <w:kern w:val="0"/>
                <w:sz w:val="20"/>
                <w:szCs w:val="20"/>
                <w:highlight w:val="none"/>
              </w:rPr>
              <w:t>进港公路</w:t>
            </w:r>
          </w:p>
        </w:tc>
        <w:tc>
          <w:tcPr>
            <w:tcW w:w="245" w:type="pct"/>
            <w:shd w:val="clear" w:color="auto" w:fill="auto"/>
            <w:vAlign w:val="center"/>
          </w:tcPr>
          <w:p>
            <w:pPr>
              <w:widowControl/>
              <w:jc w:val="center"/>
              <w:rPr>
                <w:kern w:val="0"/>
                <w:sz w:val="20"/>
                <w:szCs w:val="20"/>
                <w:highlight w:val="none"/>
              </w:rPr>
            </w:pPr>
            <w:r>
              <w:rPr>
                <w:kern w:val="0"/>
                <w:sz w:val="20"/>
                <w:szCs w:val="20"/>
                <w:highlight w:val="none"/>
              </w:rPr>
              <w:t>一级</w:t>
            </w:r>
          </w:p>
        </w:tc>
        <w:tc>
          <w:tcPr>
            <w:tcW w:w="321" w:type="pct"/>
            <w:shd w:val="clear" w:color="auto" w:fill="auto"/>
            <w:vAlign w:val="center"/>
          </w:tcPr>
          <w:p>
            <w:pPr>
              <w:widowControl/>
              <w:jc w:val="center"/>
              <w:rPr>
                <w:kern w:val="0"/>
                <w:sz w:val="20"/>
                <w:szCs w:val="20"/>
                <w:highlight w:val="none"/>
              </w:rPr>
            </w:pPr>
            <w:r>
              <w:rPr>
                <w:kern w:val="0"/>
                <w:sz w:val="20"/>
                <w:szCs w:val="20"/>
                <w:highlight w:val="none"/>
              </w:rPr>
              <w:t>26</w:t>
            </w:r>
          </w:p>
        </w:tc>
      </w:tr>
      <w:tr>
        <w:tblPrEx>
          <w:tblBorders>
            <w:top w:val="thinThickSmallGap" w:color="000000" w:themeColor="text1"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437" w:type="pct"/>
            <w:vMerge w:val="continue"/>
            <w:shd w:val="clear" w:color="auto" w:fill="auto"/>
            <w:vAlign w:val="center"/>
          </w:tcPr>
          <w:p>
            <w:pPr>
              <w:widowControl/>
              <w:jc w:val="center"/>
              <w:rPr>
                <w:kern w:val="0"/>
                <w:sz w:val="20"/>
                <w:szCs w:val="20"/>
                <w:highlight w:val="none"/>
              </w:rPr>
            </w:pPr>
          </w:p>
        </w:tc>
        <w:tc>
          <w:tcPr>
            <w:tcW w:w="950" w:type="pct"/>
            <w:shd w:val="clear" w:color="auto" w:fill="auto"/>
            <w:vAlign w:val="center"/>
          </w:tcPr>
          <w:p>
            <w:pPr>
              <w:widowControl/>
              <w:jc w:val="center"/>
              <w:rPr>
                <w:kern w:val="0"/>
                <w:sz w:val="20"/>
                <w:szCs w:val="20"/>
                <w:highlight w:val="none"/>
              </w:rPr>
            </w:pPr>
            <w:r>
              <w:rPr>
                <w:kern w:val="0"/>
                <w:sz w:val="20"/>
                <w:szCs w:val="20"/>
                <w:highlight w:val="none"/>
              </w:rPr>
              <w:t>炭库古镇旅游客运码头</w:t>
            </w:r>
          </w:p>
        </w:tc>
        <w:tc>
          <w:tcPr>
            <w:tcW w:w="899" w:type="pct"/>
            <w:shd w:val="clear" w:color="auto" w:fill="auto"/>
            <w:vAlign w:val="center"/>
          </w:tcPr>
          <w:p>
            <w:pPr>
              <w:widowControl/>
              <w:jc w:val="center"/>
              <w:rPr>
                <w:kern w:val="0"/>
                <w:sz w:val="20"/>
                <w:szCs w:val="20"/>
                <w:highlight w:val="none"/>
              </w:rPr>
            </w:pPr>
            <w:r>
              <w:rPr>
                <w:kern w:val="0"/>
                <w:sz w:val="20"/>
                <w:szCs w:val="20"/>
                <w:highlight w:val="none"/>
              </w:rPr>
              <w:t>客运量30万人次/年</w:t>
            </w:r>
          </w:p>
        </w:tc>
        <w:tc>
          <w:tcPr>
            <w:tcW w:w="399" w:type="pct"/>
            <w:shd w:val="clear" w:color="auto" w:fill="auto"/>
            <w:vAlign w:val="center"/>
          </w:tcPr>
          <w:p>
            <w:pPr>
              <w:widowControl/>
              <w:jc w:val="center"/>
              <w:rPr>
                <w:kern w:val="0"/>
                <w:sz w:val="20"/>
                <w:szCs w:val="20"/>
                <w:highlight w:val="none"/>
              </w:rPr>
            </w:pPr>
            <w:r>
              <w:rPr>
                <w:kern w:val="0"/>
                <w:sz w:val="20"/>
                <w:szCs w:val="20"/>
                <w:highlight w:val="none"/>
              </w:rPr>
              <w:t>411</w:t>
            </w:r>
          </w:p>
        </w:tc>
        <w:tc>
          <w:tcPr>
            <w:tcW w:w="749" w:type="pct"/>
            <w:shd w:val="clear" w:color="auto" w:fill="auto"/>
            <w:vAlign w:val="center"/>
          </w:tcPr>
          <w:p>
            <w:pPr>
              <w:widowControl/>
              <w:jc w:val="center"/>
              <w:rPr>
                <w:kern w:val="0"/>
                <w:sz w:val="20"/>
                <w:szCs w:val="20"/>
                <w:highlight w:val="none"/>
              </w:rPr>
            </w:pPr>
            <w:r>
              <w:rPr>
                <w:kern w:val="0"/>
                <w:sz w:val="20"/>
                <w:szCs w:val="20"/>
                <w:highlight w:val="none"/>
              </w:rPr>
              <w:t>S310线</w:t>
            </w:r>
          </w:p>
        </w:tc>
        <w:tc>
          <w:tcPr>
            <w:tcW w:w="999" w:type="pct"/>
            <w:shd w:val="clear" w:color="auto" w:fill="auto"/>
            <w:vAlign w:val="center"/>
          </w:tcPr>
          <w:p>
            <w:pPr>
              <w:widowControl/>
              <w:jc w:val="center"/>
              <w:rPr>
                <w:kern w:val="0"/>
                <w:sz w:val="20"/>
                <w:szCs w:val="20"/>
                <w:highlight w:val="none"/>
              </w:rPr>
            </w:pPr>
            <w:r>
              <w:rPr>
                <w:kern w:val="0"/>
                <w:sz w:val="20"/>
                <w:szCs w:val="20"/>
                <w:highlight w:val="none"/>
              </w:rPr>
              <w:t>进港公路</w:t>
            </w:r>
          </w:p>
        </w:tc>
        <w:tc>
          <w:tcPr>
            <w:tcW w:w="245" w:type="pct"/>
            <w:shd w:val="clear" w:color="auto" w:fill="auto"/>
            <w:vAlign w:val="center"/>
          </w:tcPr>
          <w:p>
            <w:pPr>
              <w:widowControl/>
              <w:jc w:val="center"/>
              <w:rPr>
                <w:kern w:val="0"/>
                <w:sz w:val="20"/>
                <w:szCs w:val="20"/>
                <w:highlight w:val="none"/>
              </w:rPr>
            </w:pPr>
            <w:r>
              <w:rPr>
                <w:kern w:val="0"/>
                <w:sz w:val="20"/>
                <w:szCs w:val="20"/>
                <w:highlight w:val="none"/>
              </w:rPr>
              <w:t>三级</w:t>
            </w:r>
          </w:p>
        </w:tc>
        <w:tc>
          <w:tcPr>
            <w:tcW w:w="321" w:type="pct"/>
            <w:shd w:val="clear" w:color="auto" w:fill="auto"/>
            <w:vAlign w:val="center"/>
          </w:tcPr>
          <w:p>
            <w:pPr>
              <w:widowControl/>
              <w:jc w:val="center"/>
              <w:rPr>
                <w:kern w:val="0"/>
                <w:sz w:val="20"/>
                <w:szCs w:val="20"/>
                <w:highlight w:val="none"/>
              </w:rPr>
            </w:pPr>
            <w:r>
              <w:rPr>
                <w:kern w:val="0"/>
                <w:sz w:val="20"/>
                <w:szCs w:val="20"/>
                <w:highlight w:val="none"/>
              </w:rPr>
              <w:t>1</w:t>
            </w:r>
          </w:p>
        </w:tc>
      </w:tr>
      <w:tr>
        <w:tblPrEx>
          <w:tblBorders>
            <w:top w:val="thinThickSmallGap" w:color="000000" w:themeColor="text1"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37" w:type="pct"/>
            <w:vMerge w:val="continue"/>
            <w:vAlign w:val="center"/>
          </w:tcPr>
          <w:p>
            <w:pPr>
              <w:widowControl/>
              <w:jc w:val="left"/>
              <w:rPr>
                <w:kern w:val="0"/>
                <w:sz w:val="20"/>
                <w:szCs w:val="20"/>
                <w:highlight w:val="none"/>
              </w:rPr>
            </w:pPr>
          </w:p>
        </w:tc>
        <w:tc>
          <w:tcPr>
            <w:tcW w:w="950" w:type="pct"/>
            <w:shd w:val="clear" w:color="auto" w:fill="auto"/>
            <w:vAlign w:val="center"/>
          </w:tcPr>
          <w:p>
            <w:pPr>
              <w:widowControl/>
              <w:jc w:val="center"/>
              <w:rPr>
                <w:kern w:val="0"/>
                <w:sz w:val="20"/>
                <w:szCs w:val="20"/>
                <w:highlight w:val="none"/>
              </w:rPr>
            </w:pPr>
            <w:r>
              <w:rPr>
                <w:kern w:val="0"/>
                <w:sz w:val="20"/>
                <w:szCs w:val="20"/>
                <w:highlight w:val="none"/>
              </w:rPr>
              <w:t>茨竹坪散货码头</w:t>
            </w:r>
          </w:p>
        </w:tc>
        <w:tc>
          <w:tcPr>
            <w:tcW w:w="899" w:type="pct"/>
            <w:shd w:val="clear" w:color="auto" w:fill="auto"/>
            <w:vAlign w:val="center"/>
          </w:tcPr>
          <w:p>
            <w:pPr>
              <w:widowControl/>
              <w:jc w:val="center"/>
              <w:rPr>
                <w:kern w:val="0"/>
                <w:sz w:val="20"/>
                <w:szCs w:val="20"/>
                <w:highlight w:val="none"/>
              </w:rPr>
            </w:pPr>
            <w:r>
              <w:rPr>
                <w:kern w:val="0"/>
                <w:sz w:val="20"/>
                <w:szCs w:val="20"/>
                <w:highlight w:val="none"/>
              </w:rPr>
              <w:t>散货60万t/年</w:t>
            </w:r>
          </w:p>
        </w:tc>
        <w:tc>
          <w:tcPr>
            <w:tcW w:w="399" w:type="pct"/>
            <w:shd w:val="clear" w:color="auto" w:fill="auto"/>
            <w:vAlign w:val="center"/>
          </w:tcPr>
          <w:p>
            <w:pPr>
              <w:widowControl/>
              <w:jc w:val="center"/>
              <w:rPr>
                <w:kern w:val="0"/>
                <w:sz w:val="20"/>
                <w:szCs w:val="20"/>
                <w:highlight w:val="none"/>
              </w:rPr>
            </w:pPr>
            <w:r>
              <w:rPr>
                <w:kern w:val="0"/>
                <w:sz w:val="20"/>
                <w:szCs w:val="20"/>
                <w:highlight w:val="none"/>
              </w:rPr>
              <w:t xml:space="preserve">438 </w:t>
            </w:r>
          </w:p>
        </w:tc>
        <w:tc>
          <w:tcPr>
            <w:tcW w:w="749" w:type="pct"/>
            <w:shd w:val="clear" w:color="auto" w:fill="auto"/>
            <w:vAlign w:val="center"/>
          </w:tcPr>
          <w:p>
            <w:pPr>
              <w:widowControl/>
              <w:jc w:val="center"/>
              <w:rPr>
                <w:kern w:val="0"/>
                <w:sz w:val="20"/>
                <w:szCs w:val="20"/>
                <w:highlight w:val="none"/>
              </w:rPr>
            </w:pPr>
            <w:r>
              <w:rPr>
                <w:kern w:val="0"/>
                <w:sz w:val="20"/>
                <w:szCs w:val="20"/>
                <w:highlight w:val="none"/>
              </w:rPr>
              <w:t>国道G348</w:t>
            </w:r>
          </w:p>
        </w:tc>
        <w:tc>
          <w:tcPr>
            <w:tcW w:w="999" w:type="pct"/>
            <w:shd w:val="clear" w:color="auto" w:fill="auto"/>
            <w:vAlign w:val="center"/>
          </w:tcPr>
          <w:p>
            <w:pPr>
              <w:widowControl/>
              <w:jc w:val="center"/>
              <w:rPr>
                <w:kern w:val="0"/>
                <w:sz w:val="20"/>
                <w:szCs w:val="20"/>
                <w:highlight w:val="none"/>
              </w:rPr>
            </w:pPr>
            <w:r>
              <w:rPr>
                <w:kern w:val="0"/>
                <w:sz w:val="20"/>
                <w:szCs w:val="20"/>
                <w:highlight w:val="none"/>
              </w:rPr>
              <w:t>进港公路</w:t>
            </w:r>
          </w:p>
        </w:tc>
        <w:tc>
          <w:tcPr>
            <w:tcW w:w="245" w:type="pct"/>
            <w:shd w:val="clear" w:color="auto" w:fill="auto"/>
            <w:vAlign w:val="center"/>
          </w:tcPr>
          <w:p>
            <w:pPr>
              <w:widowControl/>
              <w:jc w:val="center"/>
              <w:rPr>
                <w:kern w:val="0"/>
                <w:sz w:val="20"/>
                <w:szCs w:val="20"/>
                <w:highlight w:val="none"/>
              </w:rPr>
            </w:pPr>
            <w:r>
              <w:rPr>
                <w:kern w:val="0"/>
                <w:sz w:val="20"/>
                <w:szCs w:val="20"/>
                <w:highlight w:val="none"/>
              </w:rPr>
              <w:t>二级</w:t>
            </w:r>
          </w:p>
        </w:tc>
        <w:tc>
          <w:tcPr>
            <w:tcW w:w="321" w:type="pct"/>
            <w:shd w:val="clear" w:color="auto" w:fill="auto"/>
            <w:vAlign w:val="center"/>
          </w:tcPr>
          <w:p>
            <w:pPr>
              <w:widowControl/>
              <w:jc w:val="center"/>
              <w:rPr>
                <w:kern w:val="0"/>
                <w:sz w:val="20"/>
                <w:szCs w:val="20"/>
                <w:highlight w:val="none"/>
              </w:rPr>
            </w:pPr>
            <w:r>
              <w:rPr>
                <w:kern w:val="0"/>
                <w:sz w:val="20"/>
                <w:szCs w:val="20"/>
                <w:highlight w:val="none"/>
              </w:rPr>
              <w:t>2</w:t>
            </w:r>
          </w:p>
        </w:tc>
      </w:tr>
      <w:tr>
        <w:tblPrEx>
          <w:tblBorders>
            <w:top w:val="thinThickSmallGap" w:color="000000" w:themeColor="text1"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37" w:type="pct"/>
            <w:vMerge w:val="restart"/>
            <w:shd w:val="clear" w:color="auto" w:fill="auto"/>
            <w:vAlign w:val="center"/>
          </w:tcPr>
          <w:p>
            <w:pPr>
              <w:widowControl/>
              <w:jc w:val="center"/>
              <w:rPr>
                <w:kern w:val="0"/>
                <w:sz w:val="20"/>
                <w:szCs w:val="20"/>
                <w:highlight w:val="none"/>
              </w:rPr>
            </w:pPr>
            <w:r>
              <w:rPr>
                <w:kern w:val="0"/>
                <w:sz w:val="20"/>
                <w:szCs w:val="20"/>
                <w:highlight w:val="none"/>
              </w:rPr>
              <w:t>沙湾港区</w:t>
            </w:r>
          </w:p>
        </w:tc>
        <w:tc>
          <w:tcPr>
            <w:tcW w:w="950" w:type="pct"/>
            <w:shd w:val="clear" w:color="auto" w:fill="auto"/>
            <w:vAlign w:val="center"/>
          </w:tcPr>
          <w:p>
            <w:pPr>
              <w:widowControl/>
              <w:jc w:val="center"/>
              <w:rPr>
                <w:kern w:val="0"/>
                <w:sz w:val="20"/>
                <w:szCs w:val="20"/>
                <w:highlight w:val="none"/>
              </w:rPr>
            </w:pPr>
            <w:r>
              <w:rPr>
                <w:rFonts w:hint="eastAsia"/>
                <w:kern w:val="0"/>
                <w:sz w:val="20"/>
                <w:szCs w:val="20"/>
                <w:highlight w:val="none"/>
              </w:rPr>
              <w:t>代湾</w:t>
            </w:r>
            <w:r>
              <w:rPr>
                <w:kern w:val="0"/>
                <w:sz w:val="20"/>
                <w:szCs w:val="20"/>
                <w:highlight w:val="none"/>
              </w:rPr>
              <w:t>码头</w:t>
            </w:r>
          </w:p>
        </w:tc>
        <w:tc>
          <w:tcPr>
            <w:tcW w:w="899" w:type="pct"/>
            <w:shd w:val="clear" w:color="auto" w:fill="auto"/>
            <w:vAlign w:val="center"/>
          </w:tcPr>
          <w:p>
            <w:pPr>
              <w:widowControl/>
              <w:jc w:val="center"/>
              <w:rPr>
                <w:kern w:val="0"/>
                <w:sz w:val="20"/>
                <w:szCs w:val="20"/>
                <w:highlight w:val="none"/>
              </w:rPr>
            </w:pPr>
            <w:r>
              <w:rPr>
                <w:kern w:val="0"/>
                <w:sz w:val="20"/>
                <w:szCs w:val="20"/>
                <w:highlight w:val="none"/>
              </w:rPr>
              <w:t>货运量60万t/年、客运量30万人次/年</w:t>
            </w:r>
          </w:p>
        </w:tc>
        <w:tc>
          <w:tcPr>
            <w:tcW w:w="399" w:type="pct"/>
            <w:shd w:val="clear" w:color="auto" w:fill="auto"/>
            <w:vAlign w:val="center"/>
          </w:tcPr>
          <w:p>
            <w:pPr>
              <w:widowControl/>
              <w:jc w:val="center"/>
              <w:rPr>
                <w:kern w:val="0"/>
                <w:sz w:val="20"/>
                <w:szCs w:val="20"/>
                <w:highlight w:val="none"/>
              </w:rPr>
            </w:pPr>
            <w:r>
              <w:rPr>
                <w:kern w:val="0"/>
                <w:sz w:val="20"/>
                <w:szCs w:val="20"/>
                <w:highlight w:val="none"/>
              </w:rPr>
              <w:t>849</w:t>
            </w:r>
          </w:p>
        </w:tc>
        <w:tc>
          <w:tcPr>
            <w:tcW w:w="749" w:type="pct"/>
            <w:shd w:val="clear" w:color="auto" w:fill="auto"/>
            <w:vAlign w:val="center"/>
          </w:tcPr>
          <w:p>
            <w:pPr>
              <w:widowControl/>
              <w:jc w:val="center"/>
              <w:rPr>
                <w:kern w:val="0"/>
                <w:sz w:val="20"/>
                <w:szCs w:val="20"/>
                <w:highlight w:val="none"/>
              </w:rPr>
            </w:pPr>
            <w:r>
              <w:rPr>
                <w:kern w:val="0"/>
                <w:sz w:val="20"/>
                <w:szCs w:val="20"/>
                <w:highlight w:val="none"/>
              </w:rPr>
              <w:t>乡道</w:t>
            </w:r>
          </w:p>
        </w:tc>
        <w:tc>
          <w:tcPr>
            <w:tcW w:w="999" w:type="pct"/>
            <w:shd w:val="clear" w:color="auto" w:fill="auto"/>
            <w:vAlign w:val="center"/>
          </w:tcPr>
          <w:p>
            <w:pPr>
              <w:widowControl/>
              <w:jc w:val="center"/>
              <w:rPr>
                <w:kern w:val="0"/>
                <w:sz w:val="20"/>
                <w:szCs w:val="20"/>
                <w:highlight w:val="none"/>
              </w:rPr>
            </w:pPr>
            <w:r>
              <w:rPr>
                <w:kern w:val="0"/>
                <w:sz w:val="20"/>
                <w:szCs w:val="20"/>
                <w:highlight w:val="none"/>
              </w:rPr>
              <w:t>乡道（现有）</w:t>
            </w:r>
          </w:p>
        </w:tc>
        <w:tc>
          <w:tcPr>
            <w:tcW w:w="245" w:type="pct"/>
            <w:shd w:val="clear" w:color="auto" w:fill="auto"/>
            <w:vAlign w:val="center"/>
          </w:tcPr>
          <w:p>
            <w:pPr>
              <w:widowControl/>
              <w:jc w:val="center"/>
              <w:rPr>
                <w:kern w:val="0"/>
                <w:sz w:val="20"/>
                <w:szCs w:val="20"/>
                <w:highlight w:val="none"/>
              </w:rPr>
            </w:pPr>
            <w:r>
              <w:rPr>
                <w:kern w:val="0"/>
                <w:sz w:val="20"/>
                <w:szCs w:val="20"/>
                <w:highlight w:val="none"/>
              </w:rPr>
              <w:t>　</w:t>
            </w:r>
          </w:p>
        </w:tc>
        <w:tc>
          <w:tcPr>
            <w:tcW w:w="321" w:type="pct"/>
            <w:shd w:val="clear" w:color="auto" w:fill="auto"/>
            <w:vAlign w:val="center"/>
          </w:tcPr>
          <w:p>
            <w:pPr>
              <w:widowControl/>
              <w:jc w:val="center"/>
              <w:rPr>
                <w:kern w:val="0"/>
                <w:sz w:val="20"/>
                <w:szCs w:val="20"/>
                <w:highlight w:val="none"/>
              </w:rPr>
            </w:pPr>
            <w:r>
              <w:rPr>
                <w:kern w:val="0"/>
                <w:sz w:val="20"/>
                <w:szCs w:val="20"/>
                <w:highlight w:val="none"/>
              </w:rPr>
              <w:t>　</w:t>
            </w:r>
          </w:p>
        </w:tc>
      </w:tr>
      <w:tr>
        <w:tblPrEx>
          <w:tblBorders>
            <w:top w:val="thinThickSmallGap" w:color="000000" w:themeColor="text1"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37" w:type="pct"/>
            <w:vMerge w:val="continue"/>
            <w:shd w:val="clear" w:color="auto" w:fill="auto"/>
            <w:vAlign w:val="center"/>
          </w:tcPr>
          <w:p>
            <w:pPr>
              <w:widowControl/>
              <w:jc w:val="center"/>
              <w:rPr>
                <w:kern w:val="0"/>
                <w:sz w:val="20"/>
                <w:szCs w:val="20"/>
                <w:highlight w:val="none"/>
              </w:rPr>
            </w:pPr>
          </w:p>
        </w:tc>
        <w:tc>
          <w:tcPr>
            <w:tcW w:w="950" w:type="pct"/>
            <w:shd w:val="clear" w:color="auto" w:fill="auto"/>
            <w:vAlign w:val="center"/>
          </w:tcPr>
          <w:p>
            <w:pPr>
              <w:widowControl/>
              <w:jc w:val="center"/>
              <w:rPr>
                <w:kern w:val="0"/>
                <w:sz w:val="20"/>
                <w:szCs w:val="20"/>
                <w:highlight w:val="none"/>
              </w:rPr>
            </w:pPr>
            <w:r>
              <w:rPr>
                <w:kern w:val="0"/>
                <w:sz w:val="20"/>
                <w:szCs w:val="20"/>
                <w:highlight w:val="none"/>
              </w:rPr>
              <w:t>月亮湾客运码头</w:t>
            </w:r>
          </w:p>
        </w:tc>
        <w:tc>
          <w:tcPr>
            <w:tcW w:w="899" w:type="pct"/>
            <w:shd w:val="clear" w:color="auto" w:fill="auto"/>
            <w:vAlign w:val="center"/>
          </w:tcPr>
          <w:p>
            <w:pPr>
              <w:widowControl/>
              <w:jc w:val="center"/>
              <w:rPr>
                <w:kern w:val="0"/>
                <w:sz w:val="20"/>
                <w:szCs w:val="20"/>
                <w:highlight w:val="none"/>
              </w:rPr>
            </w:pPr>
            <w:r>
              <w:rPr>
                <w:kern w:val="0"/>
                <w:sz w:val="20"/>
                <w:szCs w:val="20"/>
                <w:highlight w:val="none"/>
              </w:rPr>
              <w:t>客运量60万人次/年</w:t>
            </w:r>
          </w:p>
        </w:tc>
        <w:tc>
          <w:tcPr>
            <w:tcW w:w="399" w:type="pct"/>
            <w:shd w:val="clear" w:color="auto" w:fill="auto"/>
            <w:vAlign w:val="center"/>
          </w:tcPr>
          <w:p>
            <w:pPr>
              <w:widowControl/>
              <w:jc w:val="center"/>
              <w:rPr>
                <w:kern w:val="0"/>
                <w:sz w:val="20"/>
                <w:szCs w:val="20"/>
                <w:highlight w:val="none"/>
              </w:rPr>
            </w:pPr>
            <w:r>
              <w:rPr>
                <w:rFonts w:hint="eastAsia"/>
                <w:kern w:val="0"/>
                <w:sz w:val="20"/>
                <w:szCs w:val="20"/>
                <w:highlight w:val="none"/>
              </w:rPr>
              <w:t>8</w:t>
            </w:r>
            <w:r>
              <w:rPr>
                <w:kern w:val="0"/>
                <w:sz w:val="20"/>
                <w:szCs w:val="20"/>
                <w:highlight w:val="none"/>
              </w:rPr>
              <w:t>22</w:t>
            </w:r>
          </w:p>
        </w:tc>
        <w:tc>
          <w:tcPr>
            <w:tcW w:w="749" w:type="pct"/>
            <w:shd w:val="clear" w:color="auto" w:fill="auto"/>
            <w:vAlign w:val="center"/>
          </w:tcPr>
          <w:p>
            <w:pPr>
              <w:widowControl/>
              <w:jc w:val="center"/>
              <w:rPr>
                <w:kern w:val="0"/>
                <w:sz w:val="20"/>
                <w:szCs w:val="20"/>
                <w:highlight w:val="none"/>
              </w:rPr>
            </w:pPr>
            <w:r>
              <w:rPr>
                <w:kern w:val="0"/>
                <w:sz w:val="20"/>
                <w:szCs w:val="20"/>
                <w:highlight w:val="none"/>
              </w:rPr>
              <w:t>乡道</w:t>
            </w:r>
          </w:p>
        </w:tc>
        <w:tc>
          <w:tcPr>
            <w:tcW w:w="999" w:type="pct"/>
            <w:shd w:val="clear" w:color="auto" w:fill="auto"/>
            <w:vAlign w:val="center"/>
          </w:tcPr>
          <w:p>
            <w:pPr>
              <w:widowControl/>
              <w:jc w:val="center"/>
              <w:rPr>
                <w:kern w:val="0"/>
                <w:sz w:val="20"/>
                <w:szCs w:val="20"/>
                <w:highlight w:val="none"/>
              </w:rPr>
            </w:pPr>
            <w:r>
              <w:rPr>
                <w:kern w:val="0"/>
                <w:sz w:val="20"/>
                <w:szCs w:val="20"/>
                <w:highlight w:val="none"/>
              </w:rPr>
              <w:t>乡道（现有）</w:t>
            </w:r>
          </w:p>
        </w:tc>
        <w:tc>
          <w:tcPr>
            <w:tcW w:w="245" w:type="pct"/>
            <w:shd w:val="clear" w:color="auto" w:fill="auto"/>
            <w:vAlign w:val="center"/>
          </w:tcPr>
          <w:p>
            <w:pPr>
              <w:widowControl/>
              <w:jc w:val="center"/>
              <w:rPr>
                <w:kern w:val="0"/>
                <w:sz w:val="20"/>
                <w:szCs w:val="20"/>
                <w:highlight w:val="none"/>
              </w:rPr>
            </w:pPr>
            <w:r>
              <w:rPr>
                <w:kern w:val="0"/>
                <w:sz w:val="20"/>
                <w:szCs w:val="20"/>
                <w:highlight w:val="none"/>
              </w:rPr>
              <w:t>　</w:t>
            </w:r>
          </w:p>
        </w:tc>
        <w:tc>
          <w:tcPr>
            <w:tcW w:w="321" w:type="pct"/>
            <w:shd w:val="clear" w:color="auto" w:fill="auto"/>
            <w:vAlign w:val="center"/>
          </w:tcPr>
          <w:p>
            <w:pPr>
              <w:widowControl/>
              <w:jc w:val="center"/>
              <w:rPr>
                <w:kern w:val="0"/>
                <w:sz w:val="20"/>
                <w:szCs w:val="20"/>
                <w:highlight w:val="none"/>
              </w:rPr>
            </w:pPr>
          </w:p>
        </w:tc>
      </w:tr>
      <w:tr>
        <w:tblPrEx>
          <w:tblBorders>
            <w:top w:val="thinThickSmallGap" w:color="000000" w:themeColor="text1"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37" w:type="pct"/>
            <w:vMerge w:val="restart"/>
            <w:shd w:val="clear" w:color="auto" w:fill="auto"/>
            <w:vAlign w:val="center"/>
          </w:tcPr>
          <w:p>
            <w:pPr>
              <w:widowControl/>
              <w:jc w:val="center"/>
              <w:rPr>
                <w:kern w:val="0"/>
                <w:sz w:val="20"/>
                <w:szCs w:val="20"/>
                <w:highlight w:val="none"/>
              </w:rPr>
            </w:pPr>
            <w:r>
              <w:rPr>
                <w:kern w:val="0"/>
                <w:sz w:val="20"/>
                <w:szCs w:val="20"/>
                <w:highlight w:val="none"/>
              </w:rPr>
              <w:t>峨边港区</w:t>
            </w:r>
          </w:p>
        </w:tc>
        <w:tc>
          <w:tcPr>
            <w:tcW w:w="950" w:type="pct"/>
            <w:shd w:val="clear" w:color="auto" w:fill="auto"/>
            <w:vAlign w:val="center"/>
          </w:tcPr>
          <w:p>
            <w:pPr>
              <w:widowControl/>
              <w:jc w:val="center"/>
              <w:rPr>
                <w:kern w:val="0"/>
                <w:sz w:val="20"/>
                <w:szCs w:val="20"/>
                <w:highlight w:val="none"/>
              </w:rPr>
            </w:pPr>
            <w:r>
              <w:rPr>
                <w:kern w:val="0"/>
                <w:sz w:val="20"/>
                <w:szCs w:val="20"/>
                <w:highlight w:val="none"/>
              </w:rPr>
              <w:t>龚嘴旅游客运作业区</w:t>
            </w:r>
          </w:p>
        </w:tc>
        <w:tc>
          <w:tcPr>
            <w:tcW w:w="899" w:type="pct"/>
            <w:shd w:val="clear" w:color="auto" w:fill="auto"/>
            <w:vAlign w:val="center"/>
          </w:tcPr>
          <w:p>
            <w:pPr>
              <w:widowControl/>
              <w:jc w:val="center"/>
              <w:rPr>
                <w:kern w:val="0"/>
                <w:sz w:val="20"/>
                <w:szCs w:val="20"/>
                <w:highlight w:val="none"/>
              </w:rPr>
            </w:pPr>
            <w:r>
              <w:rPr>
                <w:kern w:val="0"/>
                <w:sz w:val="20"/>
                <w:szCs w:val="20"/>
                <w:highlight w:val="none"/>
              </w:rPr>
              <w:t>客运量120万人次/年</w:t>
            </w:r>
          </w:p>
        </w:tc>
        <w:tc>
          <w:tcPr>
            <w:tcW w:w="399" w:type="pct"/>
            <w:shd w:val="clear" w:color="auto" w:fill="auto"/>
            <w:vAlign w:val="center"/>
          </w:tcPr>
          <w:p>
            <w:pPr>
              <w:widowControl/>
              <w:jc w:val="center"/>
              <w:rPr>
                <w:kern w:val="0"/>
                <w:sz w:val="20"/>
                <w:szCs w:val="20"/>
                <w:highlight w:val="none"/>
              </w:rPr>
            </w:pPr>
            <w:r>
              <w:rPr>
                <w:rFonts w:hint="eastAsia"/>
                <w:kern w:val="0"/>
                <w:sz w:val="20"/>
                <w:szCs w:val="20"/>
                <w:highlight w:val="none"/>
              </w:rPr>
              <w:t>1</w:t>
            </w:r>
            <w:r>
              <w:rPr>
                <w:kern w:val="0"/>
                <w:sz w:val="20"/>
                <w:szCs w:val="20"/>
                <w:highlight w:val="none"/>
              </w:rPr>
              <w:t>644</w:t>
            </w:r>
          </w:p>
        </w:tc>
        <w:tc>
          <w:tcPr>
            <w:tcW w:w="749" w:type="pct"/>
            <w:shd w:val="clear" w:color="auto" w:fill="auto"/>
            <w:vAlign w:val="center"/>
          </w:tcPr>
          <w:p>
            <w:pPr>
              <w:widowControl/>
              <w:jc w:val="center"/>
              <w:rPr>
                <w:kern w:val="0"/>
                <w:sz w:val="20"/>
                <w:szCs w:val="20"/>
                <w:highlight w:val="none"/>
              </w:rPr>
            </w:pPr>
            <w:r>
              <w:rPr>
                <w:kern w:val="0"/>
                <w:sz w:val="20"/>
                <w:szCs w:val="20"/>
                <w:highlight w:val="none"/>
              </w:rPr>
              <w:t>省道S309</w:t>
            </w:r>
          </w:p>
        </w:tc>
        <w:tc>
          <w:tcPr>
            <w:tcW w:w="999" w:type="pct"/>
            <w:shd w:val="clear" w:color="auto" w:fill="auto"/>
            <w:vAlign w:val="center"/>
          </w:tcPr>
          <w:p>
            <w:pPr>
              <w:widowControl/>
              <w:jc w:val="center"/>
              <w:rPr>
                <w:kern w:val="0"/>
                <w:sz w:val="20"/>
                <w:szCs w:val="20"/>
                <w:highlight w:val="none"/>
              </w:rPr>
            </w:pPr>
            <w:r>
              <w:rPr>
                <w:kern w:val="0"/>
                <w:sz w:val="20"/>
                <w:szCs w:val="20"/>
                <w:highlight w:val="none"/>
              </w:rPr>
              <w:t>进港公路</w:t>
            </w:r>
          </w:p>
        </w:tc>
        <w:tc>
          <w:tcPr>
            <w:tcW w:w="245" w:type="pct"/>
            <w:shd w:val="clear" w:color="auto" w:fill="auto"/>
            <w:vAlign w:val="center"/>
          </w:tcPr>
          <w:p>
            <w:pPr>
              <w:widowControl/>
              <w:jc w:val="center"/>
              <w:rPr>
                <w:kern w:val="0"/>
                <w:sz w:val="20"/>
                <w:szCs w:val="20"/>
                <w:highlight w:val="none"/>
              </w:rPr>
            </w:pPr>
            <w:r>
              <w:rPr>
                <w:kern w:val="0"/>
                <w:sz w:val="20"/>
                <w:szCs w:val="20"/>
                <w:highlight w:val="none"/>
              </w:rPr>
              <w:t>三级</w:t>
            </w:r>
          </w:p>
        </w:tc>
        <w:tc>
          <w:tcPr>
            <w:tcW w:w="321" w:type="pct"/>
            <w:shd w:val="clear" w:color="auto" w:fill="auto"/>
            <w:vAlign w:val="center"/>
          </w:tcPr>
          <w:p>
            <w:pPr>
              <w:widowControl/>
              <w:jc w:val="center"/>
              <w:rPr>
                <w:kern w:val="0"/>
                <w:sz w:val="20"/>
                <w:szCs w:val="20"/>
                <w:highlight w:val="none"/>
              </w:rPr>
            </w:pPr>
            <w:r>
              <w:rPr>
                <w:kern w:val="0"/>
                <w:sz w:val="20"/>
                <w:szCs w:val="20"/>
                <w:highlight w:val="none"/>
              </w:rPr>
              <w:t>1</w:t>
            </w:r>
          </w:p>
        </w:tc>
      </w:tr>
      <w:tr>
        <w:tblPrEx>
          <w:tblBorders>
            <w:top w:val="thinThickSmallGap" w:color="000000" w:themeColor="text1"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37" w:type="pct"/>
            <w:vMerge w:val="continue"/>
            <w:vAlign w:val="center"/>
          </w:tcPr>
          <w:p>
            <w:pPr>
              <w:widowControl/>
              <w:jc w:val="left"/>
              <w:rPr>
                <w:kern w:val="0"/>
                <w:sz w:val="20"/>
                <w:szCs w:val="20"/>
                <w:highlight w:val="none"/>
              </w:rPr>
            </w:pPr>
          </w:p>
        </w:tc>
        <w:tc>
          <w:tcPr>
            <w:tcW w:w="950" w:type="pct"/>
            <w:shd w:val="clear" w:color="auto" w:fill="auto"/>
            <w:vAlign w:val="center"/>
          </w:tcPr>
          <w:p>
            <w:pPr>
              <w:widowControl/>
              <w:jc w:val="center"/>
              <w:rPr>
                <w:kern w:val="0"/>
                <w:sz w:val="20"/>
                <w:szCs w:val="20"/>
                <w:highlight w:val="none"/>
              </w:rPr>
            </w:pPr>
            <w:r>
              <w:rPr>
                <w:kern w:val="0"/>
                <w:sz w:val="20"/>
                <w:szCs w:val="20"/>
                <w:highlight w:val="none"/>
              </w:rPr>
              <w:t>龙眼坝码头</w:t>
            </w:r>
          </w:p>
        </w:tc>
        <w:tc>
          <w:tcPr>
            <w:tcW w:w="899" w:type="pct"/>
            <w:shd w:val="clear" w:color="auto" w:fill="auto"/>
            <w:vAlign w:val="center"/>
          </w:tcPr>
          <w:p>
            <w:pPr>
              <w:widowControl/>
              <w:jc w:val="center"/>
              <w:rPr>
                <w:kern w:val="0"/>
                <w:sz w:val="20"/>
                <w:szCs w:val="20"/>
                <w:highlight w:val="none"/>
              </w:rPr>
            </w:pPr>
            <w:r>
              <w:rPr>
                <w:kern w:val="0"/>
                <w:sz w:val="20"/>
                <w:szCs w:val="20"/>
                <w:highlight w:val="none"/>
              </w:rPr>
              <w:t>散货60万t/年</w:t>
            </w:r>
          </w:p>
        </w:tc>
        <w:tc>
          <w:tcPr>
            <w:tcW w:w="399" w:type="pct"/>
            <w:shd w:val="clear" w:color="auto" w:fill="auto"/>
            <w:vAlign w:val="center"/>
          </w:tcPr>
          <w:p>
            <w:pPr>
              <w:widowControl/>
              <w:jc w:val="center"/>
              <w:rPr>
                <w:kern w:val="0"/>
                <w:sz w:val="20"/>
                <w:szCs w:val="20"/>
                <w:highlight w:val="none"/>
              </w:rPr>
            </w:pPr>
            <w:r>
              <w:rPr>
                <w:kern w:val="0"/>
                <w:sz w:val="20"/>
                <w:szCs w:val="20"/>
                <w:highlight w:val="none"/>
              </w:rPr>
              <w:t xml:space="preserve">438 </w:t>
            </w:r>
          </w:p>
        </w:tc>
        <w:tc>
          <w:tcPr>
            <w:tcW w:w="749" w:type="pct"/>
            <w:shd w:val="clear" w:color="auto" w:fill="auto"/>
            <w:vAlign w:val="center"/>
          </w:tcPr>
          <w:p>
            <w:pPr>
              <w:widowControl/>
              <w:rPr>
                <w:kern w:val="0"/>
                <w:sz w:val="20"/>
                <w:szCs w:val="20"/>
                <w:highlight w:val="none"/>
              </w:rPr>
            </w:pPr>
            <w:r>
              <w:rPr>
                <w:kern w:val="0"/>
                <w:sz w:val="20"/>
                <w:szCs w:val="20"/>
                <w:highlight w:val="none"/>
              </w:rPr>
              <w:t>省S306（国道G245）</w:t>
            </w:r>
          </w:p>
        </w:tc>
        <w:tc>
          <w:tcPr>
            <w:tcW w:w="999" w:type="pct"/>
            <w:shd w:val="clear" w:color="auto" w:fill="auto"/>
            <w:vAlign w:val="center"/>
          </w:tcPr>
          <w:p>
            <w:pPr>
              <w:widowControl/>
              <w:jc w:val="center"/>
              <w:rPr>
                <w:kern w:val="0"/>
                <w:sz w:val="20"/>
                <w:szCs w:val="20"/>
                <w:highlight w:val="none"/>
              </w:rPr>
            </w:pPr>
            <w:r>
              <w:rPr>
                <w:kern w:val="0"/>
                <w:sz w:val="20"/>
                <w:szCs w:val="20"/>
                <w:highlight w:val="none"/>
              </w:rPr>
              <w:t>进港公路</w:t>
            </w:r>
          </w:p>
        </w:tc>
        <w:tc>
          <w:tcPr>
            <w:tcW w:w="245" w:type="pct"/>
            <w:shd w:val="clear" w:color="auto" w:fill="auto"/>
            <w:vAlign w:val="center"/>
          </w:tcPr>
          <w:p>
            <w:pPr>
              <w:widowControl/>
              <w:jc w:val="center"/>
              <w:rPr>
                <w:kern w:val="0"/>
                <w:sz w:val="20"/>
                <w:szCs w:val="20"/>
                <w:highlight w:val="none"/>
              </w:rPr>
            </w:pPr>
            <w:r>
              <w:rPr>
                <w:kern w:val="0"/>
                <w:sz w:val="20"/>
                <w:szCs w:val="20"/>
                <w:highlight w:val="none"/>
              </w:rPr>
              <w:t>二级</w:t>
            </w:r>
          </w:p>
        </w:tc>
        <w:tc>
          <w:tcPr>
            <w:tcW w:w="321" w:type="pct"/>
            <w:shd w:val="clear" w:color="auto" w:fill="auto"/>
            <w:vAlign w:val="center"/>
          </w:tcPr>
          <w:p>
            <w:pPr>
              <w:widowControl/>
              <w:jc w:val="center"/>
              <w:rPr>
                <w:kern w:val="0"/>
                <w:sz w:val="20"/>
                <w:szCs w:val="20"/>
                <w:highlight w:val="none"/>
              </w:rPr>
            </w:pPr>
            <w:r>
              <w:rPr>
                <w:kern w:val="0"/>
                <w:sz w:val="20"/>
                <w:szCs w:val="20"/>
                <w:highlight w:val="none"/>
              </w:rPr>
              <w:t>2</w:t>
            </w:r>
          </w:p>
        </w:tc>
      </w:tr>
      <w:tr>
        <w:tblPrEx>
          <w:tblBorders>
            <w:top w:val="thinThickSmallGap" w:color="000000" w:themeColor="text1"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37" w:type="pct"/>
            <w:vMerge w:val="continue"/>
            <w:vAlign w:val="center"/>
          </w:tcPr>
          <w:p>
            <w:pPr>
              <w:widowControl/>
              <w:jc w:val="left"/>
              <w:rPr>
                <w:kern w:val="0"/>
                <w:sz w:val="20"/>
                <w:szCs w:val="20"/>
                <w:highlight w:val="none"/>
              </w:rPr>
            </w:pPr>
          </w:p>
        </w:tc>
        <w:tc>
          <w:tcPr>
            <w:tcW w:w="950" w:type="pct"/>
            <w:shd w:val="clear" w:color="auto" w:fill="auto"/>
            <w:vAlign w:val="center"/>
          </w:tcPr>
          <w:p>
            <w:pPr>
              <w:widowControl/>
              <w:jc w:val="center"/>
              <w:rPr>
                <w:kern w:val="0"/>
                <w:sz w:val="20"/>
                <w:szCs w:val="20"/>
                <w:highlight w:val="none"/>
              </w:rPr>
            </w:pPr>
            <w:r>
              <w:rPr>
                <w:kern w:val="0"/>
                <w:sz w:val="20"/>
                <w:szCs w:val="20"/>
                <w:highlight w:val="none"/>
              </w:rPr>
              <w:t>白果散货码头</w:t>
            </w:r>
          </w:p>
        </w:tc>
        <w:tc>
          <w:tcPr>
            <w:tcW w:w="899" w:type="pct"/>
            <w:shd w:val="clear" w:color="auto" w:fill="auto"/>
            <w:vAlign w:val="center"/>
          </w:tcPr>
          <w:p>
            <w:pPr>
              <w:widowControl/>
              <w:jc w:val="center"/>
              <w:rPr>
                <w:kern w:val="0"/>
                <w:sz w:val="20"/>
                <w:szCs w:val="20"/>
                <w:highlight w:val="none"/>
              </w:rPr>
            </w:pPr>
            <w:r>
              <w:rPr>
                <w:kern w:val="0"/>
                <w:sz w:val="20"/>
                <w:szCs w:val="20"/>
                <w:highlight w:val="none"/>
              </w:rPr>
              <w:t>散货80万t/年</w:t>
            </w:r>
          </w:p>
        </w:tc>
        <w:tc>
          <w:tcPr>
            <w:tcW w:w="399" w:type="pct"/>
            <w:shd w:val="clear" w:color="auto" w:fill="auto"/>
            <w:vAlign w:val="center"/>
          </w:tcPr>
          <w:p>
            <w:pPr>
              <w:widowControl/>
              <w:jc w:val="center"/>
              <w:rPr>
                <w:kern w:val="0"/>
                <w:sz w:val="20"/>
                <w:szCs w:val="20"/>
                <w:highlight w:val="none"/>
              </w:rPr>
            </w:pPr>
            <w:r>
              <w:rPr>
                <w:kern w:val="0"/>
                <w:sz w:val="20"/>
                <w:szCs w:val="20"/>
                <w:highlight w:val="none"/>
              </w:rPr>
              <w:t xml:space="preserve">584 </w:t>
            </w:r>
          </w:p>
        </w:tc>
        <w:tc>
          <w:tcPr>
            <w:tcW w:w="749" w:type="pct"/>
            <w:shd w:val="clear" w:color="auto" w:fill="auto"/>
            <w:vAlign w:val="center"/>
          </w:tcPr>
          <w:p>
            <w:pPr>
              <w:widowControl/>
              <w:jc w:val="center"/>
              <w:rPr>
                <w:kern w:val="0"/>
                <w:sz w:val="20"/>
                <w:szCs w:val="20"/>
                <w:highlight w:val="none"/>
              </w:rPr>
            </w:pPr>
            <w:r>
              <w:rPr>
                <w:kern w:val="0"/>
                <w:sz w:val="20"/>
                <w:szCs w:val="20"/>
                <w:highlight w:val="none"/>
              </w:rPr>
              <w:t>省道S309</w:t>
            </w:r>
          </w:p>
        </w:tc>
        <w:tc>
          <w:tcPr>
            <w:tcW w:w="999" w:type="pct"/>
            <w:shd w:val="clear" w:color="auto" w:fill="auto"/>
            <w:vAlign w:val="center"/>
          </w:tcPr>
          <w:p>
            <w:pPr>
              <w:widowControl/>
              <w:jc w:val="center"/>
              <w:rPr>
                <w:kern w:val="0"/>
                <w:sz w:val="20"/>
                <w:szCs w:val="20"/>
                <w:highlight w:val="none"/>
              </w:rPr>
            </w:pPr>
            <w:r>
              <w:rPr>
                <w:kern w:val="0"/>
                <w:sz w:val="20"/>
                <w:szCs w:val="20"/>
                <w:highlight w:val="none"/>
              </w:rPr>
              <w:t>进港公路</w:t>
            </w:r>
          </w:p>
        </w:tc>
        <w:tc>
          <w:tcPr>
            <w:tcW w:w="245" w:type="pct"/>
            <w:shd w:val="clear" w:color="auto" w:fill="auto"/>
            <w:vAlign w:val="center"/>
          </w:tcPr>
          <w:p>
            <w:pPr>
              <w:widowControl/>
              <w:jc w:val="center"/>
              <w:rPr>
                <w:kern w:val="0"/>
                <w:sz w:val="20"/>
                <w:szCs w:val="20"/>
                <w:highlight w:val="none"/>
              </w:rPr>
            </w:pPr>
            <w:r>
              <w:rPr>
                <w:kern w:val="0"/>
                <w:sz w:val="20"/>
                <w:szCs w:val="20"/>
                <w:highlight w:val="none"/>
              </w:rPr>
              <w:t>二级</w:t>
            </w:r>
          </w:p>
        </w:tc>
        <w:tc>
          <w:tcPr>
            <w:tcW w:w="321" w:type="pct"/>
            <w:shd w:val="clear" w:color="auto" w:fill="auto"/>
            <w:vAlign w:val="center"/>
          </w:tcPr>
          <w:p>
            <w:pPr>
              <w:widowControl/>
              <w:jc w:val="center"/>
              <w:rPr>
                <w:kern w:val="0"/>
                <w:sz w:val="20"/>
                <w:szCs w:val="20"/>
                <w:highlight w:val="none"/>
              </w:rPr>
            </w:pPr>
            <w:r>
              <w:rPr>
                <w:kern w:val="0"/>
                <w:sz w:val="20"/>
                <w:szCs w:val="20"/>
                <w:highlight w:val="none"/>
              </w:rPr>
              <w:t>2</w:t>
            </w:r>
          </w:p>
        </w:tc>
      </w:tr>
      <w:tr>
        <w:tblPrEx>
          <w:tblBorders>
            <w:top w:val="thinThickSmallGap" w:color="000000" w:themeColor="text1"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37" w:type="pct"/>
            <w:vMerge w:val="continue"/>
            <w:vAlign w:val="center"/>
          </w:tcPr>
          <w:p>
            <w:pPr>
              <w:widowControl/>
              <w:jc w:val="left"/>
              <w:rPr>
                <w:kern w:val="0"/>
                <w:sz w:val="20"/>
                <w:szCs w:val="20"/>
                <w:highlight w:val="none"/>
              </w:rPr>
            </w:pPr>
          </w:p>
        </w:tc>
        <w:tc>
          <w:tcPr>
            <w:tcW w:w="950" w:type="pct"/>
            <w:shd w:val="clear" w:color="auto" w:fill="auto"/>
            <w:vAlign w:val="center"/>
          </w:tcPr>
          <w:p>
            <w:pPr>
              <w:widowControl/>
              <w:jc w:val="center"/>
              <w:rPr>
                <w:kern w:val="0"/>
                <w:sz w:val="20"/>
                <w:szCs w:val="20"/>
                <w:highlight w:val="none"/>
              </w:rPr>
            </w:pPr>
            <w:r>
              <w:rPr>
                <w:kern w:val="0"/>
                <w:sz w:val="20"/>
                <w:szCs w:val="20"/>
                <w:highlight w:val="none"/>
              </w:rPr>
              <w:t>五渡客运码头</w:t>
            </w:r>
          </w:p>
        </w:tc>
        <w:tc>
          <w:tcPr>
            <w:tcW w:w="899" w:type="pct"/>
            <w:shd w:val="clear" w:color="auto" w:fill="auto"/>
            <w:vAlign w:val="center"/>
          </w:tcPr>
          <w:p>
            <w:pPr>
              <w:widowControl/>
              <w:jc w:val="center"/>
              <w:rPr>
                <w:kern w:val="0"/>
                <w:sz w:val="20"/>
                <w:szCs w:val="20"/>
                <w:highlight w:val="none"/>
              </w:rPr>
            </w:pPr>
            <w:r>
              <w:rPr>
                <w:kern w:val="0"/>
                <w:sz w:val="20"/>
                <w:szCs w:val="20"/>
                <w:highlight w:val="none"/>
              </w:rPr>
              <w:t>客运量60万人次/年</w:t>
            </w:r>
          </w:p>
        </w:tc>
        <w:tc>
          <w:tcPr>
            <w:tcW w:w="399" w:type="pct"/>
            <w:shd w:val="clear" w:color="auto" w:fill="auto"/>
            <w:vAlign w:val="center"/>
          </w:tcPr>
          <w:p>
            <w:pPr>
              <w:widowControl/>
              <w:jc w:val="center"/>
              <w:rPr>
                <w:kern w:val="0"/>
                <w:sz w:val="20"/>
                <w:szCs w:val="20"/>
                <w:highlight w:val="none"/>
              </w:rPr>
            </w:pPr>
            <w:r>
              <w:rPr>
                <w:kern w:val="0"/>
                <w:sz w:val="20"/>
                <w:szCs w:val="20"/>
                <w:highlight w:val="none"/>
              </w:rPr>
              <w:t>822</w:t>
            </w:r>
          </w:p>
        </w:tc>
        <w:tc>
          <w:tcPr>
            <w:tcW w:w="749" w:type="pct"/>
            <w:shd w:val="clear" w:color="auto" w:fill="auto"/>
            <w:vAlign w:val="center"/>
          </w:tcPr>
          <w:p>
            <w:pPr>
              <w:widowControl/>
              <w:jc w:val="center"/>
              <w:rPr>
                <w:kern w:val="0"/>
                <w:sz w:val="20"/>
                <w:szCs w:val="20"/>
                <w:highlight w:val="none"/>
              </w:rPr>
            </w:pPr>
            <w:r>
              <w:rPr>
                <w:kern w:val="0"/>
                <w:sz w:val="20"/>
                <w:szCs w:val="20"/>
                <w:highlight w:val="none"/>
              </w:rPr>
              <w:t>乡道004</w:t>
            </w:r>
          </w:p>
        </w:tc>
        <w:tc>
          <w:tcPr>
            <w:tcW w:w="999" w:type="pct"/>
            <w:shd w:val="clear" w:color="auto" w:fill="auto"/>
            <w:vAlign w:val="center"/>
          </w:tcPr>
          <w:p>
            <w:pPr>
              <w:widowControl/>
              <w:jc w:val="center"/>
              <w:rPr>
                <w:kern w:val="0"/>
                <w:sz w:val="20"/>
                <w:szCs w:val="20"/>
                <w:highlight w:val="none"/>
              </w:rPr>
            </w:pPr>
            <w:r>
              <w:rPr>
                <w:kern w:val="0"/>
                <w:sz w:val="20"/>
                <w:szCs w:val="20"/>
                <w:highlight w:val="none"/>
              </w:rPr>
              <w:t>乡道004（现有）</w:t>
            </w:r>
          </w:p>
        </w:tc>
        <w:tc>
          <w:tcPr>
            <w:tcW w:w="245" w:type="pct"/>
            <w:shd w:val="clear" w:color="auto" w:fill="auto"/>
            <w:vAlign w:val="center"/>
          </w:tcPr>
          <w:p>
            <w:pPr>
              <w:widowControl/>
              <w:jc w:val="center"/>
              <w:rPr>
                <w:kern w:val="0"/>
                <w:sz w:val="20"/>
                <w:szCs w:val="20"/>
                <w:highlight w:val="none"/>
              </w:rPr>
            </w:pPr>
            <w:r>
              <w:rPr>
                <w:kern w:val="0"/>
                <w:sz w:val="20"/>
                <w:szCs w:val="20"/>
                <w:highlight w:val="none"/>
              </w:rPr>
              <w:t>　</w:t>
            </w:r>
          </w:p>
        </w:tc>
        <w:tc>
          <w:tcPr>
            <w:tcW w:w="321" w:type="pct"/>
            <w:shd w:val="clear" w:color="auto" w:fill="auto"/>
            <w:vAlign w:val="center"/>
          </w:tcPr>
          <w:p>
            <w:pPr>
              <w:widowControl/>
              <w:jc w:val="center"/>
              <w:rPr>
                <w:kern w:val="0"/>
                <w:sz w:val="20"/>
                <w:szCs w:val="20"/>
                <w:highlight w:val="none"/>
              </w:rPr>
            </w:pPr>
            <w:r>
              <w:rPr>
                <w:kern w:val="0"/>
                <w:sz w:val="20"/>
                <w:szCs w:val="20"/>
                <w:highlight w:val="none"/>
              </w:rPr>
              <w:t>　</w:t>
            </w:r>
          </w:p>
        </w:tc>
      </w:tr>
      <w:tr>
        <w:tblPrEx>
          <w:tblBorders>
            <w:top w:val="thinThickSmallGap" w:color="000000" w:themeColor="text1"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37" w:type="pct"/>
            <w:vMerge w:val="continue"/>
            <w:vAlign w:val="center"/>
          </w:tcPr>
          <w:p>
            <w:pPr>
              <w:widowControl/>
              <w:jc w:val="left"/>
              <w:rPr>
                <w:kern w:val="0"/>
                <w:sz w:val="20"/>
                <w:szCs w:val="20"/>
                <w:highlight w:val="none"/>
              </w:rPr>
            </w:pPr>
          </w:p>
        </w:tc>
        <w:tc>
          <w:tcPr>
            <w:tcW w:w="950" w:type="pct"/>
            <w:shd w:val="clear" w:color="auto" w:fill="auto"/>
            <w:vAlign w:val="center"/>
          </w:tcPr>
          <w:p>
            <w:pPr>
              <w:widowControl/>
              <w:jc w:val="center"/>
              <w:rPr>
                <w:kern w:val="0"/>
                <w:sz w:val="20"/>
                <w:szCs w:val="20"/>
                <w:highlight w:val="none"/>
              </w:rPr>
            </w:pPr>
            <w:r>
              <w:rPr>
                <w:rFonts w:hint="eastAsia"/>
                <w:kern w:val="0"/>
                <w:sz w:val="20"/>
                <w:szCs w:val="20"/>
                <w:highlight w:val="none"/>
              </w:rPr>
              <w:t>五渡货运码头</w:t>
            </w:r>
          </w:p>
        </w:tc>
        <w:tc>
          <w:tcPr>
            <w:tcW w:w="899" w:type="pct"/>
            <w:shd w:val="clear" w:color="auto" w:fill="auto"/>
            <w:vAlign w:val="center"/>
          </w:tcPr>
          <w:p>
            <w:pPr>
              <w:widowControl/>
              <w:jc w:val="center"/>
              <w:rPr>
                <w:kern w:val="0"/>
                <w:sz w:val="20"/>
                <w:szCs w:val="20"/>
                <w:highlight w:val="none"/>
              </w:rPr>
            </w:pPr>
            <w:r>
              <w:rPr>
                <w:rFonts w:hint="eastAsia"/>
                <w:kern w:val="0"/>
                <w:sz w:val="20"/>
                <w:szCs w:val="20"/>
                <w:highlight w:val="none"/>
              </w:rPr>
              <w:t>散货</w:t>
            </w:r>
            <w:r>
              <w:rPr>
                <w:kern w:val="0"/>
                <w:sz w:val="20"/>
                <w:szCs w:val="20"/>
                <w:highlight w:val="none"/>
              </w:rPr>
              <w:t>100</w:t>
            </w:r>
            <w:r>
              <w:rPr>
                <w:rFonts w:hint="eastAsia"/>
                <w:kern w:val="0"/>
                <w:sz w:val="20"/>
                <w:szCs w:val="20"/>
                <w:highlight w:val="none"/>
              </w:rPr>
              <w:t>万</w:t>
            </w:r>
            <w:r>
              <w:rPr>
                <w:kern w:val="0"/>
                <w:sz w:val="20"/>
                <w:szCs w:val="20"/>
                <w:highlight w:val="none"/>
              </w:rPr>
              <w:t>t/</w:t>
            </w:r>
            <w:r>
              <w:rPr>
                <w:rFonts w:hint="eastAsia"/>
                <w:kern w:val="0"/>
                <w:sz w:val="20"/>
                <w:szCs w:val="20"/>
                <w:highlight w:val="none"/>
              </w:rPr>
              <w:t>年</w:t>
            </w:r>
          </w:p>
        </w:tc>
        <w:tc>
          <w:tcPr>
            <w:tcW w:w="399" w:type="pct"/>
            <w:shd w:val="clear" w:color="auto" w:fill="auto"/>
            <w:vAlign w:val="center"/>
          </w:tcPr>
          <w:p>
            <w:pPr>
              <w:widowControl/>
              <w:jc w:val="center"/>
              <w:rPr>
                <w:kern w:val="0"/>
                <w:sz w:val="20"/>
                <w:szCs w:val="20"/>
                <w:highlight w:val="none"/>
              </w:rPr>
            </w:pPr>
            <w:r>
              <w:rPr>
                <w:kern w:val="0"/>
                <w:sz w:val="20"/>
                <w:szCs w:val="20"/>
                <w:highlight w:val="none"/>
              </w:rPr>
              <w:t>731</w:t>
            </w:r>
          </w:p>
        </w:tc>
        <w:tc>
          <w:tcPr>
            <w:tcW w:w="749" w:type="pct"/>
            <w:shd w:val="clear" w:color="auto" w:fill="auto"/>
            <w:vAlign w:val="center"/>
          </w:tcPr>
          <w:p>
            <w:pPr>
              <w:widowControl/>
              <w:jc w:val="center"/>
              <w:rPr>
                <w:kern w:val="0"/>
                <w:sz w:val="20"/>
                <w:szCs w:val="20"/>
                <w:highlight w:val="none"/>
              </w:rPr>
            </w:pPr>
            <w:r>
              <w:rPr>
                <w:rFonts w:hint="eastAsia"/>
                <w:kern w:val="0"/>
                <w:sz w:val="20"/>
                <w:szCs w:val="20"/>
                <w:highlight w:val="none"/>
              </w:rPr>
              <w:t>乡道</w:t>
            </w:r>
            <w:r>
              <w:rPr>
                <w:kern w:val="0"/>
                <w:sz w:val="20"/>
                <w:szCs w:val="20"/>
                <w:highlight w:val="none"/>
              </w:rPr>
              <w:t>004</w:t>
            </w:r>
          </w:p>
        </w:tc>
        <w:tc>
          <w:tcPr>
            <w:tcW w:w="999" w:type="pct"/>
            <w:shd w:val="clear" w:color="auto" w:fill="auto"/>
            <w:vAlign w:val="center"/>
          </w:tcPr>
          <w:p>
            <w:pPr>
              <w:widowControl/>
              <w:jc w:val="center"/>
              <w:rPr>
                <w:kern w:val="0"/>
                <w:sz w:val="20"/>
                <w:szCs w:val="20"/>
                <w:highlight w:val="none"/>
              </w:rPr>
            </w:pPr>
            <w:r>
              <w:rPr>
                <w:rFonts w:hint="eastAsia"/>
                <w:kern w:val="0"/>
                <w:sz w:val="20"/>
                <w:szCs w:val="20"/>
                <w:highlight w:val="none"/>
              </w:rPr>
              <w:t>乡道</w:t>
            </w:r>
            <w:r>
              <w:rPr>
                <w:kern w:val="0"/>
                <w:sz w:val="20"/>
                <w:szCs w:val="20"/>
                <w:highlight w:val="none"/>
              </w:rPr>
              <w:t>004</w:t>
            </w:r>
            <w:r>
              <w:rPr>
                <w:rFonts w:hint="eastAsia"/>
                <w:kern w:val="0"/>
                <w:sz w:val="20"/>
                <w:szCs w:val="20"/>
                <w:highlight w:val="none"/>
              </w:rPr>
              <w:t>（现有）</w:t>
            </w:r>
          </w:p>
        </w:tc>
        <w:tc>
          <w:tcPr>
            <w:tcW w:w="245" w:type="pct"/>
            <w:shd w:val="clear" w:color="auto" w:fill="auto"/>
            <w:vAlign w:val="center"/>
          </w:tcPr>
          <w:p>
            <w:pPr>
              <w:widowControl/>
              <w:jc w:val="center"/>
              <w:rPr>
                <w:kern w:val="0"/>
                <w:sz w:val="20"/>
                <w:szCs w:val="20"/>
                <w:highlight w:val="none"/>
              </w:rPr>
            </w:pPr>
          </w:p>
        </w:tc>
        <w:tc>
          <w:tcPr>
            <w:tcW w:w="321" w:type="pct"/>
            <w:shd w:val="clear" w:color="auto" w:fill="auto"/>
            <w:vAlign w:val="center"/>
          </w:tcPr>
          <w:p>
            <w:pPr>
              <w:widowControl/>
              <w:jc w:val="center"/>
              <w:rPr>
                <w:kern w:val="0"/>
                <w:sz w:val="20"/>
                <w:szCs w:val="20"/>
                <w:highlight w:val="none"/>
              </w:rPr>
            </w:pPr>
          </w:p>
        </w:tc>
      </w:tr>
      <w:tr>
        <w:tblPrEx>
          <w:tblBorders>
            <w:top w:val="thinThickSmallGap" w:color="000000" w:themeColor="text1"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37" w:type="pct"/>
            <w:vAlign w:val="center"/>
          </w:tcPr>
          <w:p>
            <w:pPr>
              <w:widowControl/>
              <w:jc w:val="left"/>
              <w:rPr>
                <w:kern w:val="0"/>
                <w:sz w:val="20"/>
                <w:szCs w:val="20"/>
                <w:highlight w:val="none"/>
              </w:rPr>
            </w:pPr>
            <w:r>
              <w:rPr>
                <w:kern w:val="0"/>
                <w:sz w:val="20"/>
                <w:szCs w:val="20"/>
                <w:highlight w:val="none"/>
              </w:rPr>
              <w:t>金口河港区</w:t>
            </w:r>
          </w:p>
        </w:tc>
        <w:tc>
          <w:tcPr>
            <w:tcW w:w="950" w:type="pct"/>
            <w:shd w:val="clear" w:color="auto" w:fill="auto"/>
            <w:vAlign w:val="center"/>
          </w:tcPr>
          <w:p>
            <w:pPr>
              <w:widowControl/>
              <w:jc w:val="center"/>
              <w:rPr>
                <w:kern w:val="0"/>
                <w:sz w:val="20"/>
                <w:szCs w:val="20"/>
                <w:highlight w:val="none"/>
              </w:rPr>
            </w:pPr>
            <w:r>
              <w:rPr>
                <w:kern w:val="0"/>
                <w:sz w:val="20"/>
                <w:szCs w:val="20"/>
                <w:highlight w:val="none"/>
              </w:rPr>
              <w:t>大峡谷旅游客运码头</w:t>
            </w:r>
          </w:p>
        </w:tc>
        <w:tc>
          <w:tcPr>
            <w:tcW w:w="899" w:type="pct"/>
            <w:shd w:val="clear" w:color="auto" w:fill="auto"/>
            <w:vAlign w:val="center"/>
          </w:tcPr>
          <w:p>
            <w:pPr>
              <w:widowControl/>
              <w:jc w:val="center"/>
              <w:rPr>
                <w:kern w:val="0"/>
                <w:sz w:val="20"/>
                <w:szCs w:val="20"/>
                <w:highlight w:val="none"/>
              </w:rPr>
            </w:pPr>
          </w:p>
        </w:tc>
        <w:tc>
          <w:tcPr>
            <w:tcW w:w="399" w:type="pct"/>
            <w:shd w:val="clear" w:color="auto" w:fill="auto"/>
            <w:vAlign w:val="center"/>
          </w:tcPr>
          <w:p>
            <w:pPr>
              <w:widowControl/>
              <w:jc w:val="center"/>
              <w:rPr>
                <w:kern w:val="0"/>
                <w:sz w:val="20"/>
                <w:szCs w:val="20"/>
                <w:highlight w:val="none"/>
              </w:rPr>
            </w:pPr>
          </w:p>
        </w:tc>
        <w:tc>
          <w:tcPr>
            <w:tcW w:w="749" w:type="pct"/>
            <w:shd w:val="clear" w:color="auto" w:fill="auto"/>
            <w:vAlign w:val="center"/>
          </w:tcPr>
          <w:p>
            <w:pPr>
              <w:widowControl/>
              <w:jc w:val="center"/>
              <w:rPr>
                <w:kern w:val="0"/>
                <w:sz w:val="20"/>
                <w:szCs w:val="20"/>
                <w:highlight w:val="none"/>
              </w:rPr>
            </w:pPr>
            <w:r>
              <w:rPr>
                <w:kern w:val="0"/>
                <w:sz w:val="20"/>
                <w:szCs w:val="20"/>
                <w:highlight w:val="none"/>
              </w:rPr>
              <w:t>省道S306（国道G245）</w:t>
            </w:r>
          </w:p>
        </w:tc>
        <w:tc>
          <w:tcPr>
            <w:tcW w:w="999" w:type="pct"/>
            <w:shd w:val="clear" w:color="auto" w:fill="auto"/>
            <w:vAlign w:val="center"/>
          </w:tcPr>
          <w:p>
            <w:pPr>
              <w:widowControl/>
              <w:jc w:val="center"/>
              <w:rPr>
                <w:kern w:val="0"/>
                <w:sz w:val="20"/>
                <w:szCs w:val="20"/>
                <w:highlight w:val="none"/>
              </w:rPr>
            </w:pPr>
            <w:r>
              <w:rPr>
                <w:kern w:val="0"/>
                <w:sz w:val="20"/>
                <w:szCs w:val="20"/>
                <w:highlight w:val="none"/>
              </w:rPr>
              <w:t>省道S306（国道G245）</w:t>
            </w:r>
          </w:p>
        </w:tc>
        <w:tc>
          <w:tcPr>
            <w:tcW w:w="245" w:type="pct"/>
            <w:shd w:val="clear" w:color="auto" w:fill="auto"/>
            <w:vAlign w:val="center"/>
          </w:tcPr>
          <w:p>
            <w:pPr>
              <w:widowControl/>
              <w:jc w:val="center"/>
              <w:rPr>
                <w:kern w:val="0"/>
                <w:sz w:val="20"/>
                <w:szCs w:val="20"/>
                <w:highlight w:val="none"/>
              </w:rPr>
            </w:pPr>
          </w:p>
        </w:tc>
        <w:tc>
          <w:tcPr>
            <w:tcW w:w="321" w:type="pct"/>
            <w:shd w:val="clear" w:color="auto" w:fill="auto"/>
            <w:vAlign w:val="center"/>
          </w:tcPr>
          <w:p>
            <w:pPr>
              <w:widowControl/>
              <w:jc w:val="center"/>
              <w:rPr>
                <w:kern w:val="0"/>
                <w:sz w:val="20"/>
                <w:szCs w:val="20"/>
                <w:highlight w:val="none"/>
              </w:rPr>
            </w:pPr>
          </w:p>
        </w:tc>
      </w:tr>
      <w:tr>
        <w:tblPrEx>
          <w:tblBorders>
            <w:top w:val="thinThickSmallGap" w:color="000000" w:themeColor="text1"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37" w:type="pct"/>
            <w:vMerge w:val="restart"/>
            <w:shd w:val="clear" w:color="auto" w:fill="auto"/>
            <w:vAlign w:val="center"/>
          </w:tcPr>
          <w:p>
            <w:pPr>
              <w:jc w:val="center"/>
              <w:rPr>
                <w:kern w:val="0"/>
                <w:sz w:val="20"/>
                <w:szCs w:val="20"/>
                <w:highlight w:val="none"/>
              </w:rPr>
            </w:pPr>
            <w:r>
              <w:rPr>
                <w:kern w:val="0"/>
                <w:sz w:val="20"/>
                <w:szCs w:val="20"/>
                <w:highlight w:val="none"/>
              </w:rPr>
              <w:t>夹江港区</w:t>
            </w:r>
          </w:p>
        </w:tc>
        <w:tc>
          <w:tcPr>
            <w:tcW w:w="950" w:type="pct"/>
            <w:shd w:val="clear" w:color="auto" w:fill="auto"/>
            <w:vAlign w:val="center"/>
          </w:tcPr>
          <w:p>
            <w:pPr>
              <w:widowControl/>
              <w:jc w:val="center"/>
              <w:rPr>
                <w:kern w:val="0"/>
                <w:sz w:val="20"/>
                <w:szCs w:val="20"/>
                <w:highlight w:val="none"/>
              </w:rPr>
            </w:pPr>
            <w:r>
              <w:rPr>
                <w:kern w:val="0"/>
                <w:sz w:val="20"/>
                <w:szCs w:val="20"/>
                <w:highlight w:val="none"/>
              </w:rPr>
              <w:t>柏杨湾旅游客运</w:t>
            </w:r>
            <w:r>
              <w:rPr>
                <w:rFonts w:hint="eastAsia"/>
                <w:kern w:val="0"/>
                <w:sz w:val="20"/>
                <w:szCs w:val="20"/>
                <w:highlight w:val="none"/>
              </w:rPr>
              <w:t>码头</w:t>
            </w:r>
          </w:p>
        </w:tc>
        <w:tc>
          <w:tcPr>
            <w:tcW w:w="899" w:type="pct"/>
            <w:shd w:val="clear" w:color="auto" w:fill="auto"/>
            <w:vAlign w:val="center"/>
          </w:tcPr>
          <w:p>
            <w:pPr>
              <w:widowControl/>
              <w:jc w:val="center"/>
              <w:rPr>
                <w:kern w:val="0"/>
                <w:sz w:val="20"/>
                <w:szCs w:val="20"/>
                <w:highlight w:val="none"/>
              </w:rPr>
            </w:pPr>
            <w:r>
              <w:rPr>
                <w:kern w:val="0"/>
                <w:sz w:val="20"/>
                <w:szCs w:val="20"/>
                <w:highlight w:val="none"/>
              </w:rPr>
              <w:t>客运量60万人次/年</w:t>
            </w:r>
          </w:p>
        </w:tc>
        <w:tc>
          <w:tcPr>
            <w:tcW w:w="399" w:type="pct"/>
            <w:shd w:val="clear" w:color="auto" w:fill="auto"/>
            <w:vAlign w:val="center"/>
          </w:tcPr>
          <w:p>
            <w:pPr>
              <w:widowControl/>
              <w:jc w:val="center"/>
              <w:rPr>
                <w:kern w:val="0"/>
                <w:sz w:val="20"/>
                <w:szCs w:val="20"/>
                <w:highlight w:val="none"/>
              </w:rPr>
            </w:pPr>
            <w:r>
              <w:rPr>
                <w:kern w:val="0"/>
                <w:sz w:val="20"/>
                <w:szCs w:val="20"/>
                <w:highlight w:val="none"/>
              </w:rPr>
              <w:t>820</w:t>
            </w:r>
          </w:p>
        </w:tc>
        <w:tc>
          <w:tcPr>
            <w:tcW w:w="749" w:type="pct"/>
            <w:shd w:val="clear" w:color="auto" w:fill="auto"/>
            <w:vAlign w:val="center"/>
          </w:tcPr>
          <w:p>
            <w:pPr>
              <w:widowControl/>
              <w:jc w:val="center"/>
              <w:rPr>
                <w:kern w:val="0"/>
                <w:sz w:val="20"/>
                <w:szCs w:val="20"/>
                <w:highlight w:val="none"/>
              </w:rPr>
            </w:pPr>
            <w:r>
              <w:rPr>
                <w:kern w:val="0"/>
                <w:sz w:val="20"/>
                <w:szCs w:val="20"/>
                <w:highlight w:val="none"/>
              </w:rPr>
              <w:t>县道X145</w:t>
            </w:r>
          </w:p>
        </w:tc>
        <w:tc>
          <w:tcPr>
            <w:tcW w:w="999" w:type="pct"/>
            <w:shd w:val="clear" w:color="auto" w:fill="auto"/>
            <w:vAlign w:val="center"/>
          </w:tcPr>
          <w:p>
            <w:pPr>
              <w:widowControl/>
              <w:jc w:val="center"/>
              <w:rPr>
                <w:kern w:val="0"/>
                <w:sz w:val="20"/>
                <w:szCs w:val="20"/>
                <w:highlight w:val="none"/>
              </w:rPr>
            </w:pPr>
            <w:r>
              <w:rPr>
                <w:kern w:val="0"/>
                <w:sz w:val="20"/>
                <w:szCs w:val="20"/>
                <w:highlight w:val="none"/>
              </w:rPr>
              <w:t>进港公路</w:t>
            </w:r>
          </w:p>
        </w:tc>
        <w:tc>
          <w:tcPr>
            <w:tcW w:w="245" w:type="pct"/>
            <w:shd w:val="clear" w:color="auto" w:fill="auto"/>
            <w:vAlign w:val="center"/>
          </w:tcPr>
          <w:p>
            <w:pPr>
              <w:widowControl/>
              <w:jc w:val="center"/>
              <w:rPr>
                <w:kern w:val="0"/>
                <w:sz w:val="20"/>
                <w:szCs w:val="20"/>
                <w:highlight w:val="none"/>
              </w:rPr>
            </w:pPr>
            <w:r>
              <w:rPr>
                <w:kern w:val="0"/>
                <w:sz w:val="20"/>
                <w:szCs w:val="20"/>
                <w:highlight w:val="none"/>
              </w:rPr>
              <w:t>三级</w:t>
            </w:r>
          </w:p>
        </w:tc>
        <w:tc>
          <w:tcPr>
            <w:tcW w:w="321" w:type="pct"/>
            <w:shd w:val="clear" w:color="auto" w:fill="auto"/>
            <w:vAlign w:val="center"/>
          </w:tcPr>
          <w:p>
            <w:pPr>
              <w:widowControl/>
              <w:jc w:val="center"/>
              <w:rPr>
                <w:kern w:val="0"/>
                <w:sz w:val="20"/>
                <w:szCs w:val="20"/>
                <w:highlight w:val="none"/>
              </w:rPr>
            </w:pPr>
            <w:r>
              <w:rPr>
                <w:kern w:val="0"/>
                <w:sz w:val="20"/>
                <w:szCs w:val="20"/>
                <w:highlight w:val="none"/>
              </w:rPr>
              <w:t>1</w:t>
            </w:r>
          </w:p>
        </w:tc>
      </w:tr>
      <w:tr>
        <w:tblPrEx>
          <w:tblBorders>
            <w:top w:val="thinThickSmallGap" w:color="000000" w:themeColor="text1"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37" w:type="pct"/>
            <w:vMerge w:val="continue"/>
            <w:shd w:val="clear" w:color="auto" w:fill="auto"/>
            <w:vAlign w:val="center"/>
          </w:tcPr>
          <w:p>
            <w:pPr>
              <w:widowControl/>
              <w:jc w:val="center"/>
              <w:rPr>
                <w:kern w:val="0"/>
                <w:sz w:val="20"/>
                <w:szCs w:val="20"/>
                <w:highlight w:val="none"/>
              </w:rPr>
            </w:pPr>
          </w:p>
        </w:tc>
        <w:tc>
          <w:tcPr>
            <w:tcW w:w="950" w:type="pct"/>
            <w:shd w:val="clear" w:color="auto" w:fill="auto"/>
            <w:vAlign w:val="center"/>
          </w:tcPr>
          <w:p>
            <w:pPr>
              <w:widowControl/>
              <w:jc w:val="center"/>
              <w:rPr>
                <w:kern w:val="0"/>
                <w:sz w:val="20"/>
                <w:szCs w:val="20"/>
                <w:highlight w:val="none"/>
              </w:rPr>
            </w:pPr>
            <w:r>
              <w:rPr>
                <w:kern w:val="0"/>
                <w:sz w:val="20"/>
                <w:szCs w:val="20"/>
                <w:highlight w:val="none"/>
              </w:rPr>
              <w:t>佩玉泉旅游客运码头</w:t>
            </w:r>
          </w:p>
        </w:tc>
        <w:tc>
          <w:tcPr>
            <w:tcW w:w="899" w:type="pct"/>
            <w:shd w:val="clear" w:color="auto" w:fill="auto"/>
            <w:vAlign w:val="center"/>
          </w:tcPr>
          <w:p>
            <w:pPr>
              <w:widowControl/>
              <w:jc w:val="center"/>
              <w:rPr>
                <w:kern w:val="0"/>
                <w:sz w:val="20"/>
                <w:szCs w:val="20"/>
                <w:highlight w:val="none"/>
              </w:rPr>
            </w:pPr>
            <w:r>
              <w:rPr>
                <w:kern w:val="0"/>
                <w:sz w:val="20"/>
                <w:szCs w:val="20"/>
                <w:highlight w:val="none"/>
              </w:rPr>
              <w:t>客运量40万人次/年</w:t>
            </w:r>
          </w:p>
        </w:tc>
        <w:tc>
          <w:tcPr>
            <w:tcW w:w="399" w:type="pct"/>
            <w:shd w:val="clear" w:color="auto" w:fill="auto"/>
            <w:vAlign w:val="center"/>
          </w:tcPr>
          <w:p>
            <w:pPr>
              <w:widowControl/>
              <w:jc w:val="center"/>
              <w:rPr>
                <w:kern w:val="0"/>
                <w:sz w:val="20"/>
                <w:szCs w:val="20"/>
                <w:highlight w:val="none"/>
              </w:rPr>
            </w:pPr>
            <w:r>
              <w:rPr>
                <w:kern w:val="0"/>
                <w:sz w:val="20"/>
                <w:szCs w:val="20"/>
                <w:highlight w:val="none"/>
              </w:rPr>
              <w:t>548</w:t>
            </w:r>
          </w:p>
        </w:tc>
        <w:tc>
          <w:tcPr>
            <w:tcW w:w="749" w:type="pct"/>
            <w:shd w:val="clear" w:color="auto" w:fill="auto"/>
            <w:vAlign w:val="center"/>
          </w:tcPr>
          <w:p>
            <w:pPr>
              <w:widowControl/>
              <w:jc w:val="center"/>
              <w:rPr>
                <w:kern w:val="0"/>
                <w:sz w:val="20"/>
                <w:szCs w:val="20"/>
                <w:highlight w:val="none"/>
              </w:rPr>
            </w:pPr>
            <w:r>
              <w:rPr>
                <w:kern w:val="0"/>
                <w:sz w:val="20"/>
                <w:szCs w:val="20"/>
                <w:highlight w:val="none"/>
              </w:rPr>
              <w:t>县道X145</w:t>
            </w:r>
          </w:p>
        </w:tc>
        <w:tc>
          <w:tcPr>
            <w:tcW w:w="999" w:type="pct"/>
            <w:shd w:val="clear" w:color="auto" w:fill="auto"/>
            <w:vAlign w:val="center"/>
          </w:tcPr>
          <w:p>
            <w:pPr>
              <w:widowControl/>
              <w:jc w:val="center"/>
              <w:rPr>
                <w:kern w:val="0"/>
                <w:sz w:val="20"/>
                <w:szCs w:val="20"/>
                <w:highlight w:val="none"/>
              </w:rPr>
            </w:pPr>
            <w:r>
              <w:rPr>
                <w:kern w:val="0"/>
                <w:sz w:val="20"/>
                <w:szCs w:val="20"/>
                <w:highlight w:val="none"/>
              </w:rPr>
              <w:t>进港公路</w:t>
            </w:r>
          </w:p>
        </w:tc>
        <w:tc>
          <w:tcPr>
            <w:tcW w:w="245" w:type="pct"/>
            <w:shd w:val="clear" w:color="auto" w:fill="auto"/>
            <w:vAlign w:val="center"/>
          </w:tcPr>
          <w:p>
            <w:pPr>
              <w:widowControl/>
              <w:jc w:val="center"/>
              <w:rPr>
                <w:kern w:val="0"/>
                <w:sz w:val="20"/>
                <w:szCs w:val="20"/>
                <w:highlight w:val="none"/>
              </w:rPr>
            </w:pPr>
            <w:r>
              <w:rPr>
                <w:kern w:val="0"/>
                <w:sz w:val="20"/>
                <w:szCs w:val="20"/>
                <w:highlight w:val="none"/>
              </w:rPr>
              <w:t>三级</w:t>
            </w:r>
          </w:p>
        </w:tc>
        <w:tc>
          <w:tcPr>
            <w:tcW w:w="321" w:type="pct"/>
            <w:shd w:val="clear" w:color="auto" w:fill="auto"/>
            <w:vAlign w:val="center"/>
          </w:tcPr>
          <w:p>
            <w:pPr>
              <w:widowControl/>
              <w:jc w:val="center"/>
              <w:rPr>
                <w:kern w:val="0"/>
                <w:sz w:val="20"/>
                <w:szCs w:val="20"/>
                <w:highlight w:val="none"/>
              </w:rPr>
            </w:pPr>
            <w:r>
              <w:rPr>
                <w:kern w:val="0"/>
                <w:sz w:val="20"/>
                <w:szCs w:val="20"/>
                <w:highlight w:val="none"/>
              </w:rPr>
              <w:t>1</w:t>
            </w:r>
          </w:p>
        </w:tc>
      </w:tr>
    </w:tbl>
    <w:p>
      <w:pPr>
        <w:spacing w:before="156" w:beforeLines="50" w:after="156" w:afterLines="50" w:line="520" w:lineRule="exact"/>
        <w:jc w:val="center"/>
        <w:outlineLvl w:val="1"/>
        <w:rPr>
          <w:rFonts w:eastAsia="黑体"/>
          <w:b/>
          <w:sz w:val="30"/>
          <w:highlight w:val="none"/>
        </w:rPr>
        <w:sectPr>
          <w:pgSz w:w="16838" w:h="11906" w:orient="landscape"/>
          <w:pgMar w:top="1418" w:right="1440" w:bottom="1418" w:left="1440" w:header="851" w:footer="992" w:gutter="0"/>
          <w:cols w:space="425" w:num="1"/>
          <w:docGrid w:type="lines" w:linePitch="312" w:charSpace="0"/>
        </w:sectPr>
      </w:pPr>
    </w:p>
    <w:p>
      <w:pPr>
        <w:spacing w:before="156" w:beforeLines="50" w:after="156" w:afterLines="50" w:line="520" w:lineRule="exact"/>
        <w:jc w:val="center"/>
        <w:outlineLvl w:val="1"/>
        <w:rPr>
          <w:rFonts w:eastAsia="黑体"/>
          <w:b/>
          <w:sz w:val="30"/>
          <w:highlight w:val="none"/>
        </w:rPr>
      </w:pPr>
      <w:bookmarkStart w:id="240" w:name="_Toc77781928"/>
      <w:bookmarkStart w:id="241" w:name="_Toc67908295"/>
      <w:r>
        <w:rPr>
          <w:rFonts w:eastAsia="黑体"/>
          <w:b/>
          <w:sz w:val="30"/>
          <w:highlight w:val="none"/>
        </w:rPr>
        <w:t>第二节供电规划</w:t>
      </w:r>
      <w:bookmarkEnd w:id="240"/>
      <w:bookmarkEnd w:id="241"/>
    </w:p>
    <w:p>
      <w:pPr>
        <w:pStyle w:val="20"/>
        <w:ind w:left="0" w:leftChars="0" w:firstLine="560" w:firstLineChars="200"/>
        <w:rPr>
          <w:rFonts w:ascii="Times New Roman" w:hAnsi="Times New Roman" w:cs="Times New Roman"/>
          <w:sz w:val="28"/>
          <w:szCs w:val="28"/>
          <w:highlight w:val="none"/>
        </w:rPr>
      </w:pPr>
      <w:r>
        <w:rPr>
          <w:rFonts w:ascii="Times New Roman" w:hAnsi="Times New Roman" w:cs="Times New Roman"/>
          <w:sz w:val="28"/>
          <w:szCs w:val="28"/>
          <w:highlight w:val="none"/>
        </w:rPr>
        <w:t>乐山电网共有500千伏及以下公用变电站97座，主变152台，变电容量965.705万千瓦。其中，500千伏变电站4座（其中沐溪站为开关站），主变4台，变电容量300万千瓦；220千伏变电站14座，主变25台，变电容量375万千伏安；110千伏变电站35座，主变60台，变电容量247.3万千伏安；35千伏变电站45座，主变63台，变电容量43.405万千伏安。</w:t>
      </w:r>
    </w:p>
    <w:p>
      <w:pPr>
        <w:pStyle w:val="20"/>
        <w:ind w:left="0" w:leftChars="0" w:firstLine="560" w:firstLineChars="200"/>
        <w:rPr>
          <w:rFonts w:ascii="Times New Roman" w:hAnsi="Times New Roman" w:cs="Times New Roman"/>
          <w:sz w:val="28"/>
          <w:szCs w:val="28"/>
          <w:highlight w:val="none"/>
        </w:rPr>
      </w:pPr>
      <w:r>
        <w:rPr>
          <w:rFonts w:ascii="Times New Roman" w:hAnsi="Times New Roman" w:cs="Times New Roman"/>
          <w:sz w:val="28"/>
          <w:szCs w:val="28"/>
          <w:highlight w:val="none"/>
        </w:rPr>
        <w:t>根据负荷预测，到2030年，乐山地区将有3座500kV变电站和1座500kV开关站，即500kV嘉州站、南天站、乐山北站和沐溪开关站。规划范坝、松林、佛光、城西、桥沟、新华、塘叶、高新、金口河、犍为、金仓、夹江、静云、黑竹沟、天宫庙、九里、朱坎、清音18座220千伏变电站。</w:t>
      </w:r>
    </w:p>
    <w:p>
      <w:pPr>
        <w:pStyle w:val="20"/>
        <w:ind w:left="0" w:leftChars="0" w:firstLine="560" w:firstLineChars="200"/>
        <w:rPr>
          <w:rFonts w:ascii="Times New Roman" w:hAnsi="Times New Roman" w:cs="Times New Roman"/>
          <w:sz w:val="28"/>
          <w:szCs w:val="28"/>
          <w:highlight w:val="none"/>
        </w:rPr>
      </w:pPr>
      <w:r>
        <w:rPr>
          <w:rFonts w:ascii="Times New Roman" w:hAnsi="Times New Roman" w:cs="Times New Roman"/>
          <w:sz w:val="28"/>
          <w:szCs w:val="28"/>
          <w:highlight w:val="none"/>
        </w:rPr>
        <w:t>规划作业区均位于城镇附近，各级城镇公用电网建设较完备，作业区用电负荷接入电网比较方便，估算各作业区用电量详见下表7.2-1。</w:t>
      </w:r>
    </w:p>
    <w:p>
      <w:pPr>
        <w:ind w:firstLine="560" w:firstLineChars="200"/>
        <w:jc w:val="center"/>
        <w:rPr>
          <w:rFonts w:eastAsia="黑体"/>
          <w:sz w:val="28"/>
          <w:szCs w:val="28"/>
          <w:highlight w:val="none"/>
        </w:rPr>
      </w:pPr>
      <w:r>
        <w:rPr>
          <w:rFonts w:eastAsia="黑体"/>
          <w:sz w:val="28"/>
          <w:szCs w:val="28"/>
          <w:highlight w:val="none"/>
        </w:rPr>
        <w:t>表7.2-1 各规划作业区及码头用电量估算表</w:t>
      </w:r>
    </w:p>
    <w:tbl>
      <w:tblPr>
        <w:tblStyle w:val="32"/>
        <w:tblW w:w="0" w:type="auto"/>
        <w:tblInd w:w="0" w:type="dxa"/>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28"/>
        <w:gridCol w:w="2541"/>
        <w:gridCol w:w="1659"/>
        <w:gridCol w:w="2100"/>
        <w:gridCol w:w="1394"/>
      </w:tblGrid>
      <w:tr>
        <w:tblPrEx>
          <w:tblCellMar>
            <w:top w:w="0" w:type="dxa"/>
            <w:left w:w="108" w:type="dxa"/>
            <w:bottom w:w="0" w:type="dxa"/>
            <w:right w:w="108" w:type="dxa"/>
          </w:tblCellMar>
        </w:tblPrEx>
        <w:trPr>
          <w:tblHeader/>
        </w:trPr>
        <w:tc>
          <w:tcPr>
            <w:tcW w:w="828" w:type="dxa"/>
            <w:vAlign w:val="center"/>
          </w:tcPr>
          <w:p>
            <w:pPr>
              <w:spacing w:line="360" w:lineRule="auto"/>
              <w:jc w:val="center"/>
              <w:rPr>
                <w:b/>
                <w:szCs w:val="21"/>
                <w:highlight w:val="none"/>
              </w:rPr>
            </w:pPr>
            <w:r>
              <w:rPr>
                <w:b/>
                <w:szCs w:val="21"/>
                <w:highlight w:val="none"/>
              </w:rPr>
              <w:t>序号</w:t>
            </w:r>
          </w:p>
        </w:tc>
        <w:tc>
          <w:tcPr>
            <w:tcW w:w="2541" w:type="dxa"/>
            <w:vAlign w:val="center"/>
          </w:tcPr>
          <w:p>
            <w:pPr>
              <w:spacing w:line="360" w:lineRule="auto"/>
              <w:jc w:val="center"/>
              <w:rPr>
                <w:b/>
                <w:szCs w:val="21"/>
                <w:highlight w:val="none"/>
              </w:rPr>
            </w:pPr>
            <w:r>
              <w:rPr>
                <w:b/>
                <w:szCs w:val="21"/>
                <w:highlight w:val="none"/>
              </w:rPr>
              <w:t>作业区名称</w:t>
            </w:r>
          </w:p>
        </w:tc>
        <w:tc>
          <w:tcPr>
            <w:tcW w:w="1659" w:type="dxa"/>
            <w:shd w:val="clear" w:color="auto" w:fill="auto"/>
            <w:vAlign w:val="center"/>
          </w:tcPr>
          <w:p>
            <w:pPr>
              <w:spacing w:line="360" w:lineRule="auto"/>
              <w:jc w:val="center"/>
              <w:rPr>
                <w:b/>
                <w:szCs w:val="21"/>
                <w:highlight w:val="none"/>
              </w:rPr>
            </w:pPr>
            <w:r>
              <w:rPr>
                <w:b/>
                <w:szCs w:val="21"/>
                <w:highlight w:val="none"/>
              </w:rPr>
              <w:t>估算用电容量</w:t>
            </w:r>
          </w:p>
          <w:p>
            <w:pPr>
              <w:jc w:val="center"/>
              <w:rPr>
                <w:b/>
                <w:szCs w:val="21"/>
                <w:highlight w:val="none"/>
              </w:rPr>
            </w:pPr>
            <w:r>
              <w:rPr>
                <w:b/>
                <w:szCs w:val="21"/>
                <w:highlight w:val="none"/>
              </w:rPr>
              <w:t>（kW）</w:t>
            </w:r>
          </w:p>
        </w:tc>
        <w:tc>
          <w:tcPr>
            <w:tcW w:w="2100" w:type="dxa"/>
            <w:shd w:val="clear" w:color="auto" w:fill="auto"/>
            <w:vAlign w:val="center"/>
          </w:tcPr>
          <w:p>
            <w:pPr>
              <w:spacing w:line="360" w:lineRule="auto"/>
              <w:jc w:val="center"/>
              <w:rPr>
                <w:b/>
                <w:szCs w:val="21"/>
                <w:highlight w:val="none"/>
              </w:rPr>
            </w:pPr>
            <w:r>
              <w:rPr>
                <w:b/>
                <w:szCs w:val="21"/>
                <w:highlight w:val="none"/>
              </w:rPr>
              <w:t>估算变压器容量</w:t>
            </w:r>
          </w:p>
          <w:p>
            <w:pPr>
              <w:jc w:val="center"/>
              <w:rPr>
                <w:b/>
                <w:szCs w:val="21"/>
                <w:highlight w:val="none"/>
              </w:rPr>
            </w:pPr>
            <w:r>
              <w:rPr>
                <w:b/>
                <w:szCs w:val="21"/>
                <w:highlight w:val="none"/>
              </w:rPr>
              <w:t>（kVA）</w:t>
            </w:r>
          </w:p>
        </w:tc>
        <w:tc>
          <w:tcPr>
            <w:tcW w:w="1394" w:type="dxa"/>
            <w:vAlign w:val="center"/>
          </w:tcPr>
          <w:p>
            <w:pPr>
              <w:spacing w:line="360" w:lineRule="auto"/>
              <w:jc w:val="center"/>
              <w:rPr>
                <w:b/>
                <w:szCs w:val="21"/>
                <w:highlight w:val="none"/>
              </w:rPr>
            </w:pPr>
            <w:r>
              <w:rPr>
                <w:b/>
                <w:szCs w:val="21"/>
                <w:highlight w:val="none"/>
              </w:rPr>
              <w:t>备注</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jc w:val="center"/>
              <w:rPr>
                <w:szCs w:val="21"/>
                <w:highlight w:val="none"/>
              </w:rPr>
            </w:pPr>
            <w:r>
              <w:rPr>
                <w:szCs w:val="21"/>
                <w:highlight w:val="none"/>
              </w:rPr>
              <w:t>一</w:t>
            </w:r>
          </w:p>
        </w:tc>
        <w:tc>
          <w:tcPr>
            <w:tcW w:w="2541" w:type="dxa"/>
            <w:vAlign w:val="center"/>
          </w:tcPr>
          <w:p>
            <w:pPr>
              <w:jc w:val="center"/>
              <w:rPr>
                <w:szCs w:val="21"/>
                <w:highlight w:val="none"/>
              </w:rPr>
            </w:pPr>
            <w:r>
              <w:rPr>
                <w:szCs w:val="21"/>
                <w:highlight w:val="none"/>
              </w:rPr>
              <w:t>嘉州港区</w:t>
            </w:r>
          </w:p>
        </w:tc>
        <w:tc>
          <w:tcPr>
            <w:tcW w:w="1659" w:type="dxa"/>
            <w:shd w:val="clear" w:color="auto" w:fill="auto"/>
            <w:vAlign w:val="center"/>
          </w:tcPr>
          <w:p>
            <w:pPr>
              <w:jc w:val="center"/>
              <w:rPr>
                <w:szCs w:val="21"/>
                <w:highlight w:val="none"/>
              </w:rPr>
            </w:pPr>
            <w:r>
              <w:rPr>
                <w:szCs w:val="21"/>
                <w:highlight w:val="none"/>
              </w:rPr>
              <w:t>　</w:t>
            </w:r>
          </w:p>
        </w:tc>
        <w:tc>
          <w:tcPr>
            <w:tcW w:w="2100" w:type="dxa"/>
            <w:shd w:val="clear" w:color="auto" w:fill="auto"/>
            <w:vAlign w:val="center"/>
          </w:tcPr>
          <w:p>
            <w:pPr>
              <w:jc w:val="center"/>
              <w:rPr>
                <w:szCs w:val="21"/>
                <w:highlight w:val="none"/>
              </w:rPr>
            </w:pPr>
            <w:r>
              <w:rPr>
                <w:szCs w:val="21"/>
                <w:highlight w:val="none"/>
              </w:rPr>
              <w:t>　</w:t>
            </w:r>
          </w:p>
        </w:tc>
        <w:tc>
          <w:tcPr>
            <w:tcW w:w="1394" w:type="dxa"/>
            <w:vAlign w:val="center"/>
          </w:tcPr>
          <w:p>
            <w:pPr>
              <w:jc w:val="center"/>
              <w:rPr>
                <w:szCs w:val="21"/>
                <w:highlight w:val="none"/>
              </w:rPr>
            </w:pPr>
            <w:r>
              <w:rPr>
                <w:szCs w:val="21"/>
                <w:highlight w:val="none"/>
              </w:rPr>
              <w:t>　</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jc w:val="center"/>
              <w:rPr>
                <w:szCs w:val="21"/>
                <w:highlight w:val="none"/>
              </w:rPr>
            </w:pPr>
            <w:r>
              <w:rPr>
                <w:szCs w:val="21"/>
                <w:highlight w:val="none"/>
              </w:rPr>
              <w:t>1</w:t>
            </w:r>
          </w:p>
        </w:tc>
        <w:tc>
          <w:tcPr>
            <w:tcW w:w="2541" w:type="dxa"/>
            <w:vAlign w:val="center"/>
          </w:tcPr>
          <w:p>
            <w:pPr>
              <w:jc w:val="center"/>
              <w:rPr>
                <w:szCs w:val="21"/>
                <w:highlight w:val="none"/>
              </w:rPr>
            </w:pPr>
            <w:r>
              <w:rPr>
                <w:szCs w:val="21"/>
                <w:highlight w:val="none"/>
              </w:rPr>
              <w:t>老江坝作业区</w:t>
            </w:r>
          </w:p>
        </w:tc>
        <w:tc>
          <w:tcPr>
            <w:tcW w:w="1659" w:type="dxa"/>
            <w:shd w:val="clear" w:color="auto" w:fill="auto"/>
            <w:vAlign w:val="center"/>
          </w:tcPr>
          <w:p>
            <w:pPr>
              <w:jc w:val="center"/>
              <w:rPr>
                <w:szCs w:val="21"/>
                <w:highlight w:val="none"/>
              </w:rPr>
            </w:pPr>
            <w:r>
              <w:rPr>
                <w:szCs w:val="21"/>
                <w:highlight w:val="none"/>
              </w:rPr>
              <w:t>3300</w:t>
            </w:r>
          </w:p>
        </w:tc>
        <w:tc>
          <w:tcPr>
            <w:tcW w:w="2100" w:type="dxa"/>
            <w:shd w:val="clear" w:color="auto" w:fill="auto"/>
            <w:vAlign w:val="center"/>
          </w:tcPr>
          <w:p>
            <w:pPr>
              <w:jc w:val="center"/>
              <w:rPr>
                <w:szCs w:val="21"/>
                <w:highlight w:val="none"/>
              </w:rPr>
            </w:pPr>
            <w:r>
              <w:rPr>
                <w:szCs w:val="21"/>
                <w:highlight w:val="none"/>
              </w:rPr>
              <w:t>2800</w:t>
            </w:r>
          </w:p>
        </w:tc>
        <w:tc>
          <w:tcPr>
            <w:tcW w:w="1394" w:type="dxa"/>
            <w:vAlign w:val="center"/>
          </w:tcPr>
          <w:p>
            <w:pPr>
              <w:jc w:val="center"/>
              <w:rPr>
                <w:szCs w:val="21"/>
                <w:highlight w:val="none"/>
              </w:rPr>
            </w:pPr>
            <w:r>
              <w:rPr>
                <w:szCs w:val="21"/>
                <w:highlight w:val="none"/>
              </w:rPr>
              <w:t>　</w:t>
            </w:r>
          </w:p>
        </w:tc>
      </w:tr>
      <w:tr>
        <w:tblPrEx>
          <w:tblCellMar>
            <w:top w:w="0" w:type="dxa"/>
            <w:left w:w="108" w:type="dxa"/>
            <w:bottom w:w="0" w:type="dxa"/>
            <w:right w:w="108" w:type="dxa"/>
          </w:tblCellMar>
        </w:tblPrEx>
        <w:tc>
          <w:tcPr>
            <w:tcW w:w="828" w:type="dxa"/>
            <w:vAlign w:val="center"/>
          </w:tcPr>
          <w:p>
            <w:pPr>
              <w:jc w:val="center"/>
              <w:rPr>
                <w:szCs w:val="21"/>
                <w:highlight w:val="none"/>
              </w:rPr>
            </w:pPr>
            <w:r>
              <w:rPr>
                <w:szCs w:val="21"/>
                <w:highlight w:val="none"/>
              </w:rPr>
              <w:t>2</w:t>
            </w:r>
          </w:p>
        </w:tc>
        <w:tc>
          <w:tcPr>
            <w:tcW w:w="2541" w:type="dxa"/>
            <w:vAlign w:val="center"/>
          </w:tcPr>
          <w:p>
            <w:pPr>
              <w:jc w:val="center"/>
              <w:rPr>
                <w:szCs w:val="21"/>
                <w:highlight w:val="none"/>
              </w:rPr>
            </w:pPr>
            <w:r>
              <w:rPr>
                <w:szCs w:val="21"/>
                <w:highlight w:val="none"/>
              </w:rPr>
              <w:t>乌尤寺旅游客运码头</w:t>
            </w:r>
          </w:p>
        </w:tc>
        <w:tc>
          <w:tcPr>
            <w:tcW w:w="1659" w:type="dxa"/>
            <w:shd w:val="clear" w:color="auto" w:fill="auto"/>
            <w:vAlign w:val="center"/>
          </w:tcPr>
          <w:p>
            <w:pPr>
              <w:jc w:val="center"/>
              <w:rPr>
                <w:szCs w:val="21"/>
                <w:highlight w:val="none"/>
              </w:rPr>
            </w:pPr>
            <w:r>
              <w:rPr>
                <w:szCs w:val="21"/>
                <w:highlight w:val="none"/>
              </w:rPr>
              <w:t>400</w:t>
            </w:r>
          </w:p>
        </w:tc>
        <w:tc>
          <w:tcPr>
            <w:tcW w:w="2100" w:type="dxa"/>
            <w:shd w:val="clear" w:color="auto" w:fill="auto"/>
            <w:vAlign w:val="center"/>
          </w:tcPr>
          <w:p>
            <w:pPr>
              <w:jc w:val="center"/>
              <w:rPr>
                <w:szCs w:val="21"/>
                <w:highlight w:val="none"/>
              </w:rPr>
            </w:pPr>
            <w:r>
              <w:rPr>
                <w:szCs w:val="21"/>
                <w:highlight w:val="none"/>
              </w:rPr>
              <w:t>350</w:t>
            </w:r>
          </w:p>
        </w:tc>
        <w:tc>
          <w:tcPr>
            <w:tcW w:w="1394" w:type="dxa"/>
            <w:vAlign w:val="center"/>
          </w:tcPr>
          <w:p>
            <w:pPr>
              <w:jc w:val="center"/>
              <w:rPr>
                <w:szCs w:val="21"/>
                <w:highlight w:val="none"/>
              </w:rPr>
            </w:pPr>
            <w:r>
              <w:rPr>
                <w:szCs w:val="21"/>
                <w:highlight w:val="none"/>
              </w:rPr>
              <w:t>　</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jc w:val="center"/>
              <w:rPr>
                <w:szCs w:val="21"/>
                <w:highlight w:val="none"/>
              </w:rPr>
            </w:pPr>
            <w:r>
              <w:rPr>
                <w:szCs w:val="21"/>
                <w:highlight w:val="none"/>
              </w:rPr>
              <w:t>3</w:t>
            </w:r>
          </w:p>
        </w:tc>
        <w:tc>
          <w:tcPr>
            <w:tcW w:w="2541" w:type="dxa"/>
            <w:vAlign w:val="center"/>
          </w:tcPr>
          <w:p>
            <w:pPr>
              <w:jc w:val="center"/>
              <w:rPr>
                <w:szCs w:val="21"/>
                <w:highlight w:val="none"/>
              </w:rPr>
            </w:pPr>
            <w:r>
              <w:rPr>
                <w:szCs w:val="21"/>
                <w:highlight w:val="none"/>
              </w:rPr>
              <w:t>凤洲岛旅游客运码头</w:t>
            </w:r>
          </w:p>
        </w:tc>
        <w:tc>
          <w:tcPr>
            <w:tcW w:w="1659" w:type="dxa"/>
            <w:shd w:val="clear" w:color="auto" w:fill="auto"/>
            <w:vAlign w:val="center"/>
          </w:tcPr>
          <w:p>
            <w:pPr>
              <w:jc w:val="center"/>
              <w:rPr>
                <w:szCs w:val="21"/>
                <w:highlight w:val="none"/>
              </w:rPr>
            </w:pPr>
            <w:r>
              <w:rPr>
                <w:szCs w:val="21"/>
                <w:highlight w:val="none"/>
              </w:rPr>
              <w:t>400</w:t>
            </w:r>
          </w:p>
        </w:tc>
        <w:tc>
          <w:tcPr>
            <w:tcW w:w="2100" w:type="dxa"/>
            <w:shd w:val="clear" w:color="auto" w:fill="auto"/>
            <w:vAlign w:val="center"/>
          </w:tcPr>
          <w:p>
            <w:pPr>
              <w:jc w:val="center"/>
              <w:rPr>
                <w:szCs w:val="21"/>
                <w:highlight w:val="none"/>
              </w:rPr>
            </w:pPr>
            <w:r>
              <w:rPr>
                <w:szCs w:val="21"/>
                <w:highlight w:val="none"/>
              </w:rPr>
              <w:t>350</w:t>
            </w:r>
          </w:p>
        </w:tc>
        <w:tc>
          <w:tcPr>
            <w:tcW w:w="1394" w:type="dxa"/>
            <w:vAlign w:val="center"/>
          </w:tcPr>
          <w:p>
            <w:pPr>
              <w:jc w:val="center"/>
              <w:rPr>
                <w:szCs w:val="21"/>
                <w:highlight w:val="none"/>
              </w:rPr>
            </w:pPr>
            <w:r>
              <w:rPr>
                <w:szCs w:val="21"/>
                <w:highlight w:val="none"/>
              </w:rPr>
              <w:t>　</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jc w:val="center"/>
              <w:rPr>
                <w:szCs w:val="21"/>
                <w:highlight w:val="none"/>
              </w:rPr>
            </w:pPr>
            <w:r>
              <w:rPr>
                <w:szCs w:val="21"/>
                <w:highlight w:val="none"/>
              </w:rPr>
              <w:t>4</w:t>
            </w:r>
          </w:p>
        </w:tc>
        <w:tc>
          <w:tcPr>
            <w:tcW w:w="2541" w:type="dxa"/>
            <w:vAlign w:val="center"/>
          </w:tcPr>
          <w:p>
            <w:pPr>
              <w:jc w:val="center"/>
              <w:rPr>
                <w:szCs w:val="21"/>
                <w:highlight w:val="none"/>
              </w:rPr>
            </w:pPr>
            <w:r>
              <w:rPr>
                <w:kern w:val="0"/>
                <w:sz w:val="20"/>
                <w:szCs w:val="20"/>
                <w:highlight w:val="none"/>
              </w:rPr>
              <w:t>高新区旅游客运码头</w:t>
            </w:r>
          </w:p>
        </w:tc>
        <w:tc>
          <w:tcPr>
            <w:tcW w:w="1659" w:type="dxa"/>
            <w:shd w:val="clear" w:color="auto" w:fill="auto"/>
            <w:vAlign w:val="center"/>
          </w:tcPr>
          <w:p>
            <w:pPr>
              <w:jc w:val="center"/>
              <w:rPr>
                <w:szCs w:val="21"/>
                <w:highlight w:val="none"/>
              </w:rPr>
            </w:pPr>
            <w:r>
              <w:rPr>
                <w:szCs w:val="21"/>
                <w:highlight w:val="none"/>
              </w:rPr>
              <w:t>200</w:t>
            </w:r>
          </w:p>
        </w:tc>
        <w:tc>
          <w:tcPr>
            <w:tcW w:w="2100" w:type="dxa"/>
            <w:shd w:val="clear" w:color="auto" w:fill="auto"/>
            <w:vAlign w:val="center"/>
          </w:tcPr>
          <w:p>
            <w:pPr>
              <w:jc w:val="center"/>
              <w:rPr>
                <w:szCs w:val="21"/>
                <w:highlight w:val="none"/>
              </w:rPr>
            </w:pPr>
            <w:r>
              <w:rPr>
                <w:szCs w:val="21"/>
                <w:highlight w:val="none"/>
              </w:rPr>
              <w:t>160</w:t>
            </w:r>
          </w:p>
        </w:tc>
        <w:tc>
          <w:tcPr>
            <w:tcW w:w="1394" w:type="dxa"/>
            <w:vAlign w:val="center"/>
          </w:tcPr>
          <w:p>
            <w:pPr>
              <w:jc w:val="center"/>
              <w:rPr>
                <w:szCs w:val="21"/>
                <w:highlight w:val="none"/>
              </w:rPr>
            </w:pPr>
          </w:p>
        </w:tc>
      </w:tr>
      <w:tr>
        <w:tblPrEx>
          <w:tblCellMar>
            <w:top w:w="0" w:type="dxa"/>
            <w:left w:w="108" w:type="dxa"/>
            <w:bottom w:w="0" w:type="dxa"/>
            <w:right w:w="108" w:type="dxa"/>
          </w:tblCellMar>
        </w:tblPrEx>
        <w:tc>
          <w:tcPr>
            <w:tcW w:w="828" w:type="dxa"/>
            <w:vAlign w:val="center"/>
          </w:tcPr>
          <w:p>
            <w:pPr>
              <w:jc w:val="center"/>
              <w:rPr>
                <w:szCs w:val="21"/>
                <w:highlight w:val="none"/>
              </w:rPr>
            </w:pPr>
            <w:r>
              <w:rPr>
                <w:szCs w:val="21"/>
                <w:highlight w:val="none"/>
              </w:rPr>
              <w:t>二</w:t>
            </w:r>
          </w:p>
        </w:tc>
        <w:tc>
          <w:tcPr>
            <w:tcW w:w="2541" w:type="dxa"/>
            <w:vAlign w:val="center"/>
          </w:tcPr>
          <w:p>
            <w:pPr>
              <w:jc w:val="center"/>
              <w:rPr>
                <w:szCs w:val="21"/>
                <w:highlight w:val="none"/>
              </w:rPr>
            </w:pPr>
            <w:r>
              <w:rPr>
                <w:szCs w:val="21"/>
                <w:highlight w:val="none"/>
              </w:rPr>
              <w:t>五通桥港区</w:t>
            </w:r>
          </w:p>
        </w:tc>
        <w:tc>
          <w:tcPr>
            <w:tcW w:w="1659" w:type="dxa"/>
            <w:shd w:val="clear" w:color="auto" w:fill="auto"/>
            <w:vAlign w:val="center"/>
          </w:tcPr>
          <w:p>
            <w:pPr>
              <w:jc w:val="center"/>
              <w:rPr>
                <w:szCs w:val="21"/>
                <w:highlight w:val="none"/>
              </w:rPr>
            </w:pPr>
            <w:r>
              <w:rPr>
                <w:szCs w:val="21"/>
                <w:highlight w:val="none"/>
              </w:rPr>
              <w:t>　</w:t>
            </w:r>
          </w:p>
        </w:tc>
        <w:tc>
          <w:tcPr>
            <w:tcW w:w="2100" w:type="dxa"/>
            <w:shd w:val="clear" w:color="auto" w:fill="auto"/>
            <w:vAlign w:val="center"/>
          </w:tcPr>
          <w:p>
            <w:pPr>
              <w:jc w:val="center"/>
              <w:rPr>
                <w:szCs w:val="21"/>
                <w:highlight w:val="none"/>
              </w:rPr>
            </w:pPr>
            <w:r>
              <w:rPr>
                <w:szCs w:val="21"/>
                <w:highlight w:val="none"/>
              </w:rPr>
              <w:t>　</w:t>
            </w:r>
          </w:p>
        </w:tc>
        <w:tc>
          <w:tcPr>
            <w:tcW w:w="1394" w:type="dxa"/>
            <w:vAlign w:val="center"/>
          </w:tcPr>
          <w:p>
            <w:pPr>
              <w:jc w:val="center"/>
              <w:rPr>
                <w:szCs w:val="21"/>
                <w:highlight w:val="none"/>
              </w:rPr>
            </w:pPr>
            <w:r>
              <w:rPr>
                <w:szCs w:val="21"/>
                <w:highlight w:val="none"/>
              </w:rPr>
              <w:t>　</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jc w:val="center"/>
              <w:rPr>
                <w:szCs w:val="21"/>
                <w:highlight w:val="none"/>
              </w:rPr>
            </w:pPr>
            <w:r>
              <w:rPr>
                <w:szCs w:val="21"/>
                <w:highlight w:val="none"/>
              </w:rPr>
              <w:t>1</w:t>
            </w:r>
          </w:p>
        </w:tc>
        <w:tc>
          <w:tcPr>
            <w:tcW w:w="2541" w:type="dxa"/>
            <w:vAlign w:val="center"/>
          </w:tcPr>
          <w:p>
            <w:pPr>
              <w:jc w:val="center"/>
              <w:rPr>
                <w:szCs w:val="21"/>
                <w:highlight w:val="none"/>
              </w:rPr>
            </w:pPr>
            <w:r>
              <w:rPr>
                <w:szCs w:val="21"/>
                <w:highlight w:val="none"/>
              </w:rPr>
              <w:t>桥沟作业区</w:t>
            </w:r>
          </w:p>
        </w:tc>
        <w:tc>
          <w:tcPr>
            <w:tcW w:w="1659" w:type="dxa"/>
            <w:shd w:val="clear" w:color="auto" w:fill="auto"/>
            <w:vAlign w:val="center"/>
          </w:tcPr>
          <w:p>
            <w:pPr>
              <w:jc w:val="center"/>
              <w:rPr>
                <w:szCs w:val="21"/>
                <w:highlight w:val="none"/>
              </w:rPr>
            </w:pPr>
            <w:r>
              <w:rPr>
                <w:szCs w:val="21"/>
                <w:highlight w:val="none"/>
              </w:rPr>
              <w:t>1200</w:t>
            </w:r>
          </w:p>
        </w:tc>
        <w:tc>
          <w:tcPr>
            <w:tcW w:w="2100" w:type="dxa"/>
            <w:shd w:val="clear" w:color="auto" w:fill="auto"/>
            <w:vAlign w:val="center"/>
          </w:tcPr>
          <w:p>
            <w:pPr>
              <w:jc w:val="center"/>
              <w:rPr>
                <w:szCs w:val="21"/>
                <w:highlight w:val="none"/>
              </w:rPr>
            </w:pPr>
            <w:r>
              <w:rPr>
                <w:szCs w:val="21"/>
                <w:highlight w:val="none"/>
              </w:rPr>
              <w:t>1000</w:t>
            </w:r>
          </w:p>
        </w:tc>
        <w:tc>
          <w:tcPr>
            <w:tcW w:w="1394" w:type="dxa"/>
            <w:vAlign w:val="center"/>
          </w:tcPr>
          <w:p>
            <w:pPr>
              <w:jc w:val="center"/>
              <w:rPr>
                <w:szCs w:val="21"/>
                <w:highlight w:val="none"/>
              </w:rPr>
            </w:pPr>
            <w:r>
              <w:rPr>
                <w:szCs w:val="21"/>
                <w:highlight w:val="none"/>
              </w:rPr>
              <w:t>　</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jc w:val="center"/>
              <w:rPr>
                <w:szCs w:val="21"/>
                <w:highlight w:val="none"/>
              </w:rPr>
            </w:pPr>
            <w:r>
              <w:rPr>
                <w:szCs w:val="21"/>
                <w:highlight w:val="none"/>
              </w:rPr>
              <w:t>三</w:t>
            </w:r>
          </w:p>
        </w:tc>
        <w:tc>
          <w:tcPr>
            <w:tcW w:w="2541" w:type="dxa"/>
            <w:vAlign w:val="center"/>
          </w:tcPr>
          <w:p>
            <w:pPr>
              <w:jc w:val="center"/>
              <w:rPr>
                <w:szCs w:val="21"/>
                <w:highlight w:val="none"/>
              </w:rPr>
            </w:pPr>
            <w:r>
              <w:rPr>
                <w:szCs w:val="21"/>
                <w:highlight w:val="none"/>
              </w:rPr>
              <w:t>犍为港区</w:t>
            </w:r>
          </w:p>
        </w:tc>
        <w:tc>
          <w:tcPr>
            <w:tcW w:w="1659" w:type="dxa"/>
            <w:shd w:val="clear" w:color="auto" w:fill="auto"/>
            <w:vAlign w:val="center"/>
          </w:tcPr>
          <w:p>
            <w:pPr>
              <w:jc w:val="center"/>
              <w:rPr>
                <w:szCs w:val="21"/>
                <w:highlight w:val="none"/>
              </w:rPr>
            </w:pPr>
            <w:r>
              <w:rPr>
                <w:szCs w:val="21"/>
                <w:highlight w:val="none"/>
              </w:rPr>
              <w:t>　</w:t>
            </w:r>
          </w:p>
        </w:tc>
        <w:tc>
          <w:tcPr>
            <w:tcW w:w="2100" w:type="dxa"/>
            <w:shd w:val="clear" w:color="auto" w:fill="auto"/>
            <w:vAlign w:val="center"/>
          </w:tcPr>
          <w:p>
            <w:pPr>
              <w:jc w:val="center"/>
              <w:rPr>
                <w:szCs w:val="21"/>
                <w:highlight w:val="none"/>
              </w:rPr>
            </w:pPr>
            <w:r>
              <w:rPr>
                <w:szCs w:val="21"/>
                <w:highlight w:val="none"/>
              </w:rPr>
              <w:t>　</w:t>
            </w:r>
          </w:p>
        </w:tc>
        <w:tc>
          <w:tcPr>
            <w:tcW w:w="1394" w:type="dxa"/>
            <w:vAlign w:val="center"/>
          </w:tcPr>
          <w:p>
            <w:pPr>
              <w:jc w:val="center"/>
              <w:rPr>
                <w:szCs w:val="21"/>
                <w:highlight w:val="none"/>
              </w:rPr>
            </w:pPr>
            <w:r>
              <w:rPr>
                <w:szCs w:val="21"/>
                <w:highlight w:val="none"/>
              </w:rPr>
              <w:t>　</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jc w:val="center"/>
              <w:rPr>
                <w:szCs w:val="21"/>
                <w:highlight w:val="none"/>
              </w:rPr>
            </w:pPr>
            <w:r>
              <w:rPr>
                <w:szCs w:val="21"/>
                <w:highlight w:val="none"/>
              </w:rPr>
              <w:t>1</w:t>
            </w:r>
          </w:p>
        </w:tc>
        <w:tc>
          <w:tcPr>
            <w:tcW w:w="2541" w:type="dxa"/>
            <w:vAlign w:val="center"/>
          </w:tcPr>
          <w:p>
            <w:pPr>
              <w:jc w:val="center"/>
              <w:rPr>
                <w:szCs w:val="21"/>
                <w:highlight w:val="none"/>
              </w:rPr>
            </w:pPr>
            <w:r>
              <w:rPr>
                <w:szCs w:val="21"/>
                <w:highlight w:val="none"/>
              </w:rPr>
              <w:t>高石坝作业区</w:t>
            </w:r>
          </w:p>
        </w:tc>
        <w:tc>
          <w:tcPr>
            <w:tcW w:w="1659" w:type="dxa"/>
            <w:shd w:val="clear" w:color="auto" w:fill="auto"/>
            <w:vAlign w:val="center"/>
          </w:tcPr>
          <w:p>
            <w:pPr>
              <w:jc w:val="center"/>
              <w:rPr>
                <w:szCs w:val="21"/>
                <w:highlight w:val="none"/>
              </w:rPr>
            </w:pPr>
            <w:r>
              <w:rPr>
                <w:szCs w:val="21"/>
                <w:highlight w:val="none"/>
              </w:rPr>
              <w:t>7200</w:t>
            </w:r>
          </w:p>
        </w:tc>
        <w:tc>
          <w:tcPr>
            <w:tcW w:w="2100" w:type="dxa"/>
            <w:shd w:val="clear" w:color="auto" w:fill="auto"/>
            <w:vAlign w:val="center"/>
          </w:tcPr>
          <w:p>
            <w:pPr>
              <w:jc w:val="center"/>
              <w:rPr>
                <w:szCs w:val="21"/>
                <w:highlight w:val="none"/>
              </w:rPr>
            </w:pPr>
            <w:r>
              <w:rPr>
                <w:szCs w:val="21"/>
                <w:highlight w:val="none"/>
              </w:rPr>
              <w:t>6000</w:t>
            </w:r>
          </w:p>
        </w:tc>
        <w:tc>
          <w:tcPr>
            <w:tcW w:w="1394" w:type="dxa"/>
            <w:vAlign w:val="center"/>
          </w:tcPr>
          <w:p>
            <w:pPr>
              <w:jc w:val="center"/>
              <w:rPr>
                <w:szCs w:val="21"/>
                <w:highlight w:val="none"/>
              </w:rPr>
            </w:pPr>
            <w:r>
              <w:rPr>
                <w:szCs w:val="21"/>
                <w:highlight w:val="none"/>
              </w:rPr>
              <w:t>　</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jc w:val="center"/>
              <w:rPr>
                <w:szCs w:val="21"/>
                <w:highlight w:val="none"/>
              </w:rPr>
            </w:pPr>
            <w:r>
              <w:rPr>
                <w:szCs w:val="21"/>
                <w:highlight w:val="none"/>
              </w:rPr>
              <w:t>2</w:t>
            </w:r>
          </w:p>
        </w:tc>
        <w:tc>
          <w:tcPr>
            <w:tcW w:w="2541" w:type="dxa"/>
            <w:vAlign w:val="center"/>
          </w:tcPr>
          <w:p>
            <w:pPr>
              <w:jc w:val="center"/>
              <w:rPr>
                <w:szCs w:val="21"/>
                <w:highlight w:val="none"/>
              </w:rPr>
            </w:pPr>
            <w:r>
              <w:rPr>
                <w:szCs w:val="21"/>
                <w:highlight w:val="none"/>
              </w:rPr>
              <w:t>新民水上服务中心</w:t>
            </w:r>
          </w:p>
        </w:tc>
        <w:tc>
          <w:tcPr>
            <w:tcW w:w="1659" w:type="dxa"/>
            <w:shd w:val="clear" w:color="auto" w:fill="auto"/>
            <w:vAlign w:val="center"/>
          </w:tcPr>
          <w:p>
            <w:pPr>
              <w:jc w:val="center"/>
              <w:rPr>
                <w:szCs w:val="21"/>
                <w:highlight w:val="none"/>
              </w:rPr>
            </w:pPr>
            <w:r>
              <w:rPr>
                <w:szCs w:val="21"/>
                <w:highlight w:val="none"/>
              </w:rPr>
              <w:t>400</w:t>
            </w:r>
          </w:p>
        </w:tc>
        <w:tc>
          <w:tcPr>
            <w:tcW w:w="2100" w:type="dxa"/>
            <w:shd w:val="clear" w:color="auto" w:fill="auto"/>
            <w:vAlign w:val="center"/>
          </w:tcPr>
          <w:p>
            <w:pPr>
              <w:jc w:val="center"/>
              <w:rPr>
                <w:szCs w:val="21"/>
                <w:highlight w:val="none"/>
              </w:rPr>
            </w:pPr>
            <w:r>
              <w:rPr>
                <w:szCs w:val="21"/>
                <w:highlight w:val="none"/>
              </w:rPr>
              <w:t>350</w:t>
            </w:r>
          </w:p>
        </w:tc>
        <w:tc>
          <w:tcPr>
            <w:tcW w:w="1394" w:type="dxa"/>
            <w:vAlign w:val="center"/>
          </w:tcPr>
          <w:p>
            <w:pPr>
              <w:jc w:val="center"/>
              <w:rPr>
                <w:szCs w:val="21"/>
                <w:highlight w:val="none"/>
              </w:rPr>
            </w:pP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jc w:val="center"/>
              <w:rPr>
                <w:szCs w:val="21"/>
                <w:highlight w:val="none"/>
              </w:rPr>
            </w:pPr>
            <w:r>
              <w:rPr>
                <w:szCs w:val="21"/>
                <w:highlight w:val="none"/>
              </w:rPr>
              <w:t>四</w:t>
            </w:r>
          </w:p>
        </w:tc>
        <w:tc>
          <w:tcPr>
            <w:tcW w:w="2541" w:type="dxa"/>
            <w:vAlign w:val="center"/>
          </w:tcPr>
          <w:p>
            <w:pPr>
              <w:jc w:val="center"/>
              <w:rPr>
                <w:szCs w:val="21"/>
                <w:highlight w:val="none"/>
              </w:rPr>
            </w:pPr>
            <w:r>
              <w:rPr>
                <w:szCs w:val="21"/>
                <w:highlight w:val="none"/>
              </w:rPr>
              <w:t>沐川港区</w:t>
            </w:r>
          </w:p>
        </w:tc>
        <w:tc>
          <w:tcPr>
            <w:tcW w:w="1659" w:type="dxa"/>
            <w:shd w:val="clear" w:color="auto" w:fill="auto"/>
            <w:vAlign w:val="center"/>
          </w:tcPr>
          <w:p>
            <w:pPr>
              <w:jc w:val="center"/>
              <w:rPr>
                <w:szCs w:val="21"/>
                <w:highlight w:val="none"/>
              </w:rPr>
            </w:pPr>
            <w:r>
              <w:rPr>
                <w:szCs w:val="21"/>
                <w:highlight w:val="none"/>
              </w:rPr>
              <w:t>　</w:t>
            </w:r>
          </w:p>
        </w:tc>
        <w:tc>
          <w:tcPr>
            <w:tcW w:w="2100" w:type="dxa"/>
            <w:shd w:val="clear" w:color="auto" w:fill="auto"/>
            <w:vAlign w:val="center"/>
          </w:tcPr>
          <w:p>
            <w:pPr>
              <w:jc w:val="center"/>
              <w:rPr>
                <w:szCs w:val="21"/>
                <w:highlight w:val="none"/>
              </w:rPr>
            </w:pPr>
            <w:r>
              <w:rPr>
                <w:szCs w:val="21"/>
                <w:highlight w:val="none"/>
              </w:rPr>
              <w:t>　</w:t>
            </w:r>
          </w:p>
        </w:tc>
        <w:tc>
          <w:tcPr>
            <w:tcW w:w="1394" w:type="dxa"/>
            <w:vAlign w:val="center"/>
          </w:tcPr>
          <w:p>
            <w:pPr>
              <w:jc w:val="center"/>
              <w:rPr>
                <w:szCs w:val="21"/>
                <w:highlight w:val="none"/>
              </w:rPr>
            </w:pPr>
            <w:r>
              <w:rPr>
                <w:szCs w:val="21"/>
                <w:highlight w:val="none"/>
              </w:rPr>
              <w:t>　</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jc w:val="center"/>
              <w:rPr>
                <w:szCs w:val="21"/>
                <w:highlight w:val="none"/>
              </w:rPr>
            </w:pPr>
            <w:r>
              <w:rPr>
                <w:szCs w:val="21"/>
                <w:highlight w:val="none"/>
              </w:rPr>
              <w:t>1</w:t>
            </w:r>
          </w:p>
        </w:tc>
        <w:tc>
          <w:tcPr>
            <w:tcW w:w="2541" w:type="dxa"/>
            <w:vAlign w:val="center"/>
          </w:tcPr>
          <w:p>
            <w:pPr>
              <w:jc w:val="center"/>
              <w:rPr>
                <w:szCs w:val="21"/>
                <w:highlight w:val="none"/>
              </w:rPr>
            </w:pPr>
            <w:r>
              <w:rPr>
                <w:szCs w:val="21"/>
                <w:highlight w:val="none"/>
              </w:rPr>
              <w:t>罗家坝作业区</w:t>
            </w:r>
          </w:p>
        </w:tc>
        <w:tc>
          <w:tcPr>
            <w:tcW w:w="1659" w:type="dxa"/>
            <w:shd w:val="clear" w:color="auto" w:fill="auto"/>
            <w:vAlign w:val="center"/>
          </w:tcPr>
          <w:p>
            <w:pPr>
              <w:jc w:val="center"/>
              <w:rPr>
                <w:szCs w:val="21"/>
                <w:highlight w:val="none"/>
              </w:rPr>
            </w:pPr>
            <w:r>
              <w:rPr>
                <w:szCs w:val="21"/>
                <w:highlight w:val="none"/>
              </w:rPr>
              <w:t>1200</w:t>
            </w:r>
          </w:p>
        </w:tc>
        <w:tc>
          <w:tcPr>
            <w:tcW w:w="2100" w:type="dxa"/>
            <w:shd w:val="clear" w:color="auto" w:fill="auto"/>
            <w:vAlign w:val="center"/>
          </w:tcPr>
          <w:p>
            <w:pPr>
              <w:jc w:val="center"/>
              <w:rPr>
                <w:szCs w:val="21"/>
                <w:highlight w:val="none"/>
              </w:rPr>
            </w:pPr>
            <w:r>
              <w:rPr>
                <w:szCs w:val="21"/>
                <w:highlight w:val="none"/>
              </w:rPr>
              <w:t>1000</w:t>
            </w:r>
          </w:p>
        </w:tc>
        <w:tc>
          <w:tcPr>
            <w:tcW w:w="1394" w:type="dxa"/>
            <w:vAlign w:val="center"/>
          </w:tcPr>
          <w:p>
            <w:pPr>
              <w:jc w:val="center"/>
              <w:rPr>
                <w:szCs w:val="21"/>
                <w:highlight w:val="none"/>
              </w:rPr>
            </w:pPr>
            <w:r>
              <w:rPr>
                <w:szCs w:val="21"/>
                <w:highlight w:val="none"/>
              </w:rPr>
              <w:t>　</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jc w:val="center"/>
              <w:rPr>
                <w:szCs w:val="21"/>
                <w:highlight w:val="none"/>
              </w:rPr>
            </w:pPr>
            <w:r>
              <w:rPr>
                <w:rFonts w:hint="eastAsia"/>
                <w:szCs w:val="21"/>
                <w:highlight w:val="none"/>
              </w:rPr>
              <w:t>2</w:t>
            </w:r>
          </w:p>
        </w:tc>
        <w:tc>
          <w:tcPr>
            <w:tcW w:w="2541" w:type="dxa"/>
            <w:vAlign w:val="center"/>
          </w:tcPr>
          <w:p>
            <w:pPr>
              <w:jc w:val="center"/>
              <w:rPr>
                <w:szCs w:val="21"/>
                <w:highlight w:val="none"/>
              </w:rPr>
            </w:pPr>
            <w:r>
              <w:rPr>
                <w:rFonts w:hint="eastAsia"/>
                <w:kern w:val="0"/>
                <w:sz w:val="20"/>
                <w:szCs w:val="20"/>
                <w:highlight w:val="none"/>
              </w:rPr>
              <w:t>炭库古镇旅游客运码头</w:t>
            </w:r>
          </w:p>
        </w:tc>
        <w:tc>
          <w:tcPr>
            <w:tcW w:w="1659" w:type="dxa"/>
            <w:shd w:val="clear" w:color="auto" w:fill="auto"/>
            <w:vAlign w:val="center"/>
          </w:tcPr>
          <w:p>
            <w:pPr>
              <w:jc w:val="center"/>
              <w:rPr>
                <w:szCs w:val="21"/>
                <w:highlight w:val="none"/>
              </w:rPr>
            </w:pPr>
            <w:r>
              <w:rPr>
                <w:szCs w:val="21"/>
                <w:highlight w:val="none"/>
              </w:rPr>
              <w:t>120</w:t>
            </w:r>
          </w:p>
        </w:tc>
        <w:tc>
          <w:tcPr>
            <w:tcW w:w="2100" w:type="dxa"/>
            <w:shd w:val="clear" w:color="auto" w:fill="auto"/>
            <w:vAlign w:val="center"/>
          </w:tcPr>
          <w:p>
            <w:pPr>
              <w:jc w:val="center"/>
              <w:rPr>
                <w:szCs w:val="21"/>
                <w:highlight w:val="none"/>
              </w:rPr>
            </w:pPr>
            <w:r>
              <w:rPr>
                <w:szCs w:val="21"/>
                <w:highlight w:val="none"/>
              </w:rPr>
              <w:t>100</w:t>
            </w:r>
          </w:p>
        </w:tc>
        <w:tc>
          <w:tcPr>
            <w:tcW w:w="1394" w:type="dxa"/>
            <w:vAlign w:val="center"/>
          </w:tcPr>
          <w:p>
            <w:pPr>
              <w:jc w:val="center"/>
              <w:rPr>
                <w:szCs w:val="21"/>
                <w:highlight w:val="none"/>
              </w:rPr>
            </w:pP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jc w:val="center"/>
              <w:rPr>
                <w:szCs w:val="21"/>
                <w:highlight w:val="none"/>
              </w:rPr>
            </w:pPr>
            <w:r>
              <w:rPr>
                <w:szCs w:val="21"/>
                <w:highlight w:val="none"/>
              </w:rPr>
              <w:t>3</w:t>
            </w:r>
          </w:p>
        </w:tc>
        <w:tc>
          <w:tcPr>
            <w:tcW w:w="2541" w:type="dxa"/>
            <w:vAlign w:val="center"/>
          </w:tcPr>
          <w:p>
            <w:pPr>
              <w:jc w:val="center"/>
              <w:rPr>
                <w:szCs w:val="21"/>
                <w:highlight w:val="none"/>
              </w:rPr>
            </w:pPr>
            <w:r>
              <w:rPr>
                <w:szCs w:val="21"/>
                <w:highlight w:val="none"/>
              </w:rPr>
              <w:t>茨竹坪散货码头</w:t>
            </w:r>
          </w:p>
        </w:tc>
        <w:tc>
          <w:tcPr>
            <w:tcW w:w="1659" w:type="dxa"/>
            <w:shd w:val="clear" w:color="auto" w:fill="auto"/>
            <w:vAlign w:val="center"/>
          </w:tcPr>
          <w:p>
            <w:pPr>
              <w:jc w:val="center"/>
              <w:rPr>
                <w:szCs w:val="21"/>
                <w:highlight w:val="none"/>
              </w:rPr>
            </w:pPr>
            <w:r>
              <w:rPr>
                <w:szCs w:val="21"/>
                <w:highlight w:val="none"/>
              </w:rPr>
              <w:t>600</w:t>
            </w:r>
          </w:p>
        </w:tc>
        <w:tc>
          <w:tcPr>
            <w:tcW w:w="2100" w:type="dxa"/>
            <w:shd w:val="clear" w:color="auto" w:fill="auto"/>
            <w:vAlign w:val="center"/>
          </w:tcPr>
          <w:p>
            <w:pPr>
              <w:jc w:val="center"/>
              <w:rPr>
                <w:szCs w:val="21"/>
                <w:highlight w:val="none"/>
              </w:rPr>
            </w:pPr>
            <w:r>
              <w:rPr>
                <w:szCs w:val="21"/>
                <w:highlight w:val="none"/>
              </w:rPr>
              <w:t>500</w:t>
            </w:r>
          </w:p>
        </w:tc>
        <w:tc>
          <w:tcPr>
            <w:tcW w:w="1394" w:type="dxa"/>
            <w:vAlign w:val="center"/>
          </w:tcPr>
          <w:p>
            <w:pPr>
              <w:jc w:val="center"/>
              <w:rPr>
                <w:szCs w:val="21"/>
                <w:highlight w:val="none"/>
              </w:rPr>
            </w:pPr>
            <w:r>
              <w:rPr>
                <w:szCs w:val="21"/>
                <w:highlight w:val="none"/>
              </w:rPr>
              <w:t>　</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jc w:val="center"/>
              <w:rPr>
                <w:szCs w:val="21"/>
                <w:highlight w:val="none"/>
              </w:rPr>
            </w:pPr>
            <w:r>
              <w:rPr>
                <w:szCs w:val="21"/>
                <w:highlight w:val="none"/>
              </w:rPr>
              <w:t>五</w:t>
            </w:r>
          </w:p>
        </w:tc>
        <w:tc>
          <w:tcPr>
            <w:tcW w:w="2541" w:type="dxa"/>
            <w:vAlign w:val="center"/>
          </w:tcPr>
          <w:p>
            <w:pPr>
              <w:jc w:val="center"/>
              <w:rPr>
                <w:szCs w:val="21"/>
                <w:highlight w:val="none"/>
              </w:rPr>
            </w:pPr>
            <w:r>
              <w:rPr>
                <w:szCs w:val="21"/>
                <w:highlight w:val="none"/>
              </w:rPr>
              <w:t>沙湾港区</w:t>
            </w:r>
          </w:p>
        </w:tc>
        <w:tc>
          <w:tcPr>
            <w:tcW w:w="1659" w:type="dxa"/>
            <w:shd w:val="clear" w:color="auto" w:fill="auto"/>
            <w:vAlign w:val="center"/>
          </w:tcPr>
          <w:p>
            <w:pPr>
              <w:jc w:val="center"/>
              <w:rPr>
                <w:szCs w:val="21"/>
                <w:highlight w:val="none"/>
              </w:rPr>
            </w:pPr>
            <w:r>
              <w:rPr>
                <w:szCs w:val="21"/>
                <w:highlight w:val="none"/>
              </w:rPr>
              <w:t>　</w:t>
            </w:r>
          </w:p>
        </w:tc>
        <w:tc>
          <w:tcPr>
            <w:tcW w:w="2100" w:type="dxa"/>
            <w:shd w:val="clear" w:color="auto" w:fill="auto"/>
            <w:vAlign w:val="center"/>
          </w:tcPr>
          <w:p>
            <w:pPr>
              <w:jc w:val="center"/>
              <w:rPr>
                <w:szCs w:val="21"/>
                <w:highlight w:val="none"/>
              </w:rPr>
            </w:pPr>
            <w:r>
              <w:rPr>
                <w:szCs w:val="21"/>
                <w:highlight w:val="none"/>
              </w:rPr>
              <w:t>　</w:t>
            </w:r>
          </w:p>
        </w:tc>
        <w:tc>
          <w:tcPr>
            <w:tcW w:w="1394" w:type="dxa"/>
            <w:vAlign w:val="center"/>
          </w:tcPr>
          <w:p>
            <w:pPr>
              <w:jc w:val="center"/>
              <w:rPr>
                <w:szCs w:val="21"/>
                <w:highlight w:val="none"/>
              </w:rPr>
            </w:pPr>
            <w:r>
              <w:rPr>
                <w:szCs w:val="21"/>
                <w:highlight w:val="none"/>
              </w:rPr>
              <w:t>　</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jc w:val="center"/>
              <w:rPr>
                <w:szCs w:val="21"/>
                <w:highlight w:val="none"/>
              </w:rPr>
            </w:pPr>
            <w:r>
              <w:rPr>
                <w:szCs w:val="21"/>
                <w:highlight w:val="none"/>
              </w:rPr>
              <w:t>1</w:t>
            </w:r>
          </w:p>
        </w:tc>
        <w:tc>
          <w:tcPr>
            <w:tcW w:w="2541" w:type="dxa"/>
            <w:vAlign w:val="center"/>
          </w:tcPr>
          <w:p>
            <w:pPr>
              <w:jc w:val="center"/>
              <w:rPr>
                <w:szCs w:val="21"/>
                <w:highlight w:val="none"/>
              </w:rPr>
            </w:pPr>
            <w:r>
              <w:rPr>
                <w:rFonts w:hint="eastAsia"/>
                <w:szCs w:val="21"/>
                <w:highlight w:val="none"/>
              </w:rPr>
              <w:t>代湾码头</w:t>
            </w:r>
          </w:p>
        </w:tc>
        <w:tc>
          <w:tcPr>
            <w:tcW w:w="1659" w:type="dxa"/>
            <w:shd w:val="clear" w:color="auto" w:fill="auto"/>
            <w:vAlign w:val="center"/>
          </w:tcPr>
          <w:p>
            <w:pPr>
              <w:jc w:val="center"/>
              <w:rPr>
                <w:szCs w:val="21"/>
                <w:highlight w:val="none"/>
              </w:rPr>
            </w:pPr>
            <w:r>
              <w:rPr>
                <w:szCs w:val="21"/>
                <w:highlight w:val="none"/>
              </w:rPr>
              <w:t>800</w:t>
            </w:r>
          </w:p>
        </w:tc>
        <w:tc>
          <w:tcPr>
            <w:tcW w:w="2100" w:type="dxa"/>
            <w:shd w:val="clear" w:color="auto" w:fill="auto"/>
            <w:vAlign w:val="center"/>
          </w:tcPr>
          <w:p>
            <w:pPr>
              <w:jc w:val="center"/>
              <w:rPr>
                <w:szCs w:val="21"/>
                <w:highlight w:val="none"/>
              </w:rPr>
            </w:pPr>
            <w:r>
              <w:rPr>
                <w:szCs w:val="21"/>
                <w:highlight w:val="none"/>
              </w:rPr>
              <w:t>600</w:t>
            </w:r>
          </w:p>
        </w:tc>
        <w:tc>
          <w:tcPr>
            <w:tcW w:w="1394" w:type="dxa"/>
            <w:vAlign w:val="center"/>
          </w:tcPr>
          <w:p>
            <w:pPr>
              <w:jc w:val="center"/>
              <w:rPr>
                <w:szCs w:val="21"/>
                <w:highlight w:val="none"/>
              </w:rPr>
            </w:pPr>
            <w:r>
              <w:rPr>
                <w:szCs w:val="21"/>
                <w:highlight w:val="none"/>
              </w:rPr>
              <w:t>　</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jc w:val="center"/>
              <w:rPr>
                <w:szCs w:val="21"/>
                <w:highlight w:val="none"/>
              </w:rPr>
            </w:pPr>
            <w:r>
              <w:rPr>
                <w:rFonts w:hint="eastAsia"/>
                <w:szCs w:val="21"/>
                <w:highlight w:val="none"/>
              </w:rPr>
              <w:t>2</w:t>
            </w:r>
          </w:p>
        </w:tc>
        <w:tc>
          <w:tcPr>
            <w:tcW w:w="2541" w:type="dxa"/>
            <w:vAlign w:val="center"/>
          </w:tcPr>
          <w:p>
            <w:pPr>
              <w:jc w:val="center"/>
              <w:rPr>
                <w:szCs w:val="21"/>
                <w:highlight w:val="none"/>
              </w:rPr>
            </w:pPr>
            <w:r>
              <w:rPr>
                <w:szCs w:val="21"/>
                <w:highlight w:val="none"/>
              </w:rPr>
              <w:t>月亮湾客运码头</w:t>
            </w:r>
          </w:p>
        </w:tc>
        <w:tc>
          <w:tcPr>
            <w:tcW w:w="1659" w:type="dxa"/>
            <w:shd w:val="clear" w:color="auto" w:fill="auto"/>
            <w:vAlign w:val="center"/>
          </w:tcPr>
          <w:p>
            <w:pPr>
              <w:jc w:val="center"/>
              <w:rPr>
                <w:szCs w:val="21"/>
                <w:highlight w:val="none"/>
              </w:rPr>
            </w:pPr>
            <w:r>
              <w:rPr>
                <w:szCs w:val="21"/>
                <w:highlight w:val="none"/>
              </w:rPr>
              <w:t>300</w:t>
            </w:r>
          </w:p>
        </w:tc>
        <w:tc>
          <w:tcPr>
            <w:tcW w:w="2100" w:type="dxa"/>
            <w:shd w:val="clear" w:color="auto" w:fill="auto"/>
            <w:vAlign w:val="center"/>
          </w:tcPr>
          <w:p>
            <w:pPr>
              <w:jc w:val="center"/>
              <w:rPr>
                <w:szCs w:val="21"/>
                <w:highlight w:val="none"/>
              </w:rPr>
            </w:pPr>
            <w:r>
              <w:rPr>
                <w:szCs w:val="21"/>
                <w:highlight w:val="none"/>
              </w:rPr>
              <w:t>250</w:t>
            </w:r>
          </w:p>
        </w:tc>
        <w:tc>
          <w:tcPr>
            <w:tcW w:w="1394" w:type="dxa"/>
            <w:vAlign w:val="center"/>
          </w:tcPr>
          <w:p>
            <w:pPr>
              <w:jc w:val="center"/>
              <w:rPr>
                <w:szCs w:val="21"/>
                <w:highlight w:val="none"/>
              </w:rPr>
            </w:pP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jc w:val="center"/>
              <w:rPr>
                <w:szCs w:val="21"/>
                <w:highlight w:val="none"/>
              </w:rPr>
            </w:pPr>
            <w:r>
              <w:rPr>
                <w:szCs w:val="21"/>
                <w:highlight w:val="none"/>
              </w:rPr>
              <w:t>六</w:t>
            </w:r>
          </w:p>
        </w:tc>
        <w:tc>
          <w:tcPr>
            <w:tcW w:w="2541" w:type="dxa"/>
            <w:vAlign w:val="center"/>
          </w:tcPr>
          <w:p>
            <w:pPr>
              <w:jc w:val="center"/>
              <w:rPr>
                <w:szCs w:val="21"/>
                <w:highlight w:val="none"/>
              </w:rPr>
            </w:pPr>
            <w:r>
              <w:rPr>
                <w:szCs w:val="21"/>
                <w:highlight w:val="none"/>
              </w:rPr>
              <w:t>峨边港区</w:t>
            </w:r>
          </w:p>
        </w:tc>
        <w:tc>
          <w:tcPr>
            <w:tcW w:w="1659" w:type="dxa"/>
            <w:shd w:val="clear" w:color="auto" w:fill="auto"/>
            <w:vAlign w:val="center"/>
          </w:tcPr>
          <w:p>
            <w:pPr>
              <w:jc w:val="center"/>
              <w:rPr>
                <w:szCs w:val="21"/>
                <w:highlight w:val="none"/>
              </w:rPr>
            </w:pPr>
            <w:r>
              <w:rPr>
                <w:szCs w:val="21"/>
                <w:highlight w:val="none"/>
              </w:rPr>
              <w:t>　</w:t>
            </w:r>
          </w:p>
        </w:tc>
        <w:tc>
          <w:tcPr>
            <w:tcW w:w="2100" w:type="dxa"/>
            <w:shd w:val="clear" w:color="auto" w:fill="auto"/>
            <w:vAlign w:val="center"/>
          </w:tcPr>
          <w:p>
            <w:pPr>
              <w:jc w:val="center"/>
              <w:rPr>
                <w:szCs w:val="21"/>
                <w:highlight w:val="none"/>
              </w:rPr>
            </w:pPr>
            <w:r>
              <w:rPr>
                <w:szCs w:val="21"/>
                <w:highlight w:val="none"/>
              </w:rPr>
              <w:t>　</w:t>
            </w:r>
          </w:p>
        </w:tc>
        <w:tc>
          <w:tcPr>
            <w:tcW w:w="1394" w:type="dxa"/>
            <w:vAlign w:val="center"/>
          </w:tcPr>
          <w:p>
            <w:pPr>
              <w:jc w:val="center"/>
              <w:rPr>
                <w:szCs w:val="21"/>
                <w:highlight w:val="none"/>
              </w:rPr>
            </w:pPr>
            <w:r>
              <w:rPr>
                <w:szCs w:val="21"/>
                <w:highlight w:val="none"/>
              </w:rPr>
              <w:t>　</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jc w:val="center"/>
              <w:rPr>
                <w:szCs w:val="21"/>
                <w:highlight w:val="none"/>
              </w:rPr>
            </w:pPr>
            <w:r>
              <w:rPr>
                <w:szCs w:val="21"/>
                <w:highlight w:val="none"/>
              </w:rPr>
              <w:t>1</w:t>
            </w:r>
          </w:p>
        </w:tc>
        <w:tc>
          <w:tcPr>
            <w:tcW w:w="2541" w:type="dxa"/>
            <w:vAlign w:val="center"/>
          </w:tcPr>
          <w:p>
            <w:pPr>
              <w:jc w:val="center"/>
              <w:rPr>
                <w:szCs w:val="21"/>
                <w:highlight w:val="none"/>
              </w:rPr>
            </w:pPr>
            <w:r>
              <w:rPr>
                <w:szCs w:val="21"/>
                <w:highlight w:val="none"/>
              </w:rPr>
              <w:t>龚嘴旅游客运作业区</w:t>
            </w:r>
          </w:p>
        </w:tc>
        <w:tc>
          <w:tcPr>
            <w:tcW w:w="1659" w:type="dxa"/>
            <w:shd w:val="clear" w:color="auto" w:fill="auto"/>
            <w:vAlign w:val="center"/>
          </w:tcPr>
          <w:p>
            <w:pPr>
              <w:jc w:val="center"/>
              <w:rPr>
                <w:szCs w:val="21"/>
                <w:highlight w:val="none"/>
              </w:rPr>
            </w:pPr>
            <w:r>
              <w:rPr>
                <w:szCs w:val="21"/>
                <w:highlight w:val="none"/>
              </w:rPr>
              <w:t>300</w:t>
            </w:r>
          </w:p>
        </w:tc>
        <w:tc>
          <w:tcPr>
            <w:tcW w:w="2100" w:type="dxa"/>
            <w:shd w:val="clear" w:color="auto" w:fill="auto"/>
            <w:vAlign w:val="center"/>
          </w:tcPr>
          <w:p>
            <w:pPr>
              <w:jc w:val="center"/>
              <w:rPr>
                <w:szCs w:val="21"/>
                <w:highlight w:val="none"/>
              </w:rPr>
            </w:pPr>
            <w:r>
              <w:rPr>
                <w:szCs w:val="21"/>
                <w:highlight w:val="none"/>
              </w:rPr>
              <w:t>250</w:t>
            </w:r>
          </w:p>
        </w:tc>
        <w:tc>
          <w:tcPr>
            <w:tcW w:w="1394" w:type="dxa"/>
            <w:vAlign w:val="center"/>
          </w:tcPr>
          <w:p>
            <w:pPr>
              <w:jc w:val="center"/>
              <w:rPr>
                <w:szCs w:val="21"/>
                <w:highlight w:val="none"/>
              </w:rPr>
            </w:pPr>
            <w:r>
              <w:rPr>
                <w:szCs w:val="21"/>
                <w:highlight w:val="none"/>
              </w:rPr>
              <w:t>　</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jc w:val="center"/>
              <w:rPr>
                <w:szCs w:val="21"/>
                <w:highlight w:val="none"/>
              </w:rPr>
            </w:pPr>
            <w:r>
              <w:rPr>
                <w:szCs w:val="21"/>
                <w:highlight w:val="none"/>
              </w:rPr>
              <w:t>2</w:t>
            </w:r>
          </w:p>
        </w:tc>
        <w:tc>
          <w:tcPr>
            <w:tcW w:w="2541" w:type="dxa"/>
            <w:vAlign w:val="center"/>
          </w:tcPr>
          <w:p>
            <w:pPr>
              <w:jc w:val="center"/>
              <w:rPr>
                <w:szCs w:val="21"/>
                <w:highlight w:val="none"/>
              </w:rPr>
            </w:pPr>
            <w:r>
              <w:rPr>
                <w:szCs w:val="21"/>
                <w:highlight w:val="none"/>
              </w:rPr>
              <w:t>龙眼坝码头</w:t>
            </w:r>
          </w:p>
        </w:tc>
        <w:tc>
          <w:tcPr>
            <w:tcW w:w="1659" w:type="dxa"/>
            <w:shd w:val="clear" w:color="auto" w:fill="auto"/>
            <w:vAlign w:val="center"/>
          </w:tcPr>
          <w:p>
            <w:pPr>
              <w:jc w:val="center"/>
              <w:rPr>
                <w:szCs w:val="21"/>
                <w:highlight w:val="none"/>
              </w:rPr>
            </w:pPr>
            <w:r>
              <w:rPr>
                <w:szCs w:val="21"/>
                <w:highlight w:val="none"/>
              </w:rPr>
              <w:t>600</w:t>
            </w:r>
          </w:p>
        </w:tc>
        <w:tc>
          <w:tcPr>
            <w:tcW w:w="2100" w:type="dxa"/>
            <w:shd w:val="clear" w:color="auto" w:fill="auto"/>
            <w:vAlign w:val="center"/>
          </w:tcPr>
          <w:p>
            <w:pPr>
              <w:jc w:val="center"/>
              <w:rPr>
                <w:szCs w:val="21"/>
                <w:highlight w:val="none"/>
              </w:rPr>
            </w:pPr>
            <w:r>
              <w:rPr>
                <w:szCs w:val="21"/>
                <w:highlight w:val="none"/>
              </w:rPr>
              <w:t>500</w:t>
            </w:r>
          </w:p>
        </w:tc>
        <w:tc>
          <w:tcPr>
            <w:tcW w:w="1394" w:type="dxa"/>
            <w:vAlign w:val="center"/>
          </w:tcPr>
          <w:p>
            <w:pPr>
              <w:jc w:val="center"/>
              <w:rPr>
                <w:szCs w:val="21"/>
                <w:highlight w:val="none"/>
              </w:rPr>
            </w:pPr>
            <w:r>
              <w:rPr>
                <w:szCs w:val="21"/>
                <w:highlight w:val="none"/>
              </w:rPr>
              <w:t>　</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jc w:val="center"/>
              <w:rPr>
                <w:szCs w:val="21"/>
                <w:highlight w:val="none"/>
              </w:rPr>
            </w:pPr>
            <w:r>
              <w:rPr>
                <w:szCs w:val="21"/>
                <w:highlight w:val="none"/>
              </w:rPr>
              <w:t>3</w:t>
            </w:r>
          </w:p>
        </w:tc>
        <w:tc>
          <w:tcPr>
            <w:tcW w:w="2541" w:type="dxa"/>
            <w:vAlign w:val="center"/>
          </w:tcPr>
          <w:p>
            <w:pPr>
              <w:jc w:val="center"/>
              <w:rPr>
                <w:szCs w:val="21"/>
                <w:highlight w:val="none"/>
              </w:rPr>
            </w:pPr>
            <w:r>
              <w:rPr>
                <w:szCs w:val="21"/>
                <w:highlight w:val="none"/>
              </w:rPr>
              <w:t>白果散货码头</w:t>
            </w:r>
          </w:p>
        </w:tc>
        <w:tc>
          <w:tcPr>
            <w:tcW w:w="1659" w:type="dxa"/>
            <w:shd w:val="clear" w:color="auto" w:fill="auto"/>
            <w:vAlign w:val="center"/>
          </w:tcPr>
          <w:p>
            <w:pPr>
              <w:jc w:val="center"/>
              <w:rPr>
                <w:szCs w:val="21"/>
                <w:highlight w:val="none"/>
              </w:rPr>
            </w:pPr>
            <w:r>
              <w:rPr>
                <w:szCs w:val="21"/>
                <w:highlight w:val="none"/>
              </w:rPr>
              <w:t>600</w:t>
            </w:r>
          </w:p>
        </w:tc>
        <w:tc>
          <w:tcPr>
            <w:tcW w:w="2100" w:type="dxa"/>
            <w:shd w:val="clear" w:color="auto" w:fill="auto"/>
            <w:vAlign w:val="center"/>
          </w:tcPr>
          <w:p>
            <w:pPr>
              <w:jc w:val="center"/>
              <w:rPr>
                <w:szCs w:val="21"/>
                <w:highlight w:val="none"/>
              </w:rPr>
            </w:pPr>
            <w:r>
              <w:rPr>
                <w:szCs w:val="21"/>
                <w:highlight w:val="none"/>
              </w:rPr>
              <w:t>500</w:t>
            </w:r>
          </w:p>
        </w:tc>
        <w:tc>
          <w:tcPr>
            <w:tcW w:w="1394" w:type="dxa"/>
            <w:vAlign w:val="center"/>
          </w:tcPr>
          <w:p>
            <w:pPr>
              <w:jc w:val="center"/>
              <w:rPr>
                <w:szCs w:val="21"/>
                <w:highlight w:val="none"/>
              </w:rPr>
            </w:pP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jc w:val="center"/>
              <w:rPr>
                <w:szCs w:val="21"/>
                <w:highlight w:val="none"/>
              </w:rPr>
            </w:pPr>
            <w:r>
              <w:rPr>
                <w:szCs w:val="21"/>
                <w:highlight w:val="none"/>
              </w:rPr>
              <w:t>4</w:t>
            </w:r>
          </w:p>
        </w:tc>
        <w:tc>
          <w:tcPr>
            <w:tcW w:w="2541" w:type="dxa"/>
            <w:vAlign w:val="center"/>
          </w:tcPr>
          <w:p>
            <w:pPr>
              <w:jc w:val="center"/>
              <w:rPr>
                <w:szCs w:val="21"/>
                <w:highlight w:val="none"/>
              </w:rPr>
            </w:pPr>
            <w:r>
              <w:rPr>
                <w:szCs w:val="21"/>
                <w:highlight w:val="none"/>
              </w:rPr>
              <w:t>五渡客运码头</w:t>
            </w:r>
          </w:p>
        </w:tc>
        <w:tc>
          <w:tcPr>
            <w:tcW w:w="1659" w:type="dxa"/>
            <w:shd w:val="clear" w:color="auto" w:fill="auto"/>
            <w:vAlign w:val="center"/>
          </w:tcPr>
          <w:p>
            <w:pPr>
              <w:jc w:val="center"/>
              <w:rPr>
                <w:szCs w:val="21"/>
                <w:highlight w:val="none"/>
              </w:rPr>
            </w:pPr>
            <w:r>
              <w:rPr>
                <w:szCs w:val="21"/>
                <w:highlight w:val="none"/>
              </w:rPr>
              <w:t>300</w:t>
            </w:r>
          </w:p>
        </w:tc>
        <w:tc>
          <w:tcPr>
            <w:tcW w:w="2100" w:type="dxa"/>
            <w:shd w:val="clear" w:color="auto" w:fill="auto"/>
            <w:vAlign w:val="center"/>
          </w:tcPr>
          <w:p>
            <w:pPr>
              <w:jc w:val="center"/>
              <w:rPr>
                <w:szCs w:val="21"/>
                <w:highlight w:val="none"/>
              </w:rPr>
            </w:pPr>
            <w:r>
              <w:rPr>
                <w:szCs w:val="21"/>
                <w:highlight w:val="none"/>
              </w:rPr>
              <w:t>250</w:t>
            </w:r>
          </w:p>
        </w:tc>
        <w:tc>
          <w:tcPr>
            <w:tcW w:w="1394" w:type="dxa"/>
            <w:vAlign w:val="center"/>
          </w:tcPr>
          <w:p>
            <w:pPr>
              <w:jc w:val="center"/>
              <w:rPr>
                <w:szCs w:val="21"/>
                <w:highlight w:val="none"/>
              </w:rPr>
            </w:pPr>
            <w:r>
              <w:rPr>
                <w:szCs w:val="21"/>
                <w:highlight w:val="none"/>
              </w:rPr>
              <w:t>　</w:t>
            </w:r>
          </w:p>
        </w:tc>
      </w:tr>
      <w:tr>
        <w:tblPrEx>
          <w:tblCellMar>
            <w:top w:w="0" w:type="dxa"/>
            <w:left w:w="108" w:type="dxa"/>
            <w:bottom w:w="0" w:type="dxa"/>
            <w:right w:w="108" w:type="dxa"/>
          </w:tblCellMar>
        </w:tblPrEx>
        <w:tc>
          <w:tcPr>
            <w:tcW w:w="828" w:type="dxa"/>
            <w:vAlign w:val="center"/>
          </w:tcPr>
          <w:p>
            <w:pPr>
              <w:jc w:val="center"/>
              <w:rPr>
                <w:szCs w:val="21"/>
                <w:highlight w:val="none"/>
              </w:rPr>
            </w:pPr>
            <w:r>
              <w:rPr>
                <w:szCs w:val="21"/>
                <w:highlight w:val="none"/>
              </w:rPr>
              <w:t>5</w:t>
            </w:r>
          </w:p>
        </w:tc>
        <w:tc>
          <w:tcPr>
            <w:tcW w:w="2541" w:type="dxa"/>
            <w:vAlign w:val="center"/>
          </w:tcPr>
          <w:p>
            <w:pPr>
              <w:jc w:val="center"/>
              <w:rPr>
                <w:szCs w:val="21"/>
                <w:highlight w:val="none"/>
              </w:rPr>
            </w:pPr>
            <w:r>
              <w:rPr>
                <w:rFonts w:hint="eastAsia"/>
                <w:szCs w:val="21"/>
                <w:highlight w:val="none"/>
              </w:rPr>
              <w:t>五渡货运码头</w:t>
            </w:r>
          </w:p>
        </w:tc>
        <w:tc>
          <w:tcPr>
            <w:tcW w:w="1659" w:type="dxa"/>
            <w:shd w:val="clear" w:color="auto" w:fill="auto"/>
            <w:vAlign w:val="center"/>
          </w:tcPr>
          <w:p>
            <w:pPr>
              <w:jc w:val="center"/>
              <w:rPr>
                <w:szCs w:val="21"/>
                <w:highlight w:val="none"/>
              </w:rPr>
            </w:pPr>
            <w:r>
              <w:rPr>
                <w:szCs w:val="21"/>
                <w:highlight w:val="none"/>
              </w:rPr>
              <w:t>800</w:t>
            </w:r>
          </w:p>
        </w:tc>
        <w:tc>
          <w:tcPr>
            <w:tcW w:w="2100" w:type="dxa"/>
            <w:shd w:val="clear" w:color="auto" w:fill="auto"/>
            <w:vAlign w:val="center"/>
          </w:tcPr>
          <w:p>
            <w:pPr>
              <w:jc w:val="center"/>
              <w:rPr>
                <w:szCs w:val="21"/>
                <w:highlight w:val="none"/>
              </w:rPr>
            </w:pPr>
            <w:r>
              <w:rPr>
                <w:szCs w:val="21"/>
                <w:highlight w:val="none"/>
              </w:rPr>
              <w:t>600</w:t>
            </w:r>
          </w:p>
        </w:tc>
        <w:tc>
          <w:tcPr>
            <w:tcW w:w="1394" w:type="dxa"/>
            <w:vAlign w:val="center"/>
          </w:tcPr>
          <w:p>
            <w:pPr>
              <w:jc w:val="center"/>
              <w:rPr>
                <w:szCs w:val="21"/>
                <w:highlight w:val="none"/>
              </w:rPr>
            </w:pPr>
            <w:r>
              <w:rPr>
                <w:szCs w:val="21"/>
                <w:highlight w:val="none"/>
              </w:rPr>
              <w:t>　</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jc w:val="center"/>
              <w:rPr>
                <w:szCs w:val="21"/>
                <w:highlight w:val="none"/>
              </w:rPr>
            </w:pPr>
            <w:r>
              <w:rPr>
                <w:szCs w:val="21"/>
                <w:highlight w:val="none"/>
              </w:rPr>
              <w:t>七</w:t>
            </w:r>
          </w:p>
        </w:tc>
        <w:tc>
          <w:tcPr>
            <w:tcW w:w="2541" w:type="dxa"/>
            <w:vAlign w:val="center"/>
          </w:tcPr>
          <w:p>
            <w:pPr>
              <w:jc w:val="center"/>
              <w:rPr>
                <w:szCs w:val="21"/>
                <w:highlight w:val="none"/>
              </w:rPr>
            </w:pPr>
            <w:r>
              <w:rPr>
                <w:szCs w:val="21"/>
                <w:highlight w:val="none"/>
              </w:rPr>
              <w:t>金口河港区</w:t>
            </w:r>
          </w:p>
        </w:tc>
        <w:tc>
          <w:tcPr>
            <w:tcW w:w="1659" w:type="dxa"/>
            <w:shd w:val="clear" w:color="auto" w:fill="auto"/>
            <w:vAlign w:val="center"/>
          </w:tcPr>
          <w:p>
            <w:pPr>
              <w:jc w:val="center"/>
              <w:rPr>
                <w:szCs w:val="21"/>
                <w:highlight w:val="none"/>
              </w:rPr>
            </w:pPr>
            <w:r>
              <w:rPr>
                <w:szCs w:val="21"/>
                <w:highlight w:val="none"/>
              </w:rPr>
              <w:t>　</w:t>
            </w:r>
          </w:p>
        </w:tc>
        <w:tc>
          <w:tcPr>
            <w:tcW w:w="2100" w:type="dxa"/>
            <w:shd w:val="clear" w:color="auto" w:fill="auto"/>
            <w:vAlign w:val="center"/>
          </w:tcPr>
          <w:p>
            <w:pPr>
              <w:jc w:val="center"/>
              <w:rPr>
                <w:szCs w:val="21"/>
                <w:highlight w:val="none"/>
              </w:rPr>
            </w:pPr>
            <w:r>
              <w:rPr>
                <w:szCs w:val="21"/>
                <w:highlight w:val="none"/>
              </w:rPr>
              <w:t>　</w:t>
            </w:r>
          </w:p>
        </w:tc>
        <w:tc>
          <w:tcPr>
            <w:tcW w:w="1394" w:type="dxa"/>
            <w:vAlign w:val="center"/>
          </w:tcPr>
          <w:p>
            <w:pPr>
              <w:jc w:val="center"/>
              <w:rPr>
                <w:szCs w:val="21"/>
                <w:highlight w:val="none"/>
              </w:rPr>
            </w:pPr>
            <w:r>
              <w:rPr>
                <w:szCs w:val="21"/>
                <w:highlight w:val="none"/>
              </w:rPr>
              <w:t>　</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jc w:val="center"/>
              <w:rPr>
                <w:szCs w:val="21"/>
                <w:highlight w:val="none"/>
              </w:rPr>
            </w:pPr>
            <w:r>
              <w:rPr>
                <w:szCs w:val="21"/>
                <w:highlight w:val="none"/>
              </w:rPr>
              <w:t>1</w:t>
            </w:r>
          </w:p>
        </w:tc>
        <w:tc>
          <w:tcPr>
            <w:tcW w:w="2541" w:type="dxa"/>
            <w:vAlign w:val="center"/>
          </w:tcPr>
          <w:p>
            <w:pPr>
              <w:jc w:val="center"/>
              <w:rPr>
                <w:szCs w:val="21"/>
                <w:highlight w:val="none"/>
              </w:rPr>
            </w:pPr>
            <w:r>
              <w:rPr>
                <w:szCs w:val="21"/>
                <w:highlight w:val="none"/>
              </w:rPr>
              <w:t>大峡谷旅游客运码头</w:t>
            </w:r>
          </w:p>
        </w:tc>
        <w:tc>
          <w:tcPr>
            <w:tcW w:w="1659" w:type="dxa"/>
            <w:shd w:val="clear" w:color="auto" w:fill="auto"/>
            <w:vAlign w:val="center"/>
          </w:tcPr>
          <w:p>
            <w:pPr>
              <w:jc w:val="center"/>
              <w:rPr>
                <w:szCs w:val="21"/>
                <w:highlight w:val="none"/>
              </w:rPr>
            </w:pPr>
            <w:r>
              <w:rPr>
                <w:szCs w:val="21"/>
                <w:highlight w:val="none"/>
              </w:rPr>
              <w:t>300</w:t>
            </w:r>
          </w:p>
        </w:tc>
        <w:tc>
          <w:tcPr>
            <w:tcW w:w="2100" w:type="dxa"/>
            <w:shd w:val="clear" w:color="auto" w:fill="auto"/>
            <w:vAlign w:val="center"/>
          </w:tcPr>
          <w:p>
            <w:pPr>
              <w:jc w:val="center"/>
              <w:rPr>
                <w:szCs w:val="21"/>
                <w:highlight w:val="none"/>
              </w:rPr>
            </w:pPr>
            <w:r>
              <w:rPr>
                <w:szCs w:val="21"/>
                <w:highlight w:val="none"/>
              </w:rPr>
              <w:t>250</w:t>
            </w:r>
          </w:p>
        </w:tc>
        <w:tc>
          <w:tcPr>
            <w:tcW w:w="1394" w:type="dxa"/>
            <w:vAlign w:val="center"/>
          </w:tcPr>
          <w:p>
            <w:pPr>
              <w:jc w:val="center"/>
              <w:rPr>
                <w:szCs w:val="21"/>
                <w:highlight w:val="none"/>
              </w:rPr>
            </w:pPr>
            <w:r>
              <w:rPr>
                <w:szCs w:val="21"/>
                <w:highlight w:val="none"/>
              </w:rPr>
              <w:t>　</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jc w:val="center"/>
              <w:rPr>
                <w:szCs w:val="21"/>
                <w:highlight w:val="none"/>
              </w:rPr>
            </w:pPr>
            <w:r>
              <w:rPr>
                <w:szCs w:val="21"/>
                <w:highlight w:val="none"/>
              </w:rPr>
              <w:t>八</w:t>
            </w:r>
          </w:p>
        </w:tc>
        <w:tc>
          <w:tcPr>
            <w:tcW w:w="2541" w:type="dxa"/>
            <w:vAlign w:val="center"/>
          </w:tcPr>
          <w:p>
            <w:pPr>
              <w:jc w:val="center"/>
              <w:rPr>
                <w:szCs w:val="21"/>
                <w:highlight w:val="none"/>
              </w:rPr>
            </w:pPr>
            <w:r>
              <w:rPr>
                <w:szCs w:val="21"/>
                <w:highlight w:val="none"/>
              </w:rPr>
              <w:t>夹江港区</w:t>
            </w:r>
          </w:p>
        </w:tc>
        <w:tc>
          <w:tcPr>
            <w:tcW w:w="1659" w:type="dxa"/>
            <w:shd w:val="clear" w:color="auto" w:fill="auto"/>
            <w:vAlign w:val="center"/>
          </w:tcPr>
          <w:p>
            <w:pPr>
              <w:jc w:val="center"/>
              <w:rPr>
                <w:szCs w:val="21"/>
                <w:highlight w:val="none"/>
              </w:rPr>
            </w:pPr>
            <w:r>
              <w:rPr>
                <w:szCs w:val="21"/>
                <w:highlight w:val="none"/>
              </w:rPr>
              <w:t>　</w:t>
            </w:r>
          </w:p>
        </w:tc>
        <w:tc>
          <w:tcPr>
            <w:tcW w:w="2100" w:type="dxa"/>
            <w:shd w:val="clear" w:color="auto" w:fill="auto"/>
            <w:vAlign w:val="center"/>
          </w:tcPr>
          <w:p>
            <w:pPr>
              <w:jc w:val="center"/>
              <w:rPr>
                <w:szCs w:val="21"/>
                <w:highlight w:val="none"/>
              </w:rPr>
            </w:pPr>
            <w:r>
              <w:rPr>
                <w:szCs w:val="21"/>
                <w:highlight w:val="none"/>
              </w:rPr>
              <w:t>　</w:t>
            </w:r>
          </w:p>
        </w:tc>
        <w:tc>
          <w:tcPr>
            <w:tcW w:w="1394" w:type="dxa"/>
            <w:vAlign w:val="center"/>
          </w:tcPr>
          <w:p>
            <w:pPr>
              <w:jc w:val="center"/>
              <w:rPr>
                <w:szCs w:val="21"/>
                <w:highlight w:val="none"/>
              </w:rPr>
            </w:pPr>
            <w:r>
              <w:rPr>
                <w:szCs w:val="21"/>
                <w:highlight w:val="none"/>
              </w:rPr>
              <w:t>　</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jc w:val="center"/>
              <w:rPr>
                <w:szCs w:val="21"/>
                <w:highlight w:val="none"/>
              </w:rPr>
            </w:pPr>
            <w:r>
              <w:rPr>
                <w:szCs w:val="21"/>
                <w:highlight w:val="none"/>
              </w:rPr>
              <w:t>1</w:t>
            </w:r>
          </w:p>
        </w:tc>
        <w:tc>
          <w:tcPr>
            <w:tcW w:w="2541" w:type="dxa"/>
            <w:vAlign w:val="center"/>
          </w:tcPr>
          <w:p>
            <w:pPr>
              <w:jc w:val="center"/>
              <w:rPr>
                <w:szCs w:val="21"/>
                <w:highlight w:val="none"/>
              </w:rPr>
            </w:pPr>
            <w:r>
              <w:rPr>
                <w:szCs w:val="21"/>
                <w:highlight w:val="none"/>
              </w:rPr>
              <w:t>柏杨湾旅游客运作业区</w:t>
            </w:r>
          </w:p>
        </w:tc>
        <w:tc>
          <w:tcPr>
            <w:tcW w:w="1659" w:type="dxa"/>
            <w:shd w:val="clear" w:color="auto" w:fill="auto"/>
            <w:vAlign w:val="center"/>
          </w:tcPr>
          <w:p>
            <w:pPr>
              <w:jc w:val="center"/>
              <w:rPr>
                <w:szCs w:val="21"/>
                <w:highlight w:val="none"/>
              </w:rPr>
            </w:pPr>
            <w:r>
              <w:rPr>
                <w:szCs w:val="21"/>
                <w:highlight w:val="none"/>
              </w:rPr>
              <w:t>300</w:t>
            </w:r>
          </w:p>
        </w:tc>
        <w:tc>
          <w:tcPr>
            <w:tcW w:w="2100" w:type="dxa"/>
            <w:shd w:val="clear" w:color="auto" w:fill="auto"/>
            <w:vAlign w:val="center"/>
          </w:tcPr>
          <w:p>
            <w:pPr>
              <w:jc w:val="center"/>
              <w:rPr>
                <w:szCs w:val="21"/>
                <w:highlight w:val="none"/>
              </w:rPr>
            </w:pPr>
            <w:r>
              <w:rPr>
                <w:szCs w:val="21"/>
                <w:highlight w:val="none"/>
              </w:rPr>
              <w:t>250</w:t>
            </w:r>
          </w:p>
        </w:tc>
        <w:tc>
          <w:tcPr>
            <w:tcW w:w="1394" w:type="dxa"/>
            <w:vAlign w:val="center"/>
          </w:tcPr>
          <w:p>
            <w:pPr>
              <w:jc w:val="center"/>
              <w:rPr>
                <w:szCs w:val="21"/>
                <w:highlight w:val="none"/>
              </w:rPr>
            </w:pPr>
            <w:r>
              <w:rPr>
                <w:szCs w:val="21"/>
                <w:highlight w:val="none"/>
              </w:rPr>
              <w:t>　</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jc w:val="center"/>
              <w:rPr>
                <w:szCs w:val="21"/>
                <w:highlight w:val="none"/>
              </w:rPr>
            </w:pPr>
            <w:r>
              <w:rPr>
                <w:szCs w:val="21"/>
                <w:highlight w:val="none"/>
              </w:rPr>
              <w:t>2</w:t>
            </w:r>
          </w:p>
        </w:tc>
        <w:tc>
          <w:tcPr>
            <w:tcW w:w="2541" w:type="dxa"/>
            <w:vAlign w:val="center"/>
          </w:tcPr>
          <w:p>
            <w:pPr>
              <w:jc w:val="center"/>
              <w:rPr>
                <w:szCs w:val="21"/>
                <w:highlight w:val="none"/>
              </w:rPr>
            </w:pPr>
            <w:r>
              <w:rPr>
                <w:szCs w:val="21"/>
                <w:highlight w:val="none"/>
              </w:rPr>
              <w:t>佩玉泉旅游客运码头</w:t>
            </w:r>
          </w:p>
        </w:tc>
        <w:tc>
          <w:tcPr>
            <w:tcW w:w="1659" w:type="dxa"/>
            <w:shd w:val="clear" w:color="auto" w:fill="auto"/>
            <w:vAlign w:val="center"/>
          </w:tcPr>
          <w:p>
            <w:pPr>
              <w:jc w:val="center"/>
              <w:rPr>
                <w:szCs w:val="21"/>
                <w:highlight w:val="none"/>
              </w:rPr>
            </w:pPr>
            <w:r>
              <w:rPr>
                <w:szCs w:val="21"/>
                <w:highlight w:val="none"/>
              </w:rPr>
              <w:t>200</w:t>
            </w:r>
          </w:p>
        </w:tc>
        <w:tc>
          <w:tcPr>
            <w:tcW w:w="2100" w:type="dxa"/>
            <w:shd w:val="clear" w:color="auto" w:fill="auto"/>
            <w:vAlign w:val="center"/>
          </w:tcPr>
          <w:p>
            <w:pPr>
              <w:jc w:val="center"/>
              <w:rPr>
                <w:szCs w:val="21"/>
                <w:highlight w:val="none"/>
              </w:rPr>
            </w:pPr>
            <w:r>
              <w:rPr>
                <w:szCs w:val="21"/>
                <w:highlight w:val="none"/>
              </w:rPr>
              <w:t>150</w:t>
            </w:r>
          </w:p>
        </w:tc>
        <w:tc>
          <w:tcPr>
            <w:tcW w:w="1394" w:type="dxa"/>
            <w:vAlign w:val="center"/>
          </w:tcPr>
          <w:p>
            <w:pPr>
              <w:jc w:val="center"/>
              <w:rPr>
                <w:szCs w:val="21"/>
                <w:highlight w:val="none"/>
              </w:rPr>
            </w:pPr>
            <w:r>
              <w:rPr>
                <w:szCs w:val="21"/>
                <w:highlight w:val="none"/>
              </w:rPr>
              <w:t>　</w:t>
            </w:r>
          </w:p>
        </w:tc>
      </w:tr>
    </w:tbl>
    <w:p>
      <w:pPr>
        <w:spacing w:before="156" w:beforeLines="50" w:after="156" w:afterLines="50" w:line="520" w:lineRule="exact"/>
        <w:jc w:val="center"/>
        <w:outlineLvl w:val="1"/>
        <w:rPr>
          <w:rFonts w:eastAsia="黑体"/>
          <w:b/>
          <w:sz w:val="30"/>
          <w:highlight w:val="none"/>
        </w:rPr>
      </w:pPr>
      <w:bookmarkStart w:id="242" w:name="_Toc77781929"/>
      <w:bookmarkStart w:id="243" w:name="_Toc67908296"/>
      <w:r>
        <w:rPr>
          <w:rFonts w:eastAsia="黑体"/>
          <w:b/>
          <w:sz w:val="30"/>
          <w:highlight w:val="none"/>
        </w:rPr>
        <w:t>第三节给排水规划</w:t>
      </w:r>
      <w:bookmarkEnd w:id="242"/>
      <w:bookmarkEnd w:id="243"/>
    </w:p>
    <w:p>
      <w:pPr>
        <w:spacing w:line="360" w:lineRule="auto"/>
        <w:ind w:firstLine="562" w:firstLineChars="200"/>
        <w:rPr>
          <w:rFonts w:eastAsia="黑体"/>
          <w:b/>
          <w:sz w:val="28"/>
          <w:szCs w:val="28"/>
          <w:highlight w:val="none"/>
        </w:rPr>
      </w:pPr>
      <w:r>
        <w:rPr>
          <w:rFonts w:eastAsia="黑体"/>
          <w:b/>
          <w:sz w:val="28"/>
          <w:szCs w:val="28"/>
          <w:highlight w:val="none"/>
        </w:rPr>
        <w:t>一、给水</w:t>
      </w:r>
    </w:p>
    <w:p>
      <w:pPr>
        <w:spacing w:line="360" w:lineRule="auto"/>
        <w:ind w:firstLine="560" w:firstLineChars="200"/>
        <w:rPr>
          <w:sz w:val="28"/>
          <w:szCs w:val="28"/>
          <w:highlight w:val="none"/>
        </w:rPr>
      </w:pPr>
      <w:r>
        <w:rPr>
          <w:sz w:val="28"/>
          <w:szCs w:val="28"/>
          <w:highlight w:val="none"/>
        </w:rPr>
        <w:t>现状</w:t>
      </w:r>
      <w:r>
        <w:rPr>
          <w:rFonts w:eastAsiaTheme="minorEastAsia"/>
          <w:sz w:val="28"/>
          <w:szCs w:val="28"/>
          <w:highlight w:val="none"/>
        </w:rPr>
        <w:t>乐山</w:t>
      </w:r>
      <w:r>
        <w:rPr>
          <w:sz w:val="28"/>
          <w:szCs w:val="28"/>
          <w:highlight w:val="none"/>
        </w:rPr>
        <w:t>市域各水厂主要以大渡河、青衣江、岷江水系作为取水水源。市域供水较为分散，中心城区依托供水一厂、二厂、三厂、沙湾水厂等供水。各县城建设县城集中供水厂供给县城中心区及周边地区用水，其他各镇及农村自建规模较小的供水站进行供水或自行取用山泉水。</w:t>
      </w:r>
    </w:p>
    <w:p>
      <w:pPr>
        <w:spacing w:line="360" w:lineRule="auto"/>
        <w:ind w:firstLine="560" w:firstLineChars="200"/>
        <w:rPr>
          <w:sz w:val="28"/>
          <w:szCs w:val="28"/>
          <w:highlight w:val="none"/>
        </w:rPr>
      </w:pPr>
      <w:r>
        <w:rPr>
          <w:sz w:val="28"/>
          <w:szCs w:val="28"/>
          <w:highlight w:val="none"/>
        </w:rPr>
        <w:t>远期乐山市域城市集中供水水厂设置为18 座，总供水能力97万m3/d。其中现状水厂保留5座、扩建水厂9 座、新建水厂4 座。重点镇、一般镇在镇区建设集中供水工程，需水量较大的区域优先采用地表水作为水源，需水量较小的区域可采用自然补给的浅层地下水作为水源。对水源地应采取保护措施，保障饮用水水质的安全。</w:t>
      </w:r>
    </w:p>
    <w:p>
      <w:pPr>
        <w:spacing w:line="360" w:lineRule="auto"/>
        <w:ind w:firstLine="560" w:firstLineChars="200"/>
        <w:rPr>
          <w:sz w:val="28"/>
          <w:szCs w:val="28"/>
          <w:highlight w:val="none"/>
        </w:rPr>
      </w:pPr>
      <w:r>
        <w:rPr>
          <w:sz w:val="28"/>
          <w:szCs w:val="28"/>
          <w:highlight w:val="none"/>
        </w:rPr>
        <w:t>乐山市城市供水系统建设较完备，靠近城镇的作业区可利用城市自来水作为水源。但部分作业区距离城镇较远，城镇供水管道近期难以到达，需自备水源满足生产、生活用水的需要。</w:t>
      </w:r>
    </w:p>
    <w:p>
      <w:pPr>
        <w:ind w:firstLine="560" w:firstLineChars="200"/>
        <w:jc w:val="center"/>
        <w:rPr>
          <w:rFonts w:eastAsia="黑体"/>
          <w:sz w:val="28"/>
          <w:szCs w:val="28"/>
          <w:highlight w:val="none"/>
        </w:rPr>
      </w:pPr>
      <w:r>
        <w:rPr>
          <w:rFonts w:eastAsia="黑体"/>
          <w:sz w:val="28"/>
          <w:szCs w:val="28"/>
          <w:highlight w:val="none"/>
        </w:rPr>
        <w:t>表7.3-1 各规划作业区及码头用水量估算表</w:t>
      </w:r>
    </w:p>
    <w:tbl>
      <w:tblPr>
        <w:tblStyle w:val="32"/>
        <w:tblW w:w="5000" w:type="pct"/>
        <w:tblInd w:w="0" w:type="dxa"/>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03"/>
        <w:gridCol w:w="2812"/>
        <w:gridCol w:w="1857"/>
        <w:gridCol w:w="1857"/>
        <w:gridCol w:w="1857"/>
      </w:tblGrid>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blHeader/>
        </w:trPr>
        <w:tc>
          <w:tcPr>
            <w:tcW w:w="486" w:type="pct"/>
            <w:vAlign w:val="center"/>
          </w:tcPr>
          <w:p>
            <w:pPr>
              <w:jc w:val="center"/>
              <w:rPr>
                <w:b/>
                <w:szCs w:val="21"/>
                <w:highlight w:val="none"/>
              </w:rPr>
            </w:pPr>
            <w:r>
              <w:rPr>
                <w:b/>
                <w:szCs w:val="21"/>
                <w:highlight w:val="none"/>
              </w:rPr>
              <w:t>序号</w:t>
            </w:r>
          </w:p>
        </w:tc>
        <w:tc>
          <w:tcPr>
            <w:tcW w:w="1514" w:type="pct"/>
            <w:vAlign w:val="center"/>
          </w:tcPr>
          <w:p>
            <w:pPr>
              <w:jc w:val="center"/>
              <w:rPr>
                <w:b/>
                <w:szCs w:val="21"/>
                <w:highlight w:val="none"/>
              </w:rPr>
            </w:pPr>
            <w:r>
              <w:rPr>
                <w:b/>
                <w:szCs w:val="21"/>
                <w:highlight w:val="none"/>
              </w:rPr>
              <w:t>作业区名称</w:t>
            </w:r>
          </w:p>
        </w:tc>
        <w:tc>
          <w:tcPr>
            <w:tcW w:w="1000" w:type="pct"/>
            <w:vAlign w:val="center"/>
          </w:tcPr>
          <w:p>
            <w:pPr>
              <w:jc w:val="center"/>
              <w:rPr>
                <w:b/>
                <w:szCs w:val="21"/>
                <w:highlight w:val="none"/>
              </w:rPr>
            </w:pPr>
            <w:r>
              <w:rPr>
                <w:b/>
                <w:szCs w:val="21"/>
                <w:highlight w:val="none"/>
              </w:rPr>
              <w:t>估算用水量</w:t>
            </w:r>
          </w:p>
          <w:p>
            <w:pPr>
              <w:jc w:val="center"/>
              <w:rPr>
                <w:b/>
                <w:szCs w:val="21"/>
                <w:highlight w:val="none"/>
              </w:rPr>
            </w:pPr>
            <w:r>
              <w:rPr>
                <w:b/>
                <w:szCs w:val="21"/>
                <w:highlight w:val="none"/>
              </w:rPr>
              <w:t>（m</w:t>
            </w:r>
            <w:r>
              <w:rPr>
                <w:b/>
                <w:szCs w:val="21"/>
                <w:highlight w:val="none"/>
                <w:vertAlign w:val="superscript"/>
              </w:rPr>
              <w:t>3</w:t>
            </w:r>
            <w:r>
              <w:rPr>
                <w:b/>
                <w:szCs w:val="21"/>
                <w:highlight w:val="none"/>
              </w:rPr>
              <w:t>/d）</w:t>
            </w:r>
          </w:p>
        </w:tc>
        <w:tc>
          <w:tcPr>
            <w:tcW w:w="1000" w:type="pct"/>
            <w:vAlign w:val="center"/>
          </w:tcPr>
          <w:p>
            <w:pPr>
              <w:jc w:val="center"/>
              <w:rPr>
                <w:b/>
                <w:szCs w:val="21"/>
                <w:highlight w:val="none"/>
              </w:rPr>
            </w:pPr>
            <w:r>
              <w:rPr>
                <w:b/>
                <w:szCs w:val="21"/>
                <w:highlight w:val="none"/>
              </w:rPr>
              <w:t>水源</w:t>
            </w:r>
          </w:p>
        </w:tc>
        <w:tc>
          <w:tcPr>
            <w:tcW w:w="1000" w:type="pct"/>
            <w:vAlign w:val="center"/>
          </w:tcPr>
          <w:p>
            <w:pPr>
              <w:jc w:val="center"/>
              <w:rPr>
                <w:b/>
                <w:szCs w:val="21"/>
                <w:highlight w:val="none"/>
              </w:rPr>
            </w:pPr>
            <w:r>
              <w:rPr>
                <w:b/>
                <w:szCs w:val="21"/>
                <w:highlight w:val="none"/>
              </w:rPr>
              <w:t>备注</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86" w:type="pct"/>
            <w:vAlign w:val="center"/>
          </w:tcPr>
          <w:p>
            <w:pPr>
              <w:jc w:val="center"/>
              <w:rPr>
                <w:szCs w:val="21"/>
                <w:highlight w:val="none"/>
              </w:rPr>
            </w:pPr>
            <w:r>
              <w:rPr>
                <w:szCs w:val="21"/>
                <w:highlight w:val="none"/>
              </w:rPr>
              <w:t>一</w:t>
            </w:r>
          </w:p>
        </w:tc>
        <w:tc>
          <w:tcPr>
            <w:tcW w:w="1514" w:type="pct"/>
            <w:vAlign w:val="center"/>
          </w:tcPr>
          <w:p>
            <w:pPr>
              <w:jc w:val="center"/>
              <w:rPr>
                <w:szCs w:val="21"/>
                <w:highlight w:val="none"/>
              </w:rPr>
            </w:pPr>
            <w:r>
              <w:rPr>
                <w:szCs w:val="21"/>
                <w:highlight w:val="none"/>
              </w:rPr>
              <w:t>嘉州港区</w:t>
            </w:r>
          </w:p>
        </w:tc>
        <w:tc>
          <w:tcPr>
            <w:tcW w:w="1000" w:type="pct"/>
            <w:vAlign w:val="center"/>
          </w:tcPr>
          <w:p>
            <w:pPr>
              <w:jc w:val="center"/>
              <w:rPr>
                <w:szCs w:val="21"/>
                <w:highlight w:val="none"/>
              </w:rPr>
            </w:pPr>
            <w:r>
              <w:rPr>
                <w:szCs w:val="21"/>
                <w:highlight w:val="none"/>
              </w:rPr>
              <w:t>　</w:t>
            </w:r>
          </w:p>
        </w:tc>
        <w:tc>
          <w:tcPr>
            <w:tcW w:w="1000" w:type="pct"/>
            <w:vAlign w:val="center"/>
          </w:tcPr>
          <w:p>
            <w:pPr>
              <w:jc w:val="center"/>
              <w:rPr>
                <w:szCs w:val="21"/>
                <w:highlight w:val="none"/>
              </w:rPr>
            </w:pPr>
            <w:r>
              <w:rPr>
                <w:szCs w:val="21"/>
                <w:highlight w:val="none"/>
              </w:rPr>
              <w:t>　</w:t>
            </w:r>
          </w:p>
        </w:tc>
        <w:tc>
          <w:tcPr>
            <w:tcW w:w="1000" w:type="pct"/>
            <w:vAlign w:val="center"/>
          </w:tcPr>
          <w:p>
            <w:pPr>
              <w:jc w:val="center"/>
              <w:rPr>
                <w:szCs w:val="21"/>
                <w:highlight w:val="none"/>
              </w:rPr>
            </w:pPr>
            <w:r>
              <w:rPr>
                <w:szCs w:val="21"/>
                <w:highlight w:val="none"/>
              </w:rPr>
              <w:t>　</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86" w:type="pct"/>
            <w:vAlign w:val="center"/>
          </w:tcPr>
          <w:p>
            <w:pPr>
              <w:jc w:val="center"/>
              <w:rPr>
                <w:szCs w:val="21"/>
                <w:highlight w:val="none"/>
              </w:rPr>
            </w:pPr>
            <w:r>
              <w:rPr>
                <w:szCs w:val="21"/>
                <w:highlight w:val="none"/>
              </w:rPr>
              <w:t>1</w:t>
            </w:r>
          </w:p>
        </w:tc>
        <w:tc>
          <w:tcPr>
            <w:tcW w:w="1514" w:type="pct"/>
            <w:vAlign w:val="center"/>
          </w:tcPr>
          <w:p>
            <w:pPr>
              <w:jc w:val="center"/>
              <w:rPr>
                <w:szCs w:val="21"/>
                <w:highlight w:val="none"/>
              </w:rPr>
            </w:pPr>
            <w:r>
              <w:rPr>
                <w:szCs w:val="21"/>
                <w:highlight w:val="none"/>
              </w:rPr>
              <w:t>老江坝作业区</w:t>
            </w:r>
          </w:p>
        </w:tc>
        <w:tc>
          <w:tcPr>
            <w:tcW w:w="1000" w:type="pct"/>
            <w:vAlign w:val="center"/>
          </w:tcPr>
          <w:p>
            <w:pPr>
              <w:jc w:val="center"/>
              <w:rPr>
                <w:szCs w:val="21"/>
                <w:highlight w:val="none"/>
              </w:rPr>
            </w:pPr>
            <w:r>
              <w:rPr>
                <w:szCs w:val="21"/>
                <w:highlight w:val="none"/>
              </w:rPr>
              <w:t>3300</w:t>
            </w:r>
          </w:p>
        </w:tc>
        <w:tc>
          <w:tcPr>
            <w:tcW w:w="1000" w:type="pct"/>
            <w:vAlign w:val="center"/>
          </w:tcPr>
          <w:p>
            <w:pPr>
              <w:jc w:val="center"/>
              <w:rPr>
                <w:szCs w:val="21"/>
                <w:highlight w:val="none"/>
              </w:rPr>
            </w:pPr>
            <w:r>
              <w:rPr>
                <w:rFonts w:hint="eastAsia"/>
                <w:szCs w:val="21"/>
                <w:highlight w:val="none"/>
              </w:rPr>
              <w:t>自备水源</w:t>
            </w:r>
          </w:p>
        </w:tc>
        <w:tc>
          <w:tcPr>
            <w:tcW w:w="1000" w:type="pct"/>
            <w:vAlign w:val="center"/>
          </w:tcPr>
          <w:p>
            <w:pPr>
              <w:jc w:val="center"/>
              <w:rPr>
                <w:szCs w:val="21"/>
                <w:highlight w:val="none"/>
              </w:rPr>
            </w:pPr>
            <w:r>
              <w:rPr>
                <w:szCs w:val="21"/>
                <w:highlight w:val="none"/>
              </w:rPr>
              <w:t>　</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86" w:type="pct"/>
            <w:vAlign w:val="center"/>
          </w:tcPr>
          <w:p>
            <w:pPr>
              <w:jc w:val="center"/>
              <w:rPr>
                <w:szCs w:val="21"/>
                <w:highlight w:val="none"/>
              </w:rPr>
            </w:pPr>
            <w:r>
              <w:rPr>
                <w:szCs w:val="21"/>
                <w:highlight w:val="none"/>
              </w:rPr>
              <w:t>2</w:t>
            </w:r>
          </w:p>
        </w:tc>
        <w:tc>
          <w:tcPr>
            <w:tcW w:w="1514" w:type="pct"/>
            <w:vAlign w:val="center"/>
          </w:tcPr>
          <w:p>
            <w:pPr>
              <w:jc w:val="center"/>
              <w:rPr>
                <w:szCs w:val="21"/>
                <w:highlight w:val="none"/>
              </w:rPr>
            </w:pPr>
            <w:r>
              <w:rPr>
                <w:szCs w:val="21"/>
                <w:highlight w:val="none"/>
              </w:rPr>
              <w:t>乌尤寺旅游客运码头</w:t>
            </w:r>
          </w:p>
        </w:tc>
        <w:tc>
          <w:tcPr>
            <w:tcW w:w="1000" w:type="pct"/>
            <w:vAlign w:val="center"/>
          </w:tcPr>
          <w:p>
            <w:pPr>
              <w:jc w:val="center"/>
              <w:rPr>
                <w:szCs w:val="21"/>
                <w:highlight w:val="none"/>
              </w:rPr>
            </w:pPr>
            <w:r>
              <w:rPr>
                <w:szCs w:val="21"/>
                <w:highlight w:val="none"/>
              </w:rPr>
              <w:t>600</w:t>
            </w:r>
          </w:p>
        </w:tc>
        <w:tc>
          <w:tcPr>
            <w:tcW w:w="1000" w:type="pct"/>
            <w:vAlign w:val="center"/>
          </w:tcPr>
          <w:p>
            <w:pPr>
              <w:jc w:val="center"/>
              <w:rPr>
                <w:szCs w:val="21"/>
                <w:highlight w:val="none"/>
              </w:rPr>
            </w:pPr>
            <w:r>
              <w:rPr>
                <w:szCs w:val="21"/>
                <w:highlight w:val="none"/>
              </w:rPr>
              <w:t>城市自来水</w:t>
            </w:r>
          </w:p>
        </w:tc>
        <w:tc>
          <w:tcPr>
            <w:tcW w:w="1000" w:type="pct"/>
            <w:vAlign w:val="center"/>
          </w:tcPr>
          <w:p>
            <w:pPr>
              <w:jc w:val="center"/>
              <w:rPr>
                <w:szCs w:val="21"/>
                <w:highlight w:val="none"/>
              </w:rPr>
            </w:pPr>
            <w:r>
              <w:rPr>
                <w:szCs w:val="21"/>
                <w:highlight w:val="none"/>
              </w:rPr>
              <w:t>　</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86" w:type="pct"/>
            <w:vAlign w:val="center"/>
          </w:tcPr>
          <w:p>
            <w:pPr>
              <w:jc w:val="center"/>
              <w:rPr>
                <w:szCs w:val="21"/>
                <w:highlight w:val="none"/>
              </w:rPr>
            </w:pPr>
            <w:r>
              <w:rPr>
                <w:szCs w:val="21"/>
                <w:highlight w:val="none"/>
              </w:rPr>
              <w:t>3</w:t>
            </w:r>
          </w:p>
        </w:tc>
        <w:tc>
          <w:tcPr>
            <w:tcW w:w="1514" w:type="pct"/>
            <w:vAlign w:val="center"/>
          </w:tcPr>
          <w:p>
            <w:pPr>
              <w:jc w:val="center"/>
              <w:rPr>
                <w:szCs w:val="21"/>
                <w:highlight w:val="none"/>
              </w:rPr>
            </w:pPr>
            <w:r>
              <w:rPr>
                <w:szCs w:val="21"/>
                <w:highlight w:val="none"/>
              </w:rPr>
              <w:t>凤洲岛旅游客运码头</w:t>
            </w:r>
          </w:p>
        </w:tc>
        <w:tc>
          <w:tcPr>
            <w:tcW w:w="1000" w:type="pct"/>
            <w:vAlign w:val="center"/>
          </w:tcPr>
          <w:p>
            <w:pPr>
              <w:jc w:val="center"/>
              <w:rPr>
                <w:szCs w:val="21"/>
                <w:highlight w:val="none"/>
              </w:rPr>
            </w:pPr>
            <w:r>
              <w:rPr>
                <w:szCs w:val="21"/>
                <w:highlight w:val="none"/>
              </w:rPr>
              <w:t>600</w:t>
            </w:r>
          </w:p>
        </w:tc>
        <w:tc>
          <w:tcPr>
            <w:tcW w:w="1000" w:type="pct"/>
            <w:vAlign w:val="center"/>
          </w:tcPr>
          <w:p>
            <w:pPr>
              <w:jc w:val="center"/>
              <w:rPr>
                <w:szCs w:val="21"/>
                <w:highlight w:val="none"/>
              </w:rPr>
            </w:pPr>
            <w:r>
              <w:rPr>
                <w:szCs w:val="21"/>
                <w:highlight w:val="none"/>
              </w:rPr>
              <w:t>城市自来水</w:t>
            </w:r>
          </w:p>
        </w:tc>
        <w:tc>
          <w:tcPr>
            <w:tcW w:w="1000" w:type="pct"/>
            <w:vAlign w:val="center"/>
          </w:tcPr>
          <w:p>
            <w:pPr>
              <w:jc w:val="center"/>
              <w:rPr>
                <w:szCs w:val="21"/>
                <w:highlight w:val="none"/>
              </w:rPr>
            </w:pPr>
            <w:r>
              <w:rPr>
                <w:szCs w:val="21"/>
                <w:highlight w:val="none"/>
              </w:rPr>
              <w:t>　</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86" w:type="pct"/>
            <w:vAlign w:val="center"/>
          </w:tcPr>
          <w:p>
            <w:pPr>
              <w:jc w:val="center"/>
              <w:rPr>
                <w:szCs w:val="21"/>
                <w:highlight w:val="none"/>
              </w:rPr>
            </w:pPr>
            <w:r>
              <w:rPr>
                <w:szCs w:val="21"/>
                <w:highlight w:val="none"/>
              </w:rPr>
              <w:t>4</w:t>
            </w:r>
          </w:p>
        </w:tc>
        <w:tc>
          <w:tcPr>
            <w:tcW w:w="1514" w:type="pct"/>
            <w:vAlign w:val="center"/>
          </w:tcPr>
          <w:p>
            <w:pPr>
              <w:jc w:val="center"/>
              <w:rPr>
                <w:szCs w:val="21"/>
                <w:highlight w:val="none"/>
              </w:rPr>
            </w:pPr>
            <w:r>
              <w:rPr>
                <w:kern w:val="0"/>
                <w:sz w:val="20"/>
                <w:szCs w:val="20"/>
                <w:highlight w:val="none"/>
              </w:rPr>
              <w:t>高新区旅游客运码头</w:t>
            </w:r>
          </w:p>
        </w:tc>
        <w:tc>
          <w:tcPr>
            <w:tcW w:w="1000" w:type="pct"/>
            <w:vAlign w:val="center"/>
          </w:tcPr>
          <w:p>
            <w:pPr>
              <w:jc w:val="center"/>
              <w:rPr>
                <w:szCs w:val="21"/>
                <w:highlight w:val="none"/>
              </w:rPr>
            </w:pPr>
            <w:r>
              <w:rPr>
                <w:szCs w:val="21"/>
                <w:highlight w:val="none"/>
              </w:rPr>
              <w:t>300</w:t>
            </w:r>
          </w:p>
        </w:tc>
        <w:tc>
          <w:tcPr>
            <w:tcW w:w="1000" w:type="pct"/>
            <w:vAlign w:val="center"/>
          </w:tcPr>
          <w:p>
            <w:pPr>
              <w:jc w:val="center"/>
              <w:rPr>
                <w:szCs w:val="21"/>
                <w:highlight w:val="none"/>
              </w:rPr>
            </w:pPr>
            <w:r>
              <w:rPr>
                <w:szCs w:val="21"/>
                <w:highlight w:val="none"/>
              </w:rPr>
              <w:t>城市自来水</w:t>
            </w:r>
          </w:p>
        </w:tc>
        <w:tc>
          <w:tcPr>
            <w:tcW w:w="1000" w:type="pct"/>
            <w:vAlign w:val="center"/>
          </w:tcPr>
          <w:p>
            <w:pPr>
              <w:jc w:val="center"/>
              <w:rPr>
                <w:szCs w:val="21"/>
                <w:highlight w:val="none"/>
              </w:rPr>
            </w:pP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86" w:type="pct"/>
            <w:vAlign w:val="center"/>
          </w:tcPr>
          <w:p>
            <w:pPr>
              <w:jc w:val="center"/>
              <w:rPr>
                <w:szCs w:val="21"/>
                <w:highlight w:val="none"/>
              </w:rPr>
            </w:pPr>
            <w:r>
              <w:rPr>
                <w:szCs w:val="21"/>
                <w:highlight w:val="none"/>
              </w:rPr>
              <w:t>二</w:t>
            </w:r>
          </w:p>
        </w:tc>
        <w:tc>
          <w:tcPr>
            <w:tcW w:w="1514" w:type="pct"/>
            <w:vAlign w:val="center"/>
          </w:tcPr>
          <w:p>
            <w:pPr>
              <w:jc w:val="center"/>
              <w:rPr>
                <w:szCs w:val="21"/>
                <w:highlight w:val="none"/>
              </w:rPr>
            </w:pPr>
            <w:r>
              <w:rPr>
                <w:szCs w:val="21"/>
                <w:highlight w:val="none"/>
              </w:rPr>
              <w:t>五通桥港区</w:t>
            </w:r>
          </w:p>
        </w:tc>
        <w:tc>
          <w:tcPr>
            <w:tcW w:w="1000" w:type="pct"/>
            <w:vAlign w:val="center"/>
          </w:tcPr>
          <w:p>
            <w:pPr>
              <w:jc w:val="center"/>
              <w:rPr>
                <w:szCs w:val="21"/>
                <w:highlight w:val="none"/>
              </w:rPr>
            </w:pPr>
            <w:r>
              <w:rPr>
                <w:szCs w:val="21"/>
                <w:highlight w:val="none"/>
              </w:rPr>
              <w:t>　</w:t>
            </w:r>
          </w:p>
        </w:tc>
        <w:tc>
          <w:tcPr>
            <w:tcW w:w="1000" w:type="pct"/>
            <w:vAlign w:val="center"/>
          </w:tcPr>
          <w:p>
            <w:pPr>
              <w:jc w:val="center"/>
              <w:rPr>
                <w:szCs w:val="21"/>
                <w:highlight w:val="none"/>
              </w:rPr>
            </w:pPr>
            <w:r>
              <w:rPr>
                <w:szCs w:val="21"/>
                <w:highlight w:val="none"/>
              </w:rPr>
              <w:t>　</w:t>
            </w:r>
          </w:p>
        </w:tc>
        <w:tc>
          <w:tcPr>
            <w:tcW w:w="1000" w:type="pct"/>
            <w:vAlign w:val="center"/>
          </w:tcPr>
          <w:p>
            <w:pPr>
              <w:jc w:val="center"/>
              <w:rPr>
                <w:szCs w:val="21"/>
                <w:highlight w:val="none"/>
              </w:rPr>
            </w:pPr>
            <w:r>
              <w:rPr>
                <w:szCs w:val="21"/>
                <w:highlight w:val="none"/>
              </w:rPr>
              <w:t>　</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86" w:type="pct"/>
            <w:shd w:val="clear" w:color="auto" w:fill="auto"/>
            <w:vAlign w:val="center"/>
          </w:tcPr>
          <w:p>
            <w:pPr>
              <w:jc w:val="center"/>
              <w:rPr>
                <w:szCs w:val="21"/>
                <w:highlight w:val="none"/>
              </w:rPr>
            </w:pPr>
            <w:r>
              <w:rPr>
                <w:szCs w:val="21"/>
                <w:highlight w:val="none"/>
              </w:rPr>
              <w:t>1</w:t>
            </w:r>
          </w:p>
        </w:tc>
        <w:tc>
          <w:tcPr>
            <w:tcW w:w="1514" w:type="pct"/>
            <w:vAlign w:val="center"/>
          </w:tcPr>
          <w:p>
            <w:pPr>
              <w:jc w:val="center"/>
              <w:rPr>
                <w:szCs w:val="21"/>
                <w:highlight w:val="none"/>
              </w:rPr>
            </w:pPr>
            <w:r>
              <w:rPr>
                <w:szCs w:val="21"/>
                <w:highlight w:val="none"/>
              </w:rPr>
              <w:t>桥沟作业区</w:t>
            </w:r>
          </w:p>
        </w:tc>
        <w:tc>
          <w:tcPr>
            <w:tcW w:w="1000" w:type="pct"/>
            <w:vAlign w:val="center"/>
          </w:tcPr>
          <w:p>
            <w:pPr>
              <w:jc w:val="center"/>
              <w:rPr>
                <w:szCs w:val="21"/>
                <w:highlight w:val="none"/>
              </w:rPr>
            </w:pPr>
            <w:r>
              <w:rPr>
                <w:szCs w:val="21"/>
                <w:highlight w:val="none"/>
              </w:rPr>
              <w:t>1200</w:t>
            </w:r>
          </w:p>
        </w:tc>
        <w:tc>
          <w:tcPr>
            <w:tcW w:w="1000" w:type="pct"/>
            <w:vAlign w:val="center"/>
          </w:tcPr>
          <w:p>
            <w:pPr>
              <w:jc w:val="center"/>
              <w:rPr>
                <w:szCs w:val="21"/>
                <w:highlight w:val="none"/>
              </w:rPr>
            </w:pPr>
            <w:r>
              <w:rPr>
                <w:szCs w:val="21"/>
                <w:highlight w:val="none"/>
              </w:rPr>
              <w:t>自备水源</w:t>
            </w:r>
          </w:p>
        </w:tc>
        <w:tc>
          <w:tcPr>
            <w:tcW w:w="1000" w:type="pct"/>
            <w:vAlign w:val="center"/>
          </w:tcPr>
          <w:p>
            <w:pPr>
              <w:jc w:val="center"/>
              <w:rPr>
                <w:szCs w:val="21"/>
                <w:highlight w:val="none"/>
              </w:rPr>
            </w:pPr>
            <w:r>
              <w:rPr>
                <w:szCs w:val="21"/>
                <w:highlight w:val="none"/>
              </w:rPr>
              <w:t>　</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86" w:type="pct"/>
            <w:vAlign w:val="center"/>
          </w:tcPr>
          <w:p>
            <w:pPr>
              <w:jc w:val="center"/>
              <w:rPr>
                <w:szCs w:val="21"/>
                <w:highlight w:val="none"/>
              </w:rPr>
            </w:pPr>
            <w:r>
              <w:rPr>
                <w:szCs w:val="21"/>
                <w:highlight w:val="none"/>
              </w:rPr>
              <w:t>三</w:t>
            </w:r>
          </w:p>
        </w:tc>
        <w:tc>
          <w:tcPr>
            <w:tcW w:w="1514" w:type="pct"/>
            <w:vAlign w:val="center"/>
          </w:tcPr>
          <w:p>
            <w:pPr>
              <w:jc w:val="center"/>
              <w:rPr>
                <w:szCs w:val="21"/>
                <w:highlight w:val="none"/>
              </w:rPr>
            </w:pPr>
            <w:r>
              <w:rPr>
                <w:szCs w:val="21"/>
                <w:highlight w:val="none"/>
              </w:rPr>
              <w:t>犍为港区</w:t>
            </w:r>
          </w:p>
        </w:tc>
        <w:tc>
          <w:tcPr>
            <w:tcW w:w="1000" w:type="pct"/>
            <w:vAlign w:val="center"/>
          </w:tcPr>
          <w:p>
            <w:pPr>
              <w:jc w:val="center"/>
              <w:rPr>
                <w:szCs w:val="21"/>
                <w:highlight w:val="none"/>
              </w:rPr>
            </w:pPr>
            <w:r>
              <w:rPr>
                <w:szCs w:val="21"/>
                <w:highlight w:val="none"/>
              </w:rPr>
              <w:t>　</w:t>
            </w:r>
          </w:p>
        </w:tc>
        <w:tc>
          <w:tcPr>
            <w:tcW w:w="1000" w:type="pct"/>
            <w:vAlign w:val="center"/>
          </w:tcPr>
          <w:p>
            <w:pPr>
              <w:jc w:val="center"/>
              <w:rPr>
                <w:szCs w:val="21"/>
                <w:highlight w:val="none"/>
              </w:rPr>
            </w:pPr>
            <w:r>
              <w:rPr>
                <w:szCs w:val="21"/>
                <w:highlight w:val="none"/>
              </w:rPr>
              <w:t>　</w:t>
            </w:r>
          </w:p>
        </w:tc>
        <w:tc>
          <w:tcPr>
            <w:tcW w:w="1000" w:type="pct"/>
            <w:vAlign w:val="center"/>
          </w:tcPr>
          <w:p>
            <w:pPr>
              <w:jc w:val="center"/>
              <w:rPr>
                <w:szCs w:val="21"/>
                <w:highlight w:val="none"/>
              </w:rPr>
            </w:pPr>
            <w:r>
              <w:rPr>
                <w:szCs w:val="21"/>
                <w:highlight w:val="none"/>
              </w:rPr>
              <w:t>　</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86" w:type="pct"/>
            <w:vAlign w:val="center"/>
          </w:tcPr>
          <w:p>
            <w:pPr>
              <w:jc w:val="center"/>
              <w:rPr>
                <w:szCs w:val="21"/>
                <w:highlight w:val="none"/>
              </w:rPr>
            </w:pPr>
            <w:r>
              <w:rPr>
                <w:szCs w:val="21"/>
                <w:highlight w:val="none"/>
              </w:rPr>
              <w:t>1</w:t>
            </w:r>
          </w:p>
        </w:tc>
        <w:tc>
          <w:tcPr>
            <w:tcW w:w="1514" w:type="pct"/>
            <w:vAlign w:val="center"/>
          </w:tcPr>
          <w:p>
            <w:pPr>
              <w:jc w:val="center"/>
              <w:rPr>
                <w:szCs w:val="21"/>
                <w:highlight w:val="none"/>
              </w:rPr>
            </w:pPr>
            <w:r>
              <w:rPr>
                <w:rFonts w:hint="eastAsia"/>
                <w:szCs w:val="21"/>
                <w:highlight w:val="none"/>
              </w:rPr>
              <w:t>高石坝作业区</w:t>
            </w:r>
          </w:p>
        </w:tc>
        <w:tc>
          <w:tcPr>
            <w:tcW w:w="1000" w:type="pct"/>
            <w:vAlign w:val="center"/>
          </w:tcPr>
          <w:p>
            <w:pPr>
              <w:jc w:val="center"/>
              <w:rPr>
                <w:szCs w:val="21"/>
                <w:highlight w:val="none"/>
              </w:rPr>
            </w:pPr>
            <w:r>
              <w:rPr>
                <w:szCs w:val="21"/>
                <w:highlight w:val="none"/>
              </w:rPr>
              <w:t>8000</w:t>
            </w:r>
          </w:p>
        </w:tc>
        <w:tc>
          <w:tcPr>
            <w:tcW w:w="1000" w:type="pct"/>
            <w:vAlign w:val="center"/>
          </w:tcPr>
          <w:p>
            <w:pPr>
              <w:jc w:val="center"/>
              <w:rPr>
                <w:szCs w:val="21"/>
                <w:highlight w:val="none"/>
              </w:rPr>
            </w:pPr>
            <w:r>
              <w:rPr>
                <w:rFonts w:hint="eastAsia"/>
                <w:szCs w:val="21"/>
                <w:highlight w:val="none"/>
              </w:rPr>
              <w:t>自备水源</w:t>
            </w:r>
          </w:p>
        </w:tc>
        <w:tc>
          <w:tcPr>
            <w:tcW w:w="1000" w:type="pct"/>
            <w:vAlign w:val="center"/>
          </w:tcPr>
          <w:p>
            <w:pPr>
              <w:jc w:val="center"/>
              <w:rPr>
                <w:szCs w:val="21"/>
                <w:highlight w:val="none"/>
              </w:rPr>
            </w:pPr>
            <w:r>
              <w:rPr>
                <w:rFonts w:hint="eastAsia"/>
                <w:szCs w:val="21"/>
                <w:highlight w:val="none"/>
              </w:rPr>
              <w:t>　</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86" w:type="pct"/>
            <w:vAlign w:val="center"/>
          </w:tcPr>
          <w:p>
            <w:pPr>
              <w:jc w:val="center"/>
              <w:rPr>
                <w:szCs w:val="21"/>
                <w:highlight w:val="none"/>
              </w:rPr>
            </w:pPr>
            <w:r>
              <w:rPr>
                <w:szCs w:val="21"/>
                <w:highlight w:val="none"/>
              </w:rPr>
              <w:t>2</w:t>
            </w:r>
          </w:p>
        </w:tc>
        <w:tc>
          <w:tcPr>
            <w:tcW w:w="1514" w:type="pct"/>
            <w:vAlign w:val="center"/>
          </w:tcPr>
          <w:p>
            <w:pPr>
              <w:jc w:val="center"/>
              <w:rPr>
                <w:szCs w:val="21"/>
                <w:highlight w:val="none"/>
              </w:rPr>
            </w:pPr>
            <w:r>
              <w:rPr>
                <w:rFonts w:hint="eastAsia"/>
                <w:szCs w:val="21"/>
                <w:highlight w:val="none"/>
              </w:rPr>
              <w:t>新民水上服务中心</w:t>
            </w:r>
          </w:p>
        </w:tc>
        <w:tc>
          <w:tcPr>
            <w:tcW w:w="1000" w:type="pct"/>
            <w:vAlign w:val="center"/>
          </w:tcPr>
          <w:p>
            <w:pPr>
              <w:jc w:val="center"/>
              <w:rPr>
                <w:szCs w:val="21"/>
                <w:highlight w:val="none"/>
              </w:rPr>
            </w:pPr>
            <w:r>
              <w:rPr>
                <w:szCs w:val="21"/>
                <w:highlight w:val="none"/>
              </w:rPr>
              <w:t>600</w:t>
            </w:r>
          </w:p>
        </w:tc>
        <w:tc>
          <w:tcPr>
            <w:tcW w:w="1000" w:type="pct"/>
            <w:vAlign w:val="center"/>
          </w:tcPr>
          <w:p>
            <w:pPr>
              <w:jc w:val="center"/>
              <w:rPr>
                <w:szCs w:val="21"/>
                <w:highlight w:val="none"/>
              </w:rPr>
            </w:pPr>
            <w:r>
              <w:rPr>
                <w:rFonts w:hint="eastAsia"/>
                <w:szCs w:val="21"/>
                <w:highlight w:val="none"/>
              </w:rPr>
              <w:t>自备水源</w:t>
            </w:r>
          </w:p>
        </w:tc>
        <w:tc>
          <w:tcPr>
            <w:tcW w:w="1000" w:type="pct"/>
            <w:vAlign w:val="center"/>
          </w:tcPr>
          <w:p>
            <w:pPr>
              <w:jc w:val="center"/>
              <w:rPr>
                <w:szCs w:val="21"/>
                <w:highlight w:val="none"/>
              </w:rPr>
            </w:pP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PrEx>
        <w:trPr>
          <w:trHeight w:val="330" w:hRule="atLeast"/>
        </w:trPr>
        <w:tc>
          <w:tcPr>
            <w:tcW w:w="486" w:type="pct"/>
            <w:vAlign w:val="center"/>
          </w:tcPr>
          <w:p>
            <w:pPr>
              <w:jc w:val="center"/>
              <w:rPr>
                <w:szCs w:val="21"/>
                <w:highlight w:val="none"/>
              </w:rPr>
            </w:pPr>
            <w:r>
              <w:rPr>
                <w:szCs w:val="21"/>
                <w:highlight w:val="none"/>
              </w:rPr>
              <w:t>四</w:t>
            </w:r>
          </w:p>
        </w:tc>
        <w:tc>
          <w:tcPr>
            <w:tcW w:w="1514" w:type="pct"/>
            <w:vAlign w:val="center"/>
          </w:tcPr>
          <w:p>
            <w:pPr>
              <w:jc w:val="center"/>
              <w:rPr>
                <w:szCs w:val="21"/>
                <w:highlight w:val="none"/>
              </w:rPr>
            </w:pPr>
            <w:r>
              <w:rPr>
                <w:szCs w:val="21"/>
                <w:highlight w:val="none"/>
              </w:rPr>
              <w:t>沐川港区</w:t>
            </w:r>
          </w:p>
        </w:tc>
        <w:tc>
          <w:tcPr>
            <w:tcW w:w="1000" w:type="pct"/>
            <w:vAlign w:val="center"/>
          </w:tcPr>
          <w:p>
            <w:pPr>
              <w:jc w:val="center"/>
              <w:rPr>
                <w:szCs w:val="21"/>
                <w:highlight w:val="none"/>
              </w:rPr>
            </w:pPr>
            <w:r>
              <w:rPr>
                <w:szCs w:val="21"/>
                <w:highlight w:val="none"/>
              </w:rPr>
              <w:t>　</w:t>
            </w:r>
          </w:p>
        </w:tc>
        <w:tc>
          <w:tcPr>
            <w:tcW w:w="1000" w:type="pct"/>
            <w:vAlign w:val="center"/>
          </w:tcPr>
          <w:p>
            <w:pPr>
              <w:jc w:val="center"/>
              <w:rPr>
                <w:szCs w:val="21"/>
                <w:highlight w:val="none"/>
              </w:rPr>
            </w:pPr>
            <w:r>
              <w:rPr>
                <w:szCs w:val="21"/>
                <w:highlight w:val="none"/>
              </w:rPr>
              <w:t>　</w:t>
            </w:r>
          </w:p>
        </w:tc>
        <w:tc>
          <w:tcPr>
            <w:tcW w:w="1000" w:type="pct"/>
            <w:vAlign w:val="center"/>
          </w:tcPr>
          <w:p>
            <w:pPr>
              <w:jc w:val="center"/>
              <w:rPr>
                <w:szCs w:val="21"/>
                <w:highlight w:val="none"/>
              </w:rPr>
            </w:pPr>
            <w:r>
              <w:rPr>
                <w:szCs w:val="21"/>
                <w:highlight w:val="none"/>
              </w:rPr>
              <w:t>　</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86" w:type="pct"/>
            <w:vAlign w:val="center"/>
          </w:tcPr>
          <w:p>
            <w:pPr>
              <w:jc w:val="center"/>
              <w:rPr>
                <w:szCs w:val="21"/>
                <w:highlight w:val="none"/>
              </w:rPr>
            </w:pPr>
            <w:r>
              <w:rPr>
                <w:szCs w:val="21"/>
                <w:highlight w:val="none"/>
              </w:rPr>
              <w:t>1　</w:t>
            </w:r>
          </w:p>
        </w:tc>
        <w:tc>
          <w:tcPr>
            <w:tcW w:w="1514" w:type="pct"/>
            <w:vAlign w:val="center"/>
          </w:tcPr>
          <w:p>
            <w:pPr>
              <w:jc w:val="center"/>
              <w:rPr>
                <w:szCs w:val="21"/>
                <w:highlight w:val="none"/>
              </w:rPr>
            </w:pPr>
            <w:r>
              <w:rPr>
                <w:szCs w:val="21"/>
                <w:highlight w:val="none"/>
              </w:rPr>
              <w:t>罗家坝作业区</w:t>
            </w:r>
          </w:p>
        </w:tc>
        <w:tc>
          <w:tcPr>
            <w:tcW w:w="1000" w:type="pct"/>
            <w:vAlign w:val="center"/>
          </w:tcPr>
          <w:p>
            <w:pPr>
              <w:jc w:val="center"/>
              <w:rPr>
                <w:szCs w:val="21"/>
                <w:highlight w:val="none"/>
              </w:rPr>
            </w:pPr>
            <w:r>
              <w:rPr>
                <w:szCs w:val="21"/>
                <w:highlight w:val="none"/>
              </w:rPr>
              <w:t>1200</w:t>
            </w:r>
          </w:p>
        </w:tc>
        <w:tc>
          <w:tcPr>
            <w:tcW w:w="1000" w:type="pct"/>
            <w:vAlign w:val="center"/>
          </w:tcPr>
          <w:p>
            <w:pPr>
              <w:jc w:val="center"/>
              <w:rPr>
                <w:szCs w:val="21"/>
                <w:highlight w:val="none"/>
              </w:rPr>
            </w:pPr>
            <w:r>
              <w:rPr>
                <w:szCs w:val="21"/>
                <w:highlight w:val="none"/>
              </w:rPr>
              <w:t>自备水源</w:t>
            </w:r>
          </w:p>
        </w:tc>
        <w:tc>
          <w:tcPr>
            <w:tcW w:w="1000" w:type="pct"/>
            <w:vAlign w:val="center"/>
          </w:tcPr>
          <w:p>
            <w:pPr>
              <w:jc w:val="center"/>
              <w:rPr>
                <w:szCs w:val="21"/>
                <w:highlight w:val="none"/>
              </w:rPr>
            </w:pPr>
            <w:r>
              <w:rPr>
                <w:szCs w:val="21"/>
                <w:highlight w:val="none"/>
              </w:rPr>
              <w:t>　</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86" w:type="pct"/>
            <w:vAlign w:val="center"/>
          </w:tcPr>
          <w:p>
            <w:pPr>
              <w:jc w:val="center"/>
              <w:rPr>
                <w:szCs w:val="21"/>
                <w:highlight w:val="none"/>
              </w:rPr>
            </w:pPr>
            <w:r>
              <w:rPr>
                <w:rFonts w:hint="eastAsia"/>
                <w:szCs w:val="21"/>
                <w:highlight w:val="none"/>
              </w:rPr>
              <w:t>2</w:t>
            </w:r>
          </w:p>
        </w:tc>
        <w:tc>
          <w:tcPr>
            <w:tcW w:w="1514" w:type="pct"/>
            <w:vAlign w:val="center"/>
          </w:tcPr>
          <w:p>
            <w:pPr>
              <w:jc w:val="center"/>
              <w:rPr>
                <w:szCs w:val="21"/>
                <w:highlight w:val="none"/>
              </w:rPr>
            </w:pPr>
            <w:r>
              <w:rPr>
                <w:kern w:val="0"/>
                <w:sz w:val="20"/>
                <w:szCs w:val="20"/>
                <w:highlight w:val="none"/>
              </w:rPr>
              <w:t>炭库古镇旅游客运码头</w:t>
            </w:r>
          </w:p>
        </w:tc>
        <w:tc>
          <w:tcPr>
            <w:tcW w:w="1000" w:type="pct"/>
            <w:vAlign w:val="center"/>
          </w:tcPr>
          <w:p>
            <w:pPr>
              <w:jc w:val="center"/>
              <w:rPr>
                <w:szCs w:val="21"/>
                <w:highlight w:val="none"/>
              </w:rPr>
            </w:pPr>
            <w:r>
              <w:rPr>
                <w:szCs w:val="21"/>
                <w:highlight w:val="none"/>
              </w:rPr>
              <w:t>200</w:t>
            </w:r>
          </w:p>
        </w:tc>
        <w:tc>
          <w:tcPr>
            <w:tcW w:w="1000" w:type="pct"/>
            <w:vAlign w:val="center"/>
          </w:tcPr>
          <w:p>
            <w:pPr>
              <w:ind w:firstLine="420" w:firstLineChars="200"/>
              <w:rPr>
                <w:szCs w:val="21"/>
                <w:highlight w:val="none"/>
              </w:rPr>
            </w:pPr>
            <w:r>
              <w:rPr>
                <w:szCs w:val="21"/>
                <w:highlight w:val="none"/>
              </w:rPr>
              <w:t>自备水源</w:t>
            </w:r>
          </w:p>
        </w:tc>
        <w:tc>
          <w:tcPr>
            <w:tcW w:w="1000" w:type="pct"/>
            <w:vAlign w:val="center"/>
          </w:tcPr>
          <w:p>
            <w:pPr>
              <w:jc w:val="center"/>
              <w:rPr>
                <w:szCs w:val="21"/>
                <w:highlight w:val="none"/>
              </w:rPr>
            </w:pP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86" w:type="pct"/>
            <w:vAlign w:val="center"/>
          </w:tcPr>
          <w:p>
            <w:pPr>
              <w:jc w:val="center"/>
              <w:rPr>
                <w:szCs w:val="21"/>
                <w:highlight w:val="none"/>
              </w:rPr>
            </w:pPr>
            <w:r>
              <w:rPr>
                <w:szCs w:val="21"/>
                <w:highlight w:val="none"/>
              </w:rPr>
              <w:t>3　</w:t>
            </w:r>
          </w:p>
        </w:tc>
        <w:tc>
          <w:tcPr>
            <w:tcW w:w="1514" w:type="pct"/>
            <w:vAlign w:val="center"/>
          </w:tcPr>
          <w:p>
            <w:pPr>
              <w:jc w:val="center"/>
              <w:rPr>
                <w:szCs w:val="21"/>
                <w:highlight w:val="none"/>
              </w:rPr>
            </w:pPr>
            <w:r>
              <w:rPr>
                <w:szCs w:val="21"/>
                <w:highlight w:val="none"/>
              </w:rPr>
              <w:t>茨竹坪散货码头</w:t>
            </w:r>
          </w:p>
        </w:tc>
        <w:tc>
          <w:tcPr>
            <w:tcW w:w="1000" w:type="pct"/>
            <w:vAlign w:val="center"/>
          </w:tcPr>
          <w:p>
            <w:pPr>
              <w:jc w:val="center"/>
              <w:rPr>
                <w:szCs w:val="21"/>
                <w:highlight w:val="none"/>
              </w:rPr>
            </w:pPr>
            <w:r>
              <w:rPr>
                <w:szCs w:val="21"/>
                <w:highlight w:val="none"/>
              </w:rPr>
              <w:t>600</w:t>
            </w:r>
          </w:p>
        </w:tc>
        <w:tc>
          <w:tcPr>
            <w:tcW w:w="1000" w:type="pct"/>
            <w:vAlign w:val="center"/>
          </w:tcPr>
          <w:p>
            <w:pPr>
              <w:jc w:val="center"/>
              <w:rPr>
                <w:szCs w:val="21"/>
                <w:highlight w:val="none"/>
              </w:rPr>
            </w:pPr>
            <w:r>
              <w:rPr>
                <w:szCs w:val="21"/>
                <w:highlight w:val="none"/>
              </w:rPr>
              <w:t>自备水源</w:t>
            </w:r>
          </w:p>
        </w:tc>
        <w:tc>
          <w:tcPr>
            <w:tcW w:w="1000" w:type="pct"/>
            <w:vAlign w:val="center"/>
          </w:tcPr>
          <w:p>
            <w:pPr>
              <w:jc w:val="center"/>
              <w:rPr>
                <w:szCs w:val="21"/>
                <w:highlight w:val="none"/>
              </w:rPr>
            </w:pPr>
            <w:r>
              <w:rPr>
                <w:szCs w:val="21"/>
                <w:highlight w:val="none"/>
              </w:rPr>
              <w:t>　</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86" w:type="pct"/>
            <w:vAlign w:val="center"/>
          </w:tcPr>
          <w:p>
            <w:pPr>
              <w:jc w:val="center"/>
              <w:rPr>
                <w:szCs w:val="21"/>
                <w:highlight w:val="none"/>
              </w:rPr>
            </w:pPr>
            <w:r>
              <w:rPr>
                <w:szCs w:val="21"/>
                <w:highlight w:val="none"/>
              </w:rPr>
              <w:t>五</w:t>
            </w:r>
          </w:p>
        </w:tc>
        <w:tc>
          <w:tcPr>
            <w:tcW w:w="1514" w:type="pct"/>
            <w:vAlign w:val="center"/>
          </w:tcPr>
          <w:p>
            <w:pPr>
              <w:jc w:val="center"/>
              <w:rPr>
                <w:szCs w:val="21"/>
                <w:highlight w:val="none"/>
              </w:rPr>
            </w:pPr>
            <w:r>
              <w:rPr>
                <w:szCs w:val="21"/>
                <w:highlight w:val="none"/>
              </w:rPr>
              <w:t>沙湾港区</w:t>
            </w:r>
          </w:p>
        </w:tc>
        <w:tc>
          <w:tcPr>
            <w:tcW w:w="1000" w:type="pct"/>
            <w:vAlign w:val="center"/>
          </w:tcPr>
          <w:p>
            <w:pPr>
              <w:jc w:val="center"/>
              <w:rPr>
                <w:szCs w:val="21"/>
                <w:highlight w:val="none"/>
              </w:rPr>
            </w:pPr>
            <w:r>
              <w:rPr>
                <w:szCs w:val="21"/>
                <w:highlight w:val="none"/>
              </w:rPr>
              <w:t>　</w:t>
            </w:r>
          </w:p>
        </w:tc>
        <w:tc>
          <w:tcPr>
            <w:tcW w:w="1000" w:type="pct"/>
            <w:vAlign w:val="center"/>
          </w:tcPr>
          <w:p>
            <w:pPr>
              <w:jc w:val="center"/>
              <w:rPr>
                <w:szCs w:val="21"/>
                <w:highlight w:val="none"/>
              </w:rPr>
            </w:pPr>
            <w:r>
              <w:rPr>
                <w:szCs w:val="21"/>
                <w:highlight w:val="none"/>
              </w:rPr>
              <w:t>　</w:t>
            </w:r>
          </w:p>
        </w:tc>
        <w:tc>
          <w:tcPr>
            <w:tcW w:w="1000" w:type="pct"/>
            <w:vAlign w:val="center"/>
          </w:tcPr>
          <w:p>
            <w:pPr>
              <w:jc w:val="center"/>
              <w:rPr>
                <w:szCs w:val="21"/>
                <w:highlight w:val="none"/>
              </w:rPr>
            </w:pPr>
            <w:r>
              <w:rPr>
                <w:szCs w:val="21"/>
                <w:highlight w:val="none"/>
              </w:rPr>
              <w:t>　</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86" w:type="pct"/>
            <w:vAlign w:val="center"/>
          </w:tcPr>
          <w:p>
            <w:pPr>
              <w:jc w:val="center"/>
              <w:rPr>
                <w:szCs w:val="21"/>
                <w:highlight w:val="none"/>
              </w:rPr>
            </w:pPr>
            <w:r>
              <w:rPr>
                <w:rFonts w:hint="eastAsia"/>
                <w:szCs w:val="21"/>
                <w:highlight w:val="none"/>
              </w:rPr>
              <w:t>1</w:t>
            </w:r>
          </w:p>
        </w:tc>
        <w:tc>
          <w:tcPr>
            <w:tcW w:w="1514" w:type="pct"/>
            <w:vAlign w:val="center"/>
          </w:tcPr>
          <w:p>
            <w:pPr>
              <w:jc w:val="center"/>
              <w:rPr>
                <w:szCs w:val="21"/>
                <w:highlight w:val="none"/>
              </w:rPr>
            </w:pPr>
            <w:r>
              <w:rPr>
                <w:szCs w:val="21"/>
                <w:highlight w:val="none"/>
              </w:rPr>
              <w:t>代湾码头</w:t>
            </w:r>
          </w:p>
        </w:tc>
        <w:tc>
          <w:tcPr>
            <w:tcW w:w="1000" w:type="pct"/>
            <w:vAlign w:val="center"/>
          </w:tcPr>
          <w:p>
            <w:pPr>
              <w:jc w:val="center"/>
              <w:rPr>
                <w:szCs w:val="21"/>
                <w:highlight w:val="none"/>
              </w:rPr>
            </w:pPr>
            <w:r>
              <w:rPr>
                <w:szCs w:val="21"/>
                <w:highlight w:val="none"/>
              </w:rPr>
              <w:t>600</w:t>
            </w:r>
          </w:p>
        </w:tc>
        <w:tc>
          <w:tcPr>
            <w:tcW w:w="1000" w:type="pct"/>
            <w:vAlign w:val="center"/>
          </w:tcPr>
          <w:p>
            <w:pPr>
              <w:jc w:val="center"/>
              <w:rPr>
                <w:szCs w:val="21"/>
                <w:highlight w:val="none"/>
              </w:rPr>
            </w:pPr>
            <w:r>
              <w:rPr>
                <w:szCs w:val="21"/>
                <w:highlight w:val="none"/>
              </w:rPr>
              <w:t>自备水源</w:t>
            </w:r>
          </w:p>
        </w:tc>
        <w:tc>
          <w:tcPr>
            <w:tcW w:w="1000" w:type="pct"/>
            <w:vAlign w:val="center"/>
          </w:tcPr>
          <w:p>
            <w:pPr>
              <w:jc w:val="center"/>
              <w:rPr>
                <w:szCs w:val="21"/>
                <w:highlight w:val="none"/>
              </w:rPr>
            </w:pP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86" w:type="pct"/>
            <w:vAlign w:val="center"/>
          </w:tcPr>
          <w:p>
            <w:pPr>
              <w:jc w:val="center"/>
              <w:rPr>
                <w:szCs w:val="21"/>
                <w:highlight w:val="none"/>
              </w:rPr>
            </w:pPr>
            <w:r>
              <w:rPr>
                <w:szCs w:val="21"/>
                <w:highlight w:val="none"/>
              </w:rPr>
              <w:t>2</w:t>
            </w:r>
          </w:p>
        </w:tc>
        <w:tc>
          <w:tcPr>
            <w:tcW w:w="1514" w:type="pct"/>
            <w:vAlign w:val="center"/>
          </w:tcPr>
          <w:p>
            <w:pPr>
              <w:jc w:val="center"/>
              <w:rPr>
                <w:szCs w:val="21"/>
                <w:highlight w:val="none"/>
              </w:rPr>
            </w:pPr>
            <w:r>
              <w:rPr>
                <w:szCs w:val="21"/>
                <w:highlight w:val="none"/>
              </w:rPr>
              <w:t>月亮湾客运码头</w:t>
            </w:r>
          </w:p>
        </w:tc>
        <w:tc>
          <w:tcPr>
            <w:tcW w:w="1000" w:type="pct"/>
            <w:vAlign w:val="center"/>
          </w:tcPr>
          <w:p>
            <w:pPr>
              <w:jc w:val="center"/>
              <w:rPr>
                <w:szCs w:val="21"/>
                <w:highlight w:val="none"/>
              </w:rPr>
            </w:pPr>
            <w:r>
              <w:rPr>
                <w:szCs w:val="21"/>
                <w:highlight w:val="none"/>
              </w:rPr>
              <w:t>400</w:t>
            </w:r>
          </w:p>
        </w:tc>
        <w:tc>
          <w:tcPr>
            <w:tcW w:w="1000" w:type="pct"/>
            <w:vAlign w:val="center"/>
          </w:tcPr>
          <w:p>
            <w:pPr>
              <w:jc w:val="center"/>
              <w:rPr>
                <w:szCs w:val="21"/>
                <w:highlight w:val="none"/>
              </w:rPr>
            </w:pPr>
            <w:r>
              <w:rPr>
                <w:szCs w:val="21"/>
                <w:highlight w:val="none"/>
              </w:rPr>
              <w:t>自备水源</w:t>
            </w:r>
          </w:p>
        </w:tc>
        <w:tc>
          <w:tcPr>
            <w:tcW w:w="1000" w:type="pct"/>
            <w:vAlign w:val="center"/>
          </w:tcPr>
          <w:p>
            <w:pPr>
              <w:jc w:val="center"/>
              <w:rPr>
                <w:szCs w:val="21"/>
                <w:highlight w:val="none"/>
              </w:rPr>
            </w:pPr>
            <w:r>
              <w:rPr>
                <w:szCs w:val="21"/>
                <w:highlight w:val="none"/>
              </w:rPr>
              <w:t>　</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86" w:type="pct"/>
            <w:vAlign w:val="center"/>
          </w:tcPr>
          <w:p>
            <w:pPr>
              <w:jc w:val="center"/>
              <w:rPr>
                <w:szCs w:val="21"/>
                <w:highlight w:val="none"/>
              </w:rPr>
            </w:pPr>
            <w:r>
              <w:rPr>
                <w:szCs w:val="21"/>
                <w:highlight w:val="none"/>
              </w:rPr>
              <w:t>六</w:t>
            </w:r>
          </w:p>
        </w:tc>
        <w:tc>
          <w:tcPr>
            <w:tcW w:w="1514" w:type="pct"/>
            <w:vAlign w:val="center"/>
          </w:tcPr>
          <w:p>
            <w:pPr>
              <w:jc w:val="center"/>
              <w:rPr>
                <w:szCs w:val="21"/>
                <w:highlight w:val="none"/>
              </w:rPr>
            </w:pPr>
            <w:r>
              <w:rPr>
                <w:szCs w:val="21"/>
                <w:highlight w:val="none"/>
              </w:rPr>
              <w:t>峨边港区</w:t>
            </w:r>
          </w:p>
        </w:tc>
        <w:tc>
          <w:tcPr>
            <w:tcW w:w="1000" w:type="pct"/>
            <w:vAlign w:val="center"/>
          </w:tcPr>
          <w:p>
            <w:pPr>
              <w:jc w:val="center"/>
              <w:rPr>
                <w:szCs w:val="21"/>
                <w:highlight w:val="none"/>
              </w:rPr>
            </w:pPr>
            <w:r>
              <w:rPr>
                <w:szCs w:val="21"/>
                <w:highlight w:val="none"/>
              </w:rPr>
              <w:t>　</w:t>
            </w:r>
          </w:p>
        </w:tc>
        <w:tc>
          <w:tcPr>
            <w:tcW w:w="1000" w:type="pct"/>
            <w:vAlign w:val="center"/>
          </w:tcPr>
          <w:p>
            <w:pPr>
              <w:jc w:val="center"/>
              <w:rPr>
                <w:szCs w:val="21"/>
                <w:highlight w:val="none"/>
              </w:rPr>
            </w:pPr>
            <w:r>
              <w:rPr>
                <w:szCs w:val="21"/>
                <w:highlight w:val="none"/>
              </w:rPr>
              <w:t>　</w:t>
            </w:r>
          </w:p>
        </w:tc>
        <w:tc>
          <w:tcPr>
            <w:tcW w:w="1000" w:type="pct"/>
            <w:vAlign w:val="center"/>
          </w:tcPr>
          <w:p>
            <w:pPr>
              <w:jc w:val="center"/>
              <w:rPr>
                <w:szCs w:val="21"/>
                <w:highlight w:val="none"/>
              </w:rPr>
            </w:pPr>
            <w:r>
              <w:rPr>
                <w:szCs w:val="21"/>
                <w:highlight w:val="none"/>
              </w:rPr>
              <w:t>　</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86" w:type="pct"/>
            <w:vAlign w:val="center"/>
          </w:tcPr>
          <w:p>
            <w:pPr>
              <w:jc w:val="center"/>
              <w:rPr>
                <w:szCs w:val="21"/>
                <w:highlight w:val="none"/>
              </w:rPr>
            </w:pPr>
            <w:r>
              <w:rPr>
                <w:szCs w:val="21"/>
                <w:highlight w:val="none"/>
              </w:rPr>
              <w:t>1</w:t>
            </w:r>
          </w:p>
        </w:tc>
        <w:tc>
          <w:tcPr>
            <w:tcW w:w="1514" w:type="pct"/>
            <w:vAlign w:val="center"/>
          </w:tcPr>
          <w:p>
            <w:pPr>
              <w:jc w:val="center"/>
              <w:rPr>
                <w:szCs w:val="21"/>
                <w:highlight w:val="none"/>
              </w:rPr>
            </w:pPr>
            <w:r>
              <w:rPr>
                <w:szCs w:val="21"/>
                <w:highlight w:val="none"/>
              </w:rPr>
              <w:t>龚嘴旅游客运作业区</w:t>
            </w:r>
          </w:p>
        </w:tc>
        <w:tc>
          <w:tcPr>
            <w:tcW w:w="1000" w:type="pct"/>
            <w:vAlign w:val="center"/>
          </w:tcPr>
          <w:p>
            <w:pPr>
              <w:jc w:val="center"/>
              <w:rPr>
                <w:szCs w:val="21"/>
                <w:highlight w:val="none"/>
              </w:rPr>
            </w:pPr>
            <w:r>
              <w:rPr>
                <w:szCs w:val="21"/>
                <w:highlight w:val="none"/>
              </w:rPr>
              <w:t>400</w:t>
            </w:r>
          </w:p>
        </w:tc>
        <w:tc>
          <w:tcPr>
            <w:tcW w:w="1000" w:type="pct"/>
            <w:vAlign w:val="center"/>
          </w:tcPr>
          <w:p>
            <w:pPr>
              <w:jc w:val="center"/>
              <w:rPr>
                <w:szCs w:val="21"/>
                <w:highlight w:val="none"/>
              </w:rPr>
            </w:pPr>
            <w:r>
              <w:rPr>
                <w:szCs w:val="21"/>
                <w:highlight w:val="none"/>
              </w:rPr>
              <w:t>自备水源</w:t>
            </w:r>
          </w:p>
        </w:tc>
        <w:tc>
          <w:tcPr>
            <w:tcW w:w="1000" w:type="pct"/>
            <w:vAlign w:val="center"/>
          </w:tcPr>
          <w:p>
            <w:pPr>
              <w:jc w:val="center"/>
              <w:rPr>
                <w:szCs w:val="21"/>
                <w:highlight w:val="none"/>
              </w:rPr>
            </w:pPr>
            <w:r>
              <w:rPr>
                <w:szCs w:val="21"/>
                <w:highlight w:val="none"/>
              </w:rPr>
              <w:t>　</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86" w:type="pct"/>
            <w:vAlign w:val="center"/>
          </w:tcPr>
          <w:p>
            <w:pPr>
              <w:jc w:val="center"/>
              <w:rPr>
                <w:szCs w:val="21"/>
                <w:highlight w:val="none"/>
              </w:rPr>
            </w:pPr>
            <w:r>
              <w:rPr>
                <w:szCs w:val="21"/>
                <w:highlight w:val="none"/>
              </w:rPr>
              <w:t>2</w:t>
            </w:r>
          </w:p>
        </w:tc>
        <w:tc>
          <w:tcPr>
            <w:tcW w:w="1514" w:type="pct"/>
            <w:vAlign w:val="center"/>
          </w:tcPr>
          <w:p>
            <w:pPr>
              <w:jc w:val="center"/>
              <w:rPr>
                <w:szCs w:val="21"/>
                <w:highlight w:val="none"/>
              </w:rPr>
            </w:pPr>
            <w:r>
              <w:rPr>
                <w:szCs w:val="21"/>
                <w:highlight w:val="none"/>
              </w:rPr>
              <w:t>龙眼坝码头</w:t>
            </w:r>
          </w:p>
        </w:tc>
        <w:tc>
          <w:tcPr>
            <w:tcW w:w="1000" w:type="pct"/>
            <w:vAlign w:val="center"/>
          </w:tcPr>
          <w:p>
            <w:pPr>
              <w:jc w:val="center"/>
              <w:rPr>
                <w:szCs w:val="21"/>
                <w:highlight w:val="none"/>
              </w:rPr>
            </w:pPr>
            <w:r>
              <w:rPr>
                <w:szCs w:val="21"/>
                <w:highlight w:val="none"/>
              </w:rPr>
              <w:t>600</w:t>
            </w:r>
          </w:p>
        </w:tc>
        <w:tc>
          <w:tcPr>
            <w:tcW w:w="1000" w:type="pct"/>
            <w:vAlign w:val="center"/>
          </w:tcPr>
          <w:p>
            <w:pPr>
              <w:jc w:val="center"/>
              <w:rPr>
                <w:szCs w:val="21"/>
                <w:highlight w:val="none"/>
              </w:rPr>
            </w:pPr>
            <w:r>
              <w:rPr>
                <w:szCs w:val="21"/>
                <w:highlight w:val="none"/>
              </w:rPr>
              <w:t>自备水源</w:t>
            </w:r>
          </w:p>
        </w:tc>
        <w:tc>
          <w:tcPr>
            <w:tcW w:w="1000" w:type="pct"/>
            <w:vAlign w:val="center"/>
          </w:tcPr>
          <w:p>
            <w:pPr>
              <w:jc w:val="center"/>
              <w:rPr>
                <w:szCs w:val="21"/>
                <w:highlight w:val="none"/>
              </w:rPr>
            </w:pPr>
            <w:r>
              <w:rPr>
                <w:szCs w:val="21"/>
                <w:highlight w:val="none"/>
              </w:rPr>
              <w:t>　</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86" w:type="pct"/>
            <w:vAlign w:val="center"/>
          </w:tcPr>
          <w:p>
            <w:pPr>
              <w:jc w:val="center"/>
              <w:rPr>
                <w:szCs w:val="21"/>
                <w:highlight w:val="none"/>
              </w:rPr>
            </w:pPr>
            <w:r>
              <w:rPr>
                <w:rFonts w:hint="eastAsia"/>
                <w:szCs w:val="21"/>
                <w:highlight w:val="none"/>
              </w:rPr>
              <w:t>3</w:t>
            </w:r>
          </w:p>
        </w:tc>
        <w:tc>
          <w:tcPr>
            <w:tcW w:w="1514" w:type="pct"/>
            <w:vAlign w:val="center"/>
          </w:tcPr>
          <w:p>
            <w:pPr>
              <w:jc w:val="center"/>
              <w:rPr>
                <w:szCs w:val="21"/>
                <w:highlight w:val="none"/>
              </w:rPr>
            </w:pPr>
            <w:r>
              <w:rPr>
                <w:szCs w:val="21"/>
                <w:highlight w:val="none"/>
              </w:rPr>
              <w:t>白果散货码头</w:t>
            </w:r>
          </w:p>
        </w:tc>
        <w:tc>
          <w:tcPr>
            <w:tcW w:w="1000" w:type="pct"/>
            <w:vAlign w:val="center"/>
          </w:tcPr>
          <w:p>
            <w:pPr>
              <w:jc w:val="center"/>
              <w:rPr>
                <w:szCs w:val="21"/>
                <w:highlight w:val="none"/>
              </w:rPr>
            </w:pPr>
            <w:r>
              <w:rPr>
                <w:szCs w:val="21"/>
                <w:highlight w:val="none"/>
              </w:rPr>
              <w:t>600</w:t>
            </w:r>
          </w:p>
        </w:tc>
        <w:tc>
          <w:tcPr>
            <w:tcW w:w="1000" w:type="pct"/>
            <w:vAlign w:val="center"/>
          </w:tcPr>
          <w:p>
            <w:pPr>
              <w:jc w:val="center"/>
              <w:rPr>
                <w:szCs w:val="21"/>
                <w:highlight w:val="none"/>
              </w:rPr>
            </w:pPr>
            <w:r>
              <w:rPr>
                <w:szCs w:val="21"/>
                <w:highlight w:val="none"/>
              </w:rPr>
              <w:t>自备水源</w:t>
            </w:r>
          </w:p>
        </w:tc>
        <w:tc>
          <w:tcPr>
            <w:tcW w:w="1000" w:type="pct"/>
            <w:vAlign w:val="center"/>
          </w:tcPr>
          <w:p>
            <w:pPr>
              <w:jc w:val="center"/>
              <w:rPr>
                <w:szCs w:val="21"/>
                <w:highlight w:val="none"/>
              </w:rPr>
            </w:pP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86" w:type="pct"/>
            <w:vAlign w:val="center"/>
          </w:tcPr>
          <w:p>
            <w:pPr>
              <w:jc w:val="center"/>
              <w:rPr>
                <w:szCs w:val="21"/>
                <w:highlight w:val="none"/>
              </w:rPr>
            </w:pPr>
            <w:r>
              <w:rPr>
                <w:szCs w:val="21"/>
                <w:highlight w:val="none"/>
              </w:rPr>
              <w:t>4</w:t>
            </w:r>
          </w:p>
        </w:tc>
        <w:tc>
          <w:tcPr>
            <w:tcW w:w="1514" w:type="pct"/>
            <w:vAlign w:val="center"/>
          </w:tcPr>
          <w:p>
            <w:pPr>
              <w:jc w:val="center"/>
              <w:rPr>
                <w:szCs w:val="21"/>
                <w:highlight w:val="none"/>
              </w:rPr>
            </w:pPr>
            <w:r>
              <w:rPr>
                <w:szCs w:val="21"/>
                <w:highlight w:val="none"/>
              </w:rPr>
              <w:t>五渡客运码头</w:t>
            </w:r>
          </w:p>
        </w:tc>
        <w:tc>
          <w:tcPr>
            <w:tcW w:w="1000" w:type="pct"/>
            <w:vAlign w:val="center"/>
          </w:tcPr>
          <w:p>
            <w:pPr>
              <w:jc w:val="center"/>
              <w:rPr>
                <w:szCs w:val="21"/>
                <w:highlight w:val="none"/>
              </w:rPr>
            </w:pPr>
            <w:r>
              <w:rPr>
                <w:szCs w:val="21"/>
                <w:highlight w:val="none"/>
              </w:rPr>
              <w:t>400</w:t>
            </w:r>
          </w:p>
        </w:tc>
        <w:tc>
          <w:tcPr>
            <w:tcW w:w="1000" w:type="pct"/>
            <w:vAlign w:val="center"/>
          </w:tcPr>
          <w:p>
            <w:pPr>
              <w:jc w:val="center"/>
              <w:rPr>
                <w:szCs w:val="21"/>
                <w:highlight w:val="none"/>
              </w:rPr>
            </w:pPr>
            <w:r>
              <w:rPr>
                <w:szCs w:val="21"/>
                <w:highlight w:val="none"/>
              </w:rPr>
              <w:t>自备水源</w:t>
            </w:r>
          </w:p>
        </w:tc>
        <w:tc>
          <w:tcPr>
            <w:tcW w:w="1000" w:type="pct"/>
            <w:vAlign w:val="center"/>
          </w:tcPr>
          <w:p>
            <w:pPr>
              <w:jc w:val="center"/>
              <w:rPr>
                <w:szCs w:val="21"/>
                <w:highlight w:val="none"/>
              </w:rPr>
            </w:pPr>
            <w:r>
              <w:rPr>
                <w:szCs w:val="21"/>
                <w:highlight w:val="none"/>
              </w:rPr>
              <w:t>　</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86" w:type="pct"/>
            <w:vAlign w:val="center"/>
          </w:tcPr>
          <w:p>
            <w:pPr>
              <w:jc w:val="center"/>
              <w:rPr>
                <w:szCs w:val="21"/>
                <w:highlight w:val="none"/>
              </w:rPr>
            </w:pPr>
            <w:r>
              <w:rPr>
                <w:szCs w:val="21"/>
                <w:highlight w:val="none"/>
              </w:rPr>
              <w:t>5</w:t>
            </w:r>
          </w:p>
        </w:tc>
        <w:tc>
          <w:tcPr>
            <w:tcW w:w="1514" w:type="pct"/>
            <w:vAlign w:val="center"/>
          </w:tcPr>
          <w:p>
            <w:pPr>
              <w:jc w:val="center"/>
              <w:rPr>
                <w:szCs w:val="21"/>
                <w:highlight w:val="none"/>
              </w:rPr>
            </w:pPr>
            <w:r>
              <w:rPr>
                <w:rFonts w:hint="eastAsia"/>
                <w:szCs w:val="21"/>
                <w:highlight w:val="none"/>
              </w:rPr>
              <w:t>五渡货运码头</w:t>
            </w:r>
          </w:p>
        </w:tc>
        <w:tc>
          <w:tcPr>
            <w:tcW w:w="1000" w:type="pct"/>
            <w:vAlign w:val="center"/>
          </w:tcPr>
          <w:p>
            <w:pPr>
              <w:jc w:val="center"/>
              <w:rPr>
                <w:szCs w:val="21"/>
                <w:highlight w:val="none"/>
              </w:rPr>
            </w:pPr>
            <w:r>
              <w:rPr>
                <w:szCs w:val="21"/>
                <w:highlight w:val="none"/>
              </w:rPr>
              <w:t>800</w:t>
            </w:r>
          </w:p>
        </w:tc>
        <w:tc>
          <w:tcPr>
            <w:tcW w:w="1000" w:type="pct"/>
            <w:vAlign w:val="center"/>
          </w:tcPr>
          <w:p>
            <w:pPr>
              <w:jc w:val="center"/>
              <w:rPr>
                <w:szCs w:val="21"/>
                <w:highlight w:val="none"/>
              </w:rPr>
            </w:pPr>
            <w:r>
              <w:rPr>
                <w:rFonts w:hint="eastAsia"/>
                <w:szCs w:val="21"/>
                <w:highlight w:val="none"/>
              </w:rPr>
              <w:t>自备水源</w:t>
            </w:r>
          </w:p>
        </w:tc>
        <w:tc>
          <w:tcPr>
            <w:tcW w:w="1000" w:type="pct"/>
            <w:vAlign w:val="center"/>
          </w:tcPr>
          <w:p>
            <w:pPr>
              <w:jc w:val="center"/>
              <w:rPr>
                <w:szCs w:val="21"/>
                <w:highlight w:val="none"/>
              </w:rPr>
            </w:pPr>
            <w:r>
              <w:rPr>
                <w:szCs w:val="21"/>
                <w:highlight w:val="none"/>
              </w:rPr>
              <w:t>　</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86" w:type="pct"/>
            <w:vAlign w:val="center"/>
          </w:tcPr>
          <w:p>
            <w:pPr>
              <w:jc w:val="center"/>
              <w:rPr>
                <w:szCs w:val="21"/>
                <w:highlight w:val="none"/>
              </w:rPr>
            </w:pPr>
            <w:r>
              <w:rPr>
                <w:szCs w:val="21"/>
                <w:highlight w:val="none"/>
              </w:rPr>
              <w:t>七</w:t>
            </w:r>
          </w:p>
        </w:tc>
        <w:tc>
          <w:tcPr>
            <w:tcW w:w="1514" w:type="pct"/>
            <w:vAlign w:val="center"/>
          </w:tcPr>
          <w:p>
            <w:pPr>
              <w:jc w:val="center"/>
              <w:rPr>
                <w:szCs w:val="21"/>
                <w:highlight w:val="none"/>
              </w:rPr>
            </w:pPr>
            <w:r>
              <w:rPr>
                <w:szCs w:val="21"/>
                <w:highlight w:val="none"/>
              </w:rPr>
              <w:t>金口河港区</w:t>
            </w:r>
          </w:p>
        </w:tc>
        <w:tc>
          <w:tcPr>
            <w:tcW w:w="1000" w:type="pct"/>
            <w:vAlign w:val="center"/>
          </w:tcPr>
          <w:p>
            <w:pPr>
              <w:jc w:val="center"/>
              <w:rPr>
                <w:szCs w:val="21"/>
                <w:highlight w:val="none"/>
              </w:rPr>
            </w:pPr>
            <w:r>
              <w:rPr>
                <w:szCs w:val="21"/>
                <w:highlight w:val="none"/>
              </w:rPr>
              <w:t>　</w:t>
            </w:r>
          </w:p>
        </w:tc>
        <w:tc>
          <w:tcPr>
            <w:tcW w:w="1000" w:type="pct"/>
            <w:vAlign w:val="center"/>
          </w:tcPr>
          <w:p>
            <w:pPr>
              <w:jc w:val="center"/>
              <w:rPr>
                <w:szCs w:val="21"/>
                <w:highlight w:val="none"/>
              </w:rPr>
            </w:pPr>
            <w:r>
              <w:rPr>
                <w:szCs w:val="21"/>
                <w:highlight w:val="none"/>
              </w:rPr>
              <w:t>　</w:t>
            </w:r>
          </w:p>
        </w:tc>
        <w:tc>
          <w:tcPr>
            <w:tcW w:w="1000" w:type="pct"/>
            <w:vAlign w:val="center"/>
          </w:tcPr>
          <w:p>
            <w:pPr>
              <w:jc w:val="center"/>
              <w:rPr>
                <w:szCs w:val="21"/>
                <w:highlight w:val="none"/>
              </w:rPr>
            </w:pPr>
            <w:r>
              <w:rPr>
                <w:szCs w:val="21"/>
                <w:highlight w:val="none"/>
              </w:rPr>
              <w:t>　</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86" w:type="pct"/>
            <w:vAlign w:val="center"/>
          </w:tcPr>
          <w:p>
            <w:pPr>
              <w:jc w:val="center"/>
              <w:rPr>
                <w:szCs w:val="21"/>
                <w:highlight w:val="none"/>
              </w:rPr>
            </w:pPr>
            <w:r>
              <w:rPr>
                <w:szCs w:val="21"/>
                <w:highlight w:val="none"/>
              </w:rPr>
              <w:t>1　</w:t>
            </w:r>
          </w:p>
        </w:tc>
        <w:tc>
          <w:tcPr>
            <w:tcW w:w="1514" w:type="pct"/>
            <w:vAlign w:val="center"/>
          </w:tcPr>
          <w:p>
            <w:pPr>
              <w:jc w:val="center"/>
              <w:rPr>
                <w:szCs w:val="21"/>
                <w:highlight w:val="none"/>
              </w:rPr>
            </w:pPr>
            <w:r>
              <w:rPr>
                <w:szCs w:val="21"/>
                <w:highlight w:val="none"/>
              </w:rPr>
              <w:t>大峡谷客运</w:t>
            </w:r>
            <w:r>
              <w:rPr>
                <w:rFonts w:hint="eastAsia"/>
                <w:szCs w:val="21"/>
                <w:highlight w:val="none"/>
              </w:rPr>
              <w:t>码头</w:t>
            </w:r>
          </w:p>
        </w:tc>
        <w:tc>
          <w:tcPr>
            <w:tcW w:w="1000" w:type="pct"/>
            <w:vAlign w:val="center"/>
          </w:tcPr>
          <w:p>
            <w:pPr>
              <w:jc w:val="center"/>
              <w:rPr>
                <w:szCs w:val="21"/>
                <w:highlight w:val="none"/>
              </w:rPr>
            </w:pPr>
            <w:r>
              <w:rPr>
                <w:szCs w:val="21"/>
                <w:highlight w:val="none"/>
              </w:rPr>
              <w:t>400</w:t>
            </w:r>
          </w:p>
        </w:tc>
        <w:tc>
          <w:tcPr>
            <w:tcW w:w="1000" w:type="pct"/>
            <w:vAlign w:val="center"/>
          </w:tcPr>
          <w:p>
            <w:pPr>
              <w:jc w:val="center"/>
              <w:rPr>
                <w:szCs w:val="21"/>
                <w:highlight w:val="none"/>
              </w:rPr>
            </w:pPr>
            <w:r>
              <w:rPr>
                <w:szCs w:val="21"/>
                <w:highlight w:val="none"/>
              </w:rPr>
              <w:t>自备水源</w:t>
            </w:r>
          </w:p>
        </w:tc>
        <w:tc>
          <w:tcPr>
            <w:tcW w:w="1000" w:type="pct"/>
            <w:vAlign w:val="center"/>
          </w:tcPr>
          <w:p>
            <w:pPr>
              <w:jc w:val="center"/>
              <w:rPr>
                <w:szCs w:val="21"/>
                <w:highlight w:val="none"/>
              </w:rPr>
            </w:pPr>
            <w:r>
              <w:rPr>
                <w:szCs w:val="21"/>
                <w:highlight w:val="none"/>
              </w:rPr>
              <w:t>　</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PrEx>
        <w:trPr>
          <w:trHeight w:val="330" w:hRule="atLeast"/>
        </w:trPr>
        <w:tc>
          <w:tcPr>
            <w:tcW w:w="486" w:type="pct"/>
            <w:vAlign w:val="center"/>
          </w:tcPr>
          <w:p>
            <w:pPr>
              <w:jc w:val="center"/>
              <w:rPr>
                <w:szCs w:val="21"/>
                <w:highlight w:val="none"/>
              </w:rPr>
            </w:pPr>
            <w:r>
              <w:rPr>
                <w:szCs w:val="21"/>
                <w:highlight w:val="none"/>
              </w:rPr>
              <w:t>八</w:t>
            </w:r>
          </w:p>
        </w:tc>
        <w:tc>
          <w:tcPr>
            <w:tcW w:w="1514" w:type="pct"/>
            <w:vAlign w:val="center"/>
          </w:tcPr>
          <w:p>
            <w:pPr>
              <w:jc w:val="center"/>
              <w:rPr>
                <w:szCs w:val="21"/>
                <w:highlight w:val="none"/>
              </w:rPr>
            </w:pPr>
            <w:r>
              <w:rPr>
                <w:szCs w:val="21"/>
                <w:highlight w:val="none"/>
              </w:rPr>
              <w:t>夹江港区</w:t>
            </w:r>
          </w:p>
        </w:tc>
        <w:tc>
          <w:tcPr>
            <w:tcW w:w="1000" w:type="pct"/>
            <w:vAlign w:val="center"/>
          </w:tcPr>
          <w:p>
            <w:pPr>
              <w:jc w:val="center"/>
              <w:rPr>
                <w:szCs w:val="21"/>
                <w:highlight w:val="none"/>
              </w:rPr>
            </w:pPr>
            <w:r>
              <w:rPr>
                <w:szCs w:val="21"/>
                <w:highlight w:val="none"/>
              </w:rPr>
              <w:t>　</w:t>
            </w:r>
          </w:p>
        </w:tc>
        <w:tc>
          <w:tcPr>
            <w:tcW w:w="1000" w:type="pct"/>
            <w:vAlign w:val="center"/>
          </w:tcPr>
          <w:p>
            <w:pPr>
              <w:jc w:val="center"/>
              <w:rPr>
                <w:szCs w:val="21"/>
                <w:highlight w:val="none"/>
              </w:rPr>
            </w:pPr>
            <w:r>
              <w:rPr>
                <w:szCs w:val="21"/>
                <w:highlight w:val="none"/>
              </w:rPr>
              <w:t>　</w:t>
            </w:r>
          </w:p>
        </w:tc>
        <w:tc>
          <w:tcPr>
            <w:tcW w:w="1000" w:type="pct"/>
            <w:vAlign w:val="center"/>
          </w:tcPr>
          <w:p>
            <w:pPr>
              <w:jc w:val="center"/>
              <w:rPr>
                <w:szCs w:val="21"/>
                <w:highlight w:val="none"/>
              </w:rPr>
            </w:pPr>
            <w:r>
              <w:rPr>
                <w:szCs w:val="21"/>
                <w:highlight w:val="none"/>
              </w:rPr>
              <w:t>　</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86" w:type="pct"/>
            <w:vAlign w:val="center"/>
          </w:tcPr>
          <w:p>
            <w:pPr>
              <w:jc w:val="center"/>
              <w:rPr>
                <w:szCs w:val="21"/>
                <w:highlight w:val="none"/>
              </w:rPr>
            </w:pPr>
            <w:r>
              <w:rPr>
                <w:szCs w:val="21"/>
                <w:highlight w:val="none"/>
              </w:rPr>
              <w:t>1</w:t>
            </w:r>
          </w:p>
        </w:tc>
        <w:tc>
          <w:tcPr>
            <w:tcW w:w="1514" w:type="pct"/>
            <w:vAlign w:val="center"/>
          </w:tcPr>
          <w:p>
            <w:pPr>
              <w:jc w:val="center"/>
              <w:rPr>
                <w:szCs w:val="21"/>
                <w:highlight w:val="none"/>
              </w:rPr>
            </w:pPr>
            <w:r>
              <w:rPr>
                <w:szCs w:val="21"/>
                <w:highlight w:val="none"/>
              </w:rPr>
              <w:t>柏杨湾旅游客运</w:t>
            </w:r>
            <w:r>
              <w:rPr>
                <w:rFonts w:hint="eastAsia"/>
                <w:szCs w:val="21"/>
                <w:highlight w:val="none"/>
              </w:rPr>
              <w:t>码头</w:t>
            </w:r>
          </w:p>
        </w:tc>
        <w:tc>
          <w:tcPr>
            <w:tcW w:w="1000" w:type="pct"/>
            <w:vAlign w:val="center"/>
          </w:tcPr>
          <w:p>
            <w:pPr>
              <w:jc w:val="center"/>
              <w:rPr>
                <w:szCs w:val="21"/>
                <w:highlight w:val="none"/>
              </w:rPr>
            </w:pPr>
            <w:r>
              <w:rPr>
                <w:szCs w:val="21"/>
                <w:highlight w:val="none"/>
              </w:rPr>
              <w:t>600</w:t>
            </w:r>
          </w:p>
        </w:tc>
        <w:tc>
          <w:tcPr>
            <w:tcW w:w="1000" w:type="pct"/>
            <w:vAlign w:val="center"/>
          </w:tcPr>
          <w:p>
            <w:pPr>
              <w:jc w:val="center"/>
              <w:rPr>
                <w:szCs w:val="21"/>
                <w:highlight w:val="none"/>
              </w:rPr>
            </w:pPr>
            <w:r>
              <w:rPr>
                <w:szCs w:val="21"/>
                <w:highlight w:val="none"/>
              </w:rPr>
              <w:t>城市自来水</w:t>
            </w:r>
          </w:p>
        </w:tc>
        <w:tc>
          <w:tcPr>
            <w:tcW w:w="1000" w:type="pct"/>
            <w:vAlign w:val="center"/>
          </w:tcPr>
          <w:p>
            <w:pPr>
              <w:jc w:val="center"/>
              <w:rPr>
                <w:szCs w:val="21"/>
                <w:highlight w:val="none"/>
              </w:rPr>
            </w:pPr>
            <w:r>
              <w:rPr>
                <w:szCs w:val="21"/>
                <w:highlight w:val="none"/>
              </w:rPr>
              <w:t>　</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86" w:type="pct"/>
            <w:vAlign w:val="center"/>
          </w:tcPr>
          <w:p>
            <w:pPr>
              <w:jc w:val="center"/>
              <w:rPr>
                <w:szCs w:val="21"/>
                <w:highlight w:val="none"/>
              </w:rPr>
            </w:pPr>
            <w:r>
              <w:rPr>
                <w:szCs w:val="21"/>
                <w:highlight w:val="none"/>
              </w:rPr>
              <w:t>2　</w:t>
            </w:r>
          </w:p>
        </w:tc>
        <w:tc>
          <w:tcPr>
            <w:tcW w:w="1514" w:type="pct"/>
            <w:vAlign w:val="center"/>
          </w:tcPr>
          <w:p>
            <w:pPr>
              <w:jc w:val="center"/>
              <w:rPr>
                <w:szCs w:val="21"/>
                <w:highlight w:val="none"/>
              </w:rPr>
            </w:pPr>
            <w:r>
              <w:rPr>
                <w:szCs w:val="21"/>
                <w:highlight w:val="none"/>
              </w:rPr>
              <w:t>佩玉泉旅游客运码头</w:t>
            </w:r>
          </w:p>
        </w:tc>
        <w:tc>
          <w:tcPr>
            <w:tcW w:w="1000" w:type="pct"/>
            <w:vAlign w:val="center"/>
          </w:tcPr>
          <w:p>
            <w:pPr>
              <w:jc w:val="center"/>
              <w:rPr>
                <w:szCs w:val="21"/>
                <w:highlight w:val="none"/>
              </w:rPr>
            </w:pPr>
            <w:r>
              <w:rPr>
                <w:szCs w:val="21"/>
                <w:highlight w:val="none"/>
              </w:rPr>
              <w:t>200</w:t>
            </w:r>
          </w:p>
        </w:tc>
        <w:tc>
          <w:tcPr>
            <w:tcW w:w="1000" w:type="pct"/>
            <w:vAlign w:val="center"/>
          </w:tcPr>
          <w:p>
            <w:pPr>
              <w:jc w:val="center"/>
              <w:rPr>
                <w:szCs w:val="21"/>
                <w:highlight w:val="none"/>
              </w:rPr>
            </w:pPr>
            <w:r>
              <w:rPr>
                <w:szCs w:val="21"/>
                <w:highlight w:val="none"/>
              </w:rPr>
              <w:t>自备水源</w:t>
            </w:r>
          </w:p>
        </w:tc>
        <w:tc>
          <w:tcPr>
            <w:tcW w:w="1000" w:type="pct"/>
            <w:vAlign w:val="center"/>
          </w:tcPr>
          <w:p>
            <w:pPr>
              <w:jc w:val="center"/>
              <w:rPr>
                <w:szCs w:val="21"/>
                <w:highlight w:val="none"/>
              </w:rPr>
            </w:pPr>
            <w:r>
              <w:rPr>
                <w:szCs w:val="21"/>
                <w:highlight w:val="none"/>
              </w:rPr>
              <w:t>　</w:t>
            </w:r>
          </w:p>
        </w:tc>
      </w:tr>
    </w:tbl>
    <w:p>
      <w:pPr>
        <w:spacing w:before="312" w:beforeLines="100" w:line="360" w:lineRule="auto"/>
        <w:ind w:firstLine="562" w:firstLineChars="200"/>
        <w:rPr>
          <w:rFonts w:eastAsia="黑体"/>
          <w:b/>
          <w:sz w:val="28"/>
          <w:szCs w:val="28"/>
          <w:highlight w:val="none"/>
        </w:rPr>
      </w:pPr>
      <w:r>
        <w:rPr>
          <w:rFonts w:eastAsia="黑体"/>
          <w:b/>
          <w:sz w:val="28"/>
          <w:szCs w:val="28"/>
          <w:highlight w:val="none"/>
        </w:rPr>
        <w:t>二、排水</w:t>
      </w:r>
    </w:p>
    <w:p>
      <w:pPr>
        <w:spacing w:line="360" w:lineRule="auto"/>
        <w:ind w:firstLine="560" w:firstLineChars="200"/>
        <w:rPr>
          <w:sz w:val="28"/>
          <w:szCs w:val="28"/>
          <w:highlight w:val="none"/>
        </w:rPr>
      </w:pPr>
      <w:r>
        <w:rPr>
          <w:sz w:val="28"/>
          <w:szCs w:val="28"/>
          <w:highlight w:val="none"/>
        </w:rPr>
        <w:t>乐山中心城区、县城和重点镇区排水体制采用雨污分流制；一般乡镇有条件可采用雨污分流制，或根据地形采用截流式合流制、不完全分流制（只收集污水），农村采用合流制或不完全分流制（只收集污水）。乐山市域各城市已建城市污水厂共有12座，总处理能力达到20.8 万m</w:t>
      </w:r>
      <w:r>
        <w:rPr>
          <w:sz w:val="28"/>
          <w:szCs w:val="28"/>
          <w:highlight w:val="none"/>
          <w:vertAlign w:val="superscript"/>
        </w:rPr>
        <w:t>3</w:t>
      </w:r>
      <w:r>
        <w:rPr>
          <w:sz w:val="28"/>
          <w:szCs w:val="28"/>
          <w:highlight w:val="none"/>
        </w:rPr>
        <w:t>/d。根据地形地势及污水产生、收集的范围，远期乐山市域城市污水厂共设置13座，总处理规模67万m</w:t>
      </w:r>
      <w:r>
        <w:rPr>
          <w:sz w:val="28"/>
          <w:szCs w:val="28"/>
          <w:highlight w:val="none"/>
          <w:vertAlign w:val="superscript"/>
        </w:rPr>
        <w:t>3</w:t>
      </w:r>
      <w:r>
        <w:rPr>
          <w:sz w:val="28"/>
          <w:szCs w:val="28"/>
          <w:highlight w:val="none"/>
        </w:rPr>
        <w:t>/d。其中扩建污水厂10座、新建污水厂3 座。</w:t>
      </w:r>
    </w:p>
    <w:p>
      <w:pPr>
        <w:spacing w:line="360" w:lineRule="auto"/>
        <w:ind w:firstLine="560" w:firstLineChars="200"/>
        <w:rPr>
          <w:rFonts w:eastAsia="黑体"/>
          <w:sz w:val="28"/>
          <w:szCs w:val="28"/>
          <w:highlight w:val="none"/>
        </w:rPr>
      </w:pPr>
      <w:r>
        <w:rPr>
          <w:sz w:val="28"/>
          <w:szCs w:val="28"/>
          <w:highlight w:val="none"/>
        </w:rPr>
        <w:t>规划各作业区雨水充分利用山区坡地和自然冲沟，就近分散排入江中；对散货雨淋污水、清洗车辆及含油污水、船舶废弃物及洗舱、化学品残留物产生的废水应先进行沉淀、油水分离后，再集中收集后排入市政污水管网，经污水厂处理达标后统一排放；对于接入城市污水处理厂较困难的作业区，可自设小型污水处理站，对污水进行处理达标后排放。</w:t>
      </w:r>
    </w:p>
    <w:p>
      <w:pPr>
        <w:spacing w:before="156" w:beforeLines="50" w:after="156" w:afterLines="50" w:line="520" w:lineRule="exact"/>
        <w:jc w:val="center"/>
        <w:outlineLvl w:val="1"/>
        <w:rPr>
          <w:rFonts w:eastAsia="黑体"/>
          <w:b/>
          <w:sz w:val="30"/>
          <w:highlight w:val="none"/>
        </w:rPr>
      </w:pPr>
      <w:bookmarkStart w:id="244" w:name="_Toc67908297"/>
      <w:bookmarkStart w:id="245" w:name="_Toc77781930"/>
      <w:r>
        <w:rPr>
          <w:rFonts w:eastAsia="黑体"/>
          <w:b/>
          <w:sz w:val="30"/>
          <w:highlight w:val="none"/>
        </w:rPr>
        <w:t>第四节</w:t>
      </w:r>
      <w:r>
        <w:rPr>
          <w:rFonts w:hint="eastAsia" w:eastAsia="黑体"/>
          <w:b/>
          <w:sz w:val="30"/>
          <w:highlight w:val="none"/>
        </w:rPr>
        <w:t xml:space="preserve"> </w:t>
      </w:r>
      <w:r>
        <w:rPr>
          <w:rFonts w:eastAsia="黑体"/>
          <w:b/>
          <w:sz w:val="30"/>
          <w:highlight w:val="none"/>
        </w:rPr>
        <w:t>通信信息规划</w:t>
      </w:r>
      <w:bookmarkEnd w:id="244"/>
      <w:bookmarkEnd w:id="245"/>
    </w:p>
    <w:p>
      <w:pPr>
        <w:pStyle w:val="2"/>
        <w:spacing w:line="360" w:lineRule="auto"/>
        <w:ind w:firstLine="562" w:firstLineChars="200"/>
        <w:rPr>
          <w:rFonts w:ascii="Times New Roman" w:eastAsia="黑体" w:cs="Times New Roman"/>
          <w:b/>
          <w:color w:val="auto"/>
          <w:kern w:val="2"/>
          <w:sz w:val="28"/>
          <w:szCs w:val="28"/>
          <w:highlight w:val="none"/>
        </w:rPr>
      </w:pPr>
      <w:r>
        <w:rPr>
          <w:rFonts w:ascii="Times New Roman" w:eastAsia="黑体" w:cs="Times New Roman"/>
          <w:b/>
          <w:color w:val="auto"/>
          <w:kern w:val="2"/>
          <w:sz w:val="28"/>
          <w:szCs w:val="28"/>
          <w:highlight w:val="none"/>
        </w:rPr>
        <w:t>一、通信规划</w:t>
      </w:r>
    </w:p>
    <w:p>
      <w:pPr>
        <w:spacing w:line="360" w:lineRule="auto"/>
        <w:ind w:firstLine="480"/>
        <w:rPr>
          <w:sz w:val="28"/>
          <w:szCs w:val="28"/>
          <w:highlight w:val="none"/>
        </w:rPr>
      </w:pPr>
      <w:r>
        <w:rPr>
          <w:sz w:val="28"/>
          <w:szCs w:val="28"/>
          <w:highlight w:val="none"/>
        </w:rPr>
        <w:t>通信网络的建设以公众电信网络为依托，港口通信网各通信站间中继方式采用分站或支站方式。考虑到港口通信网交换机容量较大，对市话中继方式宜采用市话端局方式，将港口通信网汇接中心站以端局地位接入市话网。这种入网方式，技术上合理，有利于发挥港口程控交换机的业务功能，为港口电话用户提供方便、可靠的通信服务。</w:t>
      </w:r>
    </w:p>
    <w:p>
      <w:pPr>
        <w:spacing w:line="360" w:lineRule="auto"/>
        <w:ind w:firstLine="480"/>
        <w:rPr>
          <w:sz w:val="28"/>
          <w:szCs w:val="28"/>
          <w:highlight w:val="none"/>
        </w:rPr>
      </w:pPr>
      <w:r>
        <w:rPr>
          <w:sz w:val="28"/>
          <w:szCs w:val="28"/>
          <w:highlight w:val="none"/>
        </w:rPr>
        <w:t>港口通信设施应与港口陆域设施同步建设。港区建设时，应在港区的适当位置设置通信站，以满足港区生产指挥对通信的需求。港区通信线路宜全部采用管道敷设方式，管孔数量应能满足远期通信要求。为保证港口生产调度顺利，应设置港口分级调度通信系统，在局机关设置总调度，在各港区设置分调度。</w:t>
      </w:r>
    </w:p>
    <w:p>
      <w:pPr>
        <w:spacing w:line="360" w:lineRule="auto"/>
        <w:ind w:firstLine="480"/>
        <w:rPr>
          <w:sz w:val="28"/>
          <w:szCs w:val="28"/>
          <w:highlight w:val="none"/>
        </w:rPr>
      </w:pPr>
      <w:r>
        <w:rPr>
          <w:sz w:val="28"/>
          <w:szCs w:val="28"/>
          <w:highlight w:val="none"/>
        </w:rPr>
        <w:t>建立5G网络系统，实现港口与交通部、省、市交通主管机关，沿江内河主要港口、公路主枢纽和部属主要企事业单位的通信。利用通信技术的发展成果更新改造本港的专用通信网，解决调度部门与港区作业车船、流动机械以及其它各生产环节的通信联络，使其满足港口生产、管理的需要。港口将形成整体化的港口数字通信网络，发展综合业务功能，为港口生产、管理部门提供电话、数据、传真和图像等多种业务；逐步开放高速的数字数据业务、分组交换数据业务、电子信箱业务、电子数据交换业务、存储转发传真业务、电信智能网业务、可视图文业务、个人通信业务、综合业务数字网。</w:t>
      </w:r>
    </w:p>
    <w:p>
      <w:pPr>
        <w:spacing w:line="360" w:lineRule="auto"/>
        <w:ind w:firstLine="480"/>
        <w:rPr>
          <w:sz w:val="28"/>
          <w:szCs w:val="28"/>
          <w:highlight w:val="none"/>
        </w:rPr>
      </w:pPr>
      <w:r>
        <w:rPr>
          <w:sz w:val="28"/>
          <w:szCs w:val="28"/>
          <w:highlight w:val="none"/>
        </w:rPr>
        <w:t>为保障应急情况下的通信，乐山港和各成规模港区配备收、发网址，带有相应转接设备的短波15W单边带电台，各作业区配备甚高频无线电话，作业区内设置广播系统。</w:t>
      </w:r>
    </w:p>
    <w:p>
      <w:pPr>
        <w:spacing w:line="360" w:lineRule="auto"/>
        <w:ind w:firstLine="480"/>
        <w:rPr>
          <w:sz w:val="28"/>
          <w:szCs w:val="28"/>
          <w:highlight w:val="none"/>
        </w:rPr>
      </w:pPr>
      <w:r>
        <w:rPr>
          <w:sz w:val="28"/>
          <w:szCs w:val="28"/>
          <w:highlight w:val="none"/>
        </w:rPr>
        <w:t>为使船舶安全、迅速地进出港，在各作业区均设置岸标导航。</w:t>
      </w:r>
    </w:p>
    <w:p>
      <w:pPr>
        <w:pStyle w:val="2"/>
        <w:spacing w:line="360" w:lineRule="auto"/>
        <w:ind w:firstLine="562" w:firstLineChars="200"/>
        <w:rPr>
          <w:rFonts w:ascii="Times New Roman" w:eastAsia="黑体" w:cs="Times New Roman"/>
          <w:b/>
          <w:color w:val="auto"/>
          <w:kern w:val="2"/>
          <w:sz w:val="28"/>
          <w:szCs w:val="28"/>
          <w:highlight w:val="none"/>
        </w:rPr>
      </w:pPr>
      <w:r>
        <w:rPr>
          <w:rFonts w:ascii="Times New Roman" w:eastAsia="黑体" w:cs="Times New Roman"/>
          <w:b/>
          <w:color w:val="auto"/>
          <w:kern w:val="2"/>
          <w:sz w:val="28"/>
          <w:szCs w:val="28"/>
          <w:highlight w:val="none"/>
        </w:rPr>
        <w:t>二、信息规划</w:t>
      </w:r>
    </w:p>
    <w:p>
      <w:pPr>
        <w:spacing w:line="360" w:lineRule="auto"/>
        <w:ind w:firstLine="560" w:firstLineChars="200"/>
        <w:rPr>
          <w:sz w:val="28"/>
          <w:szCs w:val="28"/>
          <w:highlight w:val="none"/>
        </w:rPr>
      </w:pPr>
      <w:r>
        <w:rPr>
          <w:sz w:val="28"/>
          <w:szCs w:val="28"/>
          <w:highlight w:val="none"/>
        </w:rPr>
        <w:t>优化现有的数据流程和企业内部信息资源，集成企业内部相关业务信息系统，初步建立港口内部的决策系统，提高整个乐山港的信息系统应用水平，促进港口企业生产效率和管理决策水平的提高。</w:t>
      </w:r>
    </w:p>
    <w:p>
      <w:pPr>
        <w:spacing w:line="360" w:lineRule="auto"/>
        <w:ind w:firstLine="560" w:firstLineChars="200"/>
        <w:rPr>
          <w:sz w:val="28"/>
          <w:szCs w:val="28"/>
          <w:highlight w:val="none"/>
        </w:rPr>
      </w:pPr>
      <w:r>
        <w:rPr>
          <w:sz w:val="28"/>
          <w:szCs w:val="28"/>
          <w:highlight w:val="none"/>
        </w:rPr>
        <w:t>适应国内航运市场的发展，着眼于港口的功能定位，统一规划，建设覆盖全港的网络平台；在此基础上建设功能完善的EDI系统和相关业务之间的工作流管理系统（WFMS），建成港口的电子商务平台和物流管理平台。从而营造通畅的信息服务环境，提高企业对外的信息服务水平和能力，促进港口信息化平衡发展。</w:t>
      </w:r>
    </w:p>
    <w:p>
      <w:pPr>
        <w:spacing w:line="360" w:lineRule="auto"/>
        <w:ind w:firstLine="560" w:firstLineChars="200"/>
        <w:rPr>
          <w:sz w:val="28"/>
          <w:szCs w:val="28"/>
          <w:highlight w:val="none"/>
        </w:rPr>
      </w:pPr>
      <w:r>
        <w:rPr>
          <w:sz w:val="28"/>
          <w:szCs w:val="28"/>
          <w:highlight w:val="none"/>
        </w:rPr>
        <w:t>制定信息系统运行、管理、维护相关的制度、规范及标准，并进行综合性人才培养，进一步提高各港口管理和生产人员的信息化水平，保证港口信息化的顺利推进。</w:t>
      </w:r>
    </w:p>
    <w:p>
      <w:pPr>
        <w:spacing w:line="360" w:lineRule="auto"/>
        <w:ind w:firstLine="560" w:firstLineChars="200"/>
        <w:rPr>
          <w:sz w:val="28"/>
          <w:szCs w:val="28"/>
          <w:highlight w:val="none"/>
        </w:rPr>
      </w:pPr>
      <w:r>
        <w:rPr>
          <w:sz w:val="28"/>
          <w:szCs w:val="28"/>
          <w:highlight w:val="none"/>
        </w:rPr>
        <w:t>在改造现有网络系统和应用系统的基础上，建成港口内联外通的网络信息系统。建成港口的EDI中心、物流信息中心，建立丰富的、高质量的信息资源库，建立港口的决策支持系统，全面建设满足市场需求并与适应港口发展的信息系统。</w:t>
      </w:r>
    </w:p>
    <w:p>
      <w:pPr>
        <w:spacing w:line="360" w:lineRule="auto"/>
        <w:ind w:firstLine="560" w:firstLineChars="200"/>
        <w:rPr>
          <w:sz w:val="28"/>
          <w:szCs w:val="28"/>
          <w:highlight w:val="none"/>
        </w:rPr>
      </w:pPr>
      <w:r>
        <w:rPr>
          <w:sz w:val="28"/>
          <w:szCs w:val="28"/>
          <w:highlight w:val="none"/>
        </w:rPr>
        <w:t>对港区内信息平台功能的具体要求：</w:t>
      </w:r>
    </w:p>
    <w:p>
      <w:pPr>
        <w:spacing w:line="360" w:lineRule="auto"/>
        <w:ind w:firstLine="560" w:firstLineChars="200"/>
        <w:rPr>
          <w:sz w:val="28"/>
          <w:szCs w:val="28"/>
          <w:highlight w:val="none"/>
        </w:rPr>
      </w:pPr>
      <w:r>
        <w:rPr>
          <w:sz w:val="28"/>
          <w:szCs w:val="28"/>
          <w:highlight w:val="none"/>
        </w:rPr>
        <w:t>1、涵盖码头所有业务和码头的各项作业，包括装卸船作业、门到门作业、堆场内作业、CFS操作等各项业务，并能实时记录作业的详细信息；</w:t>
      </w:r>
    </w:p>
    <w:p>
      <w:pPr>
        <w:spacing w:line="360" w:lineRule="auto"/>
        <w:ind w:firstLine="560" w:firstLineChars="200"/>
        <w:rPr>
          <w:sz w:val="28"/>
          <w:szCs w:val="28"/>
          <w:highlight w:val="none"/>
        </w:rPr>
      </w:pPr>
      <w:r>
        <w:rPr>
          <w:sz w:val="28"/>
          <w:szCs w:val="28"/>
          <w:highlight w:val="none"/>
        </w:rPr>
        <w:t>2、实时性要求实现无线终端管理模式，具有实时控制的特点，能对现场作业的每个环节进行实时跟踪和记录，在业务流程上与现场实际作业高度统一，并在系统上实时反映、相关业务岗位操作人员及时了解和掌握现场作业情况，对作业过程中出现的情况及时响应，提高码头作业效率；</w:t>
      </w:r>
    </w:p>
    <w:p>
      <w:pPr>
        <w:spacing w:line="360" w:lineRule="auto"/>
        <w:ind w:firstLine="560" w:firstLineChars="200"/>
        <w:rPr>
          <w:sz w:val="28"/>
          <w:szCs w:val="28"/>
          <w:highlight w:val="none"/>
        </w:rPr>
      </w:pPr>
      <w:r>
        <w:rPr>
          <w:sz w:val="28"/>
          <w:szCs w:val="28"/>
          <w:highlight w:val="none"/>
        </w:rPr>
        <w:t>3、突出计划在码头业务中的作用，规范作业流程，使各种作业流程更加规范，所有的现场作业都对应一个作业计划。计划主要分为两种：一种是码头内部的作业计划：包括装卸船计划、堆场作业计划等，由码头的船舶计划人员制定；另一种是外部客户所申请的作业计划，包括门到门作业计划、拆装箱作业计划、其他杂项作业计划等，由客户通过向码头商务部门办单（现场箱计划）申请制定；</w:t>
      </w:r>
    </w:p>
    <w:p>
      <w:pPr>
        <w:spacing w:line="360" w:lineRule="auto"/>
        <w:ind w:firstLine="560" w:firstLineChars="200"/>
        <w:rPr>
          <w:sz w:val="28"/>
          <w:szCs w:val="28"/>
          <w:highlight w:val="none"/>
        </w:rPr>
      </w:pPr>
      <w:r>
        <w:rPr>
          <w:sz w:val="28"/>
          <w:szCs w:val="28"/>
          <w:highlight w:val="none"/>
        </w:rPr>
        <w:t>4、智能闸口的操作模式，在门到门作业中，系统根据客户申请的作业计划进行自动查找匹配箱号和箱位的功能，无需人工查找，提高闸口的通过效率。支持设置堆场作业规则和机械作业规则，在实际作业中，系统根据事先设置的作业规则对所作业情况进行验证，防止违反作业规则的情况发生，避免由于现场操作人员人为操作错误带来的翻倒箱等负面影响，降低操作成本，提高操作效率；</w:t>
      </w:r>
    </w:p>
    <w:p>
      <w:pPr>
        <w:spacing w:line="360" w:lineRule="auto"/>
        <w:ind w:firstLine="560" w:firstLineChars="200"/>
        <w:rPr>
          <w:sz w:val="28"/>
          <w:szCs w:val="28"/>
          <w:highlight w:val="none"/>
        </w:rPr>
      </w:pPr>
      <w:r>
        <w:rPr>
          <w:sz w:val="28"/>
          <w:szCs w:val="28"/>
          <w:highlight w:val="none"/>
        </w:rPr>
        <w:t>5、引入WEB客户服务功能，随着互联网的普及，建立WEB客户服务子系统，为客户提供网上和网上查询的功能，客户可以足不出户通过互联网进行相关码头作业的申请、查询本公司堆场箱动态等信息；</w:t>
      </w:r>
    </w:p>
    <w:p>
      <w:pPr>
        <w:spacing w:line="360" w:lineRule="auto"/>
        <w:ind w:firstLine="560" w:firstLineChars="200"/>
        <w:rPr>
          <w:sz w:val="28"/>
          <w:szCs w:val="28"/>
          <w:highlight w:val="none"/>
        </w:rPr>
      </w:pPr>
      <w:r>
        <w:rPr>
          <w:sz w:val="28"/>
          <w:szCs w:val="28"/>
          <w:highlight w:val="none"/>
        </w:rPr>
        <w:t>6、实现无纸化流转过程，引入过程控制机制，在实际作业涉及的各环节系统都能对所操作内容与作业计划自动进行验证，不需人工根据纸面单证进行验证，从而减轻各环节操作人员的操作量，提高作业效率，减少纸张单证的消耗，降低作业成本；</w:t>
      </w:r>
    </w:p>
    <w:p>
      <w:pPr>
        <w:spacing w:line="360" w:lineRule="auto"/>
        <w:ind w:firstLine="560" w:firstLineChars="200"/>
        <w:rPr>
          <w:sz w:val="28"/>
          <w:szCs w:val="28"/>
          <w:highlight w:val="none"/>
        </w:rPr>
      </w:pPr>
      <w:r>
        <w:rPr>
          <w:sz w:val="28"/>
          <w:szCs w:val="28"/>
          <w:highlight w:val="none"/>
        </w:rPr>
        <w:t>7、提供电子数据交换功能，适应港口发展趋势和现代化信息传递的需求，减轻码头人工信息处理的强度，为客户提供自助式的查询和业务受理方式，建立强大的电子数据交换（EDI）支持；</w:t>
      </w:r>
    </w:p>
    <w:p>
      <w:pPr>
        <w:spacing w:line="360" w:lineRule="auto"/>
        <w:ind w:firstLine="560" w:firstLineChars="200"/>
        <w:rPr>
          <w:sz w:val="28"/>
          <w:szCs w:val="28"/>
          <w:highlight w:val="none"/>
        </w:rPr>
      </w:pPr>
      <w:r>
        <w:rPr>
          <w:sz w:val="28"/>
          <w:szCs w:val="28"/>
          <w:highlight w:val="none"/>
        </w:rPr>
        <w:t>8、实现完善的电脑自动计费功能，方便费收部门的费率制定和费收统计，适应港口业务通用费率及特殊客户合同费率共存；</w:t>
      </w:r>
    </w:p>
    <w:p>
      <w:pPr>
        <w:spacing w:line="360" w:lineRule="auto"/>
        <w:ind w:firstLine="560" w:firstLineChars="200"/>
        <w:rPr>
          <w:sz w:val="28"/>
          <w:szCs w:val="28"/>
          <w:highlight w:val="none"/>
        </w:rPr>
      </w:pPr>
      <w:r>
        <w:rPr>
          <w:sz w:val="28"/>
          <w:szCs w:val="28"/>
          <w:highlight w:val="none"/>
        </w:rPr>
        <w:t>9、有丰富的查询统计功能，为日常生产、设备运行、客户查询、统计数据上报、管理层决策提供及时可靠的数据依据；</w:t>
      </w:r>
    </w:p>
    <w:p>
      <w:pPr>
        <w:spacing w:line="360" w:lineRule="auto"/>
        <w:ind w:firstLine="560" w:firstLineChars="200"/>
        <w:rPr>
          <w:sz w:val="28"/>
          <w:szCs w:val="28"/>
          <w:highlight w:val="none"/>
        </w:rPr>
      </w:pPr>
      <w:r>
        <w:rPr>
          <w:sz w:val="28"/>
          <w:szCs w:val="28"/>
          <w:highlight w:val="none"/>
        </w:rPr>
        <w:t>10、系统操作简便快捷，数据信息安全可靠，数据处理能力能满足设计年作业吞吐量的需求。</w:t>
      </w:r>
    </w:p>
    <w:p>
      <w:pPr>
        <w:spacing w:before="156" w:beforeLines="50" w:after="156" w:afterLines="50" w:line="520" w:lineRule="exact"/>
        <w:jc w:val="center"/>
        <w:outlineLvl w:val="1"/>
        <w:rPr>
          <w:rFonts w:eastAsia="黑体"/>
          <w:b/>
          <w:sz w:val="30"/>
          <w:highlight w:val="none"/>
        </w:rPr>
      </w:pPr>
      <w:bookmarkStart w:id="246" w:name="_Toc77781931"/>
      <w:bookmarkStart w:id="247" w:name="_Toc67908298"/>
      <w:r>
        <w:rPr>
          <w:rFonts w:eastAsia="黑体"/>
          <w:b/>
          <w:sz w:val="30"/>
          <w:highlight w:val="none"/>
        </w:rPr>
        <w:t>第五节</w:t>
      </w:r>
      <w:r>
        <w:rPr>
          <w:rFonts w:hint="eastAsia" w:eastAsia="黑体"/>
          <w:b/>
          <w:sz w:val="30"/>
          <w:highlight w:val="none"/>
        </w:rPr>
        <w:t xml:space="preserve"> </w:t>
      </w:r>
      <w:r>
        <w:rPr>
          <w:rFonts w:eastAsia="黑体"/>
          <w:b/>
          <w:sz w:val="30"/>
          <w:highlight w:val="none"/>
        </w:rPr>
        <w:t>港口支持系统规划</w:t>
      </w:r>
      <w:bookmarkEnd w:id="246"/>
      <w:bookmarkEnd w:id="247"/>
    </w:p>
    <w:p>
      <w:pPr>
        <w:pStyle w:val="2"/>
        <w:spacing w:line="360" w:lineRule="auto"/>
        <w:ind w:firstLine="562" w:firstLineChars="200"/>
        <w:rPr>
          <w:rFonts w:ascii="Times New Roman" w:eastAsia="黑体" w:cs="Times New Roman"/>
          <w:b/>
          <w:color w:val="auto"/>
          <w:kern w:val="2"/>
          <w:sz w:val="28"/>
          <w:szCs w:val="28"/>
          <w:highlight w:val="none"/>
        </w:rPr>
      </w:pPr>
      <w:r>
        <w:rPr>
          <w:rFonts w:ascii="Times New Roman" w:eastAsia="黑体" w:cs="Times New Roman"/>
          <w:b/>
          <w:color w:val="auto"/>
          <w:kern w:val="2"/>
          <w:sz w:val="28"/>
          <w:szCs w:val="28"/>
          <w:highlight w:val="none"/>
        </w:rPr>
        <w:t>一、水上安全监督规划</w:t>
      </w:r>
    </w:p>
    <w:p>
      <w:pPr>
        <w:spacing w:line="360" w:lineRule="auto"/>
        <w:ind w:firstLine="480"/>
        <w:rPr>
          <w:sz w:val="28"/>
          <w:szCs w:val="28"/>
          <w:highlight w:val="none"/>
        </w:rPr>
      </w:pPr>
      <w:r>
        <w:rPr>
          <w:sz w:val="28"/>
          <w:szCs w:val="28"/>
          <w:highlight w:val="none"/>
        </w:rPr>
        <w:t>乐山是四川省水上交通安全管理的重点区域。目前，已经展开GPS监控系统的建设，乐山市完成了市和部分县监管平台的建设，重点客渡船舶安装了GPS终端。水上交通安全的监管方式正在逐步改变，增强了对客渡船舶的实时监控能力，扩大了监控面。</w:t>
      </w:r>
    </w:p>
    <w:p>
      <w:pPr>
        <w:spacing w:line="360" w:lineRule="auto"/>
        <w:ind w:firstLine="480"/>
        <w:rPr>
          <w:sz w:val="28"/>
          <w:szCs w:val="28"/>
          <w:highlight w:val="none"/>
        </w:rPr>
      </w:pPr>
      <w:r>
        <w:rPr>
          <w:sz w:val="28"/>
          <w:szCs w:val="28"/>
          <w:highlight w:val="none"/>
        </w:rPr>
        <w:t>为保证各作业区内船舶安全和满足消防的要求，乐山港需配备必要的消防器材和设备，加强乐山市海事中心的监管手段，建成GPS＋CCTV相结合监管信息收集系统，建成覆盖所有100吨级以上船舶的GPS监控系统，对区域性水域采用GPS方式获取定位信息，对重点水域以CCTV作为补充手段进行直观监视；海事巡逻船艇和巡逻车数量与结构能够初步满足辖区不同特点水域海事管理需求。</w:t>
      </w:r>
    </w:p>
    <w:p>
      <w:pPr>
        <w:spacing w:line="360" w:lineRule="auto"/>
        <w:ind w:firstLine="480"/>
        <w:rPr>
          <w:sz w:val="28"/>
          <w:szCs w:val="28"/>
          <w:highlight w:val="none"/>
        </w:rPr>
      </w:pPr>
      <w:r>
        <w:rPr>
          <w:sz w:val="28"/>
          <w:szCs w:val="28"/>
          <w:highlight w:val="none"/>
        </w:rPr>
        <w:t>在各港区设置部分地方海事专用码头，负责各港区的进出港船舶的安全管理。</w:t>
      </w:r>
    </w:p>
    <w:p>
      <w:pPr>
        <w:pStyle w:val="2"/>
        <w:spacing w:line="360" w:lineRule="auto"/>
        <w:ind w:firstLine="562" w:firstLineChars="200"/>
        <w:rPr>
          <w:rFonts w:ascii="Times New Roman" w:eastAsia="黑体" w:cs="Times New Roman"/>
          <w:b/>
          <w:color w:val="auto"/>
          <w:kern w:val="2"/>
          <w:sz w:val="28"/>
          <w:szCs w:val="28"/>
          <w:highlight w:val="none"/>
        </w:rPr>
      </w:pPr>
      <w:r>
        <w:rPr>
          <w:rFonts w:ascii="Times New Roman" w:eastAsia="黑体" w:cs="Times New Roman"/>
          <w:b/>
          <w:color w:val="auto"/>
          <w:kern w:val="2"/>
          <w:sz w:val="28"/>
          <w:szCs w:val="28"/>
          <w:highlight w:val="none"/>
        </w:rPr>
        <w:t>二、智慧港口规划</w:t>
      </w:r>
    </w:p>
    <w:p>
      <w:pPr>
        <w:pStyle w:val="2"/>
        <w:spacing w:line="360" w:lineRule="auto"/>
        <w:ind w:firstLine="562" w:firstLineChars="200"/>
        <w:rPr>
          <w:rFonts w:ascii="Times New Roman" w:eastAsia="黑体" w:cs="Times New Roman"/>
          <w:b/>
          <w:color w:val="auto"/>
          <w:kern w:val="2"/>
          <w:sz w:val="28"/>
          <w:szCs w:val="28"/>
          <w:highlight w:val="none"/>
        </w:rPr>
      </w:pPr>
      <w:r>
        <w:rPr>
          <w:rFonts w:ascii="Times New Roman" w:eastAsia="黑体" w:cs="Times New Roman"/>
          <w:b/>
          <w:color w:val="auto"/>
          <w:kern w:val="2"/>
          <w:sz w:val="28"/>
          <w:szCs w:val="28"/>
          <w:highlight w:val="none"/>
        </w:rPr>
        <w:t>（一）建设作业区智能监控系统</w:t>
      </w:r>
    </w:p>
    <w:p>
      <w:pPr>
        <w:spacing w:line="360" w:lineRule="auto"/>
        <w:ind w:firstLine="549"/>
        <w:rPr>
          <w:sz w:val="28"/>
          <w:szCs w:val="28"/>
          <w:highlight w:val="none"/>
        </w:rPr>
      </w:pPr>
      <w:r>
        <w:rPr>
          <w:sz w:val="28"/>
          <w:szCs w:val="28"/>
          <w:highlight w:val="none"/>
        </w:rPr>
        <w:t>完善作业区的视频监控、红外/闸机计数等设施设备，建设作业区安全监管信息化系统，加强对超载、人货混装、非法营运等不规范行为的信息化监管，探索形成人脸识别、超载自动识别、船舶防碰撞、应急处置与救援等智能化应用成果，实现自动统计、船舶运行动态感知和预警快速响应等。</w:t>
      </w:r>
    </w:p>
    <w:p>
      <w:pPr>
        <w:pStyle w:val="2"/>
        <w:spacing w:line="360" w:lineRule="auto"/>
        <w:ind w:firstLine="562" w:firstLineChars="200"/>
        <w:rPr>
          <w:rFonts w:ascii="Times New Roman" w:eastAsia="黑体" w:cs="Times New Roman"/>
          <w:b/>
          <w:color w:val="auto"/>
          <w:kern w:val="2"/>
          <w:sz w:val="28"/>
          <w:szCs w:val="28"/>
          <w:highlight w:val="none"/>
        </w:rPr>
      </w:pPr>
      <w:r>
        <w:rPr>
          <w:rFonts w:ascii="Times New Roman" w:eastAsia="黑体" w:cs="Times New Roman"/>
          <w:b/>
          <w:color w:val="auto"/>
          <w:kern w:val="2"/>
          <w:sz w:val="28"/>
          <w:szCs w:val="28"/>
          <w:highlight w:val="none"/>
        </w:rPr>
        <w:t>（二）建设智能化港口业务系统</w:t>
      </w:r>
    </w:p>
    <w:p>
      <w:pPr>
        <w:spacing w:line="360" w:lineRule="auto"/>
        <w:ind w:firstLine="480"/>
        <w:rPr>
          <w:sz w:val="28"/>
          <w:szCs w:val="28"/>
          <w:highlight w:val="none"/>
        </w:rPr>
      </w:pPr>
      <w:r>
        <w:rPr>
          <w:sz w:val="28"/>
          <w:szCs w:val="28"/>
          <w:highlight w:val="none"/>
        </w:rPr>
        <w:t>整合港口现有业务系统，建设港区智能卡口系统、智能堆场系统、智能作业调度管理系统、智能仓配一体化平台及智慧物流体系，建设多式联运业务协同管理平台，形成集运输管理、仓储监管、安全监管、运行监管、能耗监测、数据分析、智能决策与一体的示范工程，提升乐山港主要码头的全面感知、智能决策、自主装卸、信息联动水平。</w:t>
      </w:r>
    </w:p>
    <w:p>
      <w:pPr>
        <w:pStyle w:val="2"/>
        <w:spacing w:line="360" w:lineRule="auto"/>
        <w:ind w:firstLine="562" w:firstLineChars="200"/>
        <w:rPr>
          <w:rFonts w:ascii="Times New Roman" w:eastAsia="黑体" w:cs="Times New Roman"/>
          <w:b/>
          <w:color w:val="auto"/>
          <w:kern w:val="2"/>
          <w:sz w:val="28"/>
          <w:szCs w:val="28"/>
          <w:highlight w:val="none"/>
        </w:rPr>
      </w:pPr>
      <w:r>
        <w:rPr>
          <w:rFonts w:ascii="Times New Roman" w:eastAsia="黑体" w:cs="Times New Roman"/>
          <w:b/>
          <w:color w:val="auto"/>
          <w:kern w:val="2"/>
          <w:sz w:val="28"/>
          <w:szCs w:val="28"/>
          <w:highlight w:val="none"/>
        </w:rPr>
        <w:t>（三）建设便利化水上服务区</w:t>
      </w:r>
    </w:p>
    <w:p>
      <w:pPr>
        <w:spacing w:line="360" w:lineRule="auto"/>
        <w:ind w:firstLine="480"/>
        <w:rPr>
          <w:sz w:val="28"/>
          <w:szCs w:val="28"/>
          <w:highlight w:val="none"/>
        </w:rPr>
      </w:pPr>
      <w:r>
        <w:rPr>
          <w:sz w:val="28"/>
          <w:szCs w:val="28"/>
          <w:highlight w:val="none"/>
        </w:rPr>
        <w:t>充分运用信息和通信技术手段，构建从水上服务区底层物联网感知端到顶层业务应用端的智慧体系。通过对水上服务区运营的各项关键信息的立体感测、智能分析、自主决策，实现对船舶停泊服务、船舶油污水接收、岸电供电、供水补给、船舶日常维修、船舶配品配件及船民生活消费等在内的各种需求的响应，提供全方位、多层次、一站式便利的水上运输服务。</w:t>
      </w:r>
    </w:p>
    <w:p>
      <w:pPr>
        <w:pStyle w:val="2"/>
        <w:spacing w:line="360" w:lineRule="auto"/>
        <w:ind w:firstLine="562" w:firstLineChars="200"/>
        <w:rPr>
          <w:rFonts w:ascii="Times New Roman" w:eastAsia="黑体" w:cs="Times New Roman"/>
          <w:b/>
          <w:color w:val="auto"/>
          <w:kern w:val="2"/>
          <w:sz w:val="28"/>
          <w:szCs w:val="28"/>
          <w:highlight w:val="none"/>
        </w:rPr>
      </w:pPr>
      <w:r>
        <w:rPr>
          <w:rFonts w:ascii="Times New Roman" w:eastAsia="黑体" w:cs="Times New Roman"/>
          <w:b/>
          <w:color w:val="auto"/>
          <w:kern w:val="2"/>
          <w:sz w:val="28"/>
          <w:szCs w:val="28"/>
          <w:highlight w:val="none"/>
        </w:rPr>
        <w:t>（四）构建水运旅游出行服务平台</w:t>
      </w:r>
    </w:p>
    <w:p>
      <w:pPr>
        <w:pStyle w:val="2"/>
        <w:ind w:firstLine="560" w:firstLineChars="200"/>
        <w:rPr>
          <w:rFonts w:ascii="Times New Roman" w:cs="Times New Roman"/>
          <w:color w:val="auto"/>
          <w:highlight w:val="none"/>
        </w:rPr>
      </w:pPr>
      <w:r>
        <w:rPr>
          <w:rFonts w:ascii="Times New Roman" w:cs="Times New Roman"/>
          <w:color w:val="auto"/>
          <w:kern w:val="2"/>
          <w:sz w:val="28"/>
          <w:szCs w:val="28"/>
          <w:highlight w:val="none"/>
        </w:rPr>
        <w:t>以“水运+旅游”为切入点，依托重点旅游航道，构建水运旅游出行大数据服务平台，加强行业监管信息与旅游、气象、水利信息的资源整合，促进水运和生态旅游的协同管理。多渠道、多模式创新水运出行信息服务模式，增强游客的用户体验，激发市场活力，推动水运行业和旅游消费的稳定增长。</w:t>
      </w:r>
    </w:p>
    <w:p>
      <w:pPr>
        <w:pStyle w:val="2"/>
        <w:spacing w:line="360" w:lineRule="auto"/>
        <w:ind w:firstLine="562" w:firstLineChars="200"/>
        <w:rPr>
          <w:rFonts w:ascii="Times New Roman" w:eastAsia="黑体" w:cs="Times New Roman"/>
          <w:b/>
          <w:color w:val="auto"/>
          <w:kern w:val="2"/>
          <w:sz w:val="28"/>
          <w:szCs w:val="28"/>
          <w:highlight w:val="none"/>
        </w:rPr>
      </w:pPr>
      <w:r>
        <w:rPr>
          <w:rFonts w:ascii="Times New Roman" w:eastAsia="黑体" w:cs="Times New Roman"/>
          <w:b/>
          <w:color w:val="auto"/>
          <w:kern w:val="2"/>
          <w:sz w:val="28"/>
          <w:szCs w:val="28"/>
          <w:highlight w:val="none"/>
        </w:rPr>
        <w:t>三、其它配套设施规划</w:t>
      </w:r>
    </w:p>
    <w:p>
      <w:pPr>
        <w:spacing w:line="360" w:lineRule="auto"/>
        <w:ind w:firstLine="480"/>
        <w:rPr>
          <w:sz w:val="28"/>
          <w:szCs w:val="28"/>
          <w:highlight w:val="none"/>
        </w:rPr>
      </w:pPr>
      <w:r>
        <w:rPr>
          <w:sz w:val="28"/>
          <w:szCs w:val="28"/>
          <w:highlight w:val="none"/>
        </w:rPr>
        <w:t>海事及救助船舶对岸线资源的要求基本一致，为有效利用岸线资源，规划上述支持系统基地统一布置。</w:t>
      </w:r>
    </w:p>
    <w:p>
      <w:pPr>
        <w:pStyle w:val="19"/>
        <w:ind w:firstLine="560"/>
        <w:rPr>
          <w:rFonts w:ascii="Times New Roman" w:hAnsi="Times New Roman" w:cs="Times New Roman"/>
          <w:szCs w:val="28"/>
          <w:highlight w:val="none"/>
        </w:rPr>
      </w:pPr>
      <w:r>
        <w:rPr>
          <w:rFonts w:ascii="Times New Roman" w:hAnsi="Times New Roman" w:cs="Times New Roman"/>
          <w:szCs w:val="28"/>
          <w:highlight w:val="none"/>
        </w:rPr>
        <w:t>根据乐山港所辖水域范围，结合港口岸线利用规划，本次共规划6处支持保障</w:t>
      </w:r>
      <w:r>
        <w:rPr>
          <w:rFonts w:hint="eastAsia" w:ascii="Times New Roman" w:hAnsi="Times New Roman" w:cs="Times New Roman"/>
          <w:szCs w:val="28"/>
          <w:highlight w:val="none"/>
        </w:rPr>
        <w:t>码头</w:t>
      </w:r>
      <w:r>
        <w:rPr>
          <w:rFonts w:ascii="Times New Roman" w:hAnsi="Times New Roman" w:cs="Times New Roman"/>
          <w:szCs w:val="28"/>
          <w:highlight w:val="none"/>
        </w:rPr>
        <w:t>。支付保障系统建设规划见表6.5-1。</w:t>
      </w:r>
    </w:p>
    <w:p>
      <w:pPr>
        <w:widowControl/>
        <w:jc w:val="left"/>
        <w:rPr>
          <w:rFonts w:eastAsia="黑体"/>
          <w:sz w:val="28"/>
          <w:szCs w:val="28"/>
          <w:highlight w:val="none"/>
        </w:rPr>
      </w:pPr>
      <w:r>
        <w:rPr>
          <w:rFonts w:eastAsia="黑体"/>
          <w:sz w:val="28"/>
          <w:szCs w:val="28"/>
          <w:highlight w:val="none"/>
        </w:rPr>
        <w:br w:type="page"/>
      </w:r>
    </w:p>
    <w:p>
      <w:pPr>
        <w:keepNext/>
        <w:spacing w:line="500" w:lineRule="exact"/>
        <w:ind w:firstLine="482"/>
        <w:jc w:val="center"/>
        <w:rPr>
          <w:b/>
          <w:highlight w:val="none"/>
        </w:rPr>
      </w:pPr>
      <w:r>
        <w:rPr>
          <w:rFonts w:eastAsia="黑体"/>
          <w:sz w:val="28"/>
          <w:szCs w:val="28"/>
          <w:highlight w:val="none"/>
        </w:rPr>
        <w:t>表6.5-1  乐山港支持保障系统建设规划表</w:t>
      </w:r>
    </w:p>
    <w:tbl>
      <w:tblPr>
        <w:tblStyle w:val="32"/>
        <w:tblW w:w="5000" w:type="pct"/>
        <w:tblInd w:w="0" w:type="dxa"/>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83"/>
        <w:gridCol w:w="2015"/>
        <w:gridCol w:w="1127"/>
        <w:gridCol w:w="1569"/>
        <w:gridCol w:w="678"/>
        <w:gridCol w:w="1426"/>
        <w:gridCol w:w="1788"/>
      </w:tblGrid>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8" w:type="pct"/>
            <w:vAlign w:val="center"/>
          </w:tcPr>
          <w:p>
            <w:pPr>
              <w:widowControl/>
              <w:jc w:val="center"/>
              <w:rPr>
                <w:b/>
                <w:kern w:val="0"/>
                <w:szCs w:val="21"/>
                <w:highlight w:val="none"/>
              </w:rPr>
            </w:pPr>
            <w:r>
              <w:rPr>
                <w:b/>
                <w:kern w:val="0"/>
                <w:szCs w:val="21"/>
                <w:highlight w:val="none"/>
              </w:rPr>
              <w:t>序号</w:t>
            </w:r>
          </w:p>
        </w:tc>
        <w:tc>
          <w:tcPr>
            <w:tcW w:w="1085" w:type="pct"/>
            <w:vAlign w:val="center"/>
          </w:tcPr>
          <w:p>
            <w:pPr>
              <w:widowControl/>
              <w:jc w:val="center"/>
              <w:rPr>
                <w:b/>
                <w:kern w:val="0"/>
                <w:szCs w:val="21"/>
                <w:highlight w:val="none"/>
              </w:rPr>
            </w:pPr>
            <w:r>
              <w:rPr>
                <w:b/>
                <w:kern w:val="0"/>
                <w:szCs w:val="21"/>
                <w:highlight w:val="none"/>
              </w:rPr>
              <w:t>建设项目名称</w:t>
            </w:r>
          </w:p>
        </w:tc>
        <w:tc>
          <w:tcPr>
            <w:tcW w:w="607" w:type="pct"/>
          </w:tcPr>
          <w:p>
            <w:pPr>
              <w:widowControl/>
              <w:jc w:val="center"/>
              <w:rPr>
                <w:b/>
                <w:kern w:val="0"/>
                <w:szCs w:val="21"/>
                <w:highlight w:val="none"/>
              </w:rPr>
            </w:pPr>
            <w:r>
              <w:rPr>
                <w:b/>
                <w:kern w:val="0"/>
                <w:szCs w:val="21"/>
                <w:highlight w:val="none"/>
              </w:rPr>
              <w:t>所在港区</w:t>
            </w:r>
          </w:p>
        </w:tc>
        <w:tc>
          <w:tcPr>
            <w:tcW w:w="845" w:type="pct"/>
            <w:vAlign w:val="center"/>
          </w:tcPr>
          <w:p>
            <w:pPr>
              <w:widowControl/>
              <w:jc w:val="center"/>
              <w:rPr>
                <w:b/>
                <w:kern w:val="0"/>
                <w:szCs w:val="21"/>
                <w:highlight w:val="none"/>
              </w:rPr>
            </w:pPr>
            <w:r>
              <w:rPr>
                <w:b/>
                <w:kern w:val="0"/>
                <w:szCs w:val="21"/>
                <w:highlight w:val="none"/>
              </w:rPr>
              <w:t>所在</w:t>
            </w:r>
          </w:p>
          <w:p>
            <w:pPr>
              <w:widowControl/>
              <w:jc w:val="center"/>
              <w:rPr>
                <w:b/>
                <w:kern w:val="0"/>
                <w:szCs w:val="21"/>
                <w:highlight w:val="none"/>
              </w:rPr>
            </w:pPr>
            <w:r>
              <w:rPr>
                <w:b/>
                <w:kern w:val="0"/>
                <w:szCs w:val="21"/>
                <w:highlight w:val="none"/>
              </w:rPr>
              <w:t>库区</w:t>
            </w:r>
          </w:p>
        </w:tc>
        <w:tc>
          <w:tcPr>
            <w:tcW w:w="365" w:type="pct"/>
            <w:vAlign w:val="center"/>
          </w:tcPr>
          <w:p>
            <w:pPr>
              <w:widowControl/>
              <w:tabs>
                <w:tab w:val="left" w:pos="129"/>
              </w:tabs>
              <w:jc w:val="center"/>
              <w:rPr>
                <w:b/>
                <w:kern w:val="0"/>
                <w:szCs w:val="21"/>
                <w:highlight w:val="none"/>
              </w:rPr>
            </w:pPr>
            <w:r>
              <w:rPr>
                <w:b/>
                <w:kern w:val="0"/>
                <w:szCs w:val="21"/>
                <w:highlight w:val="none"/>
              </w:rPr>
              <w:t>岸别</w:t>
            </w:r>
          </w:p>
        </w:tc>
        <w:tc>
          <w:tcPr>
            <w:tcW w:w="768" w:type="pct"/>
            <w:vAlign w:val="center"/>
          </w:tcPr>
          <w:p>
            <w:pPr>
              <w:widowControl/>
              <w:jc w:val="center"/>
              <w:rPr>
                <w:b/>
                <w:kern w:val="0"/>
                <w:szCs w:val="21"/>
                <w:highlight w:val="none"/>
              </w:rPr>
            </w:pPr>
            <w:r>
              <w:rPr>
                <w:b/>
                <w:kern w:val="0"/>
                <w:szCs w:val="21"/>
                <w:highlight w:val="none"/>
              </w:rPr>
              <w:t>泊位数（个)</w:t>
            </w:r>
          </w:p>
        </w:tc>
        <w:tc>
          <w:tcPr>
            <w:tcW w:w="962" w:type="pct"/>
          </w:tcPr>
          <w:p>
            <w:pPr>
              <w:widowControl/>
              <w:jc w:val="center"/>
              <w:rPr>
                <w:b/>
                <w:kern w:val="0"/>
                <w:szCs w:val="21"/>
                <w:highlight w:val="none"/>
              </w:rPr>
            </w:pPr>
            <w:r>
              <w:rPr>
                <w:b/>
                <w:kern w:val="0"/>
                <w:szCs w:val="21"/>
                <w:highlight w:val="none"/>
              </w:rPr>
              <w:t>主要用途</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8" w:type="pct"/>
            <w:vAlign w:val="center"/>
          </w:tcPr>
          <w:p>
            <w:pPr>
              <w:widowControl/>
              <w:jc w:val="center"/>
              <w:rPr>
                <w:kern w:val="0"/>
                <w:szCs w:val="21"/>
                <w:highlight w:val="none"/>
              </w:rPr>
            </w:pPr>
            <w:r>
              <w:rPr>
                <w:kern w:val="0"/>
                <w:szCs w:val="21"/>
                <w:highlight w:val="none"/>
              </w:rPr>
              <w:t>1</w:t>
            </w:r>
          </w:p>
        </w:tc>
        <w:tc>
          <w:tcPr>
            <w:tcW w:w="1085" w:type="pct"/>
            <w:vAlign w:val="center"/>
          </w:tcPr>
          <w:p>
            <w:pPr>
              <w:widowControl/>
              <w:jc w:val="center"/>
              <w:rPr>
                <w:kern w:val="0"/>
                <w:szCs w:val="21"/>
                <w:highlight w:val="none"/>
              </w:rPr>
            </w:pPr>
            <w:r>
              <w:rPr>
                <w:rFonts w:hint="eastAsia"/>
                <w:kern w:val="0"/>
                <w:szCs w:val="21"/>
                <w:highlight w:val="none"/>
              </w:rPr>
              <w:t>岷江水上应急救援中心</w:t>
            </w:r>
          </w:p>
        </w:tc>
        <w:tc>
          <w:tcPr>
            <w:tcW w:w="607" w:type="pct"/>
          </w:tcPr>
          <w:p>
            <w:pPr>
              <w:widowControl/>
              <w:jc w:val="center"/>
              <w:rPr>
                <w:kern w:val="0"/>
                <w:szCs w:val="21"/>
                <w:highlight w:val="none"/>
              </w:rPr>
            </w:pPr>
            <w:r>
              <w:rPr>
                <w:kern w:val="0"/>
                <w:szCs w:val="21"/>
                <w:highlight w:val="none"/>
              </w:rPr>
              <w:t>嘉州港区</w:t>
            </w:r>
          </w:p>
        </w:tc>
        <w:tc>
          <w:tcPr>
            <w:tcW w:w="845" w:type="pct"/>
            <w:vAlign w:val="center"/>
          </w:tcPr>
          <w:p>
            <w:pPr>
              <w:widowControl/>
              <w:jc w:val="center"/>
              <w:rPr>
                <w:kern w:val="0"/>
                <w:szCs w:val="21"/>
                <w:highlight w:val="none"/>
              </w:rPr>
            </w:pPr>
            <w:r>
              <w:rPr>
                <w:kern w:val="0"/>
                <w:szCs w:val="21"/>
                <w:highlight w:val="none"/>
              </w:rPr>
              <w:t>岷江老木孔</w:t>
            </w:r>
          </w:p>
        </w:tc>
        <w:tc>
          <w:tcPr>
            <w:tcW w:w="365" w:type="pct"/>
            <w:vAlign w:val="center"/>
          </w:tcPr>
          <w:p>
            <w:pPr>
              <w:widowControl/>
              <w:jc w:val="center"/>
              <w:rPr>
                <w:kern w:val="0"/>
                <w:szCs w:val="21"/>
                <w:highlight w:val="none"/>
              </w:rPr>
            </w:pPr>
            <w:r>
              <w:rPr>
                <w:kern w:val="0"/>
                <w:szCs w:val="21"/>
                <w:highlight w:val="none"/>
              </w:rPr>
              <w:t>右</w:t>
            </w:r>
          </w:p>
        </w:tc>
        <w:tc>
          <w:tcPr>
            <w:tcW w:w="768" w:type="pct"/>
            <w:vAlign w:val="center"/>
          </w:tcPr>
          <w:p>
            <w:pPr>
              <w:widowControl/>
              <w:jc w:val="center"/>
              <w:rPr>
                <w:kern w:val="0"/>
                <w:szCs w:val="21"/>
                <w:highlight w:val="none"/>
              </w:rPr>
            </w:pPr>
            <w:r>
              <w:rPr>
                <w:kern w:val="0"/>
                <w:szCs w:val="21"/>
                <w:highlight w:val="none"/>
              </w:rPr>
              <w:t>12</w:t>
            </w:r>
          </w:p>
        </w:tc>
        <w:tc>
          <w:tcPr>
            <w:tcW w:w="962" w:type="pct"/>
          </w:tcPr>
          <w:p>
            <w:pPr>
              <w:widowControl/>
              <w:jc w:val="center"/>
              <w:rPr>
                <w:kern w:val="0"/>
                <w:szCs w:val="21"/>
                <w:highlight w:val="none"/>
              </w:rPr>
            </w:pPr>
            <w:r>
              <w:rPr>
                <w:kern w:val="0"/>
                <w:szCs w:val="21"/>
                <w:highlight w:val="none"/>
              </w:rPr>
              <w:t>港航管理、</w:t>
            </w:r>
          </w:p>
          <w:p>
            <w:pPr>
              <w:widowControl/>
              <w:jc w:val="center"/>
              <w:rPr>
                <w:kern w:val="0"/>
                <w:szCs w:val="21"/>
                <w:highlight w:val="none"/>
              </w:rPr>
            </w:pPr>
            <w:r>
              <w:rPr>
                <w:kern w:val="0"/>
                <w:szCs w:val="21"/>
                <w:highlight w:val="none"/>
              </w:rPr>
              <w:t>应急搜救</w:t>
            </w:r>
            <w:r>
              <w:rPr>
                <w:rFonts w:hint="eastAsia"/>
                <w:kern w:val="0"/>
                <w:szCs w:val="21"/>
                <w:highlight w:val="none"/>
              </w:rPr>
              <w:t>、公安、消防、环保</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8" w:type="pct"/>
            <w:vAlign w:val="center"/>
          </w:tcPr>
          <w:p>
            <w:pPr>
              <w:widowControl/>
              <w:jc w:val="center"/>
              <w:rPr>
                <w:kern w:val="0"/>
                <w:szCs w:val="21"/>
                <w:highlight w:val="none"/>
              </w:rPr>
            </w:pPr>
            <w:r>
              <w:rPr>
                <w:kern w:val="0"/>
                <w:szCs w:val="21"/>
                <w:highlight w:val="none"/>
              </w:rPr>
              <w:t>2</w:t>
            </w:r>
          </w:p>
        </w:tc>
        <w:tc>
          <w:tcPr>
            <w:tcW w:w="1085" w:type="pct"/>
            <w:vAlign w:val="center"/>
          </w:tcPr>
          <w:p>
            <w:pPr>
              <w:widowControl/>
              <w:jc w:val="center"/>
              <w:rPr>
                <w:kern w:val="0"/>
                <w:szCs w:val="21"/>
                <w:highlight w:val="none"/>
              </w:rPr>
            </w:pPr>
            <w:r>
              <w:rPr>
                <w:kern w:val="0"/>
                <w:szCs w:val="21"/>
                <w:highlight w:val="none"/>
              </w:rPr>
              <w:t>高石坝工作船码头</w:t>
            </w:r>
          </w:p>
        </w:tc>
        <w:tc>
          <w:tcPr>
            <w:tcW w:w="607" w:type="pct"/>
          </w:tcPr>
          <w:p>
            <w:pPr>
              <w:widowControl/>
              <w:jc w:val="center"/>
              <w:rPr>
                <w:kern w:val="0"/>
                <w:szCs w:val="21"/>
                <w:highlight w:val="none"/>
              </w:rPr>
            </w:pPr>
            <w:r>
              <w:rPr>
                <w:kern w:val="0"/>
                <w:szCs w:val="21"/>
                <w:highlight w:val="none"/>
              </w:rPr>
              <w:t>犍为港区</w:t>
            </w:r>
          </w:p>
        </w:tc>
        <w:tc>
          <w:tcPr>
            <w:tcW w:w="845" w:type="pct"/>
            <w:vAlign w:val="center"/>
          </w:tcPr>
          <w:p>
            <w:pPr>
              <w:widowControl/>
              <w:jc w:val="center"/>
              <w:rPr>
                <w:kern w:val="0"/>
                <w:szCs w:val="21"/>
                <w:highlight w:val="none"/>
              </w:rPr>
            </w:pPr>
            <w:r>
              <w:rPr>
                <w:kern w:val="0"/>
                <w:szCs w:val="21"/>
                <w:highlight w:val="none"/>
              </w:rPr>
              <w:t>岷江龙溪口</w:t>
            </w:r>
          </w:p>
        </w:tc>
        <w:tc>
          <w:tcPr>
            <w:tcW w:w="365" w:type="pct"/>
            <w:vAlign w:val="center"/>
          </w:tcPr>
          <w:p>
            <w:pPr>
              <w:widowControl/>
              <w:jc w:val="center"/>
              <w:rPr>
                <w:kern w:val="0"/>
                <w:szCs w:val="21"/>
                <w:highlight w:val="none"/>
              </w:rPr>
            </w:pPr>
            <w:r>
              <w:rPr>
                <w:kern w:val="0"/>
                <w:szCs w:val="21"/>
                <w:highlight w:val="none"/>
              </w:rPr>
              <w:t>左</w:t>
            </w:r>
          </w:p>
        </w:tc>
        <w:tc>
          <w:tcPr>
            <w:tcW w:w="768" w:type="pct"/>
            <w:vAlign w:val="center"/>
          </w:tcPr>
          <w:p>
            <w:pPr>
              <w:widowControl/>
              <w:jc w:val="center"/>
              <w:rPr>
                <w:kern w:val="0"/>
                <w:szCs w:val="21"/>
                <w:highlight w:val="none"/>
              </w:rPr>
            </w:pPr>
            <w:r>
              <w:rPr>
                <w:kern w:val="0"/>
                <w:szCs w:val="21"/>
                <w:highlight w:val="none"/>
              </w:rPr>
              <w:t>3</w:t>
            </w:r>
          </w:p>
        </w:tc>
        <w:tc>
          <w:tcPr>
            <w:tcW w:w="962" w:type="pct"/>
          </w:tcPr>
          <w:p>
            <w:pPr>
              <w:widowControl/>
              <w:jc w:val="center"/>
              <w:rPr>
                <w:kern w:val="0"/>
                <w:szCs w:val="21"/>
                <w:highlight w:val="none"/>
              </w:rPr>
            </w:pPr>
            <w:r>
              <w:rPr>
                <w:kern w:val="0"/>
                <w:szCs w:val="21"/>
                <w:highlight w:val="none"/>
              </w:rPr>
              <w:t>综合管理、能源服务</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8" w:type="pct"/>
            <w:vAlign w:val="center"/>
          </w:tcPr>
          <w:p>
            <w:pPr>
              <w:widowControl/>
              <w:jc w:val="center"/>
              <w:rPr>
                <w:kern w:val="0"/>
                <w:szCs w:val="21"/>
                <w:highlight w:val="none"/>
              </w:rPr>
            </w:pPr>
            <w:r>
              <w:rPr>
                <w:kern w:val="0"/>
                <w:szCs w:val="21"/>
                <w:highlight w:val="none"/>
              </w:rPr>
              <w:t>3</w:t>
            </w:r>
          </w:p>
        </w:tc>
        <w:tc>
          <w:tcPr>
            <w:tcW w:w="1085" w:type="pct"/>
            <w:vAlign w:val="center"/>
          </w:tcPr>
          <w:p>
            <w:pPr>
              <w:widowControl/>
              <w:jc w:val="center"/>
              <w:rPr>
                <w:kern w:val="0"/>
                <w:szCs w:val="21"/>
                <w:highlight w:val="none"/>
              </w:rPr>
            </w:pPr>
            <w:r>
              <w:rPr>
                <w:kern w:val="0"/>
                <w:szCs w:val="21"/>
                <w:highlight w:val="none"/>
              </w:rPr>
              <w:t>新民水上服务中心</w:t>
            </w:r>
          </w:p>
        </w:tc>
        <w:tc>
          <w:tcPr>
            <w:tcW w:w="607" w:type="pct"/>
          </w:tcPr>
          <w:p>
            <w:pPr>
              <w:widowControl/>
              <w:jc w:val="center"/>
              <w:rPr>
                <w:kern w:val="0"/>
                <w:szCs w:val="21"/>
                <w:highlight w:val="none"/>
              </w:rPr>
            </w:pPr>
            <w:r>
              <w:rPr>
                <w:kern w:val="0"/>
                <w:szCs w:val="21"/>
                <w:highlight w:val="none"/>
              </w:rPr>
              <w:t>犍为港区</w:t>
            </w:r>
          </w:p>
        </w:tc>
        <w:tc>
          <w:tcPr>
            <w:tcW w:w="845" w:type="pct"/>
            <w:vAlign w:val="center"/>
          </w:tcPr>
          <w:p>
            <w:pPr>
              <w:widowControl/>
              <w:jc w:val="center"/>
              <w:rPr>
                <w:kern w:val="0"/>
                <w:szCs w:val="21"/>
                <w:highlight w:val="none"/>
              </w:rPr>
            </w:pPr>
            <w:r>
              <w:rPr>
                <w:kern w:val="0"/>
                <w:szCs w:val="21"/>
                <w:highlight w:val="none"/>
              </w:rPr>
              <w:t>岷江龙溪口</w:t>
            </w:r>
          </w:p>
        </w:tc>
        <w:tc>
          <w:tcPr>
            <w:tcW w:w="365" w:type="pct"/>
            <w:vAlign w:val="center"/>
          </w:tcPr>
          <w:p>
            <w:pPr>
              <w:widowControl/>
              <w:jc w:val="center"/>
              <w:rPr>
                <w:kern w:val="0"/>
                <w:szCs w:val="21"/>
                <w:highlight w:val="none"/>
              </w:rPr>
            </w:pPr>
          </w:p>
        </w:tc>
        <w:tc>
          <w:tcPr>
            <w:tcW w:w="768" w:type="pct"/>
            <w:vAlign w:val="center"/>
          </w:tcPr>
          <w:p>
            <w:pPr>
              <w:widowControl/>
              <w:jc w:val="center"/>
              <w:rPr>
                <w:kern w:val="0"/>
                <w:szCs w:val="21"/>
                <w:highlight w:val="none"/>
              </w:rPr>
            </w:pPr>
            <w:r>
              <w:rPr>
                <w:kern w:val="0"/>
                <w:szCs w:val="21"/>
                <w:highlight w:val="none"/>
              </w:rPr>
              <w:t>3</w:t>
            </w:r>
          </w:p>
        </w:tc>
        <w:tc>
          <w:tcPr>
            <w:tcW w:w="962" w:type="pct"/>
          </w:tcPr>
          <w:p>
            <w:pPr>
              <w:widowControl/>
              <w:jc w:val="center"/>
              <w:rPr>
                <w:kern w:val="0"/>
                <w:szCs w:val="21"/>
                <w:highlight w:val="none"/>
              </w:rPr>
            </w:pPr>
            <w:r>
              <w:rPr>
                <w:kern w:val="0"/>
                <w:szCs w:val="21"/>
                <w:highlight w:val="none"/>
              </w:rPr>
              <w:t>综合服务、防污染服务、应急服务</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8" w:type="pct"/>
            <w:vAlign w:val="center"/>
          </w:tcPr>
          <w:p>
            <w:pPr>
              <w:widowControl/>
              <w:jc w:val="center"/>
              <w:rPr>
                <w:kern w:val="0"/>
                <w:szCs w:val="21"/>
                <w:highlight w:val="none"/>
              </w:rPr>
            </w:pPr>
            <w:r>
              <w:rPr>
                <w:kern w:val="0"/>
                <w:szCs w:val="21"/>
                <w:highlight w:val="none"/>
              </w:rPr>
              <w:t>4</w:t>
            </w:r>
          </w:p>
        </w:tc>
        <w:tc>
          <w:tcPr>
            <w:tcW w:w="1085" w:type="pct"/>
            <w:vAlign w:val="center"/>
          </w:tcPr>
          <w:p>
            <w:pPr>
              <w:widowControl/>
              <w:jc w:val="center"/>
              <w:rPr>
                <w:kern w:val="0"/>
                <w:szCs w:val="21"/>
                <w:highlight w:val="none"/>
              </w:rPr>
            </w:pPr>
            <w:r>
              <w:rPr>
                <w:kern w:val="0"/>
                <w:szCs w:val="21"/>
                <w:highlight w:val="none"/>
              </w:rPr>
              <w:t>罗家坝工作船码头</w:t>
            </w:r>
          </w:p>
        </w:tc>
        <w:tc>
          <w:tcPr>
            <w:tcW w:w="607" w:type="pct"/>
          </w:tcPr>
          <w:p>
            <w:pPr>
              <w:widowControl/>
              <w:jc w:val="center"/>
              <w:rPr>
                <w:kern w:val="0"/>
                <w:szCs w:val="21"/>
                <w:highlight w:val="none"/>
              </w:rPr>
            </w:pPr>
            <w:r>
              <w:rPr>
                <w:kern w:val="0"/>
                <w:szCs w:val="21"/>
                <w:highlight w:val="none"/>
              </w:rPr>
              <w:t>沐川港区</w:t>
            </w:r>
          </w:p>
        </w:tc>
        <w:tc>
          <w:tcPr>
            <w:tcW w:w="845" w:type="pct"/>
            <w:vAlign w:val="center"/>
          </w:tcPr>
          <w:p>
            <w:pPr>
              <w:widowControl/>
              <w:jc w:val="center"/>
              <w:rPr>
                <w:kern w:val="0"/>
                <w:szCs w:val="21"/>
                <w:highlight w:val="none"/>
              </w:rPr>
            </w:pPr>
            <w:r>
              <w:rPr>
                <w:kern w:val="0"/>
                <w:szCs w:val="21"/>
                <w:highlight w:val="none"/>
              </w:rPr>
              <w:t>岷江龙溪口</w:t>
            </w:r>
          </w:p>
        </w:tc>
        <w:tc>
          <w:tcPr>
            <w:tcW w:w="365" w:type="pct"/>
            <w:vAlign w:val="center"/>
          </w:tcPr>
          <w:p>
            <w:pPr>
              <w:widowControl/>
              <w:jc w:val="center"/>
              <w:rPr>
                <w:kern w:val="0"/>
                <w:szCs w:val="21"/>
                <w:highlight w:val="none"/>
              </w:rPr>
            </w:pPr>
            <w:r>
              <w:rPr>
                <w:kern w:val="0"/>
                <w:szCs w:val="21"/>
                <w:highlight w:val="none"/>
              </w:rPr>
              <w:t>右</w:t>
            </w:r>
          </w:p>
        </w:tc>
        <w:tc>
          <w:tcPr>
            <w:tcW w:w="768" w:type="pct"/>
            <w:vAlign w:val="center"/>
          </w:tcPr>
          <w:p>
            <w:pPr>
              <w:widowControl/>
              <w:jc w:val="center"/>
              <w:rPr>
                <w:kern w:val="0"/>
                <w:szCs w:val="21"/>
                <w:highlight w:val="none"/>
              </w:rPr>
            </w:pPr>
            <w:r>
              <w:rPr>
                <w:kern w:val="0"/>
                <w:szCs w:val="21"/>
                <w:highlight w:val="none"/>
              </w:rPr>
              <w:t>1</w:t>
            </w:r>
          </w:p>
        </w:tc>
        <w:tc>
          <w:tcPr>
            <w:tcW w:w="962" w:type="pct"/>
          </w:tcPr>
          <w:p>
            <w:pPr>
              <w:widowControl/>
              <w:jc w:val="center"/>
              <w:rPr>
                <w:kern w:val="0"/>
                <w:szCs w:val="21"/>
                <w:highlight w:val="none"/>
              </w:rPr>
            </w:pPr>
            <w:r>
              <w:rPr>
                <w:kern w:val="0"/>
                <w:szCs w:val="21"/>
                <w:highlight w:val="none"/>
              </w:rPr>
              <w:t>港航管理</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8" w:type="pct"/>
            <w:vAlign w:val="center"/>
          </w:tcPr>
          <w:p>
            <w:pPr>
              <w:widowControl/>
              <w:jc w:val="center"/>
              <w:rPr>
                <w:kern w:val="0"/>
                <w:szCs w:val="21"/>
                <w:highlight w:val="none"/>
              </w:rPr>
            </w:pPr>
            <w:r>
              <w:rPr>
                <w:kern w:val="0"/>
                <w:szCs w:val="21"/>
                <w:highlight w:val="none"/>
              </w:rPr>
              <w:t>5</w:t>
            </w:r>
          </w:p>
        </w:tc>
        <w:tc>
          <w:tcPr>
            <w:tcW w:w="1085" w:type="pct"/>
            <w:vAlign w:val="center"/>
          </w:tcPr>
          <w:p>
            <w:pPr>
              <w:widowControl/>
              <w:jc w:val="center"/>
              <w:rPr>
                <w:kern w:val="0"/>
                <w:szCs w:val="21"/>
                <w:highlight w:val="none"/>
              </w:rPr>
            </w:pPr>
            <w:r>
              <w:rPr>
                <w:kern w:val="0"/>
                <w:szCs w:val="21"/>
                <w:highlight w:val="none"/>
              </w:rPr>
              <w:t>龙眼坝工作船码头</w:t>
            </w:r>
          </w:p>
        </w:tc>
        <w:tc>
          <w:tcPr>
            <w:tcW w:w="607" w:type="pct"/>
          </w:tcPr>
          <w:p>
            <w:pPr>
              <w:widowControl/>
              <w:jc w:val="center"/>
              <w:rPr>
                <w:kern w:val="0"/>
                <w:szCs w:val="21"/>
                <w:highlight w:val="none"/>
              </w:rPr>
            </w:pPr>
            <w:r>
              <w:rPr>
                <w:kern w:val="0"/>
                <w:szCs w:val="21"/>
                <w:highlight w:val="none"/>
              </w:rPr>
              <w:t>峨边港区</w:t>
            </w:r>
          </w:p>
        </w:tc>
        <w:tc>
          <w:tcPr>
            <w:tcW w:w="845" w:type="pct"/>
            <w:vAlign w:val="center"/>
          </w:tcPr>
          <w:p>
            <w:pPr>
              <w:widowControl/>
              <w:jc w:val="center"/>
              <w:rPr>
                <w:kern w:val="0"/>
                <w:szCs w:val="21"/>
                <w:highlight w:val="none"/>
              </w:rPr>
            </w:pPr>
            <w:r>
              <w:rPr>
                <w:kern w:val="0"/>
                <w:szCs w:val="21"/>
                <w:highlight w:val="none"/>
              </w:rPr>
              <w:t>大渡河龚嘴</w:t>
            </w:r>
          </w:p>
        </w:tc>
        <w:tc>
          <w:tcPr>
            <w:tcW w:w="365" w:type="pct"/>
            <w:vAlign w:val="center"/>
          </w:tcPr>
          <w:p>
            <w:pPr>
              <w:widowControl/>
              <w:jc w:val="center"/>
              <w:rPr>
                <w:kern w:val="0"/>
                <w:szCs w:val="21"/>
                <w:highlight w:val="none"/>
              </w:rPr>
            </w:pPr>
            <w:r>
              <w:rPr>
                <w:kern w:val="0"/>
                <w:szCs w:val="21"/>
                <w:highlight w:val="none"/>
              </w:rPr>
              <w:t>左</w:t>
            </w:r>
          </w:p>
        </w:tc>
        <w:tc>
          <w:tcPr>
            <w:tcW w:w="768" w:type="pct"/>
            <w:vAlign w:val="center"/>
          </w:tcPr>
          <w:p>
            <w:pPr>
              <w:widowControl/>
              <w:jc w:val="center"/>
              <w:rPr>
                <w:kern w:val="0"/>
                <w:szCs w:val="21"/>
                <w:highlight w:val="none"/>
              </w:rPr>
            </w:pPr>
            <w:r>
              <w:rPr>
                <w:kern w:val="0"/>
                <w:szCs w:val="21"/>
                <w:highlight w:val="none"/>
              </w:rPr>
              <w:t>2</w:t>
            </w:r>
          </w:p>
        </w:tc>
        <w:tc>
          <w:tcPr>
            <w:tcW w:w="962" w:type="pct"/>
          </w:tcPr>
          <w:p>
            <w:pPr>
              <w:widowControl/>
              <w:jc w:val="center"/>
              <w:rPr>
                <w:kern w:val="0"/>
                <w:szCs w:val="21"/>
                <w:highlight w:val="none"/>
              </w:rPr>
            </w:pPr>
            <w:r>
              <w:rPr>
                <w:kern w:val="0"/>
                <w:szCs w:val="21"/>
                <w:highlight w:val="none"/>
              </w:rPr>
              <w:t>港航管理、</w:t>
            </w:r>
          </w:p>
          <w:p>
            <w:pPr>
              <w:widowControl/>
              <w:jc w:val="center"/>
              <w:rPr>
                <w:kern w:val="0"/>
                <w:szCs w:val="21"/>
                <w:highlight w:val="none"/>
              </w:rPr>
            </w:pPr>
            <w:r>
              <w:rPr>
                <w:kern w:val="0"/>
                <w:szCs w:val="21"/>
                <w:highlight w:val="none"/>
              </w:rPr>
              <w:t>应急搜救</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8" w:type="pct"/>
            <w:vAlign w:val="center"/>
          </w:tcPr>
          <w:p>
            <w:pPr>
              <w:widowControl/>
              <w:jc w:val="center"/>
              <w:rPr>
                <w:kern w:val="0"/>
                <w:szCs w:val="21"/>
                <w:highlight w:val="none"/>
              </w:rPr>
            </w:pPr>
            <w:r>
              <w:rPr>
                <w:kern w:val="0"/>
                <w:szCs w:val="21"/>
                <w:highlight w:val="none"/>
              </w:rPr>
              <w:t>6</w:t>
            </w:r>
          </w:p>
        </w:tc>
        <w:tc>
          <w:tcPr>
            <w:tcW w:w="1085" w:type="pct"/>
            <w:vAlign w:val="center"/>
          </w:tcPr>
          <w:p>
            <w:pPr>
              <w:widowControl/>
              <w:jc w:val="center"/>
              <w:rPr>
                <w:kern w:val="0"/>
                <w:szCs w:val="21"/>
                <w:highlight w:val="none"/>
              </w:rPr>
            </w:pPr>
            <w:r>
              <w:rPr>
                <w:kern w:val="0"/>
                <w:szCs w:val="21"/>
                <w:highlight w:val="none"/>
              </w:rPr>
              <w:t>柏杨湾工作船码头</w:t>
            </w:r>
          </w:p>
        </w:tc>
        <w:tc>
          <w:tcPr>
            <w:tcW w:w="607" w:type="pct"/>
          </w:tcPr>
          <w:p>
            <w:pPr>
              <w:widowControl/>
              <w:jc w:val="center"/>
              <w:rPr>
                <w:kern w:val="0"/>
                <w:szCs w:val="21"/>
                <w:highlight w:val="none"/>
              </w:rPr>
            </w:pPr>
            <w:r>
              <w:rPr>
                <w:kern w:val="0"/>
                <w:szCs w:val="21"/>
                <w:highlight w:val="none"/>
              </w:rPr>
              <w:t>夹江港区</w:t>
            </w:r>
          </w:p>
        </w:tc>
        <w:tc>
          <w:tcPr>
            <w:tcW w:w="845" w:type="pct"/>
            <w:vAlign w:val="center"/>
          </w:tcPr>
          <w:p>
            <w:pPr>
              <w:widowControl/>
              <w:jc w:val="center"/>
              <w:rPr>
                <w:kern w:val="0"/>
                <w:szCs w:val="21"/>
                <w:highlight w:val="none"/>
              </w:rPr>
            </w:pPr>
            <w:r>
              <w:rPr>
                <w:kern w:val="0"/>
                <w:szCs w:val="21"/>
                <w:highlight w:val="none"/>
              </w:rPr>
              <w:t>青衣江毛滩</w:t>
            </w:r>
          </w:p>
        </w:tc>
        <w:tc>
          <w:tcPr>
            <w:tcW w:w="365" w:type="pct"/>
            <w:vAlign w:val="center"/>
          </w:tcPr>
          <w:p>
            <w:pPr>
              <w:widowControl/>
              <w:jc w:val="center"/>
              <w:rPr>
                <w:kern w:val="0"/>
                <w:szCs w:val="21"/>
                <w:highlight w:val="none"/>
              </w:rPr>
            </w:pPr>
            <w:r>
              <w:rPr>
                <w:kern w:val="0"/>
                <w:szCs w:val="21"/>
                <w:highlight w:val="none"/>
              </w:rPr>
              <w:t>左</w:t>
            </w:r>
          </w:p>
        </w:tc>
        <w:tc>
          <w:tcPr>
            <w:tcW w:w="768" w:type="pct"/>
            <w:vAlign w:val="center"/>
          </w:tcPr>
          <w:p>
            <w:pPr>
              <w:widowControl/>
              <w:jc w:val="center"/>
              <w:rPr>
                <w:kern w:val="0"/>
                <w:szCs w:val="21"/>
                <w:highlight w:val="none"/>
              </w:rPr>
            </w:pPr>
            <w:r>
              <w:rPr>
                <w:kern w:val="0"/>
                <w:szCs w:val="21"/>
                <w:highlight w:val="none"/>
              </w:rPr>
              <w:t>3</w:t>
            </w:r>
          </w:p>
        </w:tc>
        <w:tc>
          <w:tcPr>
            <w:tcW w:w="962" w:type="pct"/>
          </w:tcPr>
          <w:p>
            <w:pPr>
              <w:widowControl/>
              <w:jc w:val="center"/>
              <w:rPr>
                <w:kern w:val="0"/>
                <w:szCs w:val="21"/>
                <w:highlight w:val="none"/>
              </w:rPr>
            </w:pPr>
            <w:r>
              <w:rPr>
                <w:kern w:val="0"/>
                <w:szCs w:val="21"/>
                <w:highlight w:val="none"/>
              </w:rPr>
              <w:t>港航管理、</w:t>
            </w:r>
          </w:p>
          <w:p>
            <w:pPr>
              <w:widowControl/>
              <w:jc w:val="center"/>
              <w:rPr>
                <w:kern w:val="0"/>
                <w:szCs w:val="21"/>
                <w:highlight w:val="none"/>
              </w:rPr>
            </w:pPr>
            <w:r>
              <w:rPr>
                <w:kern w:val="0"/>
                <w:szCs w:val="21"/>
                <w:highlight w:val="none"/>
              </w:rPr>
              <w:t>应急搜救、消防</w:t>
            </w:r>
          </w:p>
        </w:tc>
      </w:tr>
      <w:tr>
        <w:tblPrEx>
          <w:tblBorders>
            <w:top w:val="thinThickSmallGap" w:color="auto" w:sz="18" w:space="0"/>
            <w:left w:val="none" w:color="auto" w:sz="0" w:space="0"/>
            <w:bottom w:val="thickThinSmallGap"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8" w:type="pct"/>
            <w:vAlign w:val="center"/>
          </w:tcPr>
          <w:p>
            <w:pPr>
              <w:widowControl/>
              <w:jc w:val="center"/>
              <w:rPr>
                <w:kern w:val="0"/>
                <w:szCs w:val="21"/>
                <w:highlight w:val="none"/>
              </w:rPr>
            </w:pPr>
          </w:p>
        </w:tc>
        <w:tc>
          <w:tcPr>
            <w:tcW w:w="1085" w:type="pct"/>
            <w:vAlign w:val="center"/>
          </w:tcPr>
          <w:p>
            <w:pPr>
              <w:widowControl/>
              <w:jc w:val="center"/>
              <w:rPr>
                <w:kern w:val="0"/>
                <w:szCs w:val="21"/>
                <w:highlight w:val="none"/>
              </w:rPr>
            </w:pPr>
            <w:r>
              <w:rPr>
                <w:kern w:val="0"/>
                <w:szCs w:val="21"/>
                <w:highlight w:val="none"/>
              </w:rPr>
              <w:t>合计</w:t>
            </w:r>
          </w:p>
        </w:tc>
        <w:tc>
          <w:tcPr>
            <w:tcW w:w="607" w:type="pct"/>
          </w:tcPr>
          <w:p>
            <w:pPr>
              <w:widowControl/>
              <w:jc w:val="center"/>
              <w:rPr>
                <w:kern w:val="0"/>
                <w:szCs w:val="21"/>
                <w:highlight w:val="none"/>
              </w:rPr>
            </w:pPr>
          </w:p>
        </w:tc>
        <w:tc>
          <w:tcPr>
            <w:tcW w:w="845" w:type="pct"/>
            <w:vAlign w:val="center"/>
          </w:tcPr>
          <w:p>
            <w:pPr>
              <w:widowControl/>
              <w:jc w:val="center"/>
              <w:rPr>
                <w:kern w:val="0"/>
                <w:szCs w:val="21"/>
                <w:highlight w:val="none"/>
              </w:rPr>
            </w:pPr>
          </w:p>
        </w:tc>
        <w:tc>
          <w:tcPr>
            <w:tcW w:w="365" w:type="pct"/>
            <w:vAlign w:val="center"/>
          </w:tcPr>
          <w:p>
            <w:pPr>
              <w:widowControl/>
              <w:jc w:val="center"/>
              <w:rPr>
                <w:kern w:val="0"/>
                <w:szCs w:val="21"/>
                <w:highlight w:val="none"/>
              </w:rPr>
            </w:pPr>
          </w:p>
        </w:tc>
        <w:tc>
          <w:tcPr>
            <w:tcW w:w="768" w:type="pct"/>
            <w:vAlign w:val="center"/>
          </w:tcPr>
          <w:p>
            <w:pPr>
              <w:widowControl/>
              <w:jc w:val="center"/>
              <w:rPr>
                <w:kern w:val="0"/>
                <w:szCs w:val="21"/>
                <w:highlight w:val="none"/>
              </w:rPr>
            </w:pPr>
            <w:r>
              <w:rPr>
                <w:kern w:val="0"/>
                <w:szCs w:val="21"/>
                <w:highlight w:val="none"/>
              </w:rPr>
              <w:t>24</w:t>
            </w:r>
          </w:p>
        </w:tc>
        <w:tc>
          <w:tcPr>
            <w:tcW w:w="962" w:type="pct"/>
          </w:tcPr>
          <w:p>
            <w:pPr>
              <w:widowControl/>
              <w:jc w:val="center"/>
              <w:rPr>
                <w:kern w:val="0"/>
                <w:szCs w:val="21"/>
                <w:highlight w:val="none"/>
              </w:rPr>
            </w:pPr>
          </w:p>
        </w:tc>
      </w:tr>
    </w:tbl>
    <w:p>
      <w:pPr>
        <w:spacing w:before="156" w:beforeLines="50" w:after="156" w:afterLines="50" w:line="520" w:lineRule="exact"/>
        <w:jc w:val="center"/>
        <w:outlineLvl w:val="1"/>
        <w:rPr>
          <w:rFonts w:eastAsia="黑体"/>
          <w:b/>
          <w:sz w:val="30"/>
          <w:highlight w:val="none"/>
        </w:rPr>
      </w:pPr>
      <w:bookmarkStart w:id="248" w:name="_Toc77781932"/>
      <w:bookmarkStart w:id="249" w:name="_Toc67908299"/>
      <w:r>
        <w:rPr>
          <w:rFonts w:eastAsia="黑体"/>
          <w:b/>
          <w:sz w:val="30"/>
          <w:highlight w:val="none"/>
        </w:rPr>
        <w:t>第</w:t>
      </w:r>
      <w:r>
        <w:rPr>
          <w:rFonts w:hint="eastAsia" w:eastAsia="黑体"/>
          <w:b/>
          <w:sz w:val="30"/>
          <w:highlight w:val="none"/>
        </w:rPr>
        <w:t>六</w:t>
      </w:r>
      <w:r>
        <w:rPr>
          <w:rFonts w:eastAsia="黑体"/>
          <w:b/>
          <w:sz w:val="30"/>
          <w:highlight w:val="none"/>
        </w:rPr>
        <w:t>节  港口和船舶污染防治规划</w:t>
      </w:r>
    </w:p>
    <w:p>
      <w:pPr>
        <w:spacing w:line="360" w:lineRule="auto"/>
        <w:ind w:firstLine="480"/>
        <w:rPr>
          <w:sz w:val="28"/>
          <w:szCs w:val="28"/>
          <w:highlight w:val="none"/>
        </w:rPr>
      </w:pPr>
      <w:r>
        <w:rPr>
          <w:sz w:val="28"/>
          <w:szCs w:val="28"/>
          <w:highlight w:val="none"/>
        </w:rPr>
        <w:t>2015年4月16日，国务院正式向社会发布《水污染防治行动计划》（国发[2015]17号），要求加强船舶港口污染控制，提高含油污水接收处置能力及污染事故应急能力。该行动计划（即“水十条”）是我国环境保护领域的重大举措，充分彰显了国家全面实施水治理战略的决心和信心。</w:t>
      </w:r>
    </w:p>
    <w:p>
      <w:pPr>
        <w:spacing w:line="360" w:lineRule="auto"/>
        <w:ind w:firstLine="480"/>
        <w:rPr>
          <w:sz w:val="28"/>
          <w:szCs w:val="28"/>
          <w:highlight w:val="none"/>
        </w:rPr>
      </w:pPr>
      <w:r>
        <w:rPr>
          <w:sz w:val="28"/>
          <w:szCs w:val="28"/>
          <w:highlight w:val="none"/>
        </w:rPr>
        <w:t>2020年1月，由交通运输部、发展改革委、生态环境部、住房城乡建设部联合印发《关于长江经济带船舶和港口污染突出问题整改方案的通知》，提出到2020年12月底前长江支流完成《港口和船舶污染物接收、转运、处置设施建设方案》建设任务，四川省和</w:t>
      </w:r>
      <w:r>
        <w:rPr>
          <w:rFonts w:hint="eastAsia"/>
          <w:sz w:val="28"/>
          <w:szCs w:val="28"/>
          <w:highlight w:val="none"/>
        </w:rPr>
        <w:t>乐山</w:t>
      </w:r>
      <w:r>
        <w:rPr>
          <w:sz w:val="28"/>
          <w:szCs w:val="28"/>
          <w:highlight w:val="none"/>
        </w:rPr>
        <w:t>市相继发布具体的实施方案。</w:t>
      </w:r>
    </w:p>
    <w:p>
      <w:pPr>
        <w:spacing w:line="360" w:lineRule="auto"/>
        <w:ind w:firstLine="480"/>
        <w:rPr>
          <w:sz w:val="28"/>
          <w:szCs w:val="28"/>
          <w:highlight w:val="none"/>
        </w:rPr>
      </w:pPr>
      <w:r>
        <w:rPr>
          <w:sz w:val="28"/>
          <w:szCs w:val="28"/>
          <w:highlight w:val="none"/>
        </w:rPr>
        <w:t>根据国家和行业要求，</w:t>
      </w:r>
      <w:r>
        <w:rPr>
          <w:rFonts w:hint="eastAsia"/>
          <w:sz w:val="28"/>
          <w:szCs w:val="28"/>
          <w:highlight w:val="none"/>
        </w:rPr>
        <w:t>乐山</w:t>
      </w:r>
      <w:r>
        <w:rPr>
          <w:sz w:val="28"/>
          <w:szCs w:val="28"/>
          <w:highlight w:val="none"/>
        </w:rPr>
        <w:t>市港口和船舶污染防治规划如下：</w:t>
      </w:r>
    </w:p>
    <w:p>
      <w:pPr>
        <w:pStyle w:val="2"/>
        <w:spacing w:line="360" w:lineRule="auto"/>
        <w:ind w:firstLine="562" w:firstLineChars="200"/>
        <w:rPr>
          <w:rFonts w:ascii="Times New Roman" w:eastAsia="黑体" w:cs="Times New Roman"/>
          <w:b/>
          <w:color w:val="auto"/>
          <w:kern w:val="2"/>
          <w:sz w:val="28"/>
          <w:szCs w:val="28"/>
          <w:highlight w:val="none"/>
        </w:rPr>
      </w:pPr>
      <w:r>
        <w:rPr>
          <w:rFonts w:ascii="Times New Roman" w:eastAsia="黑体" w:cs="Times New Roman"/>
          <w:b/>
          <w:color w:val="auto"/>
          <w:kern w:val="2"/>
          <w:sz w:val="28"/>
          <w:szCs w:val="28"/>
          <w:highlight w:val="none"/>
        </w:rPr>
        <w:t>一、船舶污染物接收及预处理</w:t>
      </w:r>
    </w:p>
    <w:p>
      <w:pPr>
        <w:pStyle w:val="2"/>
        <w:spacing w:line="360" w:lineRule="auto"/>
        <w:ind w:firstLine="562" w:firstLineChars="200"/>
        <w:rPr>
          <w:rFonts w:ascii="Times New Roman" w:eastAsia="黑体" w:cs="Times New Roman"/>
          <w:b/>
          <w:color w:val="auto"/>
          <w:kern w:val="2"/>
          <w:sz w:val="28"/>
          <w:szCs w:val="28"/>
          <w:highlight w:val="none"/>
        </w:rPr>
      </w:pPr>
      <w:r>
        <w:rPr>
          <w:rFonts w:hint="eastAsia" w:ascii="Times New Roman" w:eastAsia="黑体" w:cs="Times New Roman"/>
          <w:b/>
          <w:color w:val="auto"/>
          <w:kern w:val="2"/>
          <w:sz w:val="28"/>
          <w:szCs w:val="28"/>
          <w:highlight w:val="none"/>
        </w:rPr>
        <w:t>（一）</w:t>
      </w:r>
      <w:r>
        <w:rPr>
          <w:rFonts w:ascii="Times New Roman" w:eastAsia="黑体" w:cs="Times New Roman"/>
          <w:b/>
          <w:color w:val="auto"/>
          <w:kern w:val="2"/>
          <w:sz w:val="28"/>
          <w:szCs w:val="28"/>
          <w:highlight w:val="none"/>
        </w:rPr>
        <w:t>已建港口</w:t>
      </w:r>
    </w:p>
    <w:p>
      <w:pPr>
        <w:spacing w:line="360" w:lineRule="auto"/>
        <w:ind w:firstLine="480"/>
        <w:rPr>
          <w:sz w:val="28"/>
          <w:szCs w:val="28"/>
          <w:highlight w:val="none"/>
        </w:rPr>
      </w:pPr>
      <w:r>
        <w:rPr>
          <w:sz w:val="28"/>
          <w:szCs w:val="28"/>
          <w:highlight w:val="none"/>
        </w:rPr>
        <w:t>根据</w:t>
      </w:r>
      <w:r>
        <w:rPr>
          <w:rFonts w:hint="eastAsia"/>
          <w:sz w:val="28"/>
          <w:szCs w:val="28"/>
          <w:highlight w:val="none"/>
        </w:rPr>
        <w:t>大件</w:t>
      </w:r>
      <w:r>
        <w:rPr>
          <w:sz w:val="28"/>
          <w:szCs w:val="28"/>
          <w:highlight w:val="none"/>
        </w:rPr>
        <w:t>和</w:t>
      </w:r>
      <w:r>
        <w:rPr>
          <w:rFonts w:hint="eastAsia"/>
          <w:sz w:val="28"/>
          <w:szCs w:val="28"/>
          <w:highlight w:val="none"/>
        </w:rPr>
        <w:t>下渡</w:t>
      </w:r>
      <w:r>
        <w:rPr>
          <w:sz w:val="28"/>
          <w:szCs w:val="28"/>
          <w:highlight w:val="none"/>
        </w:rPr>
        <w:t>码头建设情况，在每个泊位分别设置1套船舶污水接收管线，主干管竖向布置，竖向管道分层设置船舶污水和生活污水标准法兰接收接口，每个分层接口设置截止阀、止回阀并与竖向管道连接，船舶生活污水和含油污水均采用DN100污水管，采用管卡固定于靠船立柱上，每个泊位设置流量计及相关控制设备及纵向主干管，主干管连接码头后方陆域的含油污水处理设备和新建化粪池。通过PVC钢丝软管连接码头分层标注接口与船舶管道标准接口，实现船舶污水泵送上岸收集功能。为满足船舶污水接收的抽吸功能，码头配套无堵塞自吸泵备用，当船舶自身泵送设备扬程不足或无法泵送污水时，通过码头起重设备吊放备用抽吸泵至船舱面，连接船舶污水和码头的污水接口，抽吸污水泵送至码头污水处理设备。</w:t>
      </w:r>
    </w:p>
    <w:p>
      <w:pPr>
        <w:spacing w:line="360" w:lineRule="auto"/>
        <w:ind w:firstLine="480"/>
        <w:rPr>
          <w:sz w:val="28"/>
          <w:szCs w:val="28"/>
          <w:highlight w:val="none"/>
        </w:rPr>
      </w:pPr>
      <w:r>
        <w:rPr>
          <w:sz w:val="28"/>
          <w:szCs w:val="28"/>
          <w:highlight w:val="none"/>
        </w:rPr>
        <w:t>对码头已有垃圾暂存间进行改造，增设危废暂存间。对于船舶固体垃圾，在码头配置一台电动4桶垃圾运输车，车上配置4个分类垃圾回收桶，分为厨余垃圾（绿色）、可回收垃圾（蓝色）、其余垃圾（黑色）以及有害垃圾（红色），当船舶需在港口卸载生活垃圾时，移动垃圾运输车至码头前沿接收船舶分类生活垃圾转运至后方垃圾暂存间，其中危废垃圾暂存在危废暂存间，其他垃圾存放在一般垃圾间分区临时堆存。</w:t>
      </w:r>
    </w:p>
    <w:p>
      <w:pPr>
        <w:spacing w:line="360" w:lineRule="auto"/>
        <w:ind w:firstLine="480"/>
        <w:rPr>
          <w:sz w:val="28"/>
          <w:szCs w:val="28"/>
          <w:highlight w:val="none"/>
        </w:rPr>
      </w:pPr>
      <w:r>
        <w:rPr>
          <w:sz w:val="28"/>
          <w:szCs w:val="28"/>
          <w:highlight w:val="none"/>
        </w:rPr>
        <w:t>经预处理后船舶污水接入码头后方市政管网，垃圾则委托市政环卫转运，危废委托有资质单位回收处理。</w:t>
      </w:r>
    </w:p>
    <w:p>
      <w:pPr>
        <w:pStyle w:val="2"/>
        <w:spacing w:line="360" w:lineRule="auto"/>
        <w:ind w:firstLine="562" w:firstLineChars="200"/>
        <w:rPr>
          <w:rFonts w:ascii="Times New Roman" w:eastAsia="黑体" w:cs="Times New Roman"/>
          <w:b/>
          <w:color w:val="auto"/>
          <w:kern w:val="2"/>
          <w:sz w:val="28"/>
          <w:szCs w:val="28"/>
          <w:highlight w:val="none"/>
        </w:rPr>
      </w:pPr>
      <w:r>
        <w:rPr>
          <w:rFonts w:hint="eastAsia" w:ascii="Times New Roman" w:eastAsia="黑体" w:cs="Times New Roman"/>
          <w:b/>
          <w:color w:val="auto"/>
          <w:kern w:val="2"/>
          <w:sz w:val="28"/>
          <w:szCs w:val="28"/>
          <w:highlight w:val="none"/>
        </w:rPr>
        <w:t>（二）</w:t>
      </w:r>
      <w:r>
        <w:rPr>
          <w:rFonts w:ascii="Times New Roman" w:eastAsia="黑体" w:cs="Times New Roman"/>
          <w:b/>
          <w:color w:val="auto"/>
          <w:kern w:val="2"/>
          <w:sz w:val="28"/>
          <w:szCs w:val="28"/>
          <w:highlight w:val="none"/>
        </w:rPr>
        <w:t>新建港口或提升改建港口</w:t>
      </w:r>
    </w:p>
    <w:p>
      <w:pPr>
        <w:spacing w:line="360" w:lineRule="auto"/>
        <w:ind w:firstLine="480"/>
        <w:rPr>
          <w:sz w:val="28"/>
          <w:szCs w:val="28"/>
          <w:highlight w:val="none"/>
        </w:rPr>
      </w:pPr>
      <w:r>
        <w:rPr>
          <w:sz w:val="28"/>
          <w:szCs w:val="28"/>
          <w:highlight w:val="none"/>
        </w:rPr>
        <w:t>对于新建港口或提升改建港口，在建设时设计船舶污水接收管网系统和预处理设施，垃圾暂存间等环保设施。</w:t>
      </w:r>
    </w:p>
    <w:p>
      <w:pPr>
        <w:pStyle w:val="2"/>
        <w:spacing w:line="360" w:lineRule="auto"/>
        <w:ind w:firstLine="562" w:firstLineChars="200"/>
        <w:rPr>
          <w:rFonts w:ascii="Times New Roman" w:eastAsia="黑体" w:cs="Times New Roman"/>
          <w:b/>
          <w:color w:val="auto"/>
          <w:kern w:val="2"/>
          <w:sz w:val="28"/>
          <w:szCs w:val="28"/>
          <w:highlight w:val="none"/>
        </w:rPr>
      </w:pPr>
      <w:r>
        <w:rPr>
          <w:rFonts w:ascii="Times New Roman" w:eastAsia="黑体" w:cs="Times New Roman"/>
          <w:b/>
          <w:color w:val="auto"/>
          <w:kern w:val="2"/>
          <w:sz w:val="28"/>
          <w:szCs w:val="28"/>
          <w:highlight w:val="none"/>
        </w:rPr>
        <w:t>二、初期雨水收集及预处理</w:t>
      </w:r>
    </w:p>
    <w:p>
      <w:pPr>
        <w:pStyle w:val="2"/>
        <w:spacing w:line="360" w:lineRule="auto"/>
        <w:ind w:firstLine="562" w:firstLineChars="200"/>
        <w:rPr>
          <w:rFonts w:ascii="Times New Roman" w:eastAsia="黑体" w:cs="Times New Roman"/>
          <w:b/>
          <w:color w:val="auto"/>
          <w:kern w:val="2"/>
          <w:sz w:val="28"/>
          <w:szCs w:val="28"/>
          <w:highlight w:val="none"/>
        </w:rPr>
      </w:pPr>
      <w:r>
        <w:rPr>
          <w:rFonts w:hint="eastAsia" w:ascii="Times New Roman" w:eastAsia="黑体" w:cs="Times New Roman"/>
          <w:b/>
          <w:color w:val="auto"/>
          <w:kern w:val="2"/>
          <w:sz w:val="28"/>
          <w:szCs w:val="28"/>
          <w:highlight w:val="none"/>
        </w:rPr>
        <w:t>（一）</w:t>
      </w:r>
      <w:r>
        <w:rPr>
          <w:rFonts w:ascii="Times New Roman" w:eastAsia="黑体" w:cs="Times New Roman"/>
          <w:b/>
          <w:color w:val="auto"/>
          <w:kern w:val="2"/>
          <w:sz w:val="28"/>
          <w:szCs w:val="28"/>
          <w:highlight w:val="none"/>
        </w:rPr>
        <w:t>已建港口</w:t>
      </w:r>
    </w:p>
    <w:p>
      <w:pPr>
        <w:spacing w:line="360" w:lineRule="auto"/>
        <w:ind w:firstLine="480"/>
        <w:rPr>
          <w:sz w:val="28"/>
          <w:szCs w:val="28"/>
          <w:highlight w:val="none"/>
        </w:rPr>
      </w:pPr>
      <w:r>
        <w:rPr>
          <w:rFonts w:hint="eastAsia"/>
          <w:sz w:val="28"/>
          <w:szCs w:val="28"/>
          <w:highlight w:val="none"/>
        </w:rPr>
        <w:t>大件</w:t>
      </w:r>
      <w:r>
        <w:rPr>
          <w:sz w:val="28"/>
          <w:szCs w:val="28"/>
          <w:highlight w:val="none"/>
        </w:rPr>
        <w:t>码头</w:t>
      </w:r>
      <w:r>
        <w:rPr>
          <w:rFonts w:hint="eastAsia"/>
          <w:sz w:val="28"/>
          <w:szCs w:val="28"/>
          <w:highlight w:val="none"/>
        </w:rPr>
        <w:t>、下渡码头等</w:t>
      </w:r>
      <w:r>
        <w:rPr>
          <w:sz w:val="28"/>
          <w:szCs w:val="28"/>
          <w:highlight w:val="none"/>
        </w:rPr>
        <w:t>已建初期雨水收集系统，增设</w:t>
      </w:r>
      <w:r>
        <w:rPr>
          <w:rFonts w:hint="eastAsia"/>
          <w:sz w:val="28"/>
          <w:szCs w:val="28"/>
          <w:highlight w:val="none"/>
        </w:rPr>
        <w:t>了</w:t>
      </w:r>
      <w:r>
        <w:rPr>
          <w:sz w:val="28"/>
          <w:szCs w:val="28"/>
          <w:highlight w:val="none"/>
        </w:rPr>
        <w:t>初雨雨水池，码头初期雨水经处理设施隔油、絮凝沉淀处理达标后排放。后期雨水则通过分流直接排入。</w:t>
      </w:r>
    </w:p>
    <w:p>
      <w:pPr>
        <w:spacing w:line="360" w:lineRule="auto"/>
        <w:ind w:firstLine="480"/>
        <w:rPr>
          <w:sz w:val="28"/>
          <w:szCs w:val="28"/>
          <w:highlight w:val="none"/>
        </w:rPr>
      </w:pPr>
      <w:r>
        <w:rPr>
          <w:sz w:val="28"/>
          <w:szCs w:val="28"/>
          <w:highlight w:val="none"/>
        </w:rPr>
        <w:t>经预处理后分离油污暂存于危废暂存间，池底及沉底淤泥交由有资质单位回收处理。</w:t>
      </w:r>
    </w:p>
    <w:p>
      <w:pPr>
        <w:pStyle w:val="2"/>
        <w:spacing w:line="360" w:lineRule="auto"/>
        <w:ind w:firstLine="562" w:firstLineChars="200"/>
        <w:rPr>
          <w:rFonts w:ascii="Times New Roman" w:eastAsia="黑体" w:cs="Times New Roman"/>
          <w:b/>
          <w:color w:val="auto"/>
          <w:kern w:val="2"/>
          <w:sz w:val="28"/>
          <w:szCs w:val="28"/>
          <w:highlight w:val="none"/>
        </w:rPr>
      </w:pPr>
      <w:r>
        <w:rPr>
          <w:rFonts w:hint="eastAsia" w:ascii="Times New Roman" w:eastAsia="黑体" w:cs="Times New Roman"/>
          <w:b/>
          <w:color w:val="auto"/>
          <w:kern w:val="2"/>
          <w:sz w:val="28"/>
          <w:szCs w:val="28"/>
          <w:highlight w:val="none"/>
        </w:rPr>
        <w:t>（二）</w:t>
      </w:r>
      <w:r>
        <w:rPr>
          <w:rFonts w:ascii="Times New Roman" w:eastAsia="黑体" w:cs="Times New Roman"/>
          <w:b/>
          <w:color w:val="auto"/>
          <w:kern w:val="2"/>
          <w:sz w:val="28"/>
          <w:szCs w:val="28"/>
          <w:highlight w:val="none"/>
        </w:rPr>
        <w:t>新建港口或提升改建港口</w:t>
      </w:r>
    </w:p>
    <w:p>
      <w:pPr>
        <w:spacing w:line="360" w:lineRule="auto"/>
        <w:ind w:firstLine="480"/>
        <w:rPr>
          <w:sz w:val="28"/>
          <w:szCs w:val="28"/>
          <w:highlight w:val="none"/>
        </w:rPr>
      </w:pPr>
      <w:r>
        <w:rPr>
          <w:sz w:val="28"/>
          <w:szCs w:val="28"/>
          <w:highlight w:val="none"/>
        </w:rPr>
        <w:t>对于新建港口或提升改建港口，在建设时设计初期雨水收集及处理等环保设施。</w:t>
      </w:r>
    </w:p>
    <w:p>
      <w:pPr>
        <w:pStyle w:val="2"/>
        <w:spacing w:line="360" w:lineRule="auto"/>
        <w:ind w:firstLine="562" w:firstLineChars="200"/>
        <w:rPr>
          <w:rFonts w:ascii="Times New Roman" w:eastAsia="黑体" w:cs="Times New Roman"/>
          <w:b/>
          <w:color w:val="auto"/>
          <w:kern w:val="2"/>
          <w:sz w:val="28"/>
          <w:szCs w:val="28"/>
          <w:highlight w:val="none"/>
        </w:rPr>
      </w:pPr>
      <w:r>
        <w:rPr>
          <w:rFonts w:ascii="Times New Roman" w:eastAsia="黑体" w:cs="Times New Roman"/>
          <w:b/>
          <w:color w:val="auto"/>
          <w:kern w:val="2"/>
          <w:sz w:val="28"/>
          <w:szCs w:val="28"/>
          <w:highlight w:val="none"/>
        </w:rPr>
        <w:t>三、生产废水收集处理系统</w:t>
      </w:r>
    </w:p>
    <w:p>
      <w:pPr>
        <w:pStyle w:val="2"/>
        <w:spacing w:line="360" w:lineRule="auto"/>
        <w:ind w:firstLine="562" w:firstLineChars="200"/>
        <w:rPr>
          <w:color w:val="auto"/>
          <w:highlight w:val="none"/>
        </w:rPr>
      </w:pPr>
      <w:r>
        <w:rPr>
          <w:rFonts w:hint="eastAsia" w:ascii="Times New Roman" w:eastAsia="黑体" w:cs="Times New Roman"/>
          <w:b/>
          <w:color w:val="auto"/>
          <w:kern w:val="2"/>
          <w:sz w:val="28"/>
          <w:szCs w:val="28"/>
          <w:highlight w:val="none"/>
        </w:rPr>
        <w:t>（一）</w:t>
      </w:r>
      <w:r>
        <w:rPr>
          <w:rFonts w:ascii="Times New Roman" w:eastAsia="黑体" w:cs="Times New Roman"/>
          <w:b/>
          <w:color w:val="auto"/>
          <w:kern w:val="2"/>
          <w:sz w:val="28"/>
          <w:szCs w:val="28"/>
          <w:highlight w:val="none"/>
        </w:rPr>
        <w:t>已建港口</w:t>
      </w:r>
    </w:p>
    <w:p>
      <w:pPr>
        <w:spacing w:line="360" w:lineRule="auto"/>
        <w:ind w:firstLine="480"/>
        <w:rPr>
          <w:sz w:val="28"/>
          <w:szCs w:val="28"/>
          <w:highlight w:val="none"/>
        </w:rPr>
      </w:pPr>
      <w:r>
        <w:rPr>
          <w:rFonts w:hint="eastAsia"/>
          <w:sz w:val="28"/>
          <w:szCs w:val="28"/>
          <w:highlight w:val="none"/>
        </w:rPr>
        <w:t>大件、下渡</w:t>
      </w:r>
      <w:r>
        <w:rPr>
          <w:sz w:val="28"/>
          <w:szCs w:val="28"/>
          <w:highlight w:val="none"/>
        </w:rPr>
        <w:t>码头已建生产废水收集系统，增设雨棚实现雨污分流，收集的机修污水经隔油、絮凝沉淀处理后排排入市政污水管网。</w:t>
      </w:r>
    </w:p>
    <w:p>
      <w:pPr>
        <w:spacing w:line="360" w:lineRule="auto"/>
        <w:ind w:firstLine="480"/>
        <w:rPr>
          <w:sz w:val="28"/>
          <w:szCs w:val="28"/>
          <w:highlight w:val="none"/>
        </w:rPr>
      </w:pPr>
      <w:r>
        <w:rPr>
          <w:sz w:val="28"/>
          <w:szCs w:val="28"/>
          <w:highlight w:val="none"/>
        </w:rPr>
        <w:t>经预处理后分离油污暂存于危废暂存间交由有资质单位回收处理。</w:t>
      </w:r>
    </w:p>
    <w:p>
      <w:pPr>
        <w:pStyle w:val="2"/>
        <w:spacing w:line="360" w:lineRule="auto"/>
        <w:ind w:firstLine="562" w:firstLineChars="200"/>
        <w:rPr>
          <w:rFonts w:ascii="Times New Roman" w:eastAsia="黑体" w:cs="Times New Roman"/>
          <w:b/>
          <w:color w:val="auto"/>
          <w:kern w:val="2"/>
          <w:sz w:val="28"/>
          <w:szCs w:val="28"/>
          <w:highlight w:val="none"/>
        </w:rPr>
      </w:pPr>
      <w:r>
        <w:rPr>
          <w:rFonts w:hint="eastAsia" w:ascii="Times New Roman" w:eastAsia="黑体" w:cs="Times New Roman"/>
          <w:b/>
          <w:color w:val="auto"/>
          <w:kern w:val="2"/>
          <w:sz w:val="28"/>
          <w:szCs w:val="28"/>
          <w:highlight w:val="none"/>
        </w:rPr>
        <w:t>（二）</w:t>
      </w:r>
      <w:r>
        <w:rPr>
          <w:rFonts w:ascii="Times New Roman" w:eastAsia="黑体" w:cs="Times New Roman"/>
          <w:b/>
          <w:color w:val="auto"/>
          <w:kern w:val="2"/>
          <w:sz w:val="28"/>
          <w:szCs w:val="28"/>
          <w:highlight w:val="none"/>
        </w:rPr>
        <w:t>新建港口或提升改建港口</w:t>
      </w:r>
    </w:p>
    <w:p>
      <w:pPr>
        <w:spacing w:line="360" w:lineRule="auto"/>
        <w:ind w:firstLine="480"/>
        <w:rPr>
          <w:sz w:val="28"/>
          <w:szCs w:val="28"/>
          <w:highlight w:val="none"/>
        </w:rPr>
      </w:pPr>
      <w:r>
        <w:rPr>
          <w:sz w:val="28"/>
          <w:szCs w:val="28"/>
          <w:highlight w:val="none"/>
        </w:rPr>
        <w:t>对于新建港口或提升改建港口，在建设时设计配套建设洗箱区雨棚、围堰及生产废水收集处理系统等环保设施。</w:t>
      </w:r>
    </w:p>
    <w:p>
      <w:pPr>
        <w:pStyle w:val="2"/>
        <w:spacing w:line="360" w:lineRule="auto"/>
        <w:ind w:firstLine="562" w:firstLineChars="200"/>
        <w:rPr>
          <w:rFonts w:ascii="Times New Roman" w:eastAsia="黑体" w:cs="Times New Roman"/>
          <w:b/>
          <w:color w:val="auto"/>
          <w:kern w:val="2"/>
          <w:sz w:val="28"/>
          <w:szCs w:val="28"/>
          <w:highlight w:val="none"/>
        </w:rPr>
      </w:pPr>
      <w:r>
        <w:rPr>
          <w:rFonts w:hint="eastAsia" w:ascii="Times New Roman" w:eastAsia="黑体" w:cs="Times New Roman"/>
          <w:b/>
          <w:color w:val="auto"/>
          <w:kern w:val="2"/>
          <w:sz w:val="28"/>
          <w:szCs w:val="28"/>
          <w:highlight w:val="none"/>
        </w:rPr>
        <w:t>四</w:t>
      </w:r>
      <w:r>
        <w:rPr>
          <w:rFonts w:ascii="Times New Roman" w:eastAsia="黑体" w:cs="Times New Roman"/>
          <w:b/>
          <w:color w:val="auto"/>
          <w:kern w:val="2"/>
          <w:sz w:val="28"/>
          <w:szCs w:val="28"/>
          <w:highlight w:val="none"/>
        </w:rPr>
        <w:t>、码头岸电系统</w:t>
      </w:r>
    </w:p>
    <w:p>
      <w:pPr>
        <w:pStyle w:val="2"/>
        <w:spacing w:line="360" w:lineRule="auto"/>
        <w:ind w:firstLine="562" w:firstLineChars="200"/>
        <w:rPr>
          <w:rFonts w:ascii="Times New Roman" w:eastAsia="黑体" w:cs="Times New Roman"/>
          <w:b/>
          <w:color w:val="auto"/>
          <w:kern w:val="2"/>
          <w:sz w:val="28"/>
          <w:szCs w:val="28"/>
          <w:highlight w:val="none"/>
        </w:rPr>
      </w:pPr>
      <w:r>
        <w:rPr>
          <w:rFonts w:hint="eastAsia" w:ascii="Times New Roman" w:eastAsia="黑体" w:cs="Times New Roman"/>
          <w:b/>
          <w:color w:val="auto"/>
          <w:kern w:val="2"/>
          <w:sz w:val="28"/>
          <w:szCs w:val="28"/>
          <w:highlight w:val="none"/>
        </w:rPr>
        <w:t>（一）</w:t>
      </w:r>
      <w:r>
        <w:rPr>
          <w:rFonts w:ascii="Times New Roman" w:eastAsia="黑体" w:cs="Times New Roman"/>
          <w:b/>
          <w:color w:val="auto"/>
          <w:kern w:val="2"/>
          <w:sz w:val="28"/>
          <w:szCs w:val="28"/>
          <w:highlight w:val="none"/>
        </w:rPr>
        <w:t>已建港口</w:t>
      </w:r>
    </w:p>
    <w:p>
      <w:pPr>
        <w:spacing w:line="360" w:lineRule="auto"/>
        <w:ind w:firstLine="480"/>
        <w:rPr>
          <w:sz w:val="28"/>
          <w:szCs w:val="28"/>
          <w:highlight w:val="none"/>
        </w:rPr>
      </w:pPr>
      <w:r>
        <w:rPr>
          <w:rFonts w:hint="eastAsia"/>
          <w:sz w:val="28"/>
          <w:szCs w:val="28"/>
          <w:highlight w:val="none"/>
        </w:rPr>
        <w:t>后续将在大件码头、下渡码头等已建码头</w:t>
      </w:r>
      <w:r>
        <w:rPr>
          <w:sz w:val="28"/>
          <w:szCs w:val="28"/>
          <w:highlight w:val="none"/>
        </w:rPr>
        <w:t>前沿设置岸电箱</w:t>
      </w:r>
      <w:r>
        <w:rPr>
          <w:rFonts w:hint="eastAsia"/>
          <w:sz w:val="28"/>
          <w:szCs w:val="28"/>
          <w:highlight w:val="none"/>
        </w:rPr>
        <w:t>以便靠港船舶用电</w:t>
      </w:r>
      <w:r>
        <w:rPr>
          <w:sz w:val="28"/>
          <w:szCs w:val="28"/>
          <w:highlight w:val="none"/>
        </w:rPr>
        <w:t>。</w:t>
      </w:r>
    </w:p>
    <w:p>
      <w:pPr>
        <w:pStyle w:val="2"/>
        <w:spacing w:line="360" w:lineRule="auto"/>
        <w:ind w:firstLine="562" w:firstLineChars="200"/>
        <w:rPr>
          <w:rFonts w:ascii="Times New Roman" w:eastAsia="黑体" w:cs="Times New Roman"/>
          <w:b/>
          <w:color w:val="auto"/>
          <w:kern w:val="2"/>
          <w:sz w:val="28"/>
          <w:szCs w:val="28"/>
          <w:highlight w:val="none"/>
        </w:rPr>
      </w:pPr>
      <w:r>
        <w:rPr>
          <w:rFonts w:hint="eastAsia" w:ascii="Times New Roman" w:eastAsia="黑体" w:cs="Times New Roman"/>
          <w:b/>
          <w:color w:val="auto"/>
          <w:kern w:val="2"/>
          <w:sz w:val="28"/>
          <w:szCs w:val="28"/>
          <w:highlight w:val="none"/>
        </w:rPr>
        <w:t>（二）</w:t>
      </w:r>
      <w:r>
        <w:rPr>
          <w:rFonts w:ascii="Times New Roman" w:eastAsia="黑体" w:cs="Times New Roman"/>
          <w:b/>
          <w:color w:val="auto"/>
          <w:kern w:val="2"/>
          <w:sz w:val="28"/>
          <w:szCs w:val="28"/>
          <w:highlight w:val="none"/>
        </w:rPr>
        <w:t>新建港口或提升改建港口</w:t>
      </w:r>
    </w:p>
    <w:p>
      <w:pPr>
        <w:spacing w:line="360" w:lineRule="auto"/>
        <w:ind w:firstLine="480"/>
        <w:rPr>
          <w:sz w:val="28"/>
          <w:szCs w:val="28"/>
          <w:highlight w:val="none"/>
        </w:rPr>
      </w:pPr>
      <w:r>
        <w:rPr>
          <w:sz w:val="28"/>
          <w:szCs w:val="28"/>
          <w:highlight w:val="none"/>
        </w:rPr>
        <w:t>对于新建港口或提升改建港口，应按最新岸电规范配套相关岸电箱等</w:t>
      </w:r>
      <w:r>
        <w:rPr>
          <w:rFonts w:hint="eastAsia"/>
          <w:sz w:val="28"/>
          <w:szCs w:val="28"/>
          <w:highlight w:val="none"/>
        </w:rPr>
        <w:t>设备</w:t>
      </w:r>
      <w:r>
        <w:rPr>
          <w:sz w:val="28"/>
          <w:szCs w:val="28"/>
          <w:highlight w:val="none"/>
        </w:rPr>
        <w:t>设施。</w:t>
      </w:r>
    </w:p>
    <w:p>
      <w:pPr>
        <w:spacing w:before="156" w:beforeLines="50" w:after="156" w:afterLines="50" w:line="520" w:lineRule="exact"/>
        <w:jc w:val="center"/>
        <w:outlineLvl w:val="1"/>
        <w:rPr>
          <w:rFonts w:eastAsia="黑体"/>
          <w:b/>
          <w:sz w:val="30"/>
          <w:highlight w:val="none"/>
        </w:rPr>
      </w:pPr>
      <w:r>
        <w:rPr>
          <w:rFonts w:eastAsia="黑体"/>
          <w:b/>
          <w:sz w:val="30"/>
          <w:highlight w:val="none"/>
        </w:rPr>
        <w:t>第</w:t>
      </w:r>
      <w:r>
        <w:rPr>
          <w:rFonts w:hint="eastAsia" w:eastAsia="黑体"/>
          <w:b/>
          <w:sz w:val="30"/>
          <w:highlight w:val="none"/>
        </w:rPr>
        <w:t>七</w:t>
      </w:r>
      <w:r>
        <w:rPr>
          <w:rFonts w:eastAsia="黑体"/>
          <w:b/>
          <w:sz w:val="30"/>
          <w:highlight w:val="none"/>
        </w:rPr>
        <w:t>节</w:t>
      </w:r>
      <w:r>
        <w:rPr>
          <w:rFonts w:hint="eastAsia" w:eastAsia="黑体"/>
          <w:b/>
          <w:sz w:val="30"/>
          <w:highlight w:val="none"/>
        </w:rPr>
        <w:t xml:space="preserve"> </w:t>
      </w:r>
      <w:r>
        <w:rPr>
          <w:rFonts w:eastAsia="黑体"/>
          <w:b/>
          <w:sz w:val="30"/>
          <w:highlight w:val="none"/>
        </w:rPr>
        <w:t>物流园区规划</w:t>
      </w:r>
      <w:bookmarkEnd w:id="248"/>
      <w:bookmarkEnd w:id="249"/>
    </w:p>
    <w:p>
      <w:pPr>
        <w:spacing w:line="360" w:lineRule="auto"/>
        <w:ind w:firstLine="480"/>
        <w:rPr>
          <w:sz w:val="28"/>
          <w:szCs w:val="28"/>
          <w:highlight w:val="none"/>
        </w:rPr>
      </w:pPr>
      <w:r>
        <w:rPr>
          <w:sz w:val="28"/>
          <w:szCs w:val="28"/>
          <w:highlight w:val="none"/>
        </w:rPr>
        <w:t>港口是水陆交通综合运输体系的枢纽，是对外贸易的重要门户，是腹地各种经济资源聚集和释放的重要平台，具有发展成为现代物流园区的潜在良好基础。依托物流园区配套建设货物分拨中心和仓储配送中心，借助完善的信息服务体系建立配送分拨体系，为客户提供仓储配送、包装加工、中转分拨、增值保税、信息代理等全程物流服务。物流园区规划属于港口外部配套，与港口规划相关但不属于港口规划的内容。</w:t>
      </w:r>
    </w:p>
    <w:p>
      <w:pPr>
        <w:spacing w:line="360" w:lineRule="auto"/>
        <w:ind w:firstLine="480"/>
        <w:rPr>
          <w:sz w:val="28"/>
          <w:szCs w:val="28"/>
          <w:highlight w:val="none"/>
        </w:rPr>
      </w:pPr>
      <w:r>
        <w:rPr>
          <w:sz w:val="28"/>
          <w:szCs w:val="28"/>
          <w:highlight w:val="none"/>
        </w:rPr>
        <w:t>根据乐山市物流运输</w:t>
      </w:r>
      <w:r>
        <w:rPr>
          <w:rFonts w:hint="eastAsia"/>
          <w:sz w:val="28"/>
          <w:szCs w:val="28"/>
          <w:highlight w:val="none"/>
        </w:rPr>
        <w:t>相关</w:t>
      </w:r>
      <w:r>
        <w:rPr>
          <w:sz w:val="28"/>
          <w:szCs w:val="28"/>
          <w:highlight w:val="none"/>
        </w:rPr>
        <w:t>规划，乐山市物流枢纽节点确定为“1+4+6”</w:t>
      </w:r>
      <w:bookmarkStart w:id="250" w:name="_Hlk510273803"/>
      <w:r>
        <w:rPr>
          <w:sz w:val="28"/>
          <w:szCs w:val="28"/>
          <w:highlight w:val="none"/>
        </w:rPr>
        <w:t>，即1个保税物流园区、4个枢纽级物流园、6个县级物流中心。</w:t>
      </w:r>
      <w:bookmarkEnd w:id="250"/>
    </w:p>
    <w:p>
      <w:pPr>
        <w:pStyle w:val="2"/>
        <w:rPr>
          <w:color w:val="auto"/>
          <w:highlight w:val="none"/>
        </w:rPr>
      </w:pPr>
      <w:r>
        <w:rPr>
          <w:rFonts w:eastAsia="黑体"/>
          <w:color w:val="auto"/>
          <w:sz w:val="28"/>
          <w:szCs w:val="28"/>
          <w:highlight w:val="none"/>
        </w:rPr>
        <w:drawing>
          <wp:anchor distT="0" distB="0" distL="114300" distR="114300" simplePos="0" relativeHeight="251659264" behindDoc="0" locked="0" layoutInCell="1" allowOverlap="1">
            <wp:simplePos x="0" y="0"/>
            <wp:positionH relativeFrom="column">
              <wp:posOffset>730885</wp:posOffset>
            </wp:positionH>
            <wp:positionV relativeFrom="paragraph">
              <wp:posOffset>8890</wp:posOffset>
            </wp:positionV>
            <wp:extent cx="4060825" cy="3225800"/>
            <wp:effectExtent l="19050" t="19050" r="16510" b="13335"/>
            <wp:wrapNone/>
            <wp:docPr id="10" name="图片 2" descr="C:\Users\sq\Desktop\乐山资料20180327\乐山物流图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descr="C:\Users\sq\Desktop\乐山资料20180327\乐山物流图6-1.jpg"/>
                    <pic:cNvPicPr>
                      <a:picLocks noChangeAspect="1" noChangeArrowheads="1"/>
                    </pic:cNvPicPr>
                  </pic:nvPicPr>
                  <pic:blipFill>
                    <a:blip r:embed="rId13" cstate="print">
                      <a:extLst>
                        <a:ext uri="{28A0092B-C50C-407E-A947-70E740481C1C}">
                          <a14:useLocalDpi xmlns:a14="http://schemas.microsoft.com/office/drawing/2010/main" val="0"/>
                        </a:ext>
                      </a:extLst>
                    </a:blip>
                    <a:srcRect t="9861"/>
                    <a:stretch>
                      <a:fillRect/>
                    </a:stretch>
                  </pic:blipFill>
                  <pic:spPr>
                    <a:xfrm>
                      <a:off x="0" y="0"/>
                      <a:ext cx="4063961" cy="3228243"/>
                    </a:xfrm>
                    <a:prstGeom prst="rect">
                      <a:avLst/>
                    </a:prstGeom>
                    <a:noFill/>
                    <a:ln>
                      <a:solidFill>
                        <a:sysClr val="windowText" lastClr="000000"/>
                      </a:solidFill>
                    </a:ln>
                  </pic:spPr>
                </pic:pic>
              </a:graphicData>
            </a:graphic>
          </wp:anchor>
        </w:drawing>
      </w: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keepNext/>
        <w:spacing w:line="500" w:lineRule="exact"/>
        <w:ind w:firstLine="482"/>
        <w:jc w:val="center"/>
        <w:rPr>
          <w:rFonts w:eastAsia="黑体"/>
          <w:sz w:val="28"/>
          <w:szCs w:val="28"/>
          <w:highlight w:val="none"/>
        </w:rPr>
      </w:pPr>
      <w:r>
        <w:rPr>
          <w:rFonts w:eastAsia="黑体"/>
          <w:sz w:val="28"/>
          <w:szCs w:val="28"/>
          <w:highlight w:val="none"/>
        </w:rPr>
        <w:t>图6.7-1  乐山物流节点布局图</w:t>
      </w:r>
    </w:p>
    <w:p>
      <w:pPr>
        <w:pStyle w:val="2"/>
        <w:rPr>
          <w:color w:val="auto"/>
          <w:highlight w:val="none"/>
        </w:rPr>
      </w:pPr>
    </w:p>
    <w:p>
      <w:pPr>
        <w:widowControl/>
        <w:jc w:val="left"/>
        <w:rPr>
          <w:rFonts w:eastAsia="黑体"/>
          <w:sz w:val="28"/>
          <w:szCs w:val="28"/>
          <w:highlight w:val="none"/>
        </w:rPr>
      </w:pPr>
      <w:r>
        <w:rPr>
          <w:rFonts w:eastAsia="黑体"/>
          <w:sz w:val="28"/>
          <w:szCs w:val="28"/>
          <w:highlight w:val="none"/>
        </w:rPr>
        <w:br w:type="page"/>
      </w:r>
    </w:p>
    <w:p>
      <w:pPr>
        <w:keepNext/>
        <w:spacing w:line="500" w:lineRule="exact"/>
        <w:ind w:firstLine="482"/>
        <w:jc w:val="center"/>
        <w:rPr>
          <w:rFonts w:eastAsia="黑体"/>
          <w:sz w:val="28"/>
          <w:szCs w:val="28"/>
          <w:highlight w:val="none"/>
        </w:rPr>
      </w:pPr>
      <w:r>
        <w:rPr>
          <w:rFonts w:eastAsia="黑体"/>
          <w:sz w:val="28"/>
          <w:szCs w:val="28"/>
          <w:highlight w:val="none"/>
        </w:rPr>
        <w:t>表6.7-1  乐山物流节点分类表</w:t>
      </w:r>
    </w:p>
    <w:tbl>
      <w:tblPr>
        <w:tblStyle w:val="32"/>
        <w:tblW w:w="5000" w:type="pct"/>
        <w:tblInd w:w="0" w:type="dxa"/>
        <w:tblBorders>
          <w:top w:val="thinThickSmallGap" w:color="000000" w:themeColor="text1" w:sz="18" w:space="0"/>
          <w:left w:val="none" w:color="auto" w:sz="0" w:space="0"/>
          <w:bottom w:val="thickThinSmallGap" w:color="auto" w:sz="18" w:space="0"/>
          <w:right w:val="none" w:color="auto" w:sz="0"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586"/>
        <w:gridCol w:w="3644"/>
        <w:gridCol w:w="4056"/>
      </w:tblGrid>
      <w:tr>
        <w:tblPrEx>
          <w:tblBorders>
            <w:top w:val="thinThickSmallGap" w:color="000000" w:themeColor="text1" w:sz="18" w:space="0"/>
            <w:left w:val="none" w:color="auto" w:sz="0" w:space="0"/>
            <w:bottom w:val="thickThinSmallGap" w:color="auto"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trPr>
        <w:tc>
          <w:tcPr>
            <w:tcW w:w="2816" w:type="pct"/>
            <w:gridSpan w:val="2"/>
            <w:shd w:val="clear" w:color="auto" w:fill="auto"/>
            <w:vAlign w:val="center"/>
          </w:tcPr>
          <w:p>
            <w:pPr>
              <w:widowControl/>
              <w:jc w:val="center"/>
              <w:rPr>
                <w:b/>
                <w:kern w:val="0"/>
                <w:szCs w:val="21"/>
                <w:highlight w:val="none"/>
              </w:rPr>
            </w:pPr>
            <w:r>
              <w:rPr>
                <w:b/>
                <w:kern w:val="0"/>
                <w:szCs w:val="21"/>
                <w:highlight w:val="none"/>
              </w:rPr>
              <w:t>物流节点分类</w:t>
            </w:r>
          </w:p>
        </w:tc>
        <w:tc>
          <w:tcPr>
            <w:tcW w:w="2184" w:type="pct"/>
            <w:shd w:val="clear" w:color="auto" w:fill="auto"/>
            <w:vAlign w:val="center"/>
          </w:tcPr>
          <w:p>
            <w:pPr>
              <w:widowControl/>
              <w:jc w:val="center"/>
              <w:rPr>
                <w:b/>
                <w:kern w:val="0"/>
                <w:szCs w:val="21"/>
                <w:highlight w:val="none"/>
              </w:rPr>
            </w:pPr>
            <w:r>
              <w:rPr>
                <w:b/>
                <w:kern w:val="0"/>
                <w:szCs w:val="21"/>
                <w:highlight w:val="none"/>
              </w:rPr>
              <w:t>优化方式</w:t>
            </w:r>
          </w:p>
        </w:tc>
      </w:tr>
      <w:tr>
        <w:tblPrEx>
          <w:tblBorders>
            <w:top w:val="thinThickSmallGap" w:color="000000" w:themeColor="text1" w:sz="18" w:space="0"/>
            <w:left w:val="none" w:color="auto" w:sz="0" w:space="0"/>
            <w:bottom w:val="thickThinSmallGap" w:color="auto"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exact"/>
        </w:trPr>
        <w:tc>
          <w:tcPr>
            <w:tcW w:w="854" w:type="pct"/>
            <w:shd w:val="clear" w:color="auto" w:fill="auto"/>
            <w:vAlign w:val="center"/>
          </w:tcPr>
          <w:p>
            <w:pPr>
              <w:pStyle w:val="75"/>
              <w:spacing w:line="240" w:lineRule="auto"/>
              <w:ind w:firstLine="0" w:firstLineChars="0"/>
              <w:rPr>
                <w:sz w:val="21"/>
                <w:szCs w:val="21"/>
                <w:highlight w:val="none"/>
              </w:rPr>
            </w:pPr>
            <w:r>
              <w:rPr>
                <w:sz w:val="21"/>
                <w:szCs w:val="21"/>
                <w:highlight w:val="none"/>
              </w:rPr>
              <w:t>保税园区</w:t>
            </w:r>
          </w:p>
        </w:tc>
        <w:tc>
          <w:tcPr>
            <w:tcW w:w="1962" w:type="pct"/>
            <w:shd w:val="clear" w:color="auto" w:fill="auto"/>
            <w:vAlign w:val="center"/>
          </w:tcPr>
          <w:p>
            <w:pPr>
              <w:pStyle w:val="75"/>
              <w:spacing w:line="240" w:lineRule="auto"/>
              <w:ind w:firstLine="0" w:firstLineChars="0"/>
              <w:rPr>
                <w:sz w:val="21"/>
                <w:szCs w:val="21"/>
                <w:highlight w:val="none"/>
              </w:rPr>
            </w:pPr>
            <w:r>
              <w:rPr>
                <w:sz w:val="21"/>
                <w:szCs w:val="21"/>
                <w:highlight w:val="none"/>
              </w:rPr>
              <w:t>乐山市保税物流园</w:t>
            </w:r>
          </w:p>
        </w:tc>
        <w:tc>
          <w:tcPr>
            <w:tcW w:w="2184" w:type="pct"/>
            <w:shd w:val="clear" w:color="auto" w:fill="auto"/>
            <w:vAlign w:val="center"/>
          </w:tcPr>
          <w:p>
            <w:pPr>
              <w:pStyle w:val="75"/>
              <w:spacing w:line="240" w:lineRule="auto"/>
              <w:ind w:firstLine="0" w:firstLineChars="0"/>
              <w:rPr>
                <w:sz w:val="21"/>
                <w:szCs w:val="21"/>
                <w:highlight w:val="none"/>
              </w:rPr>
            </w:pPr>
            <w:r>
              <w:rPr>
                <w:sz w:val="21"/>
                <w:szCs w:val="21"/>
                <w:highlight w:val="none"/>
              </w:rPr>
              <w:t>新增</w:t>
            </w:r>
          </w:p>
        </w:tc>
      </w:tr>
      <w:tr>
        <w:tblPrEx>
          <w:tblBorders>
            <w:top w:val="thinThickSmallGap" w:color="000000" w:themeColor="text1" w:sz="18" w:space="0"/>
            <w:left w:val="none" w:color="auto" w:sz="0" w:space="0"/>
            <w:bottom w:val="thickThinSmallGap" w:color="auto"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exact"/>
        </w:trPr>
        <w:tc>
          <w:tcPr>
            <w:tcW w:w="854" w:type="pct"/>
            <w:vMerge w:val="restart"/>
            <w:shd w:val="clear" w:color="auto" w:fill="auto"/>
            <w:vAlign w:val="center"/>
          </w:tcPr>
          <w:p>
            <w:pPr>
              <w:pStyle w:val="75"/>
              <w:spacing w:line="240" w:lineRule="auto"/>
              <w:ind w:firstLine="0" w:firstLineChars="0"/>
              <w:rPr>
                <w:sz w:val="21"/>
                <w:szCs w:val="21"/>
                <w:highlight w:val="none"/>
              </w:rPr>
            </w:pPr>
            <w:r>
              <w:rPr>
                <w:sz w:val="21"/>
                <w:szCs w:val="21"/>
                <w:highlight w:val="none"/>
              </w:rPr>
              <w:t>物流园</w:t>
            </w:r>
          </w:p>
        </w:tc>
        <w:tc>
          <w:tcPr>
            <w:tcW w:w="1962" w:type="pct"/>
            <w:shd w:val="clear" w:color="auto" w:fill="auto"/>
            <w:vAlign w:val="center"/>
          </w:tcPr>
          <w:p>
            <w:pPr>
              <w:pStyle w:val="75"/>
              <w:spacing w:line="240" w:lineRule="auto"/>
              <w:ind w:firstLine="0" w:firstLineChars="0"/>
              <w:rPr>
                <w:sz w:val="21"/>
                <w:szCs w:val="21"/>
                <w:highlight w:val="none"/>
              </w:rPr>
            </w:pPr>
            <w:r>
              <w:rPr>
                <w:sz w:val="21"/>
                <w:szCs w:val="21"/>
                <w:highlight w:val="none"/>
              </w:rPr>
              <w:t>五通桥空港物流园</w:t>
            </w:r>
          </w:p>
        </w:tc>
        <w:tc>
          <w:tcPr>
            <w:tcW w:w="2184" w:type="pct"/>
            <w:shd w:val="clear" w:color="auto" w:fill="auto"/>
            <w:vAlign w:val="center"/>
          </w:tcPr>
          <w:p>
            <w:pPr>
              <w:pStyle w:val="75"/>
              <w:spacing w:line="240" w:lineRule="auto"/>
              <w:ind w:firstLine="0" w:firstLineChars="0"/>
              <w:rPr>
                <w:sz w:val="21"/>
                <w:szCs w:val="21"/>
                <w:highlight w:val="none"/>
              </w:rPr>
            </w:pPr>
            <w:r>
              <w:rPr>
                <w:sz w:val="21"/>
                <w:szCs w:val="21"/>
                <w:highlight w:val="none"/>
              </w:rPr>
              <w:t>新增</w:t>
            </w:r>
          </w:p>
        </w:tc>
      </w:tr>
      <w:tr>
        <w:tblPrEx>
          <w:tblBorders>
            <w:top w:val="thinThickSmallGap" w:color="000000" w:themeColor="text1" w:sz="18" w:space="0"/>
            <w:left w:val="none" w:color="auto" w:sz="0" w:space="0"/>
            <w:bottom w:val="thickThinSmallGap" w:color="auto"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exact"/>
        </w:trPr>
        <w:tc>
          <w:tcPr>
            <w:tcW w:w="0" w:type="auto"/>
            <w:vMerge w:val="continue"/>
            <w:shd w:val="clear" w:color="auto" w:fill="auto"/>
            <w:vAlign w:val="center"/>
          </w:tcPr>
          <w:p>
            <w:pPr>
              <w:pStyle w:val="75"/>
              <w:spacing w:line="240" w:lineRule="auto"/>
              <w:ind w:firstLine="0" w:firstLineChars="0"/>
              <w:rPr>
                <w:sz w:val="21"/>
                <w:szCs w:val="21"/>
                <w:highlight w:val="none"/>
              </w:rPr>
            </w:pPr>
          </w:p>
        </w:tc>
        <w:tc>
          <w:tcPr>
            <w:tcW w:w="1962" w:type="pct"/>
            <w:shd w:val="clear" w:color="auto" w:fill="auto"/>
            <w:vAlign w:val="center"/>
          </w:tcPr>
          <w:p>
            <w:pPr>
              <w:pStyle w:val="75"/>
              <w:spacing w:line="240" w:lineRule="auto"/>
              <w:ind w:firstLine="0" w:firstLineChars="0"/>
              <w:rPr>
                <w:sz w:val="21"/>
                <w:szCs w:val="21"/>
                <w:highlight w:val="none"/>
              </w:rPr>
            </w:pPr>
            <w:r>
              <w:rPr>
                <w:sz w:val="21"/>
                <w:szCs w:val="21"/>
                <w:highlight w:val="none"/>
              </w:rPr>
              <w:t>峨眉山燕岗铁路物流园</w:t>
            </w:r>
          </w:p>
        </w:tc>
        <w:tc>
          <w:tcPr>
            <w:tcW w:w="2184" w:type="pct"/>
            <w:shd w:val="clear" w:color="auto" w:fill="auto"/>
            <w:vAlign w:val="center"/>
          </w:tcPr>
          <w:p>
            <w:pPr>
              <w:pStyle w:val="75"/>
              <w:spacing w:line="240" w:lineRule="auto"/>
              <w:ind w:firstLine="0" w:firstLineChars="0"/>
              <w:rPr>
                <w:sz w:val="21"/>
                <w:szCs w:val="21"/>
                <w:highlight w:val="none"/>
              </w:rPr>
            </w:pPr>
            <w:r>
              <w:rPr>
                <w:sz w:val="21"/>
                <w:szCs w:val="21"/>
                <w:highlight w:val="none"/>
              </w:rPr>
              <w:t>升级</w:t>
            </w:r>
          </w:p>
        </w:tc>
      </w:tr>
      <w:tr>
        <w:tblPrEx>
          <w:tblBorders>
            <w:top w:val="thinThickSmallGap" w:color="000000" w:themeColor="text1" w:sz="18" w:space="0"/>
            <w:left w:val="none" w:color="auto" w:sz="0" w:space="0"/>
            <w:bottom w:val="thickThinSmallGap" w:color="auto"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exact"/>
        </w:trPr>
        <w:tc>
          <w:tcPr>
            <w:tcW w:w="0" w:type="auto"/>
            <w:vMerge w:val="continue"/>
            <w:shd w:val="clear" w:color="auto" w:fill="auto"/>
            <w:vAlign w:val="center"/>
          </w:tcPr>
          <w:p>
            <w:pPr>
              <w:pStyle w:val="75"/>
              <w:spacing w:line="240" w:lineRule="auto"/>
              <w:ind w:firstLine="0" w:firstLineChars="0"/>
              <w:rPr>
                <w:sz w:val="21"/>
                <w:szCs w:val="21"/>
                <w:highlight w:val="none"/>
              </w:rPr>
            </w:pPr>
          </w:p>
        </w:tc>
        <w:tc>
          <w:tcPr>
            <w:tcW w:w="1962" w:type="pct"/>
            <w:shd w:val="clear" w:color="auto" w:fill="auto"/>
            <w:vAlign w:val="center"/>
          </w:tcPr>
          <w:p>
            <w:pPr>
              <w:pStyle w:val="75"/>
              <w:spacing w:line="240" w:lineRule="auto"/>
              <w:ind w:firstLine="0" w:firstLineChars="0"/>
              <w:rPr>
                <w:sz w:val="21"/>
                <w:szCs w:val="21"/>
                <w:highlight w:val="none"/>
              </w:rPr>
            </w:pPr>
            <w:r>
              <w:rPr>
                <w:sz w:val="21"/>
                <w:szCs w:val="21"/>
                <w:highlight w:val="none"/>
              </w:rPr>
              <w:t>夹江乐山北站物流园</w:t>
            </w:r>
          </w:p>
        </w:tc>
        <w:tc>
          <w:tcPr>
            <w:tcW w:w="2184" w:type="pct"/>
            <w:shd w:val="clear" w:color="auto" w:fill="auto"/>
            <w:vAlign w:val="center"/>
          </w:tcPr>
          <w:p>
            <w:pPr>
              <w:pStyle w:val="75"/>
              <w:spacing w:line="240" w:lineRule="auto"/>
              <w:ind w:firstLine="0" w:firstLineChars="0"/>
              <w:rPr>
                <w:sz w:val="21"/>
                <w:szCs w:val="21"/>
                <w:highlight w:val="none"/>
              </w:rPr>
            </w:pPr>
            <w:r>
              <w:rPr>
                <w:sz w:val="21"/>
                <w:szCs w:val="21"/>
                <w:highlight w:val="none"/>
              </w:rPr>
              <w:t>新增</w:t>
            </w:r>
          </w:p>
        </w:tc>
      </w:tr>
      <w:tr>
        <w:tblPrEx>
          <w:tblBorders>
            <w:top w:val="thinThickSmallGap" w:color="000000" w:themeColor="text1" w:sz="18" w:space="0"/>
            <w:left w:val="none" w:color="auto" w:sz="0" w:space="0"/>
            <w:bottom w:val="thickThinSmallGap" w:color="auto"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exact"/>
        </w:trPr>
        <w:tc>
          <w:tcPr>
            <w:tcW w:w="0" w:type="auto"/>
            <w:vMerge w:val="continue"/>
            <w:shd w:val="clear" w:color="auto" w:fill="auto"/>
            <w:vAlign w:val="center"/>
          </w:tcPr>
          <w:p>
            <w:pPr>
              <w:pStyle w:val="75"/>
              <w:spacing w:line="240" w:lineRule="auto"/>
              <w:ind w:firstLine="0" w:firstLineChars="0"/>
              <w:rPr>
                <w:sz w:val="21"/>
                <w:szCs w:val="21"/>
                <w:highlight w:val="none"/>
              </w:rPr>
            </w:pPr>
          </w:p>
        </w:tc>
        <w:tc>
          <w:tcPr>
            <w:tcW w:w="1962" w:type="pct"/>
            <w:shd w:val="clear" w:color="auto" w:fill="auto"/>
            <w:vAlign w:val="center"/>
          </w:tcPr>
          <w:p>
            <w:pPr>
              <w:pStyle w:val="75"/>
              <w:spacing w:line="240" w:lineRule="auto"/>
              <w:ind w:firstLine="0" w:firstLineChars="0"/>
              <w:rPr>
                <w:sz w:val="21"/>
                <w:szCs w:val="21"/>
                <w:highlight w:val="none"/>
              </w:rPr>
            </w:pPr>
            <w:r>
              <w:rPr>
                <w:sz w:val="21"/>
                <w:szCs w:val="21"/>
                <w:highlight w:val="none"/>
              </w:rPr>
              <w:t>犍为乐山港物流园</w:t>
            </w:r>
          </w:p>
        </w:tc>
        <w:tc>
          <w:tcPr>
            <w:tcW w:w="2184" w:type="pct"/>
            <w:shd w:val="clear" w:color="auto" w:fill="auto"/>
            <w:vAlign w:val="center"/>
          </w:tcPr>
          <w:p>
            <w:pPr>
              <w:pStyle w:val="75"/>
              <w:spacing w:line="240" w:lineRule="auto"/>
              <w:ind w:firstLine="0" w:firstLineChars="0"/>
              <w:rPr>
                <w:sz w:val="21"/>
                <w:szCs w:val="21"/>
                <w:highlight w:val="none"/>
              </w:rPr>
            </w:pPr>
            <w:r>
              <w:rPr>
                <w:sz w:val="21"/>
                <w:szCs w:val="21"/>
                <w:highlight w:val="none"/>
              </w:rPr>
              <w:t>新增</w:t>
            </w:r>
          </w:p>
        </w:tc>
      </w:tr>
      <w:tr>
        <w:tblPrEx>
          <w:tblBorders>
            <w:top w:val="thinThickSmallGap" w:color="000000" w:themeColor="text1" w:sz="18" w:space="0"/>
            <w:left w:val="none" w:color="auto" w:sz="0" w:space="0"/>
            <w:bottom w:val="thickThinSmallGap" w:color="auto"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exact"/>
        </w:trPr>
        <w:tc>
          <w:tcPr>
            <w:tcW w:w="854" w:type="pct"/>
            <w:vMerge w:val="restart"/>
            <w:shd w:val="clear" w:color="auto" w:fill="auto"/>
            <w:vAlign w:val="center"/>
          </w:tcPr>
          <w:p>
            <w:pPr>
              <w:pStyle w:val="75"/>
              <w:spacing w:line="240" w:lineRule="auto"/>
              <w:ind w:firstLine="0" w:firstLineChars="0"/>
              <w:rPr>
                <w:sz w:val="21"/>
                <w:szCs w:val="21"/>
                <w:highlight w:val="none"/>
              </w:rPr>
            </w:pPr>
            <w:r>
              <w:rPr>
                <w:sz w:val="21"/>
                <w:szCs w:val="21"/>
                <w:highlight w:val="none"/>
              </w:rPr>
              <w:t>物流中心</w:t>
            </w:r>
          </w:p>
        </w:tc>
        <w:tc>
          <w:tcPr>
            <w:tcW w:w="1962" w:type="pct"/>
            <w:shd w:val="clear" w:color="auto" w:fill="auto"/>
            <w:vAlign w:val="center"/>
          </w:tcPr>
          <w:p>
            <w:pPr>
              <w:pStyle w:val="75"/>
              <w:spacing w:line="240" w:lineRule="auto"/>
              <w:ind w:firstLine="0" w:firstLineChars="0"/>
              <w:rPr>
                <w:sz w:val="21"/>
                <w:szCs w:val="21"/>
                <w:highlight w:val="none"/>
              </w:rPr>
            </w:pPr>
            <w:r>
              <w:rPr>
                <w:sz w:val="21"/>
                <w:szCs w:val="21"/>
                <w:highlight w:val="none"/>
              </w:rPr>
              <w:t>峨眉山市综合物流中心</w:t>
            </w:r>
          </w:p>
        </w:tc>
        <w:tc>
          <w:tcPr>
            <w:tcW w:w="2184" w:type="pct"/>
            <w:shd w:val="clear" w:color="auto" w:fill="auto"/>
            <w:vAlign w:val="center"/>
          </w:tcPr>
          <w:p>
            <w:pPr>
              <w:pStyle w:val="75"/>
              <w:spacing w:line="240" w:lineRule="auto"/>
              <w:ind w:firstLine="0" w:firstLineChars="0"/>
              <w:rPr>
                <w:sz w:val="21"/>
                <w:szCs w:val="21"/>
                <w:highlight w:val="none"/>
              </w:rPr>
            </w:pPr>
            <w:r>
              <w:rPr>
                <w:sz w:val="21"/>
                <w:szCs w:val="21"/>
                <w:highlight w:val="none"/>
              </w:rPr>
              <w:t>新增</w:t>
            </w:r>
          </w:p>
        </w:tc>
      </w:tr>
      <w:tr>
        <w:tblPrEx>
          <w:tblBorders>
            <w:top w:val="thinThickSmallGap" w:color="000000" w:themeColor="text1" w:sz="18" w:space="0"/>
            <w:left w:val="none" w:color="auto" w:sz="0" w:space="0"/>
            <w:bottom w:val="thickThinSmallGap" w:color="auto"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exact"/>
        </w:trPr>
        <w:tc>
          <w:tcPr>
            <w:tcW w:w="0" w:type="auto"/>
            <w:vMerge w:val="continue"/>
            <w:shd w:val="clear" w:color="auto" w:fill="auto"/>
            <w:vAlign w:val="center"/>
          </w:tcPr>
          <w:p>
            <w:pPr>
              <w:pStyle w:val="75"/>
              <w:spacing w:line="240" w:lineRule="auto"/>
              <w:ind w:firstLine="0" w:firstLineChars="0"/>
              <w:rPr>
                <w:sz w:val="21"/>
                <w:szCs w:val="21"/>
                <w:highlight w:val="none"/>
              </w:rPr>
            </w:pPr>
          </w:p>
        </w:tc>
        <w:tc>
          <w:tcPr>
            <w:tcW w:w="1962" w:type="pct"/>
            <w:shd w:val="clear" w:color="auto" w:fill="auto"/>
            <w:vAlign w:val="center"/>
          </w:tcPr>
          <w:p>
            <w:pPr>
              <w:pStyle w:val="75"/>
              <w:spacing w:line="240" w:lineRule="auto"/>
              <w:ind w:firstLine="0" w:firstLineChars="0"/>
              <w:rPr>
                <w:sz w:val="21"/>
                <w:szCs w:val="21"/>
                <w:highlight w:val="none"/>
              </w:rPr>
            </w:pPr>
            <w:r>
              <w:rPr>
                <w:sz w:val="21"/>
                <w:szCs w:val="21"/>
                <w:highlight w:val="none"/>
              </w:rPr>
              <w:t>五通桥商贸物流中心</w:t>
            </w:r>
          </w:p>
        </w:tc>
        <w:tc>
          <w:tcPr>
            <w:tcW w:w="2184" w:type="pct"/>
            <w:shd w:val="clear" w:color="auto" w:fill="auto"/>
            <w:vAlign w:val="center"/>
          </w:tcPr>
          <w:p>
            <w:pPr>
              <w:pStyle w:val="75"/>
              <w:spacing w:line="240" w:lineRule="auto"/>
              <w:ind w:firstLine="0" w:firstLineChars="0"/>
              <w:rPr>
                <w:sz w:val="21"/>
                <w:szCs w:val="21"/>
                <w:highlight w:val="none"/>
              </w:rPr>
            </w:pPr>
            <w:r>
              <w:rPr>
                <w:sz w:val="21"/>
                <w:szCs w:val="21"/>
                <w:highlight w:val="none"/>
              </w:rPr>
              <w:t>新增</w:t>
            </w:r>
          </w:p>
        </w:tc>
      </w:tr>
      <w:tr>
        <w:tblPrEx>
          <w:tblBorders>
            <w:top w:val="thinThickSmallGap" w:color="000000" w:themeColor="text1" w:sz="18" w:space="0"/>
            <w:left w:val="none" w:color="auto" w:sz="0" w:space="0"/>
            <w:bottom w:val="thickThinSmallGap" w:color="auto"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exact"/>
        </w:trPr>
        <w:tc>
          <w:tcPr>
            <w:tcW w:w="0" w:type="auto"/>
            <w:vMerge w:val="continue"/>
            <w:shd w:val="clear" w:color="auto" w:fill="auto"/>
            <w:vAlign w:val="center"/>
          </w:tcPr>
          <w:p>
            <w:pPr>
              <w:pStyle w:val="75"/>
              <w:spacing w:line="240" w:lineRule="auto"/>
              <w:ind w:firstLine="0" w:firstLineChars="0"/>
              <w:rPr>
                <w:sz w:val="21"/>
                <w:szCs w:val="21"/>
                <w:highlight w:val="none"/>
              </w:rPr>
            </w:pPr>
          </w:p>
        </w:tc>
        <w:tc>
          <w:tcPr>
            <w:tcW w:w="1962" w:type="pct"/>
            <w:shd w:val="clear" w:color="auto" w:fill="auto"/>
            <w:vAlign w:val="center"/>
          </w:tcPr>
          <w:p>
            <w:pPr>
              <w:pStyle w:val="75"/>
              <w:spacing w:line="240" w:lineRule="auto"/>
              <w:ind w:firstLine="0" w:firstLineChars="0"/>
              <w:rPr>
                <w:sz w:val="21"/>
                <w:szCs w:val="21"/>
                <w:highlight w:val="none"/>
              </w:rPr>
            </w:pPr>
            <w:r>
              <w:rPr>
                <w:sz w:val="21"/>
                <w:szCs w:val="21"/>
                <w:highlight w:val="none"/>
              </w:rPr>
              <w:t>犍为新南兴综合物流中心</w:t>
            </w:r>
          </w:p>
        </w:tc>
        <w:tc>
          <w:tcPr>
            <w:tcW w:w="2184" w:type="pct"/>
            <w:shd w:val="clear" w:color="auto" w:fill="auto"/>
            <w:vAlign w:val="center"/>
          </w:tcPr>
          <w:p>
            <w:pPr>
              <w:pStyle w:val="75"/>
              <w:spacing w:line="240" w:lineRule="auto"/>
              <w:ind w:firstLine="0" w:firstLineChars="0"/>
              <w:rPr>
                <w:sz w:val="21"/>
                <w:szCs w:val="21"/>
                <w:highlight w:val="none"/>
              </w:rPr>
            </w:pPr>
            <w:r>
              <w:rPr>
                <w:sz w:val="21"/>
                <w:szCs w:val="21"/>
                <w:highlight w:val="none"/>
              </w:rPr>
              <w:t>推进</w:t>
            </w:r>
          </w:p>
        </w:tc>
      </w:tr>
      <w:tr>
        <w:tblPrEx>
          <w:tblBorders>
            <w:top w:val="thinThickSmallGap" w:color="000000" w:themeColor="text1" w:sz="18" w:space="0"/>
            <w:left w:val="none" w:color="auto" w:sz="0" w:space="0"/>
            <w:bottom w:val="thickThinSmallGap" w:color="auto"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exact"/>
        </w:trPr>
        <w:tc>
          <w:tcPr>
            <w:tcW w:w="0" w:type="auto"/>
            <w:vMerge w:val="continue"/>
            <w:shd w:val="clear" w:color="auto" w:fill="auto"/>
            <w:vAlign w:val="center"/>
          </w:tcPr>
          <w:p>
            <w:pPr>
              <w:pStyle w:val="75"/>
              <w:spacing w:line="240" w:lineRule="auto"/>
              <w:ind w:firstLine="0" w:firstLineChars="0"/>
              <w:rPr>
                <w:sz w:val="21"/>
                <w:szCs w:val="21"/>
                <w:highlight w:val="none"/>
              </w:rPr>
            </w:pPr>
          </w:p>
        </w:tc>
        <w:tc>
          <w:tcPr>
            <w:tcW w:w="1962" w:type="pct"/>
            <w:shd w:val="clear" w:color="auto" w:fill="auto"/>
            <w:vAlign w:val="center"/>
          </w:tcPr>
          <w:p>
            <w:pPr>
              <w:pStyle w:val="75"/>
              <w:spacing w:line="240" w:lineRule="auto"/>
              <w:ind w:firstLine="0" w:firstLineChars="0"/>
              <w:rPr>
                <w:sz w:val="21"/>
                <w:szCs w:val="21"/>
                <w:highlight w:val="none"/>
              </w:rPr>
            </w:pPr>
            <w:r>
              <w:rPr>
                <w:sz w:val="21"/>
                <w:szCs w:val="21"/>
                <w:highlight w:val="none"/>
              </w:rPr>
              <w:t>沙湾西南不锈钢物流中心</w:t>
            </w:r>
          </w:p>
        </w:tc>
        <w:tc>
          <w:tcPr>
            <w:tcW w:w="2184" w:type="pct"/>
            <w:shd w:val="clear" w:color="auto" w:fill="auto"/>
            <w:vAlign w:val="center"/>
          </w:tcPr>
          <w:p>
            <w:pPr>
              <w:pStyle w:val="75"/>
              <w:spacing w:line="240" w:lineRule="auto"/>
              <w:ind w:firstLine="0" w:firstLineChars="0"/>
              <w:rPr>
                <w:sz w:val="21"/>
                <w:szCs w:val="21"/>
                <w:highlight w:val="none"/>
              </w:rPr>
            </w:pPr>
            <w:r>
              <w:rPr>
                <w:sz w:val="21"/>
                <w:szCs w:val="21"/>
                <w:highlight w:val="none"/>
              </w:rPr>
              <w:t>升级</w:t>
            </w:r>
          </w:p>
        </w:tc>
      </w:tr>
      <w:tr>
        <w:tblPrEx>
          <w:tblBorders>
            <w:top w:val="thinThickSmallGap" w:color="000000" w:themeColor="text1" w:sz="18" w:space="0"/>
            <w:left w:val="none" w:color="auto" w:sz="0" w:space="0"/>
            <w:bottom w:val="thickThinSmallGap" w:color="auto"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exact"/>
        </w:trPr>
        <w:tc>
          <w:tcPr>
            <w:tcW w:w="0" w:type="auto"/>
            <w:vMerge w:val="continue"/>
            <w:shd w:val="clear" w:color="auto" w:fill="auto"/>
            <w:vAlign w:val="center"/>
          </w:tcPr>
          <w:p>
            <w:pPr>
              <w:pStyle w:val="75"/>
              <w:spacing w:line="240" w:lineRule="auto"/>
              <w:ind w:firstLine="0" w:firstLineChars="0"/>
              <w:rPr>
                <w:sz w:val="21"/>
                <w:szCs w:val="21"/>
                <w:highlight w:val="none"/>
              </w:rPr>
            </w:pPr>
          </w:p>
        </w:tc>
        <w:tc>
          <w:tcPr>
            <w:tcW w:w="1962" w:type="pct"/>
            <w:shd w:val="clear" w:color="auto" w:fill="auto"/>
            <w:vAlign w:val="center"/>
          </w:tcPr>
          <w:p>
            <w:pPr>
              <w:pStyle w:val="75"/>
              <w:spacing w:line="240" w:lineRule="auto"/>
              <w:ind w:firstLine="0" w:firstLineChars="0"/>
              <w:rPr>
                <w:sz w:val="21"/>
                <w:szCs w:val="21"/>
                <w:highlight w:val="none"/>
              </w:rPr>
            </w:pPr>
            <w:r>
              <w:rPr>
                <w:sz w:val="21"/>
                <w:szCs w:val="21"/>
                <w:highlight w:val="none"/>
              </w:rPr>
              <w:t>沙湾太平综合物流中心</w:t>
            </w:r>
          </w:p>
        </w:tc>
        <w:tc>
          <w:tcPr>
            <w:tcW w:w="2184" w:type="pct"/>
            <w:shd w:val="clear" w:color="auto" w:fill="auto"/>
            <w:vAlign w:val="center"/>
          </w:tcPr>
          <w:p>
            <w:pPr>
              <w:pStyle w:val="75"/>
              <w:spacing w:line="240" w:lineRule="auto"/>
              <w:ind w:firstLine="0" w:firstLineChars="0"/>
              <w:rPr>
                <w:sz w:val="21"/>
                <w:szCs w:val="21"/>
                <w:highlight w:val="none"/>
              </w:rPr>
            </w:pPr>
            <w:r>
              <w:rPr>
                <w:sz w:val="21"/>
                <w:szCs w:val="21"/>
                <w:highlight w:val="none"/>
              </w:rPr>
              <w:t>新增</w:t>
            </w:r>
          </w:p>
        </w:tc>
      </w:tr>
      <w:tr>
        <w:tblPrEx>
          <w:tblBorders>
            <w:top w:val="thinThickSmallGap" w:color="000000" w:themeColor="text1" w:sz="18" w:space="0"/>
            <w:left w:val="none" w:color="auto" w:sz="0" w:space="0"/>
            <w:bottom w:val="thickThinSmallGap" w:color="auto" w:sz="18"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exact"/>
        </w:trPr>
        <w:tc>
          <w:tcPr>
            <w:tcW w:w="0" w:type="auto"/>
            <w:vMerge w:val="continue"/>
            <w:shd w:val="clear" w:color="auto" w:fill="auto"/>
            <w:vAlign w:val="center"/>
          </w:tcPr>
          <w:p>
            <w:pPr>
              <w:pStyle w:val="75"/>
              <w:spacing w:line="240" w:lineRule="auto"/>
              <w:ind w:firstLine="0" w:firstLineChars="0"/>
              <w:rPr>
                <w:sz w:val="21"/>
                <w:szCs w:val="21"/>
                <w:highlight w:val="none"/>
              </w:rPr>
            </w:pPr>
          </w:p>
        </w:tc>
        <w:tc>
          <w:tcPr>
            <w:tcW w:w="1962" w:type="pct"/>
            <w:shd w:val="clear" w:color="auto" w:fill="auto"/>
            <w:vAlign w:val="center"/>
          </w:tcPr>
          <w:p>
            <w:pPr>
              <w:pStyle w:val="75"/>
              <w:spacing w:line="240" w:lineRule="auto"/>
              <w:ind w:firstLine="0" w:firstLineChars="0"/>
              <w:rPr>
                <w:sz w:val="21"/>
                <w:szCs w:val="21"/>
                <w:highlight w:val="none"/>
              </w:rPr>
            </w:pPr>
            <w:r>
              <w:rPr>
                <w:sz w:val="21"/>
                <w:szCs w:val="21"/>
                <w:highlight w:val="none"/>
              </w:rPr>
              <w:t>井研综合物流中心</w:t>
            </w:r>
          </w:p>
        </w:tc>
        <w:tc>
          <w:tcPr>
            <w:tcW w:w="2184" w:type="pct"/>
            <w:shd w:val="clear" w:color="auto" w:fill="auto"/>
            <w:vAlign w:val="center"/>
          </w:tcPr>
          <w:p>
            <w:pPr>
              <w:pStyle w:val="75"/>
              <w:spacing w:line="240" w:lineRule="auto"/>
              <w:ind w:firstLine="0" w:firstLineChars="0"/>
              <w:rPr>
                <w:sz w:val="21"/>
                <w:szCs w:val="21"/>
                <w:highlight w:val="none"/>
              </w:rPr>
            </w:pPr>
            <w:r>
              <w:rPr>
                <w:sz w:val="21"/>
                <w:szCs w:val="21"/>
                <w:highlight w:val="none"/>
              </w:rPr>
              <w:t>新增</w:t>
            </w:r>
          </w:p>
        </w:tc>
      </w:tr>
    </w:tbl>
    <w:p>
      <w:pPr>
        <w:pStyle w:val="2"/>
        <w:spacing w:before="312" w:beforeLines="100"/>
        <w:ind w:firstLine="641"/>
        <w:rPr>
          <w:rFonts w:ascii="Times New Roman" w:cs="Times New Roman"/>
          <w:color w:val="auto"/>
          <w:sz w:val="28"/>
          <w:szCs w:val="28"/>
          <w:highlight w:val="none"/>
        </w:rPr>
      </w:pPr>
      <w:bookmarkStart w:id="251" w:name="_Toc77781935"/>
      <w:bookmarkStart w:id="252" w:name="_Toc67908302"/>
      <w:r>
        <w:rPr>
          <w:rFonts w:ascii="Times New Roman" w:cs="Times New Roman"/>
          <w:color w:val="auto"/>
          <w:sz w:val="28"/>
          <w:szCs w:val="28"/>
          <w:highlight w:val="none"/>
        </w:rPr>
        <w:t>结合乐山港规划和乐山市物流规划，打造一批“港口+物流”物流园区，推动港口作业区与物流园区“两区”联动发展，促进乐山“港口+物流”高效融合。强化</w:t>
      </w:r>
      <w:r>
        <w:rPr>
          <w:rFonts w:hint="eastAsia" w:ascii="Times New Roman" w:cs="Times New Roman"/>
          <w:color w:val="auto"/>
          <w:sz w:val="28"/>
          <w:szCs w:val="28"/>
          <w:highlight w:val="none"/>
        </w:rPr>
        <w:t>老江坝</w:t>
      </w:r>
      <w:r>
        <w:rPr>
          <w:rFonts w:ascii="Times New Roman" w:cs="Times New Roman"/>
          <w:color w:val="auto"/>
          <w:sz w:val="28"/>
          <w:szCs w:val="28"/>
          <w:highlight w:val="none"/>
        </w:rPr>
        <w:t>作业区与五通桥空港物流园区通道联系，利用</w:t>
      </w:r>
      <w:r>
        <w:rPr>
          <w:rFonts w:hint="eastAsia" w:ascii="Times New Roman" w:cs="Times New Roman"/>
          <w:color w:val="auto"/>
          <w:sz w:val="28"/>
          <w:szCs w:val="28"/>
          <w:highlight w:val="none"/>
        </w:rPr>
        <w:t>老江坝</w:t>
      </w:r>
      <w:r>
        <w:rPr>
          <w:rFonts w:ascii="Times New Roman" w:cs="Times New Roman"/>
          <w:color w:val="auto"/>
          <w:sz w:val="28"/>
          <w:szCs w:val="28"/>
          <w:highlight w:val="none"/>
        </w:rPr>
        <w:t>作业区水路运输优势，将空港物流园区建设为铁公水航综合物流园区；在犍为高石坝作业区和犍为乐山港物流园区之间推行“前港后园”模式，建立港口和物流为一体的港口物流园，依托沐</w:t>
      </w:r>
      <w:r>
        <w:rPr>
          <w:rFonts w:hint="eastAsia" w:ascii="Times New Roman" w:cs="Times New Roman"/>
          <w:color w:val="auto"/>
          <w:sz w:val="28"/>
          <w:szCs w:val="28"/>
          <w:highlight w:val="none"/>
        </w:rPr>
        <w:t>马</w:t>
      </w:r>
      <w:r>
        <w:rPr>
          <w:rFonts w:ascii="Times New Roman" w:cs="Times New Roman"/>
          <w:color w:val="auto"/>
          <w:sz w:val="28"/>
          <w:szCs w:val="28"/>
          <w:highlight w:val="none"/>
        </w:rPr>
        <w:t xml:space="preserve">高速，在高石坝作业区后方建立马边磷矿专用物流配送中心。 </w:t>
      </w:r>
    </w:p>
    <w:p>
      <w:pPr>
        <w:spacing w:before="156" w:beforeLines="50" w:after="156" w:afterLines="50" w:line="520" w:lineRule="exact"/>
        <w:jc w:val="center"/>
        <w:outlineLvl w:val="1"/>
        <w:rPr>
          <w:rFonts w:eastAsia="黑体"/>
          <w:b/>
          <w:sz w:val="30"/>
          <w:highlight w:val="none"/>
        </w:rPr>
      </w:pPr>
      <w:r>
        <w:rPr>
          <w:rFonts w:eastAsia="黑体"/>
          <w:b/>
          <w:sz w:val="30"/>
          <w:highlight w:val="none"/>
        </w:rPr>
        <w:t>第</w:t>
      </w:r>
      <w:r>
        <w:rPr>
          <w:rFonts w:hint="eastAsia" w:eastAsia="黑体"/>
          <w:b/>
          <w:sz w:val="30"/>
          <w:highlight w:val="none"/>
        </w:rPr>
        <w:t>八</w:t>
      </w:r>
      <w:r>
        <w:rPr>
          <w:rFonts w:eastAsia="黑体"/>
          <w:b/>
          <w:sz w:val="30"/>
          <w:highlight w:val="none"/>
        </w:rPr>
        <w:t>节</w:t>
      </w:r>
      <w:r>
        <w:rPr>
          <w:rFonts w:hint="eastAsia" w:eastAsia="黑体"/>
          <w:b/>
          <w:sz w:val="30"/>
          <w:highlight w:val="none"/>
        </w:rPr>
        <w:t xml:space="preserve"> </w:t>
      </w:r>
      <w:r>
        <w:rPr>
          <w:rFonts w:eastAsia="黑体"/>
          <w:b/>
          <w:sz w:val="30"/>
          <w:highlight w:val="none"/>
        </w:rPr>
        <w:t>临港</w:t>
      </w:r>
      <w:r>
        <w:rPr>
          <w:rFonts w:hint="eastAsia" w:eastAsia="黑体"/>
          <w:b/>
          <w:sz w:val="30"/>
          <w:highlight w:val="none"/>
        </w:rPr>
        <w:t>产业</w:t>
      </w:r>
      <w:r>
        <w:rPr>
          <w:rFonts w:eastAsia="黑体"/>
          <w:b/>
          <w:sz w:val="30"/>
          <w:highlight w:val="none"/>
        </w:rPr>
        <w:t>规划</w:t>
      </w:r>
      <w:bookmarkEnd w:id="251"/>
      <w:bookmarkEnd w:id="252"/>
    </w:p>
    <w:p>
      <w:pPr>
        <w:autoSpaceDE w:val="0"/>
        <w:autoSpaceDN w:val="0"/>
        <w:adjustRightInd w:val="0"/>
        <w:spacing w:line="360" w:lineRule="auto"/>
        <w:ind w:firstLine="560" w:firstLineChars="200"/>
        <w:jc w:val="left"/>
        <w:rPr>
          <w:sz w:val="28"/>
          <w:szCs w:val="28"/>
          <w:highlight w:val="none"/>
        </w:rPr>
      </w:pPr>
      <w:r>
        <w:rPr>
          <w:sz w:val="28"/>
          <w:szCs w:val="28"/>
          <w:highlight w:val="none"/>
        </w:rPr>
        <w:t>临港</w:t>
      </w:r>
      <w:r>
        <w:rPr>
          <w:rFonts w:hint="eastAsia"/>
          <w:sz w:val="28"/>
          <w:szCs w:val="28"/>
          <w:highlight w:val="none"/>
        </w:rPr>
        <w:t>产业</w:t>
      </w:r>
      <w:r>
        <w:rPr>
          <w:sz w:val="28"/>
          <w:szCs w:val="28"/>
          <w:highlight w:val="none"/>
        </w:rPr>
        <w:t>规划属于港口外部配套，与港口规划相关但不属于港口规划的内容。根据乐山市相关规划，乐山市将打造晶硅光伏、先进材料、绿色化工3个千亿产业集群，培育食品饮料500亿产业集群，打造以光伏全产业链为重点的“中国绿色硅谷”，建设以核技术应用为重点的“中国堆谷”，培育发展能源装备、节能环保装备、临港装备、智能新能源汽车等装备制造产业，提升发展医药健康、纺织服装、浆纸一体化等特色轻工产业。构建乐山国家高新区总部经济功能区，将五通桥绿色循环产业基地、峨眉山食品饮料产业基地打造成国家级开发区，提升犍为装备制造产业基地、夹江高技术转化应用产业基地、沙湾冶金建材产业基地等发展水平，鼓励其他县（市、区）协同布局特色产业功能区。</w:t>
      </w:r>
    </w:p>
    <w:p>
      <w:pPr>
        <w:pStyle w:val="2"/>
        <w:rPr>
          <w:rFonts w:ascii="Times New Roman" w:cs="Times New Roman"/>
          <w:color w:val="auto"/>
          <w:highlight w:val="none"/>
        </w:rPr>
      </w:pPr>
      <w:r>
        <w:rPr>
          <w:rFonts w:ascii="Times New Roman" w:cs="Times New Roman"/>
          <w:color w:val="auto"/>
          <w:highlight w:val="none"/>
        </w:rPr>
        <w:drawing>
          <wp:inline distT="0" distB="0" distL="0" distR="0">
            <wp:extent cx="5349240" cy="3371850"/>
            <wp:effectExtent l="0" t="0" r="0" b="0"/>
            <wp:docPr id="1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5362844" cy="3380736"/>
                    </a:xfrm>
                    <a:prstGeom prst="rect">
                      <a:avLst/>
                    </a:prstGeom>
                    <a:noFill/>
                  </pic:spPr>
                </pic:pic>
              </a:graphicData>
            </a:graphic>
          </wp:inline>
        </w:drawing>
      </w:r>
    </w:p>
    <w:p>
      <w:pPr>
        <w:keepNext/>
        <w:spacing w:line="500" w:lineRule="exact"/>
        <w:ind w:firstLine="482"/>
        <w:jc w:val="center"/>
        <w:rPr>
          <w:sz w:val="28"/>
          <w:szCs w:val="28"/>
          <w:highlight w:val="none"/>
        </w:rPr>
      </w:pPr>
      <w:r>
        <w:rPr>
          <w:rFonts w:eastAsia="黑体"/>
          <w:sz w:val="28"/>
          <w:szCs w:val="28"/>
          <w:highlight w:val="none"/>
        </w:rPr>
        <w:t>图6.8-1  乐山工业发展新格局</w:t>
      </w:r>
    </w:p>
    <w:p>
      <w:pPr>
        <w:pStyle w:val="2"/>
        <w:ind w:firstLine="643"/>
        <w:rPr>
          <w:rFonts w:ascii="Times New Roman" w:cs="Times New Roman"/>
          <w:color w:val="auto"/>
          <w:sz w:val="28"/>
          <w:szCs w:val="28"/>
          <w:highlight w:val="none"/>
        </w:rPr>
      </w:pPr>
      <w:r>
        <w:rPr>
          <w:rFonts w:ascii="Times New Roman" w:cs="Times New Roman"/>
          <w:color w:val="auto"/>
          <w:sz w:val="28"/>
          <w:szCs w:val="28"/>
          <w:highlight w:val="none"/>
        </w:rPr>
        <w:t>结合《乐山市新型工业基地发展规划》等产业发展规划，进一步明确各重点作业区临港产业布局重点，发展适水临港产业。</w:t>
      </w:r>
      <w:r>
        <w:rPr>
          <w:rFonts w:ascii="Times New Roman" w:cs="Times New Roman"/>
          <w:b/>
          <w:color w:val="auto"/>
          <w:sz w:val="28"/>
          <w:szCs w:val="28"/>
          <w:highlight w:val="none"/>
        </w:rPr>
        <w:t>嘉州港区</w:t>
      </w:r>
      <w:r>
        <w:rPr>
          <w:rFonts w:hint="eastAsia" w:ascii="Times New Roman" w:cs="Times New Roman"/>
          <w:b/>
          <w:color w:val="auto"/>
          <w:sz w:val="28"/>
          <w:szCs w:val="28"/>
          <w:highlight w:val="none"/>
        </w:rPr>
        <w:t>冠英片区拟</w:t>
      </w:r>
      <w:r>
        <w:rPr>
          <w:rFonts w:hint="eastAsia" w:ascii="Times New Roman" w:cs="Times New Roman"/>
          <w:color w:val="auto"/>
          <w:sz w:val="28"/>
          <w:szCs w:val="28"/>
          <w:highlight w:val="none"/>
        </w:rPr>
        <w:t>依托老江坝作业区和老木孔枢纽推动老木孔枢纽片区综合开发</w:t>
      </w:r>
      <w:r>
        <w:rPr>
          <w:rFonts w:ascii="Times New Roman" w:cs="Times New Roman"/>
          <w:color w:val="auto"/>
          <w:sz w:val="28"/>
          <w:szCs w:val="28"/>
          <w:highlight w:val="none"/>
        </w:rPr>
        <w:t>。</w:t>
      </w:r>
      <w:r>
        <w:rPr>
          <w:rFonts w:ascii="Times New Roman" w:cs="Times New Roman"/>
          <w:b/>
          <w:color w:val="auto"/>
          <w:sz w:val="28"/>
          <w:szCs w:val="28"/>
          <w:highlight w:val="none"/>
        </w:rPr>
        <w:t>嘉州港区老江坝作业区</w:t>
      </w:r>
      <w:r>
        <w:rPr>
          <w:rFonts w:ascii="Times New Roman" w:cs="Times New Roman"/>
          <w:color w:val="auto"/>
          <w:sz w:val="28"/>
          <w:szCs w:val="28"/>
          <w:highlight w:val="none"/>
        </w:rPr>
        <w:t>依托乐山市高新区总部经济区发展现代物流服务业，重点布局先进装备制造、资源深加工、新材料等战略性新兴产业。</w:t>
      </w:r>
      <w:r>
        <w:rPr>
          <w:rFonts w:ascii="Times New Roman" w:cs="Times New Roman"/>
          <w:b/>
          <w:color w:val="auto"/>
          <w:sz w:val="28"/>
          <w:szCs w:val="28"/>
          <w:highlight w:val="none"/>
        </w:rPr>
        <w:t>五通桥港区桥沟作业区</w:t>
      </w:r>
      <w:r>
        <w:rPr>
          <w:rFonts w:hint="eastAsia" w:ascii="Times New Roman" w:cs="Times New Roman"/>
          <w:b/>
          <w:color w:val="auto"/>
          <w:sz w:val="28"/>
          <w:szCs w:val="28"/>
          <w:highlight w:val="none"/>
        </w:rPr>
        <w:t>后方的</w:t>
      </w:r>
      <w:r>
        <w:rPr>
          <w:rFonts w:ascii="Times New Roman" w:cs="Times New Roman"/>
          <w:color w:val="auto"/>
          <w:sz w:val="28"/>
          <w:szCs w:val="28"/>
          <w:highlight w:val="none"/>
        </w:rPr>
        <w:t>五通桥新型工业基地，重点布局新能源汽车及汽车零部件、信息产业、新材料及节能环保等产业</w:t>
      </w:r>
      <w:r>
        <w:rPr>
          <w:rFonts w:ascii="Times New Roman" w:cs="Times New Roman"/>
          <w:b/>
          <w:color w:val="auto"/>
          <w:sz w:val="28"/>
          <w:szCs w:val="28"/>
          <w:highlight w:val="none"/>
        </w:rPr>
        <w:t>。犍为港区高石坝作业区</w:t>
      </w:r>
      <w:r>
        <w:rPr>
          <w:rFonts w:hint="eastAsia" w:ascii="Times New Roman" w:cs="Times New Roman"/>
          <w:b/>
          <w:color w:val="auto"/>
          <w:sz w:val="28"/>
          <w:szCs w:val="28"/>
          <w:highlight w:val="none"/>
        </w:rPr>
        <w:t>后方</w:t>
      </w:r>
      <w:r>
        <w:rPr>
          <w:rFonts w:hint="eastAsia" w:ascii="Times New Roman" w:cs="Times New Roman"/>
          <w:color w:val="auto"/>
          <w:sz w:val="28"/>
          <w:szCs w:val="28"/>
          <w:highlight w:val="none"/>
        </w:rPr>
        <w:t>规划的</w:t>
      </w:r>
      <w:r>
        <w:rPr>
          <w:rFonts w:ascii="Times New Roman" w:cs="Times New Roman"/>
          <w:color w:val="auto"/>
          <w:sz w:val="28"/>
          <w:szCs w:val="28"/>
          <w:highlight w:val="none"/>
        </w:rPr>
        <w:t>犍为新型工业基地，重点布局先进装备、特色轻工、精细化工、绿色能源等产业。</w:t>
      </w:r>
    </w:p>
    <w:p>
      <w:pPr>
        <w:pStyle w:val="2"/>
        <w:spacing w:line="600" w:lineRule="exact"/>
        <w:ind w:firstLine="562" w:firstLineChars="200"/>
        <w:rPr>
          <w:rFonts w:ascii="Times New Roman" w:cs="Times New Roman"/>
          <w:color w:val="auto"/>
          <w:sz w:val="28"/>
          <w:szCs w:val="28"/>
          <w:highlight w:val="none"/>
        </w:rPr>
      </w:pPr>
      <w:r>
        <w:rPr>
          <w:rFonts w:hint="eastAsia" w:ascii="Times New Roman" w:cs="Times New Roman"/>
          <w:b/>
          <w:color w:val="auto"/>
          <w:kern w:val="2"/>
          <w:sz w:val="28"/>
          <w:szCs w:val="28"/>
          <w:highlight w:val="none"/>
        </w:rPr>
        <w:t>老木孔枢纽片区综合开发规划：</w:t>
      </w:r>
      <w:r>
        <w:rPr>
          <w:rFonts w:ascii="Times New Roman" w:cs="Times New Roman"/>
          <w:color w:val="auto"/>
          <w:sz w:val="28"/>
          <w:szCs w:val="28"/>
          <w:highlight w:val="none"/>
        </w:rPr>
        <w:t>考虑到老江坝作业区建成后将成为四川省大规模综合作业区，为促进港产城良性互动，建议在老江坝作业区后方规划老木孔枢纽片区进行综合开发。片区</w:t>
      </w:r>
      <w:r>
        <w:rPr>
          <w:rFonts w:hint="eastAsia" w:ascii="Times New Roman" w:cs="Times New Roman"/>
          <w:color w:val="auto"/>
          <w:sz w:val="28"/>
          <w:szCs w:val="28"/>
          <w:highlight w:val="none"/>
        </w:rPr>
        <w:t>通过发展现代航运、临港产业、航运旅游打造创新融合发展的枢纽经济高地，实现“港区、湖区、景区、城区”一体化发展。</w:t>
      </w:r>
    </w:p>
    <w:p>
      <w:pPr>
        <w:pStyle w:val="2"/>
        <w:jc w:val="center"/>
        <w:rPr>
          <w:rFonts w:ascii="Times New Roman" w:cs="Times New Roman"/>
          <w:color w:val="auto"/>
          <w:highlight w:val="none"/>
        </w:rPr>
      </w:pPr>
    </w:p>
    <w:p>
      <w:pPr>
        <w:pStyle w:val="2"/>
        <w:spacing w:line="360" w:lineRule="auto"/>
        <w:ind w:firstLine="560" w:firstLineChars="200"/>
        <w:rPr>
          <w:rFonts w:ascii="Times New Roman" w:cs="Times New Roman"/>
          <w:color w:val="auto"/>
          <w:sz w:val="28"/>
          <w:szCs w:val="28"/>
          <w:highlight w:val="none"/>
        </w:rPr>
        <w:sectPr>
          <w:pgSz w:w="11906" w:h="16838"/>
          <w:pgMar w:top="1440" w:right="1418" w:bottom="1440" w:left="1418" w:header="851" w:footer="992" w:gutter="0"/>
          <w:cols w:space="425" w:num="1"/>
          <w:docGrid w:type="lines" w:linePitch="312" w:charSpace="0"/>
        </w:sectPr>
      </w:pPr>
    </w:p>
    <w:p>
      <w:pPr>
        <w:pStyle w:val="14"/>
        <w:spacing w:before="156" w:beforeLines="50" w:line="520" w:lineRule="exact"/>
        <w:jc w:val="center"/>
        <w:outlineLvl w:val="0"/>
        <w:rPr>
          <w:rFonts w:ascii="Times New Roman" w:hAnsi="Times New Roman" w:eastAsia="黑体" w:cs="Times New Roman"/>
          <w:b/>
          <w:sz w:val="32"/>
          <w:szCs w:val="32"/>
          <w:highlight w:val="none"/>
        </w:rPr>
      </w:pPr>
      <w:bookmarkStart w:id="253" w:name="_Toc39688308"/>
      <w:bookmarkStart w:id="254" w:name="_Toc67908303"/>
      <w:bookmarkStart w:id="255" w:name="_Toc77781936"/>
      <w:r>
        <w:rPr>
          <w:rFonts w:ascii="Times New Roman" w:hAnsi="Times New Roman" w:eastAsia="黑体" w:cs="Times New Roman"/>
          <w:b/>
          <w:sz w:val="32"/>
          <w:szCs w:val="32"/>
          <w:highlight w:val="none"/>
        </w:rPr>
        <w:t>第</w:t>
      </w:r>
      <w:r>
        <w:rPr>
          <w:rFonts w:hint="eastAsia" w:ascii="Times New Roman" w:hAnsi="Times New Roman" w:eastAsia="黑体" w:cs="Times New Roman"/>
          <w:b/>
          <w:sz w:val="32"/>
          <w:szCs w:val="32"/>
          <w:highlight w:val="none"/>
        </w:rPr>
        <w:t>七</w:t>
      </w:r>
      <w:r>
        <w:rPr>
          <w:rFonts w:ascii="Times New Roman" w:hAnsi="Times New Roman" w:eastAsia="黑体" w:cs="Times New Roman"/>
          <w:b/>
          <w:sz w:val="32"/>
          <w:szCs w:val="32"/>
          <w:highlight w:val="none"/>
        </w:rPr>
        <w:t>章 环境保护规划</w:t>
      </w:r>
      <w:bookmarkEnd w:id="253"/>
      <w:bookmarkEnd w:id="254"/>
      <w:bookmarkEnd w:id="255"/>
    </w:p>
    <w:p>
      <w:pPr>
        <w:spacing w:before="156" w:beforeLines="50" w:after="156" w:afterLines="50" w:line="520" w:lineRule="exact"/>
        <w:jc w:val="center"/>
        <w:outlineLvl w:val="1"/>
        <w:rPr>
          <w:rFonts w:eastAsia="黑体"/>
          <w:b/>
          <w:sz w:val="30"/>
          <w:highlight w:val="none"/>
        </w:rPr>
      </w:pPr>
      <w:bookmarkStart w:id="256" w:name="_Toc67908304"/>
      <w:bookmarkStart w:id="257" w:name="_Toc77781937"/>
      <w:r>
        <w:rPr>
          <w:rFonts w:eastAsia="黑体"/>
          <w:b/>
          <w:sz w:val="30"/>
          <w:highlight w:val="none"/>
        </w:rPr>
        <w:t>第一节港口环境现状</w:t>
      </w:r>
      <w:bookmarkEnd w:id="256"/>
      <w:bookmarkEnd w:id="257"/>
    </w:p>
    <w:p>
      <w:pPr>
        <w:spacing w:line="360" w:lineRule="auto"/>
        <w:ind w:firstLine="480"/>
        <w:rPr>
          <w:sz w:val="28"/>
          <w:szCs w:val="28"/>
          <w:highlight w:val="none"/>
        </w:rPr>
      </w:pPr>
      <w:r>
        <w:rPr>
          <w:sz w:val="28"/>
          <w:szCs w:val="28"/>
          <w:highlight w:val="none"/>
        </w:rPr>
        <w:t>在乐山港规划的港口岸线范围内，除现有的乐山大件码头、乐山肖坝客运码头等码头占用部分岸线外，其他规划的港口岸线基本处于未开发状态，环境质量较好。根据乐山市环保局现有环境监测资料，综合分析乐山港环境现状。</w:t>
      </w:r>
    </w:p>
    <w:p>
      <w:pPr>
        <w:spacing w:line="360" w:lineRule="auto"/>
        <w:ind w:firstLine="562" w:firstLineChars="200"/>
        <w:rPr>
          <w:rFonts w:eastAsia="黑体"/>
          <w:b/>
          <w:sz w:val="28"/>
          <w:szCs w:val="28"/>
          <w:highlight w:val="none"/>
        </w:rPr>
      </w:pPr>
      <w:r>
        <w:rPr>
          <w:rFonts w:eastAsia="黑体"/>
          <w:b/>
          <w:sz w:val="28"/>
          <w:szCs w:val="28"/>
          <w:highlight w:val="none"/>
        </w:rPr>
        <w:t>一、水环境质量现状</w:t>
      </w:r>
    </w:p>
    <w:p>
      <w:pPr>
        <w:spacing w:line="360" w:lineRule="auto"/>
        <w:ind w:firstLine="480"/>
        <w:rPr>
          <w:sz w:val="28"/>
          <w:szCs w:val="28"/>
          <w:highlight w:val="none"/>
        </w:rPr>
      </w:pPr>
      <w:r>
        <w:rPr>
          <w:sz w:val="28"/>
          <w:szCs w:val="28"/>
          <w:highlight w:val="none"/>
        </w:rPr>
        <w:t>岷江干流乐山段整体水质良好，水质基本符合《地表水环境质量标准》（GB3838）中的Ⅲ类标准，其中岷江入境悦来渡口段，因受入境上游成都、眉山市段生活污水和沿岸造纸废水污染的影响，该断面水质为Ⅳ类水质，属于轻度污染。乐山城区至犍为县河口渡口出境以</w:t>
      </w:r>
      <w:r>
        <w:rPr>
          <w:sz w:val="28"/>
          <w:szCs w:val="28"/>
          <w:highlight w:val="none"/>
        </w:rPr>
        <w:fldChar w:fldCharType="begin"/>
      </w:r>
      <w:r>
        <w:rPr>
          <w:sz w:val="28"/>
          <w:szCs w:val="28"/>
          <w:highlight w:val="none"/>
        </w:rPr>
        <w:instrText xml:space="preserve">= 3 \* ROMAN</w:instrText>
      </w:r>
      <w:r>
        <w:rPr>
          <w:sz w:val="28"/>
          <w:szCs w:val="28"/>
          <w:highlight w:val="none"/>
        </w:rPr>
        <w:fldChar w:fldCharType="separate"/>
      </w:r>
      <w:r>
        <w:rPr>
          <w:sz w:val="28"/>
          <w:szCs w:val="28"/>
          <w:highlight w:val="none"/>
        </w:rPr>
        <w:t>III</w:t>
      </w:r>
      <w:r>
        <w:rPr>
          <w:sz w:val="28"/>
          <w:szCs w:val="28"/>
          <w:highlight w:val="none"/>
        </w:rPr>
        <w:fldChar w:fldCharType="end"/>
      </w:r>
      <w:r>
        <w:rPr>
          <w:sz w:val="28"/>
          <w:szCs w:val="28"/>
          <w:highlight w:val="none"/>
        </w:rPr>
        <w:t>类水质为主。大渡河干流水质符合《地表水环境质量标准》（GB3838）中的Ⅲ类标准，沙湾区以上河段以</w:t>
      </w:r>
      <w:r>
        <w:rPr>
          <w:sz w:val="28"/>
          <w:szCs w:val="28"/>
          <w:highlight w:val="none"/>
        </w:rPr>
        <w:fldChar w:fldCharType="begin"/>
      </w:r>
      <w:r>
        <w:rPr>
          <w:sz w:val="28"/>
          <w:szCs w:val="28"/>
          <w:highlight w:val="none"/>
        </w:rPr>
        <w:instrText xml:space="preserve">= 2 \* ROMAN</w:instrText>
      </w:r>
      <w:r>
        <w:rPr>
          <w:sz w:val="28"/>
          <w:szCs w:val="28"/>
          <w:highlight w:val="none"/>
        </w:rPr>
        <w:fldChar w:fldCharType="separate"/>
      </w:r>
      <w:r>
        <w:rPr>
          <w:sz w:val="28"/>
          <w:szCs w:val="28"/>
          <w:highlight w:val="none"/>
        </w:rPr>
        <w:t>II</w:t>
      </w:r>
      <w:r>
        <w:rPr>
          <w:sz w:val="28"/>
          <w:szCs w:val="28"/>
          <w:highlight w:val="none"/>
        </w:rPr>
        <w:fldChar w:fldCharType="end"/>
      </w:r>
      <w:r>
        <w:rPr>
          <w:sz w:val="28"/>
          <w:szCs w:val="28"/>
          <w:highlight w:val="none"/>
        </w:rPr>
        <w:t>、</w:t>
      </w:r>
      <w:r>
        <w:rPr>
          <w:sz w:val="28"/>
          <w:szCs w:val="28"/>
          <w:highlight w:val="none"/>
        </w:rPr>
        <w:fldChar w:fldCharType="begin"/>
      </w:r>
      <w:r>
        <w:rPr>
          <w:sz w:val="28"/>
          <w:szCs w:val="28"/>
          <w:highlight w:val="none"/>
        </w:rPr>
        <w:instrText xml:space="preserve">= 3 \* ROMAN</w:instrText>
      </w:r>
      <w:r>
        <w:rPr>
          <w:sz w:val="28"/>
          <w:szCs w:val="28"/>
          <w:highlight w:val="none"/>
        </w:rPr>
        <w:fldChar w:fldCharType="separate"/>
      </w:r>
      <w:r>
        <w:rPr>
          <w:sz w:val="28"/>
          <w:szCs w:val="28"/>
          <w:highlight w:val="none"/>
        </w:rPr>
        <w:t>III</w:t>
      </w:r>
      <w:r>
        <w:rPr>
          <w:sz w:val="28"/>
          <w:szCs w:val="28"/>
          <w:highlight w:val="none"/>
        </w:rPr>
        <w:fldChar w:fldCharType="end"/>
      </w:r>
      <w:r>
        <w:rPr>
          <w:sz w:val="28"/>
          <w:szCs w:val="28"/>
          <w:highlight w:val="none"/>
        </w:rPr>
        <w:t>类水质为主，沙湾区至汇入岷江前河段以</w:t>
      </w:r>
      <w:r>
        <w:rPr>
          <w:sz w:val="28"/>
          <w:szCs w:val="28"/>
          <w:highlight w:val="none"/>
        </w:rPr>
        <w:fldChar w:fldCharType="begin"/>
      </w:r>
      <w:r>
        <w:rPr>
          <w:sz w:val="28"/>
          <w:szCs w:val="28"/>
          <w:highlight w:val="none"/>
        </w:rPr>
        <w:instrText xml:space="preserve">= 3 \* ROMAN</w:instrText>
      </w:r>
      <w:r>
        <w:rPr>
          <w:sz w:val="28"/>
          <w:szCs w:val="28"/>
          <w:highlight w:val="none"/>
        </w:rPr>
        <w:fldChar w:fldCharType="separate"/>
      </w:r>
      <w:r>
        <w:rPr>
          <w:sz w:val="28"/>
          <w:szCs w:val="28"/>
          <w:highlight w:val="none"/>
        </w:rPr>
        <w:t>III</w:t>
      </w:r>
      <w:r>
        <w:rPr>
          <w:sz w:val="28"/>
          <w:szCs w:val="28"/>
          <w:highlight w:val="none"/>
        </w:rPr>
        <w:fldChar w:fldCharType="end"/>
      </w:r>
      <w:r>
        <w:rPr>
          <w:sz w:val="28"/>
          <w:szCs w:val="28"/>
          <w:highlight w:val="none"/>
        </w:rPr>
        <w:t>类水质为主。</w:t>
      </w:r>
    </w:p>
    <w:p>
      <w:pPr>
        <w:spacing w:line="360" w:lineRule="auto"/>
        <w:ind w:firstLine="480"/>
        <w:rPr>
          <w:sz w:val="28"/>
          <w:szCs w:val="28"/>
          <w:highlight w:val="none"/>
        </w:rPr>
      </w:pPr>
      <w:r>
        <w:rPr>
          <w:sz w:val="28"/>
          <w:szCs w:val="28"/>
          <w:highlight w:val="none"/>
        </w:rPr>
        <w:t>乐山港规划涉及河段，基本满足《地表水环境质量标准》（GB3838）中Ⅲ类标准要求。</w:t>
      </w:r>
    </w:p>
    <w:p>
      <w:pPr>
        <w:spacing w:line="360" w:lineRule="auto"/>
        <w:ind w:firstLine="562" w:firstLineChars="200"/>
        <w:rPr>
          <w:rFonts w:eastAsia="黑体"/>
          <w:b/>
          <w:sz w:val="28"/>
          <w:szCs w:val="28"/>
          <w:highlight w:val="none"/>
        </w:rPr>
      </w:pPr>
      <w:r>
        <w:rPr>
          <w:rFonts w:eastAsia="黑体"/>
          <w:b/>
          <w:sz w:val="28"/>
          <w:szCs w:val="28"/>
          <w:highlight w:val="none"/>
        </w:rPr>
        <w:t>二、大气环境质量现状</w:t>
      </w:r>
    </w:p>
    <w:p>
      <w:pPr>
        <w:spacing w:line="360" w:lineRule="auto"/>
        <w:ind w:firstLine="480"/>
        <w:rPr>
          <w:sz w:val="28"/>
          <w:szCs w:val="28"/>
          <w:highlight w:val="none"/>
        </w:rPr>
      </w:pPr>
      <w:r>
        <w:rPr>
          <w:sz w:val="28"/>
          <w:szCs w:val="28"/>
          <w:highlight w:val="none"/>
        </w:rPr>
        <w:t>乐山市空气污染指数范围在42～98之间，空气质量级别为Ⅱ级，空气质量状况为良，首要污染物为颗粒物。</w:t>
      </w:r>
    </w:p>
    <w:p>
      <w:pPr>
        <w:spacing w:line="360" w:lineRule="auto"/>
        <w:ind w:firstLine="480"/>
        <w:rPr>
          <w:sz w:val="28"/>
          <w:szCs w:val="28"/>
          <w:highlight w:val="none"/>
        </w:rPr>
      </w:pPr>
      <w:r>
        <w:rPr>
          <w:sz w:val="28"/>
          <w:szCs w:val="28"/>
          <w:highlight w:val="none"/>
        </w:rPr>
        <w:t>乐山市各个城区NO</w:t>
      </w:r>
      <w:r>
        <w:rPr>
          <w:sz w:val="28"/>
          <w:szCs w:val="28"/>
          <w:highlight w:val="none"/>
          <w:vertAlign w:val="subscript"/>
        </w:rPr>
        <w:t>2</w:t>
      </w:r>
      <w:r>
        <w:rPr>
          <w:sz w:val="28"/>
          <w:szCs w:val="28"/>
          <w:highlight w:val="none"/>
        </w:rPr>
        <w:t>浓度值均低于国家环境空气质量二级标准，其中市中区在全年四季中以冬季和春季监测值较高。乐山市各城区SO</w:t>
      </w:r>
      <w:r>
        <w:rPr>
          <w:sz w:val="28"/>
          <w:szCs w:val="28"/>
          <w:highlight w:val="none"/>
          <w:vertAlign w:val="subscript"/>
        </w:rPr>
        <w:t>2</w:t>
      </w:r>
      <w:r>
        <w:rPr>
          <w:sz w:val="28"/>
          <w:szCs w:val="28"/>
          <w:highlight w:val="none"/>
        </w:rPr>
        <w:t>浓度值均低于国家环境空气质量二级标准，其中市中区在全年四季中以冬季监测值较高。乐山市各城区可吸入颗粒物浓度值均超过国家环境空气质量二级标准限值，全市颗粒物在全年中，以冬季污染相对较重，春季次之，夏、秋两季污染相对较轻。</w:t>
      </w:r>
    </w:p>
    <w:p>
      <w:pPr>
        <w:spacing w:line="360" w:lineRule="auto"/>
        <w:ind w:firstLine="480"/>
        <w:rPr>
          <w:sz w:val="28"/>
          <w:szCs w:val="28"/>
          <w:highlight w:val="none"/>
        </w:rPr>
      </w:pPr>
      <w:r>
        <w:rPr>
          <w:sz w:val="28"/>
          <w:szCs w:val="28"/>
          <w:highlight w:val="none"/>
        </w:rPr>
        <w:t>乐山港规划港区所在区域环境空气中S0</w:t>
      </w:r>
      <w:r>
        <w:rPr>
          <w:sz w:val="28"/>
          <w:szCs w:val="28"/>
          <w:highlight w:val="none"/>
          <w:vertAlign w:val="subscript"/>
        </w:rPr>
        <w:t>2</w:t>
      </w:r>
      <w:r>
        <w:rPr>
          <w:sz w:val="28"/>
          <w:szCs w:val="28"/>
          <w:highlight w:val="none"/>
        </w:rPr>
        <w:t>、N0</w:t>
      </w:r>
      <w:r>
        <w:rPr>
          <w:sz w:val="28"/>
          <w:szCs w:val="28"/>
          <w:highlight w:val="none"/>
          <w:vertAlign w:val="subscript"/>
        </w:rPr>
        <w:t>2</w:t>
      </w:r>
      <w:r>
        <w:rPr>
          <w:sz w:val="28"/>
          <w:szCs w:val="28"/>
          <w:highlight w:val="none"/>
        </w:rPr>
        <w:t>、PM</w:t>
      </w:r>
      <w:r>
        <w:rPr>
          <w:sz w:val="28"/>
          <w:szCs w:val="28"/>
          <w:highlight w:val="none"/>
          <w:vertAlign w:val="subscript"/>
        </w:rPr>
        <w:t>10</w:t>
      </w:r>
      <w:r>
        <w:rPr>
          <w:sz w:val="28"/>
          <w:szCs w:val="28"/>
          <w:highlight w:val="none"/>
        </w:rPr>
        <w:t>监测值除PM</w:t>
      </w:r>
      <w:r>
        <w:rPr>
          <w:sz w:val="28"/>
          <w:szCs w:val="28"/>
          <w:highlight w:val="none"/>
          <w:vertAlign w:val="subscript"/>
        </w:rPr>
        <w:t>10</w:t>
      </w:r>
      <w:r>
        <w:rPr>
          <w:sz w:val="28"/>
          <w:szCs w:val="28"/>
          <w:highlight w:val="none"/>
        </w:rPr>
        <w:t>外均符合《环境空气质量标准》（GB3095）二级标准要求，规划港区区域环境空气质量较好。</w:t>
      </w:r>
    </w:p>
    <w:p>
      <w:pPr>
        <w:spacing w:line="360" w:lineRule="auto"/>
        <w:ind w:firstLine="562" w:firstLineChars="200"/>
        <w:rPr>
          <w:rFonts w:eastAsia="黑体"/>
          <w:b/>
          <w:sz w:val="28"/>
          <w:szCs w:val="28"/>
          <w:highlight w:val="none"/>
        </w:rPr>
      </w:pPr>
      <w:r>
        <w:rPr>
          <w:rFonts w:eastAsia="黑体"/>
          <w:b/>
          <w:sz w:val="28"/>
          <w:szCs w:val="28"/>
          <w:highlight w:val="none"/>
        </w:rPr>
        <w:t>三、声环境质量现状</w:t>
      </w:r>
    </w:p>
    <w:p>
      <w:pPr>
        <w:spacing w:line="360" w:lineRule="auto"/>
        <w:ind w:firstLine="480"/>
        <w:rPr>
          <w:sz w:val="28"/>
          <w:szCs w:val="28"/>
          <w:highlight w:val="none"/>
        </w:rPr>
      </w:pPr>
      <w:r>
        <w:rPr>
          <w:sz w:val="28"/>
          <w:szCs w:val="28"/>
          <w:highlight w:val="none"/>
        </w:rPr>
        <w:t>乐山市各功能区噪声扰民仍然相对较重，主要表现在居民区、商业与居民混合区夜间噪声超标率大于昼间。</w:t>
      </w:r>
    </w:p>
    <w:p>
      <w:pPr>
        <w:spacing w:line="360" w:lineRule="auto"/>
        <w:ind w:firstLine="480"/>
        <w:rPr>
          <w:sz w:val="28"/>
          <w:szCs w:val="28"/>
          <w:highlight w:val="none"/>
        </w:rPr>
      </w:pPr>
      <w:r>
        <w:rPr>
          <w:sz w:val="28"/>
          <w:szCs w:val="28"/>
          <w:highlight w:val="none"/>
        </w:rPr>
        <w:t>乐山港规划港区所在区域声环境背景值除沙湾区外均满足</w:t>
      </w:r>
      <w:r>
        <w:rPr>
          <w:rFonts w:hint="eastAsia"/>
          <w:sz w:val="28"/>
          <w:szCs w:val="28"/>
          <w:highlight w:val="none"/>
        </w:rPr>
        <w:t>《声环境质量标准》（GB3096－2008）</w:t>
      </w:r>
      <w:r>
        <w:rPr>
          <w:sz w:val="28"/>
          <w:szCs w:val="28"/>
          <w:highlight w:val="none"/>
        </w:rPr>
        <w:t>中3类标准要求，声环境现状较好，道路两侧交通噪声值超标（4类标准）。</w:t>
      </w:r>
    </w:p>
    <w:p>
      <w:pPr>
        <w:spacing w:before="156" w:beforeLines="50" w:after="156" w:afterLines="50" w:line="520" w:lineRule="exact"/>
        <w:jc w:val="center"/>
        <w:outlineLvl w:val="1"/>
        <w:rPr>
          <w:rFonts w:eastAsia="黑体"/>
          <w:b/>
          <w:sz w:val="30"/>
          <w:highlight w:val="none"/>
        </w:rPr>
      </w:pPr>
      <w:bookmarkStart w:id="258" w:name="_Toc77781938"/>
      <w:bookmarkStart w:id="259" w:name="_Toc67908305"/>
      <w:r>
        <w:rPr>
          <w:rFonts w:eastAsia="黑体"/>
          <w:b/>
          <w:sz w:val="30"/>
          <w:highlight w:val="none"/>
        </w:rPr>
        <w:t>第二节对环境可能造成的影响分析</w:t>
      </w:r>
      <w:bookmarkEnd w:id="258"/>
      <w:bookmarkEnd w:id="259"/>
    </w:p>
    <w:p>
      <w:pPr>
        <w:spacing w:line="360" w:lineRule="auto"/>
        <w:ind w:firstLine="562" w:firstLineChars="200"/>
        <w:rPr>
          <w:rFonts w:eastAsia="黑体"/>
          <w:b/>
          <w:sz w:val="28"/>
          <w:szCs w:val="28"/>
          <w:highlight w:val="none"/>
        </w:rPr>
      </w:pPr>
      <w:r>
        <w:rPr>
          <w:rFonts w:eastAsia="黑体"/>
          <w:b/>
          <w:sz w:val="28"/>
          <w:szCs w:val="28"/>
          <w:highlight w:val="none"/>
        </w:rPr>
        <w:t>一、规划期主要污染源和污染物分析</w:t>
      </w:r>
    </w:p>
    <w:p>
      <w:pPr>
        <w:spacing w:line="360" w:lineRule="auto"/>
        <w:ind w:firstLine="480"/>
        <w:rPr>
          <w:sz w:val="28"/>
          <w:szCs w:val="28"/>
          <w:highlight w:val="none"/>
        </w:rPr>
      </w:pPr>
      <w:r>
        <w:rPr>
          <w:sz w:val="28"/>
          <w:szCs w:val="28"/>
          <w:highlight w:val="none"/>
        </w:rPr>
        <w:t>根据乐山港吞吐量预测，2025年、2035年全港吞吐量将分别达到1000万t和1650万t。其中产生污染源和污染物较大的货种有煤炭、磷矿、元明粉、矿建材料等。随着港口建设和营运，将产生多种污染因子，对环境产生一定影响。</w:t>
      </w:r>
    </w:p>
    <w:p>
      <w:pPr>
        <w:spacing w:line="360" w:lineRule="auto"/>
        <w:ind w:firstLine="562" w:firstLineChars="200"/>
        <w:rPr>
          <w:rFonts w:eastAsia="黑体"/>
          <w:b/>
          <w:sz w:val="28"/>
          <w:szCs w:val="28"/>
          <w:highlight w:val="none"/>
        </w:rPr>
      </w:pPr>
      <w:r>
        <w:rPr>
          <w:rFonts w:eastAsia="黑体"/>
          <w:b/>
          <w:sz w:val="28"/>
          <w:szCs w:val="28"/>
          <w:highlight w:val="none"/>
        </w:rPr>
        <w:t>（一）港口建设期的主要污染源和污染物</w:t>
      </w:r>
    </w:p>
    <w:p>
      <w:pPr>
        <w:spacing w:line="360" w:lineRule="auto"/>
        <w:ind w:firstLine="482"/>
        <w:rPr>
          <w:b/>
          <w:bCs/>
          <w:sz w:val="28"/>
          <w:szCs w:val="28"/>
          <w:highlight w:val="none"/>
        </w:rPr>
      </w:pPr>
      <w:r>
        <w:rPr>
          <w:b/>
          <w:bCs/>
          <w:sz w:val="28"/>
          <w:szCs w:val="28"/>
          <w:highlight w:val="none"/>
        </w:rPr>
        <w:t>1、水环境影响源分析</w:t>
      </w:r>
    </w:p>
    <w:p>
      <w:pPr>
        <w:spacing w:line="360" w:lineRule="auto"/>
        <w:ind w:firstLine="480"/>
        <w:rPr>
          <w:sz w:val="28"/>
          <w:szCs w:val="28"/>
          <w:highlight w:val="none"/>
        </w:rPr>
      </w:pPr>
      <w:r>
        <w:rPr>
          <w:rFonts w:hint="eastAsia" w:ascii="宋体" w:hAnsi="宋体" w:cs="宋体"/>
          <w:sz w:val="28"/>
          <w:szCs w:val="28"/>
          <w:highlight w:val="none"/>
        </w:rPr>
        <w:t>⑴</w:t>
      </w:r>
      <w:r>
        <w:rPr>
          <w:sz w:val="28"/>
          <w:szCs w:val="28"/>
          <w:highlight w:val="none"/>
        </w:rPr>
        <w:t>港池开挖、码头基础和主体工小程施工造成码头前沿局部水域SS浓度升高。对码头前沿局部水域水环境、水域生态环境有一定的污染影响。</w:t>
      </w:r>
    </w:p>
    <w:p>
      <w:pPr>
        <w:spacing w:line="360" w:lineRule="auto"/>
        <w:ind w:firstLine="480"/>
        <w:rPr>
          <w:sz w:val="28"/>
          <w:szCs w:val="28"/>
          <w:highlight w:val="none"/>
        </w:rPr>
      </w:pPr>
      <w:r>
        <w:rPr>
          <w:rFonts w:hint="eastAsia" w:ascii="宋体" w:hAnsi="宋体" w:cs="宋体"/>
          <w:sz w:val="28"/>
          <w:szCs w:val="28"/>
          <w:highlight w:val="none"/>
        </w:rPr>
        <w:t>⑵</w:t>
      </w:r>
      <w:r>
        <w:rPr>
          <w:sz w:val="28"/>
          <w:szCs w:val="28"/>
          <w:highlight w:val="none"/>
        </w:rPr>
        <w:t>施工船舶污水</w:t>
      </w:r>
    </w:p>
    <w:p>
      <w:pPr>
        <w:spacing w:line="360" w:lineRule="auto"/>
        <w:ind w:firstLine="480"/>
        <w:rPr>
          <w:sz w:val="28"/>
          <w:szCs w:val="28"/>
          <w:highlight w:val="none"/>
        </w:rPr>
      </w:pPr>
      <w:r>
        <w:rPr>
          <w:sz w:val="28"/>
          <w:szCs w:val="28"/>
          <w:highlight w:val="none"/>
        </w:rPr>
        <w:t>施工船舶舱底油污水和船舶生活污水。船舶舱底油污水主要污染因子为石油类；船舶生活污水主要污染因子为COD、BOD</w:t>
      </w:r>
      <w:r>
        <w:rPr>
          <w:sz w:val="28"/>
          <w:szCs w:val="28"/>
          <w:highlight w:val="none"/>
          <w:vertAlign w:val="subscript"/>
        </w:rPr>
        <w:t>5</w:t>
      </w:r>
      <w:r>
        <w:rPr>
          <w:sz w:val="28"/>
          <w:szCs w:val="28"/>
          <w:highlight w:val="none"/>
        </w:rPr>
        <w:t>。</w:t>
      </w:r>
    </w:p>
    <w:p>
      <w:pPr>
        <w:spacing w:line="360" w:lineRule="auto"/>
        <w:ind w:firstLine="480"/>
        <w:rPr>
          <w:sz w:val="28"/>
          <w:szCs w:val="28"/>
          <w:highlight w:val="none"/>
        </w:rPr>
      </w:pPr>
      <w:r>
        <w:rPr>
          <w:rFonts w:hint="eastAsia" w:ascii="宋体" w:hAnsi="宋体" w:cs="宋体"/>
          <w:sz w:val="28"/>
          <w:szCs w:val="28"/>
          <w:highlight w:val="none"/>
        </w:rPr>
        <w:t>⑶</w:t>
      </w:r>
      <w:r>
        <w:rPr>
          <w:sz w:val="28"/>
          <w:szCs w:val="28"/>
          <w:highlight w:val="none"/>
        </w:rPr>
        <w:t>陆域施工废水</w:t>
      </w:r>
    </w:p>
    <w:p>
      <w:pPr>
        <w:spacing w:line="360" w:lineRule="auto"/>
        <w:ind w:firstLine="480"/>
        <w:rPr>
          <w:sz w:val="28"/>
          <w:szCs w:val="28"/>
          <w:highlight w:val="none"/>
        </w:rPr>
      </w:pPr>
      <w:r>
        <w:rPr>
          <w:sz w:val="28"/>
          <w:szCs w:val="28"/>
          <w:highlight w:val="none"/>
        </w:rPr>
        <w:t>陆域施工过程中因为降雨水土流失产生少量的废水，主要污染因子为SS。</w:t>
      </w:r>
    </w:p>
    <w:p>
      <w:pPr>
        <w:spacing w:line="360" w:lineRule="auto"/>
        <w:ind w:firstLine="480"/>
        <w:rPr>
          <w:sz w:val="28"/>
          <w:szCs w:val="28"/>
          <w:highlight w:val="none"/>
        </w:rPr>
      </w:pPr>
      <w:bookmarkStart w:id="260" w:name="_Toc122582090"/>
      <w:bookmarkStart w:id="261" w:name="_Toc122582751"/>
      <w:bookmarkStart w:id="262" w:name="_Toc122016227"/>
      <w:r>
        <w:rPr>
          <w:rFonts w:hint="eastAsia" w:ascii="宋体" w:hAnsi="宋体" w:cs="宋体"/>
          <w:sz w:val="28"/>
          <w:szCs w:val="28"/>
          <w:highlight w:val="none"/>
        </w:rPr>
        <w:t>⑷</w:t>
      </w:r>
      <w:r>
        <w:rPr>
          <w:sz w:val="28"/>
          <w:szCs w:val="28"/>
          <w:highlight w:val="none"/>
        </w:rPr>
        <w:t>陆域施工人员生活污水</w:t>
      </w:r>
      <w:bookmarkEnd w:id="260"/>
      <w:bookmarkEnd w:id="261"/>
      <w:bookmarkEnd w:id="262"/>
    </w:p>
    <w:p>
      <w:pPr>
        <w:spacing w:line="360" w:lineRule="auto"/>
        <w:ind w:firstLine="480"/>
        <w:rPr>
          <w:sz w:val="28"/>
          <w:szCs w:val="28"/>
          <w:highlight w:val="none"/>
        </w:rPr>
      </w:pPr>
      <w:r>
        <w:rPr>
          <w:sz w:val="28"/>
          <w:szCs w:val="28"/>
          <w:highlight w:val="none"/>
        </w:rPr>
        <w:t>一般发生在附近的居民点。</w:t>
      </w:r>
    </w:p>
    <w:p>
      <w:pPr>
        <w:spacing w:line="360" w:lineRule="auto"/>
        <w:ind w:firstLine="482"/>
        <w:rPr>
          <w:b/>
          <w:bCs/>
          <w:sz w:val="28"/>
          <w:szCs w:val="28"/>
          <w:highlight w:val="none"/>
        </w:rPr>
      </w:pPr>
      <w:r>
        <w:rPr>
          <w:b/>
          <w:bCs/>
          <w:sz w:val="28"/>
          <w:szCs w:val="28"/>
          <w:highlight w:val="none"/>
        </w:rPr>
        <w:t>2、环境空气影响源分析</w:t>
      </w:r>
    </w:p>
    <w:p>
      <w:pPr>
        <w:spacing w:line="360" w:lineRule="auto"/>
        <w:ind w:firstLine="480"/>
        <w:rPr>
          <w:sz w:val="28"/>
          <w:szCs w:val="28"/>
          <w:highlight w:val="none"/>
        </w:rPr>
      </w:pPr>
      <w:r>
        <w:rPr>
          <w:sz w:val="28"/>
          <w:szCs w:val="28"/>
          <w:highlight w:val="none"/>
        </w:rPr>
        <w:t>场地平整、材料运输、装卸及堆存等各种施工活动将给施工现场造成粉尘污染影响。由于该区域气候条件，不利于稀释扩散，将对附近的居民点和大气环境质量造成一定影响。</w:t>
      </w:r>
    </w:p>
    <w:p>
      <w:pPr>
        <w:spacing w:line="360" w:lineRule="auto"/>
        <w:ind w:firstLine="482"/>
        <w:rPr>
          <w:b/>
          <w:bCs/>
          <w:sz w:val="28"/>
          <w:szCs w:val="28"/>
          <w:highlight w:val="none"/>
        </w:rPr>
      </w:pPr>
      <w:r>
        <w:rPr>
          <w:b/>
          <w:bCs/>
          <w:sz w:val="28"/>
          <w:szCs w:val="28"/>
          <w:highlight w:val="none"/>
        </w:rPr>
        <w:t>3、噪声影响源分析</w:t>
      </w:r>
    </w:p>
    <w:p>
      <w:pPr>
        <w:spacing w:line="360" w:lineRule="auto"/>
        <w:ind w:firstLine="480"/>
        <w:rPr>
          <w:sz w:val="28"/>
          <w:szCs w:val="28"/>
          <w:highlight w:val="none"/>
        </w:rPr>
      </w:pPr>
      <w:r>
        <w:rPr>
          <w:sz w:val="28"/>
          <w:szCs w:val="28"/>
          <w:highlight w:val="none"/>
        </w:rPr>
        <w:t>主要包括施工机械噪声和施工车辆交通噪声。其噪声值为75～110dB(A)。</w:t>
      </w:r>
    </w:p>
    <w:p>
      <w:pPr>
        <w:spacing w:line="360" w:lineRule="auto"/>
        <w:ind w:firstLine="482"/>
        <w:rPr>
          <w:b/>
          <w:bCs/>
          <w:sz w:val="28"/>
          <w:szCs w:val="28"/>
          <w:highlight w:val="none"/>
        </w:rPr>
      </w:pPr>
      <w:r>
        <w:rPr>
          <w:b/>
          <w:bCs/>
          <w:sz w:val="28"/>
          <w:szCs w:val="28"/>
          <w:highlight w:val="none"/>
        </w:rPr>
        <w:t>4、固体废物影响源分析</w:t>
      </w:r>
    </w:p>
    <w:p>
      <w:pPr>
        <w:spacing w:line="360" w:lineRule="auto"/>
        <w:ind w:firstLine="480"/>
        <w:rPr>
          <w:sz w:val="28"/>
          <w:szCs w:val="28"/>
          <w:highlight w:val="none"/>
        </w:rPr>
      </w:pPr>
      <w:r>
        <w:rPr>
          <w:rFonts w:hint="eastAsia" w:ascii="宋体" w:hAnsi="宋体" w:cs="宋体"/>
          <w:sz w:val="28"/>
          <w:szCs w:val="28"/>
          <w:highlight w:val="none"/>
        </w:rPr>
        <w:t>⑴</w:t>
      </w:r>
      <w:r>
        <w:rPr>
          <w:sz w:val="28"/>
          <w:szCs w:val="28"/>
          <w:highlight w:val="none"/>
        </w:rPr>
        <w:t>施工产生的建筑垃圾。</w:t>
      </w:r>
    </w:p>
    <w:p>
      <w:pPr>
        <w:spacing w:line="360" w:lineRule="auto"/>
        <w:ind w:firstLine="480"/>
        <w:rPr>
          <w:sz w:val="28"/>
          <w:szCs w:val="28"/>
          <w:highlight w:val="none"/>
        </w:rPr>
      </w:pPr>
      <w:r>
        <w:rPr>
          <w:rFonts w:hint="eastAsia" w:ascii="宋体" w:hAnsi="宋体" w:cs="宋体"/>
          <w:sz w:val="28"/>
          <w:szCs w:val="28"/>
          <w:highlight w:val="none"/>
        </w:rPr>
        <w:t>⑵</w:t>
      </w:r>
      <w:r>
        <w:rPr>
          <w:sz w:val="28"/>
          <w:szCs w:val="28"/>
          <w:highlight w:val="none"/>
        </w:rPr>
        <w:t>施工人员生活垃圾。</w:t>
      </w:r>
    </w:p>
    <w:p>
      <w:pPr>
        <w:spacing w:line="360" w:lineRule="auto"/>
        <w:ind w:firstLine="562" w:firstLineChars="200"/>
        <w:rPr>
          <w:rFonts w:eastAsia="黑体"/>
          <w:b/>
          <w:sz w:val="28"/>
          <w:szCs w:val="28"/>
          <w:highlight w:val="none"/>
        </w:rPr>
      </w:pPr>
      <w:r>
        <w:rPr>
          <w:rFonts w:eastAsia="黑体"/>
          <w:b/>
          <w:sz w:val="28"/>
          <w:szCs w:val="28"/>
          <w:highlight w:val="none"/>
        </w:rPr>
        <w:t>（二）港口营运期的主要污染源和污染物</w:t>
      </w:r>
    </w:p>
    <w:p>
      <w:pPr>
        <w:spacing w:line="360" w:lineRule="auto"/>
        <w:ind w:firstLine="482"/>
        <w:rPr>
          <w:b/>
          <w:bCs/>
          <w:sz w:val="28"/>
          <w:szCs w:val="28"/>
          <w:highlight w:val="none"/>
        </w:rPr>
      </w:pPr>
      <w:r>
        <w:rPr>
          <w:b/>
          <w:bCs/>
          <w:sz w:val="28"/>
          <w:szCs w:val="28"/>
          <w:highlight w:val="none"/>
        </w:rPr>
        <w:t>1、水环境影响源分析</w:t>
      </w:r>
    </w:p>
    <w:p>
      <w:pPr>
        <w:spacing w:line="360" w:lineRule="auto"/>
        <w:ind w:firstLine="480"/>
        <w:rPr>
          <w:sz w:val="28"/>
          <w:szCs w:val="28"/>
          <w:highlight w:val="none"/>
        </w:rPr>
      </w:pPr>
      <w:r>
        <w:rPr>
          <w:rFonts w:hint="eastAsia" w:ascii="宋体" w:hAnsi="宋体" w:cs="宋体"/>
          <w:sz w:val="28"/>
          <w:szCs w:val="28"/>
          <w:highlight w:val="none"/>
        </w:rPr>
        <w:t>⑴</w:t>
      </w:r>
      <w:r>
        <w:rPr>
          <w:sz w:val="28"/>
          <w:szCs w:val="28"/>
          <w:highlight w:val="none"/>
        </w:rPr>
        <w:t>到港船舶舱底油污水</w:t>
      </w:r>
    </w:p>
    <w:p>
      <w:pPr>
        <w:spacing w:line="360" w:lineRule="auto"/>
        <w:ind w:firstLine="480"/>
        <w:rPr>
          <w:sz w:val="28"/>
          <w:szCs w:val="28"/>
          <w:highlight w:val="none"/>
        </w:rPr>
      </w:pPr>
      <w:r>
        <w:rPr>
          <w:sz w:val="28"/>
          <w:szCs w:val="28"/>
          <w:highlight w:val="none"/>
        </w:rPr>
        <w:t>主要污染因子为石油类。</w:t>
      </w:r>
    </w:p>
    <w:p>
      <w:pPr>
        <w:spacing w:line="360" w:lineRule="auto"/>
        <w:ind w:firstLine="480"/>
        <w:rPr>
          <w:sz w:val="28"/>
          <w:szCs w:val="28"/>
          <w:highlight w:val="none"/>
        </w:rPr>
      </w:pPr>
      <w:r>
        <w:rPr>
          <w:rFonts w:hint="eastAsia" w:ascii="宋体" w:hAnsi="宋体" w:cs="宋体"/>
          <w:sz w:val="28"/>
          <w:szCs w:val="28"/>
          <w:highlight w:val="none"/>
        </w:rPr>
        <w:t>⑵</w:t>
      </w:r>
      <w:r>
        <w:rPr>
          <w:sz w:val="28"/>
          <w:szCs w:val="28"/>
          <w:highlight w:val="none"/>
        </w:rPr>
        <w:t>船舶生活污水</w:t>
      </w:r>
    </w:p>
    <w:p>
      <w:pPr>
        <w:spacing w:line="360" w:lineRule="auto"/>
        <w:ind w:firstLine="480"/>
        <w:rPr>
          <w:sz w:val="28"/>
          <w:szCs w:val="28"/>
          <w:highlight w:val="none"/>
        </w:rPr>
      </w:pPr>
      <w:r>
        <w:rPr>
          <w:sz w:val="28"/>
          <w:szCs w:val="28"/>
          <w:highlight w:val="none"/>
        </w:rPr>
        <w:t>主要污染因子为COD、BOD</w:t>
      </w:r>
      <w:r>
        <w:rPr>
          <w:sz w:val="28"/>
          <w:szCs w:val="28"/>
          <w:highlight w:val="none"/>
          <w:vertAlign w:val="subscript"/>
        </w:rPr>
        <w:t>5</w:t>
      </w:r>
      <w:r>
        <w:rPr>
          <w:sz w:val="28"/>
          <w:szCs w:val="28"/>
          <w:highlight w:val="none"/>
        </w:rPr>
        <w:t>。</w:t>
      </w:r>
    </w:p>
    <w:p>
      <w:pPr>
        <w:spacing w:line="360" w:lineRule="auto"/>
        <w:ind w:firstLine="480"/>
        <w:rPr>
          <w:sz w:val="28"/>
          <w:szCs w:val="28"/>
          <w:highlight w:val="none"/>
        </w:rPr>
      </w:pPr>
      <w:r>
        <w:rPr>
          <w:rFonts w:hint="eastAsia" w:ascii="宋体" w:hAnsi="宋体" w:cs="宋体"/>
          <w:sz w:val="28"/>
          <w:szCs w:val="28"/>
          <w:highlight w:val="none"/>
        </w:rPr>
        <w:t>⑶</w:t>
      </w:r>
      <w:r>
        <w:rPr>
          <w:sz w:val="28"/>
          <w:szCs w:val="28"/>
          <w:highlight w:val="none"/>
        </w:rPr>
        <w:t>码头平台面及港区道路冲洗污水</w:t>
      </w:r>
    </w:p>
    <w:p>
      <w:pPr>
        <w:spacing w:line="360" w:lineRule="auto"/>
        <w:ind w:firstLine="480"/>
        <w:rPr>
          <w:sz w:val="28"/>
          <w:szCs w:val="28"/>
          <w:highlight w:val="none"/>
        </w:rPr>
      </w:pPr>
      <w:r>
        <w:rPr>
          <w:sz w:val="28"/>
          <w:szCs w:val="28"/>
          <w:highlight w:val="none"/>
        </w:rPr>
        <w:t>污染因子与装卸货种有关。主要是散货港口煤炭、金属矿石等作业区的冲洗废水。</w:t>
      </w:r>
    </w:p>
    <w:p>
      <w:pPr>
        <w:spacing w:line="360" w:lineRule="auto"/>
        <w:ind w:firstLine="480"/>
        <w:rPr>
          <w:sz w:val="28"/>
          <w:szCs w:val="28"/>
          <w:highlight w:val="none"/>
        </w:rPr>
      </w:pPr>
      <w:r>
        <w:rPr>
          <w:rFonts w:hint="eastAsia" w:ascii="宋体" w:hAnsi="宋体" w:cs="宋体"/>
          <w:sz w:val="28"/>
          <w:szCs w:val="28"/>
          <w:highlight w:val="none"/>
        </w:rPr>
        <w:t>⑷</w:t>
      </w:r>
      <w:r>
        <w:rPr>
          <w:sz w:val="28"/>
          <w:szCs w:val="28"/>
          <w:highlight w:val="none"/>
        </w:rPr>
        <w:t>机修间及流动机械冲洗水</w:t>
      </w:r>
    </w:p>
    <w:p>
      <w:pPr>
        <w:spacing w:line="360" w:lineRule="auto"/>
        <w:ind w:firstLine="480"/>
        <w:rPr>
          <w:sz w:val="28"/>
          <w:szCs w:val="28"/>
          <w:highlight w:val="none"/>
        </w:rPr>
      </w:pPr>
      <w:r>
        <w:rPr>
          <w:sz w:val="28"/>
          <w:szCs w:val="28"/>
          <w:highlight w:val="none"/>
        </w:rPr>
        <w:t>机械修理、流动机械冲洗产生的废水。主要污染因子为SS和石油类。</w:t>
      </w:r>
    </w:p>
    <w:p>
      <w:pPr>
        <w:spacing w:line="360" w:lineRule="auto"/>
        <w:ind w:firstLine="480"/>
        <w:rPr>
          <w:sz w:val="28"/>
          <w:szCs w:val="28"/>
          <w:highlight w:val="none"/>
        </w:rPr>
      </w:pPr>
      <w:r>
        <w:rPr>
          <w:rFonts w:hint="eastAsia" w:ascii="宋体" w:hAnsi="宋体" w:cs="宋体"/>
          <w:sz w:val="28"/>
          <w:szCs w:val="28"/>
          <w:highlight w:val="none"/>
        </w:rPr>
        <w:t>⑸</w:t>
      </w:r>
      <w:r>
        <w:rPr>
          <w:sz w:val="28"/>
          <w:szCs w:val="28"/>
          <w:highlight w:val="none"/>
        </w:rPr>
        <w:t>港区工作人员生活污水</w:t>
      </w:r>
    </w:p>
    <w:p>
      <w:pPr>
        <w:spacing w:line="360" w:lineRule="auto"/>
        <w:ind w:firstLine="480"/>
        <w:rPr>
          <w:sz w:val="28"/>
          <w:szCs w:val="28"/>
          <w:highlight w:val="none"/>
        </w:rPr>
      </w:pPr>
      <w:r>
        <w:rPr>
          <w:sz w:val="28"/>
          <w:szCs w:val="28"/>
          <w:highlight w:val="none"/>
        </w:rPr>
        <w:t>主要污染因子为COD、BOD</w:t>
      </w:r>
      <w:r>
        <w:rPr>
          <w:sz w:val="28"/>
          <w:szCs w:val="28"/>
          <w:highlight w:val="none"/>
          <w:vertAlign w:val="subscript"/>
        </w:rPr>
        <w:t>5</w:t>
      </w:r>
      <w:r>
        <w:rPr>
          <w:sz w:val="28"/>
          <w:szCs w:val="28"/>
          <w:highlight w:val="none"/>
        </w:rPr>
        <w:t>。</w:t>
      </w:r>
    </w:p>
    <w:p>
      <w:pPr>
        <w:spacing w:line="360" w:lineRule="auto"/>
        <w:ind w:firstLine="480"/>
        <w:rPr>
          <w:sz w:val="28"/>
          <w:szCs w:val="28"/>
          <w:highlight w:val="none"/>
        </w:rPr>
      </w:pPr>
      <w:r>
        <w:rPr>
          <w:rFonts w:hint="eastAsia" w:ascii="宋体" w:hAnsi="宋体" w:cs="宋体"/>
          <w:sz w:val="28"/>
          <w:szCs w:val="28"/>
          <w:highlight w:val="none"/>
        </w:rPr>
        <w:t>⑹</w:t>
      </w:r>
      <w:r>
        <w:rPr>
          <w:sz w:val="28"/>
          <w:szCs w:val="28"/>
          <w:highlight w:val="none"/>
        </w:rPr>
        <w:t>港区初期雨污水</w:t>
      </w:r>
    </w:p>
    <w:p>
      <w:pPr>
        <w:spacing w:line="360" w:lineRule="auto"/>
        <w:ind w:firstLine="480"/>
        <w:rPr>
          <w:sz w:val="28"/>
          <w:szCs w:val="28"/>
          <w:highlight w:val="none"/>
        </w:rPr>
      </w:pPr>
      <w:r>
        <w:rPr>
          <w:sz w:val="28"/>
          <w:szCs w:val="28"/>
          <w:highlight w:val="none"/>
        </w:rPr>
        <w:t>散货堆场、散货装卸作业场地降雨产生的污水。污染因子与装卸货种有关，主要污染因子为SS。</w:t>
      </w:r>
    </w:p>
    <w:p>
      <w:pPr>
        <w:spacing w:line="360" w:lineRule="auto"/>
        <w:ind w:firstLine="480"/>
        <w:rPr>
          <w:sz w:val="28"/>
          <w:szCs w:val="28"/>
          <w:highlight w:val="none"/>
        </w:rPr>
      </w:pPr>
      <w:r>
        <w:rPr>
          <w:rFonts w:hint="eastAsia" w:ascii="宋体" w:hAnsi="宋体" w:cs="宋体"/>
          <w:sz w:val="28"/>
          <w:szCs w:val="28"/>
          <w:highlight w:val="none"/>
        </w:rPr>
        <w:t>⑺</w:t>
      </w:r>
      <w:r>
        <w:rPr>
          <w:sz w:val="28"/>
          <w:szCs w:val="28"/>
          <w:highlight w:val="none"/>
        </w:rPr>
        <w:t>集装箱码头及港区洗箱污水</w:t>
      </w:r>
    </w:p>
    <w:p>
      <w:pPr>
        <w:spacing w:line="360" w:lineRule="auto"/>
        <w:ind w:firstLine="480"/>
        <w:rPr>
          <w:sz w:val="28"/>
          <w:szCs w:val="28"/>
          <w:highlight w:val="none"/>
        </w:rPr>
      </w:pPr>
      <w:r>
        <w:rPr>
          <w:sz w:val="28"/>
          <w:szCs w:val="28"/>
          <w:highlight w:val="none"/>
        </w:rPr>
        <w:t>主要污染因子为COD、石油类。</w:t>
      </w:r>
    </w:p>
    <w:p>
      <w:pPr>
        <w:spacing w:line="360" w:lineRule="auto"/>
        <w:ind w:firstLine="482"/>
        <w:rPr>
          <w:b/>
          <w:bCs/>
          <w:sz w:val="28"/>
          <w:szCs w:val="28"/>
          <w:highlight w:val="none"/>
        </w:rPr>
      </w:pPr>
      <w:r>
        <w:rPr>
          <w:b/>
          <w:bCs/>
          <w:sz w:val="28"/>
          <w:szCs w:val="28"/>
          <w:highlight w:val="none"/>
        </w:rPr>
        <w:t>2、环境空气影响源分析</w:t>
      </w:r>
    </w:p>
    <w:p>
      <w:pPr>
        <w:spacing w:line="360" w:lineRule="auto"/>
        <w:ind w:firstLine="480"/>
        <w:rPr>
          <w:sz w:val="28"/>
          <w:szCs w:val="28"/>
          <w:highlight w:val="none"/>
        </w:rPr>
      </w:pPr>
      <w:r>
        <w:rPr>
          <w:rFonts w:hint="eastAsia" w:ascii="宋体" w:hAnsi="宋体" w:cs="宋体"/>
          <w:sz w:val="28"/>
          <w:szCs w:val="28"/>
          <w:highlight w:val="none"/>
        </w:rPr>
        <w:t>⑴</w:t>
      </w:r>
      <w:r>
        <w:rPr>
          <w:sz w:val="28"/>
          <w:szCs w:val="28"/>
          <w:highlight w:val="none"/>
        </w:rPr>
        <w:t>到港船舶废气。主要污染因子：SO</w:t>
      </w:r>
      <w:r>
        <w:rPr>
          <w:sz w:val="28"/>
          <w:szCs w:val="28"/>
          <w:highlight w:val="none"/>
          <w:vertAlign w:val="subscript"/>
        </w:rPr>
        <w:t>2</w:t>
      </w:r>
      <w:r>
        <w:rPr>
          <w:sz w:val="28"/>
          <w:szCs w:val="28"/>
          <w:highlight w:val="none"/>
        </w:rPr>
        <w:t>、CO、NO</w:t>
      </w:r>
      <w:r>
        <w:rPr>
          <w:sz w:val="28"/>
          <w:szCs w:val="28"/>
          <w:highlight w:val="none"/>
          <w:vertAlign w:val="subscript"/>
        </w:rPr>
        <w:t>x</w:t>
      </w:r>
      <w:r>
        <w:rPr>
          <w:sz w:val="28"/>
          <w:szCs w:val="28"/>
          <w:highlight w:val="none"/>
        </w:rPr>
        <w:t>、C</w:t>
      </w:r>
      <w:r>
        <w:rPr>
          <w:sz w:val="28"/>
          <w:szCs w:val="28"/>
          <w:highlight w:val="none"/>
          <w:vertAlign w:val="subscript"/>
        </w:rPr>
        <w:t>n</w:t>
      </w:r>
      <w:r>
        <w:rPr>
          <w:sz w:val="28"/>
          <w:szCs w:val="28"/>
          <w:highlight w:val="none"/>
        </w:rPr>
        <w:t>H</w:t>
      </w:r>
      <w:r>
        <w:rPr>
          <w:sz w:val="28"/>
          <w:szCs w:val="28"/>
          <w:highlight w:val="none"/>
          <w:vertAlign w:val="subscript"/>
        </w:rPr>
        <w:t>m</w:t>
      </w:r>
      <w:r>
        <w:rPr>
          <w:sz w:val="28"/>
          <w:szCs w:val="28"/>
          <w:highlight w:val="none"/>
        </w:rPr>
        <w:t>。</w:t>
      </w:r>
    </w:p>
    <w:p>
      <w:pPr>
        <w:spacing w:line="360" w:lineRule="auto"/>
        <w:ind w:firstLine="480"/>
        <w:rPr>
          <w:sz w:val="28"/>
          <w:szCs w:val="28"/>
          <w:highlight w:val="none"/>
        </w:rPr>
      </w:pPr>
      <w:r>
        <w:rPr>
          <w:rFonts w:hint="eastAsia" w:ascii="宋体" w:hAnsi="宋体" w:cs="宋体"/>
          <w:sz w:val="28"/>
          <w:szCs w:val="28"/>
          <w:highlight w:val="none"/>
        </w:rPr>
        <w:t>⑵</w:t>
      </w:r>
      <w:r>
        <w:rPr>
          <w:sz w:val="28"/>
          <w:szCs w:val="28"/>
          <w:highlight w:val="none"/>
        </w:rPr>
        <w:t>港区装卸机械废气、集疏运车辆尾气。主要污染因子：SO</w:t>
      </w:r>
      <w:r>
        <w:rPr>
          <w:sz w:val="28"/>
          <w:szCs w:val="28"/>
          <w:highlight w:val="none"/>
          <w:vertAlign w:val="subscript"/>
        </w:rPr>
        <w:t>2</w:t>
      </w:r>
      <w:r>
        <w:rPr>
          <w:sz w:val="28"/>
          <w:szCs w:val="28"/>
          <w:highlight w:val="none"/>
        </w:rPr>
        <w:t>、CO、NO</w:t>
      </w:r>
      <w:r>
        <w:rPr>
          <w:sz w:val="28"/>
          <w:szCs w:val="28"/>
          <w:highlight w:val="none"/>
          <w:vertAlign w:val="subscript"/>
        </w:rPr>
        <w:t>x</w:t>
      </w:r>
      <w:r>
        <w:rPr>
          <w:sz w:val="28"/>
          <w:szCs w:val="28"/>
          <w:highlight w:val="none"/>
        </w:rPr>
        <w:t>、C</w:t>
      </w:r>
      <w:r>
        <w:rPr>
          <w:sz w:val="28"/>
          <w:szCs w:val="28"/>
          <w:highlight w:val="none"/>
          <w:vertAlign w:val="subscript"/>
        </w:rPr>
        <w:t>n</w:t>
      </w:r>
      <w:r>
        <w:rPr>
          <w:sz w:val="28"/>
          <w:szCs w:val="28"/>
          <w:highlight w:val="none"/>
        </w:rPr>
        <w:t>H</w:t>
      </w:r>
      <w:r>
        <w:rPr>
          <w:sz w:val="28"/>
          <w:szCs w:val="28"/>
          <w:highlight w:val="none"/>
          <w:vertAlign w:val="subscript"/>
        </w:rPr>
        <w:t>m</w:t>
      </w:r>
      <w:r>
        <w:rPr>
          <w:sz w:val="28"/>
          <w:szCs w:val="28"/>
          <w:highlight w:val="none"/>
        </w:rPr>
        <w:t>。</w:t>
      </w:r>
    </w:p>
    <w:p>
      <w:pPr>
        <w:spacing w:line="360" w:lineRule="auto"/>
        <w:ind w:firstLine="480"/>
        <w:rPr>
          <w:sz w:val="28"/>
          <w:szCs w:val="28"/>
          <w:highlight w:val="none"/>
        </w:rPr>
      </w:pPr>
      <w:r>
        <w:rPr>
          <w:rFonts w:hint="eastAsia" w:ascii="宋体" w:hAnsi="宋体" w:cs="宋体"/>
          <w:sz w:val="28"/>
          <w:szCs w:val="28"/>
          <w:highlight w:val="none"/>
        </w:rPr>
        <w:t>⑶</w:t>
      </w:r>
      <w:r>
        <w:rPr>
          <w:sz w:val="28"/>
          <w:szCs w:val="28"/>
          <w:highlight w:val="none"/>
        </w:rPr>
        <w:t>散货（矿建材料、金属矿、煤炭）码头及港区装卸作业起尘、车辆运输扬尘、堆场因风力产生的起尘等。主要污染因子：TSP。</w:t>
      </w:r>
    </w:p>
    <w:p>
      <w:pPr>
        <w:spacing w:line="360" w:lineRule="auto"/>
        <w:ind w:firstLine="480"/>
        <w:rPr>
          <w:sz w:val="28"/>
          <w:szCs w:val="28"/>
          <w:highlight w:val="none"/>
        </w:rPr>
      </w:pPr>
      <w:r>
        <w:rPr>
          <w:rFonts w:hint="eastAsia" w:ascii="宋体" w:hAnsi="宋体" w:cs="宋体"/>
          <w:sz w:val="28"/>
          <w:szCs w:val="28"/>
          <w:highlight w:val="none"/>
        </w:rPr>
        <w:t>⑷</w:t>
      </w:r>
      <w:r>
        <w:rPr>
          <w:sz w:val="28"/>
          <w:szCs w:val="28"/>
          <w:highlight w:val="none"/>
        </w:rPr>
        <w:t>规划未考虑油品、天然气及其制品的运输，因此规划实施后不存在装卸、贮存以及装车过程中释放有害气体的影响。</w:t>
      </w:r>
    </w:p>
    <w:p>
      <w:pPr>
        <w:spacing w:line="360" w:lineRule="auto"/>
        <w:ind w:firstLine="482"/>
        <w:rPr>
          <w:b/>
          <w:bCs/>
          <w:sz w:val="28"/>
          <w:szCs w:val="28"/>
          <w:highlight w:val="none"/>
        </w:rPr>
      </w:pPr>
      <w:r>
        <w:rPr>
          <w:b/>
          <w:bCs/>
          <w:sz w:val="28"/>
          <w:szCs w:val="28"/>
          <w:highlight w:val="none"/>
        </w:rPr>
        <w:t>3、噪声影响源分析</w:t>
      </w:r>
    </w:p>
    <w:p>
      <w:pPr>
        <w:spacing w:line="360" w:lineRule="auto"/>
        <w:ind w:firstLine="480"/>
        <w:rPr>
          <w:sz w:val="28"/>
          <w:szCs w:val="28"/>
          <w:highlight w:val="none"/>
        </w:rPr>
      </w:pPr>
      <w:r>
        <w:rPr>
          <w:rFonts w:hint="eastAsia" w:ascii="宋体" w:hAnsi="宋体" w:cs="宋体"/>
          <w:sz w:val="28"/>
          <w:szCs w:val="28"/>
          <w:highlight w:val="none"/>
        </w:rPr>
        <w:t>⑴</w:t>
      </w:r>
      <w:r>
        <w:rPr>
          <w:sz w:val="28"/>
          <w:szCs w:val="28"/>
          <w:highlight w:val="none"/>
        </w:rPr>
        <w:t>集疏运车辆交通噪声。</w:t>
      </w:r>
    </w:p>
    <w:p>
      <w:pPr>
        <w:spacing w:line="360" w:lineRule="auto"/>
        <w:ind w:firstLine="480"/>
        <w:rPr>
          <w:sz w:val="28"/>
          <w:szCs w:val="28"/>
          <w:highlight w:val="none"/>
        </w:rPr>
      </w:pPr>
      <w:r>
        <w:rPr>
          <w:rFonts w:hint="eastAsia" w:ascii="宋体" w:hAnsi="宋体" w:cs="宋体"/>
          <w:sz w:val="28"/>
          <w:szCs w:val="28"/>
          <w:highlight w:val="none"/>
        </w:rPr>
        <w:t>⑵</w:t>
      </w:r>
      <w:r>
        <w:rPr>
          <w:sz w:val="28"/>
          <w:szCs w:val="28"/>
          <w:highlight w:val="none"/>
        </w:rPr>
        <w:t>散货（矿建材料、非金属矿、煤炭）、件杂、集装箱码头及港区装卸机械噪声。</w:t>
      </w:r>
    </w:p>
    <w:p>
      <w:pPr>
        <w:spacing w:line="360" w:lineRule="auto"/>
        <w:ind w:firstLine="482"/>
        <w:rPr>
          <w:b/>
          <w:bCs/>
          <w:sz w:val="28"/>
          <w:szCs w:val="28"/>
          <w:highlight w:val="none"/>
        </w:rPr>
      </w:pPr>
      <w:r>
        <w:rPr>
          <w:b/>
          <w:bCs/>
          <w:sz w:val="28"/>
          <w:szCs w:val="28"/>
          <w:highlight w:val="none"/>
        </w:rPr>
        <w:t>4、固体废物影响源分析</w:t>
      </w:r>
    </w:p>
    <w:p>
      <w:pPr>
        <w:spacing w:line="360" w:lineRule="auto"/>
        <w:ind w:firstLine="480"/>
        <w:rPr>
          <w:sz w:val="28"/>
          <w:szCs w:val="28"/>
          <w:highlight w:val="none"/>
        </w:rPr>
      </w:pPr>
      <w:r>
        <w:rPr>
          <w:rFonts w:hint="eastAsia" w:ascii="宋体" w:hAnsi="宋体" w:cs="宋体"/>
          <w:sz w:val="28"/>
          <w:szCs w:val="28"/>
          <w:highlight w:val="none"/>
        </w:rPr>
        <w:t>⑴</w:t>
      </w:r>
      <w:r>
        <w:rPr>
          <w:sz w:val="28"/>
          <w:szCs w:val="28"/>
          <w:highlight w:val="none"/>
        </w:rPr>
        <w:t>到港船舶生活垃圾、扫舱垃圾。</w:t>
      </w:r>
    </w:p>
    <w:p>
      <w:pPr>
        <w:spacing w:line="360" w:lineRule="auto"/>
        <w:ind w:firstLine="480"/>
        <w:rPr>
          <w:sz w:val="28"/>
          <w:szCs w:val="28"/>
          <w:highlight w:val="none"/>
        </w:rPr>
      </w:pPr>
      <w:r>
        <w:rPr>
          <w:rFonts w:hint="eastAsia" w:ascii="宋体" w:hAnsi="宋体" w:cs="宋体"/>
          <w:sz w:val="28"/>
          <w:szCs w:val="28"/>
          <w:highlight w:val="none"/>
        </w:rPr>
        <w:t>⑵</w:t>
      </w:r>
      <w:r>
        <w:rPr>
          <w:sz w:val="28"/>
          <w:szCs w:val="28"/>
          <w:highlight w:val="none"/>
        </w:rPr>
        <w:t>港区工作人员生活垃圾。</w:t>
      </w:r>
    </w:p>
    <w:p>
      <w:pPr>
        <w:spacing w:line="360" w:lineRule="auto"/>
        <w:ind w:firstLine="480"/>
        <w:rPr>
          <w:sz w:val="28"/>
          <w:szCs w:val="28"/>
          <w:highlight w:val="none"/>
        </w:rPr>
      </w:pPr>
      <w:r>
        <w:rPr>
          <w:rFonts w:hint="eastAsia" w:ascii="宋体" w:hAnsi="宋体" w:cs="宋体"/>
          <w:sz w:val="28"/>
          <w:szCs w:val="28"/>
          <w:highlight w:val="none"/>
        </w:rPr>
        <w:t>⑶</w:t>
      </w:r>
      <w:r>
        <w:rPr>
          <w:sz w:val="28"/>
          <w:szCs w:val="28"/>
          <w:highlight w:val="none"/>
        </w:rPr>
        <w:t>港区生产垃圾。主要是泥土以及和装卸货种相关的洒落物等。</w:t>
      </w:r>
    </w:p>
    <w:p>
      <w:pPr>
        <w:spacing w:line="360" w:lineRule="auto"/>
        <w:ind w:firstLine="480"/>
        <w:rPr>
          <w:sz w:val="28"/>
          <w:szCs w:val="28"/>
          <w:highlight w:val="none"/>
        </w:rPr>
      </w:pPr>
      <w:r>
        <w:rPr>
          <w:rFonts w:hint="eastAsia" w:ascii="宋体" w:hAnsi="宋体" w:cs="宋体"/>
          <w:sz w:val="28"/>
          <w:szCs w:val="28"/>
          <w:highlight w:val="none"/>
        </w:rPr>
        <w:t>⑷</w:t>
      </w:r>
      <w:r>
        <w:rPr>
          <w:sz w:val="28"/>
          <w:szCs w:val="28"/>
          <w:highlight w:val="none"/>
        </w:rPr>
        <w:t>港区生产垃圾（危险废物）。</w:t>
      </w:r>
    </w:p>
    <w:p>
      <w:pPr>
        <w:spacing w:line="360" w:lineRule="auto"/>
        <w:ind w:firstLine="562" w:firstLineChars="200"/>
        <w:rPr>
          <w:rFonts w:eastAsia="黑体"/>
          <w:b/>
          <w:sz w:val="28"/>
          <w:szCs w:val="28"/>
          <w:highlight w:val="none"/>
        </w:rPr>
      </w:pPr>
      <w:r>
        <w:rPr>
          <w:rFonts w:eastAsia="黑体"/>
          <w:b/>
          <w:sz w:val="28"/>
          <w:szCs w:val="28"/>
          <w:highlight w:val="none"/>
        </w:rPr>
        <w:t>二、港区可能出现的生态变化</w:t>
      </w:r>
    </w:p>
    <w:p>
      <w:pPr>
        <w:spacing w:line="360" w:lineRule="auto"/>
        <w:ind w:firstLine="480"/>
        <w:rPr>
          <w:sz w:val="28"/>
          <w:szCs w:val="28"/>
          <w:highlight w:val="none"/>
        </w:rPr>
      </w:pPr>
      <w:r>
        <w:rPr>
          <w:sz w:val="28"/>
          <w:szCs w:val="28"/>
          <w:highlight w:val="none"/>
        </w:rPr>
        <w:t>随着乐山港新港区的开发，老港区的扩建和改建，港区可能出现的生态变化主要有以下几个方面：</w:t>
      </w:r>
    </w:p>
    <w:p>
      <w:pPr>
        <w:spacing w:line="360" w:lineRule="auto"/>
        <w:ind w:firstLine="480"/>
        <w:rPr>
          <w:sz w:val="28"/>
          <w:szCs w:val="28"/>
          <w:highlight w:val="none"/>
        </w:rPr>
      </w:pPr>
      <w:r>
        <w:rPr>
          <w:sz w:val="28"/>
          <w:szCs w:val="28"/>
          <w:highlight w:val="none"/>
        </w:rPr>
        <w:t>一、港口建筑施工、深水港池、进港航道疏浚等改变了原有地理环境，会对水中生物和水质造成一定程度的污染。</w:t>
      </w:r>
    </w:p>
    <w:p>
      <w:pPr>
        <w:spacing w:line="360" w:lineRule="auto"/>
        <w:ind w:firstLine="480"/>
        <w:rPr>
          <w:sz w:val="28"/>
          <w:szCs w:val="28"/>
          <w:highlight w:val="none"/>
        </w:rPr>
      </w:pPr>
      <w:r>
        <w:rPr>
          <w:sz w:val="28"/>
          <w:szCs w:val="28"/>
          <w:highlight w:val="none"/>
        </w:rPr>
        <w:t>二、新建港区对水域的征用，使水域功能发生改变，水生物种类、数量分布将产生一定程度的变化。</w:t>
      </w:r>
    </w:p>
    <w:p>
      <w:pPr>
        <w:spacing w:line="360" w:lineRule="auto"/>
        <w:ind w:firstLine="480"/>
        <w:rPr>
          <w:sz w:val="28"/>
          <w:szCs w:val="28"/>
          <w:highlight w:val="none"/>
        </w:rPr>
      </w:pPr>
      <w:r>
        <w:rPr>
          <w:sz w:val="28"/>
          <w:szCs w:val="28"/>
          <w:highlight w:val="none"/>
        </w:rPr>
        <w:t>三、由于港口建设，各种工程的实施和陆域的扩大，港区近岸的水文动力条件将发生变化，会对水中生物和水质造成一定程度的影响。</w:t>
      </w:r>
    </w:p>
    <w:p>
      <w:pPr>
        <w:spacing w:line="360" w:lineRule="auto"/>
        <w:ind w:firstLine="480"/>
        <w:rPr>
          <w:sz w:val="28"/>
          <w:szCs w:val="28"/>
          <w:highlight w:val="none"/>
        </w:rPr>
      </w:pPr>
      <w:r>
        <w:rPr>
          <w:sz w:val="28"/>
          <w:szCs w:val="28"/>
          <w:highlight w:val="none"/>
        </w:rPr>
        <w:t>四、进出港运输船舶活动频繁，会对水域内的生态环境造成影响，水质受到一定程度的污染。</w:t>
      </w:r>
    </w:p>
    <w:p>
      <w:pPr>
        <w:spacing w:line="360" w:lineRule="auto"/>
        <w:ind w:firstLine="480"/>
        <w:rPr>
          <w:sz w:val="28"/>
          <w:szCs w:val="28"/>
          <w:highlight w:val="none"/>
        </w:rPr>
      </w:pPr>
      <w:r>
        <w:rPr>
          <w:sz w:val="28"/>
          <w:szCs w:val="28"/>
          <w:highlight w:val="none"/>
        </w:rPr>
        <w:t>五、由于开山取土、占用土地，如不及时进行水土保护，将会对山地植被和陆地生态系统产生不利影响。</w:t>
      </w:r>
    </w:p>
    <w:p>
      <w:pPr>
        <w:spacing w:line="360" w:lineRule="auto"/>
        <w:ind w:firstLine="480"/>
        <w:rPr>
          <w:sz w:val="28"/>
          <w:szCs w:val="28"/>
          <w:highlight w:val="none"/>
        </w:rPr>
      </w:pPr>
      <w:r>
        <w:rPr>
          <w:sz w:val="28"/>
          <w:szCs w:val="28"/>
          <w:highlight w:val="none"/>
        </w:rPr>
        <w:t>六、由于港口营运过程中产生的含油污水（洗舱水、机舱水，刷罐水、机修间污水等），集装箱冲洗水和生活污水，排入水体从而对水域的水质造成一定的污染。</w:t>
      </w:r>
    </w:p>
    <w:p>
      <w:pPr>
        <w:spacing w:line="360" w:lineRule="auto"/>
        <w:ind w:firstLine="480"/>
        <w:rPr>
          <w:sz w:val="28"/>
          <w:szCs w:val="28"/>
          <w:highlight w:val="none"/>
        </w:rPr>
      </w:pPr>
      <w:r>
        <w:rPr>
          <w:sz w:val="28"/>
          <w:szCs w:val="28"/>
          <w:highlight w:val="none"/>
        </w:rPr>
        <w:t>七、散货（煤炭、水泥、矿建材料）、锅炉烟气、油品挥发烃、交通车辆和船舶排出有害气体等从而增大污染负荷，对大气环境造成一定污染，大气质量会有所下降。</w:t>
      </w:r>
    </w:p>
    <w:p>
      <w:pPr>
        <w:spacing w:line="360" w:lineRule="auto"/>
        <w:ind w:firstLine="480"/>
        <w:rPr>
          <w:sz w:val="28"/>
          <w:szCs w:val="28"/>
          <w:highlight w:val="none"/>
        </w:rPr>
      </w:pPr>
      <w:r>
        <w:rPr>
          <w:sz w:val="28"/>
          <w:szCs w:val="28"/>
          <w:highlight w:val="none"/>
        </w:rPr>
        <w:t>八、随着港口发展，人员及车辆来往频繁，乐山市原来的自然生态环境将受到影响，特别是港区附近，将逐步演变为港口城市生态环境，城市景观将发生变化。</w:t>
      </w:r>
    </w:p>
    <w:p>
      <w:pPr>
        <w:spacing w:before="156" w:beforeLines="50" w:after="156" w:afterLines="50" w:line="520" w:lineRule="exact"/>
        <w:jc w:val="center"/>
        <w:outlineLvl w:val="1"/>
        <w:rPr>
          <w:rFonts w:eastAsia="黑体"/>
          <w:b/>
          <w:sz w:val="30"/>
          <w:highlight w:val="none"/>
        </w:rPr>
      </w:pPr>
      <w:bookmarkStart w:id="263" w:name="_Toc67908306"/>
      <w:bookmarkStart w:id="264" w:name="_Toc77781939"/>
      <w:r>
        <w:rPr>
          <w:rFonts w:eastAsia="黑体"/>
          <w:b/>
          <w:sz w:val="30"/>
          <w:highlight w:val="none"/>
        </w:rPr>
        <w:t>第三节环境保护规划</w:t>
      </w:r>
      <w:bookmarkEnd w:id="263"/>
      <w:bookmarkEnd w:id="264"/>
    </w:p>
    <w:p>
      <w:pPr>
        <w:spacing w:line="360" w:lineRule="auto"/>
        <w:ind w:firstLine="562" w:firstLineChars="200"/>
        <w:rPr>
          <w:rFonts w:eastAsia="黑体"/>
          <w:b/>
          <w:sz w:val="28"/>
          <w:szCs w:val="28"/>
          <w:highlight w:val="none"/>
        </w:rPr>
      </w:pPr>
      <w:r>
        <w:rPr>
          <w:rFonts w:eastAsia="黑体"/>
          <w:b/>
          <w:sz w:val="28"/>
          <w:szCs w:val="28"/>
          <w:highlight w:val="none"/>
        </w:rPr>
        <w:t>一、环境目标</w:t>
      </w:r>
    </w:p>
    <w:p>
      <w:pPr>
        <w:spacing w:line="360" w:lineRule="auto"/>
        <w:ind w:firstLine="482"/>
        <w:rPr>
          <w:b/>
          <w:bCs/>
          <w:sz w:val="28"/>
          <w:szCs w:val="28"/>
          <w:highlight w:val="none"/>
        </w:rPr>
      </w:pPr>
      <w:r>
        <w:rPr>
          <w:b/>
          <w:bCs/>
          <w:sz w:val="28"/>
          <w:szCs w:val="28"/>
          <w:highlight w:val="none"/>
        </w:rPr>
        <w:t>1、水环境</w:t>
      </w:r>
    </w:p>
    <w:p>
      <w:pPr>
        <w:spacing w:line="360" w:lineRule="auto"/>
        <w:ind w:firstLine="480"/>
        <w:rPr>
          <w:sz w:val="28"/>
          <w:szCs w:val="28"/>
          <w:highlight w:val="none"/>
        </w:rPr>
      </w:pPr>
      <w:r>
        <w:rPr>
          <w:sz w:val="28"/>
          <w:szCs w:val="28"/>
          <w:highlight w:val="none"/>
        </w:rPr>
        <w:t>规划江段水质保持《地表水环境质量标准》（GB3838）Ⅲ类水质标准，污水实施集中排污，排污口位置满足水环境功能要求，受纳水体局部范围混合区不超过50m；污染物总量排放指标满足乐山市和区域水环境容量要求。饮用水源保护区内禁止一切排污行为和对水源地有影响的旅游、畜禽和水产养殖等活动，确保饮用水源地水质符合国家标准。</w:t>
      </w:r>
    </w:p>
    <w:p>
      <w:pPr>
        <w:spacing w:line="360" w:lineRule="auto"/>
        <w:ind w:firstLine="482"/>
        <w:rPr>
          <w:b/>
          <w:bCs/>
          <w:sz w:val="28"/>
          <w:szCs w:val="28"/>
          <w:highlight w:val="none"/>
        </w:rPr>
      </w:pPr>
      <w:r>
        <w:rPr>
          <w:b/>
          <w:bCs/>
          <w:sz w:val="28"/>
          <w:szCs w:val="28"/>
          <w:highlight w:val="none"/>
        </w:rPr>
        <w:t>2、环境空气</w:t>
      </w:r>
    </w:p>
    <w:p>
      <w:pPr>
        <w:spacing w:line="360" w:lineRule="auto"/>
        <w:ind w:firstLine="480"/>
        <w:rPr>
          <w:sz w:val="28"/>
          <w:szCs w:val="28"/>
          <w:highlight w:val="none"/>
        </w:rPr>
      </w:pPr>
      <w:r>
        <w:rPr>
          <w:sz w:val="28"/>
          <w:szCs w:val="28"/>
          <w:highlight w:val="none"/>
        </w:rPr>
        <w:t>规划区域内环境空气质量达到《环境空气质量标准》（GB3095）二类区；规划区域及卫生防护距离外的集中居民区环境空气质量符合二级标准。</w:t>
      </w:r>
    </w:p>
    <w:p>
      <w:pPr>
        <w:spacing w:line="360" w:lineRule="auto"/>
        <w:ind w:firstLine="482"/>
        <w:rPr>
          <w:b/>
          <w:bCs/>
          <w:sz w:val="28"/>
          <w:szCs w:val="28"/>
          <w:highlight w:val="none"/>
        </w:rPr>
      </w:pPr>
      <w:r>
        <w:rPr>
          <w:b/>
          <w:bCs/>
          <w:sz w:val="28"/>
          <w:szCs w:val="28"/>
          <w:highlight w:val="none"/>
        </w:rPr>
        <w:t>3、声环境</w:t>
      </w:r>
    </w:p>
    <w:p>
      <w:pPr>
        <w:spacing w:line="360" w:lineRule="auto"/>
        <w:ind w:firstLine="480"/>
        <w:rPr>
          <w:sz w:val="28"/>
          <w:szCs w:val="28"/>
          <w:highlight w:val="none"/>
        </w:rPr>
      </w:pPr>
      <w:r>
        <w:rPr>
          <w:sz w:val="28"/>
          <w:szCs w:val="28"/>
          <w:highlight w:val="none"/>
        </w:rPr>
        <w:t>规划区域沿江港区、沿疏港公路两侧45m范围为区域符合《城市区域环境噪声标准》（GB3096）4类区；港界外50m范围为区域环境噪声3类区；其它规划范围周边区域环境噪声2类区，集中居住区的声环境保持2类区。</w:t>
      </w:r>
    </w:p>
    <w:p>
      <w:pPr>
        <w:spacing w:line="360" w:lineRule="auto"/>
        <w:ind w:firstLine="482"/>
        <w:rPr>
          <w:b/>
          <w:bCs/>
          <w:sz w:val="28"/>
          <w:szCs w:val="28"/>
          <w:highlight w:val="none"/>
        </w:rPr>
      </w:pPr>
      <w:r>
        <w:rPr>
          <w:b/>
          <w:bCs/>
          <w:sz w:val="28"/>
          <w:szCs w:val="28"/>
          <w:highlight w:val="none"/>
        </w:rPr>
        <w:t>4、固体废物治理</w:t>
      </w:r>
    </w:p>
    <w:p>
      <w:pPr>
        <w:spacing w:line="360" w:lineRule="auto"/>
        <w:ind w:firstLine="480"/>
        <w:rPr>
          <w:sz w:val="28"/>
          <w:szCs w:val="28"/>
          <w:highlight w:val="none"/>
        </w:rPr>
      </w:pPr>
      <w:r>
        <w:rPr>
          <w:sz w:val="28"/>
          <w:szCs w:val="28"/>
          <w:highlight w:val="none"/>
        </w:rPr>
        <w:t>减量化及资源化，减少污染。</w:t>
      </w:r>
    </w:p>
    <w:p>
      <w:pPr>
        <w:spacing w:line="360" w:lineRule="auto"/>
        <w:ind w:firstLine="482"/>
        <w:rPr>
          <w:b/>
          <w:bCs/>
          <w:sz w:val="28"/>
          <w:szCs w:val="28"/>
          <w:highlight w:val="none"/>
        </w:rPr>
      </w:pPr>
      <w:r>
        <w:rPr>
          <w:b/>
          <w:bCs/>
          <w:sz w:val="28"/>
          <w:szCs w:val="28"/>
          <w:highlight w:val="none"/>
        </w:rPr>
        <w:t>5、自然资源与生态保护</w:t>
      </w:r>
    </w:p>
    <w:p>
      <w:pPr>
        <w:spacing w:line="360" w:lineRule="auto"/>
        <w:ind w:firstLine="480"/>
        <w:rPr>
          <w:sz w:val="28"/>
          <w:szCs w:val="28"/>
          <w:highlight w:val="none"/>
        </w:rPr>
      </w:pPr>
      <w:r>
        <w:rPr>
          <w:sz w:val="28"/>
          <w:szCs w:val="28"/>
          <w:highlight w:val="none"/>
        </w:rPr>
        <w:t>维持陆域生态环境的连续性、完整性，保护规划范围内和周边区域的农业生态，森林生态系统。保护沿江湿地、珍稀水生生物的生境，水系生态系统环境有所好转。</w:t>
      </w:r>
    </w:p>
    <w:p>
      <w:pPr>
        <w:spacing w:line="360" w:lineRule="auto"/>
        <w:ind w:firstLine="482"/>
        <w:rPr>
          <w:b/>
          <w:bCs/>
          <w:sz w:val="28"/>
          <w:szCs w:val="28"/>
          <w:highlight w:val="none"/>
        </w:rPr>
      </w:pPr>
      <w:r>
        <w:rPr>
          <w:b/>
          <w:bCs/>
          <w:sz w:val="28"/>
          <w:szCs w:val="28"/>
          <w:highlight w:val="none"/>
        </w:rPr>
        <w:t>6、生态环境保护与可持续发展能力建设</w:t>
      </w:r>
    </w:p>
    <w:p>
      <w:pPr>
        <w:spacing w:line="360" w:lineRule="auto"/>
        <w:ind w:firstLine="480"/>
        <w:rPr>
          <w:sz w:val="28"/>
          <w:szCs w:val="28"/>
          <w:highlight w:val="none"/>
        </w:rPr>
      </w:pPr>
      <w:r>
        <w:rPr>
          <w:sz w:val="28"/>
          <w:szCs w:val="28"/>
          <w:highlight w:val="none"/>
        </w:rPr>
        <w:t>强化生态环境管理，加强城市生态环境保护与建设。</w:t>
      </w:r>
    </w:p>
    <w:p>
      <w:pPr>
        <w:spacing w:line="360" w:lineRule="auto"/>
        <w:ind w:firstLine="562" w:firstLineChars="200"/>
        <w:rPr>
          <w:rFonts w:eastAsia="黑体"/>
          <w:b/>
          <w:sz w:val="28"/>
          <w:szCs w:val="28"/>
          <w:highlight w:val="none"/>
        </w:rPr>
      </w:pPr>
      <w:r>
        <w:rPr>
          <w:rFonts w:eastAsia="黑体"/>
          <w:b/>
          <w:sz w:val="28"/>
          <w:szCs w:val="28"/>
          <w:highlight w:val="none"/>
        </w:rPr>
        <w:t>二、环境保护规划和治理措施</w:t>
      </w:r>
    </w:p>
    <w:p>
      <w:pPr>
        <w:spacing w:line="360" w:lineRule="auto"/>
        <w:ind w:firstLine="480"/>
        <w:rPr>
          <w:sz w:val="28"/>
          <w:szCs w:val="28"/>
          <w:highlight w:val="none"/>
        </w:rPr>
      </w:pPr>
      <w:r>
        <w:rPr>
          <w:sz w:val="28"/>
          <w:szCs w:val="28"/>
          <w:highlight w:val="none"/>
        </w:rPr>
        <w:t>环境保护及治理是对港口装卸过程中产生的污染源加强控制，通过各种不同的处理方法达到治理的目的。要从总体上全面考虑，根据各港区特点，分轻重缓急，分步到位的原则，对危害较大的污染物应根据技术和经济条件，优先采取可行的措施，然后根据当地的技术和经济条件，再推出其他措施并且不断完善和改造已有措施。</w:t>
      </w:r>
    </w:p>
    <w:p>
      <w:pPr>
        <w:spacing w:line="360" w:lineRule="auto"/>
        <w:ind w:firstLine="482"/>
        <w:rPr>
          <w:b/>
          <w:bCs/>
          <w:sz w:val="28"/>
          <w:szCs w:val="28"/>
          <w:highlight w:val="none"/>
        </w:rPr>
      </w:pPr>
      <w:r>
        <w:rPr>
          <w:b/>
          <w:bCs/>
          <w:sz w:val="28"/>
          <w:szCs w:val="28"/>
          <w:highlight w:val="none"/>
        </w:rPr>
        <w:t>1、港口施工期污染防治措施</w:t>
      </w:r>
    </w:p>
    <w:p>
      <w:pPr>
        <w:spacing w:line="360" w:lineRule="auto"/>
        <w:ind w:firstLine="480"/>
        <w:rPr>
          <w:sz w:val="28"/>
          <w:szCs w:val="28"/>
          <w:highlight w:val="none"/>
        </w:rPr>
      </w:pPr>
      <w:r>
        <w:rPr>
          <w:sz w:val="28"/>
          <w:szCs w:val="28"/>
          <w:highlight w:val="none"/>
        </w:rPr>
        <w:t>爆破工程使用先进技术，实行定向爆破。港口疏浚工程应严格执行在指定的抛泥区抛泥。在抛泥区设置防污膜与投加絮凝剂相结合的办法，最大限度地减少悬浮泥沙流失量。实行复土造地，事后绿化恢复植被，防止水土流失，加强陆域生态环境保护。</w:t>
      </w:r>
    </w:p>
    <w:p>
      <w:pPr>
        <w:spacing w:line="360" w:lineRule="auto"/>
        <w:ind w:firstLine="482"/>
        <w:rPr>
          <w:b/>
          <w:bCs/>
          <w:sz w:val="28"/>
          <w:szCs w:val="28"/>
          <w:highlight w:val="none"/>
        </w:rPr>
      </w:pPr>
      <w:r>
        <w:rPr>
          <w:b/>
          <w:bCs/>
          <w:sz w:val="28"/>
          <w:szCs w:val="28"/>
          <w:highlight w:val="none"/>
        </w:rPr>
        <w:t>2、港区环境保护措施</w:t>
      </w:r>
    </w:p>
    <w:p>
      <w:pPr>
        <w:spacing w:line="360" w:lineRule="auto"/>
        <w:ind w:firstLine="480"/>
        <w:rPr>
          <w:sz w:val="28"/>
          <w:szCs w:val="28"/>
          <w:highlight w:val="none"/>
        </w:rPr>
      </w:pPr>
      <w:r>
        <w:rPr>
          <w:rFonts w:hint="eastAsia" w:ascii="宋体" w:hAnsi="宋体" w:cs="宋体"/>
          <w:sz w:val="28"/>
          <w:szCs w:val="28"/>
          <w:highlight w:val="none"/>
        </w:rPr>
        <w:t>⑴</w:t>
      </w:r>
      <w:r>
        <w:rPr>
          <w:sz w:val="28"/>
          <w:szCs w:val="28"/>
          <w:highlight w:val="none"/>
        </w:rPr>
        <w:t>粉尘防治</w:t>
      </w:r>
    </w:p>
    <w:p>
      <w:pPr>
        <w:spacing w:line="360" w:lineRule="auto"/>
        <w:ind w:firstLine="480"/>
        <w:rPr>
          <w:sz w:val="28"/>
          <w:szCs w:val="28"/>
          <w:highlight w:val="none"/>
        </w:rPr>
      </w:pPr>
      <w:r>
        <w:rPr>
          <w:sz w:val="28"/>
          <w:szCs w:val="28"/>
          <w:highlight w:val="none"/>
        </w:rPr>
        <w:t>煤炭粉尘采用湿式防尘为主，干式除尘为辅的方法。接卸漏斗、皮带机转接处和堆场周围可以采用喷水。皮带机设全封闭廊道或者防尘罩，码头周围可设防风林、防风网或者挡风墙等。</w:t>
      </w:r>
    </w:p>
    <w:p>
      <w:pPr>
        <w:spacing w:line="360" w:lineRule="auto"/>
        <w:ind w:firstLine="480"/>
        <w:rPr>
          <w:sz w:val="28"/>
          <w:szCs w:val="28"/>
          <w:highlight w:val="none"/>
        </w:rPr>
      </w:pPr>
      <w:r>
        <w:rPr>
          <w:sz w:val="28"/>
          <w:szCs w:val="28"/>
          <w:highlight w:val="none"/>
        </w:rPr>
        <w:t>大宗矿建、砂石料等，可根据装卸工艺不同，采用洒水降尘、干式除尘、密封罩等加以控制。</w:t>
      </w:r>
    </w:p>
    <w:p>
      <w:pPr>
        <w:spacing w:line="360" w:lineRule="auto"/>
        <w:ind w:firstLine="480"/>
        <w:rPr>
          <w:sz w:val="28"/>
          <w:szCs w:val="28"/>
          <w:highlight w:val="none"/>
        </w:rPr>
      </w:pPr>
      <w:r>
        <w:rPr>
          <w:sz w:val="28"/>
          <w:szCs w:val="28"/>
          <w:highlight w:val="none"/>
        </w:rPr>
        <w:t>港口配置洒水车、清扫车，及时清扫洒水、消除道路扬尘。在港区四周和道路两旁布设防护林，抑制扬尘，隔音降噪。</w:t>
      </w:r>
    </w:p>
    <w:p>
      <w:pPr>
        <w:spacing w:line="360" w:lineRule="auto"/>
        <w:ind w:firstLine="480"/>
        <w:rPr>
          <w:sz w:val="28"/>
          <w:szCs w:val="28"/>
          <w:highlight w:val="none"/>
        </w:rPr>
      </w:pPr>
      <w:r>
        <w:rPr>
          <w:rFonts w:hint="eastAsia" w:ascii="宋体" w:hAnsi="宋体" w:cs="宋体"/>
          <w:sz w:val="28"/>
          <w:szCs w:val="28"/>
          <w:highlight w:val="none"/>
        </w:rPr>
        <w:t>⑵</w:t>
      </w:r>
      <w:r>
        <w:rPr>
          <w:sz w:val="28"/>
          <w:szCs w:val="28"/>
          <w:highlight w:val="none"/>
        </w:rPr>
        <w:t>港区污水防治</w:t>
      </w:r>
    </w:p>
    <w:p>
      <w:pPr>
        <w:spacing w:line="360" w:lineRule="auto"/>
        <w:ind w:firstLine="480"/>
        <w:rPr>
          <w:sz w:val="28"/>
          <w:szCs w:val="28"/>
          <w:highlight w:val="none"/>
        </w:rPr>
      </w:pPr>
      <w:r>
        <w:rPr>
          <w:sz w:val="28"/>
          <w:szCs w:val="28"/>
          <w:highlight w:val="none"/>
        </w:rPr>
        <w:t>煤污水的防治措施：煤炭堆场冲洗水、煤船压舱水、雨水等含煤污水应收集到煤污水处理站，经沉淀絮凝回收煤泥作燃料，净化后的水循环供煤堆场喷水使用。</w:t>
      </w:r>
    </w:p>
    <w:p>
      <w:pPr>
        <w:spacing w:line="360" w:lineRule="auto"/>
        <w:ind w:firstLine="480"/>
        <w:rPr>
          <w:sz w:val="28"/>
          <w:szCs w:val="28"/>
          <w:highlight w:val="none"/>
        </w:rPr>
      </w:pPr>
      <w:r>
        <w:rPr>
          <w:sz w:val="28"/>
          <w:szCs w:val="28"/>
          <w:highlight w:val="none"/>
        </w:rPr>
        <w:t>集装箱冲洗水：洗箱污水成分复杂多变，目前尚无成熟处理措施，国内多采用溶气式浮选法处理流程。建议具体设计时应研究有关国内外信息资料，有条件的应从国外引进先进的污水处理措施。</w:t>
      </w:r>
    </w:p>
    <w:p>
      <w:pPr>
        <w:spacing w:line="360" w:lineRule="auto"/>
        <w:ind w:firstLine="480"/>
        <w:rPr>
          <w:sz w:val="28"/>
          <w:szCs w:val="28"/>
          <w:highlight w:val="none"/>
        </w:rPr>
      </w:pPr>
      <w:r>
        <w:rPr>
          <w:sz w:val="28"/>
          <w:szCs w:val="28"/>
          <w:highlight w:val="none"/>
        </w:rPr>
        <w:t>船舶污水：新建船舶应安装油水分离器，未安装油水分离器的，应当配置油水接收船等，由港口统一接收处理，进行综合利用。船舶生活污水在港口不能直接排放，集中收集后纳入污水处理厂净化处理。</w:t>
      </w:r>
    </w:p>
    <w:p>
      <w:pPr>
        <w:spacing w:line="360" w:lineRule="auto"/>
        <w:ind w:firstLine="480"/>
        <w:rPr>
          <w:sz w:val="28"/>
          <w:szCs w:val="28"/>
          <w:highlight w:val="none"/>
        </w:rPr>
      </w:pPr>
      <w:r>
        <w:rPr>
          <w:sz w:val="28"/>
          <w:szCs w:val="28"/>
          <w:highlight w:val="none"/>
        </w:rPr>
        <w:t>港区其他生产、生活污水纳入当地城镇污水处理系统。</w:t>
      </w:r>
    </w:p>
    <w:p>
      <w:pPr>
        <w:spacing w:line="360" w:lineRule="auto"/>
        <w:ind w:firstLine="480"/>
        <w:rPr>
          <w:sz w:val="28"/>
          <w:szCs w:val="28"/>
          <w:highlight w:val="none"/>
        </w:rPr>
      </w:pPr>
      <w:r>
        <w:rPr>
          <w:rFonts w:hint="eastAsia" w:ascii="宋体" w:hAnsi="宋体" w:cs="宋体"/>
          <w:sz w:val="28"/>
          <w:szCs w:val="28"/>
          <w:highlight w:val="none"/>
        </w:rPr>
        <w:t>⑶</w:t>
      </w:r>
      <w:r>
        <w:rPr>
          <w:sz w:val="28"/>
          <w:szCs w:val="28"/>
          <w:highlight w:val="none"/>
        </w:rPr>
        <w:t>噪声防治措施</w:t>
      </w:r>
    </w:p>
    <w:p>
      <w:pPr>
        <w:spacing w:line="360" w:lineRule="auto"/>
        <w:ind w:firstLine="480"/>
        <w:rPr>
          <w:sz w:val="28"/>
          <w:szCs w:val="28"/>
          <w:highlight w:val="none"/>
        </w:rPr>
      </w:pPr>
      <w:r>
        <w:rPr>
          <w:sz w:val="28"/>
          <w:szCs w:val="28"/>
          <w:highlight w:val="none"/>
        </w:rPr>
        <w:t>港区应选用低噪声的装卸设备，对高噪声的设备应限制使用，必要时应采取隔声、消声设计及操作人员配备防护用品。对设备要妥善维修和保养，避免由于螺丝松动而带来的震动和附加噪声。</w:t>
      </w:r>
    </w:p>
    <w:p>
      <w:pPr>
        <w:spacing w:line="360" w:lineRule="auto"/>
        <w:ind w:firstLine="480"/>
        <w:rPr>
          <w:sz w:val="28"/>
          <w:szCs w:val="28"/>
          <w:highlight w:val="none"/>
        </w:rPr>
      </w:pPr>
      <w:r>
        <w:rPr>
          <w:rFonts w:hint="eastAsia" w:ascii="宋体" w:hAnsi="宋体" w:cs="宋体"/>
          <w:sz w:val="28"/>
          <w:szCs w:val="28"/>
          <w:highlight w:val="none"/>
        </w:rPr>
        <w:t>⑷</w:t>
      </w:r>
      <w:r>
        <w:rPr>
          <w:sz w:val="28"/>
          <w:szCs w:val="28"/>
          <w:highlight w:val="none"/>
        </w:rPr>
        <w:t>垃圾清运处理措施</w:t>
      </w:r>
    </w:p>
    <w:p>
      <w:pPr>
        <w:spacing w:line="360" w:lineRule="auto"/>
        <w:ind w:firstLine="480"/>
        <w:rPr>
          <w:sz w:val="28"/>
          <w:szCs w:val="28"/>
          <w:highlight w:val="none"/>
        </w:rPr>
      </w:pPr>
      <w:r>
        <w:rPr>
          <w:sz w:val="28"/>
          <w:szCs w:val="28"/>
          <w:highlight w:val="none"/>
        </w:rPr>
        <w:t>作业区应设置垃圾接收站，配备垃圾箱和垃圾接收车及清扫人员，对陆地和船舶垃圾集中清送到垃圾处理站，不得随意向水中倾倒。</w:t>
      </w:r>
    </w:p>
    <w:p>
      <w:pPr>
        <w:spacing w:line="360" w:lineRule="auto"/>
        <w:ind w:firstLine="480"/>
        <w:rPr>
          <w:sz w:val="28"/>
          <w:szCs w:val="28"/>
          <w:highlight w:val="none"/>
        </w:rPr>
      </w:pPr>
      <w:r>
        <w:rPr>
          <w:rFonts w:hint="eastAsia" w:ascii="宋体" w:hAnsi="宋体" w:cs="宋体"/>
          <w:sz w:val="28"/>
          <w:szCs w:val="28"/>
          <w:highlight w:val="none"/>
        </w:rPr>
        <w:t>⑸</w:t>
      </w:r>
      <w:r>
        <w:rPr>
          <w:sz w:val="28"/>
          <w:szCs w:val="28"/>
          <w:highlight w:val="none"/>
        </w:rPr>
        <w:t>开山填河、车辆运土，施工单位应配置洒水车等除尘设备，泄露泥土应设专门人员及时清扫，必要时车辆运土应加防尘罩。</w:t>
      </w:r>
    </w:p>
    <w:p>
      <w:pPr>
        <w:spacing w:line="360" w:lineRule="auto"/>
        <w:ind w:firstLine="480"/>
        <w:rPr>
          <w:sz w:val="28"/>
          <w:szCs w:val="28"/>
          <w:highlight w:val="none"/>
        </w:rPr>
      </w:pPr>
      <w:r>
        <w:rPr>
          <w:rFonts w:hint="eastAsia" w:ascii="宋体" w:hAnsi="宋体" w:cs="宋体"/>
          <w:sz w:val="28"/>
          <w:szCs w:val="28"/>
          <w:highlight w:val="none"/>
        </w:rPr>
        <w:t>⑹</w:t>
      </w:r>
      <w:r>
        <w:rPr>
          <w:sz w:val="28"/>
          <w:szCs w:val="28"/>
          <w:highlight w:val="none"/>
        </w:rPr>
        <w:t>航道挖泥，禁止向水域乱抛，抛泥区应取得有关部门批准。</w:t>
      </w:r>
    </w:p>
    <w:p>
      <w:pPr>
        <w:spacing w:line="360" w:lineRule="auto"/>
        <w:ind w:firstLine="480"/>
        <w:rPr>
          <w:sz w:val="28"/>
          <w:szCs w:val="28"/>
          <w:highlight w:val="none"/>
        </w:rPr>
      </w:pPr>
      <w:r>
        <w:rPr>
          <w:rFonts w:hint="eastAsia" w:ascii="宋体" w:hAnsi="宋体" w:cs="宋体"/>
          <w:sz w:val="28"/>
          <w:szCs w:val="28"/>
          <w:highlight w:val="none"/>
        </w:rPr>
        <w:t>⑺</w:t>
      </w:r>
      <w:r>
        <w:rPr>
          <w:sz w:val="28"/>
          <w:szCs w:val="28"/>
          <w:highlight w:val="none"/>
        </w:rPr>
        <w:t>施工期应注意土壤植被保护，减少危害程度，减少水土流失。</w:t>
      </w:r>
    </w:p>
    <w:p>
      <w:pPr>
        <w:spacing w:line="360" w:lineRule="auto"/>
        <w:ind w:firstLine="480"/>
        <w:rPr>
          <w:sz w:val="28"/>
          <w:szCs w:val="28"/>
          <w:highlight w:val="none"/>
        </w:rPr>
      </w:pPr>
      <w:r>
        <w:rPr>
          <w:rFonts w:hint="eastAsia" w:ascii="宋体" w:hAnsi="宋体" w:cs="宋体"/>
          <w:sz w:val="28"/>
          <w:szCs w:val="28"/>
          <w:highlight w:val="none"/>
        </w:rPr>
        <w:t>⑻</w:t>
      </w:r>
      <w:r>
        <w:rPr>
          <w:sz w:val="28"/>
          <w:szCs w:val="28"/>
          <w:highlight w:val="none"/>
        </w:rPr>
        <w:t>为防止水环境污染，港口应建立船舶油类泄露应急系统，并配置防油栏、吸油毯、化油剂和清油船等必要设施。</w:t>
      </w:r>
    </w:p>
    <w:p>
      <w:pPr>
        <w:spacing w:line="360" w:lineRule="auto"/>
        <w:ind w:firstLine="480"/>
        <w:rPr>
          <w:sz w:val="28"/>
          <w:szCs w:val="28"/>
          <w:highlight w:val="none"/>
        </w:rPr>
      </w:pPr>
      <w:r>
        <w:rPr>
          <w:rFonts w:hint="eastAsia" w:ascii="宋体" w:hAnsi="宋体" w:cs="宋体"/>
          <w:sz w:val="28"/>
          <w:szCs w:val="28"/>
          <w:highlight w:val="none"/>
        </w:rPr>
        <w:t>⑼</w:t>
      </w:r>
      <w:r>
        <w:rPr>
          <w:sz w:val="28"/>
          <w:szCs w:val="28"/>
          <w:highlight w:val="none"/>
        </w:rPr>
        <w:t>水上安全应急措施：预计到2020年，各类船舶进出港艘次数量大大增加，船舶碰撞、搁浅、火灾、溢油、沉没等各种事故均带有突发性、偶然性，来势突然、破坏性强，导致水陆域生态环境严重污染。因此港口必须有相应的救助、打捞、水上安全、防止石油污染的配套应急措施。</w:t>
      </w:r>
    </w:p>
    <w:p>
      <w:pPr>
        <w:spacing w:line="360" w:lineRule="auto"/>
        <w:ind w:firstLine="562" w:firstLineChars="200"/>
        <w:rPr>
          <w:rFonts w:eastAsia="黑体"/>
          <w:b/>
          <w:sz w:val="28"/>
          <w:szCs w:val="28"/>
          <w:highlight w:val="none"/>
        </w:rPr>
      </w:pPr>
      <w:r>
        <w:rPr>
          <w:rFonts w:eastAsia="黑体"/>
          <w:b/>
          <w:sz w:val="28"/>
          <w:szCs w:val="28"/>
          <w:highlight w:val="none"/>
        </w:rPr>
        <w:t>三、强化管理手段</w:t>
      </w:r>
    </w:p>
    <w:p>
      <w:pPr>
        <w:spacing w:line="360" w:lineRule="auto"/>
        <w:ind w:firstLine="480"/>
        <w:rPr>
          <w:sz w:val="28"/>
          <w:szCs w:val="28"/>
          <w:highlight w:val="none"/>
        </w:rPr>
      </w:pPr>
      <w:r>
        <w:rPr>
          <w:sz w:val="28"/>
          <w:szCs w:val="28"/>
          <w:highlight w:val="none"/>
        </w:rPr>
        <w:t>建设初期，就应严格执行国家各项环境法规，评价工程对自然环境的影响范围和程度，进行排污总量控制，采取有效措施和对策，以确保经济效益、社会效益、环境效益的协调发展。</w:t>
      </w:r>
    </w:p>
    <w:p>
      <w:pPr>
        <w:spacing w:line="360" w:lineRule="auto"/>
        <w:ind w:firstLine="480"/>
        <w:rPr>
          <w:sz w:val="28"/>
          <w:szCs w:val="28"/>
          <w:highlight w:val="none"/>
        </w:rPr>
      </w:pPr>
      <w:r>
        <w:rPr>
          <w:sz w:val="28"/>
          <w:szCs w:val="28"/>
          <w:highlight w:val="none"/>
        </w:rPr>
        <w:t>1、提高环境保护意识，进行环保教育，投产前工作人员进行培训上岗，防止跑、冒、滴、漏发生。</w:t>
      </w:r>
    </w:p>
    <w:p>
      <w:pPr>
        <w:spacing w:line="360" w:lineRule="auto"/>
        <w:ind w:firstLine="480"/>
        <w:rPr>
          <w:sz w:val="28"/>
          <w:szCs w:val="28"/>
          <w:highlight w:val="none"/>
        </w:rPr>
      </w:pPr>
      <w:r>
        <w:rPr>
          <w:sz w:val="28"/>
          <w:szCs w:val="28"/>
          <w:highlight w:val="none"/>
        </w:rPr>
        <w:t>2、制订应急计划，各项规章制度，专业泊位及敏感区域执行排污总量控制。</w:t>
      </w:r>
    </w:p>
    <w:p>
      <w:pPr>
        <w:spacing w:line="360" w:lineRule="auto"/>
        <w:ind w:firstLine="480"/>
        <w:rPr>
          <w:sz w:val="28"/>
          <w:szCs w:val="28"/>
          <w:highlight w:val="none"/>
        </w:rPr>
      </w:pPr>
      <w:r>
        <w:rPr>
          <w:sz w:val="28"/>
          <w:szCs w:val="28"/>
          <w:highlight w:val="none"/>
        </w:rPr>
        <w:t>3、设置港区环境监测站，配备必要的仪器设备及化验人员。</w:t>
      </w:r>
    </w:p>
    <w:p>
      <w:pPr>
        <w:spacing w:line="360" w:lineRule="auto"/>
        <w:ind w:firstLine="480"/>
        <w:rPr>
          <w:sz w:val="28"/>
          <w:szCs w:val="28"/>
          <w:highlight w:val="none"/>
        </w:rPr>
      </w:pPr>
      <w:r>
        <w:rPr>
          <w:sz w:val="28"/>
          <w:szCs w:val="28"/>
          <w:highlight w:val="none"/>
        </w:rPr>
        <w:t>4、坚持“以防为主，放治结合”的原则，在工程设计审查、施工验收、营运各环节，最大限度减少物料流失，提高回收资源利用程度。减少污染物排放，对排放有毒废物，必须进行净化处理。</w:t>
      </w:r>
    </w:p>
    <w:p>
      <w:pPr>
        <w:spacing w:line="360" w:lineRule="auto"/>
        <w:ind w:firstLine="480"/>
        <w:rPr>
          <w:sz w:val="28"/>
          <w:szCs w:val="28"/>
          <w:highlight w:val="none"/>
        </w:rPr>
      </w:pPr>
      <w:r>
        <w:rPr>
          <w:sz w:val="28"/>
          <w:szCs w:val="28"/>
          <w:highlight w:val="none"/>
        </w:rPr>
        <w:t>5、坚持“谁污染、谁负责、谁治理”的原则，港口建设必须坚持“三同时”（环境工程与主体工程必须同时设计、同时施工、同时投产）的规定。</w:t>
      </w:r>
    </w:p>
    <w:p>
      <w:pPr>
        <w:spacing w:line="360" w:lineRule="auto"/>
        <w:ind w:firstLine="480"/>
        <w:rPr>
          <w:sz w:val="28"/>
          <w:szCs w:val="28"/>
          <w:highlight w:val="none"/>
        </w:rPr>
      </w:pPr>
      <w:r>
        <w:rPr>
          <w:sz w:val="28"/>
          <w:szCs w:val="28"/>
          <w:highlight w:val="none"/>
        </w:rPr>
        <w:t>6、工程设计，必须坚持从规划选址、立项、平面布置、工艺流程、主要设备等方面考虑环境保护的内容，否则不予立项、审查和验收投产。</w:t>
      </w:r>
    </w:p>
    <w:p>
      <w:pPr>
        <w:spacing w:before="156" w:beforeLines="50" w:after="156" w:afterLines="50" w:line="520" w:lineRule="exact"/>
        <w:jc w:val="center"/>
        <w:outlineLvl w:val="1"/>
        <w:rPr>
          <w:rFonts w:eastAsia="黑体"/>
          <w:b/>
          <w:sz w:val="30"/>
          <w:highlight w:val="none"/>
        </w:rPr>
      </w:pPr>
      <w:bookmarkStart w:id="265" w:name="_Toc77781940"/>
      <w:bookmarkStart w:id="266" w:name="_Toc67908307"/>
      <w:r>
        <w:rPr>
          <w:rFonts w:eastAsia="黑体"/>
          <w:b/>
          <w:sz w:val="30"/>
          <w:highlight w:val="none"/>
        </w:rPr>
        <w:t>第四节环境影响评价</w:t>
      </w:r>
      <w:bookmarkEnd w:id="265"/>
      <w:bookmarkEnd w:id="266"/>
    </w:p>
    <w:p>
      <w:pPr>
        <w:spacing w:line="360" w:lineRule="auto"/>
        <w:ind w:firstLine="562" w:firstLineChars="200"/>
        <w:rPr>
          <w:rFonts w:eastAsia="黑体"/>
          <w:b/>
          <w:sz w:val="28"/>
          <w:szCs w:val="28"/>
          <w:highlight w:val="none"/>
        </w:rPr>
      </w:pPr>
      <w:r>
        <w:rPr>
          <w:rFonts w:eastAsia="黑体"/>
          <w:b/>
          <w:sz w:val="28"/>
          <w:szCs w:val="28"/>
          <w:highlight w:val="none"/>
        </w:rPr>
        <w:t>一、规划的环境效益</w:t>
      </w:r>
    </w:p>
    <w:p>
      <w:pPr>
        <w:pStyle w:val="9"/>
        <w:ind w:firstLine="480"/>
        <w:rPr>
          <w:szCs w:val="28"/>
          <w:highlight w:val="none"/>
        </w:rPr>
      </w:pPr>
      <w:r>
        <w:rPr>
          <w:szCs w:val="28"/>
          <w:highlight w:val="none"/>
        </w:rPr>
        <w:t>随着乐山市及其周边地区经济的不断发展，区域货物运输量将会逐步增加。本规划的实施，将会带来一定的环境效益。</w:t>
      </w:r>
    </w:p>
    <w:p>
      <w:pPr>
        <w:spacing w:line="360" w:lineRule="auto"/>
        <w:ind w:firstLine="480"/>
        <w:rPr>
          <w:sz w:val="28"/>
          <w:szCs w:val="28"/>
          <w:highlight w:val="none"/>
        </w:rPr>
      </w:pPr>
      <w:r>
        <w:rPr>
          <w:sz w:val="28"/>
          <w:szCs w:val="28"/>
          <w:highlight w:val="none"/>
        </w:rPr>
        <w:t>1、减少铁路和公路运输负荷。由于水道运输成本低廉，大宗货物采用水运势必降低运输成本，避免社会资源及能源浪费。避免建设同等运输规模的铁路和公路需要占用大量的土地，减少对生态环境的影响。</w:t>
      </w:r>
    </w:p>
    <w:p>
      <w:pPr>
        <w:spacing w:line="360" w:lineRule="auto"/>
        <w:ind w:firstLine="480"/>
        <w:rPr>
          <w:sz w:val="28"/>
          <w:szCs w:val="28"/>
          <w:highlight w:val="none"/>
        </w:rPr>
      </w:pPr>
      <w:r>
        <w:rPr>
          <w:sz w:val="28"/>
          <w:szCs w:val="28"/>
          <w:highlight w:val="none"/>
        </w:rPr>
        <w:t>2、水运和陆运的平均耗油量分别为0.372kg/t.100km和1.125kg/t.100km。采用水上运输，将降低能源消耗，减少能源造成的污染物排放量。</w:t>
      </w:r>
    </w:p>
    <w:p>
      <w:pPr>
        <w:spacing w:line="360" w:lineRule="auto"/>
        <w:ind w:firstLine="480"/>
        <w:rPr>
          <w:sz w:val="28"/>
          <w:szCs w:val="28"/>
          <w:highlight w:val="none"/>
        </w:rPr>
      </w:pPr>
      <w:r>
        <w:rPr>
          <w:sz w:val="28"/>
          <w:szCs w:val="28"/>
          <w:highlight w:val="none"/>
        </w:rPr>
        <w:t>3、目前货运码头布局分散，码头作业结构形式简单，对城市饮用水供水水源安全构成潜在威胁。实施规划，可以降低事故风险的环境影响。</w:t>
      </w:r>
    </w:p>
    <w:p>
      <w:pPr>
        <w:spacing w:line="360" w:lineRule="auto"/>
        <w:ind w:firstLine="480"/>
        <w:rPr>
          <w:sz w:val="28"/>
          <w:szCs w:val="28"/>
          <w:highlight w:val="none"/>
        </w:rPr>
      </w:pPr>
      <w:r>
        <w:rPr>
          <w:sz w:val="28"/>
          <w:szCs w:val="28"/>
          <w:highlight w:val="none"/>
        </w:rPr>
        <w:t>4、规划港口岸线和新建作业区的规划建设，将使岸线资源的利用趋于科学合理，先进的生产工艺的采用和规模化作业区的建设，原来简陋的小型码头将逐步被淘汰，更有利于清洁生产、节能和岸线资源的合理配置。</w:t>
      </w:r>
    </w:p>
    <w:p>
      <w:pPr>
        <w:spacing w:line="360" w:lineRule="auto"/>
        <w:ind w:firstLine="562" w:firstLineChars="200"/>
        <w:rPr>
          <w:rFonts w:eastAsia="黑体"/>
          <w:b/>
          <w:sz w:val="28"/>
          <w:szCs w:val="28"/>
          <w:highlight w:val="none"/>
        </w:rPr>
      </w:pPr>
      <w:r>
        <w:rPr>
          <w:rFonts w:eastAsia="黑体"/>
          <w:b/>
          <w:sz w:val="28"/>
          <w:szCs w:val="28"/>
          <w:highlight w:val="none"/>
        </w:rPr>
        <w:t>二、水环境</w:t>
      </w:r>
    </w:p>
    <w:p>
      <w:pPr>
        <w:spacing w:line="360" w:lineRule="auto"/>
        <w:ind w:firstLine="480"/>
        <w:rPr>
          <w:sz w:val="28"/>
          <w:szCs w:val="28"/>
          <w:highlight w:val="none"/>
        </w:rPr>
      </w:pPr>
      <w:r>
        <w:rPr>
          <w:sz w:val="28"/>
          <w:szCs w:val="28"/>
          <w:highlight w:val="none"/>
        </w:rPr>
        <w:t>1、规划实施后产生的污水主要有船舶生活污水、船舶舱底油污水、港区生活污水、港区生产废水等。港区陆域生产和生活污水经收集处理达标后排放；规划基本不涉及化工、石油等危险品运输，因而污水成分简单，处理相对容易，可保证处理后达标排放。</w:t>
      </w:r>
    </w:p>
    <w:p>
      <w:pPr>
        <w:spacing w:line="360" w:lineRule="auto"/>
        <w:ind w:firstLine="480"/>
        <w:rPr>
          <w:sz w:val="28"/>
          <w:szCs w:val="28"/>
          <w:highlight w:val="none"/>
        </w:rPr>
      </w:pPr>
      <w:r>
        <w:rPr>
          <w:sz w:val="28"/>
          <w:szCs w:val="28"/>
          <w:highlight w:val="none"/>
        </w:rPr>
        <w:t>船舶舱底油污水及船舶生活污水全部由码头接收，处理达标后排放。采取必要的污染治理措施后，规划作业区正常作业情况下基本不会造成水污染问题，水环境质量将得以维持甚至有所改善，能够满足水环境功能区划及环境功能控制指标的要求。不会改变作业区所在江段水体的环境功能，水环境质量目标不会因本规划的实施而降低。</w:t>
      </w:r>
    </w:p>
    <w:p>
      <w:pPr>
        <w:spacing w:line="360" w:lineRule="auto"/>
        <w:ind w:firstLine="480"/>
        <w:rPr>
          <w:sz w:val="28"/>
          <w:szCs w:val="28"/>
          <w:highlight w:val="none"/>
        </w:rPr>
      </w:pPr>
      <w:r>
        <w:rPr>
          <w:sz w:val="28"/>
          <w:szCs w:val="28"/>
          <w:highlight w:val="none"/>
        </w:rPr>
        <w:t>2、规划建设的码头及到港船舶将做到“一控双达标”。随着港口规划的逐步实施，规模小、设备简陋、环保设施不健全的码头将逐步被淘汰，取而代之的将是</w:t>
      </w:r>
      <w:r>
        <w:rPr>
          <w:sz w:val="28"/>
          <w:szCs w:val="28"/>
          <w:highlight w:val="none"/>
          <w:lang w:val="zh-CN"/>
        </w:rPr>
        <w:t>清洁生产水平高的先进设备和配套的环保设施及健全的环保制度。规划港区各</w:t>
      </w:r>
      <w:r>
        <w:rPr>
          <w:sz w:val="28"/>
          <w:szCs w:val="28"/>
          <w:highlight w:val="none"/>
        </w:rPr>
        <w:t>作业区港口废水的收集率、处理率和达标排放率均将逐步达到100％。规划港区各作业区能够满足乐山市环境保护</w:t>
      </w:r>
      <w:r>
        <w:rPr>
          <w:rFonts w:hint="eastAsia"/>
          <w:sz w:val="28"/>
          <w:szCs w:val="28"/>
          <w:highlight w:val="none"/>
        </w:rPr>
        <w:t>相关</w:t>
      </w:r>
      <w:r>
        <w:rPr>
          <w:sz w:val="28"/>
          <w:szCs w:val="28"/>
          <w:highlight w:val="none"/>
        </w:rPr>
        <w:t>规划要求。</w:t>
      </w:r>
    </w:p>
    <w:p>
      <w:pPr>
        <w:spacing w:line="360" w:lineRule="auto"/>
        <w:ind w:firstLine="480"/>
        <w:rPr>
          <w:sz w:val="28"/>
          <w:szCs w:val="28"/>
          <w:highlight w:val="none"/>
        </w:rPr>
      </w:pPr>
      <w:r>
        <w:rPr>
          <w:sz w:val="28"/>
          <w:szCs w:val="28"/>
          <w:highlight w:val="none"/>
        </w:rPr>
        <w:t>3、</w:t>
      </w:r>
      <w:r>
        <w:rPr>
          <w:rFonts w:hint="eastAsia"/>
          <w:sz w:val="28"/>
          <w:szCs w:val="28"/>
          <w:highlight w:val="none"/>
        </w:rPr>
        <w:t>采取必要的污染治理措施后，规划的实施能够满足《四川省饮用水水源保护管理条例》《乐山市集中式饮用水水源保护管理条例》中有关规定要求</w:t>
      </w:r>
      <w:r>
        <w:rPr>
          <w:sz w:val="28"/>
          <w:szCs w:val="28"/>
          <w:highlight w:val="none"/>
        </w:rPr>
        <w:t>。对取水口及其水源保护区水质的影响有限。</w:t>
      </w:r>
    </w:p>
    <w:p>
      <w:pPr>
        <w:spacing w:line="360" w:lineRule="auto"/>
        <w:ind w:firstLine="480"/>
        <w:rPr>
          <w:sz w:val="28"/>
          <w:szCs w:val="28"/>
          <w:highlight w:val="none"/>
        </w:rPr>
      </w:pPr>
      <w:r>
        <w:rPr>
          <w:sz w:val="28"/>
          <w:szCs w:val="28"/>
          <w:highlight w:val="none"/>
        </w:rPr>
        <w:t>4、随着本规划的实施，污染物排放总量将有所增加，但增加幅度远小于吞吐量的增加幅度；万</w:t>
      </w:r>
      <w:r>
        <w:rPr>
          <w:rFonts w:hint="eastAsia"/>
          <w:sz w:val="28"/>
          <w:szCs w:val="28"/>
          <w:highlight w:val="none"/>
        </w:rPr>
        <w:t>吨</w:t>
      </w:r>
      <w:r>
        <w:rPr>
          <w:sz w:val="28"/>
          <w:szCs w:val="28"/>
          <w:highlight w:val="none"/>
        </w:rPr>
        <w:t>吞吐量的产污量、耗能量将逐步降低；随着港口中水回用的推广和普及，万</w:t>
      </w:r>
      <w:r>
        <w:rPr>
          <w:rFonts w:hint="eastAsia"/>
          <w:sz w:val="28"/>
          <w:szCs w:val="28"/>
          <w:highlight w:val="none"/>
        </w:rPr>
        <w:t>吨</w:t>
      </w:r>
      <w:r>
        <w:rPr>
          <w:sz w:val="28"/>
          <w:szCs w:val="28"/>
          <w:highlight w:val="none"/>
        </w:rPr>
        <w:t>吞吐量的水耗量也将逐步降低；万元GDP付出的环境代价将会逐步降低。</w:t>
      </w:r>
    </w:p>
    <w:p>
      <w:pPr>
        <w:spacing w:line="360" w:lineRule="auto"/>
        <w:ind w:firstLine="480"/>
        <w:rPr>
          <w:sz w:val="28"/>
          <w:szCs w:val="28"/>
          <w:highlight w:val="none"/>
        </w:rPr>
      </w:pPr>
      <w:r>
        <w:rPr>
          <w:sz w:val="28"/>
          <w:szCs w:val="28"/>
          <w:highlight w:val="none"/>
        </w:rPr>
        <w:t>5、各规划作业区污水中，主要污染因子为COD、SS和石油类等。按作业区处理达标后的污水可以排江考虑，根据预测估算，各作业区污水处理达标后排放的COD，对岷江水环境的影响较小，迭加环境现状值后，可满足Ⅱ类、Ⅲ类水体要求，可满足相应的环境质量标准要求。</w:t>
      </w:r>
    </w:p>
    <w:p>
      <w:pPr>
        <w:spacing w:line="360" w:lineRule="auto"/>
        <w:ind w:firstLine="480"/>
        <w:rPr>
          <w:sz w:val="28"/>
          <w:szCs w:val="28"/>
          <w:highlight w:val="none"/>
        </w:rPr>
      </w:pPr>
      <w:r>
        <w:rPr>
          <w:sz w:val="28"/>
          <w:szCs w:val="28"/>
          <w:highlight w:val="none"/>
        </w:rPr>
        <w:t>综上所述，规划作业区采取必要污水处理措施后，规划的实施不会改变对应江段水体的功能，水环境质量目标不会因本项目的建设而降低。</w:t>
      </w:r>
    </w:p>
    <w:p>
      <w:pPr>
        <w:spacing w:line="360" w:lineRule="auto"/>
        <w:ind w:firstLine="562" w:firstLineChars="200"/>
        <w:rPr>
          <w:rFonts w:eastAsia="黑体"/>
          <w:b/>
          <w:sz w:val="28"/>
          <w:szCs w:val="28"/>
          <w:highlight w:val="none"/>
        </w:rPr>
      </w:pPr>
      <w:r>
        <w:rPr>
          <w:rFonts w:eastAsia="黑体"/>
          <w:b/>
          <w:sz w:val="28"/>
          <w:szCs w:val="28"/>
          <w:highlight w:val="none"/>
        </w:rPr>
        <w:t>三、环境空气</w:t>
      </w:r>
    </w:p>
    <w:p>
      <w:pPr>
        <w:pStyle w:val="9"/>
        <w:ind w:firstLine="480"/>
        <w:rPr>
          <w:szCs w:val="28"/>
          <w:highlight w:val="none"/>
        </w:rPr>
      </w:pPr>
      <w:r>
        <w:rPr>
          <w:szCs w:val="28"/>
          <w:highlight w:val="none"/>
        </w:rPr>
        <w:t>1、目前乐山市港大多数码头的科技含量较低，码头建设和经营主体呈现散、乱、弱、小的特点，港区装卸作业和堆场防尘防污设施的建设投入不足。本规划实施后，乐山港装卸作业的现代化程度将逐步提高，并将配套建设相应的防尘防污设施，万</w:t>
      </w:r>
      <w:r>
        <w:rPr>
          <w:rFonts w:hint="eastAsia"/>
          <w:szCs w:val="28"/>
          <w:highlight w:val="none"/>
        </w:rPr>
        <w:t>吨</w:t>
      </w:r>
      <w:r>
        <w:rPr>
          <w:szCs w:val="28"/>
          <w:highlight w:val="none"/>
        </w:rPr>
        <w:t>吞吐量起尘量、产污量将逐步降低。为保护环境空气，落实达标排放、提高达标排放率提供了基本的保证。</w:t>
      </w:r>
    </w:p>
    <w:p>
      <w:pPr>
        <w:pStyle w:val="9"/>
        <w:ind w:firstLine="480"/>
        <w:rPr>
          <w:szCs w:val="28"/>
          <w:highlight w:val="none"/>
        </w:rPr>
      </w:pPr>
      <w:r>
        <w:rPr>
          <w:szCs w:val="28"/>
          <w:highlight w:val="none"/>
        </w:rPr>
        <w:t>2、本规划实施后，万</w:t>
      </w:r>
      <w:r>
        <w:rPr>
          <w:rFonts w:hint="eastAsia"/>
          <w:szCs w:val="28"/>
          <w:highlight w:val="none"/>
        </w:rPr>
        <w:t>吨</w:t>
      </w:r>
      <w:r>
        <w:rPr>
          <w:szCs w:val="28"/>
          <w:highlight w:val="none"/>
        </w:rPr>
        <w:t>吞吐量耗能量、废气中污染因子的排放量、产污量、装卸储运过程中的粉尘起尘量都将逐步降低。</w:t>
      </w:r>
    </w:p>
    <w:p>
      <w:pPr>
        <w:pStyle w:val="9"/>
        <w:ind w:firstLine="480"/>
        <w:rPr>
          <w:szCs w:val="28"/>
          <w:highlight w:val="none"/>
        </w:rPr>
      </w:pPr>
      <w:r>
        <w:rPr>
          <w:szCs w:val="28"/>
          <w:highlight w:val="none"/>
        </w:rPr>
        <w:t>3、促进到港船舶的大型化，大型船舶每吨每</w:t>
      </w:r>
      <w:r>
        <w:rPr>
          <w:rFonts w:hint="eastAsia"/>
          <w:szCs w:val="28"/>
          <w:highlight w:val="none"/>
        </w:rPr>
        <w:t>公里</w:t>
      </w:r>
      <w:r>
        <w:rPr>
          <w:szCs w:val="28"/>
          <w:highlight w:val="none"/>
        </w:rPr>
        <w:t>的油耗、船舶废气排放量均低于目前的到港船舶；且大型船舶的防污设施也明显好于小型船舶。</w:t>
      </w:r>
    </w:p>
    <w:p>
      <w:pPr>
        <w:pStyle w:val="9"/>
        <w:ind w:firstLine="480"/>
        <w:rPr>
          <w:szCs w:val="28"/>
          <w:highlight w:val="none"/>
        </w:rPr>
      </w:pPr>
      <w:r>
        <w:rPr>
          <w:szCs w:val="28"/>
          <w:highlight w:val="none"/>
        </w:rPr>
        <w:t>4、随着规划的实施，环境空气污染物排放总量将有所增加，但增加幅度远小于吞吐量的增加幅度；万元GDP付出的环境代价将逐步降低。</w:t>
      </w:r>
    </w:p>
    <w:p>
      <w:pPr>
        <w:pStyle w:val="9"/>
        <w:ind w:firstLine="480"/>
        <w:rPr>
          <w:spacing w:val="-6"/>
          <w:szCs w:val="28"/>
          <w:highlight w:val="none"/>
        </w:rPr>
      </w:pPr>
      <w:r>
        <w:rPr>
          <w:szCs w:val="28"/>
          <w:highlight w:val="none"/>
        </w:rPr>
        <w:t>5、规划港口将做到达标排放。规划将逐步淘汰不符合城市总体规划、位于城区的、规模小、污染环境、工艺落后、无环保设施、设备简陋的生产性码头。城区的环境空气质量将会明显改善。</w:t>
      </w:r>
    </w:p>
    <w:p>
      <w:pPr>
        <w:pStyle w:val="9"/>
        <w:ind w:firstLine="480"/>
        <w:rPr>
          <w:szCs w:val="28"/>
          <w:highlight w:val="none"/>
        </w:rPr>
      </w:pPr>
      <w:r>
        <w:rPr>
          <w:szCs w:val="28"/>
          <w:highlight w:val="none"/>
        </w:rPr>
        <w:t>6、采取必要的污染防治措施后，集疏运通道道路扬尘（TSP）可以控制在道路两侧50m范围内。在规划的实施阶段，通过设置卫生防护距离和集疏运通道建设，规划港区产生的环境空气影响能够控制在港区范围内，对居民点的影响将可以降到最低程度，规划各作业区所在区域环境空气质量将得以维持甚至有所改善。规划各作业区能够满足所在区域环境空气功能区划及环境功能控制规划和控制指标的要求。</w:t>
      </w:r>
    </w:p>
    <w:p>
      <w:pPr>
        <w:spacing w:line="360" w:lineRule="auto"/>
        <w:ind w:firstLine="480"/>
        <w:rPr>
          <w:sz w:val="28"/>
          <w:szCs w:val="28"/>
          <w:highlight w:val="none"/>
        </w:rPr>
      </w:pPr>
      <w:r>
        <w:rPr>
          <w:sz w:val="28"/>
          <w:szCs w:val="28"/>
          <w:highlight w:val="none"/>
        </w:rPr>
        <w:t>7、散货码头装卸作业对港界外一定范围内的环境空气质量会造成超标污染影响，采取相应的环保措施后，可以实现区域环境空气质量达标，周围居民区的环境质量100%达标是可以实现的。</w:t>
      </w:r>
    </w:p>
    <w:p>
      <w:pPr>
        <w:spacing w:line="360" w:lineRule="auto"/>
        <w:ind w:firstLine="562" w:firstLineChars="200"/>
        <w:rPr>
          <w:rFonts w:eastAsia="黑体"/>
          <w:b/>
          <w:sz w:val="28"/>
          <w:szCs w:val="28"/>
          <w:highlight w:val="none"/>
        </w:rPr>
      </w:pPr>
      <w:r>
        <w:rPr>
          <w:rFonts w:eastAsia="黑体"/>
          <w:b/>
          <w:sz w:val="28"/>
          <w:szCs w:val="28"/>
          <w:highlight w:val="none"/>
        </w:rPr>
        <w:t>四、声环境</w:t>
      </w:r>
    </w:p>
    <w:p>
      <w:pPr>
        <w:spacing w:line="360" w:lineRule="auto"/>
        <w:ind w:firstLine="480"/>
        <w:rPr>
          <w:sz w:val="28"/>
          <w:szCs w:val="28"/>
          <w:highlight w:val="none"/>
        </w:rPr>
      </w:pPr>
      <w:r>
        <w:rPr>
          <w:sz w:val="28"/>
          <w:szCs w:val="28"/>
          <w:highlight w:val="none"/>
        </w:rPr>
        <w:t>规划实施后，各作业区主要噪声源为疏港公路交通噪声和港区装卸作业机械噪声。</w:t>
      </w:r>
    </w:p>
    <w:p>
      <w:pPr>
        <w:spacing w:line="360" w:lineRule="auto"/>
        <w:ind w:firstLine="482"/>
        <w:rPr>
          <w:sz w:val="28"/>
          <w:szCs w:val="28"/>
          <w:highlight w:val="none"/>
        </w:rPr>
      </w:pPr>
      <w:r>
        <w:rPr>
          <w:sz w:val="28"/>
          <w:szCs w:val="28"/>
          <w:highlight w:val="none"/>
        </w:rPr>
        <w:t>1、通过合理布局，利用厂房、办公辅助设施、围墙等对装卸作业噪声进行屏蔽，或采取设置隔声罩等隔声、吸声措施，规划港口营</w:t>
      </w:r>
      <w:r>
        <w:rPr>
          <w:rFonts w:hint="eastAsia"/>
          <w:sz w:val="28"/>
          <w:szCs w:val="28"/>
          <w:highlight w:val="none"/>
        </w:rPr>
        <w:t>运期场界外装卸作业噪声可满足相应声功能区划的要求</w:t>
      </w:r>
      <w:r>
        <w:rPr>
          <w:sz w:val="28"/>
          <w:szCs w:val="28"/>
          <w:highlight w:val="none"/>
        </w:rPr>
        <w:t>。</w:t>
      </w:r>
    </w:p>
    <w:p>
      <w:pPr>
        <w:spacing w:line="360" w:lineRule="auto"/>
        <w:ind w:firstLine="482"/>
        <w:rPr>
          <w:sz w:val="28"/>
          <w:szCs w:val="28"/>
          <w:highlight w:val="none"/>
        </w:rPr>
      </w:pPr>
      <w:r>
        <w:rPr>
          <w:sz w:val="28"/>
          <w:szCs w:val="28"/>
          <w:highlight w:val="none"/>
        </w:rPr>
        <w:t>2、船舶噪声对规划港口周边陆域环境基本没有噪声污染影响。</w:t>
      </w:r>
    </w:p>
    <w:p>
      <w:pPr>
        <w:spacing w:line="360" w:lineRule="auto"/>
        <w:ind w:firstLine="482"/>
        <w:rPr>
          <w:sz w:val="28"/>
          <w:szCs w:val="28"/>
          <w:highlight w:val="none"/>
        </w:rPr>
      </w:pPr>
      <w:r>
        <w:rPr>
          <w:sz w:val="28"/>
          <w:szCs w:val="28"/>
          <w:highlight w:val="none"/>
        </w:rPr>
        <w:t>3、疏港道路交通噪声对公路两侧的影响与各港区的车流量密切相关。实施噪声卫生防护距离等措施予以控制后，可以保证作业区对周围环境保护目标的影响100％达标。</w:t>
      </w:r>
    </w:p>
    <w:p>
      <w:pPr>
        <w:pStyle w:val="9"/>
        <w:snapToGrid/>
        <w:ind w:firstLine="482"/>
        <w:rPr>
          <w:szCs w:val="28"/>
          <w:highlight w:val="none"/>
        </w:rPr>
      </w:pPr>
      <w:r>
        <w:rPr>
          <w:szCs w:val="28"/>
          <w:highlight w:val="none"/>
        </w:rPr>
        <w:t>4、目前乐山港大多数码头装卸作业设备较为简陋，噪声防护设施的投入不足。随着装卸机械现代化程度的逐步提高，并配套建设相应的噪声防护设施，可保护声环境、提高声环境达标率。</w:t>
      </w:r>
    </w:p>
    <w:p>
      <w:pPr>
        <w:spacing w:line="360" w:lineRule="auto"/>
        <w:ind w:firstLine="482"/>
        <w:rPr>
          <w:spacing w:val="-6"/>
          <w:sz w:val="28"/>
          <w:szCs w:val="28"/>
          <w:highlight w:val="none"/>
        </w:rPr>
      </w:pPr>
      <w:r>
        <w:rPr>
          <w:sz w:val="28"/>
          <w:szCs w:val="28"/>
          <w:highlight w:val="none"/>
        </w:rPr>
        <w:t>5、规划实施后，城区的声环境质量将会明显改善。规划新建作业区通过采取必要的降噪措施并在疏港道路两侧设置交通噪声卫生防护距离，其产生的噪声</w:t>
      </w:r>
      <w:r>
        <w:rPr>
          <w:snapToGrid w:val="0"/>
          <w:kern w:val="0"/>
          <w:sz w:val="28"/>
          <w:szCs w:val="28"/>
          <w:highlight w:val="none"/>
        </w:rPr>
        <w:t>影响能够控制在港区范围内，对居民点的影响可以降到最低程度，</w:t>
      </w:r>
      <w:r>
        <w:rPr>
          <w:sz w:val="28"/>
          <w:szCs w:val="28"/>
          <w:highlight w:val="none"/>
          <w:lang w:val="zh-CN"/>
        </w:rPr>
        <w:t>能够满足所在区域声环境功能区划及环境功能控制规划和控制指标的要求。</w:t>
      </w:r>
    </w:p>
    <w:p>
      <w:pPr>
        <w:spacing w:line="360" w:lineRule="auto"/>
        <w:ind w:firstLine="562" w:firstLineChars="200"/>
        <w:rPr>
          <w:rFonts w:eastAsia="黑体"/>
          <w:b/>
          <w:sz w:val="28"/>
          <w:szCs w:val="28"/>
          <w:highlight w:val="none"/>
        </w:rPr>
      </w:pPr>
      <w:r>
        <w:rPr>
          <w:rFonts w:eastAsia="黑体"/>
          <w:b/>
          <w:sz w:val="28"/>
          <w:szCs w:val="28"/>
          <w:highlight w:val="none"/>
        </w:rPr>
        <w:t>五、固体废物</w:t>
      </w:r>
    </w:p>
    <w:p>
      <w:pPr>
        <w:spacing w:line="360" w:lineRule="auto"/>
        <w:ind w:firstLine="480"/>
        <w:rPr>
          <w:sz w:val="28"/>
          <w:szCs w:val="28"/>
          <w:highlight w:val="none"/>
        </w:rPr>
      </w:pPr>
      <w:r>
        <w:rPr>
          <w:bCs/>
          <w:snapToGrid w:val="0"/>
          <w:kern w:val="0"/>
          <w:sz w:val="28"/>
          <w:szCs w:val="28"/>
          <w:highlight w:val="none"/>
        </w:rPr>
        <w:t>规划港区固体废物包括：</w:t>
      </w:r>
      <w:r>
        <w:rPr>
          <w:sz w:val="28"/>
          <w:szCs w:val="28"/>
          <w:highlight w:val="none"/>
        </w:rPr>
        <w:t>到港船舶生活垃圾、生产垃圾（扫仓和船舶保养产生的废弃物）；港区陆域工作人员生活垃圾、生产垃圾（主要是泥土、包装材料等）等。</w:t>
      </w:r>
    </w:p>
    <w:p>
      <w:pPr>
        <w:spacing w:line="360" w:lineRule="auto"/>
        <w:ind w:firstLine="480"/>
        <w:rPr>
          <w:sz w:val="28"/>
          <w:szCs w:val="28"/>
          <w:highlight w:val="none"/>
        </w:rPr>
      </w:pPr>
      <w:r>
        <w:rPr>
          <w:sz w:val="28"/>
          <w:szCs w:val="28"/>
          <w:highlight w:val="none"/>
        </w:rPr>
        <w:t>乐山港规划期固体废物发生量为2974.97t/a。乐山市工业固体废物排放总量为10.21万t/年。所占比例较小。</w:t>
      </w:r>
    </w:p>
    <w:p>
      <w:pPr>
        <w:spacing w:line="360" w:lineRule="auto"/>
        <w:ind w:firstLine="480"/>
        <w:jc w:val="left"/>
        <w:rPr>
          <w:sz w:val="28"/>
          <w:szCs w:val="28"/>
          <w:highlight w:val="none"/>
        </w:rPr>
      </w:pPr>
      <w:r>
        <w:rPr>
          <w:sz w:val="28"/>
          <w:szCs w:val="28"/>
          <w:highlight w:val="none"/>
        </w:rPr>
        <w:t>总体上，生活、生产固体废物主要以一般生活垃圾和货物废旧包装物、维修废物为主，基本不产生危险工业固体废物，发生量也较少，通过适当的废旧回收利用、城市废物处置中心处理，对当地的固体废物的总体影响不大。</w:t>
      </w:r>
    </w:p>
    <w:p>
      <w:pPr>
        <w:spacing w:line="360" w:lineRule="auto"/>
        <w:ind w:firstLine="480"/>
        <w:jc w:val="left"/>
        <w:rPr>
          <w:sz w:val="28"/>
          <w:szCs w:val="28"/>
          <w:highlight w:val="none"/>
        </w:rPr>
      </w:pPr>
      <w:r>
        <w:rPr>
          <w:sz w:val="28"/>
          <w:szCs w:val="28"/>
          <w:highlight w:val="none"/>
        </w:rPr>
        <w:t>少量危险废物主要以污水处理中含有油泥的污泥为主，仅有微量污染物，可通过焚烧等手段予以处置。道路、堆场周边洒落的散货可全部予以回收利用。</w:t>
      </w:r>
    </w:p>
    <w:p>
      <w:pPr>
        <w:widowControl/>
        <w:ind w:firstLine="560" w:firstLineChars="200"/>
        <w:jc w:val="left"/>
        <w:rPr>
          <w:rFonts w:eastAsia="黑体"/>
          <w:b/>
          <w:sz w:val="32"/>
          <w:szCs w:val="32"/>
          <w:highlight w:val="none"/>
        </w:rPr>
      </w:pPr>
      <w:r>
        <w:rPr>
          <w:sz w:val="28"/>
          <w:szCs w:val="28"/>
          <w:highlight w:val="none"/>
        </w:rPr>
        <w:t>各作业区设垃圾转运站，配备清扫车、垃圾袋（箱）收集港区固体废弃物，由市政垃圾车外运处理。船舶垃圾采用专门垃圾袋或垃圾桶收集、贮存，规划各作业区的码头需接收到港船舶生活垃圾及扫舱垃圾。规划各港区近期和远期固体废弃物处置率100%，无害化处理率100%。</w:t>
      </w:r>
      <w:r>
        <w:rPr>
          <w:rFonts w:eastAsia="黑体"/>
          <w:b/>
          <w:sz w:val="32"/>
          <w:szCs w:val="32"/>
          <w:highlight w:val="none"/>
        </w:rPr>
        <w:br w:type="page"/>
      </w:r>
    </w:p>
    <w:p>
      <w:pPr>
        <w:pStyle w:val="14"/>
        <w:spacing w:before="156" w:beforeLines="50" w:line="520" w:lineRule="exact"/>
        <w:jc w:val="center"/>
        <w:outlineLvl w:val="0"/>
        <w:rPr>
          <w:rFonts w:ascii="Times New Roman" w:hAnsi="Times New Roman" w:eastAsia="黑体" w:cs="Times New Roman"/>
          <w:b/>
          <w:sz w:val="32"/>
          <w:szCs w:val="32"/>
          <w:highlight w:val="none"/>
        </w:rPr>
      </w:pPr>
      <w:bookmarkStart w:id="267" w:name="_Toc77781941"/>
      <w:bookmarkStart w:id="268" w:name="_Toc39688309"/>
      <w:bookmarkStart w:id="269" w:name="_Toc67908308"/>
      <w:r>
        <w:rPr>
          <w:rFonts w:ascii="Times New Roman" w:hAnsi="Times New Roman" w:eastAsia="黑体" w:cs="Times New Roman"/>
          <w:b/>
          <w:sz w:val="32"/>
          <w:szCs w:val="32"/>
          <w:highlight w:val="none"/>
        </w:rPr>
        <w:t>第</w:t>
      </w:r>
      <w:r>
        <w:rPr>
          <w:rFonts w:hint="eastAsia" w:ascii="Times New Roman" w:hAnsi="Times New Roman" w:eastAsia="黑体" w:cs="Times New Roman"/>
          <w:b/>
          <w:sz w:val="32"/>
          <w:szCs w:val="32"/>
          <w:highlight w:val="none"/>
        </w:rPr>
        <w:t>八</w:t>
      </w:r>
      <w:r>
        <w:rPr>
          <w:rFonts w:ascii="Times New Roman" w:hAnsi="Times New Roman" w:eastAsia="黑体" w:cs="Times New Roman"/>
          <w:b/>
          <w:sz w:val="32"/>
          <w:szCs w:val="32"/>
          <w:highlight w:val="none"/>
        </w:rPr>
        <w:t>章 资金需求及实施效果</w:t>
      </w:r>
      <w:bookmarkEnd w:id="267"/>
      <w:bookmarkEnd w:id="268"/>
      <w:bookmarkEnd w:id="269"/>
    </w:p>
    <w:p>
      <w:pPr>
        <w:spacing w:before="156" w:beforeLines="50" w:after="156" w:afterLines="50" w:line="520" w:lineRule="exact"/>
        <w:jc w:val="center"/>
        <w:outlineLvl w:val="1"/>
        <w:rPr>
          <w:rFonts w:eastAsia="黑体"/>
          <w:b/>
          <w:sz w:val="30"/>
          <w:highlight w:val="none"/>
        </w:rPr>
      </w:pPr>
      <w:bookmarkStart w:id="270" w:name="_Toc67908309"/>
      <w:bookmarkStart w:id="271" w:name="_Toc77781942"/>
      <w:r>
        <w:rPr>
          <w:rFonts w:eastAsia="黑体"/>
          <w:b/>
          <w:sz w:val="30"/>
          <w:highlight w:val="none"/>
        </w:rPr>
        <w:t>第一节实施建议</w:t>
      </w:r>
      <w:bookmarkEnd w:id="270"/>
      <w:bookmarkEnd w:id="271"/>
    </w:p>
    <w:p>
      <w:pPr>
        <w:pStyle w:val="14"/>
        <w:spacing w:after="0" w:line="360" w:lineRule="auto"/>
        <w:ind w:firstLine="560" w:firstLineChars="200"/>
        <w:rPr>
          <w:rFonts w:ascii="Times New Roman" w:hAnsi="Times New Roman" w:eastAsia="宋体" w:cs="Times New Roman"/>
          <w:kern w:val="0"/>
          <w:sz w:val="28"/>
          <w:szCs w:val="28"/>
          <w:highlight w:val="none"/>
        </w:rPr>
      </w:pPr>
      <w:r>
        <w:rPr>
          <w:rFonts w:ascii="Times New Roman" w:hAnsi="Times New Roman" w:eastAsia="宋体" w:cs="Times New Roman"/>
          <w:kern w:val="0"/>
          <w:sz w:val="28"/>
          <w:szCs w:val="28"/>
          <w:highlight w:val="none"/>
        </w:rPr>
        <w:t>本次规划立足乐山港腹地产业运输需求，围绕乐山港发展阶段目标，重点针对乐山港口基础设施建设分为2024~2025年</w:t>
      </w:r>
      <w:r>
        <w:rPr>
          <w:rFonts w:hint="eastAsia" w:ascii="Times New Roman" w:hAnsi="Times New Roman" w:eastAsia="宋体" w:cs="Times New Roman"/>
          <w:kern w:val="0"/>
          <w:sz w:val="28"/>
          <w:szCs w:val="28"/>
          <w:highlight w:val="none"/>
        </w:rPr>
        <w:t>、</w:t>
      </w:r>
      <w:r>
        <w:rPr>
          <w:rFonts w:ascii="Times New Roman" w:hAnsi="Times New Roman" w:eastAsia="宋体" w:cs="Times New Roman"/>
          <w:kern w:val="0"/>
          <w:sz w:val="28"/>
          <w:szCs w:val="28"/>
          <w:highlight w:val="none"/>
        </w:rPr>
        <w:t>2026~2035年</w:t>
      </w:r>
      <w:r>
        <w:rPr>
          <w:rFonts w:hint="eastAsia" w:ascii="Times New Roman" w:hAnsi="Times New Roman" w:eastAsia="宋体" w:cs="Times New Roman"/>
          <w:kern w:val="0"/>
          <w:sz w:val="28"/>
          <w:szCs w:val="28"/>
          <w:highlight w:val="none"/>
        </w:rPr>
        <w:t>、2</w:t>
      </w:r>
      <w:r>
        <w:rPr>
          <w:rFonts w:ascii="Times New Roman" w:hAnsi="Times New Roman" w:eastAsia="宋体" w:cs="Times New Roman"/>
          <w:kern w:val="0"/>
          <w:sz w:val="28"/>
          <w:szCs w:val="28"/>
          <w:highlight w:val="none"/>
        </w:rPr>
        <w:t>035</w:t>
      </w:r>
      <w:r>
        <w:rPr>
          <w:rFonts w:hint="eastAsia" w:ascii="Times New Roman" w:hAnsi="Times New Roman" w:eastAsia="宋体" w:cs="Times New Roman"/>
          <w:kern w:val="0"/>
          <w:sz w:val="28"/>
          <w:szCs w:val="28"/>
          <w:highlight w:val="none"/>
        </w:rPr>
        <w:t>年以后三</w:t>
      </w:r>
      <w:r>
        <w:rPr>
          <w:rFonts w:ascii="Times New Roman" w:hAnsi="Times New Roman" w:eastAsia="宋体" w:cs="Times New Roman"/>
          <w:kern w:val="0"/>
          <w:sz w:val="28"/>
          <w:szCs w:val="28"/>
          <w:highlight w:val="none"/>
        </w:rPr>
        <w:t>个阶段予以实施。</w:t>
      </w:r>
    </w:p>
    <w:p>
      <w:pPr>
        <w:pStyle w:val="6"/>
        <w:spacing w:before="0" w:after="0" w:line="360" w:lineRule="auto"/>
        <w:ind w:firstLine="562" w:firstLineChars="200"/>
        <w:rPr>
          <w:rFonts w:ascii="Times New Roman" w:hAnsi="Times New Roman" w:cs="Times New Roman"/>
          <w:highlight w:val="none"/>
        </w:rPr>
      </w:pPr>
      <w:r>
        <w:rPr>
          <w:rFonts w:ascii="Times New Roman" w:hAnsi="Times New Roman" w:cs="Times New Roman"/>
          <w:highlight w:val="none"/>
        </w:rPr>
        <w:t>一、2024~2025年</w:t>
      </w:r>
    </w:p>
    <w:p>
      <w:pPr>
        <w:ind w:firstLine="560" w:firstLineChars="200"/>
        <w:rPr>
          <w:rStyle w:val="80"/>
          <w:highlight w:val="none"/>
        </w:rPr>
      </w:pPr>
      <w:r>
        <w:rPr>
          <w:kern w:val="0"/>
          <w:sz w:val="28"/>
          <w:szCs w:val="28"/>
          <w:highlight w:val="none"/>
        </w:rPr>
        <w:t>2024~2025年是乐山港发展的战略机遇期，也是推进乐山水运跨越式发展的关键时期，要加大投入，通过政策引导、招商引资等方式，积极推进老江坝作业区大件码头</w:t>
      </w:r>
      <w:r>
        <w:rPr>
          <w:rFonts w:hint="eastAsia"/>
          <w:kern w:val="0"/>
          <w:sz w:val="28"/>
          <w:szCs w:val="28"/>
          <w:highlight w:val="none"/>
        </w:rPr>
        <w:t>一期工程、岷江水上应急救援中心一期工程、大佛客运作业区、千佛岩客运作业区、白果散货码头、龙眼坝码头建设，推进</w:t>
      </w:r>
      <w:r>
        <w:rPr>
          <w:kern w:val="0"/>
          <w:sz w:val="28"/>
          <w:szCs w:val="28"/>
          <w:highlight w:val="none"/>
        </w:rPr>
        <w:t>桥沟作业区、高石坝作业区一期工程、罗家坝作业区一期工程</w:t>
      </w:r>
      <w:r>
        <w:rPr>
          <w:rFonts w:hint="eastAsia"/>
          <w:kern w:val="0"/>
          <w:sz w:val="28"/>
          <w:szCs w:val="28"/>
          <w:highlight w:val="none"/>
        </w:rPr>
        <w:t>前期工作</w:t>
      </w:r>
      <w:r>
        <w:rPr>
          <w:kern w:val="0"/>
          <w:sz w:val="28"/>
          <w:szCs w:val="28"/>
          <w:highlight w:val="none"/>
        </w:rPr>
        <w:t>。</w:t>
      </w:r>
    </w:p>
    <w:p>
      <w:pPr>
        <w:pStyle w:val="6"/>
        <w:spacing w:before="0" w:after="0" w:line="360" w:lineRule="auto"/>
        <w:ind w:firstLine="562" w:firstLineChars="200"/>
        <w:rPr>
          <w:rFonts w:ascii="Times New Roman" w:hAnsi="Times New Roman" w:cs="Times New Roman"/>
          <w:highlight w:val="none"/>
        </w:rPr>
      </w:pPr>
      <w:r>
        <w:rPr>
          <w:rFonts w:ascii="Times New Roman" w:hAnsi="Times New Roman" w:cs="Times New Roman"/>
          <w:highlight w:val="none"/>
        </w:rPr>
        <w:t>二、2026~2035年</w:t>
      </w:r>
    </w:p>
    <w:p>
      <w:pPr>
        <w:ind w:firstLine="560" w:firstLineChars="200"/>
        <w:rPr>
          <w:sz w:val="28"/>
          <w:szCs w:val="28"/>
          <w:highlight w:val="none"/>
        </w:rPr>
      </w:pPr>
      <w:r>
        <w:rPr>
          <w:kern w:val="0"/>
          <w:sz w:val="28"/>
          <w:szCs w:val="28"/>
          <w:highlight w:val="none"/>
        </w:rPr>
        <w:t>2026~2035年是乐山港发展的全面提升和完善阶段，要继续加大投入，争取全面实施并建成老江坝作业区大件码头、</w:t>
      </w:r>
      <w:r>
        <w:rPr>
          <w:rFonts w:hint="eastAsia"/>
          <w:kern w:val="0"/>
          <w:sz w:val="28"/>
          <w:szCs w:val="28"/>
          <w:highlight w:val="none"/>
        </w:rPr>
        <w:t>桥沟作业区、</w:t>
      </w:r>
      <w:r>
        <w:rPr>
          <w:kern w:val="0"/>
          <w:sz w:val="28"/>
          <w:szCs w:val="28"/>
          <w:highlight w:val="none"/>
        </w:rPr>
        <w:t>高石坝作业区</w:t>
      </w:r>
      <w:r>
        <w:rPr>
          <w:rFonts w:hint="eastAsia"/>
          <w:kern w:val="0"/>
          <w:sz w:val="28"/>
          <w:szCs w:val="28"/>
          <w:highlight w:val="none"/>
        </w:rPr>
        <w:t>一期工程</w:t>
      </w:r>
      <w:r>
        <w:rPr>
          <w:kern w:val="0"/>
          <w:sz w:val="28"/>
          <w:szCs w:val="28"/>
          <w:highlight w:val="none"/>
        </w:rPr>
        <w:t>、罗家坝作业区</w:t>
      </w:r>
      <w:r>
        <w:rPr>
          <w:rFonts w:hint="eastAsia"/>
          <w:kern w:val="0"/>
          <w:sz w:val="28"/>
          <w:szCs w:val="28"/>
          <w:highlight w:val="none"/>
        </w:rPr>
        <w:t>一期工程、茨竹坪散货码头、代湾码头和老江坝游轮码头一期工程、</w:t>
      </w:r>
      <w:r>
        <w:rPr>
          <w:kern w:val="0"/>
          <w:sz w:val="28"/>
          <w:szCs w:val="28"/>
          <w:highlight w:val="none"/>
        </w:rPr>
        <w:t>龚嘴旅游客运作业区、</w:t>
      </w:r>
      <w:r>
        <w:rPr>
          <w:rFonts w:hint="eastAsia"/>
          <w:kern w:val="0"/>
          <w:sz w:val="28"/>
          <w:szCs w:val="28"/>
          <w:highlight w:val="none"/>
        </w:rPr>
        <w:t>高新区旅游客运码头、五渡作业区等客货运码头</w:t>
      </w:r>
      <w:r>
        <w:rPr>
          <w:kern w:val="0"/>
          <w:sz w:val="28"/>
          <w:szCs w:val="28"/>
          <w:highlight w:val="none"/>
        </w:rPr>
        <w:t>，建成</w:t>
      </w:r>
      <w:r>
        <w:rPr>
          <w:rFonts w:hint="eastAsia"/>
          <w:kern w:val="0"/>
          <w:sz w:val="28"/>
          <w:szCs w:val="28"/>
          <w:highlight w:val="none"/>
        </w:rPr>
        <w:t>岷江水上应急救援中心</w:t>
      </w:r>
      <w:r>
        <w:rPr>
          <w:kern w:val="0"/>
          <w:sz w:val="28"/>
          <w:szCs w:val="28"/>
          <w:highlight w:val="none"/>
        </w:rPr>
        <w:t>、新民水上服务中心等</w:t>
      </w:r>
      <w:r>
        <w:rPr>
          <w:rFonts w:hint="eastAsia"/>
          <w:kern w:val="0"/>
          <w:sz w:val="28"/>
          <w:szCs w:val="28"/>
          <w:highlight w:val="none"/>
        </w:rPr>
        <w:t>锚地及</w:t>
      </w:r>
      <w:r>
        <w:rPr>
          <w:kern w:val="0"/>
          <w:sz w:val="28"/>
          <w:szCs w:val="28"/>
          <w:highlight w:val="none"/>
        </w:rPr>
        <w:t>公共服务区</w:t>
      </w:r>
      <w:r>
        <w:rPr>
          <w:sz w:val="28"/>
          <w:szCs w:val="28"/>
          <w:highlight w:val="none"/>
        </w:rPr>
        <w:t>。</w:t>
      </w:r>
    </w:p>
    <w:p>
      <w:pPr>
        <w:pStyle w:val="6"/>
        <w:spacing w:before="0" w:after="0" w:line="360" w:lineRule="auto"/>
        <w:ind w:firstLine="562" w:firstLineChars="200"/>
        <w:rPr>
          <w:rFonts w:ascii="Times New Roman" w:hAnsi="Times New Roman" w:cs="Times New Roman"/>
          <w:highlight w:val="none"/>
        </w:rPr>
      </w:pPr>
      <w:r>
        <w:rPr>
          <w:rFonts w:ascii="Times New Roman" w:hAnsi="Times New Roman" w:cs="Times New Roman"/>
          <w:highlight w:val="none"/>
        </w:rPr>
        <w:t>二、2035年</w:t>
      </w:r>
      <w:r>
        <w:rPr>
          <w:rFonts w:hint="eastAsia" w:ascii="Times New Roman" w:hAnsi="Times New Roman" w:cs="Times New Roman"/>
          <w:highlight w:val="none"/>
        </w:rPr>
        <w:t>以后</w:t>
      </w:r>
    </w:p>
    <w:p>
      <w:pPr>
        <w:pStyle w:val="2"/>
        <w:ind w:firstLine="560" w:firstLineChars="200"/>
        <w:rPr>
          <w:rFonts w:ascii="Times New Roman" w:cs="Times New Roman"/>
          <w:color w:val="auto"/>
          <w:sz w:val="28"/>
          <w:szCs w:val="28"/>
          <w:highlight w:val="none"/>
        </w:rPr>
      </w:pPr>
      <w:r>
        <w:rPr>
          <w:rFonts w:hint="eastAsia" w:ascii="Times New Roman" w:cs="Times New Roman"/>
          <w:color w:val="auto"/>
          <w:sz w:val="28"/>
          <w:szCs w:val="28"/>
          <w:highlight w:val="none"/>
        </w:rPr>
        <w:t>建设</w:t>
      </w:r>
      <w:r>
        <w:rPr>
          <w:rFonts w:ascii="Times New Roman" w:cs="Times New Roman"/>
          <w:color w:val="auto"/>
          <w:sz w:val="28"/>
          <w:szCs w:val="28"/>
          <w:highlight w:val="none"/>
        </w:rPr>
        <w:t>高石坝作业区</w:t>
      </w:r>
      <w:r>
        <w:rPr>
          <w:rFonts w:hint="eastAsia" w:ascii="Times New Roman" w:cs="Times New Roman"/>
          <w:color w:val="auto"/>
          <w:sz w:val="28"/>
          <w:szCs w:val="28"/>
          <w:highlight w:val="none"/>
        </w:rPr>
        <w:t>二期工程</w:t>
      </w:r>
      <w:r>
        <w:rPr>
          <w:rFonts w:ascii="Times New Roman" w:cs="Times New Roman"/>
          <w:color w:val="auto"/>
          <w:sz w:val="28"/>
          <w:szCs w:val="28"/>
          <w:highlight w:val="none"/>
        </w:rPr>
        <w:t>、罗家坝作业区</w:t>
      </w:r>
      <w:r>
        <w:rPr>
          <w:rFonts w:hint="eastAsia" w:ascii="Times New Roman" w:cs="Times New Roman"/>
          <w:color w:val="auto"/>
          <w:sz w:val="28"/>
          <w:szCs w:val="28"/>
          <w:highlight w:val="none"/>
        </w:rPr>
        <w:t>二期工程和老江坝游轮码头二期工程等客货作业区。</w:t>
      </w:r>
    </w:p>
    <w:p>
      <w:pPr>
        <w:pStyle w:val="2"/>
        <w:ind w:firstLine="560" w:firstLineChars="200"/>
        <w:rPr>
          <w:rFonts w:ascii="Times New Roman" w:cs="Times New Roman"/>
          <w:color w:val="auto"/>
          <w:sz w:val="28"/>
          <w:szCs w:val="28"/>
          <w:highlight w:val="none"/>
        </w:rPr>
      </w:pPr>
      <w:r>
        <w:rPr>
          <w:rFonts w:hint="eastAsia" w:ascii="Times New Roman" w:cs="Times New Roman"/>
          <w:color w:val="auto"/>
          <w:sz w:val="28"/>
          <w:szCs w:val="28"/>
          <w:highlight w:val="none"/>
        </w:rPr>
        <w:t>具体实施建议及安排详见表</w:t>
      </w:r>
      <w:r>
        <w:rPr>
          <w:rFonts w:ascii="Times New Roman" w:cs="Times New Roman"/>
          <w:color w:val="auto"/>
          <w:sz w:val="28"/>
          <w:szCs w:val="28"/>
          <w:highlight w:val="none"/>
        </w:rPr>
        <w:t>8.2-1.</w:t>
      </w:r>
    </w:p>
    <w:p>
      <w:pPr>
        <w:spacing w:before="156" w:beforeLines="50" w:after="156" w:afterLines="50" w:line="520" w:lineRule="exact"/>
        <w:jc w:val="center"/>
        <w:outlineLvl w:val="1"/>
        <w:rPr>
          <w:rFonts w:eastAsia="黑体"/>
          <w:b/>
          <w:sz w:val="30"/>
          <w:highlight w:val="none"/>
        </w:rPr>
      </w:pPr>
      <w:bookmarkStart w:id="272" w:name="_Toc77781943"/>
      <w:bookmarkStart w:id="273" w:name="_Toc67908310"/>
      <w:r>
        <w:rPr>
          <w:rFonts w:eastAsia="黑体"/>
          <w:b/>
          <w:sz w:val="30"/>
          <w:highlight w:val="none"/>
        </w:rPr>
        <w:t>第二节资金需求</w:t>
      </w:r>
      <w:bookmarkEnd w:id="272"/>
      <w:bookmarkEnd w:id="273"/>
    </w:p>
    <w:p>
      <w:pPr>
        <w:spacing w:line="360" w:lineRule="auto"/>
        <w:ind w:firstLine="560" w:firstLineChars="200"/>
        <w:rPr>
          <w:sz w:val="28"/>
          <w:szCs w:val="28"/>
          <w:highlight w:val="none"/>
        </w:rPr>
      </w:pPr>
      <w:r>
        <w:rPr>
          <w:sz w:val="28"/>
          <w:szCs w:val="28"/>
          <w:highlight w:val="none"/>
        </w:rPr>
        <w:t>根据前述港口岸线利用规划、港口总体布置规划、航道规划及梯级枢纽建设情况，分</w:t>
      </w:r>
      <w:r>
        <w:rPr>
          <w:kern w:val="0"/>
          <w:sz w:val="28"/>
          <w:szCs w:val="28"/>
          <w:highlight w:val="none"/>
        </w:rPr>
        <w:t>2024~2025年</w:t>
      </w:r>
      <w:r>
        <w:rPr>
          <w:sz w:val="28"/>
          <w:szCs w:val="28"/>
          <w:highlight w:val="none"/>
        </w:rPr>
        <w:t>、</w:t>
      </w:r>
      <w:r>
        <w:rPr>
          <w:kern w:val="0"/>
          <w:sz w:val="28"/>
          <w:szCs w:val="28"/>
          <w:highlight w:val="none"/>
        </w:rPr>
        <w:t>2026~2035年</w:t>
      </w:r>
      <w:r>
        <w:rPr>
          <w:rFonts w:hint="eastAsia"/>
          <w:kern w:val="0"/>
          <w:sz w:val="28"/>
          <w:szCs w:val="28"/>
          <w:highlight w:val="none"/>
        </w:rPr>
        <w:t>、</w:t>
      </w:r>
      <w:r>
        <w:rPr>
          <w:rFonts w:hint="eastAsia"/>
          <w:sz w:val="28"/>
          <w:szCs w:val="28"/>
          <w:highlight w:val="none"/>
        </w:rPr>
        <w:t>2</w:t>
      </w:r>
      <w:r>
        <w:rPr>
          <w:sz w:val="28"/>
          <w:szCs w:val="28"/>
          <w:highlight w:val="none"/>
        </w:rPr>
        <w:t>035</w:t>
      </w:r>
      <w:r>
        <w:rPr>
          <w:rFonts w:hint="eastAsia"/>
          <w:sz w:val="28"/>
          <w:szCs w:val="28"/>
          <w:highlight w:val="none"/>
        </w:rPr>
        <w:t>年以后</w:t>
      </w:r>
      <w:r>
        <w:rPr>
          <w:sz w:val="28"/>
          <w:szCs w:val="28"/>
          <w:highlight w:val="none"/>
        </w:rPr>
        <w:t>提出乐山港规划的项目库，并参考长江、岷江干流相关港口作业区建设投资，匡算乐山港建设资金需求，即本次规划中所有实施项目总投资匡算为81.74亿元，</w:t>
      </w:r>
      <w:r>
        <w:rPr>
          <w:kern w:val="0"/>
          <w:sz w:val="28"/>
          <w:szCs w:val="28"/>
          <w:highlight w:val="none"/>
        </w:rPr>
        <w:t>2024~2025年</w:t>
      </w:r>
      <w:r>
        <w:rPr>
          <w:sz w:val="28"/>
          <w:szCs w:val="28"/>
          <w:highlight w:val="none"/>
        </w:rPr>
        <w:t>资金需求约7.75亿元，</w:t>
      </w:r>
      <w:r>
        <w:rPr>
          <w:kern w:val="0"/>
          <w:sz w:val="28"/>
          <w:szCs w:val="28"/>
          <w:highlight w:val="none"/>
        </w:rPr>
        <w:t>2026~2035年资金需求</w:t>
      </w:r>
      <w:r>
        <w:rPr>
          <w:rFonts w:hint="eastAsia"/>
          <w:kern w:val="0"/>
          <w:sz w:val="28"/>
          <w:szCs w:val="28"/>
          <w:highlight w:val="none"/>
        </w:rPr>
        <w:t>3</w:t>
      </w:r>
      <w:r>
        <w:rPr>
          <w:kern w:val="0"/>
          <w:sz w:val="28"/>
          <w:szCs w:val="28"/>
          <w:highlight w:val="none"/>
        </w:rPr>
        <w:t>5.99亿元</w:t>
      </w:r>
      <w:r>
        <w:rPr>
          <w:rFonts w:hint="eastAsia"/>
          <w:kern w:val="0"/>
          <w:sz w:val="28"/>
          <w:szCs w:val="28"/>
          <w:highlight w:val="none"/>
        </w:rPr>
        <w:t>,</w:t>
      </w:r>
      <w:r>
        <w:rPr>
          <w:kern w:val="0"/>
          <w:sz w:val="28"/>
          <w:szCs w:val="28"/>
          <w:highlight w:val="none"/>
        </w:rPr>
        <w:t>2035</w:t>
      </w:r>
      <w:r>
        <w:rPr>
          <w:rFonts w:hint="eastAsia"/>
          <w:kern w:val="0"/>
          <w:sz w:val="28"/>
          <w:szCs w:val="28"/>
          <w:highlight w:val="none"/>
        </w:rPr>
        <w:t>年以后资金需求</w:t>
      </w:r>
      <w:r>
        <w:rPr>
          <w:kern w:val="0"/>
          <w:sz w:val="28"/>
          <w:szCs w:val="28"/>
          <w:highlight w:val="none"/>
        </w:rPr>
        <w:t>38</w:t>
      </w:r>
      <w:r>
        <w:rPr>
          <w:rFonts w:hint="eastAsia"/>
          <w:kern w:val="0"/>
          <w:sz w:val="28"/>
          <w:szCs w:val="28"/>
          <w:highlight w:val="none"/>
        </w:rPr>
        <w:t>亿元</w:t>
      </w:r>
      <w:r>
        <w:rPr>
          <w:sz w:val="28"/>
          <w:szCs w:val="28"/>
          <w:highlight w:val="none"/>
        </w:rPr>
        <w:t>。建设项目及投资匡算详见表8.2-1。</w:t>
      </w:r>
    </w:p>
    <w:p>
      <w:pPr>
        <w:spacing w:before="156" w:beforeLines="50" w:after="156" w:afterLines="50" w:line="520" w:lineRule="exact"/>
        <w:jc w:val="center"/>
        <w:outlineLvl w:val="1"/>
        <w:rPr>
          <w:rFonts w:eastAsia="黑体"/>
          <w:b/>
          <w:sz w:val="30"/>
          <w:highlight w:val="none"/>
        </w:rPr>
      </w:pPr>
      <w:bookmarkStart w:id="274" w:name="_Toc77781944"/>
      <w:bookmarkStart w:id="275" w:name="_Toc67908311"/>
      <w:r>
        <w:rPr>
          <w:rFonts w:eastAsia="黑体"/>
          <w:b/>
          <w:sz w:val="30"/>
          <w:highlight w:val="none"/>
        </w:rPr>
        <w:t>第三节效果展望</w:t>
      </w:r>
      <w:bookmarkEnd w:id="274"/>
      <w:bookmarkEnd w:id="275"/>
    </w:p>
    <w:p>
      <w:pPr>
        <w:adjustRightInd w:val="0"/>
        <w:spacing w:line="360" w:lineRule="auto"/>
        <w:ind w:firstLine="562" w:firstLineChars="200"/>
        <w:rPr>
          <w:rFonts w:eastAsiaTheme="minorEastAsia"/>
          <w:sz w:val="28"/>
          <w:szCs w:val="28"/>
          <w:highlight w:val="none"/>
        </w:rPr>
      </w:pPr>
      <w:r>
        <w:rPr>
          <w:rFonts w:eastAsiaTheme="minorEastAsia"/>
          <w:b/>
          <w:sz w:val="28"/>
          <w:szCs w:val="28"/>
          <w:highlight w:val="none"/>
        </w:rPr>
        <w:t>到2025年</w:t>
      </w:r>
      <w:r>
        <w:rPr>
          <w:rFonts w:eastAsiaTheme="minorEastAsia"/>
          <w:sz w:val="28"/>
          <w:szCs w:val="28"/>
          <w:highlight w:val="none"/>
        </w:rPr>
        <w:t>，</w:t>
      </w:r>
      <w:r>
        <w:rPr>
          <w:rFonts w:eastAsiaTheme="minorEastAsia"/>
          <w:bCs/>
          <w:kern w:val="0"/>
          <w:sz w:val="28"/>
          <w:szCs w:val="28"/>
          <w:highlight w:val="none"/>
        </w:rPr>
        <w:t>乐山港</w:t>
      </w:r>
      <w:r>
        <w:rPr>
          <w:rFonts w:hint="eastAsia" w:eastAsiaTheme="minorEastAsia"/>
          <w:bCs/>
          <w:kern w:val="0"/>
          <w:sz w:val="28"/>
          <w:szCs w:val="28"/>
          <w:highlight w:val="none"/>
        </w:rPr>
        <w:t>建设取得突破性进展</w:t>
      </w:r>
      <w:r>
        <w:rPr>
          <w:rFonts w:eastAsiaTheme="minorEastAsia"/>
          <w:sz w:val="28"/>
          <w:szCs w:val="28"/>
          <w:highlight w:val="none"/>
        </w:rPr>
        <w:t>。</w:t>
      </w:r>
      <w:r>
        <w:rPr>
          <w:rFonts w:eastAsiaTheme="minorEastAsia"/>
          <w:b/>
          <w:sz w:val="28"/>
          <w:szCs w:val="28"/>
          <w:highlight w:val="none"/>
        </w:rPr>
        <w:t>港口设施服务能力全面提升：</w:t>
      </w:r>
      <w:r>
        <w:rPr>
          <w:rFonts w:eastAsiaTheme="minorEastAsia"/>
          <w:sz w:val="28"/>
          <w:szCs w:val="28"/>
          <w:highlight w:val="none"/>
        </w:rPr>
        <w:t>岷江（乐山~宜宾）高等级航道基本建成，建成老江坝</w:t>
      </w:r>
      <w:r>
        <w:rPr>
          <w:rFonts w:hint="eastAsia" w:eastAsiaTheme="minorEastAsia"/>
          <w:sz w:val="28"/>
          <w:szCs w:val="28"/>
          <w:highlight w:val="none"/>
        </w:rPr>
        <w:t>作业区大件码头一期工程</w:t>
      </w:r>
      <w:r>
        <w:rPr>
          <w:rFonts w:eastAsiaTheme="minorEastAsia"/>
          <w:sz w:val="28"/>
          <w:szCs w:val="28"/>
          <w:highlight w:val="none"/>
        </w:rPr>
        <w:t>、</w:t>
      </w:r>
      <w:r>
        <w:rPr>
          <w:rFonts w:hint="eastAsia" w:eastAsiaTheme="minorEastAsia"/>
          <w:sz w:val="28"/>
          <w:szCs w:val="28"/>
          <w:highlight w:val="none"/>
        </w:rPr>
        <w:t>大佛客运作业区、千佛岩客运作业区一期工程、岷江水上应急救援中心一期工程等散货码头</w:t>
      </w:r>
      <w:r>
        <w:rPr>
          <w:rFonts w:eastAsiaTheme="minorEastAsia"/>
          <w:sz w:val="28"/>
          <w:szCs w:val="28"/>
          <w:highlight w:val="none"/>
        </w:rPr>
        <w:t>，</w:t>
      </w:r>
      <w:r>
        <w:rPr>
          <w:kern w:val="0"/>
          <w:sz w:val="28"/>
          <w:szCs w:val="28"/>
          <w:highlight w:val="none"/>
        </w:rPr>
        <w:t>建成3个1000吨级货运泊位、9个300吨级货运泊位以及6个客运泊位</w:t>
      </w:r>
      <w:r>
        <w:rPr>
          <w:rFonts w:hint="eastAsia"/>
          <w:kern w:val="0"/>
          <w:sz w:val="28"/>
          <w:szCs w:val="28"/>
          <w:highlight w:val="none"/>
        </w:rPr>
        <w:t>、3个工作船泊位；</w:t>
      </w:r>
      <w:r>
        <w:rPr>
          <w:kern w:val="0"/>
          <w:sz w:val="28"/>
          <w:szCs w:val="28"/>
          <w:highlight w:val="none"/>
        </w:rPr>
        <w:t>新增通过能力</w:t>
      </w:r>
      <w:r>
        <w:rPr>
          <w:rFonts w:hint="eastAsia"/>
          <w:kern w:val="0"/>
          <w:sz w:val="28"/>
          <w:szCs w:val="28"/>
          <w:highlight w:val="none"/>
        </w:rPr>
        <w:t>3</w:t>
      </w:r>
      <w:r>
        <w:rPr>
          <w:kern w:val="0"/>
          <w:sz w:val="28"/>
          <w:szCs w:val="28"/>
          <w:highlight w:val="none"/>
        </w:rPr>
        <w:t>60万t、120万人次</w:t>
      </w:r>
      <w:r>
        <w:rPr>
          <w:rFonts w:eastAsiaTheme="minorEastAsia"/>
          <w:sz w:val="28"/>
          <w:szCs w:val="28"/>
          <w:highlight w:val="none"/>
        </w:rPr>
        <w:t>；</w:t>
      </w:r>
      <w:r>
        <w:rPr>
          <w:rFonts w:eastAsiaTheme="minorEastAsia"/>
          <w:b/>
          <w:sz w:val="28"/>
          <w:szCs w:val="28"/>
          <w:highlight w:val="none"/>
        </w:rPr>
        <w:t>港口辐射能力大为增强</w:t>
      </w:r>
      <w:r>
        <w:rPr>
          <w:rFonts w:eastAsiaTheme="minorEastAsia"/>
          <w:sz w:val="28"/>
          <w:szCs w:val="28"/>
          <w:highlight w:val="none"/>
        </w:rPr>
        <w:t>：建成</w:t>
      </w:r>
      <w:r>
        <w:rPr>
          <w:rFonts w:hint="eastAsia" w:eastAsiaTheme="minorEastAsia"/>
          <w:sz w:val="28"/>
          <w:szCs w:val="28"/>
          <w:highlight w:val="none"/>
        </w:rPr>
        <w:t>省道215线大件码头进港专用公路</w:t>
      </w:r>
      <w:r>
        <w:rPr>
          <w:rFonts w:eastAsiaTheme="minorEastAsia"/>
          <w:sz w:val="28"/>
          <w:szCs w:val="28"/>
          <w:highlight w:val="none"/>
        </w:rPr>
        <w:t>、乐山机场至乐山港公路等港口集疏运道路，乐山市与成都、攀西、川南经济区互联互通水平进一步加强，港口辐射范围覆盖至成都平原经济区、大小凉山地区等乐山港周边地区；</w:t>
      </w:r>
      <w:r>
        <w:rPr>
          <w:rFonts w:eastAsiaTheme="minorEastAsia"/>
          <w:b/>
          <w:sz w:val="28"/>
          <w:szCs w:val="28"/>
          <w:highlight w:val="none"/>
        </w:rPr>
        <w:t>水运与产业实现融合发展：</w:t>
      </w:r>
      <w:r>
        <w:rPr>
          <w:rFonts w:eastAsiaTheme="minorEastAsia"/>
          <w:sz w:val="28"/>
          <w:szCs w:val="28"/>
          <w:highlight w:val="none"/>
        </w:rPr>
        <w:t>游艇游轮经济推动“水运+旅游”新业态发展，港口物流高效发展，临港产业初具规模，成为成都平原经济区产业转移新载体；</w:t>
      </w:r>
      <w:r>
        <w:rPr>
          <w:rFonts w:eastAsiaTheme="minorEastAsia"/>
          <w:b/>
          <w:sz w:val="28"/>
          <w:szCs w:val="28"/>
          <w:highlight w:val="none"/>
        </w:rPr>
        <w:t>促进腹地开发开放</w:t>
      </w:r>
      <w:r>
        <w:rPr>
          <w:rFonts w:eastAsiaTheme="minorEastAsia"/>
          <w:sz w:val="28"/>
          <w:szCs w:val="28"/>
          <w:highlight w:val="none"/>
        </w:rPr>
        <w:t>：初步建成成都平原经济区最近出海口岸，成都平原经济区南向开放水平进一步提升，依托乐山港，乐山市更好地融入成渝地区双城经济圈“成都增长极”。</w:t>
      </w:r>
    </w:p>
    <w:p>
      <w:pPr>
        <w:adjustRightInd w:val="0"/>
        <w:spacing w:line="360" w:lineRule="auto"/>
        <w:ind w:firstLine="562" w:firstLineChars="200"/>
        <w:rPr>
          <w:rFonts w:eastAsiaTheme="minorEastAsia"/>
          <w:sz w:val="28"/>
          <w:szCs w:val="28"/>
          <w:highlight w:val="none"/>
        </w:rPr>
      </w:pPr>
      <w:r>
        <w:rPr>
          <w:rFonts w:eastAsiaTheme="minorEastAsia"/>
          <w:b/>
          <w:sz w:val="28"/>
          <w:szCs w:val="28"/>
          <w:highlight w:val="none"/>
        </w:rPr>
        <w:t>到2035年，</w:t>
      </w:r>
      <w:r>
        <w:rPr>
          <w:bCs/>
          <w:sz w:val="28"/>
          <w:szCs w:val="28"/>
          <w:highlight w:val="none"/>
        </w:rPr>
        <w:t>基本建成“航道干支衔接、港口结构优化、运输优质高效、保障安全有力、行业绿色生态”的内河水运体系，基本</w:t>
      </w:r>
      <w:r>
        <w:rPr>
          <w:sz w:val="28"/>
          <w:szCs w:val="28"/>
          <w:highlight w:val="none"/>
        </w:rPr>
        <w:t>实现“人便于行、货畅其流”，</w:t>
      </w:r>
      <w:r>
        <w:rPr>
          <w:rFonts w:eastAsiaTheme="minorEastAsia"/>
          <w:sz w:val="28"/>
          <w:szCs w:val="28"/>
          <w:highlight w:val="none"/>
        </w:rPr>
        <w:t>全面建成升级为成都港。乐山港规划的重点作业区基本建成，</w:t>
      </w:r>
      <w:r>
        <w:rPr>
          <w:sz w:val="28"/>
          <w:szCs w:val="28"/>
          <w:highlight w:val="none"/>
        </w:rPr>
        <w:t>规划期内新增</w:t>
      </w:r>
      <w:r>
        <w:rPr>
          <w:rFonts w:eastAsiaTheme="minorEastAsia"/>
          <w:sz w:val="28"/>
          <w:szCs w:val="28"/>
          <w:highlight w:val="none"/>
        </w:rPr>
        <w:t>14</w:t>
      </w:r>
      <w:r>
        <w:rPr>
          <w:rFonts w:hint="eastAsia" w:eastAsiaTheme="minorEastAsia"/>
          <w:sz w:val="28"/>
          <w:szCs w:val="28"/>
          <w:highlight w:val="none"/>
        </w:rPr>
        <w:t>个1000吨级货运泊位、4个500吨级货运泊位、</w:t>
      </w:r>
      <w:r>
        <w:rPr>
          <w:rFonts w:eastAsiaTheme="minorEastAsia"/>
          <w:sz w:val="28"/>
          <w:szCs w:val="28"/>
          <w:highlight w:val="none"/>
        </w:rPr>
        <w:t>6</w:t>
      </w:r>
      <w:r>
        <w:rPr>
          <w:rFonts w:hint="eastAsia" w:eastAsiaTheme="minorEastAsia"/>
          <w:sz w:val="28"/>
          <w:szCs w:val="28"/>
          <w:highlight w:val="none"/>
        </w:rPr>
        <w:t>个300吨级货运泊位、</w:t>
      </w:r>
      <w:r>
        <w:rPr>
          <w:rFonts w:eastAsiaTheme="minorEastAsia"/>
          <w:sz w:val="28"/>
          <w:szCs w:val="28"/>
          <w:highlight w:val="none"/>
        </w:rPr>
        <w:t>52</w:t>
      </w:r>
      <w:r>
        <w:rPr>
          <w:rFonts w:hint="eastAsia" w:eastAsiaTheme="minorEastAsia"/>
          <w:sz w:val="28"/>
          <w:szCs w:val="28"/>
          <w:highlight w:val="none"/>
        </w:rPr>
        <w:t>个客运及港航泊位，新增总吞吐能力达到</w:t>
      </w:r>
      <w:r>
        <w:rPr>
          <w:rFonts w:eastAsiaTheme="minorEastAsia"/>
          <w:sz w:val="28"/>
          <w:szCs w:val="28"/>
          <w:highlight w:val="none"/>
        </w:rPr>
        <w:t>1075</w:t>
      </w:r>
      <w:r>
        <w:rPr>
          <w:rFonts w:hint="eastAsia" w:eastAsiaTheme="minorEastAsia"/>
          <w:sz w:val="28"/>
          <w:szCs w:val="28"/>
          <w:highlight w:val="none"/>
        </w:rPr>
        <w:t>万吨、</w:t>
      </w:r>
      <w:r>
        <w:rPr>
          <w:rFonts w:eastAsiaTheme="minorEastAsia"/>
          <w:sz w:val="28"/>
          <w:szCs w:val="28"/>
          <w:highlight w:val="none"/>
        </w:rPr>
        <w:t>820</w:t>
      </w:r>
      <w:r>
        <w:rPr>
          <w:rFonts w:hint="eastAsia" w:eastAsiaTheme="minorEastAsia"/>
          <w:sz w:val="28"/>
          <w:szCs w:val="28"/>
          <w:highlight w:val="none"/>
        </w:rPr>
        <w:t>万人次</w:t>
      </w:r>
      <w:r>
        <w:rPr>
          <w:sz w:val="28"/>
          <w:szCs w:val="28"/>
          <w:highlight w:val="none"/>
        </w:rPr>
        <w:t>，</w:t>
      </w:r>
      <w:r>
        <w:rPr>
          <w:rFonts w:eastAsiaTheme="minorEastAsia"/>
          <w:sz w:val="28"/>
          <w:szCs w:val="28"/>
          <w:highlight w:val="none"/>
        </w:rPr>
        <w:t>形成“</w:t>
      </w:r>
      <w:r>
        <w:rPr>
          <w:rFonts w:hint="eastAsia" w:eastAsiaTheme="minorEastAsia"/>
          <w:sz w:val="28"/>
          <w:szCs w:val="28"/>
          <w:highlight w:val="none"/>
        </w:rPr>
        <w:t>双核两带多点</w:t>
      </w:r>
      <w:r>
        <w:rPr>
          <w:rFonts w:eastAsiaTheme="minorEastAsia"/>
          <w:sz w:val="28"/>
          <w:szCs w:val="28"/>
          <w:highlight w:val="none"/>
        </w:rPr>
        <w:t>”港口布局体系，长江上游港口航线上延至乐山港，港口口岸及保税仓储、现代航运服务功能全面发挥，港口与物流、旅游以及临港产业实现良性互动，成为乐山市经济发展的新引擎，以乐山港为枢纽辐射成都平原经济区、攀西经济区、川南经济区的区域一体的集疏运体系全面建成，建成成都平原经济区航运枢纽。</w:t>
      </w:r>
    </w:p>
    <w:p>
      <w:pPr>
        <w:pStyle w:val="2"/>
        <w:ind w:firstLine="562" w:firstLineChars="200"/>
        <w:rPr>
          <w:rFonts w:ascii="Times New Roman" w:cs="Times New Roman"/>
          <w:color w:val="auto"/>
          <w:sz w:val="28"/>
          <w:szCs w:val="28"/>
          <w:highlight w:val="none"/>
        </w:rPr>
      </w:pPr>
      <w:r>
        <w:rPr>
          <w:rFonts w:ascii="Times New Roman" w:cs="Times New Roman" w:eastAsiaTheme="minorEastAsia"/>
          <w:b/>
          <w:color w:val="auto"/>
          <w:kern w:val="2"/>
          <w:sz w:val="28"/>
          <w:szCs w:val="28"/>
          <w:highlight w:val="none"/>
        </w:rPr>
        <w:t>到2050年，</w:t>
      </w:r>
      <w:r>
        <w:rPr>
          <w:rFonts w:ascii="Times New Roman" w:cs="Times New Roman" w:eastAsiaTheme="minorEastAsia"/>
          <w:color w:val="auto"/>
          <w:kern w:val="2"/>
          <w:sz w:val="28"/>
          <w:szCs w:val="28"/>
          <w:highlight w:val="none"/>
        </w:rPr>
        <w:t>新增15个</w:t>
      </w:r>
      <w:r>
        <w:rPr>
          <w:rFonts w:ascii="Times New Roman" w:cs="Times New Roman"/>
          <w:color w:val="auto"/>
          <w:sz w:val="28"/>
          <w:szCs w:val="28"/>
          <w:highlight w:val="none"/>
        </w:rPr>
        <w:t>1000吨级货运泊位、2个500吨级货运泊位、12个旅游客运泊位，新增总通过能力达到950万t、360万人次，</w:t>
      </w:r>
      <w:r>
        <w:rPr>
          <w:rFonts w:ascii="Times New Roman" w:cs="Times New Roman" w:eastAsiaTheme="minorEastAsia"/>
          <w:color w:val="auto"/>
          <w:kern w:val="2"/>
          <w:sz w:val="28"/>
          <w:szCs w:val="28"/>
          <w:highlight w:val="none"/>
        </w:rPr>
        <w:t>全面建成布局合理、功能完善、高效集约、智慧绿色的港口枢纽，高效衔接铁路、公路等其他运输方式，港产城实现协同发展，建成成都平原</w:t>
      </w:r>
      <w:r>
        <w:rPr>
          <w:rFonts w:hint="eastAsia" w:ascii="Times New Roman" w:cs="Times New Roman" w:eastAsiaTheme="minorEastAsia"/>
          <w:color w:val="auto"/>
          <w:kern w:val="2"/>
          <w:sz w:val="28"/>
          <w:szCs w:val="28"/>
          <w:highlight w:val="none"/>
        </w:rPr>
        <w:t>经济区</w:t>
      </w:r>
      <w:r>
        <w:rPr>
          <w:rFonts w:ascii="Times New Roman" w:cs="Times New Roman" w:eastAsiaTheme="minorEastAsia"/>
          <w:color w:val="auto"/>
          <w:kern w:val="2"/>
          <w:sz w:val="28"/>
          <w:szCs w:val="28"/>
          <w:highlight w:val="none"/>
        </w:rPr>
        <w:t>南向开放口岸，有效服务成都平原经济区，助力乐山建成陆水空天全覆盖的综合交通运输体系，实现乐山水运新华章。</w:t>
      </w:r>
    </w:p>
    <w:p>
      <w:pPr>
        <w:pStyle w:val="2"/>
        <w:spacing w:line="360" w:lineRule="auto"/>
        <w:ind w:firstLine="560" w:firstLineChars="200"/>
        <w:rPr>
          <w:rFonts w:ascii="Times New Roman" w:cs="Times New Roman"/>
          <w:color w:val="auto"/>
          <w:sz w:val="28"/>
          <w:szCs w:val="28"/>
          <w:highlight w:val="none"/>
        </w:rPr>
        <w:sectPr>
          <w:pgSz w:w="11906" w:h="16838"/>
          <w:pgMar w:top="1440" w:right="1800" w:bottom="1440" w:left="1800" w:header="851" w:footer="992" w:gutter="0"/>
          <w:cols w:space="425" w:num="1"/>
          <w:docGrid w:type="lines" w:linePitch="312" w:charSpace="0"/>
        </w:sectPr>
      </w:pPr>
    </w:p>
    <w:p>
      <w:pPr>
        <w:pStyle w:val="14"/>
        <w:spacing w:before="156" w:beforeLines="50" w:line="520" w:lineRule="exact"/>
        <w:jc w:val="center"/>
        <w:outlineLvl w:val="0"/>
        <w:rPr>
          <w:rFonts w:ascii="Times New Roman" w:hAnsi="Times New Roman" w:eastAsia="黑体" w:cs="Times New Roman"/>
          <w:b/>
          <w:sz w:val="32"/>
          <w:szCs w:val="32"/>
          <w:highlight w:val="none"/>
        </w:rPr>
      </w:pPr>
      <w:bookmarkStart w:id="276" w:name="_Toc77781945"/>
      <w:bookmarkStart w:id="277" w:name="_Toc67908312"/>
      <w:bookmarkStart w:id="278" w:name="_Toc39688310"/>
      <w:r>
        <w:rPr>
          <w:rFonts w:ascii="Times New Roman" w:hAnsi="Times New Roman" w:eastAsia="黑体" w:cs="Times New Roman"/>
          <w:b/>
          <w:sz w:val="32"/>
          <w:szCs w:val="32"/>
          <w:highlight w:val="none"/>
        </w:rPr>
        <w:t>第</w:t>
      </w:r>
      <w:r>
        <w:rPr>
          <w:rFonts w:hint="eastAsia" w:ascii="Times New Roman" w:hAnsi="Times New Roman" w:eastAsia="黑体" w:cs="Times New Roman"/>
          <w:b/>
          <w:sz w:val="32"/>
          <w:szCs w:val="32"/>
          <w:highlight w:val="none"/>
        </w:rPr>
        <w:t>九</w:t>
      </w:r>
      <w:r>
        <w:rPr>
          <w:rFonts w:ascii="Times New Roman" w:hAnsi="Times New Roman" w:eastAsia="黑体" w:cs="Times New Roman"/>
          <w:b/>
          <w:sz w:val="32"/>
          <w:szCs w:val="32"/>
          <w:highlight w:val="none"/>
        </w:rPr>
        <w:t>章 港口总体规划与相关规划关系</w:t>
      </w:r>
      <w:bookmarkEnd w:id="276"/>
      <w:bookmarkEnd w:id="277"/>
      <w:bookmarkEnd w:id="278"/>
    </w:p>
    <w:p>
      <w:pPr>
        <w:pStyle w:val="2"/>
        <w:spacing w:line="360" w:lineRule="auto"/>
        <w:ind w:firstLine="562" w:firstLineChars="200"/>
        <w:rPr>
          <w:rFonts w:ascii="Times New Roman" w:eastAsia="黑体" w:cs="Times New Roman"/>
          <w:b/>
          <w:color w:val="auto"/>
          <w:kern w:val="2"/>
          <w:sz w:val="28"/>
          <w:szCs w:val="28"/>
          <w:highlight w:val="none"/>
        </w:rPr>
      </w:pPr>
      <w:r>
        <w:rPr>
          <w:rFonts w:ascii="Times New Roman" w:eastAsia="黑体" w:cs="Times New Roman"/>
          <w:b/>
          <w:color w:val="auto"/>
          <w:kern w:val="2"/>
          <w:sz w:val="28"/>
          <w:szCs w:val="28"/>
          <w:highlight w:val="none"/>
        </w:rPr>
        <w:t>一、与国土空间规划的关系</w:t>
      </w:r>
    </w:p>
    <w:p>
      <w:pPr>
        <w:spacing w:line="360" w:lineRule="auto"/>
        <w:ind w:firstLine="560" w:firstLineChars="200"/>
        <w:rPr>
          <w:sz w:val="28"/>
          <w:szCs w:val="28"/>
          <w:highlight w:val="none"/>
        </w:rPr>
      </w:pPr>
      <w:r>
        <w:rPr>
          <w:sz w:val="28"/>
          <w:szCs w:val="28"/>
          <w:highlight w:val="none"/>
        </w:rPr>
        <w:t>中央全面深化改革委员会第六次会议审议通过的《关于建立国土空间规划体系并监督实施的若干意见》提出将主体功能区规划、土地利用规划、城乡规划等空间规划融合为统一的国土空间规划，实现“多规合一”。空间规划是国家对所辖国土空间资源和布局进行的长远谋划和统筹安排。</w:t>
      </w:r>
    </w:p>
    <w:p>
      <w:pPr>
        <w:spacing w:line="360" w:lineRule="auto"/>
        <w:ind w:firstLine="560" w:firstLineChars="200"/>
        <w:rPr>
          <w:sz w:val="28"/>
          <w:szCs w:val="28"/>
          <w:highlight w:val="none"/>
        </w:rPr>
      </w:pPr>
      <w:r>
        <w:rPr>
          <w:sz w:val="28"/>
          <w:szCs w:val="28"/>
          <w:highlight w:val="none"/>
        </w:rPr>
        <w:t>港口规划属于涉及空间利用的某一领域的专项规划，是对具体国土空间用途和开发建设强度等作出的实施性安排，是开展国土空间开发保护活动、实施国土空间用途管制、进行各项建设等的法定依据。目前乐山市国土空间规划还没有形成正式成果，本次规划重点分析了与乐山市土地利用总体规划、城市总体规划的关系。分析结果表明，此次规划与国土空间管控规划不矛盾，满足地方国土空间规划相关要求。</w:t>
      </w:r>
    </w:p>
    <w:p>
      <w:pPr>
        <w:spacing w:line="360" w:lineRule="auto"/>
        <w:ind w:firstLine="562" w:firstLineChars="200"/>
        <w:rPr>
          <w:rFonts w:eastAsia="黑体"/>
          <w:b/>
          <w:sz w:val="28"/>
          <w:szCs w:val="28"/>
          <w:highlight w:val="none"/>
        </w:rPr>
      </w:pPr>
      <w:r>
        <w:rPr>
          <w:b/>
          <w:sz w:val="28"/>
          <w:szCs w:val="28"/>
          <w:highlight w:val="none"/>
        </w:rPr>
        <w:t>（一）</w:t>
      </w:r>
      <w:r>
        <w:rPr>
          <w:rFonts w:eastAsia="黑体"/>
          <w:b/>
          <w:sz w:val="28"/>
          <w:szCs w:val="28"/>
          <w:highlight w:val="none"/>
        </w:rPr>
        <w:t>与乐山市</w:t>
      </w:r>
      <w:r>
        <w:rPr>
          <w:rFonts w:hint="eastAsia" w:eastAsia="黑体"/>
          <w:b/>
          <w:sz w:val="28"/>
          <w:szCs w:val="28"/>
          <w:highlight w:val="none"/>
        </w:rPr>
        <w:t>国土</w:t>
      </w:r>
      <w:r>
        <w:rPr>
          <w:rFonts w:eastAsia="黑体"/>
          <w:b/>
          <w:sz w:val="28"/>
          <w:szCs w:val="28"/>
          <w:highlight w:val="none"/>
        </w:rPr>
        <w:t>空间规划的关系</w:t>
      </w:r>
    </w:p>
    <w:p>
      <w:pPr>
        <w:spacing w:line="360" w:lineRule="auto"/>
        <w:ind w:firstLine="560" w:firstLineChars="200"/>
        <w:rPr>
          <w:sz w:val="28"/>
          <w:szCs w:val="28"/>
          <w:highlight w:val="none"/>
        </w:rPr>
      </w:pPr>
      <w:r>
        <w:rPr>
          <w:sz w:val="28"/>
          <w:szCs w:val="28"/>
          <w:highlight w:val="none"/>
        </w:rPr>
        <w:t>乐山港总体规划是在乐山市城市总体规划、土地利用总体规划及工业园区布局规划的基础上进行的，内河港口土地利用的特点是占地较少，在码头</w:t>
      </w:r>
      <w:r>
        <w:rPr>
          <w:rFonts w:hint="eastAsia"/>
          <w:sz w:val="28"/>
          <w:szCs w:val="28"/>
          <w:highlight w:val="none"/>
        </w:rPr>
        <w:t>布置</w:t>
      </w:r>
      <w:r>
        <w:rPr>
          <w:sz w:val="28"/>
          <w:szCs w:val="28"/>
          <w:highlight w:val="none"/>
        </w:rPr>
        <w:t>上考虑尽量利用河边滩地及洪水易淹没的河边低地，在港口规划</w:t>
      </w:r>
      <w:r>
        <w:rPr>
          <w:rFonts w:hint="eastAsia"/>
          <w:sz w:val="28"/>
          <w:szCs w:val="28"/>
          <w:highlight w:val="none"/>
        </w:rPr>
        <w:t>时与</w:t>
      </w:r>
      <w:r>
        <w:rPr>
          <w:sz w:val="28"/>
          <w:szCs w:val="28"/>
          <w:highlight w:val="none"/>
        </w:rPr>
        <w:t>土地利用总体规划</w:t>
      </w:r>
      <w:r>
        <w:rPr>
          <w:rFonts w:hint="eastAsia"/>
          <w:sz w:val="28"/>
          <w:szCs w:val="28"/>
          <w:highlight w:val="none"/>
        </w:rPr>
        <w:t>全面对接，</w:t>
      </w:r>
      <w:r>
        <w:rPr>
          <w:sz w:val="28"/>
          <w:szCs w:val="28"/>
          <w:highlight w:val="none"/>
        </w:rPr>
        <w:t>尽量</w:t>
      </w:r>
      <w:r>
        <w:rPr>
          <w:rFonts w:hint="eastAsia"/>
          <w:sz w:val="28"/>
          <w:szCs w:val="28"/>
          <w:highlight w:val="none"/>
        </w:rPr>
        <w:t>避开永久基本农田和耕地布置岸线及码头</w:t>
      </w:r>
      <w:r>
        <w:rPr>
          <w:sz w:val="28"/>
          <w:szCs w:val="28"/>
          <w:highlight w:val="none"/>
        </w:rPr>
        <w:t>。</w:t>
      </w:r>
    </w:p>
    <w:p>
      <w:pPr>
        <w:spacing w:line="360" w:lineRule="auto"/>
        <w:ind w:firstLine="560" w:firstLineChars="200"/>
        <w:rPr>
          <w:sz w:val="28"/>
          <w:szCs w:val="28"/>
          <w:highlight w:val="none"/>
        </w:rPr>
      </w:pPr>
      <w:r>
        <w:rPr>
          <w:sz w:val="28"/>
          <w:szCs w:val="28"/>
          <w:highlight w:val="none"/>
        </w:rPr>
        <w:t>根据现代化的港口发展趋势，港口越来越多的与临港工业、港口物流等产业的发展密切相关。沿江城市的产业布局越来越注重围绕港口的布局开展。因此，港口的用地需求已突破了自身生产所需用地范围，与周边的生产企业、物流企业用地需求密切相关。本次规划本着节约集约利用土地、严格保护耕地的原则，港口陆域控制范围充分结合了乐山市的产业布局规划，有机的结合了港口与产业用地的需求。</w:t>
      </w:r>
    </w:p>
    <w:p>
      <w:pPr>
        <w:spacing w:line="360" w:lineRule="auto"/>
        <w:ind w:firstLine="560" w:firstLineChars="200"/>
        <w:rPr>
          <w:sz w:val="28"/>
          <w:szCs w:val="28"/>
          <w:highlight w:val="none"/>
        </w:rPr>
      </w:pPr>
      <w:r>
        <w:rPr>
          <w:sz w:val="28"/>
          <w:szCs w:val="28"/>
          <w:highlight w:val="none"/>
        </w:rPr>
        <w:t>本规划与乐山市市中区、五通桥区、沙湾区、犍为县、峨边县、夹江县、峨眉山市等区县永久基本农田分布进行对接。</w:t>
      </w:r>
      <w:r>
        <w:rPr>
          <w:rFonts w:hint="eastAsia"/>
          <w:sz w:val="28"/>
          <w:szCs w:val="28"/>
          <w:highlight w:val="none"/>
        </w:rPr>
        <w:t>涉及到</w:t>
      </w:r>
      <w:r>
        <w:rPr>
          <w:sz w:val="28"/>
          <w:szCs w:val="28"/>
          <w:highlight w:val="none"/>
        </w:rPr>
        <w:t>占用永久基本农田</w:t>
      </w:r>
      <w:r>
        <w:rPr>
          <w:rFonts w:hint="eastAsia"/>
          <w:sz w:val="28"/>
          <w:szCs w:val="28"/>
          <w:highlight w:val="none"/>
        </w:rPr>
        <w:t>港口</w:t>
      </w:r>
      <w:r>
        <w:rPr>
          <w:sz w:val="28"/>
          <w:szCs w:val="28"/>
          <w:highlight w:val="none"/>
        </w:rPr>
        <w:t>及岸线均已取消优化。经与乐山市国土空间规划对接，本次港口规划共占用土地8732</w:t>
      </w:r>
      <w:r>
        <w:rPr>
          <w:rFonts w:hint="eastAsia"/>
          <w:sz w:val="28"/>
          <w:szCs w:val="28"/>
          <w:highlight w:val="none"/>
        </w:rPr>
        <w:t>亩</w:t>
      </w:r>
      <w:r>
        <w:rPr>
          <w:sz w:val="28"/>
          <w:szCs w:val="28"/>
          <w:highlight w:val="none"/>
        </w:rPr>
        <w:t>，大部分占用河边滩地及洪水易淹没的河边低地，未占用永久基本农田。</w:t>
      </w:r>
    </w:p>
    <w:p>
      <w:pPr>
        <w:pStyle w:val="2"/>
        <w:spacing w:line="360" w:lineRule="auto"/>
        <w:ind w:firstLine="562" w:firstLineChars="200"/>
        <w:rPr>
          <w:rFonts w:ascii="Times New Roman" w:eastAsia="黑体" w:cs="Times New Roman"/>
          <w:b/>
          <w:color w:val="auto"/>
          <w:kern w:val="2"/>
          <w:sz w:val="28"/>
          <w:szCs w:val="28"/>
          <w:highlight w:val="none"/>
        </w:rPr>
      </w:pPr>
      <w:r>
        <w:rPr>
          <w:rFonts w:ascii="Times New Roman" w:eastAsia="黑体" w:cs="Times New Roman"/>
          <w:b/>
          <w:color w:val="auto"/>
          <w:kern w:val="2"/>
          <w:sz w:val="28"/>
          <w:szCs w:val="28"/>
          <w:highlight w:val="none"/>
        </w:rPr>
        <w:t>二、与长江岸线保护和开发利用总体规划的关系</w:t>
      </w:r>
    </w:p>
    <w:p>
      <w:pPr>
        <w:spacing w:line="360" w:lineRule="auto"/>
        <w:ind w:firstLine="560" w:firstLineChars="200"/>
        <w:rPr>
          <w:bCs/>
          <w:sz w:val="28"/>
          <w:szCs w:val="28"/>
          <w:highlight w:val="none"/>
        </w:rPr>
      </w:pPr>
      <w:r>
        <w:rPr>
          <w:sz w:val="28"/>
          <w:szCs w:val="28"/>
          <w:highlight w:val="none"/>
        </w:rPr>
        <w:t>长江岸线保护和开发利用总体规划对岷江都江堰-宜宾370km范围的岸线进行了规划。</w:t>
      </w:r>
      <w:r>
        <w:rPr>
          <w:bCs/>
          <w:sz w:val="28"/>
          <w:szCs w:val="28"/>
          <w:highlight w:val="none"/>
        </w:rPr>
        <w:t>根据《国务院关于依托黄金水道推动长江经济带发展的指导意见》提出的“统筹规划长江岸线资源，严格分区管理和用途管制”等要求，依据国务院批复的《长江流域综合规划（2012～2030年）》，考虑河道自然条件、岸线资源现状以及保护和开发利用要求，将岸线划分为岸线保护区、保留区、控制利用区和开发利用区四类。</w:t>
      </w:r>
    </w:p>
    <w:p>
      <w:pPr>
        <w:spacing w:line="360" w:lineRule="auto"/>
        <w:ind w:firstLine="560" w:firstLineChars="200"/>
        <w:rPr>
          <w:sz w:val="28"/>
          <w:szCs w:val="28"/>
          <w:highlight w:val="none"/>
        </w:rPr>
      </w:pPr>
      <w:r>
        <w:rPr>
          <w:sz w:val="28"/>
          <w:szCs w:val="28"/>
          <w:highlight w:val="none"/>
        </w:rPr>
        <w:t>岷江共划分岸线保护区31个，长度为58.9km，占岸线总长度的7.0%；岸线保留区149个，长度为602.7km，占岸线总长度的72.1%；岸线控制利用区41个，长度为150.5km，占岸线总长度的18.0%；岸线开发利用区10个，长度为24.0km，占岸线总长度的2.9%。</w:t>
      </w:r>
    </w:p>
    <w:p>
      <w:pPr>
        <w:spacing w:line="360" w:lineRule="auto"/>
        <w:ind w:firstLine="560" w:firstLineChars="200"/>
        <w:rPr>
          <w:sz w:val="28"/>
          <w:szCs w:val="28"/>
          <w:highlight w:val="none"/>
        </w:rPr>
      </w:pPr>
      <w:r>
        <w:rPr>
          <w:sz w:val="28"/>
          <w:szCs w:val="28"/>
          <w:highlight w:val="none"/>
        </w:rPr>
        <w:t>乐山港在岷江共规划码头5个。</w:t>
      </w:r>
      <w:r>
        <w:rPr>
          <w:rFonts w:hint="eastAsia"/>
          <w:sz w:val="28"/>
          <w:szCs w:val="28"/>
          <w:highlight w:val="none"/>
        </w:rPr>
        <w:t>乌尤寺旅游客运码头位于岸线</w:t>
      </w:r>
      <w:r>
        <w:rPr>
          <w:sz w:val="28"/>
          <w:szCs w:val="28"/>
          <w:highlight w:val="none"/>
        </w:rPr>
        <w:t>保护区，主要划分的依据是该段岸线位于乐山大佛风景名胜区，不得建设破坏影响生态和景观的项目，乌尤寺旅游客运码头为乐山大佛风景名胜区水上旅游服务的基础设施，不属于限制进入的项目类型；老江坝作业区</w:t>
      </w:r>
      <w:r>
        <w:rPr>
          <w:rFonts w:hint="eastAsia"/>
          <w:sz w:val="28"/>
          <w:szCs w:val="28"/>
          <w:highlight w:val="none"/>
        </w:rPr>
        <w:t>游轮</w:t>
      </w:r>
      <w:r>
        <w:rPr>
          <w:sz w:val="28"/>
          <w:szCs w:val="28"/>
          <w:highlight w:val="none"/>
        </w:rPr>
        <w:t>码头位于冠英天池岸线保留区，该段岸线内不得建设工业港口货运码头等生产设施项目，该码头以旅客运输为主，不属于限制进入的类型；老江坝作业区大件码头、桥沟作业区、高石坝作业区位于岸线控制利用区，应与城市总体规划、沿江产业布局规划相适应，并注重岸线节约化、集约化利用。经对比分析，本次乐山港规划中的岷江岸线均满足长江岸线保护和开发利用总体规划要求。</w:t>
      </w:r>
    </w:p>
    <w:p>
      <w:pPr>
        <w:spacing w:line="360" w:lineRule="auto"/>
        <w:ind w:firstLine="562" w:firstLineChars="200"/>
        <w:rPr>
          <w:rFonts w:eastAsia="黑体"/>
          <w:b/>
          <w:sz w:val="28"/>
          <w:szCs w:val="28"/>
          <w:highlight w:val="none"/>
        </w:rPr>
      </w:pPr>
      <w:r>
        <w:rPr>
          <w:rFonts w:hint="eastAsia" w:eastAsia="黑体"/>
          <w:b/>
          <w:sz w:val="28"/>
          <w:szCs w:val="28"/>
          <w:highlight w:val="none"/>
        </w:rPr>
        <w:t>三</w:t>
      </w:r>
      <w:r>
        <w:rPr>
          <w:rFonts w:eastAsia="黑体"/>
          <w:b/>
          <w:sz w:val="28"/>
          <w:szCs w:val="28"/>
          <w:highlight w:val="none"/>
        </w:rPr>
        <w:t>、与江河流域综合规划的关系</w:t>
      </w:r>
    </w:p>
    <w:p>
      <w:pPr>
        <w:spacing w:line="360" w:lineRule="auto"/>
        <w:ind w:firstLine="560" w:firstLineChars="200"/>
        <w:rPr>
          <w:sz w:val="28"/>
          <w:szCs w:val="28"/>
          <w:highlight w:val="none"/>
        </w:rPr>
      </w:pPr>
      <w:r>
        <w:rPr>
          <w:sz w:val="28"/>
          <w:szCs w:val="28"/>
          <w:highlight w:val="none"/>
        </w:rPr>
        <w:t>乐山港位于岷江、大渡河、青衣江的交汇处，具有丰富的水资源，而港口的发展与水利发展的关系十分密切，因此，港口的建设应结合水利部门的河势治理、水保、行洪防洪、灌溉等工程的建设，积极共同稳定河势，形成土地及稳固的河堤，以减小投资规模。与本次规划息息相关的还有《岷江流域综合规划》《岷江干流（乐山~宜宾段）航电综合开发》、《岷江（乐山～宜宾）航运发展规划》等，以上规划的实施，将极大改善乐山市境内的航道条件，提高航道的运输能力，为货物进出提供畅通的运输通道，也为港口发展创造条件。</w:t>
      </w:r>
    </w:p>
    <w:p>
      <w:pPr>
        <w:spacing w:line="360" w:lineRule="auto"/>
        <w:ind w:firstLine="562" w:firstLineChars="200"/>
        <w:rPr>
          <w:rFonts w:eastAsia="黑体"/>
          <w:b/>
          <w:sz w:val="28"/>
          <w:szCs w:val="28"/>
          <w:highlight w:val="none"/>
        </w:rPr>
      </w:pPr>
      <w:r>
        <w:rPr>
          <w:rFonts w:hint="eastAsia" w:eastAsia="黑体"/>
          <w:b/>
          <w:sz w:val="28"/>
          <w:szCs w:val="28"/>
          <w:highlight w:val="none"/>
        </w:rPr>
        <w:t>四</w:t>
      </w:r>
      <w:r>
        <w:rPr>
          <w:rFonts w:eastAsia="黑体"/>
          <w:b/>
          <w:sz w:val="28"/>
          <w:szCs w:val="28"/>
          <w:highlight w:val="none"/>
        </w:rPr>
        <w:t>、与旅游规划的关系</w:t>
      </w:r>
    </w:p>
    <w:p>
      <w:pPr>
        <w:spacing w:line="360" w:lineRule="auto"/>
        <w:ind w:firstLine="560" w:firstLineChars="200"/>
        <w:rPr>
          <w:rFonts w:eastAsia="黑体"/>
          <w:b/>
          <w:sz w:val="32"/>
          <w:szCs w:val="32"/>
          <w:highlight w:val="none"/>
        </w:rPr>
      </w:pPr>
      <w:r>
        <w:rPr>
          <w:sz w:val="28"/>
          <w:szCs w:val="28"/>
          <w:highlight w:val="none"/>
        </w:rPr>
        <w:t>根据</w:t>
      </w:r>
      <w:r>
        <w:rPr>
          <w:rFonts w:hint="eastAsia"/>
          <w:sz w:val="28"/>
          <w:szCs w:val="28"/>
          <w:highlight w:val="none"/>
        </w:rPr>
        <w:t>相关</w:t>
      </w:r>
      <w:r>
        <w:rPr>
          <w:sz w:val="28"/>
          <w:szCs w:val="28"/>
          <w:highlight w:val="none"/>
        </w:rPr>
        <w:t>规划，乐山将形成“一环三区‘1+9’组团”旅游空间格局，涉水的重点项目主要包括乐山大佛景区、夜游三江、千佛岩—东风堰水利科普教育基地、苏稽镇、沐川竹海景区、大渡河风景道（沙湾段）、大渡河金口大峡谷景区、铜街子库区滨水户外运动基地、特色村镇游等。本次规划充分对接了乐山市相关旅游发展规划，主要规划了老江坝游轮码头、芭蕉林旅游客运码头、乌尤寺旅游客运码头、高新区旅游客运码头，为游览乐山大佛景区、乌尤坝、凤洲岛、夜游三江提供运输服务；规划炭库古镇旅游客运码头为游览沐川竹海景区、特色村镇提供运输服务；规划了大峡谷旅游客运码头，为游览大渡河金口大峡谷景区提供运输服务；规划了柏杨湾旅游客运</w:t>
      </w:r>
      <w:r>
        <w:rPr>
          <w:rFonts w:hint="eastAsia"/>
          <w:sz w:val="28"/>
          <w:szCs w:val="28"/>
          <w:highlight w:val="none"/>
        </w:rPr>
        <w:t>码头</w:t>
      </w:r>
      <w:r>
        <w:rPr>
          <w:sz w:val="28"/>
          <w:szCs w:val="28"/>
          <w:highlight w:val="none"/>
        </w:rPr>
        <w:t>、佩玉泉旅游客运码头，为游览千佛岩—东风堰水利科普教育基地提供运输服务；此外根据地方旅游资源开发需求规划了旅游客运停靠点。</w:t>
      </w:r>
      <w:r>
        <w:rPr>
          <w:rFonts w:eastAsia="黑体"/>
          <w:b/>
          <w:sz w:val="32"/>
          <w:szCs w:val="32"/>
          <w:highlight w:val="none"/>
        </w:rPr>
        <w:br w:type="page"/>
      </w:r>
    </w:p>
    <w:p>
      <w:pPr>
        <w:pStyle w:val="14"/>
        <w:spacing w:before="156" w:beforeLines="50" w:line="520" w:lineRule="exact"/>
        <w:jc w:val="center"/>
        <w:outlineLvl w:val="0"/>
        <w:rPr>
          <w:rFonts w:ascii="Times New Roman" w:hAnsi="Times New Roman" w:eastAsia="黑体" w:cs="Times New Roman"/>
          <w:b/>
          <w:sz w:val="32"/>
          <w:szCs w:val="32"/>
          <w:highlight w:val="none"/>
        </w:rPr>
      </w:pPr>
      <w:bookmarkStart w:id="279" w:name="_Toc77781946"/>
      <w:bookmarkStart w:id="280" w:name="_Toc39688311"/>
      <w:bookmarkStart w:id="281" w:name="_Toc67908313"/>
      <w:r>
        <w:rPr>
          <w:rFonts w:ascii="Times New Roman" w:hAnsi="Times New Roman" w:eastAsia="黑体" w:cs="Times New Roman"/>
          <w:b/>
          <w:sz w:val="32"/>
          <w:szCs w:val="32"/>
          <w:highlight w:val="none"/>
        </w:rPr>
        <w:t>第十章 问题与建议</w:t>
      </w:r>
      <w:bookmarkEnd w:id="279"/>
      <w:bookmarkEnd w:id="280"/>
      <w:bookmarkEnd w:id="281"/>
    </w:p>
    <w:p>
      <w:pPr>
        <w:pStyle w:val="6"/>
        <w:spacing w:before="0" w:after="0" w:line="360" w:lineRule="auto"/>
        <w:ind w:firstLine="562" w:firstLineChars="200"/>
        <w:rPr>
          <w:rFonts w:ascii="Times New Roman" w:hAnsi="Times New Roman" w:cs="Times New Roman"/>
          <w:highlight w:val="none"/>
        </w:rPr>
      </w:pPr>
      <w:r>
        <w:rPr>
          <w:rFonts w:ascii="Times New Roman" w:hAnsi="Times New Roman" w:cs="Times New Roman"/>
          <w:highlight w:val="none"/>
        </w:rPr>
        <w:t>一、加快推进岷江航道畅通</w:t>
      </w:r>
    </w:p>
    <w:p>
      <w:pPr>
        <w:pStyle w:val="20"/>
        <w:tabs>
          <w:tab w:val="left" w:pos="0"/>
        </w:tabs>
        <w:spacing w:after="0" w:line="360" w:lineRule="auto"/>
        <w:ind w:left="0" w:leftChars="0" w:firstLine="560" w:firstLineChars="200"/>
        <w:rPr>
          <w:rFonts w:ascii="Times New Roman" w:hAnsi="Times New Roman" w:cs="Times New Roman"/>
          <w:spacing w:val="2"/>
          <w:sz w:val="28"/>
          <w:szCs w:val="28"/>
          <w:highlight w:val="none"/>
        </w:rPr>
      </w:pPr>
      <w:r>
        <w:rPr>
          <w:rFonts w:ascii="Times New Roman" w:hAnsi="Times New Roman" w:cs="Times New Roman"/>
          <w:sz w:val="28"/>
          <w:szCs w:val="28"/>
          <w:highlight w:val="none"/>
          <w:lang w:val="en-GB"/>
        </w:rPr>
        <w:t>发展水运，航道是基础。目前岷江航道通而不畅，岷江航道提升至Ⅲ级的重要工程如、岷江下段航道整治二期工程尚处于前期工作阶段，或因环境或因土地等外部刚性约束推动较慢，致使岷江航运效益难以尽早见效，大件船舶需要等水或者上级协调才可以下水，大大增加时间成本，削弱了水运的优势，建议加大岷江港航电的协调力度，推动项目尽早建设</w:t>
      </w:r>
      <w:r>
        <w:rPr>
          <w:rFonts w:ascii="Times New Roman" w:hAnsi="Times New Roman" w:cs="Times New Roman"/>
          <w:spacing w:val="2"/>
          <w:sz w:val="28"/>
          <w:szCs w:val="28"/>
          <w:highlight w:val="none"/>
        </w:rPr>
        <w:t>。</w:t>
      </w:r>
    </w:p>
    <w:p>
      <w:pPr>
        <w:pStyle w:val="20"/>
        <w:tabs>
          <w:tab w:val="left" w:pos="0"/>
        </w:tabs>
        <w:spacing w:after="0" w:line="360" w:lineRule="auto"/>
        <w:ind w:left="0" w:leftChars="0" w:firstLine="560" w:firstLineChars="200"/>
        <w:rPr>
          <w:rFonts w:ascii="Times New Roman" w:hAnsi="Times New Roman" w:cs="Times New Roman"/>
          <w:sz w:val="28"/>
          <w:szCs w:val="28"/>
          <w:highlight w:val="none"/>
          <w:lang w:val="en-GB"/>
        </w:rPr>
      </w:pPr>
      <w:r>
        <w:rPr>
          <w:rFonts w:ascii="Times New Roman" w:hAnsi="Times New Roman" w:cs="Times New Roman"/>
          <w:sz w:val="28"/>
          <w:szCs w:val="28"/>
          <w:highlight w:val="none"/>
          <w:lang w:val="en-GB"/>
        </w:rPr>
        <w:t>建议推进航道提档升级建设，航道养护要向数字化、智能化方向发展，运用先进技术、先进设施对航道适时监测，提升航道通航效率。具体而言，到2025年在船闸通畅基础上，完成岷江船舶过闸区间信息平台调研、设计、建设，所有航电船闸实现智能化管理、自动化服务。</w:t>
      </w:r>
    </w:p>
    <w:p>
      <w:pPr>
        <w:pStyle w:val="6"/>
        <w:spacing w:before="0" w:after="0" w:line="360" w:lineRule="auto"/>
        <w:ind w:firstLine="562" w:firstLineChars="200"/>
        <w:rPr>
          <w:rFonts w:ascii="Times New Roman" w:hAnsi="Times New Roman" w:cs="Times New Roman"/>
          <w:highlight w:val="none"/>
        </w:rPr>
      </w:pPr>
      <w:r>
        <w:rPr>
          <w:rFonts w:ascii="Times New Roman" w:hAnsi="Times New Roman" w:cs="Times New Roman"/>
          <w:highlight w:val="none"/>
        </w:rPr>
        <w:t>二、加强政府的宏观管理职能</w:t>
      </w:r>
    </w:p>
    <w:p>
      <w:pPr>
        <w:pStyle w:val="20"/>
        <w:tabs>
          <w:tab w:val="left" w:pos="0"/>
        </w:tabs>
        <w:spacing w:after="0" w:line="360" w:lineRule="auto"/>
        <w:ind w:left="0" w:leftChars="0" w:firstLine="568" w:firstLineChars="200"/>
        <w:rPr>
          <w:rFonts w:ascii="Times New Roman" w:hAnsi="Times New Roman" w:cs="Times New Roman"/>
          <w:spacing w:val="2"/>
          <w:sz w:val="28"/>
          <w:szCs w:val="28"/>
          <w:highlight w:val="none"/>
        </w:rPr>
      </w:pPr>
      <w:r>
        <w:rPr>
          <w:rFonts w:ascii="Times New Roman" w:hAnsi="Times New Roman" w:cs="Times New Roman"/>
          <w:spacing w:val="2"/>
          <w:sz w:val="28"/>
          <w:szCs w:val="28"/>
          <w:highlight w:val="none"/>
        </w:rPr>
        <w:t>为避免造成岸线利用上的分散、混乱和浪费，以及不同企业开发、分散经营、难成规模、集约化程度低的不利局面。为此，建议有关政府部门从战略高度认识到保护和合理开发港口岸线资源的重要意义，总结吸取国内外港口发展的经验和教训，切实加强政府的宏观管理职能，统一岸线开发与利用审批权，确保港口健康、稳定、协调发展。</w:t>
      </w:r>
    </w:p>
    <w:p>
      <w:pPr>
        <w:pStyle w:val="20"/>
        <w:spacing w:after="0" w:line="360" w:lineRule="auto"/>
        <w:ind w:left="0" w:leftChars="0" w:firstLine="580" w:firstLineChars="200"/>
        <w:rPr>
          <w:rFonts w:ascii="Times New Roman" w:hAnsi="Times New Roman" w:cs="Times New Roman"/>
          <w:spacing w:val="5"/>
          <w:sz w:val="28"/>
          <w:szCs w:val="28"/>
          <w:highlight w:val="none"/>
        </w:rPr>
      </w:pPr>
      <w:r>
        <w:rPr>
          <w:rFonts w:ascii="Times New Roman" w:hAnsi="Times New Roman" w:cs="Times New Roman"/>
          <w:spacing w:val="5"/>
          <w:sz w:val="28"/>
          <w:szCs w:val="28"/>
          <w:highlight w:val="none"/>
        </w:rPr>
        <w:t>《乐山港总体规划》是今后相当长一段时期内港口发展的蓝图，也是指导港口布局、发展方向、建设目标和促进乐山港持续、健康发展的依据，规划经上级主管部门批准后，有关部门应严格按照总体规划，分期组织实施。根据社会的发展及形势的变化，港口规划也需要进行适当调整，在调整时必须经过原批准单位审批同意。</w:t>
      </w:r>
    </w:p>
    <w:p>
      <w:pPr>
        <w:pStyle w:val="6"/>
        <w:spacing w:before="0" w:after="0" w:line="360" w:lineRule="auto"/>
        <w:ind w:firstLine="562" w:firstLineChars="200"/>
        <w:rPr>
          <w:rFonts w:ascii="Times New Roman" w:hAnsi="Times New Roman" w:cs="Times New Roman"/>
          <w:highlight w:val="none"/>
        </w:rPr>
      </w:pPr>
      <w:r>
        <w:rPr>
          <w:rFonts w:ascii="Times New Roman" w:hAnsi="Times New Roman" w:cs="Times New Roman"/>
          <w:highlight w:val="none"/>
        </w:rPr>
        <w:t>三、加强港口软硬环境建设</w:t>
      </w:r>
    </w:p>
    <w:p>
      <w:pPr>
        <w:spacing w:line="360" w:lineRule="auto"/>
        <w:ind w:firstLine="560" w:firstLineChars="200"/>
        <w:rPr>
          <w:rFonts w:eastAsiaTheme="minorEastAsia"/>
          <w:sz w:val="28"/>
          <w:szCs w:val="28"/>
          <w:highlight w:val="none"/>
        </w:rPr>
      </w:pPr>
      <w:r>
        <w:rPr>
          <w:rFonts w:eastAsiaTheme="minorEastAsia"/>
          <w:sz w:val="28"/>
          <w:szCs w:val="28"/>
          <w:highlight w:val="none"/>
        </w:rPr>
        <w:t>乐山港已具有一定的基础，发展前景也较好，运输需求也较为迫切。但为充分发挥乐山港潜在优势，一方面要加强港口基础设施、机械设备、集疏运通道等硬件设施的建设；另一方面，也要加快现代化信息网络、EDI系统、电子商务等其他配套设施建设，提供良好的金融、通关、信息等口岸服务；实施各项优惠政策，吸引货源和轮船公司、大型货主及其它战略投资者参与；加大与乐山港与长江沿线港口的战略合作力度，差异化发展，利用其已培育成型的物流网络，带动乐山港水路运输市场的发展。</w:t>
      </w:r>
    </w:p>
    <w:p>
      <w:pPr>
        <w:pStyle w:val="6"/>
        <w:spacing w:before="0" w:after="0" w:line="360" w:lineRule="auto"/>
        <w:ind w:firstLine="562" w:firstLineChars="200"/>
        <w:rPr>
          <w:rFonts w:ascii="Times New Roman" w:hAnsi="Times New Roman" w:cs="Times New Roman"/>
          <w:highlight w:val="none"/>
        </w:rPr>
      </w:pPr>
      <w:bookmarkStart w:id="282" w:name="_Toc349319775"/>
      <w:r>
        <w:rPr>
          <w:rFonts w:ascii="Times New Roman" w:hAnsi="Times New Roman" w:cs="Times New Roman"/>
          <w:highlight w:val="none"/>
        </w:rPr>
        <w:t>四、建立公共物流信息平台</w:t>
      </w:r>
      <w:bookmarkEnd w:id="282"/>
    </w:p>
    <w:p>
      <w:pPr>
        <w:spacing w:line="360" w:lineRule="auto"/>
        <w:ind w:firstLine="560" w:firstLineChars="200"/>
        <w:rPr>
          <w:rFonts w:eastAsiaTheme="minorEastAsia"/>
          <w:sz w:val="28"/>
          <w:szCs w:val="28"/>
          <w:highlight w:val="none"/>
        </w:rPr>
      </w:pPr>
      <w:r>
        <w:rPr>
          <w:rFonts w:eastAsiaTheme="minorEastAsia"/>
          <w:sz w:val="28"/>
          <w:szCs w:val="28"/>
          <w:highlight w:val="none"/>
        </w:rPr>
        <w:t>重点整合港口、口岸及联检、物流、货源企业等信息资源，完善网络服务功能，积极推进公共物流信息平台建设，实现船代、货代、船务、公路、铁路、航运、码头、仓储、船公司等物流企业和货主企业与各地港口管理部门、海关、检验检疫等政府管理部门的信息共享。在此基础上，推进乐山市及周边地区港口物流信息平台建设，实现货源与服务信息互联互通，拓展港口货运市场。</w:t>
      </w:r>
    </w:p>
    <w:p>
      <w:pPr>
        <w:pStyle w:val="6"/>
        <w:spacing w:before="0" w:after="0" w:line="360" w:lineRule="auto"/>
        <w:ind w:firstLine="562" w:firstLineChars="200"/>
        <w:rPr>
          <w:rFonts w:ascii="Times New Roman" w:hAnsi="Times New Roman" w:cs="Times New Roman"/>
          <w:highlight w:val="none"/>
        </w:rPr>
      </w:pPr>
      <w:r>
        <w:rPr>
          <w:rFonts w:ascii="Times New Roman" w:hAnsi="Times New Roman" w:cs="Times New Roman"/>
          <w:highlight w:val="none"/>
        </w:rPr>
        <w:t>五、加强与成都平原经济区的协调对接</w:t>
      </w:r>
    </w:p>
    <w:p>
      <w:pPr>
        <w:spacing w:line="360" w:lineRule="auto"/>
        <w:ind w:firstLine="560" w:firstLineChars="200"/>
        <w:rPr>
          <w:rFonts w:eastAsiaTheme="minorEastAsia"/>
          <w:sz w:val="28"/>
          <w:szCs w:val="28"/>
          <w:highlight w:val="none"/>
        </w:rPr>
      </w:pPr>
      <w:r>
        <w:rPr>
          <w:rFonts w:eastAsiaTheme="minorEastAsia"/>
          <w:sz w:val="28"/>
          <w:szCs w:val="28"/>
          <w:highlight w:val="none"/>
        </w:rPr>
        <w:t>加强与成都及周边地区地方政府的合作，加强区域间规划协调，鼓励成都及周边地区地方政府以投资方或股东形式参与到乐山港的开发建设中，并分享未来乐山港运营后的经济收益，形成各地政府的利益共享合作机制。</w:t>
      </w:r>
    </w:p>
    <w:p>
      <w:pPr>
        <w:spacing w:line="360" w:lineRule="auto"/>
        <w:ind w:firstLine="560" w:firstLineChars="200"/>
        <w:rPr>
          <w:rFonts w:eastAsiaTheme="minorEastAsia"/>
          <w:sz w:val="28"/>
          <w:szCs w:val="28"/>
          <w:highlight w:val="none"/>
        </w:rPr>
      </w:pPr>
      <w:r>
        <w:rPr>
          <w:rFonts w:eastAsiaTheme="minorEastAsia"/>
          <w:sz w:val="28"/>
          <w:szCs w:val="28"/>
          <w:highlight w:val="none"/>
        </w:rPr>
        <w:t>加强与成都平原经济区内的重要适水货源企业战略合作，与港口大客户和老客户签订合作协议，提供优惠的政策和便捷的服务，以稳定货源。同时注重开发新客户，密切关注经济发展形势变化和产业结构调整，使港口发展与经济发展要求保持一致。</w:t>
      </w:r>
    </w:p>
    <w:p>
      <w:pPr>
        <w:spacing w:line="360" w:lineRule="auto"/>
        <w:ind w:firstLine="560" w:firstLineChars="200"/>
        <w:rPr>
          <w:rFonts w:eastAsiaTheme="minorEastAsia"/>
          <w:sz w:val="28"/>
          <w:szCs w:val="28"/>
          <w:highlight w:val="none"/>
        </w:rPr>
      </w:pPr>
      <w:r>
        <w:rPr>
          <w:rFonts w:eastAsiaTheme="minorEastAsia"/>
          <w:sz w:val="28"/>
          <w:szCs w:val="28"/>
          <w:highlight w:val="none"/>
        </w:rPr>
        <w:t>打造升级为成都港的重要前提是乐山港与成都市之间的客货资源能快速顺利流通，依赖的是两地之间的综合交通网。因此，乐山港的集疏运通道必须能够顺畅对接成都及周边地区，形成完整的、通畅的乐山港客货路网体系。</w:t>
      </w:r>
    </w:p>
    <w:p>
      <w:pPr>
        <w:pStyle w:val="2"/>
        <w:rPr>
          <w:rFonts w:ascii="Times New Roman" w:cs="Times New Roman"/>
          <w:color w:val="auto"/>
          <w:highlight w:val="none"/>
        </w:rPr>
      </w:pPr>
    </w:p>
    <w:p>
      <w:pPr>
        <w:spacing w:line="360" w:lineRule="auto"/>
        <w:ind w:firstLine="560" w:firstLineChars="200"/>
        <w:rPr>
          <w:sz w:val="28"/>
          <w:szCs w:val="28"/>
          <w:highlight w:val="none"/>
        </w:rPr>
      </w:pPr>
    </w:p>
    <w:p>
      <w:pPr>
        <w:pStyle w:val="2"/>
        <w:spacing w:line="360" w:lineRule="auto"/>
        <w:ind w:firstLine="480" w:firstLineChars="200"/>
        <w:rPr>
          <w:rFonts w:ascii="Times New Roman" w:cs="Times New Roman"/>
          <w:color w:val="auto"/>
          <w:highlight w:val="none"/>
        </w:rPr>
      </w:pPr>
    </w:p>
    <w:sectPr>
      <w:pgSz w:w="11906" w:h="16838"/>
      <w:pgMar w:top="1440" w:right="1418"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方正小标宋_GBK">
    <w:panose1 w:val="02000000000000000000"/>
    <w:charset w:val="86"/>
    <w:family w:val="script"/>
    <w:pitch w:val="default"/>
    <w:sig w:usb0="A00002BF" w:usb1="38CF7CFA" w:usb2="00082016" w:usb3="00000000" w:csb0="00040001"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p>
  <w:p>
    <w:pPr>
      <w:pStyle w:val="2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07635906"/>
    </w:sdtPr>
    <w:sdtContent>
      <w:p>
        <w:pPr>
          <w:pStyle w:val="22"/>
          <w:jc w:val="center"/>
        </w:pPr>
        <w:r>
          <w:fldChar w:fldCharType="begin"/>
        </w:r>
        <w:r>
          <w:instrText xml:space="preserve"> PAGE   \* MERGEFORMAT </w:instrText>
        </w:r>
        <w:r>
          <w:fldChar w:fldCharType="separate"/>
        </w:r>
        <w:r>
          <w:rPr>
            <w:lang w:val="zh-CN"/>
          </w:rPr>
          <w:t>23</w:t>
        </w:r>
        <w:r>
          <w:rPr>
            <w:lang w:val="zh-CN"/>
          </w:rPr>
          <w:fldChar w:fldCharType="end"/>
        </w:r>
      </w:p>
    </w:sdtContent>
  </w:sdt>
  <w:p>
    <w:pPr>
      <w:pStyle w:val="2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jc w:val="right"/>
      <w:rPr>
        <w:i/>
      </w:rPr>
    </w:pPr>
    <w:r>
      <w:rPr>
        <w:rFonts w:hint="eastAsia"/>
        <w:i/>
      </w:rPr>
      <w:t>乐山港总体规划修订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6F790E"/>
    <w:multiLevelType w:val="multilevel"/>
    <w:tmpl w:val="5F6F790E"/>
    <w:lvl w:ilvl="0" w:tentative="0">
      <w:start w:val="1"/>
      <w:numFmt w:val="decimal"/>
      <w:lvlText w:val="%1."/>
      <w:lvlJc w:val="left"/>
      <w:pPr>
        <w:ind w:left="842" w:hanging="360"/>
      </w:pPr>
      <w:rPr>
        <w:rFonts w:hint="default"/>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1">
    <w:nsid w:val="676710A7"/>
    <w:multiLevelType w:val="singleLevel"/>
    <w:tmpl w:val="676710A7"/>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hideSpellingErrors/>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U5ZWQzYTQ1ZjJjYmJkMDA2NTFlNGUxMjEyNGM2OWMifQ=="/>
    <w:docVar w:name="KSO_WPS_MARK_KEY" w:val="549a5b79-b35f-4559-bea6-901c47abf4e9"/>
  </w:docVars>
  <w:rsids>
    <w:rsidRoot w:val="00202994"/>
    <w:rsid w:val="000002CB"/>
    <w:rsid w:val="00001AC5"/>
    <w:rsid w:val="00001D6C"/>
    <w:rsid w:val="00001D75"/>
    <w:rsid w:val="00003E80"/>
    <w:rsid w:val="00004299"/>
    <w:rsid w:val="0000498D"/>
    <w:rsid w:val="000059F7"/>
    <w:rsid w:val="00006312"/>
    <w:rsid w:val="000075E6"/>
    <w:rsid w:val="000076F2"/>
    <w:rsid w:val="000104DB"/>
    <w:rsid w:val="00012366"/>
    <w:rsid w:val="00012F05"/>
    <w:rsid w:val="0001386C"/>
    <w:rsid w:val="00013CC1"/>
    <w:rsid w:val="00014A61"/>
    <w:rsid w:val="0001514B"/>
    <w:rsid w:val="000159EE"/>
    <w:rsid w:val="00015F54"/>
    <w:rsid w:val="0001605E"/>
    <w:rsid w:val="00016903"/>
    <w:rsid w:val="000226D1"/>
    <w:rsid w:val="0002445E"/>
    <w:rsid w:val="00026839"/>
    <w:rsid w:val="0002696C"/>
    <w:rsid w:val="00027E2D"/>
    <w:rsid w:val="00031D4D"/>
    <w:rsid w:val="00034A31"/>
    <w:rsid w:val="00034AA7"/>
    <w:rsid w:val="00034FA1"/>
    <w:rsid w:val="0003556E"/>
    <w:rsid w:val="00035B8B"/>
    <w:rsid w:val="00036D26"/>
    <w:rsid w:val="0003781A"/>
    <w:rsid w:val="00037944"/>
    <w:rsid w:val="000403B6"/>
    <w:rsid w:val="00040A3F"/>
    <w:rsid w:val="00040EE2"/>
    <w:rsid w:val="0004134D"/>
    <w:rsid w:val="000442AE"/>
    <w:rsid w:val="000446C5"/>
    <w:rsid w:val="00046BEF"/>
    <w:rsid w:val="00046D77"/>
    <w:rsid w:val="0005134F"/>
    <w:rsid w:val="000520D7"/>
    <w:rsid w:val="000523F5"/>
    <w:rsid w:val="000529C2"/>
    <w:rsid w:val="000531D4"/>
    <w:rsid w:val="00053412"/>
    <w:rsid w:val="00053A5B"/>
    <w:rsid w:val="0005436F"/>
    <w:rsid w:val="000548B1"/>
    <w:rsid w:val="00054977"/>
    <w:rsid w:val="00054C8D"/>
    <w:rsid w:val="00054CF4"/>
    <w:rsid w:val="00055D14"/>
    <w:rsid w:val="00055E47"/>
    <w:rsid w:val="00057410"/>
    <w:rsid w:val="00060530"/>
    <w:rsid w:val="000612D5"/>
    <w:rsid w:val="00061867"/>
    <w:rsid w:val="00062342"/>
    <w:rsid w:val="000630DB"/>
    <w:rsid w:val="00063143"/>
    <w:rsid w:val="0006396E"/>
    <w:rsid w:val="00063A4A"/>
    <w:rsid w:val="0006653B"/>
    <w:rsid w:val="00070942"/>
    <w:rsid w:val="00072028"/>
    <w:rsid w:val="00072963"/>
    <w:rsid w:val="0007326D"/>
    <w:rsid w:val="00073332"/>
    <w:rsid w:val="00073CA9"/>
    <w:rsid w:val="0007501C"/>
    <w:rsid w:val="0007538B"/>
    <w:rsid w:val="0007561A"/>
    <w:rsid w:val="00076336"/>
    <w:rsid w:val="00076636"/>
    <w:rsid w:val="0008074E"/>
    <w:rsid w:val="00080CF6"/>
    <w:rsid w:val="0008256D"/>
    <w:rsid w:val="00086005"/>
    <w:rsid w:val="00086BAF"/>
    <w:rsid w:val="0008763B"/>
    <w:rsid w:val="00090570"/>
    <w:rsid w:val="00090F2E"/>
    <w:rsid w:val="00091A3C"/>
    <w:rsid w:val="00091B20"/>
    <w:rsid w:val="00091F2F"/>
    <w:rsid w:val="00092AC9"/>
    <w:rsid w:val="00093C68"/>
    <w:rsid w:val="0009647D"/>
    <w:rsid w:val="000976DD"/>
    <w:rsid w:val="00097811"/>
    <w:rsid w:val="00097847"/>
    <w:rsid w:val="0009794E"/>
    <w:rsid w:val="00097EB0"/>
    <w:rsid w:val="000A292A"/>
    <w:rsid w:val="000A2975"/>
    <w:rsid w:val="000A36A0"/>
    <w:rsid w:val="000A4EF9"/>
    <w:rsid w:val="000A5515"/>
    <w:rsid w:val="000A5771"/>
    <w:rsid w:val="000A7219"/>
    <w:rsid w:val="000B1F69"/>
    <w:rsid w:val="000B2110"/>
    <w:rsid w:val="000B24DE"/>
    <w:rsid w:val="000B30F3"/>
    <w:rsid w:val="000B3C07"/>
    <w:rsid w:val="000B5CB7"/>
    <w:rsid w:val="000B67BF"/>
    <w:rsid w:val="000C0239"/>
    <w:rsid w:val="000C0464"/>
    <w:rsid w:val="000C06FE"/>
    <w:rsid w:val="000C427D"/>
    <w:rsid w:val="000C4B68"/>
    <w:rsid w:val="000C4D2C"/>
    <w:rsid w:val="000C4EDC"/>
    <w:rsid w:val="000C5140"/>
    <w:rsid w:val="000C597B"/>
    <w:rsid w:val="000C5D86"/>
    <w:rsid w:val="000C662B"/>
    <w:rsid w:val="000C6E7E"/>
    <w:rsid w:val="000C7F8A"/>
    <w:rsid w:val="000D0A0D"/>
    <w:rsid w:val="000D0C3F"/>
    <w:rsid w:val="000D118D"/>
    <w:rsid w:val="000D1393"/>
    <w:rsid w:val="000D1FF7"/>
    <w:rsid w:val="000D35B5"/>
    <w:rsid w:val="000D4321"/>
    <w:rsid w:val="000D4BC0"/>
    <w:rsid w:val="000D778A"/>
    <w:rsid w:val="000D7A35"/>
    <w:rsid w:val="000D7B22"/>
    <w:rsid w:val="000E0BFE"/>
    <w:rsid w:val="000E10CE"/>
    <w:rsid w:val="000E179F"/>
    <w:rsid w:val="000E2248"/>
    <w:rsid w:val="000E22AA"/>
    <w:rsid w:val="000E27B7"/>
    <w:rsid w:val="000E2F41"/>
    <w:rsid w:val="000E3945"/>
    <w:rsid w:val="000E41F9"/>
    <w:rsid w:val="000E473F"/>
    <w:rsid w:val="000E4D7D"/>
    <w:rsid w:val="000E5E83"/>
    <w:rsid w:val="000E5EC1"/>
    <w:rsid w:val="000E7201"/>
    <w:rsid w:val="000E772B"/>
    <w:rsid w:val="000E7F85"/>
    <w:rsid w:val="000F1C1A"/>
    <w:rsid w:val="000F202E"/>
    <w:rsid w:val="000F36B1"/>
    <w:rsid w:val="000F3A1F"/>
    <w:rsid w:val="000F3CFB"/>
    <w:rsid w:val="000F3F65"/>
    <w:rsid w:val="000F4C45"/>
    <w:rsid w:val="000F4F44"/>
    <w:rsid w:val="000F55FC"/>
    <w:rsid w:val="000F704E"/>
    <w:rsid w:val="000F7205"/>
    <w:rsid w:val="000F7349"/>
    <w:rsid w:val="000F7BA6"/>
    <w:rsid w:val="0010059E"/>
    <w:rsid w:val="00100855"/>
    <w:rsid w:val="00101B32"/>
    <w:rsid w:val="00101C71"/>
    <w:rsid w:val="0010320B"/>
    <w:rsid w:val="0010340C"/>
    <w:rsid w:val="001034C5"/>
    <w:rsid w:val="0010497A"/>
    <w:rsid w:val="00104AE6"/>
    <w:rsid w:val="00104B31"/>
    <w:rsid w:val="001076C5"/>
    <w:rsid w:val="00107A74"/>
    <w:rsid w:val="00110994"/>
    <w:rsid w:val="00111462"/>
    <w:rsid w:val="00111810"/>
    <w:rsid w:val="00112179"/>
    <w:rsid w:val="001122F9"/>
    <w:rsid w:val="00112E90"/>
    <w:rsid w:val="001135D7"/>
    <w:rsid w:val="00113E09"/>
    <w:rsid w:val="00113F11"/>
    <w:rsid w:val="00114CCF"/>
    <w:rsid w:val="001155ED"/>
    <w:rsid w:val="00116112"/>
    <w:rsid w:val="0011612B"/>
    <w:rsid w:val="00116D49"/>
    <w:rsid w:val="00116DE6"/>
    <w:rsid w:val="00117048"/>
    <w:rsid w:val="00122807"/>
    <w:rsid w:val="001238E6"/>
    <w:rsid w:val="00123D34"/>
    <w:rsid w:val="00123F1C"/>
    <w:rsid w:val="00124A95"/>
    <w:rsid w:val="00125621"/>
    <w:rsid w:val="00126A9D"/>
    <w:rsid w:val="00126C48"/>
    <w:rsid w:val="00130084"/>
    <w:rsid w:val="00131E17"/>
    <w:rsid w:val="00134E7E"/>
    <w:rsid w:val="001357AF"/>
    <w:rsid w:val="00140F1A"/>
    <w:rsid w:val="001413B3"/>
    <w:rsid w:val="001419B7"/>
    <w:rsid w:val="001419BE"/>
    <w:rsid w:val="00141CD0"/>
    <w:rsid w:val="001434F8"/>
    <w:rsid w:val="00143F3B"/>
    <w:rsid w:val="00144AEC"/>
    <w:rsid w:val="00144CDB"/>
    <w:rsid w:val="00145149"/>
    <w:rsid w:val="0014650A"/>
    <w:rsid w:val="00146788"/>
    <w:rsid w:val="001477BE"/>
    <w:rsid w:val="00150F38"/>
    <w:rsid w:val="00151A17"/>
    <w:rsid w:val="00151FD4"/>
    <w:rsid w:val="001523A4"/>
    <w:rsid w:val="00152693"/>
    <w:rsid w:val="00152FF2"/>
    <w:rsid w:val="0015392E"/>
    <w:rsid w:val="001554C8"/>
    <w:rsid w:val="00155CD1"/>
    <w:rsid w:val="00155EEA"/>
    <w:rsid w:val="00156639"/>
    <w:rsid w:val="00157498"/>
    <w:rsid w:val="00157590"/>
    <w:rsid w:val="00157C58"/>
    <w:rsid w:val="00161123"/>
    <w:rsid w:val="00161A0A"/>
    <w:rsid w:val="00161B27"/>
    <w:rsid w:val="00163048"/>
    <w:rsid w:val="0016419B"/>
    <w:rsid w:val="00164420"/>
    <w:rsid w:val="00165109"/>
    <w:rsid w:val="00165469"/>
    <w:rsid w:val="001656A0"/>
    <w:rsid w:val="001659DD"/>
    <w:rsid w:val="0016733A"/>
    <w:rsid w:val="001675DC"/>
    <w:rsid w:val="00167C60"/>
    <w:rsid w:val="0017205E"/>
    <w:rsid w:val="00172478"/>
    <w:rsid w:val="0017253F"/>
    <w:rsid w:val="0017356C"/>
    <w:rsid w:val="001744FB"/>
    <w:rsid w:val="0017485C"/>
    <w:rsid w:val="00176346"/>
    <w:rsid w:val="00180EF3"/>
    <w:rsid w:val="00182646"/>
    <w:rsid w:val="00182654"/>
    <w:rsid w:val="00182A2A"/>
    <w:rsid w:val="00182A3E"/>
    <w:rsid w:val="00183B3C"/>
    <w:rsid w:val="00183D19"/>
    <w:rsid w:val="00185100"/>
    <w:rsid w:val="001855BF"/>
    <w:rsid w:val="0018613C"/>
    <w:rsid w:val="001863BB"/>
    <w:rsid w:val="00186A04"/>
    <w:rsid w:val="001870B3"/>
    <w:rsid w:val="00190D0F"/>
    <w:rsid w:val="00191419"/>
    <w:rsid w:val="0019144B"/>
    <w:rsid w:val="00192A72"/>
    <w:rsid w:val="00195744"/>
    <w:rsid w:val="00195B66"/>
    <w:rsid w:val="001965F4"/>
    <w:rsid w:val="00197545"/>
    <w:rsid w:val="001A21AE"/>
    <w:rsid w:val="001A24A3"/>
    <w:rsid w:val="001A2E32"/>
    <w:rsid w:val="001A3AC6"/>
    <w:rsid w:val="001A4112"/>
    <w:rsid w:val="001A4E7E"/>
    <w:rsid w:val="001A58F2"/>
    <w:rsid w:val="001A5ED8"/>
    <w:rsid w:val="001A6332"/>
    <w:rsid w:val="001A7A4B"/>
    <w:rsid w:val="001B0075"/>
    <w:rsid w:val="001B1B1F"/>
    <w:rsid w:val="001B2D45"/>
    <w:rsid w:val="001B4D34"/>
    <w:rsid w:val="001B7034"/>
    <w:rsid w:val="001B716E"/>
    <w:rsid w:val="001B71B9"/>
    <w:rsid w:val="001C0BED"/>
    <w:rsid w:val="001C191F"/>
    <w:rsid w:val="001C25D1"/>
    <w:rsid w:val="001C3069"/>
    <w:rsid w:val="001C3A7D"/>
    <w:rsid w:val="001C3F86"/>
    <w:rsid w:val="001C4AFE"/>
    <w:rsid w:val="001C6478"/>
    <w:rsid w:val="001D0CD1"/>
    <w:rsid w:val="001D118A"/>
    <w:rsid w:val="001D1B52"/>
    <w:rsid w:val="001D436D"/>
    <w:rsid w:val="001D4564"/>
    <w:rsid w:val="001D791B"/>
    <w:rsid w:val="001D7A1B"/>
    <w:rsid w:val="001E0C49"/>
    <w:rsid w:val="001E2A42"/>
    <w:rsid w:val="001E2AF6"/>
    <w:rsid w:val="001E41F1"/>
    <w:rsid w:val="001E425A"/>
    <w:rsid w:val="001E498C"/>
    <w:rsid w:val="001E4A34"/>
    <w:rsid w:val="001E59BF"/>
    <w:rsid w:val="001E6BCD"/>
    <w:rsid w:val="001F025C"/>
    <w:rsid w:val="001F0CE3"/>
    <w:rsid w:val="001F1D30"/>
    <w:rsid w:val="001F21C1"/>
    <w:rsid w:val="001F269A"/>
    <w:rsid w:val="001F2ED3"/>
    <w:rsid w:val="001F3AFA"/>
    <w:rsid w:val="001F4F00"/>
    <w:rsid w:val="00201656"/>
    <w:rsid w:val="00202994"/>
    <w:rsid w:val="00203594"/>
    <w:rsid w:val="00204612"/>
    <w:rsid w:val="00205E7A"/>
    <w:rsid w:val="0020739C"/>
    <w:rsid w:val="00207F94"/>
    <w:rsid w:val="0021027D"/>
    <w:rsid w:val="002102AE"/>
    <w:rsid w:val="00210ACD"/>
    <w:rsid w:val="002126C7"/>
    <w:rsid w:val="00212FDE"/>
    <w:rsid w:val="002130A9"/>
    <w:rsid w:val="00213A89"/>
    <w:rsid w:val="00215362"/>
    <w:rsid w:val="00216016"/>
    <w:rsid w:val="00216F6F"/>
    <w:rsid w:val="00217AEE"/>
    <w:rsid w:val="0022140C"/>
    <w:rsid w:val="00221C77"/>
    <w:rsid w:val="00223A2E"/>
    <w:rsid w:val="00223AF2"/>
    <w:rsid w:val="00224328"/>
    <w:rsid w:val="00225E21"/>
    <w:rsid w:val="0022658B"/>
    <w:rsid w:val="002271B4"/>
    <w:rsid w:val="00230757"/>
    <w:rsid w:val="00231AD0"/>
    <w:rsid w:val="00231D7D"/>
    <w:rsid w:val="00232577"/>
    <w:rsid w:val="00232780"/>
    <w:rsid w:val="00233185"/>
    <w:rsid w:val="0023333F"/>
    <w:rsid w:val="0023518A"/>
    <w:rsid w:val="0023674D"/>
    <w:rsid w:val="00236C4E"/>
    <w:rsid w:val="00237285"/>
    <w:rsid w:val="0023731B"/>
    <w:rsid w:val="00241632"/>
    <w:rsid w:val="00241B67"/>
    <w:rsid w:val="00242588"/>
    <w:rsid w:val="00243319"/>
    <w:rsid w:val="0024335B"/>
    <w:rsid w:val="00243555"/>
    <w:rsid w:val="00243AD4"/>
    <w:rsid w:val="002458AB"/>
    <w:rsid w:val="00247DA8"/>
    <w:rsid w:val="00251D1E"/>
    <w:rsid w:val="00252559"/>
    <w:rsid w:val="002538B0"/>
    <w:rsid w:val="002540F8"/>
    <w:rsid w:val="0025582B"/>
    <w:rsid w:val="0025596E"/>
    <w:rsid w:val="00256075"/>
    <w:rsid w:val="00256EE2"/>
    <w:rsid w:val="00257248"/>
    <w:rsid w:val="002577EA"/>
    <w:rsid w:val="00257F6B"/>
    <w:rsid w:val="00260DF4"/>
    <w:rsid w:val="00261A64"/>
    <w:rsid w:val="00261DFD"/>
    <w:rsid w:val="00265CD5"/>
    <w:rsid w:val="00266136"/>
    <w:rsid w:val="002728DA"/>
    <w:rsid w:val="00272DF9"/>
    <w:rsid w:val="00273303"/>
    <w:rsid w:val="00273602"/>
    <w:rsid w:val="00273E1E"/>
    <w:rsid w:val="00273F2E"/>
    <w:rsid w:val="00274E48"/>
    <w:rsid w:val="00275057"/>
    <w:rsid w:val="002761CE"/>
    <w:rsid w:val="00276773"/>
    <w:rsid w:val="00280CE3"/>
    <w:rsid w:val="00280DBF"/>
    <w:rsid w:val="002817BC"/>
    <w:rsid w:val="00282421"/>
    <w:rsid w:val="002824C4"/>
    <w:rsid w:val="002836A8"/>
    <w:rsid w:val="00283C7E"/>
    <w:rsid w:val="00284CEB"/>
    <w:rsid w:val="002855EE"/>
    <w:rsid w:val="002858D9"/>
    <w:rsid w:val="00286EB0"/>
    <w:rsid w:val="0029194C"/>
    <w:rsid w:val="002935B5"/>
    <w:rsid w:val="0029598C"/>
    <w:rsid w:val="002961D3"/>
    <w:rsid w:val="002963EE"/>
    <w:rsid w:val="00296884"/>
    <w:rsid w:val="00296FD5"/>
    <w:rsid w:val="00297DAB"/>
    <w:rsid w:val="002A1B78"/>
    <w:rsid w:val="002A5B30"/>
    <w:rsid w:val="002A5BDC"/>
    <w:rsid w:val="002A5F4A"/>
    <w:rsid w:val="002A6373"/>
    <w:rsid w:val="002A682A"/>
    <w:rsid w:val="002A7B6A"/>
    <w:rsid w:val="002A7D0F"/>
    <w:rsid w:val="002A7F76"/>
    <w:rsid w:val="002A7F83"/>
    <w:rsid w:val="002B0F44"/>
    <w:rsid w:val="002B1312"/>
    <w:rsid w:val="002B2BF6"/>
    <w:rsid w:val="002B3BA0"/>
    <w:rsid w:val="002B3F86"/>
    <w:rsid w:val="002B4437"/>
    <w:rsid w:val="002B483E"/>
    <w:rsid w:val="002B4901"/>
    <w:rsid w:val="002B4B6D"/>
    <w:rsid w:val="002B54B0"/>
    <w:rsid w:val="002B5EDC"/>
    <w:rsid w:val="002B7759"/>
    <w:rsid w:val="002C05BA"/>
    <w:rsid w:val="002C0616"/>
    <w:rsid w:val="002C0A3E"/>
    <w:rsid w:val="002C0D1D"/>
    <w:rsid w:val="002C1771"/>
    <w:rsid w:val="002C19F8"/>
    <w:rsid w:val="002C1CDB"/>
    <w:rsid w:val="002C3182"/>
    <w:rsid w:val="002C3F31"/>
    <w:rsid w:val="002C4AE4"/>
    <w:rsid w:val="002C53BC"/>
    <w:rsid w:val="002C56E2"/>
    <w:rsid w:val="002C6210"/>
    <w:rsid w:val="002C71D7"/>
    <w:rsid w:val="002D2B50"/>
    <w:rsid w:val="002D4FEF"/>
    <w:rsid w:val="002D5A96"/>
    <w:rsid w:val="002D726D"/>
    <w:rsid w:val="002E0182"/>
    <w:rsid w:val="002E0ACF"/>
    <w:rsid w:val="002E0BEA"/>
    <w:rsid w:val="002E0EEA"/>
    <w:rsid w:val="002E1C17"/>
    <w:rsid w:val="002E2081"/>
    <w:rsid w:val="002E2105"/>
    <w:rsid w:val="002E21D1"/>
    <w:rsid w:val="002E316F"/>
    <w:rsid w:val="002E4950"/>
    <w:rsid w:val="002E4CAF"/>
    <w:rsid w:val="002E5630"/>
    <w:rsid w:val="002E5742"/>
    <w:rsid w:val="002E5EBE"/>
    <w:rsid w:val="002F1111"/>
    <w:rsid w:val="002F5BF2"/>
    <w:rsid w:val="002F5FD1"/>
    <w:rsid w:val="002F6AF8"/>
    <w:rsid w:val="002F6B82"/>
    <w:rsid w:val="002F706E"/>
    <w:rsid w:val="002F778A"/>
    <w:rsid w:val="0030068D"/>
    <w:rsid w:val="00300ADB"/>
    <w:rsid w:val="00300CCD"/>
    <w:rsid w:val="00302971"/>
    <w:rsid w:val="00302BB6"/>
    <w:rsid w:val="00302EB9"/>
    <w:rsid w:val="00303539"/>
    <w:rsid w:val="00305348"/>
    <w:rsid w:val="0030534F"/>
    <w:rsid w:val="003055FA"/>
    <w:rsid w:val="00305901"/>
    <w:rsid w:val="00305AC4"/>
    <w:rsid w:val="003068BD"/>
    <w:rsid w:val="00306A78"/>
    <w:rsid w:val="003102D8"/>
    <w:rsid w:val="00311456"/>
    <w:rsid w:val="00312B8C"/>
    <w:rsid w:val="00314083"/>
    <w:rsid w:val="0031610F"/>
    <w:rsid w:val="00316BB8"/>
    <w:rsid w:val="00316CF2"/>
    <w:rsid w:val="00316F09"/>
    <w:rsid w:val="003171C0"/>
    <w:rsid w:val="00317848"/>
    <w:rsid w:val="00317A73"/>
    <w:rsid w:val="003211E5"/>
    <w:rsid w:val="00321CD7"/>
    <w:rsid w:val="00322B92"/>
    <w:rsid w:val="00323BAB"/>
    <w:rsid w:val="003242E2"/>
    <w:rsid w:val="003274CA"/>
    <w:rsid w:val="00327525"/>
    <w:rsid w:val="003275AB"/>
    <w:rsid w:val="0033042C"/>
    <w:rsid w:val="00331CAC"/>
    <w:rsid w:val="00331E8E"/>
    <w:rsid w:val="00332547"/>
    <w:rsid w:val="00333157"/>
    <w:rsid w:val="00333BA3"/>
    <w:rsid w:val="0033429B"/>
    <w:rsid w:val="003353D2"/>
    <w:rsid w:val="003366C1"/>
    <w:rsid w:val="00341C6C"/>
    <w:rsid w:val="003438FA"/>
    <w:rsid w:val="00344F79"/>
    <w:rsid w:val="00347D71"/>
    <w:rsid w:val="0035072D"/>
    <w:rsid w:val="00351022"/>
    <w:rsid w:val="003511F9"/>
    <w:rsid w:val="003524E4"/>
    <w:rsid w:val="00354430"/>
    <w:rsid w:val="00354C10"/>
    <w:rsid w:val="0035593F"/>
    <w:rsid w:val="0035598B"/>
    <w:rsid w:val="00356EEB"/>
    <w:rsid w:val="00357555"/>
    <w:rsid w:val="00357651"/>
    <w:rsid w:val="00357C8B"/>
    <w:rsid w:val="00361A6D"/>
    <w:rsid w:val="00362B66"/>
    <w:rsid w:val="003644BF"/>
    <w:rsid w:val="00365768"/>
    <w:rsid w:val="00365FDC"/>
    <w:rsid w:val="00366DC6"/>
    <w:rsid w:val="003713E8"/>
    <w:rsid w:val="0037225F"/>
    <w:rsid w:val="00372A2F"/>
    <w:rsid w:val="00372BA0"/>
    <w:rsid w:val="0037360B"/>
    <w:rsid w:val="00374FC8"/>
    <w:rsid w:val="0037522C"/>
    <w:rsid w:val="0037591B"/>
    <w:rsid w:val="003776D8"/>
    <w:rsid w:val="00380B39"/>
    <w:rsid w:val="00382169"/>
    <w:rsid w:val="00382329"/>
    <w:rsid w:val="003824F5"/>
    <w:rsid w:val="00382E5E"/>
    <w:rsid w:val="003831FA"/>
    <w:rsid w:val="0038356E"/>
    <w:rsid w:val="00385057"/>
    <w:rsid w:val="00385C80"/>
    <w:rsid w:val="00386CE8"/>
    <w:rsid w:val="00387FC8"/>
    <w:rsid w:val="00390670"/>
    <w:rsid w:val="00390BAB"/>
    <w:rsid w:val="00393692"/>
    <w:rsid w:val="00393FCD"/>
    <w:rsid w:val="003946B7"/>
    <w:rsid w:val="00395540"/>
    <w:rsid w:val="00395FD5"/>
    <w:rsid w:val="0039686C"/>
    <w:rsid w:val="00397BC6"/>
    <w:rsid w:val="003A022A"/>
    <w:rsid w:val="003A1EC3"/>
    <w:rsid w:val="003A2B3E"/>
    <w:rsid w:val="003A3572"/>
    <w:rsid w:val="003A526F"/>
    <w:rsid w:val="003A54C3"/>
    <w:rsid w:val="003A68BE"/>
    <w:rsid w:val="003A722E"/>
    <w:rsid w:val="003A7E1D"/>
    <w:rsid w:val="003A7F20"/>
    <w:rsid w:val="003B02A4"/>
    <w:rsid w:val="003B0F18"/>
    <w:rsid w:val="003B4F9F"/>
    <w:rsid w:val="003B5A19"/>
    <w:rsid w:val="003B5DEA"/>
    <w:rsid w:val="003B6AD2"/>
    <w:rsid w:val="003B75C4"/>
    <w:rsid w:val="003C093A"/>
    <w:rsid w:val="003C14E8"/>
    <w:rsid w:val="003C1532"/>
    <w:rsid w:val="003C40C0"/>
    <w:rsid w:val="003C523D"/>
    <w:rsid w:val="003C7647"/>
    <w:rsid w:val="003C7AE0"/>
    <w:rsid w:val="003C7C7C"/>
    <w:rsid w:val="003D110D"/>
    <w:rsid w:val="003D2643"/>
    <w:rsid w:val="003D3DD0"/>
    <w:rsid w:val="003D53F3"/>
    <w:rsid w:val="003D5593"/>
    <w:rsid w:val="003D5E94"/>
    <w:rsid w:val="003D6028"/>
    <w:rsid w:val="003D6BF4"/>
    <w:rsid w:val="003D6E09"/>
    <w:rsid w:val="003E0B30"/>
    <w:rsid w:val="003E0CEF"/>
    <w:rsid w:val="003E0DCA"/>
    <w:rsid w:val="003E2C70"/>
    <w:rsid w:val="003E38BA"/>
    <w:rsid w:val="003E3E28"/>
    <w:rsid w:val="003E57B9"/>
    <w:rsid w:val="003E5D86"/>
    <w:rsid w:val="003E62CE"/>
    <w:rsid w:val="003E6507"/>
    <w:rsid w:val="003E656B"/>
    <w:rsid w:val="003E6895"/>
    <w:rsid w:val="003E6A70"/>
    <w:rsid w:val="003F017D"/>
    <w:rsid w:val="003F0478"/>
    <w:rsid w:val="003F2DE4"/>
    <w:rsid w:val="003F3130"/>
    <w:rsid w:val="003F3754"/>
    <w:rsid w:val="003F4227"/>
    <w:rsid w:val="003F52CB"/>
    <w:rsid w:val="003F7548"/>
    <w:rsid w:val="003F7698"/>
    <w:rsid w:val="004000BF"/>
    <w:rsid w:val="00400F5F"/>
    <w:rsid w:val="00401FFF"/>
    <w:rsid w:val="00403A45"/>
    <w:rsid w:val="00404300"/>
    <w:rsid w:val="00404E96"/>
    <w:rsid w:val="0040510C"/>
    <w:rsid w:val="004054C9"/>
    <w:rsid w:val="004060E3"/>
    <w:rsid w:val="00407014"/>
    <w:rsid w:val="00407325"/>
    <w:rsid w:val="0041005D"/>
    <w:rsid w:val="00413CA9"/>
    <w:rsid w:val="00414116"/>
    <w:rsid w:val="004148D3"/>
    <w:rsid w:val="00416282"/>
    <w:rsid w:val="00417AFC"/>
    <w:rsid w:val="0042016C"/>
    <w:rsid w:val="0042098F"/>
    <w:rsid w:val="00421048"/>
    <w:rsid w:val="00421339"/>
    <w:rsid w:val="00421980"/>
    <w:rsid w:val="00421CF0"/>
    <w:rsid w:val="00422EC0"/>
    <w:rsid w:val="00423478"/>
    <w:rsid w:val="00423CFD"/>
    <w:rsid w:val="004241FE"/>
    <w:rsid w:val="00424D80"/>
    <w:rsid w:val="00425108"/>
    <w:rsid w:val="004257AF"/>
    <w:rsid w:val="00426F1D"/>
    <w:rsid w:val="004276C8"/>
    <w:rsid w:val="00430FB9"/>
    <w:rsid w:val="00431132"/>
    <w:rsid w:val="0043147B"/>
    <w:rsid w:val="00432A3B"/>
    <w:rsid w:val="00433C78"/>
    <w:rsid w:val="0043469E"/>
    <w:rsid w:val="004348AD"/>
    <w:rsid w:val="004366E4"/>
    <w:rsid w:val="00436E14"/>
    <w:rsid w:val="00442DAA"/>
    <w:rsid w:val="00443470"/>
    <w:rsid w:val="00443D73"/>
    <w:rsid w:val="00445182"/>
    <w:rsid w:val="00445584"/>
    <w:rsid w:val="00446608"/>
    <w:rsid w:val="004471A7"/>
    <w:rsid w:val="0044795F"/>
    <w:rsid w:val="0045149F"/>
    <w:rsid w:val="00451BFB"/>
    <w:rsid w:val="00451CF2"/>
    <w:rsid w:val="00451F41"/>
    <w:rsid w:val="00452B8B"/>
    <w:rsid w:val="00452FED"/>
    <w:rsid w:val="00455221"/>
    <w:rsid w:val="00455E68"/>
    <w:rsid w:val="00456B20"/>
    <w:rsid w:val="00457381"/>
    <w:rsid w:val="0046417B"/>
    <w:rsid w:val="004644E3"/>
    <w:rsid w:val="004646C6"/>
    <w:rsid w:val="004646EA"/>
    <w:rsid w:val="00464876"/>
    <w:rsid w:val="00464C73"/>
    <w:rsid w:val="0046538B"/>
    <w:rsid w:val="00470423"/>
    <w:rsid w:val="00470716"/>
    <w:rsid w:val="004710A8"/>
    <w:rsid w:val="004712A0"/>
    <w:rsid w:val="004727C3"/>
    <w:rsid w:val="00473D72"/>
    <w:rsid w:val="00475CB3"/>
    <w:rsid w:val="00477F42"/>
    <w:rsid w:val="0048082F"/>
    <w:rsid w:val="00480858"/>
    <w:rsid w:val="0048095A"/>
    <w:rsid w:val="00480B88"/>
    <w:rsid w:val="00480DEC"/>
    <w:rsid w:val="00482357"/>
    <w:rsid w:val="004824E3"/>
    <w:rsid w:val="0048264F"/>
    <w:rsid w:val="004826B1"/>
    <w:rsid w:val="00482A2B"/>
    <w:rsid w:val="00482FBC"/>
    <w:rsid w:val="004840CC"/>
    <w:rsid w:val="00484C73"/>
    <w:rsid w:val="00485312"/>
    <w:rsid w:val="004853E1"/>
    <w:rsid w:val="00485FB6"/>
    <w:rsid w:val="0048694A"/>
    <w:rsid w:val="00486D7E"/>
    <w:rsid w:val="004877B5"/>
    <w:rsid w:val="0048795D"/>
    <w:rsid w:val="00487CB0"/>
    <w:rsid w:val="00487F4F"/>
    <w:rsid w:val="00491697"/>
    <w:rsid w:val="00492BB3"/>
    <w:rsid w:val="00493E6A"/>
    <w:rsid w:val="00493FD8"/>
    <w:rsid w:val="0049422E"/>
    <w:rsid w:val="00494942"/>
    <w:rsid w:val="004956B2"/>
    <w:rsid w:val="00496167"/>
    <w:rsid w:val="00496680"/>
    <w:rsid w:val="00497C63"/>
    <w:rsid w:val="004A0F89"/>
    <w:rsid w:val="004A14D1"/>
    <w:rsid w:val="004A31E8"/>
    <w:rsid w:val="004A33F3"/>
    <w:rsid w:val="004A3482"/>
    <w:rsid w:val="004A38DC"/>
    <w:rsid w:val="004A4560"/>
    <w:rsid w:val="004A4F59"/>
    <w:rsid w:val="004A50E1"/>
    <w:rsid w:val="004A5D91"/>
    <w:rsid w:val="004A6AC8"/>
    <w:rsid w:val="004A70F7"/>
    <w:rsid w:val="004B04C4"/>
    <w:rsid w:val="004B0DC2"/>
    <w:rsid w:val="004B184E"/>
    <w:rsid w:val="004B23C2"/>
    <w:rsid w:val="004B4845"/>
    <w:rsid w:val="004B523E"/>
    <w:rsid w:val="004B5D50"/>
    <w:rsid w:val="004B69A9"/>
    <w:rsid w:val="004C00B3"/>
    <w:rsid w:val="004C05EA"/>
    <w:rsid w:val="004C0794"/>
    <w:rsid w:val="004C21C6"/>
    <w:rsid w:val="004C25D7"/>
    <w:rsid w:val="004C2644"/>
    <w:rsid w:val="004C2660"/>
    <w:rsid w:val="004C496D"/>
    <w:rsid w:val="004C4B21"/>
    <w:rsid w:val="004C6304"/>
    <w:rsid w:val="004C77BE"/>
    <w:rsid w:val="004D059F"/>
    <w:rsid w:val="004D3935"/>
    <w:rsid w:val="004D3B48"/>
    <w:rsid w:val="004D405F"/>
    <w:rsid w:val="004D46CC"/>
    <w:rsid w:val="004D4BE4"/>
    <w:rsid w:val="004D50D9"/>
    <w:rsid w:val="004D550C"/>
    <w:rsid w:val="004D6E07"/>
    <w:rsid w:val="004D6F49"/>
    <w:rsid w:val="004E0D2E"/>
    <w:rsid w:val="004E12B8"/>
    <w:rsid w:val="004E12D2"/>
    <w:rsid w:val="004E2C1D"/>
    <w:rsid w:val="004E340A"/>
    <w:rsid w:val="004E466D"/>
    <w:rsid w:val="004E4EC1"/>
    <w:rsid w:val="004E5DD5"/>
    <w:rsid w:val="004E7573"/>
    <w:rsid w:val="004F07CB"/>
    <w:rsid w:val="004F0814"/>
    <w:rsid w:val="004F09D2"/>
    <w:rsid w:val="004F15D4"/>
    <w:rsid w:val="004F5715"/>
    <w:rsid w:val="004F67EF"/>
    <w:rsid w:val="0050008C"/>
    <w:rsid w:val="00502CCD"/>
    <w:rsid w:val="0050322B"/>
    <w:rsid w:val="005038B3"/>
    <w:rsid w:val="00503DEC"/>
    <w:rsid w:val="0050432F"/>
    <w:rsid w:val="0050517B"/>
    <w:rsid w:val="00505EF2"/>
    <w:rsid w:val="005063B4"/>
    <w:rsid w:val="0050646C"/>
    <w:rsid w:val="00506A54"/>
    <w:rsid w:val="00507BBD"/>
    <w:rsid w:val="005109C0"/>
    <w:rsid w:val="00510E3A"/>
    <w:rsid w:val="00511E35"/>
    <w:rsid w:val="00511F72"/>
    <w:rsid w:val="00513C74"/>
    <w:rsid w:val="005143C3"/>
    <w:rsid w:val="005164C7"/>
    <w:rsid w:val="005170E2"/>
    <w:rsid w:val="005179F5"/>
    <w:rsid w:val="00520C16"/>
    <w:rsid w:val="00521941"/>
    <w:rsid w:val="005226BF"/>
    <w:rsid w:val="00527373"/>
    <w:rsid w:val="00527E8F"/>
    <w:rsid w:val="0053037E"/>
    <w:rsid w:val="0053244D"/>
    <w:rsid w:val="005341AA"/>
    <w:rsid w:val="00535113"/>
    <w:rsid w:val="005364CF"/>
    <w:rsid w:val="0053654F"/>
    <w:rsid w:val="00536BD4"/>
    <w:rsid w:val="005371BF"/>
    <w:rsid w:val="00540025"/>
    <w:rsid w:val="00540BEA"/>
    <w:rsid w:val="0054279A"/>
    <w:rsid w:val="00542993"/>
    <w:rsid w:val="00542F95"/>
    <w:rsid w:val="00544110"/>
    <w:rsid w:val="00544F1B"/>
    <w:rsid w:val="005454AE"/>
    <w:rsid w:val="005461F7"/>
    <w:rsid w:val="00546516"/>
    <w:rsid w:val="005470FD"/>
    <w:rsid w:val="00547145"/>
    <w:rsid w:val="005475E7"/>
    <w:rsid w:val="0055126A"/>
    <w:rsid w:val="005522D9"/>
    <w:rsid w:val="005532FC"/>
    <w:rsid w:val="005545F9"/>
    <w:rsid w:val="00554881"/>
    <w:rsid w:val="00554AB8"/>
    <w:rsid w:val="00554D11"/>
    <w:rsid w:val="005557DE"/>
    <w:rsid w:val="005562AA"/>
    <w:rsid w:val="00556A5B"/>
    <w:rsid w:val="00556ABD"/>
    <w:rsid w:val="00557058"/>
    <w:rsid w:val="00557630"/>
    <w:rsid w:val="00557671"/>
    <w:rsid w:val="005577B7"/>
    <w:rsid w:val="005618A0"/>
    <w:rsid w:val="00561EAB"/>
    <w:rsid w:val="005631D6"/>
    <w:rsid w:val="00564127"/>
    <w:rsid w:val="00564A60"/>
    <w:rsid w:val="0056613E"/>
    <w:rsid w:val="0056688C"/>
    <w:rsid w:val="00566996"/>
    <w:rsid w:val="00567369"/>
    <w:rsid w:val="00567473"/>
    <w:rsid w:val="0056774C"/>
    <w:rsid w:val="00567D53"/>
    <w:rsid w:val="00570412"/>
    <w:rsid w:val="00570808"/>
    <w:rsid w:val="005712BC"/>
    <w:rsid w:val="00572329"/>
    <w:rsid w:val="005734A9"/>
    <w:rsid w:val="00573CE1"/>
    <w:rsid w:val="00573E98"/>
    <w:rsid w:val="0057435E"/>
    <w:rsid w:val="0057436A"/>
    <w:rsid w:val="00574F28"/>
    <w:rsid w:val="00575226"/>
    <w:rsid w:val="0057660A"/>
    <w:rsid w:val="00581085"/>
    <w:rsid w:val="00581091"/>
    <w:rsid w:val="00581426"/>
    <w:rsid w:val="005820AA"/>
    <w:rsid w:val="0058372C"/>
    <w:rsid w:val="005837EF"/>
    <w:rsid w:val="005840AD"/>
    <w:rsid w:val="00584876"/>
    <w:rsid w:val="00584AF8"/>
    <w:rsid w:val="00584DB4"/>
    <w:rsid w:val="00585395"/>
    <w:rsid w:val="00592404"/>
    <w:rsid w:val="0059361F"/>
    <w:rsid w:val="00595329"/>
    <w:rsid w:val="0059592F"/>
    <w:rsid w:val="0059613A"/>
    <w:rsid w:val="0059691E"/>
    <w:rsid w:val="0059695D"/>
    <w:rsid w:val="00596AEF"/>
    <w:rsid w:val="00596F5C"/>
    <w:rsid w:val="00597360"/>
    <w:rsid w:val="005A0C81"/>
    <w:rsid w:val="005A0E5E"/>
    <w:rsid w:val="005A187D"/>
    <w:rsid w:val="005A2248"/>
    <w:rsid w:val="005A303F"/>
    <w:rsid w:val="005A5B5D"/>
    <w:rsid w:val="005A6565"/>
    <w:rsid w:val="005A7828"/>
    <w:rsid w:val="005B006E"/>
    <w:rsid w:val="005B0E74"/>
    <w:rsid w:val="005B2770"/>
    <w:rsid w:val="005B49C4"/>
    <w:rsid w:val="005B5376"/>
    <w:rsid w:val="005B59B3"/>
    <w:rsid w:val="005B64D6"/>
    <w:rsid w:val="005B6B73"/>
    <w:rsid w:val="005C148C"/>
    <w:rsid w:val="005C15A5"/>
    <w:rsid w:val="005C1CD2"/>
    <w:rsid w:val="005C397E"/>
    <w:rsid w:val="005C3E77"/>
    <w:rsid w:val="005C5AAA"/>
    <w:rsid w:val="005C5F53"/>
    <w:rsid w:val="005C6F83"/>
    <w:rsid w:val="005C7D3B"/>
    <w:rsid w:val="005D14D2"/>
    <w:rsid w:val="005D27FC"/>
    <w:rsid w:val="005D2C84"/>
    <w:rsid w:val="005D3454"/>
    <w:rsid w:val="005D5BB5"/>
    <w:rsid w:val="005D69E6"/>
    <w:rsid w:val="005D6DF3"/>
    <w:rsid w:val="005D704B"/>
    <w:rsid w:val="005E1A87"/>
    <w:rsid w:val="005E1AE1"/>
    <w:rsid w:val="005E2410"/>
    <w:rsid w:val="005E40B5"/>
    <w:rsid w:val="005E44FD"/>
    <w:rsid w:val="005E4C17"/>
    <w:rsid w:val="005E552A"/>
    <w:rsid w:val="005E575C"/>
    <w:rsid w:val="005E62DF"/>
    <w:rsid w:val="005E7518"/>
    <w:rsid w:val="005F1339"/>
    <w:rsid w:val="005F1993"/>
    <w:rsid w:val="005F27A3"/>
    <w:rsid w:val="005F4EAC"/>
    <w:rsid w:val="005F4FB1"/>
    <w:rsid w:val="005F500C"/>
    <w:rsid w:val="005F6CD7"/>
    <w:rsid w:val="006006DA"/>
    <w:rsid w:val="00600A8E"/>
    <w:rsid w:val="00600D47"/>
    <w:rsid w:val="00601C73"/>
    <w:rsid w:val="00602706"/>
    <w:rsid w:val="0060293C"/>
    <w:rsid w:val="00602EF3"/>
    <w:rsid w:val="00602FBA"/>
    <w:rsid w:val="00603A64"/>
    <w:rsid w:val="00603C1C"/>
    <w:rsid w:val="006040FB"/>
    <w:rsid w:val="00605223"/>
    <w:rsid w:val="006060B9"/>
    <w:rsid w:val="00606573"/>
    <w:rsid w:val="006067C2"/>
    <w:rsid w:val="00612FAC"/>
    <w:rsid w:val="00613FFB"/>
    <w:rsid w:val="006140FB"/>
    <w:rsid w:val="00614C29"/>
    <w:rsid w:val="00616D32"/>
    <w:rsid w:val="006179A1"/>
    <w:rsid w:val="00617BA8"/>
    <w:rsid w:val="00617FD2"/>
    <w:rsid w:val="00620DAC"/>
    <w:rsid w:val="006222ED"/>
    <w:rsid w:val="00622D24"/>
    <w:rsid w:val="0062371E"/>
    <w:rsid w:val="00623BBA"/>
    <w:rsid w:val="00625702"/>
    <w:rsid w:val="00626CFB"/>
    <w:rsid w:val="0062748E"/>
    <w:rsid w:val="006301C3"/>
    <w:rsid w:val="0063078F"/>
    <w:rsid w:val="00630C49"/>
    <w:rsid w:val="00630F68"/>
    <w:rsid w:val="00631462"/>
    <w:rsid w:val="0063478C"/>
    <w:rsid w:val="00634A4E"/>
    <w:rsid w:val="00635431"/>
    <w:rsid w:val="006357F8"/>
    <w:rsid w:val="00635A83"/>
    <w:rsid w:val="00635DF7"/>
    <w:rsid w:val="00637262"/>
    <w:rsid w:val="006407B9"/>
    <w:rsid w:val="00641094"/>
    <w:rsid w:val="006415F4"/>
    <w:rsid w:val="006421F8"/>
    <w:rsid w:val="00642F89"/>
    <w:rsid w:val="006444A4"/>
    <w:rsid w:val="0064464C"/>
    <w:rsid w:val="00645AFF"/>
    <w:rsid w:val="00646BE7"/>
    <w:rsid w:val="006472FB"/>
    <w:rsid w:val="006476F6"/>
    <w:rsid w:val="006518FC"/>
    <w:rsid w:val="006525D7"/>
    <w:rsid w:val="00654433"/>
    <w:rsid w:val="00654743"/>
    <w:rsid w:val="00655A30"/>
    <w:rsid w:val="006561A1"/>
    <w:rsid w:val="00656B5E"/>
    <w:rsid w:val="00657857"/>
    <w:rsid w:val="0066161D"/>
    <w:rsid w:val="00663F5C"/>
    <w:rsid w:val="00664A49"/>
    <w:rsid w:val="00664F59"/>
    <w:rsid w:val="00675ABB"/>
    <w:rsid w:val="006766F1"/>
    <w:rsid w:val="0067684C"/>
    <w:rsid w:val="006811EE"/>
    <w:rsid w:val="006815B1"/>
    <w:rsid w:val="006821BD"/>
    <w:rsid w:val="00682203"/>
    <w:rsid w:val="00682981"/>
    <w:rsid w:val="006829A9"/>
    <w:rsid w:val="006830BC"/>
    <w:rsid w:val="00683446"/>
    <w:rsid w:val="00684A38"/>
    <w:rsid w:val="00686884"/>
    <w:rsid w:val="00686A57"/>
    <w:rsid w:val="006904EE"/>
    <w:rsid w:val="00692062"/>
    <w:rsid w:val="0069256A"/>
    <w:rsid w:val="00692696"/>
    <w:rsid w:val="00693185"/>
    <w:rsid w:val="006937A1"/>
    <w:rsid w:val="00695E99"/>
    <w:rsid w:val="006A0BDB"/>
    <w:rsid w:val="006A1798"/>
    <w:rsid w:val="006A565C"/>
    <w:rsid w:val="006A60ED"/>
    <w:rsid w:val="006A63F1"/>
    <w:rsid w:val="006A640B"/>
    <w:rsid w:val="006A64A4"/>
    <w:rsid w:val="006A6C48"/>
    <w:rsid w:val="006A74CB"/>
    <w:rsid w:val="006A75BF"/>
    <w:rsid w:val="006A7C1D"/>
    <w:rsid w:val="006B0C63"/>
    <w:rsid w:val="006B1046"/>
    <w:rsid w:val="006B257D"/>
    <w:rsid w:val="006B25AE"/>
    <w:rsid w:val="006B26FA"/>
    <w:rsid w:val="006B2A66"/>
    <w:rsid w:val="006B2E2C"/>
    <w:rsid w:val="006B3417"/>
    <w:rsid w:val="006B3A08"/>
    <w:rsid w:val="006B5247"/>
    <w:rsid w:val="006B5BE9"/>
    <w:rsid w:val="006B6AB3"/>
    <w:rsid w:val="006B72B8"/>
    <w:rsid w:val="006C0693"/>
    <w:rsid w:val="006C0A26"/>
    <w:rsid w:val="006C0B19"/>
    <w:rsid w:val="006C1B22"/>
    <w:rsid w:val="006C2364"/>
    <w:rsid w:val="006C24D1"/>
    <w:rsid w:val="006C2722"/>
    <w:rsid w:val="006C2DEB"/>
    <w:rsid w:val="006C45FE"/>
    <w:rsid w:val="006C64CC"/>
    <w:rsid w:val="006D019E"/>
    <w:rsid w:val="006D02FD"/>
    <w:rsid w:val="006D0CE6"/>
    <w:rsid w:val="006D1885"/>
    <w:rsid w:val="006D26DE"/>
    <w:rsid w:val="006D4121"/>
    <w:rsid w:val="006D52CD"/>
    <w:rsid w:val="006D5713"/>
    <w:rsid w:val="006D67FE"/>
    <w:rsid w:val="006D6A8C"/>
    <w:rsid w:val="006D71F4"/>
    <w:rsid w:val="006D7760"/>
    <w:rsid w:val="006E005D"/>
    <w:rsid w:val="006E1242"/>
    <w:rsid w:val="006E1A36"/>
    <w:rsid w:val="006E25AB"/>
    <w:rsid w:val="006E2EB9"/>
    <w:rsid w:val="006E58FB"/>
    <w:rsid w:val="006E597D"/>
    <w:rsid w:val="006E6A64"/>
    <w:rsid w:val="006E7225"/>
    <w:rsid w:val="006E7958"/>
    <w:rsid w:val="006F2787"/>
    <w:rsid w:val="006F29AC"/>
    <w:rsid w:val="006F4BD0"/>
    <w:rsid w:val="006F58DD"/>
    <w:rsid w:val="006F5F24"/>
    <w:rsid w:val="006F6133"/>
    <w:rsid w:val="006F638A"/>
    <w:rsid w:val="006F6ABE"/>
    <w:rsid w:val="006F74F8"/>
    <w:rsid w:val="007023B1"/>
    <w:rsid w:val="0070278C"/>
    <w:rsid w:val="007028DE"/>
    <w:rsid w:val="00702BDF"/>
    <w:rsid w:val="00702F37"/>
    <w:rsid w:val="00703B23"/>
    <w:rsid w:val="00704E43"/>
    <w:rsid w:val="00705251"/>
    <w:rsid w:val="007061EE"/>
    <w:rsid w:val="00706B90"/>
    <w:rsid w:val="00707D7C"/>
    <w:rsid w:val="00711566"/>
    <w:rsid w:val="007127F5"/>
    <w:rsid w:val="00713AD3"/>
    <w:rsid w:val="00713D82"/>
    <w:rsid w:val="00713F38"/>
    <w:rsid w:val="007141D8"/>
    <w:rsid w:val="00714A7D"/>
    <w:rsid w:val="007153BE"/>
    <w:rsid w:val="00715BCD"/>
    <w:rsid w:val="00721546"/>
    <w:rsid w:val="00721FE7"/>
    <w:rsid w:val="00722026"/>
    <w:rsid w:val="0072467C"/>
    <w:rsid w:val="007254BC"/>
    <w:rsid w:val="007256E0"/>
    <w:rsid w:val="00725E63"/>
    <w:rsid w:val="00726B48"/>
    <w:rsid w:val="00727B41"/>
    <w:rsid w:val="00727E84"/>
    <w:rsid w:val="0073105B"/>
    <w:rsid w:val="00731E55"/>
    <w:rsid w:val="00731F50"/>
    <w:rsid w:val="007329FF"/>
    <w:rsid w:val="00734D57"/>
    <w:rsid w:val="0073725E"/>
    <w:rsid w:val="00740112"/>
    <w:rsid w:val="00740755"/>
    <w:rsid w:val="00744565"/>
    <w:rsid w:val="0074476F"/>
    <w:rsid w:val="0074484C"/>
    <w:rsid w:val="00745294"/>
    <w:rsid w:val="007464AE"/>
    <w:rsid w:val="00746676"/>
    <w:rsid w:val="00747990"/>
    <w:rsid w:val="007479D5"/>
    <w:rsid w:val="00750484"/>
    <w:rsid w:val="007504D8"/>
    <w:rsid w:val="00750B0A"/>
    <w:rsid w:val="00750BAC"/>
    <w:rsid w:val="00752BD8"/>
    <w:rsid w:val="0075372E"/>
    <w:rsid w:val="00753EC9"/>
    <w:rsid w:val="00754508"/>
    <w:rsid w:val="007557DC"/>
    <w:rsid w:val="00760643"/>
    <w:rsid w:val="0076159A"/>
    <w:rsid w:val="00762283"/>
    <w:rsid w:val="0076276E"/>
    <w:rsid w:val="00763541"/>
    <w:rsid w:val="00763D16"/>
    <w:rsid w:val="00764459"/>
    <w:rsid w:val="00765092"/>
    <w:rsid w:val="00765800"/>
    <w:rsid w:val="007661F6"/>
    <w:rsid w:val="00767863"/>
    <w:rsid w:val="0077054D"/>
    <w:rsid w:val="00770733"/>
    <w:rsid w:val="00770D27"/>
    <w:rsid w:val="0077140D"/>
    <w:rsid w:val="00772705"/>
    <w:rsid w:val="00773057"/>
    <w:rsid w:val="0077428A"/>
    <w:rsid w:val="00774EA1"/>
    <w:rsid w:val="00776AD4"/>
    <w:rsid w:val="00780921"/>
    <w:rsid w:val="007819D8"/>
    <w:rsid w:val="007826A0"/>
    <w:rsid w:val="00783556"/>
    <w:rsid w:val="00783BFC"/>
    <w:rsid w:val="00785051"/>
    <w:rsid w:val="00787AA9"/>
    <w:rsid w:val="0079038A"/>
    <w:rsid w:val="00790CE5"/>
    <w:rsid w:val="00791B20"/>
    <w:rsid w:val="00791D94"/>
    <w:rsid w:val="00791F2C"/>
    <w:rsid w:val="00792839"/>
    <w:rsid w:val="007936FB"/>
    <w:rsid w:val="00795CBF"/>
    <w:rsid w:val="00795EC9"/>
    <w:rsid w:val="0079637A"/>
    <w:rsid w:val="007A21BC"/>
    <w:rsid w:val="007A225C"/>
    <w:rsid w:val="007A33B5"/>
    <w:rsid w:val="007A43EB"/>
    <w:rsid w:val="007A5B26"/>
    <w:rsid w:val="007A5BC8"/>
    <w:rsid w:val="007A5E66"/>
    <w:rsid w:val="007A6954"/>
    <w:rsid w:val="007A6E9F"/>
    <w:rsid w:val="007B0342"/>
    <w:rsid w:val="007B158D"/>
    <w:rsid w:val="007B28D5"/>
    <w:rsid w:val="007B3C63"/>
    <w:rsid w:val="007B4182"/>
    <w:rsid w:val="007B4E0D"/>
    <w:rsid w:val="007B65B6"/>
    <w:rsid w:val="007B72B5"/>
    <w:rsid w:val="007C0419"/>
    <w:rsid w:val="007C1F6C"/>
    <w:rsid w:val="007C1FF1"/>
    <w:rsid w:val="007C233E"/>
    <w:rsid w:val="007C3F0E"/>
    <w:rsid w:val="007C402D"/>
    <w:rsid w:val="007C41EE"/>
    <w:rsid w:val="007C597B"/>
    <w:rsid w:val="007C60FC"/>
    <w:rsid w:val="007D0285"/>
    <w:rsid w:val="007D05F7"/>
    <w:rsid w:val="007D23EC"/>
    <w:rsid w:val="007D35A5"/>
    <w:rsid w:val="007D3DA9"/>
    <w:rsid w:val="007D4A55"/>
    <w:rsid w:val="007D4AEC"/>
    <w:rsid w:val="007D4ED5"/>
    <w:rsid w:val="007D60AC"/>
    <w:rsid w:val="007D69FE"/>
    <w:rsid w:val="007D6FCB"/>
    <w:rsid w:val="007D718C"/>
    <w:rsid w:val="007E18EE"/>
    <w:rsid w:val="007E1D3C"/>
    <w:rsid w:val="007E21CA"/>
    <w:rsid w:val="007E37CE"/>
    <w:rsid w:val="007E3AF3"/>
    <w:rsid w:val="007E48C1"/>
    <w:rsid w:val="007E4A3B"/>
    <w:rsid w:val="007E4E84"/>
    <w:rsid w:val="007E5CEB"/>
    <w:rsid w:val="007E64C1"/>
    <w:rsid w:val="007E73D9"/>
    <w:rsid w:val="007F1432"/>
    <w:rsid w:val="007F2AEF"/>
    <w:rsid w:val="007F3529"/>
    <w:rsid w:val="007F4801"/>
    <w:rsid w:val="007F4BA4"/>
    <w:rsid w:val="007F4D14"/>
    <w:rsid w:val="007F4E7F"/>
    <w:rsid w:val="007F5631"/>
    <w:rsid w:val="00800C65"/>
    <w:rsid w:val="00801196"/>
    <w:rsid w:val="00801BF3"/>
    <w:rsid w:val="00801D46"/>
    <w:rsid w:val="00802F1C"/>
    <w:rsid w:val="00803899"/>
    <w:rsid w:val="008046A2"/>
    <w:rsid w:val="0080571D"/>
    <w:rsid w:val="00805997"/>
    <w:rsid w:val="00805FE3"/>
    <w:rsid w:val="0081097E"/>
    <w:rsid w:val="0081341C"/>
    <w:rsid w:val="00813503"/>
    <w:rsid w:val="00813648"/>
    <w:rsid w:val="00813C8F"/>
    <w:rsid w:val="00816780"/>
    <w:rsid w:val="00817F42"/>
    <w:rsid w:val="00820488"/>
    <w:rsid w:val="00820738"/>
    <w:rsid w:val="00820C13"/>
    <w:rsid w:val="008222A0"/>
    <w:rsid w:val="0082459C"/>
    <w:rsid w:val="00826908"/>
    <w:rsid w:val="00826BA3"/>
    <w:rsid w:val="00826C38"/>
    <w:rsid w:val="008274E7"/>
    <w:rsid w:val="00830301"/>
    <w:rsid w:val="00830835"/>
    <w:rsid w:val="00830E29"/>
    <w:rsid w:val="008317E2"/>
    <w:rsid w:val="00831815"/>
    <w:rsid w:val="00832647"/>
    <w:rsid w:val="00832A63"/>
    <w:rsid w:val="008346AF"/>
    <w:rsid w:val="008351DA"/>
    <w:rsid w:val="00837C00"/>
    <w:rsid w:val="008432A8"/>
    <w:rsid w:val="00844954"/>
    <w:rsid w:val="00845233"/>
    <w:rsid w:val="008515B6"/>
    <w:rsid w:val="00851B81"/>
    <w:rsid w:val="00851BCA"/>
    <w:rsid w:val="008531D2"/>
    <w:rsid w:val="0085348E"/>
    <w:rsid w:val="00853AA9"/>
    <w:rsid w:val="00854225"/>
    <w:rsid w:val="008544B1"/>
    <w:rsid w:val="00854993"/>
    <w:rsid w:val="00854FDC"/>
    <w:rsid w:val="00856609"/>
    <w:rsid w:val="00856CE3"/>
    <w:rsid w:val="008575E1"/>
    <w:rsid w:val="00860195"/>
    <w:rsid w:val="00860451"/>
    <w:rsid w:val="0086165B"/>
    <w:rsid w:val="0086180D"/>
    <w:rsid w:val="00861BB1"/>
    <w:rsid w:val="00861EC6"/>
    <w:rsid w:val="00862A2A"/>
    <w:rsid w:val="00862DB6"/>
    <w:rsid w:val="00862E37"/>
    <w:rsid w:val="0086357A"/>
    <w:rsid w:val="00864C32"/>
    <w:rsid w:val="00871ACC"/>
    <w:rsid w:val="00871F9D"/>
    <w:rsid w:val="008740D6"/>
    <w:rsid w:val="0087451F"/>
    <w:rsid w:val="00874661"/>
    <w:rsid w:val="00874F25"/>
    <w:rsid w:val="00876FF2"/>
    <w:rsid w:val="00877B59"/>
    <w:rsid w:val="00877E70"/>
    <w:rsid w:val="00877F83"/>
    <w:rsid w:val="008818FF"/>
    <w:rsid w:val="00881AB0"/>
    <w:rsid w:val="00882A60"/>
    <w:rsid w:val="00882BA6"/>
    <w:rsid w:val="0088344F"/>
    <w:rsid w:val="008844BA"/>
    <w:rsid w:val="00884BA4"/>
    <w:rsid w:val="00884C3F"/>
    <w:rsid w:val="00884E36"/>
    <w:rsid w:val="008851F7"/>
    <w:rsid w:val="0088641F"/>
    <w:rsid w:val="00887EC2"/>
    <w:rsid w:val="00890059"/>
    <w:rsid w:val="008904AE"/>
    <w:rsid w:val="008907F1"/>
    <w:rsid w:val="008919E9"/>
    <w:rsid w:val="00892B28"/>
    <w:rsid w:val="00893374"/>
    <w:rsid w:val="00894E14"/>
    <w:rsid w:val="0089546C"/>
    <w:rsid w:val="00895E05"/>
    <w:rsid w:val="00896330"/>
    <w:rsid w:val="00896B36"/>
    <w:rsid w:val="00897DB6"/>
    <w:rsid w:val="008A01BA"/>
    <w:rsid w:val="008A3633"/>
    <w:rsid w:val="008A4A1E"/>
    <w:rsid w:val="008A52A9"/>
    <w:rsid w:val="008A6FDC"/>
    <w:rsid w:val="008A7CDF"/>
    <w:rsid w:val="008B03FD"/>
    <w:rsid w:val="008B045D"/>
    <w:rsid w:val="008B0A38"/>
    <w:rsid w:val="008B1037"/>
    <w:rsid w:val="008B1224"/>
    <w:rsid w:val="008B1279"/>
    <w:rsid w:val="008B2F86"/>
    <w:rsid w:val="008B34C0"/>
    <w:rsid w:val="008B398B"/>
    <w:rsid w:val="008B48E9"/>
    <w:rsid w:val="008B630D"/>
    <w:rsid w:val="008B64C2"/>
    <w:rsid w:val="008B70A6"/>
    <w:rsid w:val="008C0F8E"/>
    <w:rsid w:val="008C11B2"/>
    <w:rsid w:val="008C13A5"/>
    <w:rsid w:val="008C2607"/>
    <w:rsid w:val="008C31DC"/>
    <w:rsid w:val="008C47ED"/>
    <w:rsid w:val="008C4C28"/>
    <w:rsid w:val="008C4DE9"/>
    <w:rsid w:val="008C5E40"/>
    <w:rsid w:val="008C775D"/>
    <w:rsid w:val="008C7B45"/>
    <w:rsid w:val="008D19EF"/>
    <w:rsid w:val="008D1FF3"/>
    <w:rsid w:val="008D606D"/>
    <w:rsid w:val="008D7468"/>
    <w:rsid w:val="008D7C13"/>
    <w:rsid w:val="008E08DA"/>
    <w:rsid w:val="008E1F85"/>
    <w:rsid w:val="008E2AC0"/>
    <w:rsid w:val="008E468D"/>
    <w:rsid w:val="008E7A09"/>
    <w:rsid w:val="008E7D43"/>
    <w:rsid w:val="008F16DA"/>
    <w:rsid w:val="008F2FB2"/>
    <w:rsid w:val="008F3C27"/>
    <w:rsid w:val="008F4B89"/>
    <w:rsid w:val="008F582D"/>
    <w:rsid w:val="008F5D8A"/>
    <w:rsid w:val="008F726F"/>
    <w:rsid w:val="0090098B"/>
    <w:rsid w:val="00900A39"/>
    <w:rsid w:val="00900C95"/>
    <w:rsid w:val="00901A1A"/>
    <w:rsid w:val="00901BFC"/>
    <w:rsid w:val="0090209E"/>
    <w:rsid w:val="00902946"/>
    <w:rsid w:val="0090299C"/>
    <w:rsid w:val="00903A7C"/>
    <w:rsid w:val="0090585E"/>
    <w:rsid w:val="00905F34"/>
    <w:rsid w:val="00906E09"/>
    <w:rsid w:val="009072C1"/>
    <w:rsid w:val="00907C50"/>
    <w:rsid w:val="00907D8F"/>
    <w:rsid w:val="00910B29"/>
    <w:rsid w:val="0091152C"/>
    <w:rsid w:val="009115AB"/>
    <w:rsid w:val="009129D2"/>
    <w:rsid w:val="00913D11"/>
    <w:rsid w:val="00914412"/>
    <w:rsid w:val="00914F49"/>
    <w:rsid w:val="00915106"/>
    <w:rsid w:val="00915B6F"/>
    <w:rsid w:val="00916BA4"/>
    <w:rsid w:val="00917078"/>
    <w:rsid w:val="009178CC"/>
    <w:rsid w:val="00917C48"/>
    <w:rsid w:val="00917CD0"/>
    <w:rsid w:val="0092434D"/>
    <w:rsid w:val="00925365"/>
    <w:rsid w:val="00925368"/>
    <w:rsid w:val="00925B3E"/>
    <w:rsid w:val="00925D6D"/>
    <w:rsid w:val="009265F4"/>
    <w:rsid w:val="00927437"/>
    <w:rsid w:val="009277B7"/>
    <w:rsid w:val="00927D50"/>
    <w:rsid w:val="00930BBD"/>
    <w:rsid w:val="00931B48"/>
    <w:rsid w:val="009323E6"/>
    <w:rsid w:val="0093449D"/>
    <w:rsid w:val="0093543F"/>
    <w:rsid w:val="00937272"/>
    <w:rsid w:val="00937377"/>
    <w:rsid w:val="0094010B"/>
    <w:rsid w:val="009405F7"/>
    <w:rsid w:val="00940CFB"/>
    <w:rsid w:val="00940D8C"/>
    <w:rsid w:val="00940D99"/>
    <w:rsid w:val="0094206F"/>
    <w:rsid w:val="00942179"/>
    <w:rsid w:val="00944A47"/>
    <w:rsid w:val="00944FB4"/>
    <w:rsid w:val="009450DA"/>
    <w:rsid w:val="009456E2"/>
    <w:rsid w:val="00945A4F"/>
    <w:rsid w:val="00946AC8"/>
    <w:rsid w:val="00947E80"/>
    <w:rsid w:val="00951169"/>
    <w:rsid w:val="009523C8"/>
    <w:rsid w:val="009579C1"/>
    <w:rsid w:val="0096149D"/>
    <w:rsid w:val="009632F8"/>
    <w:rsid w:val="00963589"/>
    <w:rsid w:val="00965009"/>
    <w:rsid w:val="0097089C"/>
    <w:rsid w:val="0097170C"/>
    <w:rsid w:val="00971DD9"/>
    <w:rsid w:val="00971DDD"/>
    <w:rsid w:val="0097317D"/>
    <w:rsid w:val="0097352D"/>
    <w:rsid w:val="00973E56"/>
    <w:rsid w:val="00974002"/>
    <w:rsid w:val="009748D1"/>
    <w:rsid w:val="00975F47"/>
    <w:rsid w:val="009768EB"/>
    <w:rsid w:val="00977213"/>
    <w:rsid w:val="009777F2"/>
    <w:rsid w:val="00977896"/>
    <w:rsid w:val="0098001F"/>
    <w:rsid w:val="0098016E"/>
    <w:rsid w:val="00980B49"/>
    <w:rsid w:val="00980F78"/>
    <w:rsid w:val="00981336"/>
    <w:rsid w:val="00982C73"/>
    <w:rsid w:val="00983AED"/>
    <w:rsid w:val="00983E38"/>
    <w:rsid w:val="0098644F"/>
    <w:rsid w:val="00987995"/>
    <w:rsid w:val="00987D7F"/>
    <w:rsid w:val="009901A2"/>
    <w:rsid w:val="00990A91"/>
    <w:rsid w:val="00990B1C"/>
    <w:rsid w:val="009915C9"/>
    <w:rsid w:val="009920C5"/>
    <w:rsid w:val="0099318D"/>
    <w:rsid w:val="009943F5"/>
    <w:rsid w:val="00994726"/>
    <w:rsid w:val="00995532"/>
    <w:rsid w:val="00996B51"/>
    <w:rsid w:val="0099707D"/>
    <w:rsid w:val="009A008A"/>
    <w:rsid w:val="009A07FB"/>
    <w:rsid w:val="009A1844"/>
    <w:rsid w:val="009A285D"/>
    <w:rsid w:val="009A331D"/>
    <w:rsid w:val="009A3A46"/>
    <w:rsid w:val="009A4219"/>
    <w:rsid w:val="009A4374"/>
    <w:rsid w:val="009A470E"/>
    <w:rsid w:val="009A50DC"/>
    <w:rsid w:val="009A55B2"/>
    <w:rsid w:val="009A5B61"/>
    <w:rsid w:val="009A5E5C"/>
    <w:rsid w:val="009A6A0A"/>
    <w:rsid w:val="009A71F5"/>
    <w:rsid w:val="009B05B4"/>
    <w:rsid w:val="009B26AA"/>
    <w:rsid w:val="009B2752"/>
    <w:rsid w:val="009B2ABD"/>
    <w:rsid w:val="009B44B6"/>
    <w:rsid w:val="009B591E"/>
    <w:rsid w:val="009B7C8D"/>
    <w:rsid w:val="009C07AA"/>
    <w:rsid w:val="009C2311"/>
    <w:rsid w:val="009C2955"/>
    <w:rsid w:val="009C2ED8"/>
    <w:rsid w:val="009C3E3C"/>
    <w:rsid w:val="009C3E4B"/>
    <w:rsid w:val="009C4560"/>
    <w:rsid w:val="009C4E0E"/>
    <w:rsid w:val="009C555B"/>
    <w:rsid w:val="009C684D"/>
    <w:rsid w:val="009C6B9E"/>
    <w:rsid w:val="009C6E1B"/>
    <w:rsid w:val="009D0909"/>
    <w:rsid w:val="009D0DA6"/>
    <w:rsid w:val="009D12CD"/>
    <w:rsid w:val="009D1F8E"/>
    <w:rsid w:val="009D2327"/>
    <w:rsid w:val="009D3124"/>
    <w:rsid w:val="009D3588"/>
    <w:rsid w:val="009D433F"/>
    <w:rsid w:val="009D5AA5"/>
    <w:rsid w:val="009D69EB"/>
    <w:rsid w:val="009D6AC8"/>
    <w:rsid w:val="009D793A"/>
    <w:rsid w:val="009D796B"/>
    <w:rsid w:val="009E2D83"/>
    <w:rsid w:val="009E397C"/>
    <w:rsid w:val="009E692C"/>
    <w:rsid w:val="009E7519"/>
    <w:rsid w:val="009E76E9"/>
    <w:rsid w:val="009E7FF5"/>
    <w:rsid w:val="009F0398"/>
    <w:rsid w:val="009F09C2"/>
    <w:rsid w:val="009F0B1F"/>
    <w:rsid w:val="009F0E2E"/>
    <w:rsid w:val="009F147B"/>
    <w:rsid w:val="009F236C"/>
    <w:rsid w:val="009F3050"/>
    <w:rsid w:val="009F5350"/>
    <w:rsid w:val="009F60AD"/>
    <w:rsid w:val="00A01F1B"/>
    <w:rsid w:val="00A03494"/>
    <w:rsid w:val="00A042FA"/>
    <w:rsid w:val="00A04E32"/>
    <w:rsid w:val="00A05076"/>
    <w:rsid w:val="00A0719F"/>
    <w:rsid w:val="00A077C2"/>
    <w:rsid w:val="00A1007C"/>
    <w:rsid w:val="00A10649"/>
    <w:rsid w:val="00A11108"/>
    <w:rsid w:val="00A11307"/>
    <w:rsid w:val="00A11BB6"/>
    <w:rsid w:val="00A1246E"/>
    <w:rsid w:val="00A12CD8"/>
    <w:rsid w:val="00A12E39"/>
    <w:rsid w:val="00A137C2"/>
    <w:rsid w:val="00A15E78"/>
    <w:rsid w:val="00A16FB9"/>
    <w:rsid w:val="00A1789E"/>
    <w:rsid w:val="00A179DB"/>
    <w:rsid w:val="00A17FE4"/>
    <w:rsid w:val="00A208ED"/>
    <w:rsid w:val="00A20D24"/>
    <w:rsid w:val="00A21C7B"/>
    <w:rsid w:val="00A22603"/>
    <w:rsid w:val="00A22926"/>
    <w:rsid w:val="00A22CF5"/>
    <w:rsid w:val="00A22E0D"/>
    <w:rsid w:val="00A22E4E"/>
    <w:rsid w:val="00A23145"/>
    <w:rsid w:val="00A23623"/>
    <w:rsid w:val="00A23C94"/>
    <w:rsid w:val="00A24ADE"/>
    <w:rsid w:val="00A24B01"/>
    <w:rsid w:val="00A25EA1"/>
    <w:rsid w:val="00A265E0"/>
    <w:rsid w:val="00A31BE0"/>
    <w:rsid w:val="00A31E72"/>
    <w:rsid w:val="00A32F63"/>
    <w:rsid w:val="00A33F7D"/>
    <w:rsid w:val="00A340E5"/>
    <w:rsid w:val="00A35B3D"/>
    <w:rsid w:val="00A36406"/>
    <w:rsid w:val="00A37D1B"/>
    <w:rsid w:val="00A40BBC"/>
    <w:rsid w:val="00A420BB"/>
    <w:rsid w:val="00A4234B"/>
    <w:rsid w:val="00A443E8"/>
    <w:rsid w:val="00A44B31"/>
    <w:rsid w:val="00A45288"/>
    <w:rsid w:val="00A45BB9"/>
    <w:rsid w:val="00A4691E"/>
    <w:rsid w:val="00A47AC5"/>
    <w:rsid w:val="00A50AA0"/>
    <w:rsid w:val="00A52243"/>
    <w:rsid w:val="00A533E8"/>
    <w:rsid w:val="00A54189"/>
    <w:rsid w:val="00A54698"/>
    <w:rsid w:val="00A546B7"/>
    <w:rsid w:val="00A553BD"/>
    <w:rsid w:val="00A568F2"/>
    <w:rsid w:val="00A56F62"/>
    <w:rsid w:val="00A56F79"/>
    <w:rsid w:val="00A609E7"/>
    <w:rsid w:val="00A61584"/>
    <w:rsid w:val="00A61F27"/>
    <w:rsid w:val="00A6304B"/>
    <w:rsid w:val="00A637B5"/>
    <w:rsid w:val="00A63982"/>
    <w:rsid w:val="00A63E26"/>
    <w:rsid w:val="00A64050"/>
    <w:rsid w:val="00A64357"/>
    <w:rsid w:val="00A66E4F"/>
    <w:rsid w:val="00A671D1"/>
    <w:rsid w:val="00A6733D"/>
    <w:rsid w:val="00A67904"/>
    <w:rsid w:val="00A70BA2"/>
    <w:rsid w:val="00A70EB4"/>
    <w:rsid w:val="00A716E2"/>
    <w:rsid w:val="00A71A84"/>
    <w:rsid w:val="00A71F5E"/>
    <w:rsid w:val="00A72184"/>
    <w:rsid w:val="00A72191"/>
    <w:rsid w:val="00A722EC"/>
    <w:rsid w:val="00A72EBC"/>
    <w:rsid w:val="00A73B39"/>
    <w:rsid w:val="00A76CDE"/>
    <w:rsid w:val="00A77270"/>
    <w:rsid w:val="00A80E96"/>
    <w:rsid w:val="00A82737"/>
    <w:rsid w:val="00A82FDF"/>
    <w:rsid w:val="00A83200"/>
    <w:rsid w:val="00A83A91"/>
    <w:rsid w:val="00A851FD"/>
    <w:rsid w:val="00A901A4"/>
    <w:rsid w:val="00A9132C"/>
    <w:rsid w:val="00A92DE7"/>
    <w:rsid w:val="00A92FF1"/>
    <w:rsid w:val="00A930DD"/>
    <w:rsid w:val="00A93BA8"/>
    <w:rsid w:val="00A94B4A"/>
    <w:rsid w:val="00A94F93"/>
    <w:rsid w:val="00A95FBD"/>
    <w:rsid w:val="00A970E2"/>
    <w:rsid w:val="00AA0B98"/>
    <w:rsid w:val="00AA196A"/>
    <w:rsid w:val="00AA4B73"/>
    <w:rsid w:val="00AA4F63"/>
    <w:rsid w:val="00AA676F"/>
    <w:rsid w:val="00AA6A68"/>
    <w:rsid w:val="00AA6BA2"/>
    <w:rsid w:val="00AB161A"/>
    <w:rsid w:val="00AB196F"/>
    <w:rsid w:val="00AB199B"/>
    <w:rsid w:val="00AB52DA"/>
    <w:rsid w:val="00AB672F"/>
    <w:rsid w:val="00AB73F3"/>
    <w:rsid w:val="00AB7B17"/>
    <w:rsid w:val="00AC09A5"/>
    <w:rsid w:val="00AC1E25"/>
    <w:rsid w:val="00AC27A0"/>
    <w:rsid w:val="00AC28EE"/>
    <w:rsid w:val="00AC2A98"/>
    <w:rsid w:val="00AC3605"/>
    <w:rsid w:val="00AC48D3"/>
    <w:rsid w:val="00AC4BA0"/>
    <w:rsid w:val="00AC4FE4"/>
    <w:rsid w:val="00AC5FE0"/>
    <w:rsid w:val="00AC60F3"/>
    <w:rsid w:val="00AC6BBA"/>
    <w:rsid w:val="00AC7D7A"/>
    <w:rsid w:val="00AD398E"/>
    <w:rsid w:val="00AD3A05"/>
    <w:rsid w:val="00AD49B5"/>
    <w:rsid w:val="00AD5C0D"/>
    <w:rsid w:val="00AD6FD8"/>
    <w:rsid w:val="00AD759E"/>
    <w:rsid w:val="00AD78DF"/>
    <w:rsid w:val="00AE0E09"/>
    <w:rsid w:val="00AE2B27"/>
    <w:rsid w:val="00AE45FE"/>
    <w:rsid w:val="00AE52DF"/>
    <w:rsid w:val="00AE545D"/>
    <w:rsid w:val="00AE668A"/>
    <w:rsid w:val="00AE717F"/>
    <w:rsid w:val="00AF06BD"/>
    <w:rsid w:val="00AF309A"/>
    <w:rsid w:val="00AF32F0"/>
    <w:rsid w:val="00AF449F"/>
    <w:rsid w:val="00AF480F"/>
    <w:rsid w:val="00AF5C4E"/>
    <w:rsid w:val="00AF63F7"/>
    <w:rsid w:val="00AF6AC1"/>
    <w:rsid w:val="00AF6C5A"/>
    <w:rsid w:val="00AF70BF"/>
    <w:rsid w:val="00AF7377"/>
    <w:rsid w:val="00AF782C"/>
    <w:rsid w:val="00B00558"/>
    <w:rsid w:val="00B01002"/>
    <w:rsid w:val="00B01090"/>
    <w:rsid w:val="00B01B4A"/>
    <w:rsid w:val="00B022C5"/>
    <w:rsid w:val="00B02CB7"/>
    <w:rsid w:val="00B044C7"/>
    <w:rsid w:val="00B05206"/>
    <w:rsid w:val="00B06CFD"/>
    <w:rsid w:val="00B07763"/>
    <w:rsid w:val="00B07AB5"/>
    <w:rsid w:val="00B07F54"/>
    <w:rsid w:val="00B1156F"/>
    <w:rsid w:val="00B11CE5"/>
    <w:rsid w:val="00B1261A"/>
    <w:rsid w:val="00B12AD4"/>
    <w:rsid w:val="00B1317C"/>
    <w:rsid w:val="00B147E3"/>
    <w:rsid w:val="00B1558D"/>
    <w:rsid w:val="00B15EA2"/>
    <w:rsid w:val="00B17166"/>
    <w:rsid w:val="00B17A95"/>
    <w:rsid w:val="00B208D4"/>
    <w:rsid w:val="00B219DB"/>
    <w:rsid w:val="00B2279D"/>
    <w:rsid w:val="00B2285D"/>
    <w:rsid w:val="00B22B46"/>
    <w:rsid w:val="00B22F4B"/>
    <w:rsid w:val="00B232DD"/>
    <w:rsid w:val="00B2337F"/>
    <w:rsid w:val="00B23A2E"/>
    <w:rsid w:val="00B23D45"/>
    <w:rsid w:val="00B24A8A"/>
    <w:rsid w:val="00B26FDC"/>
    <w:rsid w:val="00B27495"/>
    <w:rsid w:val="00B278AE"/>
    <w:rsid w:val="00B27C60"/>
    <w:rsid w:val="00B3355E"/>
    <w:rsid w:val="00B36DAE"/>
    <w:rsid w:val="00B4248A"/>
    <w:rsid w:val="00B424C5"/>
    <w:rsid w:val="00B42EBA"/>
    <w:rsid w:val="00B44AF9"/>
    <w:rsid w:val="00B45737"/>
    <w:rsid w:val="00B4597D"/>
    <w:rsid w:val="00B46E59"/>
    <w:rsid w:val="00B47210"/>
    <w:rsid w:val="00B50CC9"/>
    <w:rsid w:val="00B5116C"/>
    <w:rsid w:val="00B51BA0"/>
    <w:rsid w:val="00B51E17"/>
    <w:rsid w:val="00B52015"/>
    <w:rsid w:val="00B5274D"/>
    <w:rsid w:val="00B53768"/>
    <w:rsid w:val="00B54A0C"/>
    <w:rsid w:val="00B61C7A"/>
    <w:rsid w:val="00B6229C"/>
    <w:rsid w:val="00B62871"/>
    <w:rsid w:val="00B64163"/>
    <w:rsid w:val="00B643DD"/>
    <w:rsid w:val="00B6483A"/>
    <w:rsid w:val="00B65562"/>
    <w:rsid w:val="00B6669B"/>
    <w:rsid w:val="00B67982"/>
    <w:rsid w:val="00B706B7"/>
    <w:rsid w:val="00B70C3B"/>
    <w:rsid w:val="00B70CAD"/>
    <w:rsid w:val="00B724A6"/>
    <w:rsid w:val="00B74B5C"/>
    <w:rsid w:val="00B7574B"/>
    <w:rsid w:val="00B75E6E"/>
    <w:rsid w:val="00B770A8"/>
    <w:rsid w:val="00B77136"/>
    <w:rsid w:val="00B77E28"/>
    <w:rsid w:val="00B80858"/>
    <w:rsid w:val="00B8145A"/>
    <w:rsid w:val="00B81B02"/>
    <w:rsid w:val="00B82046"/>
    <w:rsid w:val="00B83080"/>
    <w:rsid w:val="00B83ECD"/>
    <w:rsid w:val="00B847A0"/>
    <w:rsid w:val="00B85808"/>
    <w:rsid w:val="00B86AB4"/>
    <w:rsid w:val="00B91B1F"/>
    <w:rsid w:val="00B92003"/>
    <w:rsid w:val="00B92D50"/>
    <w:rsid w:val="00B933A4"/>
    <w:rsid w:val="00B9388C"/>
    <w:rsid w:val="00B94F2B"/>
    <w:rsid w:val="00B95BFB"/>
    <w:rsid w:val="00B9612F"/>
    <w:rsid w:val="00BA02FC"/>
    <w:rsid w:val="00BA0C88"/>
    <w:rsid w:val="00BA2CD6"/>
    <w:rsid w:val="00BA31C3"/>
    <w:rsid w:val="00BA416F"/>
    <w:rsid w:val="00BA6A77"/>
    <w:rsid w:val="00BA76CA"/>
    <w:rsid w:val="00BA7762"/>
    <w:rsid w:val="00BA7817"/>
    <w:rsid w:val="00BB1849"/>
    <w:rsid w:val="00BB2B61"/>
    <w:rsid w:val="00BB3385"/>
    <w:rsid w:val="00BB33B7"/>
    <w:rsid w:val="00BB41A1"/>
    <w:rsid w:val="00BB4A7B"/>
    <w:rsid w:val="00BB6DD0"/>
    <w:rsid w:val="00BB7E05"/>
    <w:rsid w:val="00BC155D"/>
    <w:rsid w:val="00BC19C2"/>
    <w:rsid w:val="00BC227D"/>
    <w:rsid w:val="00BC2680"/>
    <w:rsid w:val="00BC2AB6"/>
    <w:rsid w:val="00BC2FEE"/>
    <w:rsid w:val="00BC3328"/>
    <w:rsid w:val="00BC5804"/>
    <w:rsid w:val="00BC592B"/>
    <w:rsid w:val="00BC5DE4"/>
    <w:rsid w:val="00BC6730"/>
    <w:rsid w:val="00BC6B4B"/>
    <w:rsid w:val="00BC6E98"/>
    <w:rsid w:val="00BD063C"/>
    <w:rsid w:val="00BD09F0"/>
    <w:rsid w:val="00BD1809"/>
    <w:rsid w:val="00BD1D43"/>
    <w:rsid w:val="00BD2D58"/>
    <w:rsid w:val="00BD3060"/>
    <w:rsid w:val="00BD30AD"/>
    <w:rsid w:val="00BD3319"/>
    <w:rsid w:val="00BD350E"/>
    <w:rsid w:val="00BD44E4"/>
    <w:rsid w:val="00BD4FC3"/>
    <w:rsid w:val="00BD5A11"/>
    <w:rsid w:val="00BD5A7C"/>
    <w:rsid w:val="00BD78A4"/>
    <w:rsid w:val="00BD78C9"/>
    <w:rsid w:val="00BD7F94"/>
    <w:rsid w:val="00BE16BD"/>
    <w:rsid w:val="00BE16D8"/>
    <w:rsid w:val="00BE1C41"/>
    <w:rsid w:val="00BE3760"/>
    <w:rsid w:val="00BE4265"/>
    <w:rsid w:val="00BE4C7E"/>
    <w:rsid w:val="00BE5B38"/>
    <w:rsid w:val="00BE5DF0"/>
    <w:rsid w:val="00BE6524"/>
    <w:rsid w:val="00BE66EF"/>
    <w:rsid w:val="00BE67D7"/>
    <w:rsid w:val="00BE695D"/>
    <w:rsid w:val="00BE7BD4"/>
    <w:rsid w:val="00BE7E8B"/>
    <w:rsid w:val="00BF01FD"/>
    <w:rsid w:val="00BF0331"/>
    <w:rsid w:val="00BF0459"/>
    <w:rsid w:val="00BF0BE6"/>
    <w:rsid w:val="00BF0E55"/>
    <w:rsid w:val="00BF14B8"/>
    <w:rsid w:val="00BF1556"/>
    <w:rsid w:val="00BF1EC4"/>
    <w:rsid w:val="00BF2891"/>
    <w:rsid w:val="00BF36B0"/>
    <w:rsid w:val="00BF44ED"/>
    <w:rsid w:val="00C010D3"/>
    <w:rsid w:val="00C01C7E"/>
    <w:rsid w:val="00C0304A"/>
    <w:rsid w:val="00C04244"/>
    <w:rsid w:val="00C06869"/>
    <w:rsid w:val="00C06CFC"/>
    <w:rsid w:val="00C073CF"/>
    <w:rsid w:val="00C0793A"/>
    <w:rsid w:val="00C10036"/>
    <w:rsid w:val="00C111E1"/>
    <w:rsid w:val="00C11645"/>
    <w:rsid w:val="00C13156"/>
    <w:rsid w:val="00C13CC8"/>
    <w:rsid w:val="00C14B2B"/>
    <w:rsid w:val="00C16D6E"/>
    <w:rsid w:val="00C175E0"/>
    <w:rsid w:val="00C20056"/>
    <w:rsid w:val="00C215CF"/>
    <w:rsid w:val="00C216BF"/>
    <w:rsid w:val="00C231DB"/>
    <w:rsid w:val="00C23485"/>
    <w:rsid w:val="00C2377C"/>
    <w:rsid w:val="00C241FF"/>
    <w:rsid w:val="00C248D6"/>
    <w:rsid w:val="00C2567E"/>
    <w:rsid w:val="00C26951"/>
    <w:rsid w:val="00C30BFA"/>
    <w:rsid w:val="00C31447"/>
    <w:rsid w:val="00C31676"/>
    <w:rsid w:val="00C317F6"/>
    <w:rsid w:val="00C321B5"/>
    <w:rsid w:val="00C3324A"/>
    <w:rsid w:val="00C3594E"/>
    <w:rsid w:val="00C35999"/>
    <w:rsid w:val="00C36821"/>
    <w:rsid w:val="00C36E23"/>
    <w:rsid w:val="00C370A8"/>
    <w:rsid w:val="00C40434"/>
    <w:rsid w:val="00C4146C"/>
    <w:rsid w:val="00C434FB"/>
    <w:rsid w:val="00C43B4E"/>
    <w:rsid w:val="00C445EF"/>
    <w:rsid w:val="00C447E6"/>
    <w:rsid w:val="00C45497"/>
    <w:rsid w:val="00C45C1B"/>
    <w:rsid w:val="00C46077"/>
    <w:rsid w:val="00C466B1"/>
    <w:rsid w:val="00C46850"/>
    <w:rsid w:val="00C50891"/>
    <w:rsid w:val="00C51866"/>
    <w:rsid w:val="00C51E15"/>
    <w:rsid w:val="00C52387"/>
    <w:rsid w:val="00C52867"/>
    <w:rsid w:val="00C52F9E"/>
    <w:rsid w:val="00C5385E"/>
    <w:rsid w:val="00C53B7D"/>
    <w:rsid w:val="00C53BF7"/>
    <w:rsid w:val="00C57155"/>
    <w:rsid w:val="00C5790D"/>
    <w:rsid w:val="00C634F8"/>
    <w:rsid w:val="00C64237"/>
    <w:rsid w:val="00C659B4"/>
    <w:rsid w:val="00C65FCA"/>
    <w:rsid w:val="00C66FAB"/>
    <w:rsid w:val="00C711DA"/>
    <w:rsid w:val="00C711F1"/>
    <w:rsid w:val="00C721A0"/>
    <w:rsid w:val="00C72702"/>
    <w:rsid w:val="00C737D0"/>
    <w:rsid w:val="00C73E58"/>
    <w:rsid w:val="00C7534E"/>
    <w:rsid w:val="00C75547"/>
    <w:rsid w:val="00C77467"/>
    <w:rsid w:val="00C8263F"/>
    <w:rsid w:val="00C83BAD"/>
    <w:rsid w:val="00C83DE1"/>
    <w:rsid w:val="00C84409"/>
    <w:rsid w:val="00C84619"/>
    <w:rsid w:val="00C848FE"/>
    <w:rsid w:val="00C84B73"/>
    <w:rsid w:val="00C853FC"/>
    <w:rsid w:val="00C86426"/>
    <w:rsid w:val="00C8668B"/>
    <w:rsid w:val="00C86846"/>
    <w:rsid w:val="00C90672"/>
    <w:rsid w:val="00C90FBF"/>
    <w:rsid w:val="00C91677"/>
    <w:rsid w:val="00C93458"/>
    <w:rsid w:val="00C954B1"/>
    <w:rsid w:val="00C96DCC"/>
    <w:rsid w:val="00C97151"/>
    <w:rsid w:val="00C97301"/>
    <w:rsid w:val="00C97667"/>
    <w:rsid w:val="00C97AFA"/>
    <w:rsid w:val="00CA021F"/>
    <w:rsid w:val="00CA02D4"/>
    <w:rsid w:val="00CA03AE"/>
    <w:rsid w:val="00CA051C"/>
    <w:rsid w:val="00CA0E1D"/>
    <w:rsid w:val="00CA1115"/>
    <w:rsid w:val="00CA20B8"/>
    <w:rsid w:val="00CA2FAD"/>
    <w:rsid w:val="00CA5803"/>
    <w:rsid w:val="00CA629C"/>
    <w:rsid w:val="00CB14BB"/>
    <w:rsid w:val="00CB1A4B"/>
    <w:rsid w:val="00CB1CE5"/>
    <w:rsid w:val="00CB2E84"/>
    <w:rsid w:val="00CB428C"/>
    <w:rsid w:val="00CB49FC"/>
    <w:rsid w:val="00CB5080"/>
    <w:rsid w:val="00CB6AEA"/>
    <w:rsid w:val="00CB6CE1"/>
    <w:rsid w:val="00CC156F"/>
    <w:rsid w:val="00CC1B09"/>
    <w:rsid w:val="00CC2427"/>
    <w:rsid w:val="00CC30F6"/>
    <w:rsid w:val="00CC325C"/>
    <w:rsid w:val="00CC4149"/>
    <w:rsid w:val="00CC490D"/>
    <w:rsid w:val="00CC4FFD"/>
    <w:rsid w:val="00CC6104"/>
    <w:rsid w:val="00CC6437"/>
    <w:rsid w:val="00CC6978"/>
    <w:rsid w:val="00CC6B79"/>
    <w:rsid w:val="00CC6DD5"/>
    <w:rsid w:val="00CC7CA9"/>
    <w:rsid w:val="00CD065A"/>
    <w:rsid w:val="00CD1278"/>
    <w:rsid w:val="00CD1D59"/>
    <w:rsid w:val="00CD1DE7"/>
    <w:rsid w:val="00CD221C"/>
    <w:rsid w:val="00CD23F0"/>
    <w:rsid w:val="00CD337C"/>
    <w:rsid w:val="00CD38D1"/>
    <w:rsid w:val="00CD4E27"/>
    <w:rsid w:val="00CD68B3"/>
    <w:rsid w:val="00CD7A84"/>
    <w:rsid w:val="00CE0CB1"/>
    <w:rsid w:val="00CE0CFA"/>
    <w:rsid w:val="00CE0FA5"/>
    <w:rsid w:val="00CE14D3"/>
    <w:rsid w:val="00CE15CD"/>
    <w:rsid w:val="00CE2AC9"/>
    <w:rsid w:val="00CE2BFA"/>
    <w:rsid w:val="00CE2C6A"/>
    <w:rsid w:val="00CE2C7A"/>
    <w:rsid w:val="00CE3561"/>
    <w:rsid w:val="00CE3DE0"/>
    <w:rsid w:val="00CE415B"/>
    <w:rsid w:val="00CE50B6"/>
    <w:rsid w:val="00CE535F"/>
    <w:rsid w:val="00CE5476"/>
    <w:rsid w:val="00CE6700"/>
    <w:rsid w:val="00CE7B8F"/>
    <w:rsid w:val="00CE7CBD"/>
    <w:rsid w:val="00CF0264"/>
    <w:rsid w:val="00CF13B7"/>
    <w:rsid w:val="00CF2082"/>
    <w:rsid w:val="00CF22C4"/>
    <w:rsid w:val="00CF261C"/>
    <w:rsid w:val="00CF5146"/>
    <w:rsid w:val="00CF5894"/>
    <w:rsid w:val="00CF5900"/>
    <w:rsid w:val="00CF60D1"/>
    <w:rsid w:val="00CF6186"/>
    <w:rsid w:val="00CF6940"/>
    <w:rsid w:val="00CF6EEB"/>
    <w:rsid w:val="00CF7FF2"/>
    <w:rsid w:val="00D0145E"/>
    <w:rsid w:val="00D0223C"/>
    <w:rsid w:val="00D042B6"/>
    <w:rsid w:val="00D045DF"/>
    <w:rsid w:val="00D06192"/>
    <w:rsid w:val="00D0648B"/>
    <w:rsid w:val="00D12415"/>
    <w:rsid w:val="00D12FAF"/>
    <w:rsid w:val="00D15D0D"/>
    <w:rsid w:val="00D2017B"/>
    <w:rsid w:val="00D207DC"/>
    <w:rsid w:val="00D20A8B"/>
    <w:rsid w:val="00D21205"/>
    <w:rsid w:val="00D21B56"/>
    <w:rsid w:val="00D21DE3"/>
    <w:rsid w:val="00D2265B"/>
    <w:rsid w:val="00D23BE0"/>
    <w:rsid w:val="00D242A6"/>
    <w:rsid w:val="00D24306"/>
    <w:rsid w:val="00D249A7"/>
    <w:rsid w:val="00D2593C"/>
    <w:rsid w:val="00D25EDD"/>
    <w:rsid w:val="00D26C2C"/>
    <w:rsid w:val="00D27638"/>
    <w:rsid w:val="00D302D0"/>
    <w:rsid w:val="00D3064D"/>
    <w:rsid w:val="00D30931"/>
    <w:rsid w:val="00D30DAD"/>
    <w:rsid w:val="00D313D7"/>
    <w:rsid w:val="00D33ADF"/>
    <w:rsid w:val="00D3587B"/>
    <w:rsid w:val="00D3615A"/>
    <w:rsid w:val="00D363B8"/>
    <w:rsid w:val="00D36EC9"/>
    <w:rsid w:val="00D36EE4"/>
    <w:rsid w:val="00D407A4"/>
    <w:rsid w:val="00D41394"/>
    <w:rsid w:val="00D4163D"/>
    <w:rsid w:val="00D417D2"/>
    <w:rsid w:val="00D42248"/>
    <w:rsid w:val="00D423C5"/>
    <w:rsid w:val="00D4270B"/>
    <w:rsid w:val="00D42A11"/>
    <w:rsid w:val="00D42D5D"/>
    <w:rsid w:val="00D440E8"/>
    <w:rsid w:val="00D47455"/>
    <w:rsid w:val="00D47743"/>
    <w:rsid w:val="00D47839"/>
    <w:rsid w:val="00D47B2E"/>
    <w:rsid w:val="00D51D64"/>
    <w:rsid w:val="00D52616"/>
    <w:rsid w:val="00D52D35"/>
    <w:rsid w:val="00D54421"/>
    <w:rsid w:val="00D54BB4"/>
    <w:rsid w:val="00D55111"/>
    <w:rsid w:val="00D55151"/>
    <w:rsid w:val="00D5523F"/>
    <w:rsid w:val="00D55456"/>
    <w:rsid w:val="00D55987"/>
    <w:rsid w:val="00D567F3"/>
    <w:rsid w:val="00D569F1"/>
    <w:rsid w:val="00D57B6B"/>
    <w:rsid w:val="00D57F20"/>
    <w:rsid w:val="00D60F44"/>
    <w:rsid w:val="00D61E46"/>
    <w:rsid w:val="00D62CB2"/>
    <w:rsid w:val="00D63BC1"/>
    <w:rsid w:val="00D63F6C"/>
    <w:rsid w:val="00D6424E"/>
    <w:rsid w:val="00D64605"/>
    <w:rsid w:val="00D65A48"/>
    <w:rsid w:val="00D65F4C"/>
    <w:rsid w:val="00D65F77"/>
    <w:rsid w:val="00D66EE1"/>
    <w:rsid w:val="00D67B8B"/>
    <w:rsid w:val="00D67DB3"/>
    <w:rsid w:val="00D701F1"/>
    <w:rsid w:val="00D71325"/>
    <w:rsid w:val="00D72DE8"/>
    <w:rsid w:val="00D749E4"/>
    <w:rsid w:val="00D7743B"/>
    <w:rsid w:val="00D80279"/>
    <w:rsid w:val="00D81691"/>
    <w:rsid w:val="00D830D1"/>
    <w:rsid w:val="00D84589"/>
    <w:rsid w:val="00D84B57"/>
    <w:rsid w:val="00D86C2E"/>
    <w:rsid w:val="00D87108"/>
    <w:rsid w:val="00D874B1"/>
    <w:rsid w:val="00D91C22"/>
    <w:rsid w:val="00D9318B"/>
    <w:rsid w:val="00D93468"/>
    <w:rsid w:val="00D9369E"/>
    <w:rsid w:val="00D943B4"/>
    <w:rsid w:val="00D95269"/>
    <w:rsid w:val="00D95861"/>
    <w:rsid w:val="00D9628A"/>
    <w:rsid w:val="00D97FF0"/>
    <w:rsid w:val="00DA08B0"/>
    <w:rsid w:val="00DA0C7A"/>
    <w:rsid w:val="00DA21EE"/>
    <w:rsid w:val="00DA2BFA"/>
    <w:rsid w:val="00DA2F10"/>
    <w:rsid w:val="00DA498C"/>
    <w:rsid w:val="00DA6956"/>
    <w:rsid w:val="00DB00E0"/>
    <w:rsid w:val="00DB134E"/>
    <w:rsid w:val="00DB2098"/>
    <w:rsid w:val="00DB2150"/>
    <w:rsid w:val="00DB25F3"/>
    <w:rsid w:val="00DB295B"/>
    <w:rsid w:val="00DB3FCF"/>
    <w:rsid w:val="00DB4167"/>
    <w:rsid w:val="00DB43F6"/>
    <w:rsid w:val="00DB5122"/>
    <w:rsid w:val="00DB5EB5"/>
    <w:rsid w:val="00DB6265"/>
    <w:rsid w:val="00DB64F9"/>
    <w:rsid w:val="00DB6AAE"/>
    <w:rsid w:val="00DC0607"/>
    <w:rsid w:val="00DC0A5C"/>
    <w:rsid w:val="00DC0EFC"/>
    <w:rsid w:val="00DC1F13"/>
    <w:rsid w:val="00DC2909"/>
    <w:rsid w:val="00DC2BDF"/>
    <w:rsid w:val="00DC2ED9"/>
    <w:rsid w:val="00DC62E6"/>
    <w:rsid w:val="00DC7626"/>
    <w:rsid w:val="00DD11B1"/>
    <w:rsid w:val="00DD2452"/>
    <w:rsid w:val="00DD2BCE"/>
    <w:rsid w:val="00DD31E3"/>
    <w:rsid w:val="00DD339F"/>
    <w:rsid w:val="00DD5DC1"/>
    <w:rsid w:val="00DD619D"/>
    <w:rsid w:val="00DD6CEF"/>
    <w:rsid w:val="00DD7469"/>
    <w:rsid w:val="00DE0788"/>
    <w:rsid w:val="00DE13CB"/>
    <w:rsid w:val="00DE28F6"/>
    <w:rsid w:val="00DE33DC"/>
    <w:rsid w:val="00DE4E71"/>
    <w:rsid w:val="00DE63D2"/>
    <w:rsid w:val="00DE77BC"/>
    <w:rsid w:val="00DE7A30"/>
    <w:rsid w:val="00DE7B64"/>
    <w:rsid w:val="00DF002B"/>
    <w:rsid w:val="00DF1B52"/>
    <w:rsid w:val="00DF1DF4"/>
    <w:rsid w:val="00DF4615"/>
    <w:rsid w:val="00DF4B2D"/>
    <w:rsid w:val="00DF5F2A"/>
    <w:rsid w:val="00DF62D9"/>
    <w:rsid w:val="00DF69D3"/>
    <w:rsid w:val="00DF6F73"/>
    <w:rsid w:val="00DF7C5D"/>
    <w:rsid w:val="00E00F27"/>
    <w:rsid w:val="00E015D5"/>
    <w:rsid w:val="00E01C17"/>
    <w:rsid w:val="00E035BD"/>
    <w:rsid w:val="00E07382"/>
    <w:rsid w:val="00E07844"/>
    <w:rsid w:val="00E07B7B"/>
    <w:rsid w:val="00E11022"/>
    <w:rsid w:val="00E11789"/>
    <w:rsid w:val="00E1179F"/>
    <w:rsid w:val="00E11869"/>
    <w:rsid w:val="00E11FDE"/>
    <w:rsid w:val="00E120ED"/>
    <w:rsid w:val="00E142C6"/>
    <w:rsid w:val="00E147C5"/>
    <w:rsid w:val="00E1483D"/>
    <w:rsid w:val="00E16070"/>
    <w:rsid w:val="00E16663"/>
    <w:rsid w:val="00E16E24"/>
    <w:rsid w:val="00E209EB"/>
    <w:rsid w:val="00E222AB"/>
    <w:rsid w:val="00E231D3"/>
    <w:rsid w:val="00E23254"/>
    <w:rsid w:val="00E232FF"/>
    <w:rsid w:val="00E23681"/>
    <w:rsid w:val="00E24DFC"/>
    <w:rsid w:val="00E268B2"/>
    <w:rsid w:val="00E276F5"/>
    <w:rsid w:val="00E308F1"/>
    <w:rsid w:val="00E3106E"/>
    <w:rsid w:val="00E31A45"/>
    <w:rsid w:val="00E32044"/>
    <w:rsid w:val="00E32AB8"/>
    <w:rsid w:val="00E32ED2"/>
    <w:rsid w:val="00E336BC"/>
    <w:rsid w:val="00E37E71"/>
    <w:rsid w:val="00E4139A"/>
    <w:rsid w:val="00E4159A"/>
    <w:rsid w:val="00E41B6F"/>
    <w:rsid w:val="00E420A0"/>
    <w:rsid w:val="00E4247D"/>
    <w:rsid w:val="00E42A97"/>
    <w:rsid w:val="00E43EE2"/>
    <w:rsid w:val="00E46F7A"/>
    <w:rsid w:val="00E476A8"/>
    <w:rsid w:val="00E47CD0"/>
    <w:rsid w:val="00E51583"/>
    <w:rsid w:val="00E52673"/>
    <w:rsid w:val="00E52FEB"/>
    <w:rsid w:val="00E5375D"/>
    <w:rsid w:val="00E547C7"/>
    <w:rsid w:val="00E547D7"/>
    <w:rsid w:val="00E553BE"/>
    <w:rsid w:val="00E5599A"/>
    <w:rsid w:val="00E55A00"/>
    <w:rsid w:val="00E56494"/>
    <w:rsid w:val="00E57529"/>
    <w:rsid w:val="00E57F70"/>
    <w:rsid w:val="00E60AC0"/>
    <w:rsid w:val="00E6149F"/>
    <w:rsid w:val="00E62769"/>
    <w:rsid w:val="00E636D7"/>
    <w:rsid w:val="00E63DF0"/>
    <w:rsid w:val="00E6477E"/>
    <w:rsid w:val="00E64FCD"/>
    <w:rsid w:val="00E6507E"/>
    <w:rsid w:val="00E65E59"/>
    <w:rsid w:val="00E66370"/>
    <w:rsid w:val="00E66700"/>
    <w:rsid w:val="00E6695E"/>
    <w:rsid w:val="00E677BD"/>
    <w:rsid w:val="00E67C2D"/>
    <w:rsid w:val="00E71F52"/>
    <w:rsid w:val="00E73E23"/>
    <w:rsid w:val="00E74C7F"/>
    <w:rsid w:val="00E74C86"/>
    <w:rsid w:val="00E75D63"/>
    <w:rsid w:val="00E767B8"/>
    <w:rsid w:val="00E76916"/>
    <w:rsid w:val="00E80073"/>
    <w:rsid w:val="00E82E04"/>
    <w:rsid w:val="00E84EA5"/>
    <w:rsid w:val="00E8594C"/>
    <w:rsid w:val="00E87CB7"/>
    <w:rsid w:val="00E90896"/>
    <w:rsid w:val="00E9091B"/>
    <w:rsid w:val="00E90B31"/>
    <w:rsid w:val="00E90CCA"/>
    <w:rsid w:val="00E9159C"/>
    <w:rsid w:val="00E918E9"/>
    <w:rsid w:val="00E92CC0"/>
    <w:rsid w:val="00E93452"/>
    <w:rsid w:val="00E934E1"/>
    <w:rsid w:val="00E955F7"/>
    <w:rsid w:val="00E9673D"/>
    <w:rsid w:val="00E96D61"/>
    <w:rsid w:val="00E97157"/>
    <w:rsid w:val="00EA2567"/>
    <w:rsid w:val="00EA2D00"/>
    <w:rsid w:val="00EA2D2A"/>
    <w:rsid w:val="00EA33A8"/>
    <w:rsid w:val="00EA7464"/>
    <w:rsid w:val="00EB0EA1"/>
    <w:rsid w:val="00EB131C"/>
    <w:rsid w:val="00EB229D"/>
    <w:rsid w:val="00EB2AA7"/>
    <w:rsid w:val="00EB3363"/>
    <w:rsid w:val="00EB3D70"/>
    <w:rsid w:val="00EB46CA"/>
    <w:rsid w:val="00EB495A"/>
    <w:rsid w:val="00EB4D36"/>
    <w:rsid w:val="00EB5264"/>
    <w:rsid w:val="00EB5365"/>
    <w:rsid w:val="00EB6871"/>
    <w:rsid w:val="00EB6F38"/>
    <w:rsid w:val="00EC1C00"/>
    <w:rsid w:val="00EC3586"/>
    <w:rsid w:val="00EC41C0"/>
    <w:rsid w:val="00EC6730"/>
    <w:rsid w:val="00ED05B0"/>
    <w:rsid w:val="00ED217B"/>
    <w:rsid w:val="00ED4B95"/>
    <w:rsid w:val="00ED5BD6"/>
    <w:rsid w:val="00ED5C96"/>
    <w:rsid w:val="00ED5D2C"/>
    <w:rsid w:val="00ED5D44"/>
    <w:rsid w:val="00ED5F4B"/>
    <w:rsid w:val="00ED61F1"/>
    <w:rsid w:val="00ED6AD8"/>
    <w:rsid w:val="00ED6C57"/>
    <w:rsid w:val="00EE015A"/>
    <w:rsid w:val="00EE2818"/>
    <w:rsid w:val="00EE2D80"/>
    <w:rsid w:val="00EE2E76"/>
    <w:rsid w:val="00EE33F2"/>
    <w:rsid w:val="00EE48E5"/>
    <w:rsid w:val="00EE5677"/>
    <w:rsid w:val="00EE6988"/>
    <w:rsid w:val="00EF08E1"/>
    <w:rsid w:val="00EF360B"/>
    <w:rsid w:val="00EF365D"/>
    <w:rsid w:val="00EF38ED"/>
    <w:rsid w:val="00EF3ACC"/>
    <w:rsid w:val="00EF5A4E"/>
    <w:rsid w:val="00EF63C2"/>
    <w:rsid w:val="00EF648D"/>
    <w:rsid w:val="00EF64E6"/>
    <w:rsid w:val="00EF7163"/>
    <w:rsid w:val="00EF719B"/>
    <w:rsid w:val="00EF77C8"/>
    <w:rsid w:val="00EF787A"/>
    <w:rsid w:val="00F00C77"/>
    <w:rsid w:val="00F016E5"/>
    <w:rsid w:val="00F02B3C"/>
    <w:rsid w:val="00F02B81"/>
    <w:rsid w:val="00F02F92"/>
    <w:rsid w:val="00F034F1"/>
    <w:rsid w:val="00F03FE2"/>
    <w:rsid w:val="00F04039"/>
    <w:rsid w:val="00F040B1"/>
    <w:rsid w:val="00F042C2"/>
    <w:rsid w:val="00F052A3"/>
    <w:rsid w:val="00F057CF"/>
    <w:rsid w:val="00F0599B"/>
    <w:rsid w:val="00F0630B"/>
    <w:rsid w:val="00F10D80"/>
    <w:rsid w:val="00F10EB5"/>
    <w:rsid w:val="00F11DA8"/>
    <w:rsid w:val="00F11EF7"/>
    <w:rsid w:val="00F1254E"/>
    <w:rsid w:val="00F13061"/>
    <w:rsid w:val="00F13AFC"/>
    <w:rsid w:val="00F1458A"/>
    <w:rsid w:val="00F1467A"/>
    <w:rsid w:val="00F14E3C"/>
    <w:rsid w:val="00F15364"/>
    <w:rsid w:val="00F1571B"/>
    <w:rsid w:val="00F15F53"/>
    <w:rsid w:val="00F16C4D"/>
    <w:rsid w:val="00F171B0"/>
    <w:rsid w:val="00F17431"/>
    <w:rsid w:val="00F200BB"/>
    <w:rsid w:val="00F2095C"/>
    <w:rsid w:val="00F2288F"/>
    <w:rsid w:val="00F22AB2"/>
    <w:rsid w:val="00F23F0D"/>
    <w:rsid w:val="00F25719"/>
    <w:rsid w:val="00F25A06"/>
    <w:rsid w:val="00F26130"/>
    <w:rsid w:val="00F271DC"/>
    <w:rsid w:val="00F2754F"/>
    <w:rsid w:val="00F30889"/>
    <w:rsid w:val="00F3161F"/>
    <w:rsid w:val="00F324C8"/>
    <w:rsid w:val="00F32E4A"/>
    <w:rsid w:val="00F34ABD"/>
    <w:rsid w:val="00F34AD5"/>
    <w:rsid w:val="00F37118"/>
    <w:rsid w:val="00F37DBD"/>
    <w:rsid w:val="00F400B4"/>
    <w:rsid w:val="00F403CD"/>
    <w:rsid w:val="00F41B74"/>
    <w:rsid w:val="00F44E90"/>
    <w:rsid w:val="00F4686B"/>
    <w:rsid w:val="00F4693E"/>
    <w:rsid w:val="00F46D3A"/>
    <w:rsid w:val="00F4710E"/>
    <w:rsid w:val="00F5069C"/>
    <w:rsid w:val="00F507F2"/>
    <w:rsid w:val="00F50AB1"/>
    <w:rsid w:val="00F51D8C"/>
    <w:rsid w:val="00F5250D"/>
    <w:rsid w:val="00F52662"/>
    <w:rsid w:val="00F52736"/>
    <w:rsid w:val="00F53D45"/>
    <w:rsid w:val="00F5686B"/>
    <w:rsid w:val="00F56943"/>
    <w:rsid w:val="00F6049C"/>
    <w:rsid w:val="00F608EE"/>
    <w:rsid w:val="00F61A37"/>
    <w:rsid w:val="00F61E0D"/>
    <w:rsid w:val="00F62B16"/>
    <w:rsid w:val="00F63B9F"/>
    <w:rsid w:val="00F6434B"/>
    <w:rsid w:val="00F64C91"/>
    <w:rsid w:val="00F65273"/>
    <w:rsid w:val="00F654DE"/>
    <w:rsid w:val="00F66F67"/>
    <w:rsid w:val="00F70194"/>
    <w:rsid w:val="00F7220F"/>
    <w:rsid w:val="00F72B24"/>
    <w:rsid w:val="00F739CD"/>
    <w:rsid w:val="00F73E6A"/>
    <w:rsid w:val="00F75C81"/>
    <w:rsid w:val="00F774B1"/>
    <w:rsid w:val="00F77CB6"/>
    <w:rsid w:val="00F8055F"/>
    <w:rsid w:val="00F80B58"/>
    <w:rsid w:val="00F80DE4"/>
    <w:rsid w:val="00F81533"/>
    <w:rsid w:val="00F82C24"/>
    <w:rsid w:val="00F82F89"/>
    <w:rsid w:val="00F830A1"/>
    <w:rsid w:val="00F849A9"/>
    <w:rsid w:val="00F852F6"/>
    <w:rsid w:val="00F87269"/>
    <w:rsid w:val="00F87528"/>
    <w:rsid w:val="00F875C1"/>
    <w:rsid w:val="00F879C8"/>
    <w:rsid w:val="00F87C2E"/>
    <w:rsid w:val="00F90341"/>
    <w:rsid w:val="00F9061F"/>
    <w:rsid w:val="00F90E30"/>
    <w:rsid w:val="00F92034"/>
    <w:rsid w:val="00F92A48"/>
    <w:rsid w:val="00F94897"/>
    <w:rsid w:val="00F94B8A"/>
    <w:rsid w:val="00F96955"/>
    <w:rsid w:val="00F9727F"/>
    <w:rsid w:val="00F97D2E"/>
    <w:rsid w:val="00FA062A"/>
    <w:rsid w:val="00FA07EE"/>
    <w:rsid w:val="00FA1C01"/>
    <w:rsid w:val="00FA2D33"/>
    <w:rsid w:val="00FA3541"/>
    <w:rsid w:val="00FA3664"/>
    <w:rsid w:val="00FA37B2"/>
    <w:rsid w:val="00FA4AB8"/>
    <w:rsid w:val="00FA6F39"/>
    <w:rsid w:val="00FA704E"/>
    <w:rsid w:val="00FB1330"/>
    <w:rsid w:val="00FB2AAE"/>
    <w:rsid w:val="00FB434B"/>
    <w:rsid w:val="00FB43E4"/>
    <w:rsid w:val="00FB4586"/>
    <w:rsid w:val="00FC0845"/>
    <w:rsid w:val="00FC1FE3"/>
    <w:rsid w:val="00FC2F1C"/>
    <w:rsid w:val="00FC3842"/>
    <w:rsid w:val="00FC5830"/>
    <w:rsid w:val="00FC5B06"/>
    <w:rsid w:val="00FC5B9E"/>
    <w:rsid w:val="00FC5D93"/>
    <w:rsid w:val="00FC60FD"/>
    <w:rsid w:val="00FC7F89"/>
    <w:rsid w:val="00FD0681"/>
    <w:rsid w:val="00FD07EE"/>
    <w:rsid w:val="00FD206A"/>
    <w:rsid w:val="00FD26DC"/>
    <w:rsid w:val="00FD351D"/>
    <w:rsid w:val="00FD3719"/>
    <w:rsid w:val="00FD6780"/>
    <w:rsid w:val="00FD6E2F"/>
    <w:rsid w:val="00FD7105"/>
    <w:rsid w:val="00FD75AA"/>
    <w:rsid w:val="00FD7B50"/>
    <w:rsid w:val="00FD7DFC"/>
    <w:rsid w:val="00FE05A3"/>
    <w:rsid w:val="00FE0855"/>
    <w:rsid w:val="00FE1F30"/>
    <w:rsid w:val="00FE32AB"/>
    <w:rsid w:val="00FE341B"/>
    <w:rsid w:val="00FE3C2F"/>
    <w:rsid w:val="00FE6233"/>
    <w:rsid w:val="00FE7409"/>
    <w:rsid w:val="00FE7954"/>
    <w:rsid w:val="00FE7FF3"/>
    <w:rsid w:val="00FF11E7"/>
    <w:rsid w:val="00FF3891"/>
    <w:rsid w:val="00FF62BF"/>
    <w:rsid w:val="00FF6861"/>
    <w:rsid w:val="00FF6B04"/>
    <w:rsid w:val="00FF6D7D"/>
    <w:rsid w:val="00FF7E4B"/>
    <w:rsid w:val="054C0A2F"/>
    <w:rsid w:val="0AAC453C"/>
    <w:rsid w:val="11657A91"/>
    <w:rsid w:val="22342D9F"/>
    <w:rsid w:val="2DAF710E"/>
    <w:rsid w:val="2DBB7CEF"/>
    <w:rsid w:val="32686886"/>
    <w:rsid w:val="35A0582F"/>
    <w:rsid w:val="40C3196B"/>
    <w:rsid w:val="431633E9"/>
    <w:rsid w:val="43A5138E"/>
    <w:rsid w:val="44C504A8"/>
    <w:rsid w:val="47A95880"/>
    <w:rsid w:val="4AC864A7"/>
    <w:rsid w:val="4DF00DBA"/>
    <w:rsid w:val="52C47B92"/>
    <w:rsid w:val="559608BC"/>
    <w:rsid w:val="56200F18"/>
    <w:rsid w:val="5E317B16"/>
    <w:rsid w:val="5EBB2A5C"/>
    <w:rsid w:val="60A0540C"/>
    <w:rsid w:val="66055FD4"/>
    <w:rsid w:val="667D3647"/>
    <w:rsid w:val="668411D4"/>
    <w:rsid w:val="672370B8"/>
    <w:rsid w:val="67D16E19"/>
    <w:rsid w:val="698811D3"/>
    <w:rsid w:val="6AA95F06"/>
    <w:rsid w:val="6BDA711C"/>
    <w:rsid w:val="75F52176"/>
    <w:rsid w:val="781E463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nhideWhenUsed="0" w:uiPriority="0"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nhideWhenUsed="0" w:uiPriority="99" w:semiHidden="0" w:name="annotation text"/>
    <w:lsdException w:qFormat="1" w:uiPriority="99" w:semiHidden="0" w:name="header"/>
    <w:lsdException w:qFormat="1" w:uiPriority="99" w:semiHidden="0" w:name="footer"/>
    <w:lsdException w:uiPriority="99" w:name="index heading"/>
    <w:lsdException w:qFormat="1" w:uiPriority="99" w:semiHidden="0"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40"/>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4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42"/>
    <w:qFormat/>
    <w:uiPriority w:val="0"/>
    <w:pPr>
      <w:keepNext/>
      <w:keepLines/>
      <w:spacing w:before="260" w:after="260" w:line="360" w:lineRule="auto"/>
      <w:jc w:val="left"/>
      <w:outlineLvl w:val="2"/>
    </w:pPr>
    <w:rPr>
      <w:b/>
      <w:bCs/>
      <w:sz w:val="28"/>
      <w:szCs w:val="32"/>
    </w:rPr>
  </w:style>
  <w:style w:type="paragraph" w:styleId="6">
    <w:name w:val="heading 4"/>
    <w:basedOn w:val="1"/>
    <w:next w:val="1"/>
    <w:link w:val="43"/>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7">
    <w:name w:val="heading 6"/>
    <w:basedOn w:val="1"/>
    <w:next w:val="1"/>
    <w:link w:val="44"/>
    <w:semiHidden/>
    <w:unhideWhenUsed/>
    <w:qFormat/>
    <w:uiPriority w:val="9"/>
    <w:pPr>
      <w:keepNext/>
      <w:keepLines/>
      <w:spacing w:before="240" w:after="64" w:line="320" w:lineRule="auto"/>
      <w:outlineLvl w:val="5"/>
    </w:pPr>
    <w:rPr>
      <w:rFonts w:asciiTheme="majorHAnsi" w:hAnsiTheme="majorHAnsi" w:eastAsiaTheme="majorEastAsia" w:cstheme="majorBidi"/>
      <w:b/>
      <w:bCs/>
      <w:sz w:val="24"/>
    </w:rPr>
  </w:style>
  <w:style w:type="character" w:default="1" w:styleId="34">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8">
    <w:name w:val="toc 7"/>
    <w:basedOn w:val="1"/>
    <w:next w:val="1"/>
    <w:unhideWhenUsed/>
    <w:qFormat/>
    <w:uiPriority w:val="39"/>
    <w:pPr>
      <w:ind w:left="1260"/>
      <w:jc w:val="left"/>
    </w:pPr>
    <w:rPr>
      <w:rFonts w:asciiTheme="minorHAnsi" w:hAnsiTheme="minorHAnsi"/>
      <w:sz w:val="18"/>
      <w:szCs w:val="18"/>
    </w:rPr>
  </w:style>
  <w:style w:type="paragraph" w:styleId="9">
    <w:name w:val="Normal Indent"/>
    <w:basedOn w:val="1"/>
    <w:link w:val="60"/>
    <w:qFormat/>
    <w:uiPriority w:val="0"/>
    <w:pPr>
      <w:adjustRightInd w:val="0"/>
      <w:snapToGrid w:val="0"/>
      <w:spacing w:line="360" w:lineRule="auto"/>
      <w:ind w:firstLine="420"/>
    </w:pPr>
    <w:rPr>
      <w:sz w:val="28"/>
      <w:szCs w:val="20"/>
    </w:rPr>
  </w:style>
  <w:style w:type="paragraph" w:styleId="10">
    <w:name w:val="caption"/>
    <w:basedOn w:val="1"/>
    <w:next w:val="1"/>
    <w:unhideWhenUsed/>
    <w:qFormat/>
    <w:uiPriority w:val="99"/>
    <w:rPr>
      <w:rFonts w:ascii="Arial" w:hAnsi="Arial" w:eastAsia="黑体"/>
      <w:sz w:val="20"/>
    </w:rPr>
  </w:style>
  <w:style w:type="paragraph" w:styleId="11">
    <w:name w:val="Document Map"/>
    <w:basedOn w:val="1"/>
    <w:link w:val="49"/>
    <w:semiHidden/>
    <w:unhideWhenUsed/>
    <w:qFormat/>
    <w:uiPriority w:val="99"/>
    <w:rPr>
      <w:rFonts w:ascii="宋体"/>
      <w:sz w:val="18"/>
      <w:szCs w:val="18"/>
    </w:rPr>
  </w:style>
  <w:style w:type="paragraph" w:styleId="12">
    <w:name w:val="annotation text"/>
    <w:basedOn w:val="1"/>
    <w:link w:val="66"/>
    <w:qFormat/>
    <w:uiPriority w:val="99"/>
    <w:pPr>
      <w:jc w:val="left"/>
    </w:pPr>
  </w:style>
  <w:style w:type="paragraph" w:styleId="13">
    <w:name w:val="Salutation"/>
    <w:basedOn w:val="1"/>
    <w:next w:val="1"/>
    <w:link w:val="129"/>
    <w:qFormat/>
    <w:uiPriority w:val="99"/>
    <w:rPr>
      <w:rFonts w:ascii="Calibri" w:hAnsi="Calibri"/>
      <w:kern w:val="0"/>
      <w:sz w:val="20"/>
    </w:rPr>
  </w:style>
  <w:style w:type="paragraph" w:styleId="14">
    <w:name w:val="Body Text"/>
    <w:basedOn w:val="1"/>
    <w:link w:val="45"/>
    <w:qFormat/>
    <w:uiPriority w:val="99"/>
    <w:pPr>
      <w:spacing w:after="120"/>
    </w:pPr>
    <w:rPr>
      <w:rFonts w:asciiTheme="minorHAnsi" w:hAnsiTheme="minorHAnsi" w:eastAsiaTheme="minorEastAsia" w:cstheme="minorBidi"/>
    </w:rPr>
  </w:style>
  <w:style w:type="paragraph" w:styleId="15">
    <w:name w:val="Body Text Indent"/>
    <w:basedOn w:val="1"/>
    <w:link w:val="77"/>
    <w:unhideWhenUsed/>
    <w:qFormat/>
    <w:uiPriority w:val="99"/>
    <w:pPr>
      <w:spacing w:after="120"/>
      <w:ind w:left="420" w:leftChars="200"/>
    </w:pPr>
  </w:style>
  <w:style w:type="paragraph" w:styleId="16">
    <w:name w:val="toc 5"/>
    <w:basedOn w:val="1"/>
    <w:next w:val="1"/>
    <w:unhideWhenUsed/>
    <w:qFormat/>
    <w:uiPriority w:val="39"/>
    <w:pPr>
      <w:ind w:left="840"/>
      <w:jc w:val="left"/>
    </w:pPr>
    <w:rPr>
      <w:rFonts w:asciiTheme="minorHAnsi" w:hAnsiTheme="minorHAnsi"/>
      <w:sz w:val="18"/>
      <w:szCs w:val="18"/>
    </w:rPr>
  </w:style>
  <w:style w:type="paragraph" w:styleId="17">
    <w:name w:val="toc 3"/>
    <w:basedOn w:val="1"/>
    <w:next w:val="1"/>
    <w:unhideWhenUsed/>
    <w:qFormat/>
    <w:uiPriority w:val="39"/>
    <w:pPr>
      <w:ind w:left="420"/>
      <w:jc w:val="left"/>
    </w:pPr>
    <w:rPr>
      <w:rFonts w:asciiTheme="minorHAnsi" w:hAnsiTheme="minorHAnsi"/>
      <w:i/>
      <w:iCs/>
      <w:sz w:val="20"/>
      <w:szCs w:val="20"/>
    </w:rPr>
  </w:style>
  <w:style w:type="paragraph" w:styleId="18">
    <w:name w:val="toc 8"/>
    <w:basedOn w:val="1"/>
    <w:next w:val="1"/>
    <w:unhideWhenUsed/>
    <w:qFormat/>
    <w:uiPriority w:val="39"/>
    <w:pPr>
      <w:ind w:left="1470"/>
      <w:jc w:val="left"/>
    </w:pPr>
    <w:rPr>
      <w:rFonts w:asciiTheme="minorHAnsi" w:hAnsiTheme="minorHAnsi"/>
      <w:sz w:val="18"/>
      <w:szCs w:val="18"/>
    </w:rPr>
  </w:style>
  <w:style w:type="paragraph" w:styleId="19">
    <w:name w:val="Date"/>
    <w:basedOn w:val="1"/>
    <w:next w:val="1"/>
    <w:link w:val="73"/>
    <w:qFormat/>
    <w:uiPriority w:val="0"/>
    <w:pPr>
      <w:spacing w:line="360" w:lineRule="auto"/>
      <w:ind w:firstLine="200" w:firstLineChars="200"/>
      <w:jc w:val="left"/>
    </w:pPr>
    <w:rPr>
      <w:rFonts w:asciiTheme="minorHAnsi" w:hAnsiTheme="minorHAnsi" w:eastAsiaTheme="minorEastAsia" w:cstheme="minorBidi"/>
      <w:sz w:val="28"/>
      <w:szCs w:val="22"/>
    </w:rPr>
  </w:style>
  <w:style w:type="paragraph" w:styleId="20">
    <w:name w:val="Body Text Indent 2"/>
    <w:basedOn w:val="1"/>
    <w:link w:val="47"/>
    <w:qFormat/>
    <w:uiPriority w:val="0"/>
    <w:pPr>
      <w:spacing w:after="120" w:line="480" w:lineRule="auto"/>
      <w:ind w:left="420" w:leftChars="200"/>
    </w:pPr>
    <w:rPr>
      <w:rFonts w:asciiTheme="minorHAnsi" w:hAnsiTheme="minorHAnsi" w:eastAsiaTheme="minorEastAsia" w:cstheme="minorBidi"/>
    </w:rPr>
  </w:style>
  <w:style w:type="paragraph" w:styleId="21">
    <w:name w:val="Balloon Text"/>
    <w:basedOn w:val="1"/>
    <w:link w:val="57"/>
    <w:semiHidden/>
    <w:unhideWhenUsed/>
    <w:qFormat/>
    <w:uiPriority w:val="99"/>
    <w:rPr>
      <w:sz w:val="18"/>
      <w:szCs w:val="18"/>
    </w:rPr>
  </w:style>
  <w:style w:type="paragraph" w:styleId="22">
    <w:name w:val="footer"/>
    <w:basedOn w:val="1"/>
    <w:link w:val="51"/>
    <w:unhideWhenUsed/>
    <w:qFormat/>
    <w:uiPriority w:val="99"/>
    <w:pPr>
      <w:tabs>
        <w:tab w:val="center" w:pos="4153"/>
        <w:tab w:val="right" w:pos="8306"/>
      </w:tabs>
      <w:snapToGrid w:val="0"/>
      <w:jc w:val="left"/>
    </w:pPr>
    <w:rPr>
      <w:sz w:val="18"/>
      <w:szCs w:val="18"/>
    </w:rPr>
  </w:style>
  <w:style w:type="paragraph" w:styleId="23">
    <w:name w:val="header"/>
    <w:basedOn w:val="1"/>
    <w:link w:val="50"/>
    <w:unhideWhenUsed/>
    <w:qFormat/>
    <w:uiPriority w:val="99"/>
    <w:pPr>
      <w:pBdr>
        <w:bottom w:val="single" w:color="auto" w:sz="6" w:space="1"/>
      </w:pBdr>
      <w:tabs>
        <w:tab w:val="center" w:pos="4153"/>
        <w:tab w:val="right" w:pos="8306"/>
      </w:tabs>
      <w:snapToGrid w:val="0"/>
      <w:jc w:val="center"/>
    </w:pPr>
    <w:rPr>
      <w:sz w:val="18"/>
      <w:szCs w:val="18"/>
    </w:rPr>
  </w:style>
  <w:style w:type="paragraph" w:styleId="24">
    <w:name w:val="toc 1"/>
    <w:basedOn w:val="1"/>
    <w:next w:val="1"/>
    <w:unhideWhenUsed/>
    <w:qFormat/>
    <w:uiPriority w:val="39"/>
    <w:pPr>
      <w:spacing w:before="120" w:after="120"/>
      <w:jc w:val="left"/>
    </w:pPr>
    <w:rPr>
      <w:rFonts w:asciiTheme="minorHAnsi" w:hAnsiTheme="minorHAnsi"/>
      <w:b/>
      <w:bCs/>
      <w:caps/>
      <w:sz w:val="20"/>
      <w:szCs w:val="20"/>
    </w:rPr>
  </w:style>
  <w:style w:type="paragraph" w:styleId="25">
    <w:name w:val="toc 4"/>
    <w:basedOn w:val="1"/>
    <w:next w:val="1"/>
    <w:unhideWhenUsed/>
    <w:qFormat/>
    <w:uiPriority w:val="39"/>
    <w:pPr>
      <w:ind w:left="630"/>
      <w:jc w:val="left"/>
    </w:pPr>
    <w:rPr>
      <w:rFonts w:asciiTheme="minorHAnsi" w:hAnsiTheme="minorHAnsi"/>
      <w:sz w:val="18"/>
      <w:szCs w:val="18"/>
    </w:rPr>
  </w:style>
  <w:style w:type="paragraph" w:styleId="26">
    <w:name w:val="toc 6"/>
    <w:basedOn w:val="1"/>
    <w:next w:val="1"/>
    <w:unhideWhenUsed/>
    <w:qFormat/>
    <w:uiPriority w:val="39"/>
    <w:pPr>
      <w:ind w:left="1050"/>
      <w:jc w:val="left"/>
    </w:pPr>
    <w:rPr>
      <w:rFonts w:asciiTheme="minorHAnsi" w:hAnsiTheme="minorHAnsi"/>
      <w:sz w:val="18"/>
      <w:szCs w:val="18"/>
    </w:rPr>
  </w:style>
  <w:style w:type="paragraph" w:styleId="27">
    <w:name w:val="Body Text Indent 3"/>
    <w:basedOn w:val="1"/>
    <w:link w:val="61"/>
    <w:qFormat/>
    <w:uiPriority w:val="0"/>
    <w:pPr>
      <w:spacing w:after="120"/>
      <w:ind w:left="420" w:leftChars="200" w:firstLine="200" w:firstLineChars="200"/>
    </w:pPr>
    <w:rPr>
      <w:sz w:val="16"/>
      <w:szCs w:val="16"/>
    </w:rPr>
  </w:style>
  <w:style w:type="paragraph" w:styleId="28">
    <w:name w:val="toc 2"/>
    <w:basedOn w:val="1"/>
    <w:next w:val="1"/>
    <w:unhideWhenUsed/>
    <w:qFormat/>
    <w:uiPriority w:val="39"/>
    <w:pPr>
      <w:ind w:left="210"/>
      <w:jc w:val="left"/>
    </w:pPr>
    <w:rPr>
      <w:rFonts w:asciiTheme="minorHAnsi" w:hAnsiTheme="minorHAnsi"/>
      <w:smallCaps/>
      <w:sz w:val="20"/>
      <w:szCs w:val="20"/>
    </w:rPr>
  </w:style>
  <w:style w:type="paragraph" w:styleId="29">
    <w:name w:val="toc 9"/>
    <w:basedOn w:val="1"/>
    <w:next w:val="1"/>
    <w:unhideWhenUsed/>
    <w:qFormat/>
    <w:uiPriority w:val="39"/>
    <w:pPr>
      <w:ind w:left="1680"/>
      <w:jc w:val="left"/>
    </w:pPr>
    <w:rPr>
      <w:rFonts w:asciiTheme="minorHAnsi" w:hAnsiTheme="minorHAnsi"/>
      <w:sz w:val="18"/>
      <w:szCs w:val="18"/>
    </w:rPr>
  </w:style>
  <w:style w:type="paragraph" w:styleId="30">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31">
    <w:name w:val="annotation subject"/>
    <w:basedOn w:val="12"/>
    <w:next w:val="12"/>
    <w:link w:val="67"/>
    <w:semiHidden/>
    <w:unhideWhenUsed/>
    <w:qFormat/>
    <w:uiPriority w:val="99"/>
    <w:rPr>
      <w:b/>
      <w:bCs/>
    </w:rPr>
  </w:style>
  <w:style w:type="table" w:styleId="33">
    <w:name w:val="Table Grid"/>
    <w:basedOn w:val="3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35">
    <w:name w:val="Strong"/>
    <w:basedOn w:val="34"/>
    <w:qFormat/>
    <w:uiPriority w:val="22"/>
    <w:rPr>
      <w:b/>
      <w:bCs/>
    </w:rPr>
  </w:style>
  <w:style w:type="character" w:styleId="36">
    <w:name w:val="FollowedHyperlink"/>
    <w:basedOn w:val="34"/>
    <w:semiHidden/>
    <w:unhideWhenUsed/>
    <w:qFormat/>
    <w:uiPriority w:val="99"/>
    <w:rPr>
      <w:color w:val="954F72"/>
      <w:u w:val="single"/>
    </w:rPr>
  </w:style>
  <w:style w:type="character" w:styleId="37">
    <w:name w:val="Emphasis"/>
    <w:basedOn w:val="34"/>
    <w:qFormat/>
    <w:uiPriority w:val="20"/>
    <w:rPr>
      <w:i/>
    </w:rPr>
  </w:style>
  <w:style w:type="character" w:styleId="38">
    <w:name w:val="Hyperlink"/>
    <w:basedOn w:val="34"/>
    <w:unhideWhenUsed/>
    <w:qFormat/>
    <w:uiPriority w:val="99"/>
    <w:rPr>
      <w:color w:val="0000FF"/>
      <w:u w:val="single"/>
    </w:rPr>
  </w:style>
  <w:style w:type="character" w:styleId="39">
    <w:name w:val="annotation reference"/>
    <w:basedOn w:val="34"/>
    <w:unhideWhenUsed/>
    <w:qFormat/>
    <w:uiPriority w:val="99"/>
    <w:rPr>
      <w:sz w:val="21"/>
      <w:szCs w:val="21"/>
    </w:rPr>
  </w:style>
  <w:style w:type="character" w:customStyle="1" w:styleId="40">
    <w:name w:val="标题 1 Char"/>
    <w:basedOn w:val="34"/>
    <w:link w:val="3"/>
    <w:qFormat/>
    <w:uiPriority w:val="9"/>
    <w:rPr>
      <w:rFonts w:ascii="Times New Roman" w:hAnsi="Times New Roman" w:eastAsia="宋体" w:cs="Times New Roman"/>
      <w:b/>
      <w:bCs/>
      <w:kern w:val="44"/>
      <w:sz w:val="44"/>
      <w:szCs w:val="44"/>
    </w:rPr>
  </w:style>
  <w:style w:type="character" w:customStyle="1" w:styleId="41">
    <w:name w:val="标题 2 Char"/>
    <w:basedOn w:val="34"/>
    <w:link w:val="4"/>
    <w:qFormat/>
    <w:uiPriority w:val="9"/>
    <w:rPr>
      <w:rFonts w:asciiTheme="majorHAnsi" w:hAnsiTheme="majorHAnsi" w:eastAsiaTheme="majorEastAsia" w:cstheme="majorBidi"/>
      <w:b/>
      <w:bCs/>
      <w:sz w:val="32"/>
      <w:szCs w:val="32"/>
    </w:rPr>
  </w:style>
  <w:style w:type="character" w:customStyle="1" w:styleId="42">
    <w:name w:val="标题 3 Char"/>
    <w:basedOn w:val="34"/>
    <w:link w:val="5"/>
    <w:qFormat/>
    <w:uiPriority w:val="0"/>
    <w:rPr>
      <w:rFonts w:ascii="Times New Roman" w:hAnsi="Times New Roman" w:eastAsia="宋体" w:cs="Times New Roman"/>
      <w:b/>
      <w:bCs/>
      <w:sz w:val="28"/>
      <w:szCs w:val="32"/>
    </w:rPr>
  </w:style>
  <w:style w:type="character" w:customStyle="1" w:styleId="43">
    <w:name w:val="标题 4 Char"/>
    <w:basedOn w:val="34"/>
    <w:link w:val="6"/>
    <w:qFormat/>
    <w:uiPriority w:val="9"/>
    <w:rPr>
      <w:rFonts w:asciiTheme="majorHAnsi" w:hAnsiTheme="majorHAnsi" w:eastAsiaTheme="majorEastAsia" w:cstheme="majorBidi"/>
      <w:b/>
      <w:bCs/>
      <w:sz w:val="28"/>
      <w:szCs w:val="28"/>
    </w:rPr>
  </w:style>
  <w:style w:type="character" w:customStyle="1" w:styleId="44">
    <w:name w:val="标题 6 Char"/>
    <w:basedOn w:val="34"/>
    <w:link w:val="7"/>
    <w:qFormat/>
    <w:uiPriority w:val="9"/>
    <w:rPr>
      <w:rFonts w:asciiTheme="majorHAnsi" w:hAnsiTheme="majorHAnsi" w:eastAsiaTheme="majorEastAsia" w:cstheme="majorBidi"/>
      <w:b/>
      <w:bCs/>
      <w:sz w:val="24"/>
      <w:szCs w:val="24"/>
    </w:rPr>
  </w:style>
  <w:style w:type="character" w:customStyle="1" w:styleId="45">
    <w:name w:val="正文文本 Char1"/>
    <w:basedOn w:val="34"/>
    <w:link w:val="14"/>
    <w:qFormat/>
    <w:uiPriority w:val="99"/>
    <w:rPr>
      <w:szCs w:val="24"/>
    </w:rPr>
  </w:style>
  <w:style w:type="character" w:customStyle="1" w:styleId="46">
    <w:name w:val="正文文本 Char"/>
    <w:basedOn w:val="34"/>
    <w:semiHidden/>
    <w:qFormat/>
    <w:uiPriority w:val="99"/>
    <w:rPr>
      <w:rFonts w:ascii="Times New Roman" w:hAnsi="Times New Roman" w:eastAsia="宋体" w:cs="Times New Roman"/>
      <w:szCs w:val="24"/>
    </w:rPr>
  </w:style>
  <w:style w:type="character" w:customStyle="1" w:styleId="47">
    <w:name w:val="正文文本缩进 2 Char1"/>
    <w:basedOn w:val="34"/>
    <w:link w:val="20"/>
    <w:qFormat/>
    <w:uiPriority w:val="0"/>
    <w:rPr>
      <w:szCs w:val="24"/>
    </w:rPr>
  </w:style>
  <w:style w:type="character" w:customStyle="1" w:styleId="48">
    <w:name w:val="正文文本缩进 2 Char"/>
    <w:basedOn w:val="34"/>
    <w:semiHidden/>
    <w:qFormat/>
    <w:uiPriority w:val="99"/>
    <w:rPr>
      <w:rFonts w:ascii="Times New Roman" w:hAnsi="Times New Roman" w:eastAsia="宋体" w:cs="Times New Roman"/>
      <w:szCs w:val="24"/>
    </w:rPr>
  </w:style>
  <w:style w:type="character" w:customStyle="1" w:styleId="49">
    <w:name w:val="文档结构图 Char"/>
    <w:basedOn w:val="34"/>
    <w:link w:val="11"/>
    <w:semiHidden/>
    <w:qFormat/>
    <w:uiPriority w:val="99"/>
    <w:rPr>
      <w:rFonts w:ascii="宋体" w:hAnsi="Times New Roman" w:eastAsia="宋体" w:cs="Times New Roman"/>
      <w:sz w:val="18"/>
      <w:szCs w:val="18"/>
    </w:rPr>
  </w:style>
  <w:style w:type="character" w:customStyle="1" w:styleId="50">
    <w:name w:val="页眉 Char"/>
    <w:basedOn w:val="34"/>
    <w:link w:val="23"/>
    <w:qFormat/>
    <w:uiPriority w:val="99"/>
    <w:rPr>
      <w:rFonts w:ascii="Times New Roman" w:hAnsi="Times New Roman" w:eastAsia="宋体" w:cs="Times New Roman"/>
      <w:sz w:val="18"/>
      <w:szCs w:val="18"/>
    </w:rPr>
  </w:style>
  <w:style w:type="character" w:customStyle="1" w:styleId="51">
    <w:name w:val="页脚 Char"/>
    <w:basedOn w:val="34"/>
    <w:link w:val="22"/>
    <w:qFormat/>
    <w:uiPriority w:val="99"/>
    <w:rPr>
      <w:rFonts w:ascii="Times New Roman" w:hAnsi="Times New Roman" w:eastAsia="宋体" w:cs="Times New Roman"/>
      <w:sz w:val="18"/>
      <w:szCs w:val="18"/>
    </w:rPr>
  </w:style>
  <w:style w:type="character" w:customStyle="1" w:styleId="52">
    <w:name w:val="font11"/>
    <w:basedOn w:val="34"/>
    <w:qFormat/>
    <w:uiPriority w:val="0"/>
    <w:rPr>
      <w:rFonts w:hint="eastAsia" w:ascii="宋体" w:hAnsi="宋体" w:eastAsia="宋体" w:cs="宋体"/>
      <w:color w:val="000000"/>
      <w:sz w:val="21"/>
      <w:szCs w:val="21"/>
      <w:u w:val="none"/>
    </w:rPr>
  </w:style>
  <w:style w:type="character" w:customStyle="1" w:styleId="53">
    <w:name w:val="font01"/>
    <w:basedOn w:val="34"/>
    <w:qFormat/>
    <w:uiPriority w:val="0"/>
    <w:rPr>
      <w:rFonts w:hint="default" w:ascii="Times New Roman" w:hAnsi="Times New Roman" w:cs="Times New Roman"/>
      <w:color w:val="000000"/>
      <w:sz w:val="21"/>
      <w:szCs w:val="21"/>
      <w:u w:val="none"/>
    </w:rPr>
  </w:style>
  <w:style w:type="paragraph" w:customStyle="1" w:styleId="54">
    <w:name w:val="标题3"/>
    <w:basedOn w:val="5"/>
    <w:link w:val="126"/>
    <w:qFormat/>
    <w:uiPriority w:val="0"/>
    <w:pPr>
      <w:widowControl/>
      <w:spacing w:before="0" w:after="0" w:line="240" w:lineRule="auto"/>
      <w:jc w:val="both"/>
    </w:pPr>
    <w:rPr>
      <w:rFonts w:cstheme="minorBidi"/>
    </w:rPr>
  </w:style>
  <w:style w:type="paragraph" w:customStyle="1" w:styleId="55">
    <w:name w:val="标题4"/>
    <w:basedOn w:val="6"/>
    <w:qFormat/>
    <w:uiPriority w:val="0"/>
    <w:pPr>
      <w:widowControl/>
      <w:spacing w:before="0" w:after="0" w:line="360" w:lineRule="auto"/>
      <w:ind w:left="200" w:leftChars="200"/>
    </w:pPr>
    <w:rPr>
      <w:rFonts w:eastAsia="宋体"/>
      <w:b w:val="0"/>
    </w:rPr>
  </w:style>
  <w:style w:type="paragraph" w:customStyle="1" w:styleId="56">
    <w:name w:val="表题"/>
    <w:basedOn w:val="1"/>
    <w:qFormat/>
    <w:uiPriority w:val="0"/>
    <w:pPr>
      <w:widowControl/>
      <w:snapToGrid w:val="0"/>
      <w:spacing w:line="360" w:lineRule="auto"/>
      <w:jc w:val="center"/>
    </w:pPr>
    <w:rPr>
      <w:rFonts w:eastAsia="黑体"/>
      <w:sz w:val="24"/>
    </w:rPr>
  </w:style>
  <w:style w:type="character" w:customStyle="1" w:styleId="57">
    <w:name w:val="批注框文本 Char"/>
    <w:basedOn w:val="34"/>
    <w:link w:val="21"/>
    <w:semiHidden/>
    <w:qFormat/>
    <w:uiPriority w:val="99"/>
    <w:rPr>
      <w:rFonts w:ascii="Times New Roman" w:hAnsi="Times New Roman" w:eastAsia="宋体" w:cs="Times New Roman"/>
      <w:sz w:val="18"/>
      <w:szCs w:val="18"/>
    </w:rPr>
  </w:style>
  <w:style w:type="character" w:customStyle="1" w:styleId="58">
    <w:name w:val="1正文 Char"/>
    <w:link w:val="59"/>
    <w:qFormat/>
    <w:uiPriority w:val="0"/>
    <w:rPr>
      <w:rFonts w:ascii="Times New Roman" w:hAnsi="Times New Roman" w:eastAsia="宋体" w:cs="Times New Roman"/>
      <w:sz w:val="28"/>
      <w:szCs w:val="24"/>
    </w:rPr>
  </w:style>
  <w:style w:type="paragraph" w:customStyle="1" w:styleId="59">
    <w:name w:val="1正文"/>
    <w:basedOn w:val="1"/>
    <w:link w:val="58"/>
    <w:qFormat/>
    <w:uiPriority w:val="0"/>
    <w:pPr>
      <w:adjustRightInd w:val="0"/>
      <w:snapToGrid w:val="0"/>
      <w:spacing w:beforeLines="10" w:line="360" w:lineRule="auto"/>
      <w:ind w:firstLine="200" w:firstLineChars="200"/>
    </w:pPr>
    <w:rPr>
      <w:sz w:val="28"/>
    </w:rPr>
  </w:style>
  <w:style w:type="character" w:customStyle="1" w:styleId="60">
    <w:name w:val="正文缩进 Char"/>
    <w:link w:val="9"/>
    <w:qFormat/>
    <w:locked/>
    <w:uiPriority w:val="0"/>
    <w:rPr>
      <w:rFonts w:ascii="Times New Roman" w:hAnsi="Times New Roman" w:eastAsia="宋体" w:cs="Times New Roman"/>
      <w:sz w:val="28"/>
      <w:szCs w:val="20"/>
    </w:rPr>
  </w:style>
  <w:style w:type="character" w:customStyle="1" w:styleId="61">
    <w:name w:val="正文文本缩进 3 Char"/>
    <w:basedOn w:val="34"/>
    <w:link w:val="27"/>
    <w:qFormat/>
    <w:uiPriority w:val="0"/>
    <w:rPr>
      <w:rFonts w:ascii="Times New Roman" w:hAnsi="Times New Roman" w:eastAsia="宋体" w:cs="Times New Roman"/>
      <w:sz w:val="16"/>
      <w:szCs w:val="16"/>
    </w:rPr>
  </w:style>
  <w:style w:type="character" w:customStyle="1" w:styleId="62">
    <w:name w:val="样式4 Char5"/>
    <w:basedOn w:val="34"/>
    <w:link w:val="63"/>
    <w:qFormat/>
    <w:uiPriority w:val="0"/>
    <w:rPr>
      <w:rFonts w:eastAsia="宋体"/>
      <w:color w:val="000000"/>
      <w:sz w:val="24"/>
      <w:szCs w:val="24"/>
    </w:rPr>
  </w:style>
  <w:style w:type="paragraph" w:customStyle="1" w:styleId="63">
    <w:name w:val="样式4"/>
    <w:basedOn w:val="1"/>
    <w:link w:val="62"/>
    <w:qFormat/>
    <w:uiPriority w:val="0"/>
    <w:pPr>
      <w:ind w:firstLine="480" w:firstLineChars="200"/>
    </w:pPr>
    <w:rPr>
      <w:rFonts w:asciiTheme="minorHAnsi" w:hAnsiTheme="minorHAnsi" w:cstheme="minorBidi"/>
      <w:color w:val="000000"/>
      <w:sz w:val="24"/>
    </w:rPr>
  </w:style>
  <w:style w:type="character" w:customStyle="1" w:styleId="64">
    <w:name w:val="表内容 Char"/>
    <w:link w:val="65"/>
    <w:qFormat/>
    <w:uiPriority w:val="0"/>
    <w:rPr>
      <w:rFonts w:ascii="Times New Roman" w:hAnsi="Times New Roman" w:eastAsia="宋体" w:cs="Times New Roman"/>
      <w:szCs w:val="28"/>
    </w:rPr>
  </w:style>
  <w:style w:type="paragraph" w:customStyle="1" w:styleId="65">
    <w:name w:val="表内容"/>
    <w:basedOn w:val="1"/>
    <w:link w:val="64"/>
    <w:qFormat/>
    <w:uiPriority w:val="0"/>
    <w:pPr>
      <w:spacing w:line="360" w:lineRule="auto"/>
      <w:jc w:val="center"/>
    </w:pPr>
    <w:rPr>
      <w:szCs w:val="28"/>
    </w:rPr>
  </w:style>
  <w:style w:type="character" w:customStyle="1" w:styleId="66">
    <w:name w:val="批注文字 Char"/>
    <w:basedOn w:val="34"/>
    <w:link w:val="12"/>
    <w:qFormat/>
    <w:uiPriority w:val="99"/>
    <w:rPr>
      <w:rFonts w:ascii="Times New Roman" w:hAnsi="Times New Roman" w:eastAsia="宋体" w:cs="Times New Roman"/>
      <w:szCs w:val="24"/>
    </w:rPr>
  </w:style>
  <w:style w:type="character" w:customStyle="1" w:styleId="67">
    <w:name w:val="批注主题 Char"/>
    <w:basedOn w:val="66"/>
    <w:link w:val="31"/>
    <w:semiHidden/>
    <w:qFormat/>
    <w:uiPriority w:val="99"/>
    <w:rPr>
      <w:rFonts w:ascii="Times New Roman" w:hAnsi="Times New Roman" w:eastAsia="宋体" w:cs="Times New Roman"/>
      <w:b/>
      <w:bCs/>
      <w:szCs w:val="24"/>
    </w:rPr>
  </w:style>
  <w:style w:type="paragraph" w:customStyle="1" w:styleId="68">
    <w:name w:val="表格标题"/>
    <w:basedOn w:val="1"/>
    <w:link w:val="69"/>
    <w:qFormat/>
    <w:uiPriority w:val="99"/>
    <w:pPr>
      <w:spacing w:beforeLines="50"/>
      <w:jc w:val="center"/>
    </w:pPr>
    <w:rPr>
      <w:b/>
      <w:spacing w:val="4"/>
      <w:szCs w:val="20"/>
    </w:rPr>
  </w:style>
  <w:style w:type="character" w:customStyle="1" w:styleId="69">
    <w:name w:val="表格标题 Char"/>
    <w:link w:val="68"/>
    <w:qFormat/>
    <w:uiPriority w:val="99"/>
    <w:rPr>
      <w:rFonts w:ascii="Times New Roman" w:hAnsi="Times New Roman" w:eastAsia="宋体" w:cs="Times New Roman"/>
      <w:b/>
      <w:spacing w:val="4"/>
      <w:szCs w:val="20"/>
    </w:rPr>
  </w:style>
  <w:style w:type="paragraph" w:customStyle="1" w:styleId="70">
    <w:name w:val="图标题"/>
    <w:basedOn w:val="1"/>
    <w:qFormat/>
    <w:uiPriority w:val="0"/>
    <w:pPr>
      <w:spacing w:afterLines="50"/>
      <w:jc w:val="center"/>
    </w:pPr>
    <w:rPr>
      <w:b/>
    </w:rPr>
  </w:style>
  <w:style w:type="paragraph" w:styleId="71">
    <w:name w:val="List Paragraph"/>
    <w:basedOn w:val="1"/>
    <w:link w:val="72"/>
    <w:qFormat/>
    <w:uiPriority w:val="34"/>
    <w:pPr>
      <w:ind w:firstLine="420" w:firstLineChars="200"/>
    </w:pPr>
  </w:style>
  <w:style w:type="character" w:customStyle="1" w:styleId="72">
    <w:name w:val="列出段落 Char"/>
    <w:basedOn w:val="34"/>
    <w:link w:val="71"/>
    <w:qFormat/>
    <w:uiPriority w:val="34"/>
    <w:rPr>
      <w:rFonts w:ascii="Times New Roman" w:hAnsi="Times New Roman" w:eastAsia="宋体" w:cs="Times New Roman"/>
      <w:szCs w:val="24"/>
    </w:rPr>
  </w:style>
  <w:style w:type="character" w:customStyle="1" w:styleId="73">
    <w:name w:val="日期 Char"/>
    <w:link w:val="19"/>
    <w:qFormat/>
    <w:uiPriority w:val="0"/>
    <w:rPr>
      <w:sz w:val="28"/>
    </w:rPr>
  </w:style>
  <w:style w:type="character" w:customStyle="1" w:styleId="74">
    <w:name w:val="日期 Char1"/>
    <w:basedOn w:val="34"/>
    <w:semiHidden/>
    <w:qFormat/>
    <w:uiPriority w:val="99"/>
    <w:rPr>
      <w:rFonts w:ascii="Times New Roman" w:hAnsi="Times New Roman" w:eastAsia="宋体" w:cs="Times New Roman"/>
      <w:szCs w:val="24"/>
    </w:rPr>
  </w:style>
  <w:style w:type="paragraph" w:customStyle="1" w:styleId="75">
    <w:name w:val="表格"/>
    <w:basedOn w:val="1"/>
    <w:qFormat/>
    <w:uiPriority w:val="99"/>
    <w:pPr>
      <w:adjustRightInd w:val="0"/>
      <w:snapToGrid w:val="0"/>
      <w:spacing w:line="360" w:lineRule="auto"/>
      <w:ind w:firstLine="200" w:firstLineChars="200"/>
      <w:jc w:val="center"/>
    </w:pPr>
    <w:rPr>
      <w:spacing w:val="4"/>
      <w:sz w:val="18"/>
      <w:szCs w:val="20"/>
    </w:rPr>
  </w:style>
  <w:style w:type="paragraph" w:customStyle="1" w:styleId="76">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77">
    <w:name w:val="正文文本缩进 Char"/>
    <w:basedOn w:val="34"/>
    <w:link w:val="15"/>
    <w:qFormat/>
    <w:uiPriority w:val="99"/>
    <w:rPr>
      <w:rFonts w:ascii="Times New Roman" w:hAnsi="Times New Roman" w:eastAsia="宋体" w:cs="Times New Roman"/>
      <w:szCs w:val="24"/>
    </w:rPr>
  </w:style>
  <w:style w:type="paragraph" w:styleId="78">
    <w:name w:val="No Spacing"/>
    <w:link w:val="79"/>
    <w:qFormat/>
    <w:uiPriority w:val="1"/>
    <w:pPr>
      <w:widowControl w:val="0"/>
      <w:jc w:val="both"/>
    </w:pPr>
    <w:rPr>
      <w:rFonts w:ascii="Times New Roman" w:hAnsi="Times New Roman" w:eastAsia="宋体" w:cs="Times New Roman"/>
      <w:kern w:val="2"/>
      <w:sz w:val="24"/>
      <w:szCs w:val="22"/>
      <w:lang w:val="en-US" w:eastAsia="zh-CN" w:bidi="ar-SA"/>
    </w:rPr>
  </w:style>
  <w:style w:type="character" w:customStyle="1" w:styleId="79">
    <w:name w:val="无间隔 Char"/>
    <w:link w:val="78"/>
    <w:qFormat/>
    <w:uiPriority w:val="1"/>
    <w:rPr>
      <w:rFonts w:ascii="Times New Roman" w:hAnsi="Times New Roman" w:eastAsia="宋体" w:cs="Times New Roman"/>
      <w:sz w:val="24"/>
    </w:rPr>
  </w:style>
  <w:style w:type="character" w:customStyle="1" w:styleId="80">
    <w:name w:val="Char Char2"/>
    <w:qFormat/>
    <w:uiPriority w:val="0"/>
    <w:rPr>
      <w:rFonts w:eastAsia="宋体"/>
      <w:kern w:val="2"/>
      <w:sz w:val="18"/>
      <w:lang w:val="en-US" w:eastAsia="zh-CN" w:bidi="ar-SA"/>
    </w:rPr>
  </w:style>
  <w:style w:type="paragraph" w:customStyle="1" w:styleId="81">
    <w:name w:val="font1"/>
    <w:basedOn w:val="1"/>
    <w:qFormat/>
    <w:uiPriority w:val="0"/>
    <w:pPr>
      <w:widowControl/>
      <w:spacing w:before="100" w:beforeAutospacing="1" w:after="100" w:afterAutospacing="1"/>
      <w:jc w:val="left"/>
    </w:pPr>
    <w:rPr>
      <w:rFonts w:ascii="宋体" w:hAnsi="宋体" w:cs="宋体"/>
      <w:color w:val="000000"/>
      <w:kern w:val="0"/>
      <w:sz w:val="22"/>
      <w:szCs w:val="22"/>
    </w:rPr>
  </w:style>
  <w:style w:type="paragraph" w:customStyle="1" w:styleId="82">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83">
    <w:name w:val="font6"/>
    <w:basedOn w:val="1"/>
    <w:qFormat/>
    <w:uiPriority w:val="0"/>
    <w:pPr>
      <w:widowControl/>
      <w:spacing w:before="100" w:beforeAutospacing="1" w:after="100" w:afterAutospacing="1"/>
      <w:jc w:val="left"/>
    </w:pPr>
    <w:rPr>
      <w:rFonts w:ascii="宋体" w:hAnsi="宋体" w:cs="宋体"/>
      <w:b/>
      <w:bCs/>
      <w:color w:val="000000"/>
      <w:kern w:val="0"/>
      <w:sz w:val="20"/>
      <w:szCs w:val="20"/>
    </w:rPr>
  </w:style>
  <w:style w:type="paragraph" w:customStyle="1" w:styleId="84">
    <w:name w:val="font7"/>
    <w:basedOn w:val="1"/>
    <w:qFormat/>
    <w:uiPriority w:val="0"/>
    <w:pPr>
      <w:widowControl/>
      <w:spacing w:before="100" w:beforeAutospacing="1" w:after="100" w:afterAutospacing="1"/>
      <w:jc w:val="left"/>
    </w:pPr>
    <w:rPr>
      <w:b/>
      <w:bCs/>
      <w:color w:val="000000"/>
      <w:kern w:val="0"/>
      <w:sz w:val="20"/>
      <w:szCs w:val="20"/>
    </w:rPr>
  </w:style>
  <w:style w:type="paragraph" w:customStyle="1" w:styleId="85">
    <w:name w:val="font8"/>
    <w:basedOn w:val="1"/>
    <w:qFormat/>
    <w:uiPriority w:val="0"/>
    <w:pPr>
      <w:widowControl/>
      <w:spacing w:before="100" w:beforeAutospacing="1" w:after="100" w:afterAutospacing="1"/>
      <w:jc w:val="left"/>
    </w:pPr>
    <w:rPr>
      <w:rFonts w:ascii="黑体" w:hAnsi="黑体" w:eastAsia="黑体" w:cs="宋体"/>
      <w:b/>
      <w:bCs/>
      <w:color w:val="000000"/>
      <w:kern w:val="0"/>
      <w:sz w:val="20"/>
      <w:szCs w:val="20"/>
    </w:rPr>
  </w:style>
  <w:style w:type="paragraph" w:customStyle="1" w:styleId="86">
    <w:name w:val="font9"/>
    <w:basedOn w:val="1"/>
    <w:qFormat/>
    <w:uiPriority w:val="0"/>
    <w:pPr>
      <w:widowControl/>
      <w:spacing w:before="100" w:beforeAutospacing="1" w:after="100" w:afterAutospacing="1"/>
      <w:jc w:val="left"/>
    </w:pPr>
    <w:rPr>
      <w:color w:val="000000"/>
      <w:kern w:val="0"/>
      <w:sz w:val="20"/>
      <w:szCs w:val="20"/>
    </w:rPr>
  </w:style>
  <w:style w:type="paragraph" w:customStyle="1" w:styleId="87">
    <w:name w:val="font10"/>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88">
    <w:name w:val="xl6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color w:val="000000"/>
      <w:kern w:val="0"/>
      <w:sz w:val="20"/>
      <w:szCs w:val="20"/>
    </w:rPr>
  </w:style>
  <w:style w:type="paragraph" w:customStyle="1" w:styleId="89">
    <w:name w:val="xl6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color w:val="000000"/>
      <w:kern w:val="0"/>
      <w:sz w:val="20"/>
      <w:szCs w:val="20"/>
    </w:rPr>
  </w:style>
  <w:style w:type="paragraph" w:customStyle="1" w:styleId="90">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color w:val="000000"/>
      <w:kern w:val="0"/>
      <w:sz w:val="20"/>
      <w:szCs w:val="20"/>
    </w:rPr>
  </w:style>
  <w:style w:type="paragraph" w:customStyle="1" w:styleId="91">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92">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color w:val="000000"/>
      <w:kern w:val="0"/>
      <w:sz w:val="20"/>
      <w:szCs w:val="20"/>
    </w:rPr>
  </w:style>
  <w:style w:type="paragraph" w:customStyle="1" w:styleId="93">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color w:val="000000"/>
      <w:kern w:val="0"/>
      <w:sz w:val="20"/>
      <w:szCs w:val="20"/>
    </w:rPr>
  </w:style>
  <w:style w:type="paragraph" w:customStyle="1" w:styleId="94">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color w:val="000000"/>
      <w:kern w:val="0"/>
      <w:sz w:val="20"/>
      <w:szCs w:val="20"/>
    </w:rPr>
  </w:style>
  <w:style w:type="paragraph" w:customStyle="1" w:styleId="95">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0"/>
      <w:szCs w:val="20"/>
    </w:rPr>
  </w:style>
  <w:style w:type="paragraph" w:customStyle="1" w:styleId="96">
    <w:name w:val="xl71"/>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b/>
      <w:bCs/>
      <w:color w:val="000000"/>
      <w:kern w:val="0"/>
      <w:sz w:val="20"/>
      <w:szCs w:val="20"/>
    </w:rPr>
  </w:style>
  <w:style w:type="paragraph" w:customStyle="1" w:styleId="97">
    <w:name w:val="xl72"/>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b/>
      <w:bCs/>
      <w:color w:val="000000"/>
      <w:kern w:val="0"/>
      <w:sz w:val="20"/>
      <w:szCs w:val="20"/>
    </w:rPr>
  </w:style>
  <w:style w:type="paragraph" w:customStyle="1" w:styleId="98">
    <w:name w:val="xl73"/>
    <w:basedOn w:val="1"/>
    <w:qFormat/>
    <w:uiPriority w:val="0"/>
    <w:pPr>
      <w:widowControl/>
      <w:spacing w:before="100" w:beforeAutospacing="1" w:after="100" w:afterAutospacing="1"/>
      <w:jc w:val="left"/>
    </w:pPr>
    <w:rPr>
      <w:kern w:val="0"/>
      <w:sz w:val="24"/>
    </w:rPr>
  </w:style>
  <w:style w:type="paragraph" w:customStyle="1" w:styleId="99">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b/>
      <w:bCs/>
      <w:color w:val="000000"/>
      <w:kern w:val="0"/>
      <w:sz w:val="20"/>
      <w:szCs w:val="20"/>
    </w:rPr>
  </w:style>
  <w:style w:type="paragraph" w:customStyle="1" w:styleId="100">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Cs w:val="21"/>
    </w:rPr>
  </w:style>
  <w:style w:type="paragraph" w:customStyle="1" w:styleId="101">
    <w:name w:val="图片标题"/>
    <w:basedOn w:val="1"/>
    <w:link w:val="102"/>
    <w:qFormat/>
    <w:uiPriority w:val="99"/>
    <w:pPr>
      <w:snapToGrid w:val="0"/>
      <w:spacing w:before="163" w:after="163"/>
      <w:ind w:left="737"/>
      <w:jc w:val="center"/>
    </w:pPr>
    <w:rPr>
      <w:rFonts w:eastAsiaTheme="minorEastAsia" w:cstheme="minorBidi"/>
      <w:b/>
      <w:szCs w:val="32"/>
    </w:rPr>
  </w:style>
  <w:style w:type="character" w:customStyle="1" w:styleId="102">
    <w:name w:val="图片标题 Char"/>
    <w:link w:val="101"/>
    <w:qFormat/>
    <w:uiPriority w:val="99"/>
    <w:rPr>
      <w:rFonts w:ascii="Times New Roman" w:hAnsi="Times New Roman"/>
      <w:b/>
      <w:szCs w:val="32"/>
    </w:rPr>
  </w:style>
  <w:style w:type="table" w:customStyle="1" w:styleId="103">
    <w:name w:val="网格型81"/>
    <w:basedOn w:val="32"/>
    <w:qFormat/>
    <w:uiPriority w:val="39"/>
    <w:rPr>
      <w:rFonts w:ascii="Calibri" w:hAnsi="Calibri"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4">
    <w:name w:val="网格表 4 - 着色 111"/>
    <w:basedOn w:val="32"/>
    <w:qFormat/>
    <w:uiPriority w:val="49"/>
    <w:rPr>
      <w:rFonts w:ascii="Calibri" w:hAnsi="Calibri" w:eastAsia="Times New Roman"/>
    </w:rPr>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paragraph" w:customStyle="1" w:styleId="105">
    <w:name w:val="xl76"/>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b/>
      <w:bCs/>
      <w:color w:val="000000"/>
      <w:kern w:val="0"/>
      <w:sz w:val="20"/>
      <w:szCs w:val="20"/>
    </w:rPr>
  </w:style>
  <w:style w:type="paragraph" w:customStyle="1" w:styleId="106">
    <w:name w:val="xl77"/>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b/>
      <w:bCs/>
      <w:color w:val="000000"/>
      <w:kern w:val="0"/>
      <w:sz w:val="20"/>
      <w:szCs w:val="20"/>
    </w:rPr>
  </w:style>
  <w:style w:type="character" w:customStyle="1" w:styleId="107">
    <w:name w:val="bjh-p"/>
    <w:basedOn w:val="34"/>
    <w:qFormat/>
    <w:uiPriority w:val="0"/>
  </w:style>
  <w:style w:type="paragraph" w:customStyle="1" w:styleId="108">
    <w:name w:val="样式 五号 黑色 居中 行距: 单倍行距"/>
    <w:basedOn w:val="1"/>
    <w:qFormat/>
    <w:uiPriority w:val="0"/>
    <w:pPr>
      <w:adjustRightInd w:val="0"/>
      <w:snapToGrid w:val="0"/>
      <w:jc w:val="center"/>
    </w:pPr>
    <w:rPr>
      <w:snapToGrid w:val="0"/>
      <w:color w:val="000000"/>
      <w:kern w:val="0"/>
      <w:szCs w:val="21"/>
    </w:rPr>
  </w:style>
  <w:style w:type="paragraph" w:customStyle="1" w:styleId="109">
    <w:name w:val="default"/>
    <w:basedOn w:val="1"/>
    <w:qFormat/>
    <w:uiPriority w:val="0"/>
    <w:pPr>
      <w:widowControl/>
      <w:spacing w:before="100" w:beforeAutospacing="1" w:after="100" w:afterAutospacing="1"/>
      <w:jc w:val="left"/>
    </w:pPr>
    <w:rPr>
      <w:rFonts w:ascii="宋体" w:hAnsi="宋体" w:cs="宋体"/>
      <w:kern w:val="0"/>
      <w:sz w:val="24"/>
    </w:rPr>
  </w:style>
  <w:style w:type="character" w:customStyle="1" w:styleId="110">
    <w:name w:val="规划正文 Char"/>
    <w:link w:val="111"/>
    <w:qFormat/>
    <w:uiPriority w:val="0"/>
    <w:rPr>
      <w:rFonts w:ascii="Times New Roman" w:hAnsi="Times New Roman" w:eastAsia="仿宋_GB2312" w:cs="Times New Roman"/>
      <w:sz w:val="32"/>
      <w:szCs w:val="32"/>
    </w:rPr>
  </w:style>
  <w:style w:type="paragraph" w:customStyle="1" w:styleId="111">
    <w:name w:val="规划正文"/>
    <w:basedOn w:val="1"/>
    <w:link w:val="110"/>
    <w:qFormat/>
    <w:uiPriority w:val="0"/>
    <w:pPr>
      <w:spacing w:line="580" w:lineRule="exact"/>
      <w:ind w:firstLine="880" w:firstLineChars="200"/>
    </w:pPr>
    <w:rPr>
      <w:rFonts w:eastAsia="仿宋_GB2312"/>
      <w:sz w:val="32"/>
      <w:szCs w:val="32"/>
    </w:rPr>
  </w:style>
  <w:style w:type="paragraph" w:customStyle="1" w:styleId="112">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113">
    <w:name w:val="TOC 标题1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114">
    <w:name w:val="修订11"/>
    <w:hidden/>
    <w:semiHidden/>
    <w:qFormat/>
    <w:uiPriority w:val="99"/>
    <w:rPr>
      <w:rFonts w:ascii="Times New Roman" w:hAnsi="Times New Roman" w:eastAsia="宋体" w:cs="Times New Roman"/>
      <w:kern w:val="2"/>
      <w:sz w:val="21"/>
      <w:szCs w:val="24"/>
      <w:lang w:val="en-US" w:eastAsia="zh-CN" w:bidi="ar-SA"/>
    </w:rPr>
  </w:style>
  <w:style w:type="character" w:customStyle="1" w:styleId="115">
    <w:name w:val="font31"/>
    <w:basedOn w:val="34"/>
    <w:qFormat/>
    <w:uiPriority w:val="0"/>
    <w:rPr>
      <w:rFonts w:hint="eastAsia" w:ascii="宋体" w:hAnsi="宋体" w:eastAsia="宋体" w:cs="宋体"/>
      <w:b/>
      <w:bCs/>
      <w:color w:val="000000"/>
      <w:sz w:val="20"/>
      <w:szCs w:val="20"/>
      <w:u w:val="none"/>
    </w:rPr>
  </w:style>
  <w:style w:type="character" w:customStyle="1" w:styleId="116">
    <w:name w:val="font41"/>
    <w:basedOn w:val="34"/>
    <w:qFormat/>
    <w:uiPriority w:val="0"/>
    <w:rPr>
      <w:rFonts w:hint="default" w:ascii="Times New Roman" w:hAnsi="Times New Roman" w:cs="Times New Roman"/>
      <w:b/>
      <w:bCs/>
      <w:color w:val="000000"/>
      <w:sz w:val="20"/>
      <w:szCs w:val="20"/>
      <w:u w:val="none"/>
    </w:rPr>
  </w:style>
  <w:style w:type="character" w:customStyle="1" w:styleId="117">
    <w:name w:val="font21"/>
    <w:basedOn w:val="34"/>
    <w:qFormat/>
    <w:uiPriority w:val="0"/>
    <w:rPr>
      <w:rFonts w:ascii="黑体" w:hAnsi="宋体" w:eastAsia="黑体" w:cs="黑体"/>
      <w:b/>
      <w:bCs/>
      <w:color w:val="000000"/>
      <w:sz w:val="20"/>
      <w:szCs w:val="20"/>
      <w:u w:val="none"/>
    </w:rPr>
  </w:style>
  <w:style w:type="character" w:customStyle="1" w:styleId="118">
    <w:name w:val="font71"/>
    <w:basedOn w:val="34"/>
    <w:qFormat/>
    <w:uiPriority w:val="0"/>
    <w:rPr>
      <w:rFonts w:hint="eastAsia" w:ascii="宋体" w:hAnsi="宋体" w:eastAsia="宋体" w:cs="宋体"/>
      <w:color w:val="000000"/>
      <w:sz w:val="20"/>
      <w:szCs w:val="20"/>
      <w:u w:val="none"/>
    </w:rPr>
  </w:style>
  <w:style w:type="character" w:customStyle="1" w:styleId="119">
    <w:name w:val="font61"/>
    <w:basedOn w:val="34"/>
    <w:qFormat/>
    <w:uiPriority w:val="0"/>
    <w:rPr>
      <w:rFonts w:hint="default" w:ascii="Times New Roman" w:hAnsi="Times New Roman" w:cs="Times New Roman"/>
      <w:color w:val="000000"/>
      <w:sz w:val="20"/>
      <w:szCs w:val="20"/>
      <w:u w:val="none"/>
    </w:rPr>
  </w:style>
  <w:style w:type="character" w:customStyle="1" w:styleId="120">
    <w:name w:val="font81"/>
    <w:basedOn w:val="34"/>
    <w:qFormat/>
    <w:uiPriority w:val="0"/>
    <w:rPr>
      <w:rFonts w:hint="eastAsia" w:ascii="宋体" w:hAnsi="宋体" w:eastAsia="宋体" w:cs="宋体"/>
      <w:color w:val="000000"/>
      <w:sz w:val="20"/>
      <w:szCs w:val="20"/>
      <w:u w:val="none"/>
    </w:rPr>
  </w:style>
  <w:style w:type="character" w:customStyle="1" w:styleId="121">
    <w:name w:val="font51"/>
    <w:basedOn w:val="34"/>
    <w:qFormat/>
    <w:uiPriority w:val="0"/>
    <w:rPr>
      <w:rFonts w:hint="default" w:ascii="Times New Roman" w:hAnsi="Times New Roman" w:cs="Times New Roman"/>
      <w:color w:val="000000"/>
      <w:sz w:val="22"/>
      <w:szCs w:val="22"/>
      <w:u w:val="none"/>
    </w:rPr>
  </w:style>
  <w:style w:type="character" w:customStyle="1" w:styleId="122">
    <w:name w:val="font91"/>
    <w:basedOn w:val="34"/>
    <w:qFormat/>
    <w:uiPriority w:val="0"/>
    <w:rPr>
      <w:rFonts w:hint="eastAsia" w:ascii="宋体" w:hAnsi="宋体" w:eastAsia="宋体" w:cs="宋体"/>
      <w:b/>
      <w:bCs/>
      <w:color w:val="000000"/>
      <w:sz w:val="20"/>
      <w:szCs w:val="20"/>
      <w:u w:val="none"/>
    </w:rPr>
  </w:style>
  <w:style w:type="character" w:customStyle="1" w:styleId="123">
    <w:name w:val="font101"/>
    <w:basedOn w:val="34"/>
    <w:qFormat/>
    <w:uiPriority w:val="0"/>
    <w:rPr>
      <w:rFonts w:hint="default" w:ascii="Times New Roman" w:hAnsi="Times New Roman" w:cs="Times New Roman"/>
      <w:color w:val="000000"/>
      <w:sz w:val="20"/>
      <w:szCs w:val="20"/>
      <w:u w:val="none"/>
    </w:rPr>
  </w:style>
  <w:style w:type="character" w:customStyle="1" w:styleId="124">
    <w:name w:val="font112"/>
    <w:basedOn w:val="34"/>
    <w:qFormat/>
    <w:uiPriority w:val="0"/>
    <w:rPr>
      <w:rFonts w:hint="default" w:ascii="Times New Roman" w:hAnsi="Times New Roman" w:cs="Times New Roman"/>
      <w:color w:val="000000"/>
      <w:sz w:val="18"/>
      <w:szCs w:val="18"/>
      <w:u w:val="none"/>
    </w:rPr>
  </w:style>
  <w:style w:type="character" w:customStyle="1" w:styleId="125">
    <w:name w:val="font121"/>
    <w:basedOn w:val="34"/>
    <w:qFormat/>
    <w:uiPriority w:val="0"/>
    <w:rPr>
      <w:rFonts w:hint="eastAsia" w:ascii="宋体" w:hAnsi="宋体" w:eastAsia="宋体" w:cs="宋体"/>
      <w:color w:val="000000"/>
      <w:sz w:val="18"/>
      <w:szCs w:val="18"/>
      <w:u w:val="none"/>
    </w:rPr>
  </w:style>
  <w:style w:type="character" w:customStyle="1" w:styleId="126">
    <w:name w:val="标题3 Char"/>
    <w:link w:val="54"/>
    <w:qFormat/>
    <w:locked/>
    <w:uiPriority w:val="0"/>
    <w:rPr>
      <w:rFonts w:cstheme="minorBidi"/>
      <w:b/>
      <w:bCs/>
      <w:kern w:val="2"/>
      <w:sz w:val="28"/>
      <w:szCs w:val="32"/>
    </w:rPr>
  </w:style>
  <w:style w:type="character" w:customStyle="1" w:styleId="127">
    <w:name w:val="标题2 Char"/>
    <w:link w:val="128"/>
    <w:qFormat/>
    <w:locked/>
    <w:uiPriority w:val="0"/>
    <w:rPr>
      <w:rFonts w:ascii="微软雅黑" w:hAnsi="微软雅黑" w:eastAsia="黑体"/>
      <w:b/>
      <w:bCs/>
      <w:kern w:val="2"/>
      <w:sz w:val="28"/>
      <w:szCs w:val="32"/>
    </w:rPr>
  </w:style>
  <w:style w:type="paragraph" w:customStyle="1" w:styleId="128">
    <w:name w:val="标题2"/>
    <w:basedOn w:val="4"/>
    <w:next w:val="4"/>
    <w:link w:val="127"/>
    <w:qFormat/>
    <w:uiPriority w:val="0"/>
    <w:pPr>
      <w:spacing w:before="120" w:after="120" w:line="360" w:lineRule="auto"/>
      <w:jc w:val="center"/>
    </w:pPr>
    <w:rPr>
      <w:rFonts w:ascii="微软雅黑" w:hAnsi="微软雅黑" w:eastAsia="黑体" w:cs="Times New Roman"/>
      <w:sz w:val="28"/>
    </w:rPr>
  </w:style>
  <w:style w:type="character" w:customStyle="1" w:styleId="129">
    <w:name w:val="称呼 Char"/>
    <w:basedOn w:val="34"/>
    <w:link w:val="13"/>
    <w:qFormat/>
    <w:uiPriority w:val="99"/>
    <w:rPr>
      <w:rFonts w:ascii="Calibri" w:hAnsi="Calibri"/>
      <w:szCs w:val="24"/>
    </w:rPr>
  </w:style>
</w:styles>
</file>

<file path=word/_rels/document.xml.rels><?xml version="1.0" encoding="UTF-8" standalone="yes"?>
<Relationships xmlns="http://schemas.openxmlformats.org/package/2006/relationships"><Relationship Id="rId9" Type="http://schemas.openxmlformats.org/officeDocument/2006/relationships/chart" Target="charts/chart2.xml"/><Relationship Id="rId8" Type="http://schemas.openxmlformats.org/officeDocument/2006/relationships/chart" Target="charts/chart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4.png"/><Relationship Id="rId13" Type="http://schemas.openxmlformats.org/officeDocument/2006/relationships/image" Target="media/image3.jpeg"/><Relationship Id="rId12" Type="http://schemas.openxmlformats.org/officeDocument/2006/relationships/image" Target="media/image1.tiff"/><Relationship Id="rId11" Type="http://schemas.openxmlformats.org/officeDocument/2006/relationships/chart" Target="charts/chart3.xml"/><Relationship Id="rId10" Type="http://schemas.openxmlformats.org/officeDocument/2006/relationships/image" Target="media/image2.pn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F:\2020\&#20048;&#23665;&#28207;\&#36816;&#37327;&#39044;&#27979;\&#25104;&#37117;&#24179;&#21407;&#32463;&#27982;&#21306;&#22269;&#27665;&#32463;&#27982;&#24773;&#20917;.xlsx" TargetMode="External"/></Relationships>
</file>

<file path=word/charts/_rels/chart2.xml.rels><?xml version="1.0" encoding="UTF-8" standalone="yes"?>
<Relationships xmlns="http://schemas.openxmlformats.org/package/2006/relationships"><Relationship Id="rId2" Type="http://schemas.openxmlformats.org/officeDocument/2006/relationships/themeOverride" Target="../theme/themeOverride1.xml"/><Relationship Id="rId1" Type="http://schemas.openxmlformats.org/officeDocument/2006/relationships/package" Target="../embeddings/Workbook1.xlsx"/></Relationships>
</file>

<file path=word/charts/_rels/chart3.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H:\&#24037;&#20316;1\1-&#20844;&#21496;&#25991;&#20214;\&#24180;&#37492;.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1"/>
          <c:order val="1"/>
          <c:tx>
            <c:strRef>
              <c:f>乐山!$D$6</c:f>
              <c:strCache>
                <c:ptCount val="1"/>
                <c:pt idx="0">
                  <c:v>第一产业（亿元）</c:v>
                </c:pt>
              </c:strCache>
            </c:strRef>
          </c:tx>
          <c:spPr>
            <a:solidFill>
              <a:schemeClr val="accent2"/>
            </a:solidFill>
            <a:ln>
              <a:noFill/>
            </a:ln>
            <a:effectLst/>
          </c:spPr>
          <c:invertIfNegative val="0"/>
          <c:dLbls>
            <c:delete val="1"/>
          </c:dLbls>
          <c:cat>
            <c:numRef>
              <c:f>乐山!$E$4:$O$4</c:f>
              <c:numCache>
                <c:formatCode>General</c:formatCode>
                <c:ptCount val="11"/>
                <c:pt idx="0">
                  <c:v>2010</c:v>
                </c:pt>
                <c:pt idx="1">
                  <c:v>2011</c:v>
                </c:pt>
                <c:pt idx="2">
                  <c:v>2012</c:v>
                </c:pt>
                <c:pt idx="3">
                  <c:v>2013</c:v>
                </c:pt>
                <c:pt idx="4">
                  <c:v>2014</c:v>
                </c:pt>
                <c:pt idx="5">
                  <c:v>2015</c:v>
                </c:pt>
                <c:pt idx="6">
                  <c:v>2016</c:v>
                </c:pt>
                <c:pt idx="7">
                  <c:v>2017</c:v>
                </c:pt>
                <c:pt idx="8">
                  <c:v>2018</c:v>
                </c:pt>
                <c:pt idx="9">
                  <c:v>2019</c:v>
                </c:pt>
                <c:pt idx="10">
                  <c:v>2020</c:v>
                </c:pt>
              </c:numCache>
            </c:numRef>
          </c:cat>
          <c:val>
            <c:numRef>
              <c:f>乐山!$E$6:$O$6</c:f>
              <c:numCache>
                <c:formatCode>General</c:formatCode>
                <c:ptCount val="11"/>
                <c:pt idx="0">
                  <c:v>100</c:v>
                </c:pt>
                <c:pt idx="1">
                  <c:v>115</c:v>
                </c:pt>
                <c:pt idx="2">
                  <c:v>124</c:v>
                </c:pt>
                <c:pt idx="3">
                  <c:v>131</c:v>
                </c:pt>
                <c:pt idx="4">
                  <c:v>135</c:v>
                </c:pt>
                <c:pt idx="5">
                  <c:v>143</c:v>
                </c:pt>
                <c:pt idx="6">
                  <c:v>153</c:v>
                </c:pt>
                <c:pt idx="7">
                  <c:v>159</c:v>
                </c:pt>
                <c:pt idx="8">
                  <c:v>165</c:v>
                </c:pt>
                <c:pt idx="9">
                  <c:v>243</c:v>
                </c:pt>
                <c:pt idx="10">
                  <c:v>290</c:v>
                </c:pt>
              </c:numCache>
            </c:numRef>
          </c:val>
        </c:ser>
        <c:ser>
          <c:idx val="2"/>
          <c:order val="2"/>
          <c:tx>
            <c:strRef>
              <c:f>乐山!$D$7</c:f>
              <c:strCache>
                <c:ptCount val="1"/>
                <c:pt idx="0">
                  <c:v>第二产业（亿元）</c:v>
                </c:pt>
              </c:strCache>
            </c:strRef>
          </c:tx>
          <c:spPr>
            <a:solidFill>
              <a:schemeClr val="accent3"/>
            </a:solidFill>
            <a:ln>
              <a:noFill/>
            </a:ln>
            <a:effectLst/>
          </c:spPr>
          <c:invertIfNegative val="0"/>
          <c:dLbls>
            <c:delete val="1"/>
          </c:dLbls>
          <c:cat>
            <c:numRef>
              <c:f>乐山!$E$4:$O$4</c:f>
              <c:numCache>
                <c:formatCode>General</c:formatCode>
                <c:ptCount val="11"/>
                <c:pt idx="0">
                  <c:v>2010</c:v>
                </c:pt>
                <c:pt idx="1">
                  <c:v>2011</c:v>
                </c:pt>
                <c:pt idx="2">
                  <c:v>2012</c:v>
                </c:pt>
                <c:pt idx="3">
                  <c:v>2013</c:v>
                </c:pt>
                <c:pt idx="4">
                  <c:v>2014</c:v>
                </c:pt>
                <c:pt idx="5">
                  <c:v>2015</c:v>
                </c:pt>
                <c:pt idx="6">
                  <c:v>2016</c:v>
                </c:pt>
                <c:pt idx="7">
                  <c:v>2017</c:v>
                </c:pt>
                <c:pt idx="8">
                  <c:v>2018</c:v>
                </c:pt>
                <c:pt idx="9">
                  <c:v>2019</c:v>
                </c:pt>
                <c:pt idx="10">
                  <c:v>2020</c:v>
                </c:pt>
              </c:numCache>
            </c:numRef>
          </c:cat>
          <c:val>
            <c:numRef>
              <c:f>乐山!$E$7:$O$7</c:f>
              <c:numCache>
                <c:formatCode>General</c:formatCode>
                <c:ptCount val="11"/>
                <c:pt idx="0">
                  <c:v>442</c:v>
                </c:pt>
                <c:pt idx="1">
                  <c:v>567</c:v>
                </c:pt>
                <c:pt idx="2">
                  <c:v>644</c:v>
                </c:pt>
                <c:pt idx="3">
                  <c:v>699</c:v>
                </c:pt>
                <c:pt idx="4">
                  <c:v>720</c:v>
                </c:pt>
                <c:pt idx="5">
                  <c:v>767</c:v>
                </c:pt>
                <c:pt idx="6">
                  <c:v>809</c:v>
                </c:pt>
                <c:pt idx="7">
                  <c:v>691</c:v>
                </c:pt>
                <c:pt idx="8">
                  <c:v>722</c:v>
                </c:pt>
                <c:pt idx="9">
                  <c:v>802</c:v>
                </c:pt>
                <c:pt idx="10">
                  <c:v>823</c:v>
                </c:pt>
              </c:numCache>
            </c:numRef>
          </c:val>
        </c:ser>
        <c:ser>
          <c:idx val="3"/>
          <c:order val="3"/>
          <c:tx>
            <c:strRef>
              <c:f>乐山!$D$8</c:f>
              <c:strCache>
                <c:ptCount val="1"/>
                <c:pt idx="0">
                  <c:v>第三产业（亿元）</c:v>
                </c:pt>
              </c:strCache>
            </c:strRef>
          </c:tx>
          <c:spPr>
            <a:solidFill>
              <a:schemeClr val="accent4"/>
            </a:solidFill>
            <a:ln>
              <a:noFill/>
            </a:ln>
            <a:effectLst/>
          </c:spPr>
          <c:invertIfNegative val="0"/>
          <c:dLbls>
            <c:delete val="1"/>
          </c:dLbls>
          <c:cat>
            <c:numRef>
              <c:f>乐山!$E$4:$O$4</c:f>
              <c:numCache>
                <c:formatCode>General</c:formatCode>
                <c:ptCount val="11"/>
                <c:pt idx="0">
                  <c:v>2010</c:v>
                </c:pt>
                <c:pt idx="1">
                  <c:v>2011</c:v>
                </c:pt>
                <c:pt idx="2">
                  <c:v>2012</c:v>
                </c:pt>
                <c:pt idx="3">
                  <c:v>2013</c:v>
                </c:pt>
                <c:pt idx="4">
                  <c:v>2014</c:v>
                </c:pt>
                <c:pt idx="5">
                  <c:v>2015</c:v>
                </c:pt>
                <c:pt idx="6">
                  <c:v>2016</c:v>
                </c:pt>
                <c:pt idx="7">
                  <c:v>2017</c:v>
                </c:pt>
                <c:pt idx="8">
                  <c:v>2018</c:v>
                </c:pt>
                <c:pt idx="9">
                  <c:v>2019</c:v>
                </c:pt>
                <c:pt idx="10">
                  <c:v>2020</c:v>
                </c:pt>
              </c:numCache>
            </c:numRef>
          </c:cat>
          <c:val>
            <c:numRef>
              <c:f>乐山!$E$8:$O$8</c:f>
              <c:numCache>
                <c:formatCode>General</c:formatCode>
                <c:ptCount val="11"/>
                <c:pt idx="0">
                  <c:v>201</c:v>
                </c:pt>
                <c:pt idx="1">
                  <c:v>236</c:v>
                </c:pt>
                <c:pt idx="2">
                  <c:v>270</c:v>
                </c:pt>
                <c:pt idx="3">
                  <c:v>305</c:v>
                </c:pt>
                <c:pt idx="4">
                  <c:v>352</c:v>
                </c:pt>
                <c:pt idx="5">
                  <c:v>392</c:v>
                </c:pt>
                <c:pt idx="6">
                  <c:v>444</c:v>
                </c:pt>
                <c:pt idx="7">
                  <c:v>658</c:v>
                </c:pt>
                <c:pt idx="8">
                  <c:v>727</c:v>
                </c:pt>
                <c:pt idx="9">
                  <c:v>819</c:v>
                </c:pt>
                <c:pt idx="10">
                  <c:v>890</c:v>
                </c:pt>
              </c:numCache>
            </c:numRef>
          </c:val>
        </c:ser>
        <c:dLbls>
          <c:showLegendKey val="0"/>
          <c:showVal val="0"/>
          <c:showCatName val="0"/>
          <c:showSerName val="0"/>
          <c:showPercent val="0"/>
          <c:showBubbleSize val="0"/>
        </c:dLbls>
        <c:gapWidth val="219"/>
        <c:overlap val="100"/>
        <c:axId val="690927888"/>
        <c:axId val="690929064"/>
        <c:extLst>
          <c:ext xmlns:c15="http://schemas.microsoft.com/office/drawing/2012/chart" uri="{02D57815-91ED-43cb-92C2-25804820EDAC}">
            <c15:filteredBarSeries>
              <c15:ser>
                <c:idx val="0"/>
                <c:order val="0"/>
                <c:tx>
                  <c:strRef>
                    <c:extLst>
                      <c:ext uri="{02D57815-91ED-43cb-92C2-25804820EDAC}">
                        <c15:formulaRef>
                          <c15:sqref>乐山!$D$5</c15:sqref>
                        </c15:formulaRef>
                      </c:ext>
                    </c:extLst>
                    <c:strCache>
                      <c:ptCount val="1"/>
                      <c:pt idx="0">
                        <c:v>GDP</c:v>
                      </c:pt>
                    </c:strCache>
                  </c:strRef>
                </c:tx>
                <c:spPr>
                  <a:solidFill>
                    <a:schemeClr val="accent1"/>
                  </a:solidFill>
                  <a:ln>
                    <a:noFill/>
                  </a:ln>
                  <a:effectLst/>
                </c:spPr>
                <c:invertIfNegative val="0"/>
                <c:dLbls>
                  <c:delete val="1"/>
                </c:dLbls>
                <c:cat>
                  <c:numRef>
                    <c:extLst>
                      <c:ext uri="{02D57815-91ED-43cb-92C2-25804820EDAC}">
                        <c15:fullRef>
                          <c15:sqref/>
                        </c15:fullRef>
                        <c15:formulaRef>
                          <c15:sqref>乐山!$E$4:$O$4</c15:sqref>
                        </c15:formulaRef>
                      </c:ext>
                    </c:extLst>
                    <c:numCache>
                      <c:formatCode>General</c:formatCode>
                      <c:ptCount val="11"/>
                      <c:pt idx="0">
                        <c:v>2010</c:v>
                      </c:pt>
                      <c:pt idx="1">
                        <c:v>2011</c:v>
                      </c:pt>
                      <c:pt idx="2">
                        <c:v>2012</c:v>
                      </c:pt>
                      <c:pt idx="3">
                        <c:v>2013</c:v>
                      </c:pt>
                      <c:pt idx="4">
                        <c:v>2014</c:v>
                      </c:pt>
                      <c:pt idx="5">
                        <c:v>2015</c:v>
                      </c:pt>
                      <c:pt idx="6">
                        <c:v>2016</c:v>
                      </c:pt>
                      <c:pt idx="7">
                        <c:v>2017</c:v>
                      </c:pt>
                      <c:pt idx="8">
                        <c:v>2018</c:v>
                      </c:pt>
                      <c:pt idx="9">
                        <c:v>2019</c:v>
                      </c:pt>
                      <c:pt idx="10">
                        <c:v>2020</c:v>
                      </c:pt>
                    </c:numCache>
                  </c:numRef>
                </c:cat>
                <c:val>
                  <c:numRef>
                    <c:extLst>
                      <c:ext uri="{02D57815-91ED-43cb-92C2-25804820EDAC}">
                        <c15:formulaRef>
                          <c15:sqref>乐山!$E$5:$O$5</c15:sqref>
                        </c15:formulaRef>
                      </c:ext>
                    </c:extLst>
                    <c:numCache>
                      <c:formatCode>General</c:formatCode>
                      <c:ptCount val="11"/>
                      <c:pt idx="0">
                        <c:v>743</c:v>
                      </c:pt>
                      <c:pt idx="1">
                        <c:v>918</c:v>
                      </c:pt>
                      <c:pt idx="2">
                        <c:v>1038</c:v>
                      </c:pt>
                      <c:pt idx="3">
                        <c:v>1135</c:v>
                      </c:pt>
                      <c:pt idx="4">
                        <c:v>1207</c:v>
                      </c:pt>
                      <c:pt idx="5">
                        <c:v>1302</c:v>
                      </c:pt>
                      <c:pt idx="6">
                        <c:v>1406</c:v>
                      </c:pt>
                      <c:pt idx="7">
                        <c:v>1508</c:v>
                      </c:pt>
                      <c:pt idx="8">
                        <c:v>1614</c:v>
                      </c:pt>
                      <c:pt idx="9">
                        <c:v>1864</c:v>
                      </c:pt>
                      <c:pt idx="10">
                        <c:v>2003</c:v>
                      </c:pt>
                    </c:numCache>
                  </c:numRef>
                </c:val>
              </c15:ser>
            </c15:filteredBarSeries>
          </c:ext>
        </c:extLst>
      </c:barChart>
      <c:lineChart>
        <c:grouping val="standard"/>
        <c:varyColors val="0"/>
        <c:ser>
          <c:idx val="4"/>
          <c:order val="4"/>
          <c:tx>
            <c:strRef>
              <c:f>乐山!$D$9</c:f>
              <c:strCache>
                <c:ptCount val="1"/>
                <c:pt idx="0">
                  <c:v>GDP增长率</c:v>
                </c:pt>
              </c:strCache>
            </c:strRef>
          </c:tx>
          <c:spPr>
            <a:ln w="28575" cap="rnd">
              <a:solidFill>
                <a:schemeClr val="accent5"/>
              </a:solidFill>
              <a:round/>
            </a:ln>
            <a:effectLst/>
          </c:spPr>
          <c:marker>
            <c:symbol val="none"/>
          </c:marker>
          <c:dLbls>
            <c:delete val="1"/>
          </c:dLbls>
          <c:cat>
            <c:numRef>
              <c:f>乐山!$E$4:$O$4</c:f>
              <c:numCache>
                <c:formatCode>General</c:formatCode>
                <c:ptCount val="11"/>
                <c:pt idx="0">
                  <c:v>2010</c:v>
                </c:pt>
                <c:pt idx="1">
                  <c:v>2011</c:v>
                </c:pt>
                <c:pt idx="2">
                  <c:v>2012</c:v>
                </c:pt>
                <c:pt idx="3">
                  <c:v>2013</c:v>
                </c:pt>
                <c:pt idx="4">
                  <c:v>2014</c:v>
                </c:pt>
                <c:pt idx="5">
                  <c:v>2015</c:v>
                </c:pt>
                <c:pt idx="6">
                  <c:v>2016</c:v>
                </c:pt>
                <c:pt idx="7">
                  <c:v>2017</c:v>
                </c:pt>
                <c:pt idx="8">
                  <c:v>2018</c:v>
                </c:pt>
                <c:pt idx="9">
                  <c:v>2019</c:v>
                </c:pt>
                <c:pt idx="10">
                  <c:v>2020</c:v>
                </c:pt>
              </c:numCache>
            </c:numRef>
          </c:cat>
          <c:val>
            <c:numRef>
              <c:f>乐山!$E$9:$O$9</c:f>
              <c:numCache>
                <c:formatCode>0.0%</c:formatCode>
                <c:ptCount val="11"/>
                <c:pt idx="0">
                  <c:v>0.162</c:v>
                </c:pt>
                <c:pt idx="1">
                  <c:v>0.16</c:v>
                </c:pt>
                <c:pt idx="2">
                  <c:v>0.144</c:v>
                </c:pt>
                <c:pt idx="3">
                  <c:v>0.0982246936139377</c:v>
                </c:pt>
                <c:pt idx="4">
                  <c:v>0.0839638541255783</c:v>
                </c:pt>
                <c:pt idx="5">
                  <c:v>0.0871660849860232</c:v>
                </c:pt>
                <c:pt idx="6">
                  <c:v>0.080712890327842</c:v>
                </c:pt>
                <c:pt idx="7">
                  <c:v>0.0795699954105062</c:v>
                </c:pt>
                <c:pt idx="8">
                  <c:v>0.0834935149275335</c:v>
                </c:pt>
                <c:pt idx="9">
                  <c:v>0.0764360954380019</c:v>
                </c:pt>
                <c:pt idx="10">
                  <c:v>0.041</c:v>
                </c:pt>
              </c:numCache>
            </c:numRef>
          </c:val>
          <c:smooth val="0"/>
        </c:ser>
        <c:dLbls>
          <c:showLegendKey val="0"/>
          <c:showVal val="0"/>
          <c:showCatName val="0"/>
          <c:showSerName val="0"/>
          <c:showPercent val="0"/>
          <c:showBubbleSize val="0"/>
        </c:dLbls>
        <c:marker val="0"/>
        <c:smooth val="0"/>
        <c:axId val="694308160"/>
        <c:axId val="694308552"/>
      </c:lineChart>
      <c:catAx>
        <c:axId val="6909278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90929064"/>
        <c:crosses val="autoZero"/>
        <c:auto val="1"/>
        <c:lblAlgn val="ctr"/>
        <c:lblOffset val="100"/>
        <c:noMultiLvlLbl val="0"/>
      </c:catAx>
      <c:valAx>
        <c:axId val="69092906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90927888"/>
        <c:crosses val="autoZero"/>
        <c:crossBetween val="between"/>
      </c:valAx>
      <c:catAx>
        <c:axId val="694308160"/>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94308552"/>
        <c:crosses val="autoZero"/>
        <c:auto val="1"/>
        <c:lblAlgn val="ctr"/>
        <c:lblOffset val="100"/>
        <c:noMultiLvlLbl val="0"/>
      </c:catAx>
      <c:valAx>
        <c:axId val="694308552"/>
        <c:scaling>
          <c:orientation val="minMax"/>
        </c:scaling>
        <c:delete val="0"/>
        <c:axPos val="r"/>
        <c:numFmt formatCode="0.0%" sourceLinked="1"/>
        <c:majorTickMark val="out"/>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94308160"/>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stacked"/>
        <c:varyColors val="0"/>
        <c:ser>
          <c:idx val="1"/>
          <c:order val="1"/>
          <c:tx>
            <c:strRef>
              <c:f>Sheet1!$E$5</c:f>
              <c:strCache>
                <c:ptCount val="1"/>
                <c:pt idx="0">
                  <c:v>第一产业</c:v>
                </c:pt>
              </c:strCache>
            </c:strRef>
          </c:tx>
          <c:spPr>
            <a:solidFill>
              <a:schemeClr val="accent2"/>
            </a:solidFill>
            <a:ln>
              <a:noFill/>
            </a:ln>
            <a:effectLst/>
            <a:sp3d/>
          </c:spPr>
          <c:invertIfNegative val="0"/>
          <c:dLbls>
            <c:delete val="1"/>
          </c:dLbls>
          <c:cat>
            <c:strRef>
              <c:f>Sheet1!$C$6:$C$11</c:f>
              <c:strCache>
                <c:ptCount val="5"/>
                <c:pt idx="0">
                  <c:v>成都市</c:v>
                </c:pt>
                <c:pt idx="1">
                  <c:v>德阳市</c:v>
                </c:pt>
                <c:pt idx="2">
                  <c:v>乐山市</c:v>
                </c:pt>
                <c:pt idx="3">
                  <c:v>眉山市</c:v>
                </c:pt>
                <c:pt idx="4">
                  <c:v>雅安市</c:v>
                </c:pt>
              </c:strCache>
            </c:strRef>
          </c:cat>
          <c:val>
            <c:numRef>
              <c:f>Sheet1!$E$6:$E$11</c:f>
              <c:numCache>
                <c:formatCode>General</c:formatCode>
                <c:ptCount val="5"/>
                <c:pt idx="0">
                  <c:v>612.18</c:v>
                </c:pt>
                <c:pt idx="1">
                  <c:v>234.6</c:v>
                </c:pt>
                <c:pt idx="2">
                  <c:v>242.68</c:v>
                </c:pt>
                <c:pt idx="3">
                  <c:v>199.16</c:v>
                </c:pt>
                <c:pt idx="4">
                  <c:v>128.05</c:v>
                </c:pt>
              </c:numCache>
            </c:numRef>
          </c:val>
        </c:ser>
        <c:ser>
          <c:idx val="2"/>
          <c:order val="2"/>
          <c:tx>
            <c:strRef>
              <c:f>Sheet1!$F$5</c:f>
              <c:strCache>
                <c:ptCount val="1"/>
                <c:pt idx="0">
                  <c:v>第二产业</c:v>
                </c:pt>
              </c:strCache>
            </c:strRef>
          </c:tx>
          <c:spPr>
            <a:solidFill>
              <a:schemeClr val="accent3"/>
            </a:solidFill>
            <a:ln>
              <a:noFill/>
            </a:ln>
            <a:effectLst/>
            <a:sp3d/>
          </c:spPr>
          <c:invertIfNegative val="0"/>
          <c:dLbls>
            <c:delete val="1"/>
          </c:dLbls>
          <c:cat>
            <c:strRef>
              <c:f>Sheet1!$C$6:$C$11</c:f>
              <c:strCache>
                <c:ptCount val="5"/>
                <c:pt idx="0">
                  <c:v>成都市</c:v>
                </c:pt>
                <c:pt idx="1">
                  <c:v>德阳市</c:v>
                </c:pt>
                <c:pt idx="2">
                  <c:v>乐山市</c:v>
                </c:pt>
                <c:pt idx="3">
                  <c:v>眉山市</c:v>
                </c:pt>
                <c:pt idx="4">
                  <c:v>雅安市</c:v>
                </c:pt>
              </c:strCache>
            </c:strRef>
          </c:cat>
          <c:val>
            <c:numRef>
              <c:f>Sheet1!$F$6:$F$11</c:f>
              <c:numCache>
                <c:formatCode>General</c:formatCode>
                <c:ptCount val="5"/>
                <c:pt idx="0">
                  <c:v>5224.62</c:v>
                </c:pt>
                <c:pt idx="1">
                  <c:v>1184.4</c:v>
                </c:pt>
                <c:pt idx="2">
                  <c:v>801.88</c:v>
                </c:pt>
                <c:pt idx="3">
                  <c:v>527.13</c:v>
                </c:pt>
                <c:pt idx="4">
                  <c:v>227.2</c:v>
                </c:pt>
              </c:numCache>
            </c:numRef>
          </c:val>
        </c:ser>
        <c:ser>
          <c:idx val="3"/>
          <c:order val="3"/>
          <c:tx>
            <c:strRef>
              <c:f>Sheet1!$G$5</c:f>
              <c:strCache>
                <c:ptCount val="1"/>
                <c:pt idx="0">
                  <c:v>第三产业</c:v>
                </c:pt>
              </c:strCache>
            </c:strRef>
          </c:tx>
          <c:spPr>
            <a:solidFill>
              <a:schemeClr val="accent4"/>
            </a:solidFill>
            <a:ln>
              <a:noFill/>
            </a:ln>
            <a:effectLst/>
            <a:sp3d/>
          </c:spPr>
          <c:invertIfNegative val="0"/>
          <c:dLbls>
            <c:delete val="1"/>
          </c:dLbls>
          <c:cat>
            <c:strRef>
              <c:f>Sheet1!$C$6:$C$11</c:f>
              <c:strCache>
                <c:ptCount val="5"/>
                <c:pt idx="0">
                  <c:v>成都市</c:v>
                </c:pt>
                <c:pt idx="1">
                  <c:v>德阳市</c:v>
                </c:pt>
                <c:pt idx="2">
                  <c:v>乐山市</c:v>
                </c:pt>
                <c:pt idx="3">
                  <c:v>眉山市</c:v>
                </c:pt>
                <c:pt idx="4">
                  <c:v>雅安市</c:v>
                </c:pt>
              </c:strCache>
            </c:strRef>
          </c:cat>
          <c:val>
            <c:numRef>
              <c:f>Sheet1!$G$6:$G$11</c:f>
              <c:numCache>
                <c:formatCode>General</c:formatCode>
                <c:ptCount val="5"/>
                <c:pt idx="0">
                  <c:v>11155.85</c:v>
                </c:pt>
                <c:pt idx="1">
                  <c:v>916.9</c:v>
                </c:pt>
                <c:pt idx="2">
                  <c:v>818.75</c:v>
                </c:pt>
                <c:pt idx="3">
                  <c:v>653.91</c:v>
                </c:pt>
                <c:pt idx="4">
                  <c:v>368.54</c:v>
                </c:pt>
              </c:numCache>
            </c:numRef>
          </c:val>
        </c:ser>
        <c:dLbls>
          <c:showLegendKey val="0"/>
          <c:showVal val="0"/>
          <c:showCatName val="0"/>
          <c:showSerName val="0"/>
          <c:showPercent val="0"/>
          <c:showBubbleSize val="0"/>
        </c:dLbls>
        <c:gapWidth val="150"/>
        <c:overlap val="100"/>
        <c:axId val="694307768"/>
        <c:axId val="694305808"/>
        <c:extLst>
          <c:ext xmlns:c15="http://schemas.microsoft.com/office/drawing/2012/chart" uri="{02D57815-91ED-43cb-92C2-25804820EDAC}">
            <c15:filteredBarSeries>
              <c15:ser>
                <c:idx val="0"/>
                <c:order val="0"/>
                <c:tx>
                  <c:strRef>
                    <c:extLst>
                      <c:ext uri="{02D57815-91ED-43cb-92C2-25804820EDAC}">
                        <c15:formulaRef>
                          <c15:sqref>Sheet1!$D$5</c15:sqref>
                        </c15:formulaRef>
                      </c:ext>
                    </c:extLst>
                    <c:strCache>
                      <c:ptCount val="1"/>
                      <c:pt idx="0">
                        <c:v>gdp</c:v>
                      </c:pt>
                    </c:strCache>
                  </c:strRef>
                </c:tx>
                <c:spPr>
                  <a:solidFill>
                    <a:schemeClr val="accent1"/>
                  </a:solidFill>
                  <a:ln>
                    <a:noFill/>
                  </a:ln>
                  <a:effectLst/>
                  <a:sp3d/>
                </c:spPr>
                <c:invertIfNegative val="0"/>
                <c:dLbls>
                  <c:delete val="1"/>
                </c:dLbls>
                <c:cat>
                  <c:strRef>
                    <c:extLst>
                      <c:ext uri="{02D57815-91ED-43cb-92C2-25804820EDAC}">
                        <c15:fullRef>
                          <c15:sqref/>
                        </c15:fullRef>
                        <c15:formulaRef>
                          <c15:sqref>Sheet1!$C$6:$C$11</c15:sqref>
                        </c15:formulaRef>
                      </c:ext>
                    </c:extLst>
                    <c:strCache>
                      <c:ptCount val="5"/>
                      <c:pt idx="0">
                        <c:v>成都市</c:v>
                      </c:pt>
                      <c:pt idx="1">
                        <c:v>德阳市</c:v>
                      </c:pt>
                      <c:pt idx="2">
                        <c:v>乐山市</c:v>
                      </c:pt>
                      <c:pt idx="3">
                        <c:v>眉山市</c:v>
                      </c:pt>
                      <c:pt idx="4">
                        <c:v>雅安市</c:v>
                      </c:pt>
                    </c:strCache>
                  </c:strRef>
                </c:cat>
                <c:val>
                  <c:numRef>
                    <c:extLst>
                      <c:ext uri="{02D57815-91ED-43cb-92C2-25804820EDAC}">
                        <c15:formulaRef>
                          <c15:sqref>Sheet1!$D$6:$D$11</c15:sqref>
                        </c15:formulaRef>
                      </c:ext>
                    </c:extLst>
                    <c:numCache>
                      <c:formatCode>General</c:formatCode>
                      <c:ptCount val="5"/>
                      <c:pt idx="0">
                        <c:v>17012.65</c:v>
                      </c:pt>
                      <c:pt idx="1">
                        <c:v>2335.9</c:v>
                      </c:pt>
                      <c:pt idx="2">
                        <c:v>1863.31</c:v>
                      </c:pt>
                      <c:pt idx="3">
                        <c:v>1380.2</c:v>
                      </c:pt>
                      <c:pt idx="4">
                        <c:v>723.79</c:v>
                      </c:pt>
                    </c:numCache>
                  </c:numRef>
                </c:val>
              </c15:ser>
            </c15:filteredBarSeries>
          </c:ext>
        </c:extLst>
      </c:barChart>
      <c:catAx>
        <c:axId val="694307768"/>
        <c:scaling>
          <c:orientation val="minMax"/>
        </c:scaling>
        <c:delete val="0"/>
        <c:axPos val="b"/>
        <c:numFmt formatCode="General" sourceLinked="1"/>
        <c:majorTickMark val="none"/>
        <c:minorTickMark val="none"/>
        <c:tickLblPos val="nextTo"/>
        <c:spPr>
          <a:noFill/>
          <a:ln w="6350"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94305808"/>
        <c:crosses val="autoZero"/>
        <c:auto val="1"/>
        <c:lblAlgn val="ctr"/>
        <c:lblOffset val="100"/>
        <c:noMultiLvlLbl val="0"/>
      </c:catAx>
      <c:valAx>
        <c:axId val="694305808"/>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6350"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94307768"/>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乐山!$K$4</c:f>
              <c:strCache>
                <c:ptCount val="1"/>
                <c:pt idx="0">
                  <c:v>旅客接待人数</c:v>
                </c:pt>
              </c:strCache>
            </c:strRef>
          </c:tx>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tx2">
                          <a:lumMod val="35000"/>
                          <a:lumOff val="65000"/>
                        </a:schemeClr>
                      </a:solidFill>
                    </a:ln>
                    <a:effectLst/>
                  </c:spPr>
                </c15:leaderLines>
              </c:ext>
            </c:extLst>
          </c:dLbls>
          <c:trendline>
            <c:spPr>
              <a:ln w="19050" cap="rnd">
                <a:solidFill>
                  <a:schemeClr val="accent1"/>
                </a:solidFill>
                <a:prstDash val="sysDash"/>
              </a:ln>
              <a:effectLst/>
            </c:spPr>
            <c:trendlineType val="exp"/>
            <c:dispRSqr val="1"/>
            <c:dispEq val="0"/>
            <c:trendlineLbl>
              <c:layout/>
              <c:numFmt formatCode="General" sourceLinked="0"/>
              <c:spPr>
                <a:noFill/>
                <a:ln>
                  <a:noFill/>
                </a:ln>
                <a:effectLst/>
              </c:spPr>
              <c:txPr>
                <a:bodyPr rot="0" spcFirstLastPara="1" vertOverflow="ellipsis" vert="horz" wrap="square" anchor="ctr" anchorCtr="1"/>
                <a:lstStyle/>
                <a:p>
                  <a:pPr>
                    <a:defRPr lang="zh-CN" sz="900" b="0" i="0" u="none" strike="noStrike" kern="1200" baseline="0">
                      <a:solidFill>
                        <a:schemeClr val="tx2"/>
                      </a:solidFill>
                      <a:latin typeface="+mn-lt"/>
                      <a:ea typeface="+mn-ea"/>
                      <a:cs typeface="+mn-cs"/>
                    </a:defRPr>
                  </a:pPr>
                </a:p>
              </c:txPr>
            </c:trendlineLbl>
          </c:trendline>
          <c:cat>
            <c:strRef>
              <c:f>乐山!$C$11:$D$21</c:f>
              <c:strCache>
                <c:ptCount val="11"/>
                <c:pt idx="0">
                  <c:v>2010</c:v>
                </c:pt>
                <c:pt idx="1">
                  <c:v>2011</c:v>
                </c:pt>
                <c:pt idx="2">
                  <c:v>2012</c:v>
                </c:pt>
                <c:pt idx="3">
                  <c:v>2013</c:v>
                </c:pt>
                <c:pt idx="4">
                  <c:v>2014</c:v>
                </c:pt>
                <c:pt idx="5">
                  <c:v>2015</c:v>
                </c:pt>
                <c:pt idx="6">
                  <c:v>2016</c:v>
                </c:pt>
                <c:pt idx="7">
                  <c:v>2017</c:v>
                </c:pt>
                <c:pt idx="8">
                  <c:v>2018</c:v>
                </c:pt>
                <c:pt idx="9">
                  <c:v>2019</c:v>
                </c:pt>
                <c:pt idx="10">
                  <c:v>2020</c:v>
                </c:pt>
              </c:strCache>
            </c:strRef>
          </c:cat>
          <c:val>
            <c:numRef>
              <c:f>乐山!$K$11:$K$21</c:f>
              <c:numCache>
                <c:formatCode>0</c:formatCode>
                <c:ptCount val="11"/>
                <c:pt idx="0">
                  <c:v>1677.72</c:v>
                </c:pt>
                <c:pt idx="1">
                  <c:v>2119.23</c:v>
                </c:pt>
                <c:pt idx="2">
                  <c:v>2674.01</c:v>
                </c:pt>
                <c:pt idx="3">
                  <c:v>2994.89</c:v>
                </c:pt>
                <c:pt idx="4">
                  <c:v>3354.73</c:v>
                </c:pt>
                <c:pt idx="5">
                  <c:v>3920.87</c:v>
                </c:pt>
                <c:pt idx="6">
                  <c:v>4380.15</c:v>
                </c:pt>
                <c:pt idx="7">
                  <c:v>5124.24</c:v>
                </c:pt>
                <c:pt idx="8">
                  <c:v>5733.55</c:v>
                </c:pt>
                <c:pt idx="9">
                  <c:v>7013.51</c:v>
                </c:pt>
                <c:pt idx="10">
                  <c:v>7072</c:v>
                </c:pt>
              </c:numCache>
            </c:numRef>
          </c:val>
        </c:ser>
        <c:dLbls>
          <c:showLegendKey val="0"/>
          <c:showVal val="1"/>
          <c:showCatName val="0"/>
          <c:showSerName val="0"/>
          <c:showPercent val="0"/>
          <c:showBubbleSize val="0"/>
        </c:dLbls>
        <c:gapWidth val="100"/>
        <c:overlap val="-24"/>
        <c:axId val="694309336"/>
        <c:axId val="694306592"/>
      </c:barChart>
      <c:catAx>
        <c:axId val="694309336"/>
        <c:scaling>
          <c:orientation val="minMax"/>
        </c:scaling>
        <c:delete val="0"/>
        <c:axPos val="b"/>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2"/>
                </a:solidFill>
                <a:latin typeface="+mn-lt"/>
                <a:ea typeface="+mn-ea"/>
                <a:cs typeface="+mn-cs"/>
              </a:defRPr>
            </a:pPr>
          </a:p>
        </c:txPr>
        <c:crossAx val="694306592"/>
        <c:crosses val="autoZero"/>
        <c:auto val="1"/>
        <c:lblAlgn val="ctr"/>
        <c:lblOffset val="100"/>
        <c:noMultiLvlLbl val="0"/>
      </c:catAx>
      <c:valAx>
        <c:axId val="694306592"/>
        <c:scaling>
          <c:orientation val="minMax"/>
        </c:scaling>
        <c:delete val="0"/>
        <c:axPos val="l"/>
        <c:majorGridlines>
          <c:spPr>
            <a:ln w="9525" cap="flat" cmpd="sng" algn="ctr">
              <a:solidFill>
                <a:schemeClr val="tx2">
                  <a:lumMod val="15000"/>
                  <a:lumOff val="85000"/>
                </a:schemeClr>
              </a:solidFill>
              <a:round/>
            </a:ln>
            <a:effectLst/>
          </c:spPr>
        </c:majorGridlines>
        <c:title>
          <c:tx>
            <c:rich>
              <a:bodyPr rot="-5400000" spcFirstLastPara="1" vertOverflow="ellipsis" vert="horz" wrap="square" anchor="ctr" anchorCtr="1"/>
              <a:lstStyle/>
              <a:p>
                <a:pPr>
                  <a:defRPr lang="zh-CN" sz="900" b="1" i="0" u="none" strike="noStrike" kern="1200" baseline="0">
                    <a:solidFill>
                      <a:schemeClr val="tx2"/>
                    </a:solidFill>
                    <a:latin typeface="+mn-lt"/>
                    <a:ea typeface="+mn-ea"/>
                    <a:cs typeface="+mn-cs"/>
                  </a:defRPr>
                </a:pPr>
                <a:r>
                  <a:rPr lang="zh-CN"/>
                  <a:t>旅客接待人数</a:t>
                </a:r>
                <a:r>
                  <a:rPr lang="en-US"/>
                  <a:t>/</a:t>
                </a:r>
                <a:r>
                  <a:rPr lang="zh-CN"/>
                  <a:t>万人次</a:t>
                </a:r>
                <a:endParaRPr lang="en-US"/>
              </a:p>
            </c:rich>
          </c:tx>
          <c:layout>
            <c:manualLayout>
              <c:xMode val="edge"/>
              <c:yMode val="edge"/>
              <c:x val="0.0194444444444444"/>
              <c:y val="0.235976232137649"/>
            </c:manualLayout>
          </c:layout>
          <c:overlay val="0"/>
          <c:spPr>
            <a:noFill/>
            <a:ln>
              <a:noFill/>
            </a:ln>
            <a:effectLst/>
          </c:spPr>
        </c:title>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2"/>
                </a:solidFill>
                <a:latin typeface="+mn-lt"/>
                <a:ea typeface="+mn-ea"/>
                <a:cs typeface="+mn-cs"/>
              </a:defRPr>
            </a:pPr>
          </a:p>
        </c:txPr>
        <c:crossAx val="694309336"/>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2"/>
              </a:solidFill>
              <a:latin typeface="+mn-lt"/>
              <a:ea typeface="+mn-ea"/>
              <a:cs typeface="+mn-cs"/>
            </a:defRPr>
          </a:pPr>
        </a:p>
      </c:txPr>
    </c:legend>
    <c:plotVisOnly val="1"/>
    <c:dispBlanksAs val="gap"/>
    <c:showDLblsOverMax val="0"/>
  </c:chart>
  <c:spPr>
    <a:solidFill>
      <a:schemeClr val="bg1"/>
    </a:solidFill>
    <a:ln w="9525" cap="flat" cmpd="sng" algn="ctr">
      <a:solidFill>
        <a:schemeClr val="tx2">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7">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lumOff val="2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DF5CE56-4880-4BA6-B586-5F302DC73CF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237</Pages>
  <Words>111758</Words>
  <Characters>126121</Characters>
  <Lines>971</Lines>
  <Paragraphs>273</Paragraphs>
  <TotalTime>77</TotalTime>
  <ScaleCrop>false</ScaleCrop>
  <LinksUpToDate>false</LinksUpToDate>
  <CharactersWithSpaces>126770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2023-03-27T01:56:00Z</dcterms:created>
  <dc:creator>文训科</dc:creator>
  <cp:lastModifiedBy>云裳</cp:lastModifiedBy>
  <cp:lastPrinted>2024-01-12T09:50:00Z</cp:lastPrinted>
  <dcterms:modified xsi:type="dcterms:W3CDTF">2024-01-26T03:15:26Z</dcterms:modified>
  <cp:revision>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45B4BEBDF23F47258ACC0D54A76293E6</vt:lpwstr>
  </property>
</Properties>
</file>