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948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270" w:afterAutospacing="0" w:line="578" w:lineRule="exact"/>
        <w:ind w:left="0" w:leftChars="0" w:right="0" w:firstLine="0" w:firstLineChars="0"/>
        <w:textAlignment w:val="auto"/>
        <w:rPr>
          <w:rFonts w:hint="eastAsia" w:ascii="黑体" w:hAnsi="黑体" w:eastAsia="黑体" w:cs="黑体"/>
          <w:sz w:val="28"/>
          <w:szCs w:val="28"/>
        </w:rPr>
      </w:pPr>
      <w:r>
        <w:rPr>
          <w:rFonts w:hint="eastAsia" w:ascii="黑体" w:hAnsi="黑体" w:eastAsia="黑体" w:cs="黑体"/>
          <w:i w:val="0"/>
          <w:iCs w:val="0"/>
          <w:caps w:val="0"/>
          <w:color w:val="3E3E3E"/>
          <w:spacing w:val="0"/>
          <w:sz w:val="28"/>
          <w:szCs w:val="28"/>
        </w:rPr>
        <w:t>附件</w:t>
      </w:r>
    </w:p>
    <w:p w14:paraId="54F034D6">
      <w:pPr>
        <w:keepNext w:val="0"/>
        <w:keepLines w:val="0"/>
        <w:pageBreakBefore w:val="0"/>
        <w:widowControl/>
        <w:suppressLineNumbers w:val="0"/>
        <w:kinsoku/>
        <w:wordWrap w:val="0"/>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i w:val="0"/>
          <w:iCs w:val="0"/>
          <w:caps w:val="0"/>
          <w:color w:val="000000" w:themeColor="text1"/>
          <w:spacing w:val="0"/>
          <w:kern w:val="0"/>
          <w:sz w:val="44"/>
          <w:szCs w:val="44"/>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iCs w:val="0"/>
          <w:caps w:val="0"/>
          <w:color w:val="000000" w:themeColor="text1"/>
          <w:spacing w:val="0"/>
          <w:kern w:val="0"/>
          <w:sz w:val="44"/>
          <w:szCs w:val="44"/>
          <w:lang w:val="en-US" w:eastAsia="zh-CN" w:bidi="ar"/>
          <w14:textFill>
            <w14:solidFill>
              <w14:schemeClr w14:val="tx1"/>
            </w14:solidFill>
          </w14:textFill>
        </w:rPr>
        <w:t>乐山市拟推荐纳入省级地名保护名录（第一批）地名简介</w:t>
      </w:r>
    </w:p>
    <w:p w14:paraId="22B09B50">
      <w:pPr>
        <w:keepNext w:val="0"/>
        <w:keepLines w:val="0"/>
        <w:pageBreakBefore w:val="0"/>
        <w:widowControl/>
        <w:suppressLineNumbers w:val="0"/>
        <w:kinsoku/>
        <w:wordWrap w:val="0"/>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i w:val="0"/>
          <w:iCs w:val="0"/>
          <w:caps w:val="0"/>
          <w:color w:val="000000" w:themeColor="text1"/>
          <w:spacing w:val="0"/>
          <w:kern w:val="0"/>
          <w:sz w:val="44"/>
          <w:szCs w:val="44"/>
          <w:lang w:val="en-US" w:eastAsia="zh-CN" w:bidi="ar"/>
          <w14:textFill>
            <w14:solidFill>
              <w14:schemeClr w14:val="tx1"/>
            </w14:solidFill>
          </w14:textFill>
        </w:rPr>
      </w:pPr>
    </w:p>
    <w:tbl>
      <w:tblPr>
        <w:tblStyle w:val="4"/>
        <w:tblW w:w="1485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74"/>
        <w:gridCol w:w="1317"/>
        <w:gridCol w:w="1455"/>
        <w:gridCol w:w="1439"/>
        <w:gridCol w:w="1573"/>
        <w:gridCol w:w="6339"/>
        <w:gridCol w:w="1753"/>
      </w:tblGrid>
      <w:tr w14:paraId="19759E4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4" w:type="dxa"/>
            <w:vMerge w:val="restart"/>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3589BA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宋体" w:hAnsi="宋体" w:eastAsia="宋体" w:cs="宋体"/>
                <w:sz w:val="21"/>
                <w:szCs w:val="21"/>
              </w:rPr>
            </w:pPr>
            <w:r>
              <w:rPr>
                <w:rStyle w:val="6"/>
                <w:rFonts w:hint="eastAsia" w:ascii="宋体" w:hAnsi="宋体" w:eastAsia="宋体" w:cs="宋体"/>
                <w:color w:val="3E3E3E"/>
                <w:sz w:val="21"/>
                <w:szCs w:val="21"/>
              </w:rPr>
              <w:t>序号</w:t>
            </w:r>
          </w:p>
        </w:tc>
        <w:tc>
          <w:tcPr>
            <w:tcW w:w="1317" w:type="dxa"/>
            <w:vMerge w:val="restart"/>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11148F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宋体" w:hAnsi="宋体" w:eastAsia="宋体" w:cs="宋体"/>
                <w:sz w:val="21"/>
                <w:szCs w:val="21"/>
              </w:rPr>
            </w:pPr>
            <w:r>
              <w:rPr>
                <w:rStyle w:val="6"/>
                <w:rFonts w:hint="eastAsia" w:ascii="宋体" w:hAnsi="宋体" w:eastAsia="宋体" w:cs="宋体"/>
                <w:color w:val="3E3E3E"/>
                <w:sz w:val="21"/>
                <w:szCs w:val="21"/>
              </w:rPr>
              <w:t>名称</w:t>
            </w:r>
          </w:p>
        </w:tc>
        <w:tc>
          <w:tcPr>
            <w:tcW w:w="4467" w:type="dxa"/>
            <w:gridSpan w:val="3"/>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52A8E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宋体" w:hAnsi="宋体" w:eastAsia="宋体" w:cs="宋体"/>
                <w:sz w:val="21"/>
                <w:szCs w:val="21"/>
              </w:rPr>
            </w:pPr>
            <w:r>
              <w:rPr>
                <w:rStyle w:val="6"/>
                <w:rFonts w:hint="eastAsia" w:ascii="宋体" w:hAnsi="宋体" w:eastAsia="宋体" w:cs="宋体"/>
                <w:color w:val="3E3E3E"/>
                <w:sz w:val="21"/>
                <w:szCs w:val="21"/>
              </w:rPr>
              <w:t>类别</w:t>
            </w:r>
          </w:p>
        </w:tc>
        <w:tc>
          <w:tcPr>
            <w:tcW w:w="6339" w:type="dxa"/>
            <w:vMerge w:val="restart"/>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51FD17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宋体" w:hAnsi="宋体" w:eastAsia="宋体" w:cs="宋体"/>
                <w:sz w:val="21"/>
                <w:szCs w:val="21"/>
              </w:rPr>
            </w:pPr>
            <w:r>
              <w:rPr>
                <w:rStyle w:val="6"/>
                <w:rFonts w:hint="eastAsia" w:ascii="宋体" w:hAnsi="宋体" w:eastAsia="宋体" w:cs="宋体"/>
                <w:color w:val="3E3E3E"/>
                <w:sz w:val="21"/>
                <w:szCs w:val="21"/>
              </w:rPr>
              <w:t>简介</w:t>
            </w:r>
          </w:p>
        </w:tc>
        <w:tc>
          <w:tcPr>
            <w:tcW w:w="1753" w:type="dxa"/>
            <w:vMerge w:val="restart"/>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61D752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宋体" w:hAnsi="宋体" w:eastAsia="宋体" w:cs="宋体"/>
                <w:sz w:val="21"/>
                <w:szCs w:val="21"/>
              </w:rPr>
            </w:pPr>
            <w:r>
              <w:rPr>
                <w:rStyle w:val="6"/>
                <w:rFonts w:hint="eastAsia" w:ascii="宋体" w:hAnsi="宋体" w:eastAsia="宋体" w:cs="宋体"/>
                <w:color w:val="3E3E3E"/>
                <w:sz w:val="21"/>
                <w:szCs w:val="21"/>
              </w:rPr>
              <w:t>所属行政区</w:t>
            </w:r>
          </w:p>
        </w:tc>
      </w:tr>
      <w:tr w14:paraId="12EBF2C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974" w:type="dxa"/>
            <w:vMerge w:val="continue"/>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C027EC5">
            <w:pPr>
              <w:rPr>
                <w:rFonts w:hint="eastAsia" w:ascii="宋体"/>
                <w:color w:val="3E3E3E"/>
                <w:sz w:val="18"/>
                <w:szCs w:val="18"/>
              </w:rPr>
            </w:pPr>
          </w:p>
        </w:tc>
        <w:tc>
          <w:tcPr>
            <w:tcW w:w="1317" w:type="dxa"/>
            <w:vMerge w:val="continue"/>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62C12C83">
            <w:pPr>
              <w:rPr>
                <w:rFonts w:hint="eastAsia" w:ascii="宋体"/>
                <w:color w:val="3E3E3E"/>
                <w:sz w:val="18"/>
                <w:szCs w:val="18"/>
              </w:rPr>
            </w:pP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49E48C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rPr>
                <w:rFonts w:hint="eastAsia" w:ascii="宋体" w:hAnsi="宋体" w:eastAsia="宋体" w:cs="宋体"/>
                <w:sz w:val="21"/>
                <w:szCs w:val="21"/>
              </w:rPr>
            </w:pPr>
            <w:r>
              <w:rPr>
                <w:rStyle w:val="6"/>
                <w:rFonts w:hint="eastAsia" w:ascii="宋体" w:hAnsi="宋体" w:eastAsia="宋体" w:cs="宋体"/>
                <w:color w:val="3E3E3E"/>
                <w:sz w:val="21"/>
                <w:szCs w:val="21"/>
              </w:rPr>
              <w:t>一级分类</w:t>
            </w:r>
          </w:p>
        </w:tc>
        <w:tc>
          <w:tcPr>
            <w:tcW w:w="14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C186E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rPr>
                <w:rFonts w:hint="eastAsia" w:ascii="宋体" w:hAnsi="宋体" w:eastAsia="宋体" w:cs="宋体"/>
                <w:sz w:val="21"/>
                <w:szCs w:val="21"/>
              </w:rPr>
            </w:pPr>
            <w:r>
              <w:rPr>
                <w:rStyle w:val="6"/>
                <w:rFonts w:hint="eastAsia" w:ascii="宋体" w:hAnsi="宋体" w:eastAsia="宋体" w:cs="宋体"/>
                <w:color w:val="3E3E3E"/>
                <w:sz w:val="21"/>
                <w:szCs w:val="21"/>
              </w:rPr>
              <w:t>二级分类</w:t>
            </w:r>
          </w:p>
        </w:tc>
        <w:tc>
          <w:tcPr>
            <w:tcW w:w="157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3BA182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rPr>
                <w:rFonts w:hint="eastAsia" w:ascii="宋体" w:hAnsi="宋体" w:eastAsia="宋体" w:cs="宋体"/>
                <w:sz w:val="21"/>
                <w:szCs w:val="21"/>
              </w:rPr>
            </w:pPr>
            <w:r>
              <w:rPr>
                <w:rStyle w:val="6"/>
                <w:rFonts w:hint="eastAsia" w:ascii="宋体" w:hAnsi="宋体" w:eastAsia="宋体" w:cs="宋体"/>
                <w:color w:val="3E3E3E"/>
                <w:sz w:val="21"/>
                <w:szCs w:val="21"/>
              </w:rPr>
              <w:t>三级分类</w:t>
            </w:r>
          </w:p>
        </w:tc>
        <w:tc>
          <w:tcPr>
            <w:tcW w:w="6339" w:type="dxa"/>
            <w:vMerge w:val="continue"/>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515AA445">
            <w:pPr>
              <w:rPr>
                <w:rFonts w:hint="eastAsia" w:ascii="宋体"/>
                <w:color w:val="3E3E3E"/>
                <w:sz w:val="18"/>
                <w:szCs w:val="18"/>
              </w:rPr>
            </w:pPr>
          </w:p>
        </w:tc>
        <w:tc>
          <w:tcPr>
            <w:tcW w:w="1753" w:type="dxa"/>
            <w:vMerge w:val="continue"/>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8610168">
            <w:pPr>
              <w:rPr>
                <w:rFonts w:hint="eastAsia" w:ascii="宋体"/>
                <w:color w:val="3E3E3E"/>
                <w:sz w:val="18"/>
                <w:szCs w:val="18"/>
              </w:rPr>
            </w:pPr>
          </w:p>
        </w:tc>
      </w:tr>
      <w:tr w14:paraId="219634F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97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CD852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1</w:t>
            </w:r>
          </w:p>
        </w:tc>
        <w:tc>
          <w:tcPr>
            <w:tcW w:w="131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4D8424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color w:val="3E3E3E"/>
                <w:sz w:val="21"/>
                <w:szCs w:val="21"/>
                <w:lang w:eastAsia="zh-CN"/>
              </w:rPr>
              <w:t>花盐街</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5F63AC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地名文化遗产</w:t>
            </w:r>
          </w:p>
        </w:tc>
        <w:tc>
          <w:tcPr>
            <w:tcW w:w="14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3C73A2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color w:val="3E3E3E"/>
                <w:sz w:val="21"/>
                <w:szCs w:val="21"/>
                <w:lang w:eastAsia="zh-CN"/>
              </w:rPr>
              <w:t>百年古街巷</w:t>
            </w:r>
          </w:p>
        </w:tc>
        <w:tc>
          <w:tcPr>
            <w:tcW w:w="157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74487E52">
            <w:pPr>
              <w:keepNext w:val="0"/>
              <w:keepLines w:val="0"/>
              <w:widowControl/>
              <w:suppressLineNumbers w:val="0"/>
              <w:spacing w:line="345" w:lineRule="atLeast"/>
              <w:ind w:left="0" w:leftChars="0" w:firstLine="420" w:firstLineChars="0"/>
              <w:jc w:val="center"/>
              <w:rPr>
                <w:rFonts w:hint="eastAsia" w:ascii="仿宋_GB2312" w:hAnsi="仿宋_GB2312" w:eastAsia="仿宋_GB2312" w:cs="仿宋_GB2312"/>
                <w:color w:val="3E3E3E"/>
                <w:sz w:val="18"/>
                <w:szCs w:val="18"/>
              </w:rPr>
            </w:pPr>
          </w:p>
        </w:tc>
        <w:tc>
          <w:tcPr>
            <w:tcW w:w="63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5F70CE8">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仿宋_GB2312" w:hAnsi="仿宋_GB2312" w:eastAsia="仿宋_GB2312" w:cs="仿宋_GB2312"/>
                <w:b w:val="0"/>
                <w:bCs/>
                <w:sz w:val="21"/>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b w:val="0"/>
                <w:color w:val="000000"/>
                <w:kern w:val="0"/>
                <w:sz w:val="21"/>
                <w:szCs w:val="21"/>
                <w:highlight w:val="none"/>
                <w:lang w:val="en-US" w:eastAsia="zh-CN"/>
              </w:rPr>
              <w:t xml:space="preserve">四川盐法志》卷一八记载：“咸丰四年，召以川盐济楚”，花盐街的出现，同“川盐济楚”相关。咸丰七年（1857年），四川总督关振棫复奏清廷“令楚委员，分赴犍、富两厂采购花盐、巴盐，运楚行销”，其中五通桥的盐得以专销湖北五府一州。随着盐业的发展，花盐街逐渐成为清中期川省第一厂犍乐盐场的盐业仓储、转运、销售一体的集散中心，花盐街即是一条街，又是盐业发展的所在。         </w:t>
            </w:r>
            <w:r>
              <w:rPr>
                <w:rFonts w:hint="eastAsia" w:ascii="仿宋_GB2312" w:hAnsi="仿宋_GB2312" w:eastAsia="仿宋_GB2312" w:cs="仿宋_GB2312"/>
                <w:b w:val="0"/>
                <w:color w:val="000000"/>
                <w:kern w:val="0"/>
                <w:sz w:val="21"/>
                <w:szCs w:val="21"/>
                <w:highlight w:val="none"/>
                <w:lang w:val="en-US" w:eastAsia="zh-CN" w:bidi="ar-SA"/>
              </w:rPr>
              <w:t>所谓花盐，《齐民要术》卷八中有所记载，是盐的一种生产工艺，所谓花盐街（《竹根镇两河口社区志》概述中有所记载），因清朝政府下诏命“川盐济楚”以解淮盐之急。楚人有喜食花盐之习俗，五通桥的盐商开始按楚人的喜好煎制花盐（又称雪花盐）。随着花盐的发展，直接把仓储堆满雪花盐的街道叫做“花盐街”。“花盐街”不胫而走，沿用至今。花盐街这一名称不仅准确地描述了这条街道的主要经济活动，也体现了其盐业发展的文化和历史背景。</w:t>
            </w:r>
          </w:p>
        </w:tc>
        <w:tc>
          <w:tcPr>
            <w:tcW w:w="175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89795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color w:val="3E3E3E"/>
                <w:sz w:val="21"/>
                <w:szCs w:val="21"/>
                <w:lang w:eastAsia="zh-CN"/>
              </w:rPr>
              <w:t>乐山市五通桥区</w:t>
            </w:r>
          </w:p>
        </w:tc>
      </w:tr>
      <w:tr w14:paraId="7939F90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2645" w:hRule="atLeast"/>
          <w:jc w:val="center"/>
        </w:trPr>
        <w:tc>
          <w:tcPr>
            <w:tcW w:w="97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09474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2</w:t>
            </w:r>
          </w:p>
        </w:tc>
        <w:tc>
          <w:tcPr>
            <w:tcW w:w="131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EAF0A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color w:val="3E3E3E"/>
                <w:sz w:val="21"/>
                <w:szCs w:val="21"/>
                <w:lang w:eastAsia="zh-CN"/>
              </w:rPr>
              <w:t>犍为文庙</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5AA83E3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地名文化遗产</w:t>
            </w:r>
          </w:p>
        </w:tc>
        <w:tc>
          <w:tcPr>
            <w:tcW w:w="14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5F239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color w:val="3E3E3E"/>
                <w:sz w:val="21"/>
                <w:szCs w:val="21"/>
                <w:lang w:eastAsia="zh-CN"/>
              </w:rPr>
              <w:t>古建筑和遗址遗迹</w:t>
            </w:r>
          </w:p>
        </w:tc>
        <w:tc>
          <w:tcPr>
            <w:tcW w:w="157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5CB040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p>
        </w:tc>
        <w:tc>
          <w:tcPr>
            <w:tcW w:w="63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87B01E0">
            <w:pPr>
              <w:keepNext w:val="0"/>
              <w:keepLines w:val="0"/>
              <w:pageBreakBefore w:val="0"/>
              <w:widowControl/>
              <w:suppressLineNumbers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b w:val="0"/>
                <w:color w:val="000000"/>
                <w:kern w:val="0"/>
                <w:sz w:val="21"/>
                <w:szCs w:val="21"/>
                <w:highlight w:val="none"/>
                <w:lang w:val="en-US" w:eastAsia="zh-CN"/>
              </w:rPr>
            </w:pPr>
            <w:r>
              <w:rPr>
                <w:rFonts w:hint="eastAsia" w:ascii="仿宋_GB2312" w:hAnsi="仿宋_GB2312" w:eastAsia="仿宋_GB2312" w:cs="仿宋_GB2312"/>
                <w:b w:val="0"/>
                <w:color w:val="000000"/>
                <w:kern w:val="0"/>
                <w:sz w:val="21"/>
                <w:szCs w:val="21"/>
                <w:highlight w:val="none"/>
                <w:lang w:val="en-US" w:eastAsia="zh-CN"/>
              </w:rPr>
              <w:t>犍为文庙始建于北宋真宗大中祥符年间（1008-1016），地址位于今犍为县清溪镇沉犀村附近，距今已1009年。后因火灾和兵燹，多次焚毁而易地重建。今保护完好的文庙，建于明洪武四年（1371），距今已654年。最初修建目的是为了纪念孔子，因此命名为“犍为孔庙”。又因宋代沿袭“庙学合一”制度，“犍为孔庙”也兼做学宫，民国版《犍为县志·卷二·建置》载“堂前为学门，堂后为学署”，故也称“犍为文庙”。</w:t>
            </w:r>
          </w:p>
          <w:p w14:paraId="72B362E7">
            <w:pPr>
              <w:keepNext w:val="0"/>
              <w:keepLines w:val="0"/>
              <w:pageBreakBefore w:val="0"/>
              <w:widowControl/>
              <w:suppressLineNumbers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b w:val="0"/>
                <w:color w:val="000000"/>
                <w:kern w:val="0"/>
                <w:sz w:val="21"/>
                <w:szCs w:val="21"/>
                <w:highlight w:val="none"/>
                <w:lang w:val="en-US" w:eastAsia="zh-CN"/>
              </w:rPr>
            </w:pPr>
            <w:r>
              <w:rPr>
                <w:rFonts w:hint="eastAsia" w:ascii="仿宋_GB2312" w:hAnsi="仿宋_GB2312" w:eastAsia="仿宋_GB2312" w:cs="仿宋_GB2312"/>
                <w:b w:val="0"/>
                <w:color w:val="000000"/>
                <w:kern w:val="0"/>
                <w:sz w:val="21"/>
                <w:szCs w:val="21"/>
                <w:highlight w:val="none"/>
                <w:lang w:val="en-US" w:eastAsia="zh-CN"/>
              </w:rPr>
              <w:t>犍为文庙由“犍为”和“文庙”两部分构成。犍为文庙一直位于犍为县内，故冠以“犍为”之名。“文庙”又称孔庙、学宫，是纪念孔子的庙宇，同时也具有教育职能。</w:t>
            </w:r>
            <w:bookmarkStart w:id="0" w:name="_GoBack"/>
            <w:bookmarkEnd w:id="0"/>
          </w:p>
        </w:tc>
        <w:tc>
          <w:tcPr>
            <w:tcW w:w="175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418820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lang w:eastAsia="zh-CN"/>
              </w:rPr>
              <w:t>犍为县</w:t>
            </w:r>
          </w:p>
        </w:tc>
      </w:tr>
      <w:tr w14:paraId="68C5CC1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97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731382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3</w:t>
            </w:r>
          </w:p>
        </w:tc>
        <w:tc>
          <w:tcPr>
            <w:tcW w:w="131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4E60DE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color w:val="3E3E3E"/>
                <w:sz w:val="21"/>
                <w:szCs w:val="21"/>
                <w:lang w:val="en-US" w:eastAsia="zh-CN"/>
              </w:rPr>
              <w:t>中国核动力九Ｏ九基地</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039389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地名文化遗产</w:t>
            </w:r>
          </w:p>
        </w:tc>
        <w:tc>
          <w:tcPr>
            <w:tcW w:w="14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466E17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color w:val="3E3E3E"/>
                <w:sz w:val="21"/>
                <w:szCs w:val="21"/>
                <w:lang w:eastAsia="zh-CN"/>
              </w:rPr>
              <w:t>红色地名</w:t>
            </w:r>
          </w:p>
        </w:tc>
        <w:tc>
          <w:tcPr>
            <w:tcW w:w="157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5E41CB01">
            <w:pPr>
              <w:keepNext w:val="0"/>
              <w:keepLines w:val="0"/>
              <w:widowControl/>
              <w:suppressLineNumbers w:val="0"/>
              <w:spacing w:line="345" w:lineRule="atLeast"/>
              <w:ind w:left="0" w:leftChars="0" w:firstLine="420" w:firstLineChars="0"/>
              <w:jc w:val="center"/>
              <w:rPr>
                <w:rFonts w:hint="eastAsia" w:ascii="仿宋_GB2312" w:hAnsi="仿宋_GB2312" w:eastAsia="仿宋_GB2312" w:cs="仿宋_GB2312"/>
                <w:color w:val="3E3E3E"/>
                <w:sz w:val="18"/>
                <w:szCs w:val="18"/>
              </w:rPr>
            </w:pPr>
          </w:p>
        </w:tc>
        <w:tc>
          <w:tcPr>
            <w:tcW w:w="63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43ABAF7F">
            <w:pPr>
              <w:keepNext w:val="0"/>
              <w:keepLines w:val="0"/>
              <w:pageBreakBefore w:val="0"/>
              <w:widowControl/>
              <w:suppressLineNumbers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中国核动力九〇九基地是中国第一代核潜艇陆上模式堆的研制基地的代号。“自强自立、求真务实、创新协同、拼搏奉献”的“O九精神”激励着一代代核动力人奋勇拼搏。如今，中国核动力九〇九基地已成为一个爱国主义教育基地，展示了中国核潜艇技术的发展历程和科研人员的奋斗精神。</w:t>
            </w:r>
          </w:p>
        </w:tc>
        <w:tc>
          <w:tcPr>
            <w:tcW w:w="175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0047A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lang w:eastAsia="zh-CN"/>
              </w:rPr>
              <w:t>夹江县</w:t>
            </w:r>
          </w:p>
        </w:tc>
      </w:tr>
      <w:tr w14:paraId="2DF306A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2455" w:hRule="atLeast"/>
          <w:jc w:val="center"/>
        </w:trPr>
        <w:tc>
          <w:tcPr>
            <w:tcW w:w="974"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68C0CB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4</w:t>
            </w:r>
          </w:p>
        </w:tc>
        <w:tc>
          <w:tcPr>
            <w:tcW w:w="1317"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7F51820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永济桥</w:t>
            </w:r>
          </w:p>
        </w:tc>
        <w:tc>
          <w:tcPr>
            <w:tcW w:w="1455"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3E6284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rPr>
              <w:t>地名文化遗产</w:t>
            </w:r>
          </w:p>
        </w:tc>
        <w:tc>
          <w:tcPr>
            <w:tcW w:w="14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1BDBCF7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color w:val="3E3E3E"/>
                <w:sz w:val="21"/>
                <w:szCs w:val="21"/>
                <w:lang w:eastAsia="zh-CN"/>
              </w:rPr>
              <w:t>古建筑和遗址遗迹</w:t>
            </w:r>
          </w:p>
        </w:tc>
        <w:tc>
          <w:tcPr>
            <w:tcW w:w="157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3DBFE922">
            <w:pPr>
              <w:keepNext w:val="0"/>
              <w:keepLines w:val="0"/>
              <w:widowControl/>
              <w:suppressLineNumbers w:val="0"/>
              <w:spacing w:line="345" w:lineRule="atLeast"/>
              <w:ind w:left="0" w:leftChars="0" w:firstLine="420" w:firstLineChars="0"/>
              <w:jc w:val="center"/>
              <w:rPr>
                <w:rFonts w:hint="eastAsia" w:ascii="仿宋_GB2312" w:hAnsi="仿宋_GB2312" w:eastAsia="仿宋_GB2312" w:cs="仿宋_GB2312"/>
                <w:color w:val="3E3E3E"/>
                <w:sz w:val="18"/>
                <w:szCs w:val="18"/>
              </w:rPr>
            </w:pPr>
          </w:p>
        </w:tc>
        <w:tc>
          <w:tcPr>
            <w:tcW w:w="6339"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26640A4B">
            <w:pPr>
              <w:keepNext w:val="0"/>
              <w:keepLines w:val="0"/>
              <w:pageBreakBefore w:val="0"/>
              <w:widowControl/>
              <w:suppressLineNumbers w:val="0"/>
              <w:kinsoku/>
              <w:wordWrap/>
              <w:overflowPunct/>
              <w:topLinePunct w:val="0"/>
              <w:autoSpaceDE/>
              <w:autoSpaceDN/>
              <w:bidi w:val="0"/>
              <w:adjustRightInd/>
              <w:snapToGrid/>
              <w:spacing w:line="280" w:lineRule="exact"/>
              <w:ind w:firstLine="420" w:firstLineChars="200"/>
              <w:jc w:val="both"/>
              <w:textAlignment w:val="auto"/>
              <w:rPr>
                <w:rFonts w:hint="eastAsia" w:ascii="仿宋_GB2312" w:hAnsi="仿宋_GB2312" w:eastAsia="仿宋_GB2312" w:cs="仿宋_GB2312"/>
                <w:b w:val="0"/>
                <w:color w:val="000000"/>
                <w:kern w:val="0"/>
                <w:sz w:val="21"/>
                <w:szCs w:val="21"/>
                <w:highlight w:val="none"/>
                <w:lang w:val="en-US" w:eastAsia="zh-CN"/>
              </w:rPr>
            </w:pPr>
            <w:r>
              <w:rPr>
                <w:rFonts w:hint="eastAsia" w:ascii="仿宋_GB2312" w:hAnsi="仿宋_GB2312" w:eastAsia="仿宋_GB2312" w:cs="仿宋_GB2312"/>
                <w:b w:val="0"/>
                <w:color w:val="000000"/>
                <w:kern w:val="0"/>
                <w:sz w:val="21"/>
                <w:szCs w:val="21"/>
                <w:highlight w:val="none"/>
                <w:lang w:val="en-US" w:eastAsia="zh-CN"/>
              </w:rPr>
              <w:t>据《屏山县志》记载：永济桥始建于清乾隆三十年（1765年），初为沟通乐山、犍为至宜宾、屏山等地的重要通道，桥上商贾络绎不绝，故取名“永济”，寓意“永远济世于人”。同治三年（1864年）被洪水冲毁后，光绪三年（1877年）由地方绅士刘忞修、杨九师、袁志遴等人募资重建。在2000年及2009年的维修工程中，相关部门对“永济桥”题字进行了专项保护，确认其字迹为清代原刻，并记录于《四川省文物保护单位档案》中。</w:t>
            </w:r>
          </w:p>
          <w:p w14:paraId="08E033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b w:val="0"/>
                <w:color w:val="000000"/>
                <w:kern w:val="0"/>
                <w:sz w:val="21"/>
                <w:szCs w:val="21"/>
                <w:highlight w:val="none"/>
                <w:lang w:val="en-US" w:eastAsia="zh-CN" w:bidi="ar-SA"/>
              </w:rPr>
              <w:t>“永济”二字，“永”有长久、永恒之意，“济”有救济、帮助、渡水等含义，“永济”合起来就是希望这座桥能够长久地发挥作用，帮助人们顺利渡过河流，便利交通，使人们的出行和往来能够永远通畅无阻，也寄托着对当地经济社会长久发展、百姓生活安定和谐的祈愿。</w:t>
            </w:r>
          </w:p>
        </w:tc>
        <w:tc>
          <w:tcPr>
            <w:tcW w:w="1753" w:type="dxa"/>
            <w:tcBorders>
              <w:top w:val="single" w:color="000000" w:sz="6" w:space="0"/>
              <w:left w:val="single" w:color="000000" w:sz="6" w:space="0"/>
              <w:bottom w:val="single" w:color="000000" w:sz="6" w:space="0"/>
              <w:right w:val="single" w:color="000000" w:sz="6" w:space="0"/>
            </w:tcBorders>
            <w:shd w:val="clear" w:color="auto" w:fill="auto"/>
            <w:tcMar>
              <w:top w:w="30" w:type="dxa"/>
              <w:left w:w="45" w:type="dxa"/>
              <w:bottom w:w="30" w:type="dxa"/>
              <w:right w:w="45" w:type="dxa"/>
            </w:tcMar>
            <w:vAlign w:val="center"/>
          </w:tcPr>
          <w:p w14:paraId="70C86B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leftChars="0" w:right="0" w:rightChars="0"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沐川县</w:t>
            </w:r>
          </w:p>
        </w:tc>
      </w:tr>
    </w:tbl>
    <w:p w14:paraId="7D79E55D"/>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0B341B"/>
    <w:rsid w:val="3AA70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before="203"/>
      <w:ind w:left="111"/>
    </w:pPr>
    <w:rPr>
      <w:rFonts w:ascii="仿宋_GB2312" w:hAnsi="仿宋_GB2312" w:eastAsia="仿宋_GB2312" w:cs="Times New Roman"/>
      <w:sz w:val="32"/>
      <w:szCs w:val="32"/>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1200</Words>
  <Characters>1236</Characters>
  <Lines>0</Lines>
  <Paragraphs>0</Paragraphs>
  <TotalTime>0</TotalTime>
  <ScaleCrop>false</ScaleCrop>
  <LinksUpToDate>false</LinksUpToDate>
  <CharactersWithSpaces>1245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2025-05-06T07:28:00Z</dcterms:created>
  <dc:creator>Administrator</dc:creator>
  <cp:lastModifiedBy>不吃鱼的猫</cp:lastModifiedBy>
  <dcterms:modified xsi:type="dcterms:W3CDTF">2025-05-08T06:00:17Z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eyJoZGlkIjoiOGI0YjNmODQyYTZlOTMxNGYzYjE4Yjg5YmEzYmExNjAiLCJ1c2VySWQiOiI3Nzk1NDkzODcifQ==</vt:lpwstr>
  </property>
  <property fmtid="{D5CDD505-2E9C-101B-9397-08002B2CF9AE}" pid="4" name="ICV">
    <vt:lpwstr>0B941FD1BF3445BF8686B312AD1053E2_12</vt:lpwstr>
  </property>
</Properties>
</file>