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C948B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270" w:afterAutospacing="0" w:line="578" w:lineRule="exact"/>
        <w:ind w:left="0" w:leftChars="0" w:right="0" w:firstLine="0" w:firstLineChars="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E3E3E"/>
          <w:spacing w:val="0"/>
          <w:sz w:val="28"/>
          <w:szCs w:val="28"/>
        </w:rPr>
        <w:t>附件</w:t>
      </w:r>
    </w:p>
    <w:p w14:paraId="54F034D6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  <w:t>乐山市拟推荐纳入省级地名保护名录（第一批）地名简介</w:t>
      </w:r>
    </w:p>
    <w:p w14:paraId="22B09B50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1485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4"/>
        <w:gridCol w:w="1317"/>
        <w:gridCol w:w="1455"/>
        <w:gridCol w:w="1439"/>
        <w:gridCol w:w="1573"/>
        <w:gridCol w:w="6339"/>
        <w:gridCol w:w="1753"/>
      </w:tblGrid>
      <w:tr w14:paraId="19759E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89BAE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color w:val="3E3E3E"/>
                <w:sz w:val="21"/>
                <w:szCs w:val="21"/>
              </w:rPr>
              <w:t>序号</w:t>
            </w:r>
          </w:p>
        </w:tc>
        <w:tc>
          <w:tcPr>
            <w:tcW w:w="131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148F5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color w:val="3E3E3E"/>
                <w:sz w:val="21"/>
                <w:szCs w:val="21"/>
              </w:rPr>
              <w:t>名称</w:t>
            </w:r>
          </w:p>
        </w:tc>
        <w:tc>
          <w:tcPr>
            <w:tcW w:w="446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2A8E6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color w:val="3E3E3E"/>
                <w:sz w:val="21"/>
                <w:szCs w:val="21"/>
              </w:rPr>
              <w:t>类别</w:t>
            </w:r>
          </w:p>
        </w:tc>
        <w:tc>
          <w:tcPr>
            <w:tcW w:w="633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FD175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color w:val="3E3E3E"/>
                <w:sz w:val="21"/>
                <w:szCs w:val="21"/>
              </w:rPr>
              <w:t>简介</w:t>
            </w:r>
          </w:p>
        </w:tc>
        <w:tc>
          <w:tcPr>
            <w:tcW w:w="175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D7525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color w:val="3E3E3E"/>
                <w:sz w:val="21"/>
                <w:szCs w:val="21"/>
              </w:rPr>
              <w:t>所属行政区</w:t>
            </w:r>
          </w:p>
        </w:tc>
      </w:tr>
      <w:tr w14:paraId="12EBF2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027EC5">
            <w:pPr>
              <w:rPr>
                <w:rFonts w:hint="eastAsia" w:ascii="宋体"/>
                <w:color w:val="3E3E3E"/>
                <w:sz w:val="18"/>
                <w:szCs w:val="18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C12C83">
            <w:pPr>
              <w:rPr>
                <w:rFonts w:hint="eastAsia" w:ascii="宋体"/>
                <w:color w:val="3E3E3E"/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E48C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color w:val="3E3E3E"/>
                <w:sz w:val="21"/>
                <w:szCs w:val="21"/>
              </w:rPr>
              <w:t>一级分类</w:t>
            </w: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186E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color w:val="3E3E3E"/>
                <w:sz w:val="21"/>
                <w:szCs w:val="21"/>
              </w:rPr>
              <w:t>二级分类</w:t>
            </w:r>
          </w:p>
        </w:tc>
        <w:tc>
          <w:tcPr>
            <w:tcW w:w="1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A182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color w:val="3E3E3E"/>
                <w:sz w:val="21"/>
                <w:szCs w:val="21"/>
              </w:rPr>
              <w:t>三级分类</w:t>
            </w:r>
          </w:p>
        </w:tc>
        <w:tc>
          <w:tcPr>
            <w:tcW w:w="633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15AA445">
            <w:pPr>
              <w:rPr>
                <w:rFonts w:hint="eastAsia" w:ascii="宋体"/>
                <w:color w:val="3E3E3E"/>
                <w:sz w:val="18"/>
                <w:szCs w:val="18"/>
              </w:rPr>
            </w:pPr>
          </w:p>
        </w:tc>
        <w:tc>
          <w:tcPr>
            <w:tcW w:w="17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610168">
            <w:pPr>
              <w:rPr>
                <w:rFonts w:hint="eastAsia" w:ascii="宋体"/>
                <w:color w:val="3E3E3E"/>
                <w:sz w:val="18"/>
                <w:szCs w:val="18"/>
              </w:rPr>
            </w:pPr>
          </w:p>
        </w:tc>
      </w:tr>
      <w:tr w14:paraId="219634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D852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</w:rPr>
              <w:t>1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8424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花盐街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63AC3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</w:rPr>
              <w:t>地名文化遗产</w:t>
            </w: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C73A2B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百年古街巷</w:t>
            </w:r>
          </w:p>
        </w:tc>
        <w:tc>
          <w:tcPr>
            <w:tcW w:w="1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487E52"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420"/>
              <w:jc w:val="center"/>
              <w:rPr>
                <w:rFonts w:hint="eastAsia" w:ascii="仿宋_GB2312" w:hAnsi="仿宋_GB2312" w:eastAsia="仿宋_GB2312" w:cs="仿宋_GB2312"/>
                <w:color w:val="3E3E3E"/>
                <w:sz w:val="18"/>
                <w:szCs w:val="18"/>
              </w:rPr>
            </w:pPr>
          </w:p>
        </w:tc>
        <w:tc>
          <w:tcPr>
            <w:tcW w:w="6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52A3B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0" w:name="OLE_LINK31"/>
            <w:bookmarkStart w:id="1" w:name="OLE_LINK8"/>
            <w:bookmarkStart w:id="2" w:name="OLE_LINK9"/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四川盐法志》</w:t>
            </w:r>
            <w:bookmarkEnd w:id="0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卷一八记载：“咸丰四年，召以川盐济楚”，</w:t>
            </w:r>
            <w:bookmarkEnd w:id="1"/>
            <w:bookmarkStart w:id="3" w:name="OLE_LINK24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花盐街的出现，同</w:t>
            </w:r>
            <w:bookmarkStart w:id="4" w:name="OLE_LINK26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“川盐济楚”</w:t>
            </w:r>
            <w:bookmarkEnd w:id="4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相关。</w:t>
            </w:r>
            <w:bookmarkEnd w:id="3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咸丰七年（1857年），四川总督关振棫复奏清廷“令楚委员，分赴犍、富两厂采购花盐、巴盐，运楚行销”，其中五通桥的盐得以专销湖北五府一州。随着盐业的发展，花盐街逐渐成为清中期川省第一厂犍乐盐场的盐业仓储、转运、销售一体的集散中心，花盐街即是一条街，又是盐业发展的所在。</w:t>
            </w:r>
            <w:bookmarkEnd w:id="2"/>
            <w:bookmarkStart w:id="5" w:name="OLE_LINK12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所谓花盐，《齐民要术》</w:t>
            </w:r>
            <w:bookmarkStart w:id="6" w:name="OLE_LINK28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卷八</w:t>
            </w:r>
            <w:bookmarkEnd w:id="6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中有所记载，是盐的一种生产工艺，</w:t>
            </w:r>
            <w:bookmarkStart w:id="7" w:name="OLE_LINK32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所谓花盐街</w:t>
            </w:r>
            <w:bookmarkEnd w:id="5"/>
            <w:bookmarkEnd w:id="7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（</w:t>
            </w:r>
            <w:bookmarkStart w:id="8" w:name="OLE_LINK27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《竹根镇两河口社区志》概述中有所记载</w:t>
            </w:r>
            <w:bookmarkEnd w:id="8"/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），因清朝政府下诏命“川盐济楚”以解淮盐之急。楚人有喜食花盐之习俗，五通桥的盐商开始按楚人的喜好煎制花盐（又称雪花盐）。随着花盐的发展，直接把仓储堆满雪花盐的街道叫做“花盐街”。“花盐街”不胫而走，沿用至今。花盐街这一名称不仅准确地描述了这条街道的主要经济活动，也体现了其盐业发展的文化和历史背景。</w:t>
            </w:r>
          </w:p>
          <w:p w14:paraId="4AC405A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4"/>
                <w:lang w:val="en-US" w:eastAsia="zh-CN"/>
              </w:rPr>
            </w:pP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897956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乐山市五通桥区</w:t>
            </w:r>
          </w:p>
        </w:tc>
      </w:tr>
      <w:tr w14:paraId="7939F9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5" w:hRule="atLeast"/>
          <w:jc w:val="center"/>
        </w:trPr>
        <w:tc>
          <w:tcPr>
            <w:tcW w:w="9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94747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</w:rPr>
              <w:t>2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EAF0A7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犍为文庙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A83E3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</w:rPr>
              <w:t>地名文化遗产</w:t>
            </w: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F239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古建筑和遗址遗迹</w:t>
            </w:r>
          </w:p>
        </w:tc>
        <w:tc>
          <w:tcPr>
            <w:tcW w:w="1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B040F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  <w:tc>
          <w:tcPr>
            <w:tcW w:w="6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F5B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犍为文庙始建于北宋真宗大中祥符年间（1008-1016），地址位于今犍为县清溪镇沉犀村附近，距今已1009年。后因火灾和兵燹，多次焚毁而易地重建。今保护完好的文庙，建于明洪武四年（1371），距今已654年。最初修建目的是为了纪念孔子，因此命名为“犍为孔庙”。又因宋代沿袭“庙学合一”制度，“犍为孔庙”也兼做学宫，民国版《犍为县志·卷二·建置》载“堂前为学门，堂后为学署”，故也称“犍为文庙”。</w:t>
            </w:r>
          </w:p>
          <w:p w14:paraId="4FF34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犍为文庙由“犍为”和“文庙”两部分构成。犍为文庙一直位于犍为县内，故冠以“犍为”之名。“文庙”又称孔庙、学宫，是纪念孔子的庙宇，同时也具有教育职能。</w:t>
            </w: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8820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犍为县</w:t>
            </w:r>
          </w:p>
        </w:tc>
      </w:tr>
      <w:tr w14:paraId="68C5CC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13828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</w:rPr>
              <w:t>3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60DE4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val="en-US" w:eastAsia="zh-CN"/>
              </w:rPr>
              <w:t>909红色教育基地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9389F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</w:rPr>
              <w:t>地名文化遗产</w:t>
            </w: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66E17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红色地名</w:t>
            </w:r>
          </w:p>
        </w:tc>
        <w:tc>
          <w:tcPr>
            <w:tcW w:w="1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E41CB01"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420"/>
              <w:jc w:val="center"/>
              <w:rPr>
                <w:rFonts w:hint="eastAsia" w:ascii="仿宋_GB2312" w:hAnsi="仿宋_GB2312" w:eastAsia="仿宋_GB2312" w:cs="仿宋_GB2312"/>
                <w:color w:val="3E3E3E"/>
                <w:sz w:val="18"/>
                <w:szCs w:val="18"/>
              </w:rPr>
            </w:pPr>
          </w:p>
        </w:tc>
        <w:tc>
          <w:tcPr>
            <w:tcW w:w="6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ABA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九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〇九基地是中国第一代核潜艇陆上模式堆的研制基地的代号。“自强自立、求真务实、创新协同、拼搏奉献”的“○九精神”激励着一代代核动力人奋勇拼搏。如今，九〇九红色教育基地已成为一个爱国主义教育基地，展示了中国核潜艇技术的发展历程和科研人员的奋斗精神。</w:t>
            </w: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047A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夹江县</w:t>
            </w:r>
          </w:p>
        </w:tc>
      </w:tr>
      <w:tr w14:paraId="2DF306A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5" w:hRule="atLeast"/>
          <w:jc w:val="center"/>
        </w:trPr>
        <w:tc>
          <w:tcPr>
            <w:tcW w:w="9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C0CB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</w:rPr>
              <w:t>4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51820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永济桥</w:t>
            </w:r>
          </w:p>
        </w:tc>
        <w:tc>
          <w:tcPr>
            <w:tcW w:w="14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62846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</w:rPr>
              <w:t>地名文化遗产</w:t>
            </w:r>
          </w:p>
        </w:tc>
        <w:tc>
          <w:tcPr>
            <w:tcW w:w="14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BDBCF7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3E3E3E"/>
                <w:sz w:val="21"/>
                <w:szCs w:val="21"/>
                <w:lang w:eastAsia="zh-CN"/>
              </w:rPr>
              <w:t>古建筑和遗址遗迹</w:t>
            </w:r>
          </w:p>
        </w:tc>
        <w:tc>
          <w:tcPr>
            <w:tcW w:w="15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BFE922">
            <w:pPr>
              <w:keepNext w:val="0"/>
              <w:keepLines w:val="0"/>
              <w:widowControl/>
              <w:suppressLineNumbers w:val="0"/>
              <w:spacing w:line="345" w:lineRule="atLeast"/>
              <w:ind w:left="0" w:firstLine="420"/>
              <w:jc w:val="center"/>
              <w:rPr>
                <w:rFonts w:hint="eastAsia" w:ascii="仿宋_GB2312" w:hAnsi="仿宋_GB2312" w:eastAsia="仿宋_GB2312" w:cs="仿宋_GB2312"/>
                <w:color w:val="3E3E3E"/>
                <w:sz w:val="18"/>
                <w:szCs w:val="18"/>
              </w:rPr>
            </w:pPr>
          </w:p>
        </w:tc>
        <w:tc>
          <w:tcPr>
            <w:tcW w:w="63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DB6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据《屏山县志》记载：永济桥始建于清乾隆三十年（1765年），初为沟通乐山、犍为至宜宾、屏山等地的重要通道，桥上商贾络绎不绝，故取名“永济”，寓意“永远济世于人”。同治三年（1864年）被洪水冲毁后，光绪三年（1877年）由地方绅士刘忞修、杨九师、袁志遴等人募资重建。在2000年及2009年的维修工程中，相关部门对“永济桥”题字进行了专项保护，确认其字迹为清代原刻，并记录于《四川省文物保护单位档案》中。</w:t>
            </w:r>
          </w:p>
          <w:p w14:paraId="48C3C4E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right="0"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“永济”二字，“永”有长久、永恒之意，“济”有救济、帮助、渡水等含义，“永济”合起来就是希望这座桥能够长久地发挥作用，帮助人们顺利渡过河流，便利交通，使人们的出行和往来能够永远通畅无阻，也寄托着对当地经济社会长久发展、百姓生活安定和谐的祈愿。</w:t>
            </w:r>
          </w:p>
        </w:tc>
        <w:tc>
          <w:tcPr>
            <w:tcW w:w="17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0C86B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沐川县</w:t>
            </w:r>
          </w:p>
        </w:tc>
      </w:tr>
    </w:tbl>
    <w:p w14:paraId="64A145C1">
      <w:bookmarkStart w:id="9" w:name="_GoBack"/>
      <w:bookmarkEnd w:id="9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0B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203"/>
      <w:ind w:left="111"/>
    </w:pPr>
    <w:rPr>
      <w:rFonts w:ascii="仿宋_GB2312" w:hAnsi="仿宋_GB2312" w:eastAsia="仿宋_GB2312" w:cs="Times New Roman"/>
      <w:sz w:val="32"/>
      <w:szCs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2025-05-06T07:28:56Z</dcterms:created>
  <dc:creator>Administrator</dc:creator>
  <cp:lastModifiedBy>不吃鱼的猫</cp:lastModifiedBy>
  <dcterms:modified xsi:type="dcterms:W3CDTF">2025-05-06T07:29:03Z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0B941FD1BF3445BF8686B312AD1053E2_12</vt:lpwstr>
  </property>
</Properties>
</file>