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pPr>
    </w:p>
    <w:p>
      <w:pPr>
        <w:pStyle w:val="2"/>
        <w:ind w:firstLine="480"/>
        <w:rPr>
          <w:rFonts w:hint="default"/>
        </w:rPr>
      </w:pPr>
    </w:p>
    <w:p>
      <w:pPr>
        <w:pStyle w:val="2"/>
        <w:ind w:firstLine="480"/>
        <w:rPr>
          <w:rFonts w:hint="default"/>
        </w:rPr>
      </w:pPr>
    </w:p>
    <w:p>
      <w:pPr>
        <w:pStyle w:val="2"/>
        <w:ind w:firstLine="480"/>
        <w:rPr>
          <w:rFonts w:hint="default"/>
        </w:rPr>
      </w:pPr>
    </w:p>
    <w:tbl>
      <w:tblPr>
        <w:tblStyle w:val="88"/>
        <w:tblW w:w="8522"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8522" w:type="dxa"/>
          </w:tcPr>
          <w:p>
            <w:pPr>
              <w:jc w:val="center"/>
              <w:rPr>
                <w:b/>
                <w:sz w:val="48"/>
                <w:szCs w:val="48"/>
              </w:rPr>
            </w:pPr>
            <w:r>
              <w:rPr>
                <w:rFonts w:hint="eastAsia"/>
                <w:b/>
                <w:sz w:val="48"/>
                <w:szCs w:val="48"/>
              </w:rPr>
              <w:t>乐山正邦</w:t>
            </w:r>
            <w:r>
              <w:rPr>
                <w:b/>
                <w:sz w:val="48"/>
                <w:szCs w:val="48"/>
              </w:rPr>
              <w:t>养殖有限公司</w:t>
            </w:r>
          </w:p>
          <w:p>
            <w:pPr>
              <w:jc w:val="center"/>
              <w:rPr>
                <w:b/>
                <w:sz w:val="48"/>
                <w:szCs w:val="48"/>
              </w:rPr>
            </w:pPr>
            <w:r>
              <w:rPr>
                <w:rFonts w:hint="eastAsia"/>
                <w:b/>
                <w:sz w:val="48"/>
                <w:szCs w:val="48"/>
              </w:rPr>
              <w:t>井研县</w:t>
            </w:r>
            <w:r>
              <w:rPr>
                <w:b/>
                <w:sz w:val="48"/>
                <w:szCs w:val="48"/>
              </w:rPr>
              <w:t>高凤循环农业生态园生猪标准化</w:t>
            </w:r>
            <w:r>
              <w:rPr>
                <w:rFonts w:hint="eastAsia"/>
                <w:b/>
                <w:sz w:val="48"/>
                <w:szCs w:val="48"/>
              </w:rPr>
              <w:t>生态养殖园区</w:t>
            </w:r>
            <w:r>
              <w:rPr>
                <w:b/>
                <w:sz w:val="48"/>
                <w:szCs w:val="48"/>
              </w:rPr>
              <w:t>建设项目</w:t>
            </w:r>
          </w:p>
          <w:p>
            <w:pPr>
              <w:jc w:val="center"/>
              <w:rPr>
                <w:b/>
                <w:sz w:val="48"/>
                <w:szCs w:val="48"/>
              </w:rPr>
            </w:pP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PrEx>
        <w:tc>
          <w:tcPr>
            <w:tcW w:w="8522" w:type="dxa"/>
          </w:tcPr>
          <w:p>
            <w:pPr>
              <w:jc w:val="center"/>
              <w:rPr>
                <w:b/>
                <w:sz w:val="72"/>
                <w:szCs w:val="72"/>
              </w:rPr>
            </w:pPr>
            <w:r>
              <w:rPr>
                <w:b/>
                <w:sz w:val="72"/>
                <w:szCs w:val="72"/>
              </w:rPr>
              <w:t>环境影响报告书</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90" w:hRule="atLeast"/>
        </w:trPr>
        <w:tc>
          <w:tcPr>
            <w:tcW w:w="8522" w:type="dxa"/>
          </w:tcPr>
          <w:p>
            <w:pPr>
              <w:jc w:val="center"/>
              <w:rPr>
                <w:b/>
                <w:sz w:val="32"/>
                <w:szCs w:val="32"/>
              </w:rPr>
            </w:pPr>
            <w:r>
              <w:rPr>
                <w:b/>
                <w:sz w:val="32"/>
                <w:szCs w:val="32"/>
              </w:rPr>
              <w:t>（</w:t>
            </w:r>
            <w:r>
              <w:rPr>
                <w:rFonts w:hint="eastAsia"/>
                <w:b/>
                <w:sz w:val="32"/>
                <w:szCs w:val="32"/>
              </w:rPr>
              <w:t>送审稿</w:t>
            </w:r>
            <w:r>
              <w:rPr>
                <w:b/>
                <w:sz w:val="32"/>
                <w:szCs w:val="32"/>
              </w:rPr>
              <w:t>）</w:t>
            </w:r>
          </w:p>
        </w:tc>
      </w:tr>
    </w:tbl>
    <w:p>
      <w:pPr>
        <w:jc w:val="center"/>
      </w:pPr>
    </w:p>
    <w:p>
      <w:pPr>
        <w:jc w:val="center"/>
      </w:pPr>
    </w:p>
    <w:p>
      <w:pPr>
        <w:jc w:val="center"/>
      </w:pPr>
    </w:p>
    <w:p>
      <w:pPr>
        <w:jc w:val="center"/>
      </w:pPr>
    </w:p>
    <w:p>
      <w:pPr>
        <w:pStyle w:val="2"/>
        <w:ind w:firstLine="480"/>
        <w:rPr>
          <w:rFonts w:hint="default"/>
        </w:rPr>
      </w:pPr>
    </w:p>
    <w:p>
      <w:pPr>
        <w:jc w:val="center"/>
      </w:pPr>
    </w:p>
    <w:p>
      <w:pPr>
        <w:jc w:val="center"/>
      </w:pPr>
    </w:p>
    <w:p>
      <w:pPr>
        <w:jc w:val="center"/>
      </w:pPr>
    </w:p>
    <w:p>
      <w:pPr>
        <w:jc w:val="center"/>
      </w:pPr>
    </w:p>
    <w:p>
      <w:pPr>
        <w:jc w:val="center"/>
      </w:pPr>
    </w:p>
    <w:tbl>
      <w:tblPr>
        <w:tblStyle w:val="88"/>
        <w:tblW w:w="7054" w:type="dxa"/>
        <w:jc w:val="center"/>
        <w:tblLayout w:type="fixed"/>
        <w:tblCellMar>
          <w:top w:w="0" w:type="dxa"/>
          <w:left w:w="108" w:type="dxa"/>
          <w:bottom w:w="0" w:type="dxa"/>
          <w:right w:w="108" w:type="dxa"/>
        </w:tblCellMar>
      </w:tblPr>
      <w:tblGrid>
        <w:gridCol w:w="1977"/>
        <w:gridCol w:w="5077"/>
      </w:tblGrid>
      <w:tr>
        <w:tblPrEx>
          <w:tblCellMar>
            <w:top w:w="0" w:type="dxa"/>
            <w:left w:w="108" w:type="dxa"/>
            <w:bottom w:w="0" w:type="dxa"/>
            <w:right w:w="108" w:type="dxa"/>
          </w:tblCellMar>
        </w:tblPrEx>
        <w:trPr>
          <w:trHeight w:val="567" w:hRule="exact"/>
          <w:jc w:val="center"/>
        </w:trPr>
        <w:tc>
          <w:tcPr>
            <w:tcW w:w="1977" w:type="dxa"/>
            <w:vAlign w:val="center"/>
          </w:tcPr>
          <w:p>
            <w:pPr>
              <w:jc w:val="left"/>
              <w:rPr>
                <w:b/>
                <w:sz w:val="28"/>
                <w:szCs w:val="28"/>
              </w:rPr>
            </w:pPr>
            <w:r>
              <w:rPr>
                <w:b/>
                <w:sz w:val="28"/>
                <w:szCs w:val="28"/>
              </w:rPr>
              <w:t>建设单位：</w:t>
            </w:r>
          </w:p>
        </w:tc>
        <w:tc>
          <w:tcPr>
            <w:tcW w:w="5077" w:type="dxa"/>
            <w:vAlign w:val="center"/>
          </w:tcPr>
          <w:p>
            <w:pPr>
              <w:jc w:val="left"/>
              <w:rPr>
                <w:b/>
                <w:sz w:val="28"/>
                <w:szCs w:val="28"/>
              </w:rPr>
            </w:pPr>
            <w:r>
              <w:rPr>
                <w:rFonts w:hint="eastAsia"/>
                <w:b/>
                <w:sz w:val="28"/>
                <w:szCs w:val="28"/>
              </w:rPr>
              <w:t>乐山正邦</w:t>
            </w:r>
            <w:r>
              <w:rPr>
                <w:b/>
                <w:sz w:val="28"/>
                <w:szCs w:val="28"/>
              </w:rPr>
              <w:t>养殖有限公司</w:t>
            </w:r>
          </w:p>
        </w:tc>
      </w:tr>
      <w:tr>
        <w:tblPrEx>
          <w:tblCellMar>
            <w:top w:w="0" w:type="dxa"/>
            <w:left w:w="108" w:type="dxa"/>
            <w:bottom w:w="0" w:type="dxa"/>
            <w:right w:w="108" w:type="dxa"/>
          </w:tblCellMar>
        </w:tblPrEx>
        <w:trPr>
          <w:trHeight w:val="567" w:hRule="exact"/>
          <w:jc w:val="center"/>
        </w:trPr>
        <w:tc>
          <w:tcPr>
            <w:tcW w:w="1977" w:type="dxa"/>
            <w:vAlign w:val="center"/>
          </w:tcPr>
          <w:p>
            <w:pPr>
              <w:jc w:val="left"/>
              <w:rPr>
                <w:b/>
                <w:sz w:val="28"/>
                <w:szCs w:val="28"/>
              </w:rPr>
            </w:pPr>
            <w:r>
              <w:rPr>
                <w:b/>
                <w:sz w:val="28"/>
                <w:szCs w:val="28"/>
              </w:rPr>
              <w:t>编制单位：</w:t>
            </w:r>
          </w:p>
        </w:tc>
        <w:tc>
          <w:tcPr>
            <w:tcW w:w="5077" w:type="dxa"/>
            <w:vAlign w:val="center"/>
          </w:tcPr>
          <w:p>
            <w:pPr>
              <w:jc w:val="left"/>
              <w:rPr>
                <w:b/>
                <w:sz w:val="28"/>
                <w:szCs w:val="28"/>
              </w:rPr>
            </w:pPr>
            <w:r>
              <w:rPr>
                <w:b/>
                <w:sz w:val="28"/>
                <w:szCs w:val="28"/>
              </w:rPr>
              <w:t>宁夏智诚安环技术咨询有限公司</w:t>
            </w:r>
          </w:p>
        </w:tc>
      </w:tr>
      <w:tr>
        <w:tblPrEx>
          <w:tblCellMar>
            <w:top w:w="0" w:type="dxa"/>
            <w:left w:w="108" w:type="dxa"/>
            <w:bottom w:w="0" w:type="dxa"/>
            <w:right w:w="108" w:type="dxa"/>
          </w:tblCellMar>
        </w:tblPrEx>
        <w:trPr>
          <w:trHeight w:val="567" w:hRule="exact"/>
          <w:jc w:val="center"/>
        </w:trPr>
        <w:tc>
          <w:tcPr>
            <w:tcW w:w="7054" w:type="dxa"/>
            <w:gridSpan w:val="2"/>
            <w:vAlign w:val="center"/>
          </w:tcPr>
          <w:p>
            <w:pPr>
              <w:jc w:val="center"/>
              <w:rPr>
                <w:b/>
                <w:sz w:val="28"/>
                <w:szCs w:val="28"/>
              </w:rPr>
            </w:pPr>
            <w:r>
              <w:rPr>
                <w:rFonts w:hint="eastAsia"/>
                <w:b/>
                <w:sz w:val="28"/>
                <w:szCs w:val="28"/>
              </w:rPr>
              <w:t>2020</w:t>
            </w:r>
            <w:r>
              <w:rPr>
                <w:b/>
                <w:sz w:val="28"/>
                <w:szCs w:val="28"/>
              </w:rPr>
              <w:t>年</w:t>
            </w:r>
            <w:r>
              <w:rPr>
                <w:rFonts w:hint="eastAsia"/>
                <w:b/>
                <w:sz w:val="28"/>
                <w:szCs w:val="28"/>
              </w:rPr>
              <w:t>3</w:t>
            </w:r>
            <w:r>
              <w:rPr>
                <w:b/>
                <w:sz w:val="28"/>
                <w:szCs w:val="28"/>
              </w:rPr>
              <w:t>月</w:t>
            </w:r>
          </w:p>
        </w:tc>
      </w:tr>
    </w:tbl>
    <w:p>
      <w:pPr>
        <w:rPr>
          <w:sz w:val="36"/>
          <w:szCs w:val="36"/>
        </w:rPr>
        <w:sectPr>
          <w:headerReference r:id="rId3" w:type="default"/>
          <w:footerReference r:id="rId4" w:type="default"/>
          <w:pgSz w:w="11906" w:h="16838"/>
          <w:pgMar w:top="1440" w:right="1701" w:bottom="1440" w:left="1701" w:header="851" w:footer="992" w:gutter="0"/>
          <w:pgNumType w:fmt="upperRoman" w:start="1"/>
          <w:cols w:space="720" w:num="1"/>
          <w:titlePg/>
          <w:docGrid w:type="lines" w:linePitch="312" w:charSpace="0"/>
        </w:sectPr>
      </w:pPr>
    </w:p>
    <w:p>
      <w:pPr>
        <w:spacing w:line="240" w:lineRule="auto"/>
        <w:jc w:val="center"/>
        <w:rPr>
          <w:rFonts w:eastAsia="黑体"/>
          <w:b/>
          <w:sz w:val="28"/>
          <w:szCs w:val="28"/>
        </w:rPr>
      </w:pPr>
      <w:r>
        <w:rPr>
          <w:rFonts w:eastAsia="黑体"/>
          <w:b/>
          <w:sz w:val="28"/>
          <w:szCs w:val="28"/>
        </w:rPr>
        <w:t>目    录</w:t>
      </w:r>
    </w:p>
    <w:p>
      <w:pPr>
        <w:spacing w:line="240" w:lineRule="auto"/>
        <w:jc w:val="center"/>
        <w:rPr>
          <w:rFonts w:eastAsia="黑体"/>
          <w:b/>
          <w:sz w:val="28"/>
          <w:szCs w:val="28"/>
        </w:rPr>
      </w:pPr>
    </w:p>
    <w:p>
      <w:pPr>
        <w:pStyle w:val="60"/>
        <w:tabs>
          <w:tab w:val="left" w:pos="480"/>
          <w:tab w:val="right" w:leader="dot" w:pos="9061"/>
        </w:tabs>
        <w:snapToGrid w:val="0"/>
        <w:spacing w:line="360" w:lineRule="auto"/>
        <w:rPr>
          <w:rFonts w:eastAsia="宋体"/>
          <w:b w:val="0"/>
          <w:bCs w:val="0"/>
          <w:caps w:val="0"/>
          <w:sz w:val="24"/>
          <w:szCs w:val="24"/>
        </w:rPr>
      </w:pPr>
      <w:r>
        <w:rPr>
          <w:rFonts w:eastAsia="宋体"/>
          <w:b w:val="0"/>
          <w:bCs w:val="0"/>
          <w:sz w:val="24"/>
          <w:szCs w:val="24"/>
        </w:rPr>
        <w:fldChar w:fldCharType="begin"/>
      </w:r>
      <w:r>
        <w:rPr>
          <w:rFonts w:eastAsia="宋体"/>
          <w:b w:val="0"/>
          <w:bCs w:val="0"/>
          <w:sz w:val="24"/>
          <w:szCs w:val="24"/>
        </w:rPr>
        <w:instrText xml:space="preserve"> TOC \o "1-2" \h \z \u </w:instrText>
      </w:r>
      <w:r>
        <w:rPr>
          <w:rFonts w:eastAsia="宋体"/>
          <w:b w:val="0"/>
          <w:bCs w:val="0"/>
          <w:sz w:val="24"/>
          <w:szCs w:val="24"/>
        </w:rPr>
        <w:fldChar w:fldCharType="separate"/>
      </w:r>
      <w:r>
        <w:fldChar w:fldCharType="begin"/>
      </w:r>
      <w:r>
        <w:instrText xml:space="preserve"> HYPERLINK \l "_Toc29110544" </w:instrText>
      </w:r>
      <w:r>
        <w:fldChar w:fldCharType="separate"/>
      </w:r>
      <w:r>
        <w:rPr>
          <w:rStyle w:val="143"/>
          <w:kern w:val="44"/>
          <w:sz w:val="24"/>
          <w:szCs w:val="24"/>
        </w:rPr>
        <w:t>1</w:t>
      </w:r>
      <w:r>
        <w:rPr>
          <w:rFonts w:eastAsia="宋体"/>
          <w:b w:val="0"/>
          <w:bCs w:val="0"/>
          <w:caps w:val="0"/>
          <w:sz w:val="24"/>
          <w:szCs w:val="24"/>
        </w:rPr>
        <w:tab/>
      </w:r>
      <w:r>
        <w:rPr>
          <w:rStyle w:val="143"/>
          <w:kern w:val="44"/>
          <w:sz w:val="24"/>
          <w:szCs w:val="24"/>
        </w:rPr>
        <w:t>概述</w:t>
      </w:r>
      <w:r>
        <w:rPr>
          <w:rFonts w:eastAsia="宋体"/>
          <w:sz w:val="24"/>
          <w:szCs w:val="24"/>
        </w:rPr>
        <w:tab/>
      </w:r>
      <w:r>
        <w:rPr>
          <w:rFonts w:eastAsia="宋体"/>
          <w:sz w:val="24"/>
          <w:szCs w:val="24"/>
        </w:rPr>
        <w:fldChar w:fldCharType="begin"/>
      </w:r>
      <w:r>
        <w:rPr>
          <w:rFonts w:eastAsia="宋体"/>
          <w:sz w:val="24"/>
          <w:szCs w:val="24"/>
        </w:rPr>
        <w:instrText xml:space="preserve"> PAGEREF _Toc29110544 \h </w:instrText>
      </w:r>
      <w:r>
        <w:rPr>
          <w:rFonts w:eastAsia="宋体"/>
          <w:sz w:val="24"/>
          <w:szCs w:val="24"/>
        </w:rPr>
        <w:fldChar w:fldCharType="separate"/>
      </w:r>
      <w:r>
        <w:rPr>
          <w:rFonts w:eastAsia="宋体"/>
          <w:sz w:val="24"/>
          <w:szCs w:val="24"/>
        </w:rPr>
        <w:t>6</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"_Toc29110545" </w:instrText>
      </w:r>
      <w:r>
        <w:fldChar w:fldCharType="separate"/>
      </w:r>
      <w:r>
        <w:rPr>
          <w:rStyle w:val="143"/>
          <w:bCs/>
          <w:spacing w:val="4"/>
          <w:szCs w:val="24"/>
        </w:rPr>
        <w:t>1.1 项目由来</w:t>
      </w:r>
      <w:r>
        <w:rPr>
          <w:szCs w:val="24"/>
        </w:rPr>
        <w:tab/>
      </w:r>
      <w:r>
        <w:rPr>
          <w:szCs w:val="24"/>
        </w:rPr>
        <w:fldChar w:fldCharType="begin"/>
      </w:r>
      <w:r>
        <w:rPr>
          <w:szCs w:val="24"/>
        </w:rPr>
        <w:instrText xml:space="preserve"> PAGEREF _Toc29110545 \h </w:instrText>
      </w:r>
      <w:r>
        <w:rPr>
          <w:szCs w:val="24"/>
        </w:rPr>
        <w:fldChar w:fldCharType="separate"/>
      </w:r>
      <w:r>
        <w:rPr>
          <w:szCs w:val="24"/>
        </w:rPr>
        <w:t>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"_Toc29110546" </w:instrText>
      </w:r>
      <w:r>
        <w:fldChar w:fldCharType="separate"/>
      </w:r>
      <w:r>
        <w:rPr>
          <w:rStyle w:val="143"/>
          <w:bCs/>
          <w:spacing w:val="4"/>
          <w:szCs w:val="24"/>
        </w:rPr>
        <w:t>1.2 项目特点</w:t>
      </w:r>
      <w:r>
        <w:rPr>
          <w:szCs w:val="24"/>
        </w:rPr>
        <w:tab/>
      </w:r>
      <w:r>
        <w:rPr>
          <w:szCs w:val="24"/>
        </w:rPr>
        <w:fldChar w:fldCharType="begin"/>
      </w:r>
      <w:r>
        <w:rPr>
          <w:szCs w:val="24"/>
        </w:rPr>
        <w:instrText xml:space="preserve"> PAGEREF _Toc29110546 \h </w:instrText>
      </w:r>
      <w:r>
        <w:rPr>
          <w:szCs w:val="24"/>
        </w:rPr>
        <w:fldChar w:fldCharType="separate"/>
      </w:r>
      <w:r>
        <w:rPr>
          <w:szCs w:val="24"/>
        </w:rPr>
        <w:t>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"_Toc29110547" </w:instrText>
      </w:r>
      <w:r>
        <w:fldChar w:fldCharType="separate"/>
      </w:r>
      <w:r>
        <w:rPr>
          <w:rStyle w:val="143"/>
          <w:bCs/>
          <w:spacing w:val="4"/>
          <w:szCs w:val="24"/>
        </w:rPr>
        <w:t>1.3 环境影响评价的工作过程</w:t>
      </w:r>
      <w:r>
        <w:rPr>
          <w:szCs w:val="24"/>
        </w:rPr>
        <w:tab/>
      </w:r>
      <w:r>
        <w:rPr>
          <w:szCs w:val="24"/>
        </w:rPr>
        <w:fldChar w:fldCharType="begin"/>
      </w:r>
      <w:r>
        <w:rPr>
          <w:szCs w:val="24"/>
        </w:rPr>
        <w:instrText xml:space="preserve"> PAGEREF _Toc29110547 \h </w:instrText>
      </w:r>
      <w:r>
        <w:rPr>
          <w:szCs w:val="24"/>
        </w:rPr>
        <w:fldChar w:fldCharType="separate"/>
      </w:r>
      <w:r>
        <w:rPr>
          <w:szCs w:val="24"/>
        </w:rPr>
        <w:t>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"_Toc29110548" </w:instrText>
      </w:r>
      <w:r>
        <w:fldChar w:fldCharType="separate"/>
      </w:r>
      <w:r>
        <w:rPr>
          <w:rStyle w:val="143"/>
          <w:bCs/>
          <w:spacing w:val="4"/>
          <w:szCs w:val="24"/>
        </w:rPr>
        <w:t>1.4 评价关注的主要环境问题及环境影响</w:t>
      </w:r>
      <w:r>
        <w:rPr>
          <w:szCs w:val="24"/>
        </w:rPr>
        <w:tab/>
      </w:r>
      <w:r>
        <w:rPr>
          <w:szCs w:val="24"/>
        </w:rPr>
        <w:fldChar w:fldCharType="begin"/>
      </w:r>
      <w:r>
        <w:rPr>
          <w:szCs w:val="24"/>
        </w:rPr>
        <w:instrText xml:space="preserve"> PAGEREF _Toc29110548 \h </w:instrText>
      </w:r>
      <w:r>
        <w:rPr>
          <w:szCs w:val="24"/>
        </w:rPr>
        <w:fldChar w:fldCharType="separate"/>
      </w:r>
      <w:r>
        <w:rPr>
          <w:szCs w:val="24"/>
        </w:rPr>
        <w:t>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"_Toc29110549" </w:instrText>
      </w:r>
      <w:r>
        <w:fldChar w:fldCharType="separate"/>
      </w:r>
      <w:r>
        <w:rPr>
          <w:rStyle w:val="143"/>
          <w:bCs/>
          <w:spacing w:val="4"/>
          <w:szCs w:val="24"/>
        </w:rPr>
        <w:t>1.5 报告书主要结论</w:t>
      </w:r>
      <w:r>
        <w:rPr>
          <w:szCs w:val="24"/>
        </w:rPr>
        <w:tab/>
      </w:r>
      <w:r>
        <w:rPr>
          <w:szCs w:val="24"/>
        </w:rPr>
        <w:fldChar w:fldCharType="begin"/>
      </w:r>
      <w:r>
        <w:rPr>
          <w:szCs w:val="24"/>
        </w:rPr>
        <w:instrText xml:space="preserve"> PAGEREF _Toc29110549 \h </w:instrText>
      </w:r>
      <w:r>
        <w:rPr>
          <w:szCs w:val="24"/>
        </w:rPr>
        <w:fldChar w:fldCharType="separate"/>
      </w:r>
      <w:r>
        <w:rPr>
          <w:szCs w:val="24"/>
        </w:rPr>
        <w:t>9</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"_Toc29110550" </w:instrText>
      </w:r>
      <w:r>
        <w:fldChar w:fldCharType="separate"/>
      </w:r>
      <w:r>
        <w:rPr>
          <w:rStyle w:val="143"/>
          <w:kern w:val="44"/>
          <w:sz w:val="24"/>
          <w:szCs w:val="24"/>
        </w:rPr>
        <w:t>2</w:t>
      </w:r>
      <w:r>
        <w:rPr>
          <w:rFonts w:eastAsia="宋体"/>
          <w:b w:val="0"/>
          <w:bCs w:val="0"/>
          <w:caps w:val="0"/>
          <w:sz w:val="24"/>
          <w:szCs w:val="24"/>
        </w:rPr>
        <w:tab/>
      </w:r>
      <w:r>
        <w:rPr>
          <w:rStyle w:val="143"/>
          <w:kern w:val="44"/>
          <w:sz w:val="24"/>
          <w:szCs w:val="24"/>
        </w:rPr>
        <w:t>总则</w:t>
      </w:r>
      <w:r>
        <w:rPr>
          <w:rFonts w:eastAsia="宋体"/>
          <w:sz w:val="24"/>
          <w:szCs w:val="24"/>
        </w:rPr>
        <w:tab/>
      </w:r>
      <w:r>
        <w:rPr>
          <w:rFonts w:eastAsia="宋体"/>
          <w:sz w:val="24"/>
          <w:szCs w:val="24"/>
        </w:rPr>
        <w:fldChar w:fldCharType="begin"/>
      </w:r>
      <w:r>
        <w:rPr>
          <w:rFonts w:eastAsia="宋体"/>
          <w:sz w:val="24"/>
          <w:szCs w:val="24"/>
        </w:rPr>
        <w:instrText xml:space="preserve"> PAGEREF _Toc29110550 \h </w:instrText>
      </w:r>
      <w:r>
        <w:rPr>
          <w:rFonts w:eastAsia="宋体"/>
          <w:sz w:val="24"/>
          <w:szCs w:val="24"/>
        </w:rPr>
        <w:fldChar w:fldCharType="separate"/>
      </w:r>
      <w:r>
        <w:rPr>
          <w:rFonts w:eastAsia="宋体"/>
          <w:sz w:val="24"/>
          <w:szCs w:val="24"/>
        </w:rPr>
        <w:t>10</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"_Toc29110551" </w:instrText>
      </w:r>
      <w:r>
        <w:fldChar w:fldCharType="separate"/>
      </w:r>
      <w:r>
        <w:rPr>
          <w:rStyle w:val="143"/>
          <w:bCs/>
          <w:spacing w:val="4"/>
          <w:szCs w:val="24"/>
        </w:rPr>
        <w:t>2.1编制依据</w:t>
      </w:r>
      <w:r>
        <w:rPr>
          <w:szCs w:val="24"/>
        </w:rPr>
        <w:tab/>
      </w:r>
      <w:r>
        <w:rPr>
          <w:szCs w:val="24"/>
        </w:rPr>
        <w:fldChar w:fldCharType="begin"/>
      </w:r>
      <w:r>
        <w:rPr>
          <w:szCs w:val="24"/>
        </w:rPr>
        <w:instrText xml:space="preserve"> PAGEREF _Toc29110551 \h </w:instrText>
      </w:r>
      <w:r>
        <w:rPr>
          <w:szCs w:val="24"/>
        </w:rPr>
        <w:fldChar w:fldCharType="separate"/>
      </w:r>
      <w:r>
        <w:rPr>
          <w:szCs w:val="24"/>
        </w:rPr>
        <w:t>10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"_Toc29110552" </w:instrText>
      </w:r>
      <w:r>
        <w:fldChar w:fldCharType="separate"/>
      </w:r>
      <w:r>
        <w:rPr>
          <w:rStyle w:val="143"/>
          <w:spacing w:val="4"/>
          <w:szCs w:val="24"/>
        </w:rPr>
        <w:t>2.2 评价目的与工作原则</w:t>
      </w:r>
      <w:r>
        <w:rPr>
          <w:szCs w:val="24"/>
        </w:rPr>
        <w:tab/>
      </w:r>
      <w:r>
        <w:rPr>
          <w:szCs w:val="24"/>
        </w:rPr>
        <w:fldChar w:fldCharType="begin"/>
      </w:r>
      <w:r>
        <w:rPr>
          <w:szCs w:val="24"/>
        </w:rPr>
        <w:instrText xml:space="preserve"> PAGEREF _Toc29110552 \h </w:instrText>
      </w:r>
      <w:r>
        <w:rPr>
          <w:szCs w:val="24"/>
        </w:rPr>
        <w:fldChar w:fldCharType="separate"/>
      </w:r>
      <w:r>
        <w:rPr>
          <w:szCs w:val="24"/>
        </w:rPr>
        <w:t>12</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"_Toc29110553" </w:instrText>
      </w:r>
      <w:r>
        <w:fldChar w:fldCharType="separate"/>
      </w:r>
      <w:r>
        <w:rPr>
          <w:rStyle w:val="143"/>
          <w:bCs/>
          <w:spacing w:val="4"/>
          <w:szCs w:val="24"/>
        </w:rPr>
        <w:t>2.3产业政策符合性分析</w:t>
      </w:r>
      <w:r>
        <w:rPr>
          <w:szCs w:val="24"/>
        </w:rPr>
        <w:tab/>
      </w:r>
      <w:r>
        <w:rPr>
          <w:szCs w:val="24"/>
        </w:rPr>
        <w:fldChar w:fldCharType="begin"/>
      </w:r>
      <w:r>
        <w:rPr>
          <w:szCs w:val="24"/>
        </w:rPr>
        <w:instrText xml:space="preserve"> PAGEREF _Toc29110553 \h </w:instrText>
      </w:r>
      <w:r>
        <w:rPr>
          <w:szCs w:val="24"/>
        </w:rPr>
        <w:fldChar w:fldCharType="separate"/>
      </w:r>
      <w:r>
        <w:rPr>
          <w:szCs w:val="24"/>
        </w:rPr>
        <w:t>14</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"_Toc29110554" </w:instrText>
      </w:r>
      <w:r>
        <w:fldChar w:fldCharType="separate"/>
      </w:r>
      <w:r>
        <w:rPr>
          <w:rStyle w:val="143"/>
          <w:bCs/>
          <w:spacing w:val="4"/>
          <w:szCs w:val="24"/>
        </w:rPr>
        <w:t>2.4 项目选址与相关规范、规划的符合性分析</w:t>
      </w:r>
      <w:r>
        <w:rPr>
          <w:szCs w:val="24"/>
        </w:rPr>
        <w:tab/>
      </w:r>
      <w:r>
        <w:rPr>
          <w:szCs w:val="24"/>
        </w:rPr>
        <w:fldChar w:fldCharType="begin"/>
      </w:r>
      <w:r>
        <w:rPr>
          <w:szCs w:val="24"/>
        </w:rPr>
        <w:instrText xml:space="preserve"> PAGEREF _Toc29110554 \h </w:instrText>
      </w:r>
      <w:r>
        <w:rPr>
          <w:szCs w:val="24"/>
        </w:rPr>
        <w:fldChar w:fldCharType="separate"/>
      </w:r>
      <w:r>
        <w:rPr>
          <w:szCs w:val="24"/>
        </w:rPr>
        <w:t>14</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"_Toc29110555" </w:instrText>
      </w:r>
      <w:r>
        <w:fldChar w:fldCharType="separate"/>
      </w:r>
      <w:r>
        <w:rPr>
          <w:rStyle w:val="143"/>
          <w:bCs/>
          <w:spacing w:val="4"/>
          <w:szCs w:val="24"/>
        </w:rPr>
        <w:t>2.5项目建设与“三线一单”符合性分析</w:t>
      </w:r>
      <w:r>
        <w:rPr>
          <w:szCs w:val="24"/>
        </w:rPr>
        <w:tab/>
      </w:r>
      <w:r>
        <w:rPr>
          <w:szCs w:val="24"/>
        </w:rPr>
        <w:fldChar w:fldCharType="begin"/>
      </w:r>
      <w:r>
        <w:rPr>
          <w:szCs w:val="24"/>
        </w:rPr>
        <w:instrText xml:space="preserve"> PAGEREF _Toc29110555 \h </w:instrText>
      </w:r>
      <w:r>
        <w:rPr>
          <w:szCs w:val="24"/>
        </w:rPr>
        <w:fldChar w:fldCharType="separate"/>
      </w:r>
      <w:r>
        <w:rPr>
          <w:szCs w:val="24"/>
        </w:rPr>
        <w:t>19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"_Toc29110556" </w:instrText>
      </w:r>
      <w:r>
        <w:fldChar w:fldCharType="separate"/>
      </w:r>
      <w:r>
        <w:rPr>
          <w:rStyle w:val="143"/>
          <w:bCs/>
          <w:spacing w:val="4"/>
          <w:szCs w:val="24"/>
        </w:rPr>
        <w:t>2.6 选址合理性分析</w:t>
      </w:r>
      <w:r>
        <w:rPr>
          <w:szCs w:val="24"/>
        </w:rPr>
        <w:tab/>
      </w:r>
      <w:r>
        <w:rPr>
          <w:szCs w:val="24"/>
        </w:rPr>
        <w:fldChar w:fldCharType="begin"/>
      </w:r>
      <w:r>
        <w:rPr>
          <w:szCs w:val="24"/>
        </w:rPr>
        <w:instrText xml:space="preserve"> PAGEREF _Toc29110556 \h </w:instrText>
      </w:r>
      <w:r>
        <w:rPr>
          <w:szCs w:val="24"/>
        </w:rPr>
        <w:fldChar w:fldCharType="separate"/>
      </w:r>
      <w:r>
        <w:rPr>
          <w:szCs w:val="24"/>
        </w:rPr>
        <w:t>20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"_Toc29110557" </w:instrText>
      </w:r>
      <w:r>
        <w:fldChar w:fldCharType="separate"/>
      </w:r>
      <w:r>
        <w:rPr>
          <w:rStyle w:val="143"/>
          <w:bCs/>
          <w:spacing w:val="4"/>
          <w:szCs w:val="24"/>
        </w:rPr>
        <w:t>2.7 污染控制与环境保护目标</w:t>
      </w:r>
      <w:r>
        <w:rPr>
          <w:szCs w:val="24"/>
        </w:rPr>
        <w:tab/>
      </w:r>
      <w:r>
        <w:rPr>
          <w:szCs w:val="24"/>
        </w:rPr>
        <w:fldChar w:fldCharType="begin"/>
      </w:r>
      <w:r>
        <w:rPr>
          <w:szCs w:val="24"/>
        </w:rPr>
        <w:instrText xml:space="preserve"> PAGEREF _Toc29110557 \h </w:instrText>
      </w:r>
      <w:r>
        <w:rPr>
          <w:szCs w:val="24"/>
        </w:rPr>
        <w:fldChar w:fldCharType="separate"/>
      </w:r>
      <w:r>
        <w:rPr>
          <w:szCs w:val="24"/>
        </w:rPr>
        <w:t>23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"_Toc29110558" </w:instrText>
      </w:r>
      <w:r>
        <w:fldChar w:fldCharType="separate"/>
      </w:r>
      <w:r>
        <w:rPr>
          <w:rStyle w:val="143"/>
          <w:bCs/>
          <w:spacing w:val="4"/>
          <w:szCs w:val="24"/>
        </w:rPr>
        <w:t>2.8评价标准</w:t>
      </w:r>
      <w:r>
        <w:rPr>
          <w:szCs w:val="24"/>
        </w:rPr>
        <w:tab/>
      </w:r>
      <w:r>
        <w:rPr>
          <w:szCs w:val="24"/>
        </w:rPr>
        <w:fldChar w:fldCharType="begin"/>
      </w:r>
      <w:r>
        <w:rPr>
          <w:szCs w:val="24"/>
        </w:rPr>
        <w:instrText xml:space="preserve"> PAGEREF _Toc29110558 \h </w:instrText>
      </w:r>
      <w:r>
        <w:rPr>
          <w:szCs w:val="24"/>
        </w:rPr>
        <w:fldChar w:fldCharType="separate"/>
      </w:r>
      <w:r>
        <w:rPr>
          <w:szCs w:val="24"/>
        </w:rPr>
        <w:t>26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"_Toc29110559" </w:instrText>
      </w:r>
      <w:r>
        <w:fldChar w:fldCharType="separate"/>
      </w:r>
      <w:r>
        <w:rPr>
          <w:rStyle w:val="143"/>
          <w:bCs/>
          <w:spacing w:val="4"/>
          <w:szCs w:val="24"/>
        </w:rPr>
        <w:t>2.9 评价内容及评价重点</w:t>
      </w:r>
      <w:r>
        <w:rPr>
          <w:szCs w:val="24"/>
        </w:rPr>
        <w:tab/>
      </w:r>
      <w:r>
        <w:rPr>
          <w:szCs w:val="24"/>
        </w:rPr>
        <w:fldChar w:fldCharType="begin"/>
      </w:r>
      <w:r>
        <w:rPr>
          <w:szCs w:val="24"/>
        </w:rPr>
        <w:instrText xml:space="preserve"> PAGEREF _Toc29110559 \h </w:instrText>
      </w:r>
      <w:r>
        <w:rPr>
          <w:szCs w:val="24"/>
        </w:rPr>
        <w:fldChar w:fldCharType="separate"/>
      </w:r>
      <w:r>
        <w:rPr>
          <w:szCs w:val="24"/>
        </w:rPr>
        <w:t>28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"_Toc29110560" </w:instrText>
      </w:r>
      <w:r>
        <w:fldChar w:fldCharType="separate"/>
      </w:r>
      <w:r>
        <w:rPr>
          <w:rStyle w:val="143"/>
          <w:bCs/>
          <w:spacing w:val="4"/>
          <w:szCs w:val="24"/>
        </w:rPr>
        <w:t>2.10评价因子</w:t>
      </w:r>
      <w:r>
        <w:rPr>
          <w:szCs w:val="24"/>
        </w:rPr>
        <w:tab/>
      </w:r>
      <w:r>
        <w:rPr>
          <w:szCs w:val="24"/>
        </w:rPr>
        <w:fldChar w:fldCharType="begin"/>
      </w:r>
      <w:r>
        <w:rPr>
          <w:szCs w:val="24"/>
        </w:rPr>
        <w:instrText xml:space="preserve"> PAGEREF _Toc29110560 \h </w:instrText>
      </w:r>
      <w:r>
        <w:rPr>
          <w:szCs w:val="24"/>
        </w:rPr>
        <w:fldChar w:fldCharType="separate"/>
      </w:r>
      <w:r>
        <w:rPr>
          <w:szCs w:val="24"/>
        </w:rPr>
        <w:t>28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"_Toc29110561" </w:instrText>
      </w:r>
      <w:r>
        <w:fldChar w:fldCharType="separate"/>
      </w:r>
      <w:r>
        <w:rPr>
          <w:rStyle w:val="143"/>
          <w:bCs/>
          <w:spacing w:val="4"/>
          <w:szCs w:val="24"/>
        </w:rPr>
        <w:t>2.11评价工作等级</w:t>
      </w:r>
      <w:r>
        <w:rPr>
          <w:szCs w:val="24"/>
        </w:rPr>
        <w:tab/>
      </w:r>
      <w:r>
        <w:rPr>
          <w:szCs w:val="24"/>
        </w:rPr>
        <w:fldChar w:fldCharType="begin"/>
      </w:r>
      <w:r>
        <w:rPr>
          <w:szCs w:val="24"/>
        </w:rPr>
        <w:instrText xml:space="preserve"> PAGEREF _Toc29110561 \h </w:instrText>
      </w:r>
      <w:r>
        <w:rPr>
          <w:szCs w:val="24"/>
        </w:rPr>
        <w:fldChar w:fldCharType="separate"/>
      </w:r>
      <w:r>
        <w:rPr>
          <w:szCs w:val="24"/>
        </w:rPr>
        <w:t>29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"_Toc29110562" </w:instrText>
      </w:r>
      <w:r>
        <w:fldChar w:fldCharType="separate"/>
      </w:r>
      <w:r>
        <w:rPr>
          <w:rStyle w:val="143"/>
          <w:bCs/>
          <w:spacing w:val="4"/>
          <w:szCs w:val="24"/>
        </w:rPr>
        <w:t>2.12评价范围</w:t>
      </w:r>
      <w:r>
        <w:rPr>
          <w:szCs w:val="24"/>
        </w:rPr>
        <w:tab/>
      </w:r>
      <w:r>
        <w:rPr>
          <w:szCs w:val="24"/>
        </w:rPr>
        <w:fldChar w:fldCharType="begin"/>
      </w:r>
      <w:r>
        <w:rPr>
          <w:szCs w:val="24"/>
        </w:rPr>
        <w:instrText xml:space="preserve"> PAGEREF _Toc29110562 \h </w:instrText>
      </w:r>
      <w:r>
        <w:rPr>
          <w:szCs w:val="24"/>
        </w:rPr>
        <w:fldChar w:fldCharType="separate"/>
      </w:r>
      <w:r>
        <w:rPr>
          <w:szCs w:val="24"/>
        </w:rPr>
        <w:t>35</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"_Toc29110563" </w:instrText>
      </w:r>
      <w:r>
        <w:fldChar w:fldCharType="separate"/>
      </w:r>
      <w:r>
        <w:rPr>
          <w:rStyle w:val="143"/>
          <w:kern w:val="44"/>
          <w:sz w:val="24"/>
          <w:szCs w:val="24"/>
        </w:rPr>
        <w:t>3</w:t>
      </w:r>
      <w:r>
        <w:rPr>
          <w:rFonts w:eastAsia="宋体"/>
          <w:b w:val="0"/>
          <w:bCs w:val="0"/>
          <w:caps w:val="0"/>
          <w:sz w:val="24"/>
          <w:szCs w:val="24"/>
        </w:rPr>
        <w:tab/>
      </w:r>
      <w:r>
        <w:rPr>
          <w:rStyle w:val="143"/>
          <w:kern w:val="44"/>
          <w:sz w:val="24"/>
          <w:szCs w:val="24"/>
        </w:rPr>
        <w:t>建设项目概况</w:t>
      </w:r>
      <w:r>
        <w:rPr>
          <w:rFonts w:eastAsia="宋体"/>
          <w:sz w:val="24"/>
          <w:szCs w:val="24"/>
        </w:rPr>
        <w:tab/>
      </w:r>
      <w:r>
        <w:rPr>
          <w:rFonts w:eastAsia="宋体"/>
          <w:sz w:val="24"/>
          <w:szCs w:val="24"/>
        </w:rPr>
        <w:fldChar w:fldCharType="begin"/>
      </w:r>
      <w:r>
        <w:rPr>
          <w:rFonts w:eastAsia="宋体"/>
          <w:sz w:val="24"/>
          <w:szCs w:val="24"/>
        </w:rPr>
        <w:instrText xml:space="preserve"> PAGEREF _Toc29110563 \h </w:instrText>
      </w:r>
      <w:r>
        <w:rPr>
          <w:rFonts w:eastAsia="宋体"/>
          <w:sz w:val="24"/>
          <w:szCs w:val="24"/>
        </w:rPr>
        <w:fldChar w:fldCharType="separate"/>
      </w:r>
      <w:r>
        <w:rPr>
          <w:rFonts w:eastAsia="宋体"/>
          <w:sz w:val="24"/>
          <w:szCs w:val="24"/>
        </w:rPr>
        <w:t>36</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"_Toc29110564" </w:instrText>
      </w:r>
      <w:r>
        <w:fldChar w:fldCharType="separate"/>
      </w:r>
      <w:r>
        <w:rPr>
          <w:rStyle w:val="143"/>
          <w:bCs/>
          <w:spacing w:val="4"/>
          <w:szCs w:val="24"/>
        </w:rPr>
        <w:t>3.1 项目基本情况</w:t>
      </w:r>
      <w:r>
        <w:rPr>
          <w:szCs w:val="24"/>
        </w:rPr>
        <w:tab/>
      </w:r>
      <w:r>
        <w:rPr>
          <w:szCs w:val="24"/>
        </w:rPr>
        <w:fldChar w:fldCharType="begin"/>
      </w:r>
      <w:r>
        <w:rPr>
          <w:szCs w:val="24"/>
        </w:rPr>
        <w:instrText xml:space="preserve"> PAGEREF _Toc29110564 \h </w:instrText>
      </w:r>
      <w:r>
        <w:rPr>
          <w:szCs w:val="24"/>
        </w:rPr>
        <w:fldChar w:fldCharType="separate"/>
      </w:r>
      <w:r>
        <w:rPr>
          <w:szCs w:val="24"/>
        </w:rPr>
        <w:t>36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"_Toc29110565" </w:instrText>
      </w:r>
      <w:r>
        <w:fldChar w:fldCharType="separate"/>
      </w:r>
      <w:r>
        <w:rPr>
          <w:rStyle w:val="143"/>
          <w:bCs/>
          <w:spacing w:val="4"/>
          <w:szCs w:val="24"/>
        </w:rPr>
        <w:t>3.2项目建设规模及养殖规模</w:t>
      </w:r>
      <w:r>
        <w:rPr>
          <w:szCs w:val="24"/>
        </w:rPr>
        <w:tab/>
      </w:r>
      <w:r>
        <w:rPr>
          <w:szCs w:val="24"/>
        </w:rPr>
        <w:fldChar w:fldCharType="begin"/>
      </w:r>
      <w:r>
        <w:rPr>
          <w:szCs w:val="24"/>
        </w:rPr>
        <w:instrText xml:space="preserve"> PAGEREF _Toc29110565 \h </w:instrText>
      </w:r>
      <w:r>
        <w:rPr>
          <w:szCs w:val="24"/>
        </w:rPr>
        <w:fldChar w:fldCharType="separate"/>
      </w:r>
      <w:r>
        <w:rPr>
          <w:szCs w:val="24"/>
        </w:rPr>
        <w:t>36</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"_Toc29110566" </w:instrText>
      </w:r>
      <w:r>
        <w:fldChar w:fldCharType="separate"/>
      </w:r>
      <w:r>
        <w:rPr>
          <w:rStyle w:val="143"/>
          <w:bCs/>
          <w:spacing w:val="4"/>
          <w:szCs w:val="24"/>
        </w:rPr>
        <w:t>3.3 项目组成</w:t>
      </w:r>
      <w:r>
        <w:rPr>
          <w:szCs w:val="24"/>
        </w:rPr>
        <w:tab/>
      </w:r>
      <w:r>
        <w:rPr>
          <w:szCs w:val="24"/>
        </w:rPr>
        <w:fldChar w:fldCharType="begin"/>
      </w:r>
      <w:r>
        <w:rPr>
          <w:szCs w:val="24"/>
        </w:rPr>
        <w:instrText xml:space="preserve"> PAGEREF _Toc29110566 \h </w:instrText>
      </w:r>
      <w:r>
        <w:rPr>
          <w:szCs w:val="24"/>
        </w:rPr>
        <w:fldChar w:fldCharType="separate"/>
      </w:r>
      <w:r>
        <w:rPr>
          <w:szCs w:val="24"/>
        </w:rPr>
        <w:t>37</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"_Toc29110567" </w:instrText>
      </w:r>
      <w:r>
        <w:fldChar w:fldCharType="separate"/>
      </w:r>
      <w:r>
        <w:rPr>
          <w:rStyle w:val="143"/>
          <w:bCs/>
          <w:spacing w:val="4"/>
          <w:szCs w:val="24"/>
        </w:rPr>
        <w:t>3.4项目总平面布置合理性分析</w:t>
      </w:r>
      <w:r>
        <w:rPr>
          <w:szCs w:val="24"/>
        </w:rPr>
        <w:tab/>
      </w:r>
      <w:r>
        <w:rPr>
          <w:szCs w:val="24"/>
        </w:rPr>
        <w:fldChar w:fldCharType="begin"/>
      </w:r>
      <w:r>
        <w:rPr>
          <w:szCs w:val="24"/>
        </w:rPr>
        <w:instrText xml:space="preserve"> PAGEREF _Toc29110567 \h </w:instrText>
      </w:r>
      <w:r>
        <w:rPr>
          <w:szCs w:val="24"/>
        </w:rPr>
        <w:fldChar w:fldCharType="separate"/>
      </w:r>
      <w:r>
        <w:rPr>
          <w:szCs w:val="24"/>
        </w:rPr>
        <w:t>38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"_Toc29110568" </w:instrText>
      </w:r>
      <w:r>
        <w:fldChar w:fldCharType="separate"/>
      </w:r>
      <w:r>
        <w:rPr>
          <w:rStyle w:val="143"/>
          <w:bCs/>
          <w:spacing w:val="4"/>
          <w:szCs w:val="24"/>
        </w:rPr>
        <w:t>3.5  主要生产设备</w:t>
      </w:r>
      <w:r>
        <w:rPr>
          <w:szCs w:val="24"/>
        </w:rPr>
        <w:tab/>
      </w:r>
      <w:r>
        <w:rPr>
          <w:szCs w:val="24"/>
        </w:rPr>
        <w:fldChar w:fldCharType="begin"/>
      </w:r>
      <w:r>
        <w:rPr>
          <w:szCs w:val="24"/>
        </w:rPr>
        <w:instrText xml:space="preserve"> PAGEREF _Toc29110568 \h </w:instrText>
      </w:r>
      <w:r>
        <w:rPr>
          <w:szCs w:val="24"/>
        </w:rPr>
        <w:fldChar w:fldCharType="separate"/>
      </w:r>
      <w:r>
        <w:rPr>
          <w:szCs w:val="24"/>
        </w:rPr>
        <w:t>39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"_Toc29110569" </w:instrText>
      </w:r>
      <w:r>
        <w:fldChar w:fldCharType="separate"/>
      </w:r>
      <w:r>
        <w:rPr>
          <w:rStyle w:val="143"/>
          <w:bCs/>
          <w:spacing w:val="4"/>
          <w:szCs w:val="24"/>
        </w:rPr>
        <w:t>3.6主要原辅材料用量及能源消耗</w:t>
      </w:r>
      <w:r>
        <w:rPr>
          <w:szCs w:val="24"/>
        </w:rPr>
        <w:tab/>
      </w:r>
      <w:r>
        <w:rPr>
          <w:szCs w:val="24"/>
        </w:rPr>
        <w:fldChar w:fldCharType="begin"/>
      </w:r>
      <w:r>
        <w:rPr>
          <w:szCs w:val="24"/>
        </w:rPr>
        <w:instrText xml:space="preserve"> PAGEREF _Toc29110569 \h </w:instrText>
      </w:r>
      <w:r>
        <w:rPr>
          <w:szCs w:val="24"/>
        </w:rPr>
        <w:fldChar w:fldCharType="separate"/>
      </w:r>
      <w:r>
        <w:rPr>
          <w:szCs w:val="24"/>
        </w:rPr>
        <w:t>39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"_Toc29110570" </w:instrText>
      </w:r>
      <w:r>
        <w:fldChar w:fldCharType="separate"/>
      </w:r>
      <w:r>
        <w:rPr>
          <w:rStyle w:val="143"/>
          <w:bCs/>
          <w:spacing w:val="4"/>
          <w:szCs w:val="24"/>
        </w:rPr>
        <w:t>3.7  劳动定员及工作制度</w:t>
      </w:r>
      <w:r>
        <w:rPr>
          <w:szCs w:val="24"/>
        </w:rPr>
        <w:tab/>
      </w:r>
      <w:r>
        <w:rPr>
          <w:szCs w:val="24"/>
        </w:rPr>
        <w:fldChar w:fldCharType="begin"/>
      </w:r>
      <w:r>
        <w:rPr>
          <w:szCs w:val="24"/>
        </w:rPr>
        <w:instrText xml:space="preserve"> PAGEREF _Toc29110570 \h </w:instrText>
      </w:r>
      <w:r>
        <w:rPr>
          <w:szCs w:val="24"/>
        </w:rPr>
        <w:fldChar w:fldCharType="separate"/>
      </w:r>
      <w:r>
        <w:rPr>
          <w:szCs w:val="24"/>
        </w:rPr>
        <w:t>40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"_Toc29110571" </w:instrText>
      </w:r>
      <w:r>
        <w:fldChar w:fldCharType="separate"/>
      </w:r>
      <w:r>
        <w:rPr>
          <w:rStyle w:val="143"/>
          <w:bCs/>
          <w:spacing w:val="4"/>
          <w:szCs w:val="24"/>
        </w:rPr>
        <w:t>3.8  公用工程及配套设施</w:t>
      </w:r>
      <w:r>
        <w:rPr>
          <w:szCs w:val="24"/>
        </w:rPr>
        <w:tab/>
      </w:r>
      <w:r>
        <w:rPr>
          <w:szCs w:val="24"/>
        </w:rPr>
        <w:fldChar w:fldCharType="begin"/>
      </w:r>
      <w:r>
        <w:rPr>
          <w:szCs w:val="24"/>
        </w:rPr>
        <w:instrText xml:space="preserve"> PAGEREF _Toc29110571 \h </w:instrText>
      </w:r>
      <w:r>
        <w:rPr>
          <w:szCs w:val="24"/>
        </w:rPr>
        <w:fldChar w:fldCharType="separate"/>
      </w:r>
      <w:r>
        <w:rPr>
          <w:szCs w:val="24"/>
        </w:rPr>
        <w:t>40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"_Toc29110572" </w:instrText>
      </w:r>
      <w:r>
        <w:fldChar w:fldCharType="separate"/>
      </w:r>
      <w:r>
        <w:rPr>
          <w:rStyle w:val="143"/>
          <w:bCs/>
          <w:spacing w:val="4"/>
          <w:szCs w:val="24"/>
        </w:rPr>
        <w:t>3.9通风降温及保温</w:t>
      </w:r>
      <w:r>
        <w:rPr>
          <w:szCs w:val="24"/>
        </w:rPr>
        <w:tab/>
      </w:r>
      <w:r>
        <w:rPr>
          <w:szCs w:val="24"/>
        </w:rPr>
        <w:fldChar w:fldCharType="begin"/>
      </w:r>
      <w:r>
        <w:rPr>
          <w:szCs w:val="24"/>
        </w:rPr>
        <w:instrText xml:space="preserve"> PAGEREF _Toc29110572 \h </w:instrText>
      </w:r>
      <w:r>
        <w:rPr>
          <w:szCs w:val="24"/>
        </w:rPr>
        <w:fldChar w:fldCharType="separate"/>
      </w:r>
      <w:r>
        <w:rPr>
          <w:szCs w:val="24"/>
        </w:rPr>
        <w:t>42</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"_Toc29110573" </w:instrText>
      </w:r>
      <w:r>
        <w:fldChar w:fldCharType="separate"/>
      </w:r>
      <w:r>
        <w:rPr>
          <w:rStyle w:val="143"/>
          <w:bCs/>
          <w:spacing w:val="4"/>
          <w:szCs w:val="24"/>
        </w:rPr>
        <w:t>3.10病死猪运输路线</w:t>
      </w:r>
      <w:r>
        <w:rPr>
          <w:szCs w:val="24"/>
        </w:rPr>
        <w:tab/>
      </w:r>
      <w:r>
        <w:rPr>
          <w:szCs w:val="24"/>
        </w:rPr>
        <w:fldChar w:fldCharType="begin"/>
      </w:r>
      <w:r>
        <w:rPr>
          <w:szCs w:val="24"/>
        </w:rPr>
        <w:instrText xml:space="preserve"> PAGEREF _Toc29110573 \h </w:instrText>
      </w:r>
      <w:r>
        <w:rPr>
          <w:szCs w:val="24"/>
        </w:rPr>
        <w:fldChar w:fldCharType="separate"/>
      </w:r>
      <w:r>
        <w:rPr>
          <w:szCs w:val="24"/>
        </w:rPr>
        <w:t>44</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"_Toc29110574" </w:instrText>
      </w:r>
      <w:r>
        <w:fldChar w:fldCharType="separate"/>
      </w:r>
      <w:r>
        <w:rPr>
          <w:rStyle w:val="143"/>
          <w:bCs/>
          <w:spacing w:val="4"/>
          <w:szCs w:val="24"/>
        </w:rPr>
        <w:t>3.11粪便运输管理要求</w:t>
      </w:r>
      <w:r>
        <w:rPr>
          <w:szCs w:val="24"/>
        </w:rPr>
        <w:tab/>
      </w:r>
      <w:r>
        <w:rPr>
          <w:szCs w:val="24"/>
        </w:rPr>
        <w:fldChar w:fldCharType="begin"/>
      </w:r>
      <w:r>
        <w:rPr>
          <w:szCs w:val="24"/>
        </w:rPr>
        <w:instrText xml:space="preserve"> PAGEREF _Toc29110574 \h </w:instrText>
      </w:r>
      <w:r>
        <w:rPr>
          <w:szCs w:val="24"/>
        </w:rPr>
        <w:fldChar w:fldCharType="separate"/>
      </w:r>
      <w:r>
        <w:rPr>
          <w:szCs w:val="24"/>
        </w:rPr>
        <w:t>44</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"_Toc29110575" </w:instrText>
      </w:r>
      <w:r>
        <w:fldChar w:fldCharType="separate"/>
      </w:r>
      <w:r>
        <w:rPr>
          <w:rStyle w:val="143"/>
          <w:bCs/>
          <w:spacing w:val="4"/>
          <w:szCs w:val="24"/>
        </w:rPr>
        <w:t>3.12施工进度</w:t>
      </w:r>
      <w:r>
        <w:rPr>
          <w:szCs w:val="24"/>
        </w:rPr>
        <w:tab/>
      </w:r>
      <w:r>
        <w:rPr>
          <w:szCs w:val="24"/>
        </w:rPr>
        <w:fldChar w:fldCharType="begin"/>
      </w:r>
      <w:r>
        <w:rPr>
          <w:szCs w:val="24"/>
        </w:rPr>
        <w:instrText xml:space="preserve"> PAGEREF _Toc29110575 \h </w:instrText>
      </w:r>
      <w:r>
        <w:rPr>
          <w:szCs w:val="24"/>
        </w:rPr>
        <w:fldChar w:fldCharType="separate"/>
      </w:r>
      <w:r>
        <w:rPr>
          <w:szCs w:val="24"/>
        </w:rPr>
        <w:t>44</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"_Toc29110576" </w:instrText>
      </w:r>
      <w:r>
        <w:fldChar w:fldCharType="separate"/>
      </w:r>
      <w:r>
        <w:rPr>
          <w:rStyle w:val="143"/>
          <w:kern w:val="44"/>
          <w:sz w:val="24"/>
          <w:szCs w:val="24"/>
        </w:rPr>
        <w:t>4</w:t>
      </w:r>
      <w:r>
        <w:rPr>
          <w:rFonts w:eastAsia="宋体"/>
          <w:b w:val="0"/>
          <w:bCs w:val="0"/>
          <w:caps w:val="0"/>
          <w:sz w:val="24"/>
          <w:szCs w:val="24"/>
        </w:rPr>
        <w:tab/>
      </w:r>
      <w:r>
        <w:rPr>
          <w:rStyle w:val="143"/>
          <w:kern w:val="44"/>
          <w:sz w:val="24"/>
          <w:szCs w:val="24"/>
        </w:rPr>
        <w:t>工程分析</w:t>
      </w:r>
      <w:r>
        <w:rPr>
          <w:rFonts w:eastAsia="宋体"/>
          <w:sz w:val="24"/>
          <w:szCs w:val="24"/>
        </w:rPr>
        <w:tab/>
      </w:r>
      <w:r>
        <w:rPr>
          <w:rFonts w:eastAsia="宋体"/>
          <w:sz w:val="24"/>
          <w:szCs w:val="24"/>
        </w:rPr>
        <w:fldChar w:fldCharType="begin"/>
      </w:r>
      <w:r>
        <w:rPr>
          <w:rFonts w:eastAsia="宋体"/>
          <w:sz w:val="24"/>
          <w:szCs w:val="24"/>
        </w:rPr>
        <w:instrText xml:space="preserve"> PAGEREF _Toc29110576 \h </w:instrText>
      </w:r>
      <w:r>
        <w:rPr>
          <w:rFonts w:eastAsia="宋体"/>
          <w:sz w:val="24"/>
          <w:szCs w:val="24"/>
        </w:rPr>
        <w:fldChar w:fldCharType="separate"/>
      </w:r>
      <w:r>
        <w:rPr>
          <w:rFonts w:eastAsia="宋体"/>
          <w:sz w:val="24"/>
          <w:szCs w:val="24"/>
        </w:rPr>
        <w:t>45</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"_Toc29110577" </w:instrText>
      </w:r>
      <w:r>
        <w:fldChar w:fldCharType="separate"/>
      </w:r>
      <w:r>
        <w:rPr>
          <w:rStyle w:val="143"/>
          <w:bCs/>
          <w:spacing w:val="4"/>
          <w:szCs w:val="24"/>
        </w:rPr>
        <w:t>4.1施工期工程分析</w:t>
      </w:r>
      <w:r>
        <w:rPr>
          <w:szCs w:val="24"/>
        </w:rPr>
        <w:tab/>
      </w:r>
      <w:r>
        <w:rPr>
          <w:szCs w:val="24"/>
        </w:rPr>
        <w:fldChar w:fldCharType="begin"/>
      </w:r>
      <w:r>
        <w:rPr>
          <w:szCs w:val="24"/>
        </w:rPr>
        <w:instrText xml:space="preserve"> PAGEREF _Toc29110577 \h </w:instrText>
      </w:r>
      <w:r>
        <w:rPr>
          <w:szCs w:val="24"/>
        </w:rPr>
        <w:fldChar w:fldCharType="separate"/>
      </w:r>
      <w:r>
        <w:rPr>
          <w:szCs w:val="24"/>
        </w:rPr>
        <w:t>45</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"_Toc29110578" </w:instrText>
      </w:r>
      <w:r>
        <w:fldChar w:fldCharType="separate"/>
      </w:r>
      <w:r>
        <w:rPr>
          <w:rStyle w:val="143"/>
          <w:bCs/>
          <w:spacing w:val="4"/>
          <w:szCs w:val="24"/>
        </w:rPr>
        <w:t>4.2 本项目工艺流程及产排污分析</w:t>
      </w:r>
      <w:r>
        <w:rPr>
          <w:szCs w:val="24"/>
        </w:rPr>
        <w:tab/>
      </w:r>
      <w:r>
        <w:rPr>
          <w:szCs w:val="24"/>
        </w:rPr>
        <w:fldChar w:fldCharType="begin"/>
      </w:r>
      <w:r>
        <w:rPr>
          <w:szCs w:val="24"/>
        </w:rPr>
        <w:instrText xml:space="preserve"> PAGEREF _Toc29110578 \h </w:instrText>
      </w:r>
      <w:r>
        <w:rPr>
          <w:szCs w:val="24"/>
        </w:rPr>
        <w:fldChar w:fldCharType="separate"/>
      </w:r>
      <w:r>
        <w:rPr>
          <w:szCs w:val="24"/>
        </w:rPr>
        <w:t>49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"_Toc29110579" </w:instrText>
      </w:r>
      <w:r>
        <w:fldChar w:fldCharType="separate"/>
      </w:r>
      <w:r>
        <w:rPr>
          <w:rStyle w:val="143"/>
          <w:bCs/>
          <w:spacing w:val="4"/>
          <w:szCs w:val="24"/>
        </w:rPr>
        <w:t>4.3 营运期污染物排放及治理方案</w:t>
      </w:r>
      <w:r>
        <w:rPr>
          <w:szCs w:val="24"/>
        </w:rPr>
        <w:tab/>
      </w:r>
      <w:r>
        <w:rPr>
          <w:szCs w:val="24"/>
        </w:rPr>
        <w:fldChar w:fldCharType="begin"/>
      </w:r>
      <w:r>
        <w:rPr>
          <w:szCs w:val="24"/>
        </w:rPr>
        <w:instrText xml:space="preserve"> PAGEREF _Toc29110579 \h </w:instrText>
      </w:r>
      <w:r>
        <w:rPr>
          <w:szCs w:val="24"/>
        </w:rPr>
        <w:fldChar w:fldCharType="separate"/>
      </w:r>
      <w:r>
        <w:rPr>
          <w:szCs w:val="24"/>
        </w:rPr>
        <w:t>53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"_Toc29110580" </w:instrText>
      </w:r>
      <w:r>
        <w:fldChar w:fldCharType="separate"/>
      </w:r>
      <w:r>
        <w:rPr>
          <w:rStyle w:val="143"/>
          <w:bCs/>
          <w:spacing w:val="4"/>
          <w:szCs w:val="24"/>
        </w:rPr>
        <w:t>4.5 本项目污染物排放情况</w:t>
      </w:r>
      <w:r>
        <w:rPr>
          <w:szCs w:val="24"/>
        </w:rPr>
        <w:tab/>
      </w:r>
      <w:r>
        <w:rPr>
          <w:szCs w:val="24"/>
        </w:rPr>
        <w:fldChar w:fldCharType="begin"/>
      </w:r>
      <w:r>
        <w:rPr>
          <w:szCs w:val="24"/>
        </w:rPr>
        <w:instrText xml:space="preserve"> PAGEREF _Toc29110580 \h </w:instrText>
      </w:r>
      <w:r>
        <w:rPr>
          <w:szCs w:val="24"/>
        </w:rPr>
        <w:fldChar w:fldCharType="separate"/>
      </w:r>
      <w:r>
        <w:rPr>
          <w:szCs w:val="24"/>
        </w:rPr>
        <w:t>67</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"_Toc29110581" </w:instrText>
      </w:r>
      <w:r>
        <w:fldChar w:fldCharType="separate"/>
      </w:r>
      <w:r>
        <w:rPr>
          <w:rStyle w:val="143"/>
          <w:kern w:val="44"/>
          <w:sz w:val="24"/>
          <w:szCs w:val="24"/>
        </w:rPr>
        <w:t>5</w:t>
      </w:r>
      <w:r>
        <w:rPr>
          <w:rFonts w:eastAsia="宋体"/>
          <w:b w:val="0"/>
          <w:bCs w:val="0"/>
          <w:caps w:val="0"/>
          <w:sz w:val="24"/>
          <w:szCs w:val="24"/>
        </w:rPr>
        <w:tab/>
      </w:r>
      <w:r>
        <w:rPr>
          <w:rStyle w:val="143"/>
          <w:kern w:val="44"/>
          <w:sz w:val="24"/>
          <w:szCs w:val="24"/>
        </w:rPr>
        <w:t>建设项目环境概况</w:t>
      </w:r>
      <w:r>
        <w:rPr>
          <w:rFonts w:eastAsia="宋体"/>
          <w:sz w:val="24"/>
          <w:szCs w:val="24"/>
        </w:rPr>
        <w:tab/>
      </w:r>
      <w:r>
        <w:rPr>
          <w:rFonts w:eastAsia="宋体"/>
          <w:sz w:val="24"/>
          <w:szCs w:val="24"/>
        </w:rPr>
        <w:fldChar w:fldCharType="begin"/>
      </w:r>
      <w:r>
        <w:rPr>
          <w:rFonts w:eastAsia="宋体"/>
          <w:sz w:val="24"/>
          <w:szCs w:val="24"/>
        </w:rPr>
        <w:instrText xml:space="preserve"> PAGEREF _Toc29110581 \h </w:instrText>
      </w:r>
      <w:r>
        <w:rPr>
          <w:rFonts w:eastAsia="宋体"/>
          <w:sz w:val="24"/>
          <w:szCs w:val="24"/>
        </w:rPr>
        <w:fldChar w:fldCharType="separate"/>
      </w:r>
      <w:r>
        <w:rPr>
          <w:rFonts w:eastAsia="宋体"/>
          <w:sz w:val="24"/>
          <w:szCs w:val="24"/>
        </w:rPr>
        <w:t>69</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"_Toc29110582" </w:instrText>
      </w:r>
      <w:r>
        <w:fldChar w:fldCharType="separate"/>
      </w:r>
      <w:r>
        <w:rPr>
          <w:rStyle w:val="143"/>
          <w:bCs/>
          <w:spacing w:val="4"/>
          <w:szCs w:val="24"/>
        </w:rPr>
        <w:t>5.1 自然环境</w:t>
      </w:r>
      <w:r>
        <w:rPr>
          <w:szCs w:val="24"/>
        </w:rPr>
        <w:tab/>
      </w:r>
      <w:r>
        <w:rPr>
          <w:szCs w:val="24"/>
        </w:rPr>
        <w:fldChar w:fldCharType="begin"/>
      </w:r>
      <w:r>
        <w:rPr>
          <w:szCs w:val="24"/>
        </w:rPr>
        <w:instrText xml:space="preserve"> PAGEREF _Toc29110582 \h </w:instrText>
      </w:r>
      <w:r>
        <w:rPr>
          <w:szCs w:val="24"/>
        </w:rPr>
        <w:fldChar w:fldCharType="separate"/>
      </w:r>
      <w:r>
        <w:rPr>
          <w:szCs w:val="24"/>
        </w:rPr>
        <w:t>69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"_Toc29110583" </w:instrText>
      </w:r>
      <w:r>
        <w:fldChar w:fldCharType="separate"/>
      </w:r>
      <w:r>
        <w:rPr>
          <w:rStyle w:val="143"/>
          <w:bCs/>
          <w:spacing w:val="4"/>
          <w:szCs w:val="24"/>
        </w:rPr>
        <w:t>5.2 乐山乐高勤力生物质能源综合利用有限公司</w:t>
      </w:r>
      <w:r>
        <w:rPr>
          <w:szCs w:val="24"/>
        </w:rPr>
        <w:tab/>
      </w:r>
      <w:r>
        <w:rPr>
          <w:szCs w:val="24"/>
        </w:rPr>
        <w:fldChar w:fldCharType="begin"/>
      </w:r>
      <w:r>
        <w:rPr>
          <w:szCs w:val="24"/>
        </w:rPr>
        <w:instrText xml:space="preserve"> PAGEREF _Toc29110583 \h </w:instrText>
      </w:r>
      <w:r>
        <w:rPr>
          <w:szCs w:val="24"/>
        </w:rPr>
        <w:fldChar w:fldCharType="separate"/>
      </w:r>
      <w:r>
        <w:rPr>
          <w:szCs w:val="24"/>
        </w:rPr>
        <w:t>71</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"_Toc29110584" </w:instrText>
      </w:r>
      <w:r>
        <w:fldChar w:fldCharType="separate"/>
      </w:r>
      <w:r>
        <w:rPr>
          <w:rStyle w:val="143"/>
          <w:kern w:val="44"/>
          <w:sz w:val="24"/>
          <w:szCs w:val="24"/>
        </w:rPr>
        <w:t>6</w:t>
      </w:r>
      <w:r>
        <w:rPr>
          <w:rFonts w:eastAsia="宋体"/>
          <w:b w:val="0"/>
          <w:bCs w:val="0"/>
          <w:caps w:val="0"/>
          <w:sz w:val="24"/>
          <w:szCs w:val="24"/>
        </w:rPr>
        <w:tab/>
      </w:r>
      <w:r>
        <w:rPr>
          <w:rStyle w:val="143"/>
          <w:kern w:val="44"/>
          <w:sz w:val="24"/>
          <w:szCs w:val="24"/>
        </w:rPr>
        <w:t>环境质量现状监测与评价</w:t>
      </w:r>
      <w:r>
        <w:rPr>
          <w:rFonts w:eastAsia="宋体"/>
          <w:sz w:val="24"/>
          <w:szCs w:val="24"/>
        </w:rPr>
        <w:tab/>
      </w:r>
      <w:r>
        <w:rPr>
          <w:rFonts w:eastAsia="宋体"/>
          <w:sz w:val="24"/>
          <w:szCs w:val="24"/>
        </w:rPr>
        <w:fldChar w:fldCharType="begin"/>
      </w:r>
      <w:r>
        <w:rPr>
          <w:rFonts w:eastAsia="宋体"/>
          <w:sz w:val="24"/>
          <w:szCs w:val="24"/>
        </w:rPr>
        <w:instrText xml:space="preserve"> PAGEREF _Toc29110584 \h </w:instrText>
      </w:r>
      <w:r>
        <w:rPr>
          <w:rFonts w:eastAsia="宋体"/>
          <w:sz w:val="24"/>
          <w:szCs w:val="24"/>
        </w:rPr>
        <w:fldChar w:fldCharType="separate"/>
      </w:r>
      <w:r>
        <w:rPr>
          <w:rFonts w:eastAsia="宋体"/>
          <w:sz w:val="24"/>
          <w:szCs w:val="24"/>
        </w:rPr>
        <w:t>73</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"_Toc29110585" </w:instrText>
      </w:r>
      <w:r>
        <w:fldChar w:fldCharType="separate"/>
      </w:r>
      <w:r>
        <w:rPr>
          <w:rStyle w:val="143"/>
          <w:bCs/>
          <w:spacing w:val="4"/>
          <w:szCs w:val="24"/>
        </w:rPr>
        <w:t>6.1环境空气质量现状监测与评价</w:t>
      </w:r>
      <w:r>
        <w:rPr>
          <w:szCs w:val="24"/>
        </w:rPr>
        <w:tab/>
      </w:r>
      <w:r>
        <w:rPr>
          <w:szCs w:val="24"/>
        </w:rPr>
        <w:fldChar w:fldCharType="begin"/>
      </w:r>
      <w:r>
        <w:rPr>
          <w:szCs w:val="24"/>
        </w:rPr>
        <w:instrText xml:space="preserve"> PAGEREF _Toc29110585 \h </w:instrText>
      </w:r>
      <w:r>
        <w:rPr>
          <w:szCs w:val="24"/>
        </w:rPr>
        <w:fldChar w:fldCharType="separate"/>
      </w:r>
      <w:r>
        <w:rPr>
          <w:szCs w:val="24"/>
        </w:rPr>
        <w:t>73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"_Toc29110586" </w:instrText>
      </w:r>
      <w:r>
        <w:fldChar w:fldCharType="separate"/>
      </w:r>
      <w:r>
        <w:rPr>
          <w:rStyle w:val="143"/>
          <w:bCs/>
          <w:spacing w:val="4"/>
          <w:szCs w:val="24"/>
        </w:rPr>
        <w:t>6.2地表水环境质量现状监测及评价</w:t>
      </w:r>
      <w:r>
        <w:rPr>
          <w:szCs w:val="24"/>
        </w:rPr>
        <w:tab/>
      </w:r>
      <w:r>
        <w:rPr>
          <w:szCs w:val="24"/>
        </w:rPr>
        <w:fldChar w:fldCharType="begin"/>
      </w:r>
      <w:r>
        <w:rPr>
          <w:szCs w:val="24"/>
        </w:rPr>
        <w:instrText xml:space="preserve"> PAGEREF _Toc29110586 \h </w:instrText>
      </w:r>
      <w:r>
        <w:rPr>
          <w:szCs w:val="24"/>
        </w:rPr>
        <w:fldChar w:fldCharType="separate"/>
      </w:r>
      <w:r>
        <w:rPr>
          <w:szCs w:val="24"/>
        </w:rPr>
        <w:t>75</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"_Toc29110597" </w:instrText>
      </w:r>
      <w:r>
        <w:fldChar w:fldCharType="separate"/>
      </w:r>
      <w:r>
        <w:rPr>
          <w:rStyle w:val="143"/>
          <w:bCs/>
          <w:spacing w:val="4"/>
          <w:szCs w:val="24"/>
        </w:rPr>
        <w:t>6.3 声环境质量现状</w:t>
      </w:r>
      <w:r>
        <w:rPr>
          <w:szCs w:val="24"/>
        </w:rPr>
        <w:tab/>
      </w:r>
      <w:r>
        <w:rPr>
          <w:szCs w:val="24"/>
        </w:rPr>
        <w:fldChar w:fldCharType="begin"/>
      </w:r>
      <w:r>
        <w:rPr>
          <w:szCs w:val="24"/>
        </w:rPr>
        <w:instrText xml:space="preserve"> PAGEREF _Toc29110597 \h </w:instrText>
      </w:r>
      <w:r>
        <w:rPr>
          <w:szCs w:val="24"/>
        </w:rPr>
        <w:fldChar w:fldCharType="separate"/>
      </w:r>
      <w:r>
        <w:rPr>
          <w:szCs w:val="24"/>
        </w:rPr>
        <w:t>77</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"_Toc29110598" </w:instrText>
      </w:r>
      <w:r>
        <w:fldChar w:fldCharType="separate"/>
      </w:r>
      <w:r>
        <w:rPr>
          <w:rStyle w:val="143"/>
          <w:bCs/>
          <w:spacing w:val="4"/>
          <w:szCs w:val="24"/>
        </w:rPr>
        <w:t>6.4地下水环境质量现状监测及评价</w:t>
      </w:r>
      <w:r>
        <w:rPr>
          <w:szCs w:val="24"/>
        </w:rPr>
        <w:tab/>
      </w:r>
      <w:r>
        <w:rPr>
          <w:szCs w:val="24"/>
        </w:rPr>
        <w:fldChar w:fldCharType="begin"/>
      </w:r>
      <w:r>
        <w:rPr>
          <w:szCs w:val="24"/>
        </w:rPr>
        <w:instrText xml:space="preserve"> PAGEREF _Toc29110598 \h </w:instrText>
      </w:r>
      <w:r>
        <w:rPr>
          <w:szCs w:val="24"/>
        </w:rPr>
        <w:fldChar w:fldCharType="separate"/>
      </w:r>
      <w:r>
        <w:rPr>
          <w:szCs w:val="24"/>
        </w:rPr>
        <w:t>79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"_Toc29110599" </w:instrText>
      </w:r>
      <w:r>
        <w:fldChar w:fldCharType="separate"/>
      </w:r>
      <w:r>
        <w:rPr>
          <w:rStyle w:val="143"/>
          <w:bCs/>
          <w:spacing w:val="4"/>
          <w:szCs w:val="24"/>
        </w:rPr>
        <w:t>6.5土壤环境质量现状监测及评价</w:t>
      </w:r>
      <w:r>
        <w:rPr>
          <w:szCs w:val="24"/>
        </w:rPr>
        <w:tab/>
      </w:r>
      <w:r>
        <w:rPr>
          <w:szCs w:val="24"/>
        </w:rPr>
        <w:fldChar w:fldCharType="begin"/>
      </w:r>
      <w:r>
        <w:rPr>
          <w:szCs w:val="24"/>
        </w:rPr>
        <w:instrText xml:space="preserve"> PAGEREF _Toc29110599 \h </w:instrText>
      </w:r>
      <w:r>
        <w:rPr>
          <w:szCs w:val="24"/>
        </w:rPr>
        <w:fldChar w:fldCharType="separate"/>
      </w:r>
      <w:r>
        <w:rPr>
          <w:szCs w:val="24"/>
        </w:rPr>
        <w:t>81</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"_Toc29110600" </w:instrText>
      </w:r>
      <w:r>
        <w:fldChar w:fldCharType="separate"/>
      </w:r>
      <w:r>
        <w:rPr>
          <w:rStyle w:val="143"/>
          <w:spacing w:val="4"/>
          <w:sz w:val="24"/>
          <w:szCs w:val="24"/>
        </w:rPr>
        <w:t>7</w:t>
      </w:r>
      <w:r>
        <w:rPr>
          <w:rFonts w:eastAsia="宋体"/>
          <w:b w:val="0"/>
          <w:bCs w:val="0"/>
          <w:caps w:val="0"/>
          <w:sz w:val="24"/>
          <w:szCs w:val="24"/>
        </w:rPr>
        <w:tab/>
      </w:r>
      <w:r>
        <w:rPr>
          <w:rStyle w:val="143"/>
          <w:kern w:val="44"/>
          <w:sz w:val="24"/>
          <w:szCs w:val="24"/>
        </w:rPr>
        <w:t>环境影响分析</w:t>
      </w:r>
      <w:r>
        <w:rPr>
          <w:rFonts w:eastAsia="宋体"/>
          <w:sz w:val="24"/>
          <w:szCs w:val="24"/>
        </w:rPr>
        <w:tab/>
      </w:r>
      <w:r>
        <w:rPr>
          <w:rFonts w:eastAsia="宋体"/>
          <w:sz w:val="24"/>
          <w:szCs w:val="24"/>
        </w:rPr>
        <w:fldChar w:fldCharType="begin"/>
      </w:r>
      <w:r>
        <w:rPr>
          <w:rFonts w:eastAsia="宋体"/>
          <w:sz w:val="24"/>
          <w:szCs w:val="24"/>
        </w:rPr>
        <w:instrText xml:space="preserve"> PAGEREF _Toc29110600 \h </w:instrText>
      </w:r>
      <w:r>
        <w:rPr>
          <w:rFonts w:eastAsia="宋体"/>
          <w:sz w:val="24"/>
          <w:szCs w:val="24"/>
        </w:rPr>
        <w:fldChar w:fldCharType="separate"/>
      </w:r>
      <w:r>
        <w:rPr>
          <w:rFonts w:eastAsia="宋体"/>
          <w:sz w:val="24"/>
          <w:szCs w:val="24"/>
        </w:rPr>
        <w:t>83</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"_Toc29110601" </w:instrText>
      </w:r>
      <w:r>
        <w:fldChar w:fldCharType="separate"/>
      </w:r>
      <w:r>
        <w:rPr>
          <w:rStyle w:val="143"/>
          <w:bCs/>
          <w:spacing w:val="4"/>
          <w:szCs w:val="24"/>
        </w:rPr>
        <w:t>7.1 施工期环境影响分析</w:t>
      </w:r>
      <w:r>
        <w:rPr>
          <w:szCs w:val="24"/>
        </w:rPr>
        <w:tab/>
      </w:r>
      <w:r>
        <w:rPr>
          <w:szCs w:val="24"/>
        </w:rPr>
        <w:fldChar w:fldCharType="begin"/>
      </w:r>
      <w:r>
        <w:rPr>
          <w:szCs w:val="24"/>
        </w:rPr>
        <w:instrText xml:space="preserve"> PAGEREF _Toc29110601 \h </w:instrText>
      </w:r>
      <w:r>
        <w:rPr>
          <w:szCs w:val="24"/>
        </w:rPr>
        <w:fldChar w:fldCharType="separate"/>
      </w:r>
      <w:r>
        <w:rPr>
          <w:szCs w:val="24"/>
        </w:rPr>
        <w:t>83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"_Toc29110602" </w:instrText>
      </w:r>
      <w:r>
        <w:fldChar w:fldCharType="separate"/>
      </w:r>
      <w:r>
        <w:rPr>
          <w:rStyle w:val="143"/>
          <w:bCs/>
          <w:spacing w:val="4"/>
          <w:szCs w:val="24"/>
        </w:rPr>
        <w:t>7.2 运营期环境影响分析</w:t>
      </w:r>
      <w:r>
        <w:rPr>
          <w:szCs w:val="24"/>
        </w:rPr>
        <w:tab/>
      </w:r>
      <w:r>
        <w:rPr>
          <w:szCs w:val="24"/>
        </w:rPr>
        <w:fldChar w:fldCharType="begin"/>
      </w:r>
      <w:r>
        <w:rPr>
          <w:szCs w:val="24"/>
        </w:rPr>
        <w:instrText xml:space="preserve"> PAGEREF _Toc29110602 \h </w:instrText>
      </w:r>
      <w:r>
        <w:rPr>
          <w:szCs w:val="24"/>
        </w:rPr>
        <w:fldChar w:fldCharType="separate"/>
      </w:r>
      <w:r>
        <w:rPr>
          <w:szCs w:val="24"/>
        </w:rPr>
        <w:t>89</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"_Toc29110603" </w:instrText>
      </w:r>
      <w:r>
        <w:fldChar w:fldCharType="separate"/>
      </w:r>
      <w:r>
        <w:rPr>
          <w:rStyle w:val="143"/>
          <w:kern w:val="44"/>
          <w:sz w:val="24"/>
          <w:szCs w:val="24"/>
        </w:rPr>
        <w:t>8</w:t>
      </w:r>
      <w:r>
        <w:rPr>
          <w:rFonts w:eastAsia="宋体"/>
          <w:b w:val="0"/>
          <w:bCs w:val="0"/>
          <w:caps w:val="0"/>
          <w:sz w:val="24"/>
          <w:szCs w:val="24"/>
        </w:rPr>
        <w:tab/>
      </w:r>
      <w:r>
        <w:rPr>
          <w:rStyle w:val="143"/>
          <w:kern w:val="44"/>
          <w:sz w:val="24"/>
          <w:szCs w:val="24"/>
        </w:rPr>
        <w:t>环境风险分析</w:t>
      </w:r>
      <w:r>
        <w:rPr>
          <w:rFonts w:eastAsia="宋体"/>
          <w:sz w:val="24"/>
          <w:szCs w:val="24"/>
        </w:rPr>
        <w:tab/>
      </w:r>
      <w:r>
        <w:rPr>
          <w:rFonts w:eastAsia="宋体"/>
          <w:sz w:val="24"/>
          <w:szCs w:val="24"/>
        </w:rPr>
        <w:fldChar w:fldCharType="begin"/>
      </w:r>
      <w:r>
        <w:rPr>
          <w:rFonts w:eastAsia="宋体"/>
          <w:sz w:val="24"/>
          <w:szCs w:val="24"/>
        </w:rPr>
        <w:instrText xml:space="preserve"> PAGEREF _Toc29110603 \h </w:instrText>
      </w:r>
      <w:r>
        <w:rPr>
          <w:rFonts w:eastAsia="宋体"/>
          <w:sz w:val="24"/>
          <w:szCs w:val="24"/>
        </w:rPr>
        <w:fldChar w:fldCharType="separate"/>
      </w:r>
      <w:r>
        <w:rPr>
          <w:rFonts w:eastAsia="宋体"/>
          <w:sz w:val="24"/>
          <w:szCs w:val="24"/>
        </w:rPr>
        <w:t>118</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"_Toc29110604" </w:instrText>
      </w:r>
      <w:r>
        <w:fldChar w:fldCharType="separate"/>
      </w:r>
      <w:r>
        <w:rPr>
          <w:rStyle w:val="143"/>
          <w:bCs/>
          <w:spacing w:val="4"/>
          <w:szCs w:val="24"/>
        </w:rPr>
        <w:t>8.1评价工作等级和评价依据</w:t>
      </w:r>
      <w:r>
        <w:rPr>
          <w:szCs w:val="24"/>
        </w:rPr>
        <w:tab/>
      </w:r>
      <w:r>
        <w:rPr>
          <w:szCs w:val="24"/>
        </w:rPr>
        <w:fldChar w:fldCharType="begin"/>
      </w:r>
      <w:r>
        <w:rPr>
          <w:szCs w:val="24"/>
        </w:rPr>
        <w:instrText xml:space="preserve"> PAGEREF _Toc29110604 \h </w:instrText>
      </w:r>
      <w:r>
        <w:rPr>
          <w:szCs w:val="24"/>
        </w:rPr>
        <w:fldChar w:fldCharType="separate"/>
      </w:r>
      <w:r>
        <w:rPr>
          <w:szCs w:val="24"/>
        </w:rPr>
        <w:t>118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"_Toc29110605" </w:instrText>
      </w:r>
      <w:r>
        <w:fldChar w:fldCharType="separate"/>
      </w:r>
      <w:r>
        <w:rPr>
          <w:rStyle w:val="143"/>
          <w:bCs/>
          <w:spacing w:val="4"/>
          <w:szCs w:val="24"/>
        </w:rPr>
        <w:t>8.2环境敏感目标概况</w:t>
      </w:r>
      <w:r>
        <w:rPr>
          <w:szCs w:val="24"/>
        </w:rPr>
        <w:tab/>
      </w:r>
      <w:r>
        <w:rPr>
          <w:szCs w:val="24"/>
        </w:rPr>
        <w:fldChar w:fldCharType="begin"/>
      </w:r>
      <w:r>
        <w:rPr>
          <w:szCs w:val="24"/>
        </w:rPr>
        <w:instrText xml:space="preserve"> PAGEREF _Toc29110605 \h </w:instrText>
      </w:r>
      <w:r>
        <w:rPr>
          <w:szCs w:val="24"/>
        </w:rPr>
        <w:fldChar w:fldCharType="separate"/>
      </w:r>
      <w:r>
        <w:rPr>
          <w:szCs w:val="24"/>
        </w:rPr>
        <w:t>120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"_Toc29110606" </w:instrText>
      </w:r>
      <w:r>
        <w:fldChar w:fldCharType="separate"/>
      </w:r>
      <w:r>
        <w:rPr>
          <w:rStyle w:val="143"/>
          <w:bCs/>
          <w:spacing w:val="4"/>
          <w:szCs w:val="24"/>
        </w:rPr>
        <w:t>8.3环境风险识别</w:t>
      </w:r>
      <w:r>
        <w:rPr>
          <w:szCs w:val="24"/>
        </w:rPr>
        <w:tab/>
      </w:r>
      <w:r>
        <w:rPr>
          <w:szCs w:val="24"/>
        </w:rPr>
        <w:fldChar w:fldCharType="begin"/>
      </w:r>
      <w:r>
        <w:rPr>
          <w:szCs w:val="24"/>
        </w:rPr>
        <w:instrText xml:space="preserve"> PAGEREF _Toc29110606 \h </w:instrText>
      </w:r>
      <w:r>
        <w:rPr>
          <w:szCs w:val="24"/>
        </w:rPr>
        <w:fldChar w:fldCharType="separate"/>
      </w:r>
      <w:r>
        <w:rPr>
          <w:szCs w:val="24"/>
        </w:rPr>
        <w:t>120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"_Toc29110607" </w:instrText>
      </w:r>
      <w:r>
        <w:fldChar w:fldCharType="separate"/>
      </w:r>
      <w:r>
        <w:rPr>
          <w:rStyle w:val="143"/>
          <w:bCs/>
          <w:spacing w:val="4"/>
          <w:szCs w:val="24"/>
        </w:rPr>
        <w:t>8.4环境风险分析</w:t>
      </w:r>
      <w:r>
        <w:rPr>
          <w:szCs w:val="24"/>
        </w:rPr>
        <w:tab/>
      </w:r>
      <w:r>
        <w:rPr>
          <w:szCs w:val="24"/>
        </w:rPr>
        <w:fldChar w:fldCharType="begin"/>
      </w:r>
      <w:r>
        <w:rPr>
          <w:szCs w:val="24"/>
        </w:rPr>
        <w:instrText xml:space="preserve"> PAGEREF _Toc29110607 \h </w:instrText>
      </w:r>
      <w:r>
        <w:rPr>
          <w:szCs w:val="24"/>
        </w:rPr>
        <w:fldChar w:fldCharType="separate"/>
      </w:r>
      <w:r>
        <w:rPr>
          <w:szCs w:val="24"/>
        </w:rPr>
        <w:t>121</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"_Toc29110608" </w:instrText>
      </w:r>
      <w:r>
        <w:fldChar w:fldCharType="separate"/>
      </w:r>
      <w:r>
        <w:rPr>
          <w:rStyle w:val="143"/>
          <w:bCs/>
          <w:spacing w:val="4"/>
          <w:szCs w:val="24"/>
        </w:rPr>
        <w:t>8.5环境风险评价自查</w:t>
      </w:r>
      <w:r>
        <w:rPr>
          <w:szCs w:val="24"/>
        </w:rPr>
        <w:tab/>
      </w:r>
      <w:r>
        <w:rPr>
          <w:szCs w:val="24"/>
        </w:rPr>
        <w:fldChar w:fldCharType="begin"/>
      </w:r>
      <w:r>
        <w:rPr>
          <w:szCs w:val="24"/>
        </w:rPr>
        <w:instrText xml:space="preserve"> PAGEREF _Toc29110608 \h </w:instrText>
      </w:r>
      <w:r>
        <w:rPr>
          <w:szCs w:val="24"/>
        </w:rPr>
        <w:fldChar w:fldCharType="separate"/>
      </w:r>
      <w:r>
        <w:rPr>
          <w:szCs w:val="24"/>
        </w:rPr>
        <w:t>128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"_Toc29110609" </w:instrText>
      </w:r>
      <w:r>
        <w:fldChar w:fldCharType="separate"/>
      </w:r>
      <w:r>
        <w:rPr>
          <w:rStyle w:val="143"/>
          <w:bCs/>
          <w:spacing w:val="4"/>
          <w:szCs w:val="24"/>
        </w:rPr>
        <w:t>8.6环境风险防范措施及应急要求</w:t>
      </w:r>
      <w:r>
        <w:rPr>
          <w:szCs w:val="24"/>
        </w:rPr>
        <w:tab/>
      </w:r>
      <w:r>
        <w:rPr>
          <w:szCs w:val="24"/>
        </w:rPr>
        <w:fldChar w:fldCharType="begin"/>
      </w:r>
      <w:r>
        <w:rPr>
          <w:szCs w:val="24"/>
        </w:rPr>
        <w:instrText xml:space="preserve"> PAGEREF _Toc29110609 \h </w:instrText>
      </w:r>
      <w:r>
        <w:rPr>
          <w:szCs w:val="24"/>
        </w:rPr>
        <w:fldChar w:fldCharType="separate"/>
      </w:r>
      <w:r>
        <w:rPr>
          <w:szCs w:val="24"/>
        </w:rPr>
        <w:t>122</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"_Toc29110610" </w:instrText>
      </w:r>
      <w:r>
        <w:fldChar w:fldCharType="separate"/>
      </w:r>
      <w:r>
        <w:rPr>
          <w:rStyle w:val="143"/>
          <w:spacing w:val="4"/>
          <w:szCs w:val="24"/>
        </w:rPr>
        <w:t>8.7分析结论</w:t>
      </w:r>
      <w:r>
        <w:rPr>
          <w:szCs w:val="24"/>
        </w:rPr>
        <w:tab/>
      </w:r>
      <w:r>
        <w:rPr>
          <w:szCs w:val="24"/>
        </w:rPr>
        <w:fldChar w:fldCharType="begin"/>
      </w:r>
      <w:r>
        <w:rPr>
          <w:szCs w:val="24"/>
        </w:rPr>
        <w:instrText xml:space="preserve"> PAGEREF _Toc29110610 \h </w:instrText>
      </w:r>
      <w:r>
        <w:rPr>
          <w:szCs w:val="24"/>
        </w:rPr>
        <w:fldChar w:fldCharType="separate"/>
      </w:r>
      <w:r>
        <w:rPr>
          <w:szCs w:val="24"/>
        </w:rPr>
        <w:t>127</w:t>
      </w:r>
      <w:r>
        <w:rPr>
          <w:szCs w:val="24"/>
        </w:rPr>
        <w:fldChar w:fldCharType="end"/>
      </w:r>
      <w:r>
        <w:rPr>
          <w:szCs w:val="24"/>
        </w:rPr>
        <w:fldChar w:fldCharType="end"/>
      </w:r>
    </w:p>
    <w:p>
      <w:pPr>
        <w:pStyle w:val="60"/>
        <w:tabs>
          <w:tab w:val="left" w:pos="480"/>
          <w:tab w:val="right" w:leader="dot" w:pos="9061"/>
        </w:tabs>
        <w:snapToGrid w:val="0"/>
        <w:spacing w:line="360" w:lineRule="auto"/>
        <w:rPr>
          <w:rFonts w:eastAsia="宋体"/>
          <w:b w:val="0"/>
          <w:bCs w:val="0"/>
          <w:caps w:val="0"/>
          <w:sz w:val="24"/>
          <w:szCs w:val="24"/>
        </w:rPr>
      </w:pPr>
      <w:r>
        <w:fldChar w:fldCharType="begin"/>
      </w:r>
      <w:r>
        <w:instrText xml:space="preserve"> HYPERLINK \l "_Toc29110611" </w:instrText>
      </w:r>
      <w:r>
        <w:fldChar w:fldCharType="separate"/>
      </w:r>
      <w:r>
        <w:rPr>
          <w:rStyle w:val="143"/>
          <w:kern w:val="44"/>
          <w:sz w:val="24"/>
          <w:szCs w:val="24"/>
        </w:rPr>
        <w:t>9</w:t>
      </w:r>
      <w:r>
        <w:rPr>
          <w:rFonts w:eastAsia="宋体"/>
          <w:b w:val="0"/>
          <w:bCs w:val="0"/>
          <w:caps w:val="0"/>
          <w:sz w:val="24"/>
          <w:szCs w:val="24"/>
        </w:rPr>
        <w:tab/>
      </w:r>
      <w:r>
        <w:rPr>
          <w:rStyle w:val="143"/>
          <w:kern w:val="44"/>
          <w:sz w:val="24"/>
          <w:szCs w:val="24"/>
        </w:rPr>
        <w:t>总量控制</w:t>
      </w:r>
      <w:r>
        <w:rPr>
          <w:rFonts w:eastAsia="宋体"/>
          <w:sz w:val="24"/>
          <w:szCs w:val="24"/>
        </w:rPr>
        <w:tab/>
      </w:r>
      <w:r>
        <w:rPr>
          <w:rFonts w:eastAsia="宋体"/>
          <w:sz w:val="24"/>
          <w:szCs w:val="24"/>
        </w:rPr>
        <w:fldChar w:fldCharType="begin"/>
      </w:r>
      <w:r>
        <w:rPr>
          <w:rFonts w:eastAsia="宋体"/>
          <w:sz w:val="24"/>
          <w:szCs w:val="24"/>
        </w:rPr>
        <w:instrText xml:space="preserve"> PAGEREF _Toc29110611 \h </w:instrText>
      </w:r>
      <w:r>
        <w:rPr>
          <w:rFonts w:eastAsia="宋体"/>
          <w:sz w:val="24"/>
          <w:szCs w:val="24"/>
        </w:rPr>
        <w:fldChar w:fldCharType="separate"/>
      </w:r>
      <w:r>
        <w:rPr>
          <w:rFonts w:eastAsia="宋体"/>
          <w:sz w:val="24"/>
          <w:szCs w:val="24"/>
        </w:rPr>
        <w:t>129</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"_Toc29110612" </w:instrText>
      </w:r>
      <w:r>
        <w:fldChar w:fldCharType="separate"/>
      </w:r>
      <w:r>
        <w:rPr>
          <w:rStyle w:val="143"/>
          <w:spacing w:val="4"/>
          <w:szCs w:val="24"/>
        </w:rPr>
        <w:t>9.1总量控制因子确定</w:t>
      </w:r>
      <w:r>
        <w:rPr>
          <w:szCs w:val="24"/>
        </w:rPr>
        <w:tab/>
      </w:r>
      <w:r>
        <w:rPr>
          <w:szCs w:val="24"/>
        </w:rPr>
        <w:fldChar w:fldCharType="begin"/>
      </w:r>
      <w:r>
        <w:rPr>
          <w:szCs w:val="24"/>
        </w:rPr>
        <w:instrText xml:space="preserve"> PAGEREF _Toc29110612 \h </w:instrText>
      </w:r>
      <w:r>
        <w:rPr>
          <w:szCs w:val="24"/>
        </w:rPr>
        <w:fldChar w:fldCharType="separate"/>
      </w:r>
      <w:r>
        <w:rPr>
          <w:szCs w:val="24"/>
        </w:rPr>
        <w:t>129</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"_Toc29110613" </w:instrText>
      </w:r>
      <w:r>
        <w:fldChar w:fldCharType="separate"/>
      </w:r>
      <w:r>
        <w:rPr>
          <w:rStyle w:val="143"/>
          <w:spacing w:val="4"/>
          <w:szCs w:val="24"/>
        </w:rPr>
        <w:t>9.2污染物总量控制指标</w:t>
      </w:r>
      <w:r>
        <w:rPr>
          <w:szCs w:val="24"/>
        </w:rPr>
        <w:tab/>
      </w:r>
      <w:r>
        <w:rPr>
          <w:szCs w:val="24"/>
        </w:rPr>
        <w:fldChar w:fldCharType="begin"/>
      </w:r>
      <w:r>
        <w:rPr>
          <w:szCs w:val="24"/>
        </w:rPr>
        <w:instrText xml:space="preserve"> PAGEREF _Toc29110613 \h </w:instrText>
      </w:r>
      <w:r>
        <w:rPr>
          <w:szCs w:val="24"/>
        </w:rPr>
        <w:fldChar w:fldCharType="separate"/>
      </w:r>
      <w:r>
        <w:rPr>
          <w:szCs w:val="24"/>
        </w:rPr>
        <w:t>129</w:t>
      </w:r>
      <w:r>
        <w:rPr>
          <w:szCs w:val="24"/>
        </w:rPr>
        <w:fldChar w:fldCharType="end"/>
      </w:r>
      <w:r>
        <w:rPr>
          <w:szCs w:val="24"/>
        </w:rPr>
        <w:fldChar w:fldCharType="end"/>
      </w:r>
    </w:p>
    <w:p>
      <w:pPr>
        <w:pStyle w:val="60"/>
        <w:tabs>
          <w:tab w:val="left" w:pos="720"/>
          <w:tab w:val="right" w:leader="dot" w:pos="9061"/>
        </w:tabs>
        <w:snapToGrid w:val="0"/>
        <w:spacing w:line="360" w:lineRule="auto"/>
        <w:rPr>
          <w:rFonts w:eastAsia="宋体"/>
          <w:b w:val="0"/>
          <w:bCs w:val="0"/>
          <w:caps w:val="0"/>
          <w:sz w:val="24"/>
          <w:szCs w:val="24"/>
        </w:rPr>
      </w:pPr>
      <w:r>
        <w:fldChar w:fldCharType="begin"/>
      </w:r>
      <w:r>
        <w:instrText xml:space="preserve"> HYPERLINK \l "_Toc29110614" </w:instrText>
      </w:r>
      <w:r>
        <w:fldChar w:fldCharType="separate"/>
      </w:r>
      <w:r>
        <w:rPr>
          <w:rStyle w:val="143"/>
          <w:kern w:val="44"/>
          <w:sz w:val="24"/>
          <w:szCs w:val="24"/>
        </w:rPr>
        <w:t>10</w:t>
      </w:r>
      <w:r>
        <w:rPr>
          <w:rFonts w:eastAsia="宋体"/>
          <w:b w:val="0"/>
          <w:bCs w:val="0"/>
          <w:caps w:val="0"/>
          <w:sz w:val="24"/>
          <w:szCs w:val="24"/>
        </w:rPr>
        <w:tab/>
      </w:r>
      <w:r>
        <w:rPr>
          <w:rStyle w:val="143"/>
          <w:kern w:val="44"/>
          <w:sz w:val="24"/>
          <w:szCs w:val="24"/>
        </w:rPr>
        <w:t>环境保护措施分析</w:t>
      </w:r>
      <w:r>
        <w:rPr>
          <w:rFonts w:eastAsia="宋体"/>
          <w:sz w:val="24"/>
          <w:szCs w:val="24"/>
        </w:rPr>
        <w:tab/>
      </w:r>
      <w:r>
        <w:rPr>
          <w:rFonts w:eastAsia="宋体"/>
          <w:sz w:val="24"/>
          <w:szCs w:val="24"/>
        </w:rPr>
        <w:fldChar w:fldCharType="begin"/>
      </w:r>
      <w:r>
        <w:rPr>
          <w:rFonts w:eastAsia="宋体"/>
          <w:sz w:val="24"/>
          <w:szCs w:val="24"/>
        </w:rPr>
        <w:instrText xml:space="preserve"> PAGEREF _Toc29110614 \h </w:instrText>
      </w:r>
      <w:r>
        <w:rPr>
          <w:rFonts w:eastAsia="宋体"/>
          <w:sz w:val="24"/>
          <w:szCs w:val="24"/>
        </w:rPr>
        <w:fldChar w:fldCharType="separate"/>
      </w:r>
      <w:r>
        <w:rPr>
          <w:rFonts w:eastAsia="宋体"/>
          <w:sz w:val="24"/>
          <w:szCs w:val="24"/>
        </w:rPr>
        <w:t>130</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"_Toc29110615" </w:instrText>
      </w:r>
      <w:r>
        <w:fldChar w:fldCharType="separate"/>
      </w:r>
      <w:r>
        <w:rPr>
          <w:rStyle w:val="143"/>
          <w:bCs/>
          <w:spacing w:val="4"/>
          <w:szCs w:val="24"/>
        </w:rPr>
        <w:t>10.1 施工期环境保护措施</w:t>
      </w:r>
      <w:r>
        <w:rPr>
          <w:szCs w:val="24"/>
        </w:rPr>
        <w:tab/>
      </w:r>
      <w:r>
        <w:rPr>
          <w:szCs w:val="24"/>
        </w:rPr>
        <w:fldChar w:fldCharType="begin"/>
      </w:r>
      <w:r>
        <w:rPr>
          <w:szCs w:val="24"/>
        </w:rPr>
        <w:instrText xml:space="preserve"> PAGEREF _Toc29110615 \h </w:instrText>
      </w:r>
      <w:r>
        <w:rPr>
          <w:szCs w:val="24"/>
        </w:rPr>
        <w:fldChar w:fldCharType="separate"/>
      </w:r>
      <w:r>
        <w:rPr>
          <w:szCs w:val="24"/>
        </w:rPr>
        <w:t>130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"_Toc29110616" </w:instrText>
      </w:r>
      <w:r>
        <w:fldChar w:fldCharType="separate"/>
      </w:r>
      <w:r>
        <w:rPr>
          <w:rStyle w:val="143"/>
          <w:bCs/>
          <w:spacing w:val="4"/>
          <w:szCs w:val="24"/>
        </w:rPr>
        <w:t>10.2 废水治理措施</w:t>
      </w:r>
      <w:r>
        <w:rPr>
          <w:szCs w:val="24"/>
        </w:rPr>
        <w:tab/>
      </w:r>
      <w:r>
        <w:rPr>
          <w:szCs w:val="24"/>
        </w:rPr>
        <w:fldChar w:fldCharType="begin"/>
      </w:r>
      <w:r>
        <w:rPr>
          <w:szCs w:val="24"/>
        </w:rPr>
        <w:instrText xml:space="preserve"> PAGEREF _Toc29110616 \h </w:instrText>
      </w:r>
      <w:r>
        <w:rPr>
          <w:szCs w:val="24"/>
        </w:rPr>
        <w:fldChar w:fldCharType="separate"/>
      </w:r>
      <w:r>
        <w:rPr>
          <w:szCs w:val="24"/>
        </w:rPr>
        <w:t>132</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"_Toc29110617" </w:instrText>
      </w:r>
      <w:r>
        <w:fldChar w:fldCharType="separate"/>
      </w:r>
      <w:r>
        <w:rPr>
          <w:rStyle w:val="143"/>
          <w:bCs/>
          <w:spacing w:val="4"/>
          <w:szCs w:val="24"/>
        </w:rPr>
        <w:t>10.3 废气治理措施分析</w:t>
      </w:r>
      <w:r>
        <w:rPr>
          <w:szCs w:val="24"/>
        </w:rPr>
        <w:tab/>
      </w:r>
      <w:r>
        <w:rPr>
          <w:szCs w:val="24"/>
        </w:rPr>
        <w:fldChar w:fldCharType="begin"/>
      </w:r>
      <w:r>
        <w:rPr>
          <w:szCs w:val="24"/>
        </w:rPr>
        <w:instrText xml:space="preserve"> PAGEREF _Toc29110617 \h </w:instrText>
      </w:r>
      <w:r>
        <w:rPr>
          <w:szCs w:val="24"/>
        </w:rPr>
        <w:fldChar w:fldCharType="separate"/>
      </w:r>
      <w:r>
        <w:rPr>
          <w:szCs w:val="24"/>
        </w:rPr>
        <w:t>140</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"_Toc29110618" </w:instrText>
      </w:r>
      <w:r>
        <w:fldChar w:fldCharType="separate"/>
      </w:r>
      <w:r>
        <w:rPr>
          <w:rStyle w:val="143"/>
          <w:bCs/>
          <w:spacing w:val="4"/>
          <w:szCs w:val="24"/>
        </w:rPr>
        <w:t>10.4 噪声污染防治对策分析</w:t>
      </w:r>
      <w:r>
        <w:rPr>
          <w:szCs w:val="24"/>
        </w:rPr>
        <w:tab/>
      </w:r>
      <w:r>
        <w:rPr>
          <w:szCs w:val="24"/>
        </w:rPr>
        <w:fldChar w:fldCharType="begin"/>
      </w:r>
      <w:r>
        <w:rPr>
          <w:szCs w:val="24"/>
        </w:rPr>
        <w:instrText xml:space="preserve"> PAGEREF _Toc29110618 \h </w:instrText>
      </w:r>
      <w:r>
        <w:rPr>
          <w:szCs w:val="24"/>
        </w:rPr>
        <w:fldChar w:fldCharType="separate"/>
      </w:r>
      <w:r>
        <w:rPr>
          <w:szCs w:val="24"/>
        </w:rPr>
        <w:t>143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"_Toc29110619" </w:instrText>
      </w:r>
      <w:r>
        <w:fldChar w:fldCharType="separate"/>
      </w:r>
      <w:r>
        <w:rPr>
          <w:rStyle w:val="143"/>
          <w:bCs/>
          <w:spacing w:val="4"/>
          <w:szCs w:val="24"/>
        </w:rPr>
        <w:t>10.5 固体污染防治对策分析</w:t>
      </w:r>
      <w:r>
        <w:rPr>
          <w:szCs w:val="24"/>
        </w:rPr>
        <w:tab/>
      </w:r>
      <w:r>
        <w:rPr>
          <w:szCs w:val="24"/>
        </w:rPr>
        <w:fldChar w:fldCharType="begin"/>
      </w:r>
      <w:r>
        <w:rPr>
          <w:szCs w:val="24"/>
        </w:rPr>
        <w:instrText xml:space="preserve"> PAGEREF _Toc29110619 \h </w:instrText>
      </w:r>
      <w:r>
        <w:rPr>
          <w:szCs w:val="24"/>
        </w:rPr>
        <w:fldChar w:fldCharType="separate"/>
      </w:r>
      <w:r>
        <w:rPr>
          <w:szCs w:val="24"/>
        </w:rPr>
        <w:t>143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"_Toc29110620" </w:instrText>
      </w:r>
      <w:r>
        <w:fldChar w:fldCharType="separate"/>
      </w:r>
      <w:r>
        <w:rPr>
          <w:rStyle w:val="143"/>
          <w:bCs/>
          <w:spacing w:val="4"/>
          <w:szCs w:val="24"/>
        </w:rPr>
        <w:t>10.6地下水污染防治对策分析</w:t>
      </w:r>
      <w:r>
        <w:rPr>
          <w:szCs w:val="24"/>
        </w:rPr>
        <w:tab/>
      </w:r>
      <w:r>
        <w:rPr>
          <w:szCs w:val="24"/>
        </w:rPr>
        <w:fldChar w:fldCharType="begin"/>
      </w:r>
      <w:r>
        <w:rPr>
          <w:szCs w:val="24"/>
        </w:rPr>
        <w:instrText xml:space="preserve"> PAGEREF _Toc29110620 \h </w:instrText>
      </w:r>
      <w:r>
        <w:rPr>
          <w:szCs w:val="24"/>
        </w:rPr>
        <w:fldChar w:fldCharType="separate"/>
      </w:r>
      <w:r>
        <w:rPr>
          <w:szCs w:val="24"/>
        </w:rPr>
        <w:t>145</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"_Toc29110621" </w:instrText>
      </w:r>
      <w:r>
        <w:fldChar w:fldCharType="separate"/>
      </w:r>
      <w:r>
        <w:rPr>
          <w:rStyle w:val="143"/>
          <w:bCs/>
          <w:spacing w:val="4"/>
          <w:szCs w:val="24"/>
        </w:rPr>
        <w:t>10.7 土壤环境保护措施</w:t>
      </w:r>
      <w:r>
        <w:rPr>
          <w:szCs w:val="24"/>
        </w:rPr>
        <w:tab/>
      </w:r>
      <w:r>
        <w:rPr>
          <w:szCs w:val="24"/>
        </w:rPr>
        <w:fldChar w:fldCharType="begin"/>
      </w:r>
      <w:r>
        <w:rPr>
          <w:szCs w:val="24"/>
        </w:rPr>
        <w:instrText xml:space="preserve"> PAGEREF _Toc29110621 \h </w:instrText>
      </w:r>
      <w:r>
        <w:rPr>
          <w:szCs w:val="24"/>
        </w:rPr>
        <w:fldChar w:fldCharType="separate"/>
      </w:r>
      <w:r>
        <w:rPr>
          <w:szCs w:val="24"/>
        </w:rPr>
        <w:t>148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"_Toc29110622" </w:instrText>
      </w:r>
      <w:r>
        <w:fldChar w:fldCharType="separate"/>
      </w:r>
      <w:r>
        <w:rPr>
          <w:rStyle w:val="143"/>
          <w:bCs/>
          <w:spacing w:val="4"/>
          <w:szCs w:val="24"/>
        </w:rPr>
        <w:t>10.8 运输过程污染防治措施</w:t>
      </w:r>
      <w:r>
        <w:rPr>
          <w:szCs w:val="24"/>
        </w:rPr>
        <w:tab/>
      </w:r>
      <w:r>
        <w:rPr>
          <w:szCs w:val="24"/>
        </w:rPr>
        <w:fldChar w:fldCharType="begin"/>
      </w:r>
      <w:r>
        <w:rPr>
          <w:szCs w:val="24"/>
        </w:rPr>
        <w:instrText xml:space="preserve"> PAGEREF _Toc29110622 \h </w:instrText>
      </w:r>
      <w:r>
        <w:rPr>
          <w:szCs w:val="24"/>
        </w:rPr>
        <w:fldChar w:fldCharType="separate"/>
      </w:r>
      <w:r>
        <w:rPr>
          <w:szCs w:val="24"/>
        </w:rPr>
        <w:t>148</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"_Toc29110623" </w:instrText>
      </w:r>
      <w:r>
        <w:fldChar w:fldCharType="separate"/>
      </w:r>
      <w:r>
        <w:rPr>
          <w:rStyle w:val="143"/>
          <w:bCs/>
          <w:spacing w:val="4"/>
          <w:szCs w:val="24"/>
        </w:rPr>
        <w:t>10.9 环保投资</w:t>
      </w:r>
      <w:r>
        <w:rPr>
          <w:szCs w:val="24"/>
        </w:rPr>
        <w:tab/>
      </w:r>
      <w:r>
        <w:rPr>
          <w:szCs w:val="24"/>
        </w:rPr>
        <w:fldChar w:fldCharType="begin"/>
      </w:r>
      <w:r>
        <w:rPr>
          <w:szCs w:val="24"/>
        </w:rPr>
        <w:instrText xml:space="preserve"> PAGEREF _Toc29110623 \h </w:instrText>
      </w:r>
      <w:r>
        <w:rPr>
          <w:szCs w:val="24"/>
        </w:rPr>
        <w:fldChar w:fldCharType="separate"/>
      </w:r>
      <w:r>
        <w:rPr>
          <w:szCs w:val="24"/>
        </w:rPr>
        <w:t>148</w:t>
      </w:r>
      <w:r>
        <w:rPr>
          <w:szCs w:val="24"/>
        </w:rPr>
        <w:fldChar w:fldCharType="end"/>
      </w:r>
      <w:r>
        <w:rPr>
          <w:szCs w:val="24"/>
        </w:rPr>
        <w:fldChar w:fldCharType="end"/>
      </w:r>
    </w:p>
    <w:p>
      <w:pPr>
        <w:pStyle w:val="60"/>
        <w:tabs>
          <w:tab w:val="left" w:pos="720"/>
          <w:tab w:val="right" w:leader="dot" w:pos="9061"/>
        </w:tabs>
        <w:snapToGrid w:val="0"/>
        <w:spacing w:line="360" w:lineRule="auto"/>
        <w:rPr>
          <w:rFonts w:eastAsia="宋体"/>
          <w:b w:val="0"/>
          <w:bCs w:val="0"/>
          <w:caps w:val="0"/>
          <w:sz w:val="24"/>
          <w:szCs w:val="24"/>
        </w:rPr>
      </w:pPr>
      <w:r>
        <w:fldChar w:fldCharType="begin"/>
      </w:r>
      <w:r>
        <w:instrText xml:space="preserve"> HYPERLINK \l "_Toc29110624" </w:instrText>
      </w:r>
      <w:r>
        <w:fldChar w:fldCharType="separate"/>
      </w:r>
      <w:r>
        <w:rPr>
          <w:rStyle w:val="143"/>
          <w:kern w:val="44"/>
          <w:sz w:val="24"/>
          <w:szCs w:val="24"/>
        </w:rPr>
        <w:t>11</w:t>
      </w:r>
      <w:r>
        <w:rPr>
          <w:rFonts w:eastAsia="宋体"/>
          <w:b w:val="0"/>
          <w:bCs w:val="0"/>
          <w:caps w:val="0"/>
          <w:sz w:val="24"/>
          <w:szCs w:val="24"/>
        </w:rPr>
        <w:tab/>
      </w:r>
      <w:r>
        <w:rPr>
          <w:rStyle w:val="143"/>
          <w:kern w:val="44"/>
          <w:sz w:val="24"/>
          <w:szCs w:val="24"/>
        </w:rPr>
        <w:t>环境影响经济损益分析</w:t>
      </w:r>
      <w:r>
        <w:rPr>
          <w:rFonts w:eastAsia="宋体"/>
          <w:sz w:val="24"/>
          <w:szCs w:val="24"/>
        </w:rPr>
        <w:tab/>
      </w:r>
      <w:r>
        <w:rPr>
          <w:rFonts w:eastAsia="宋体"/>
          <w:sz w:val="24"/>
          <w:szCs w:val="24"/>
        </w:rPr>
        <w:fldChar w:fldCharType="begin"/>
      </w:r>
      <w:r>
        <w:rPr>
          <w:rFonts w:eastAsia="宋体"/>
          <w:sz w:val="24"/>
          <w:szCs w:val="24"/>
        </w:rPr>
        <w:instrText xml:space="preserve"> PAGEREF _Toc29110624 \h </w:instrText>
      </w:r>
      <w:r>
        <w:rPr>
          <w:rFonts w:eastAsia="宋体"/>
          <w:sz w:val="24"/>
          <w:szCs w:val="24"/>
        </w:rPr>
        <w:fldChar w:fldCharType="separate"/>
      </w:r>
      <w:r>
        <w:rPr>
          <w:rFonts w:eastAsia="宋体"/>
          <w:sz w:val="24"/>
          <w:szCs w:val="24"/>
        </w:rPr>
        <w:t>151</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"_Toc29110625" </w:instrText>
      </w:r>
      <w:r>
        <w:fldChar w:fldCharType="separate"/>
      </w:r>
      <w:r>
        <w:rPr>
          <w:rStyle w:val="143"/>
          <w:bCs/>
          <w:spacing w:val="4"/>
          <w:szCs w:val="24"/>
        </w:rPr>
        <w:t>11.1 项目的社会效益分析</w:t>
      </w:r>
      <w:r>
        <w:rPr>
          <w:szCs w:val="24"/>
        </w:rPr>
        <w:tab/>
      </w:r>
      <w:r>
        <w:rPr>
          <w:szCs w:val="24"/>
        </w:rPr>
        <w:fldChar w:fldCharType="begin"/>
      </w:r>
      <w:r>
        <w:rPr>
          <w:szCs w:val="24"/>
        </w:rPr>
        <w:instrText xml:space="preserve"> PAGEREF _Toc29110625 \h </w:instrText>
      </w:r>
      <w:r>
        <w:rPr>
          <w:szCs w:val="24"/>
        </w:rPr>
        <w:fldChar w:fldCharType="separate"/>
      </w:r>
      <w:r>
        <w:rPr>
          <w:szCs w:val="24"/>
        </w:rPr>
        <w:t>151</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"_Toc29110626" </w:instrText>
      </w:r>
      <w:r>
        <w:fldChar w:fldCharType="separate"/>
      </w:r>
      <w:r>
        <w:rPr>
          <w:rStyle w:val="143"/>
          <w:bCs/>
          <w:spacing w:val="4"/>
          <w:szCs w:val="24"/>
        </w:rPr>
        <w:t>11.2 环境效益分析</w:t>
      </w:r>
      <w:r>
        <w:rPr>
          <w:szCs w:val="24"/>
        </w:rPr>
        <w:tab/>
      </w:r>
      <w:r>
        <w:rPr>
          <w:szCs w:val="24"/>
        </w:rPr>
        <w:fldChar w:fldCharType="begin"/>
      </w:r>
      <w:r>
        <w:rPr>
          <w:szCs w:val="24"/>
        </w:rPr>
        <w:instrText xml:space="preserve"> PAGEREF _Toc29110626 \h </w:instrText>
      </w:r>
      <w:r>
        <w:rPr>
          <w:szCs w:val="24"/>
        </w:rPr>
        <w:fldChar w:fldCharType="separate"/>
      </w:r>
      <w:r>
        <w:rPr>
          <w:szCs w:val="24"/>
        </w:rPr>
        <w:t>151</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"_Toc29110627" </w:instrText>
      </w:r>
      <w:r>
        <w:fldChar w:fldCharType="separate"/>
      </w:r>
      <w:r>
        <w:rPr>
          <w:rStyle w:val="143"/>
          <w:bCs/>
          <w:spacing w:val="4"/>
          <w:szCs w:val="24"/>
        </w:rPr>
        <w:t>11.3 经济效益分析</w:t>
      </w:r>
      <w:r>
        <w:rPr>
          <w:szCs w:val="24"/>
        </w:rPr>
        <w:tab/>
      </w:r>
      <w:r>
        <w:rPr>
          <w:szCs w:val="24"/>
        </w:rPr>
        <w:fldChar w:fldCharType="begin"/>
      </w:r>
      <w:r>
        <w:rPr>
          <w:szCs w:val="24"/>
        </w:rPr>
        <w:instrText xml:space="preserve"> PAGEREF _Toc29110627 \h </w:instrText>
      </w:r>
      <w:r>
        <w:rPr>
          <w:szCs w:val="24"/>
        </w:rPr>
        <w:fldChar w:fldCharType="separate"/>
      </w:r>
      <w:r>
        <w:rPr>
          <w:szCs w:val="24"/>
        </w:rPr>
        <w:t>152</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"_Toc29110628" </w:instrText>
      </w:r>
      <w:r>
        <w:fldChar w:fldCharType="separate"/>
      </w:r>
      <w:r>
        <w:rPr>
          <w:rStyle w:val="143"/>
          <w:spacing w:val="4"/>
          <w:szCs w:val="24"/>
        </w:rPr>
        <w:t>11.4 环境经济损益分析结论</w:t>
      </w:r>
      <w:r>
        <w:rPr>
          <w:szCs w:val="24"/>
        </w:rPr>
        <w:tab/>
      </w:r>
      <w:r>
        <w:rPr>
          <w:szCs w:val="24"/>
        </w:rPr>
        <w:fldChar w:fldCharType="begin"/>
      </w:r>
      <w:r>
        <w:rPr>
          <w:szCs w:val="24"/>
        </w:rPr>
        <w:instrText xml:space="preserve"> PAGEREF _Toc29110628 \h </w:instrText>
      </w:r>
      <w:r>
        <w:rPr>
          <w:szCs w:val="24"/>
        </w:rPr>
        <w:fldChar w:fldCharType="separate"/>
      </w:r>
      <w:r>
        <w:rPr>
          <w:szCs w:val="24"/>
        </w:rPr>
        <w:t>152</w:t>
      </w:r>
      <w:r>
        <w:rPr>
          <w:szCs w:val="24"/>
        </w:rPr>
        <w:fldChar w:fldCharType="end"/>
      </w:r>
      <w:r>
        <w:rPr>
          <w:szCs w:val="24"/>
        </w:rPr>
        <w:fldChar w:fldCharType="end"/>
      </w:r>
    </w:p>
    <w:p>
      <w:pPr>
        <w:pStyle w:val="60"/>
        <w:tabs>
          <w:tab w:val="left" w:pos="720"/>
          <w:tab w:val="right" w:leader="dot" w:pos="9061"/>
        </w:tabs>
        <w:snapToGrid w:val="0"/>
        <w:spacing w:line="360" w:lineRule="auto"/>
        <w:rPr>
          <w:rFonts w:eastAsia="宋体"/>
          <w:b w:val="0"/>
          <w:bCs w:val="0"/>
          <w:caps w:val="0"/>
          <w:sz w:val="24"/>
          <w:szCs w:val="24"/>
        </w:rPr>
      </w:pPr>
      <w:r>
        <w:fldChar w:fldCharType="begin"/>
      </w:r>
      <w:r>
        <w:instrText xml:space="preserve"> HYPERLINK \l "_Toc29110629" </w:instrText>
      </w:r>
      <w:r>
        <w:fldChar w:fldCharType="separate"/>
      </w:r>
      <w:r>
        <w:rPr>
          <w:rStyle w:val="143"/>
          <w:kern w:val="44"/>
          <w:sz w:val="24"/>
          <w:szCs w:val="24"/>
        </w:rPr>
        <w:t>12</w:t>
      </w:r>
      <w:r>
        <w:rPr>
          <w:rFonts w:eastAsia="宋体"/>
          <w:b w:val="0"/>
          <w:bCs w:val="0"/>
          <w:caps w:val="0"/>
          <w:sz w:val="24"/>
          <w:szCs w:val="24"/>
        </w:rPr>
        <w:tab/>
      </w:r>
      <w:r>
        <w:rPr>
          <w:rStyle w:val="143"/>
          <w:kern w:val="44"/>
          <w:sz w:val="24"/>
          <w:szCs w:val="24"/>
        </w:rPr>
        <w:t>环境管理与监测</w:t>
      </w:r>
      <w:r>
        <w:rPr>
          <w:rFonts w:eastAsia="宋体"/>
          <w:sz w:val="24"/>
          <w:szCs w:val="24"/>
        </w:rPr>
        <w:tab/>
      </w:r>
      <w:r>
        <w:rPr>
          <w:rFonts w:eastAsia="宋体"/>
          <w:sz w:val="24"/>
          <w:szCs w:val="24"/>
        </w:rPr>
        <w:fldChar w:fldCharType="begin"/>
      </w:r>
      <w:r>
        <w:rPr>
          <w:rFonts w:eastAsia="宋体"/>
          <w:sz w:val="24"/>
          <w:szCs w:val="24"/>
        </w:rPr>
        <w:instrText xml:space="preserve"> PAGEREF _Toc29110629 \h </w:instrText>
      </w:r>
      <w:r>
        <w:rPr>
          <w:rFonts w:eastAsia="宋体"/>
          <w:sz w:val="24"/>
          <w:szCs w:val="24"/>
        </w:rPr>
        <w:fldChar w:fldCharType="separate"/>
      </w:r>
      <w:r>
        <w:rPr>
          <w:rFonts w:eastAsia="宋体"/>
          <w:sz w:val="24"/>
          <w:szCs w:val="24"/>
        </w:rPr>
        <w:t>153</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"_Toc29110630" </w:instrText>
      </w:r>
      <w:r>
        <w:fldChar w:fldCharType="separate"/>
      </w:r>
      <w:r>
        <w:rPr>
          <w:rStyle w:val="143"/>
          <w:bCs/>
          <w:spacing w:val="4"/>
          <w:szCs w:val="24"/>
        </w:rPr>
        <w:t>12.1 环境管理</w:t>
      </w:r>
      <w:r>
        <w:rPr>
          <w:szCs w:val="24"/>
        </w:rPr>
        <w:tab/>
      </w:r>
      <w:r>
        <w:rPr>
          <w:szCs w:val="24"/>
        </w:rPr>
        <w:fldChar w:fldCharType="begin"/>
      </w:r>
      <w:r>
        <w:rPr>
          <w:szCs w:val="24"/>
        </w:rPr>
        <w:instrText xml:space="preserve"> PAGEREF _Toc29110630 \h </w:instrText>
      </w:r>
      <w:r>
        <w:rPr>
          <w:szCs w:val="24"/>
        </w:rPr>
        <w:fldChar w:fldCharType="separate"/>
      </w:r>
      <w:r>
        <w:rPr>
          <w:szCs w:val="24"/>
        </w:rPr>
        <w:t>153</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"_Toc29110631" </w:instrText>
      </w:r>
      <w:r>
        <w:fldChar w:fldCharType="separate"/>
      </w:r>
      <w:r>
        <w:rPr>
          <w:rStyle w:val="143"/>
          <w:bCs/>
          <w:spacing w:val="4"/>
          <w:szCs w:val="24"/>
        </w:rPr>
        <w:t>12.2环境监测</w:t>
      </w:r>
      <w:r>
        <w:rPr>
          <w:szCs w:val="24"/>
        </w:rPr>
        <w:tab/>
      </w:r>
      <w:r>
        <w:rPr>
          <w:szCs w:val="24"/>
        </w:rPr>
        <w:fldChar w:fldCharType="begin"/>
      </w:r>
      <w:r>
        <w:rPr>
          <w:szCs w:val="24"/>
        </w:rPr>
        <w:instrText xml:space="preserve"> PAGEREF _Toc29110631 \h </w:instrText>
      </w:r>
      <w:r>
        <w:rPr>
          <w:szCs w:val="24"/>
        </w:rPr>
        <w:fldChar w:fldCharType="separate"/>
      </w:r>
      <w:r>
        <w:rPr>
          <w:szCs w:val="24"/>
        </w:rPr>
        <w:t>155</w:t>
      </w:r>
      <w:r>
        <w:rPr>
          <w:szCs w:val="24"/>
        </w:rPr>
        <w:fldChar w:fldCharType="end"/>
      </w:r>
      <w:r>
        <w:rPr>
          <w:szCs w:val="24"/>
        </w:rPr>
        <w:fldChar w:fldCharType="end"/>
      </w:r>
    </w:p>
    <w:p>
      <w:pPr>
        <w:pStyle w:val="60"/>
        <w:tabs>
          <w:tab w:val="left" w:pos="720"/>
          <w:tab w:val="right" w:leader="dot" w:pos="9061"/>
        </w:tabs>
        <w:snapToGrid w:val="0"/>
        <w:spacing w:line="360" w:lineRule="auto"/>
        <w:rPr>
          <w:rFonts w:eastAsia="宋体"/>
          <w:b w:val="0"/>
          <w:bCs w:val="0"/>
          <w:caps w:val="0"/>
          <w:sz w:val="24"/>
          <w:szCs w:val="24"/>
        </w:rPr>
      </w:pPr>
      <w:r>
        <w:fldChar w:fldCharType="begin"/>
      </w:r>
      <w:r>
        <w:instrText xml:space="preserve"> HYPERLINK \l "_Toc29110632" </w:instrText>
      </w:r>
      <w:r>
        <w:fldChar w:fldCharType="separate"/>
      </w:r>
      <w:r>
        <w:rPr>
          <w:rStyle w:val="143"/>
          <w:kern w:val="44"/>
          <w:sz w:val="24"/>
          <w:szCs w:val="24"/>
        </w:rPr>
        <w:t>13</w:t>
      </w:r>
      <w:r>
        <w:rPr>
          <w:rFonts w:eastAsia="宋体"/>
          <w:b w:val="0"/>
          <w:bCs w:val="0"/>
          <w:caps w:val="0"/>
          <w:sz w:val="24"/>
          <w:szCs w:val="24"/>
        </w:rPr>
        <w:tab/>
      </w:r>
      <w:r>
        <w:rPr>
          <w:rStyle w:val="143"/>
          <w:kern w:val="44"/>
          <w:sz w:val="24"/>
          <w:szCs w:val="24"/>
        </w:rPr>
        <w:t>环境影响评价结论及建议</w:t>
      </w:r>
      <w:r>
        <w:rPr>
          <w:rFonts w:eastAsia="宋体"/>
          <w:sz w:val="24"/>
          <w:szCs w:val="24"/>
        </w:rPr>
        <w:tab/>
      </w:r>
      <w:r>
        <w:rPr>
          <w:rFonts w:eastAsia="宋体"/>
          <w:sz w:val="24"/>
          <w:szCs w:val="24"/>
        </w:rPr>
        <w:fldChar w:fldCharType="begin"/>
      </w:r>
      <w:r>
        <w:rPr>
          <w:rFonts w:eastAsia="宋体"/>
          <w:sz w:val="24"/>
          <w:szCs w:val="24"/>
        </w:rPr>
        <w:instrText xml:space="preserve"> PAGEREF _Toc29110632 \h </w:instrText>
      </w:r>
      <w:r>
        <w:rPr>
          <w:rFonts w:eastAsia="宋体"/>
          <w:sz w:val="24"/>
          <w:szCs w:val="24"/>
        </w:rPr>
        <w:fldChar w:fldCharType="separate"/>
      </w:r>
      <w:r>
        <w:rPr>
          <w:rFonts w:eastAsia="宋体"/>
          <w:sz w:val="24"/>
          <w:szCs w:val="24"/>
        </w:rPr>
        <w:t>157</w:t>
      </w:r>
      <w:r>
        <w:rPr>
          <w:rFonts w:eastAsia="宋体"/>
          <w:sz w:val="24"/>
          <w:szCs w:val="24"/>
        </w:rPr>
        <w:fldChar w:fldCharType="end"/>
      </w:r>
      <w:r>
        <w:rPr>
          <w:rFonts w:eastAsia="宋体"/>
          <w:sz w:val="24"/>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"_Toc29110633" </w:instrText>
      </w:r>
      <w:r>
        <w:fldChar w:fldCharType="separate"/>
      </w:r>
      <w:r>
        <w:rPr>
          <w:rStyle w:val="143"/>
          <w:bCs/>
          <w:spacing w:val="4"/>
          <w:szCs w:val="24"/>
        </w:rPr>
        <w:t>13.1 环境影响评价结论</w:t>
      </w:r>
      <w:r>
        <w:rPr>
          <w:szCs w:val="24"/>
        </w:rPr>
        <w:tab/>
      </w:r>
      <w:r>
        <w:rPr>
          <w:szCs w:val="24"/>
        </w:rPr>
        <w:fldChar w:fldCharType="begin"/>
      </w:r>
      <w:r>
        <w:rPr>
          <w:szCs w:val="24"/>
        </w:rPr>
        <w:instrText xml:space="preserve"> PAGEREF _Toc29110633 \h </w:instrText>
      </w:r>
      <w:r>
        <w:rPr>
          <w:szCs w:val="24"/>
        </w:rPr>
        <w:fldChar w:fldCharType="separate"/>
      </w:r>
      <w:r>
        <w:rPr>
          <w:szCs w:val="24"/>
        </w:rPr>
        <w:t>157</w:t>
      </w:r>
      <w:r>
        <w:rPr>
          <w:szCs w:val="24"/>
        </w:rPr>
        <w:fldChar w:fldCharType="end"/>
      </w:r>
      <w:r>
        <w:rPr>
          <w:szCs w:val="24"/>
        </w:rPr>
        <w:fldChar w:fldCharType="end"/>
      </w:r>
    </w:p>
    <w:p>
      <w:pPr>
        <w:pStyle w:val="75"/>
        <w:tabs>
          <w:tab w:val="right" w:leader="dot" w:pos="9061"/>
        </w:tabs>
        <w:spacing w:line="360" w:lineRule="auto"/>
        <w:ind w:firstLine="480"/>
        <w:rPr>
          <w:smallCaps w:val="0"/>
          <w:szCs w:val="24"/>
        </w:rPr>
      </w:pPr>
      <w:r>
        <w:fldChar w:fldCharType="begin"/>
      </w:r>
      <w:r>
        <w:instrText xml:space="preserve"> HYPERLINK \l "_Toc29110634" </w:instrText>
      </w:r>
      <w:r>
        <w:fldChar w:fldCharType="separate"/>
      </w:r>
      <w:r>
        <w:rPr>
          <w:rStyle w:val="143"/>
          <w:bCs/>
          <w:spacing w:val="4"/>
          <w:szCs w:val="24"/>
        </w:rPr>
        <w:t>14.2 环境保护对策建议</w:t>
      </w:r>
      <w:r>
        <w:rPr>
          <w:szCs w:val="24"/>
        </w:rPr>
        <w:tab/>
      </w:r>
      <w:r>
        <w:rPr>
          <w:szCs w:val="24"/>
        </w:rPr>
        <w:fldChar w:fldCharType="begin"/>
      </w:r>
      <w:r>
        <w:rPr>
          <w:szCs w:val="24"/>
        </w:rPr>
        <w:instrText xml:space="preserve"> PAGEREF _Toc29110634 \h </w:instrText>
      </w:r>
      <w:r>
        <w:rPr>
          <w:szCs w:val="24"/>
        </w:rPr>
        <w:fldChar w:fldCharType="separate"/>
      </w:r>
      <w:r>
        <w:rPr>
          <w:szCs w:val="24"/>
        </w:rPr>
        <w:t>160</w:t>
      </w:r>
      <w:r>
        <w:rPr>
          <w:szCs w:val="24"/>
        </w:rPr>
        <w:fldChar w:fldCharType="end"/>
      </w:r>
      <w:r>
        <w:rPr>
          <w:szCs w:val="24"/>
        </w:rPr>
        <w:fldChar w:fldCharType="end"/>
      </w:r>
    </w:p>
    <w:p>
      <w:pPr>
        <w:snapToGrid w:val="0"/>
      </w:pPr>
      <w:r>
        <w:fldChar w:fldCharType="end"/>
      </w: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480"/>
        <w:rPr>
          <w:rFonts w:hint="default"/>
        </w:rPr>
      </w:pPr>
    </w:p>
    <w:p>
      <w:pPr>
        <w:rPr>
          <w:rFonts w:eastAsia="黑体"/>
          <w:b/>
          <w:sz w:val="28"/>
          <w:szCs w:val="28"/>
        </w:rPr>
      </w:pPr>
      <w:bookmarkStart w:id="0" w:name="_Toc457480903"/>
      <w:bookmarkStart w:id="1" w:name="_Toc179923020"/>
      <w:bookmarkStart w:id="2" w:name="_Toc88466675"/>
      <w:bookmarkStart w:id="3" w:name="_Toc76139316"/>
      <w:bookmarkStart w:id="4" w:name="_Toc423336622"/>
      <w:bookmarkStart w:id="5" w:name="_Toc82857176"/>
      <w:bookmarkStart w:id="6" w:name="_Toc114997720"/>
      <w:bookmarkStart w:id="7" w:name="_Toc115259799"/>
      <w:bookmarkStart w:id="8" w:name="_Toc78362465"/>
      <w:bookmarkStart w:id="9" w:name="_Toc504528418"/>
      <w:bookmarkStart w:id="10" w:name="_Toc78188709"/>
      <w:bookmarkStart w:id="11" w:name="_Toc78362430"/>
      <w:bookmarkStart w:id="12" w:name="_Toc371842570"/>
      <w:bookmarkStart w:id="13" w:name="_Toc397617876"/>
      <w:bookmarkStart w:id="14" w:name="_Toc353371821"/>
      <w:bookmarkStart w:id="15" w:name="_Toc282150674"/>
      <w:bookmarkStart w:id="16" w:name="_Toc369424926"/>
      <w:bookmarkStart w:id="17" w:name="_Toc398542215"/>
      <w:bookmarkStart w:id="18" w:name="_Toc397617767"/>
      <w:bookmarkStart w:id="19" w:name="_Toc398542443"/>
      <w:bookmarkStart w:id="20" w:name="_Toc347069674"/>
      <w:bookmarkStart w:id="21" w:name="_Toc352405591"/>
      <w:bookmarkStart w:id="22" w:name="_Toc371841801"/>
      <w:bookmarkStart w:id="23" w:name="_Toc353111311"/>
      <w:bookmarkStart w:id="24" w:name="_Toc371842092"/>
      <w:bookmarkStart w:id="25" w:name="_Toc354073727"/>
      <w:bookmarkStart w:id="26" w:name="_Toc352259958"/>
      <w:bookmarkStart w:id="27" w:name="_Toc353371898"/>
      <w:bookmarkStart w:id="28" w:name="_Toc347069746"/>
      <w:bookmarkStart w:id="29" w:name="_Toc397617808"/>
      <w:bookmarkStart w:id="30" w:name="_Toc352259854"/>
      <w:bookmarkStart w:id="31" w:name="_Toc407097726"/>
      <w:bookmarkStart w:id="32" w:name="_Toc353418299"/>
      <w:bookmarkStart w:id="33" w:name="_Toc290218674"/>
      <w:bookmarkStart w:id="34" w:name="_Toc354074769"/>
      <w:bookmarkStart w:id="35" w:name="_Toc106964259"/>
      <w:bookmarkStart w:id="36" w:name="_Toc106964066"/>
      <w:bookmarkStart w:id="37" w:name="_Toc398542349"/>
      <w:bookmarkStart w:id="38" w:name="_Toc369425018"/>
      <w:bookmarkStart w:id="39" w:name="_Toc108454833"/>
      <w:bookmarkStart w:id="40" w:name="_Toc108454835"/>
      <w:bookmarkStart w:id="41" w:name="_Toc288818105"/>
      <w:bookmarkStart w:id="42" w:name="_Toc127891668"/>
      <w:bookmarkStart w:id="43" w:name="_Toc251939699"/>
      <w:bookmarkStart w:id="44" w:name="_Toc282443856"/>
      <w:bookmarkStart w:id="45" w:name="_Toc117874729"/>
      <w:bookmarkStart w:id="46" w:name="_Toc128178230"/>
      <w:bookmarkStart w:id="47" w:name="_Toc106964064"/>
      <w:bookmarkStart w:id="48" w:name="_Toc72030113"/>
      <w:bookmarkStart w:id="49" w:name="_Toc371842497"/>
      <w:bookmarkStart w:id="50" w:name="_Toc106964257"/>
      <w:bookmarkStart w:id="51" w:name="_Toc130315926"/>
      <w:bookmarkStart w:id="52" w:name="_Toc398542020"/>
      <w:bookmarkStart w:id="53" w:name="_Toc72030116"/>
      <w:r>
        <w:rPr>
          <w:rFonts w:eastAsia="黑体"/>
          <w:b/>
          <w:sz w:val="28"/>
          <w:szCs w:val="28"/>
        </w:rPr>
        <w:t>附图</w:t>
      </w:r>
    </w:p>
    <w:p>
      <w:pPr>
        <w:ind w:firstLine="484" w:firstLineChars="202"/>
      </w:pPr>
      <w:r>
        <w:t>附图1  项目地理位置图</w:t>
      </w:r>
    </w:p>
    <w:p>
      <w:pPr>
        <w:ind w:firstLine="484" w:firstLineChars="202"/>
      </w:pPr>
      <w:r>
        <w:t>附图2  项目平面布置图</w:t>
      </w:r>
    </w:p>
    <w:p>
      <w:pPr>
        <w:ind w:firstLine="484" w:firstLineChars="202"/>
      </w:pPr>
      <w:r>
        <w:t>附图3  项目</w:t>
      </w:r>
      <w:r>
        <w:rPr>
          <w:rFonts w:hint="eastAsia"/>
        </w:rPr>
        <w:t>外环境关系示意图</w:t>
      </w:r>
    </w:p>
    <w:p>
      <w:pPr>
        <w:ind w:firstLine="484" w:firstLineChars="202"/>
      </w:pPr>
      <w:r>
        <w:t>附图4  项目</w:t>
      </w:r>
      <w:r>
        <w:rPr>
          <w:rFonts w:hint="eastAsia"/>
        </w:rPr>
        <w:t>防渗分区示意图</w:t>
      </w:r>
    </w:p>
    <w:p>
      <w:pPr>
        <w:ind w:firstLine="484" w:firstLineChars="202"/>
      </w:pPr>
      <w:r>
        <w:t xml:space="preserve">附图5  </w:t>
      </w:r>
      <w:r>
        <w:rPr>
          <w:rFonts w:hint="eastAsia"/>
        </w:rPr>
        <w:t>卫生防护距离包络线图</w:t>
      </w:r>
    </w:p>
    <w:p>
      <w:pPr>
        <w:rPr>
          <w:rFonts w:eastAsia="黑体"/>
          <w:b/>
          <w:sz w:val="28"/>
          <w:szCs w:val="28"/>
        </w:rPr>
      </w:pPr>
      <w:r>
        <w:rPr>
          <w:rFonts w:eastAsia="黑体"/>
          <w:b/>
          <w:sz w:val="28"/>
          <w:szCs w:val="28"/>
        </w:rPr>
        <w:t>附件</w:t>
      </w:r>
    </w:p>
    <w:p>
      <w:pPr>
        <w:ind w:firstLine="484" w:firstLineChars="202"/>
      </w:pPr>
      <w:r>
        <w:t>附件1  四川省固定资产投资项目备案表</w:t>
      </w:r>
    </w:p>
    <w:p>
      <w:pPr>
        <w:ind w:firstLine="484" w:firstLineChars="202"/>
      </w:pPr>
      <w:r>
        <w:t>附件2  农业产业化生产设施及附属设施用地审批表</w:t>
      </w:r>
    </w:p>
    <w:p>
      <w:pPr>
        <w:pStyle w:val="2"/>
        <w:ind w:firstLine="480"/>
        <w:rPr>
          <w:rFonts w:hint="default"/>
        </w:rPr>
      </w:pPr>
      <w:r>
        <w:t>附件</w:t>
      </w:r>
      <w:r>
        <w:rPr>
          <w:rFonts w:hint="default"/>
        </w:rPr>
        <w:t xml:space="preserve">3  </w:t>
      </w:r>
      <w:r>
        <w:t>选址确认意见；</w:t>
      </w:r>
    </w:p>
    <w:p>
      <w:pPr>
        <w:ind w:firstLine="484" w:firstLineChars="202"/>
      </w:pPr>
      <w:r>
        <w:t>附件4  井研县畜禽养殖禁养区划方案</w:t>
      </w:r>
    </w:p>
    <w:p>
      <w:pPr>
        <w:pStyle w:val="2"/>
        <w:ind w:firstLine="480"/>
        <w:rPr>
          <w:rFonts w:hint="default"/>
        </w:rPr>
      </w:pPr>
      <w:r>
        <w:t>附件5</w:t>
      </w:r>
      <w:r>
        <w:rPr>
          <w:rFonts w:hint="default"/>
        </w:rPr>
        <w:t xml:space="preserve"> </w:t>
      </w:r>
      <w:r>
        <w:t>土地流转协议</w:t>
      </w:r>
    </w:p>
    <w:p>
      <w:pPr>
        <w:ind w:firstLine="484" w:firstLineChars="202"/>
      </w:pPr>
      <w:r>
        <w:t>附件6  粪污</w:t>
      </w:r>
      <w:r>
        <w:rPr>
          <w:rFonts w:hint="eastAsia"/>
        </w:rPr>
        <w:t>消纳</w:t>
      </w:r>
      <w:r>
        <w:t>协议</w:t>
      </w:r>
    </w:p>
    <w:p>
      <w:pPr>
        <w:pStyle w:val="2"/>
        <w:ind w:firstLine="480"/>
        <w:rPr>
          <w:rFonts w:hint="default"/>
        </w:rPr>
      </w:pPr>
      <w:r>
        <w:t>附件7</w:t>
      </w:r>
      <w:r>
        <w:rPr>
          <w:rFonts w:hint="default"/>
        </w:rPr>
        <w:t xml:space="preserve">  </w:t>
      </w:r>
      <w:r>
        <w:t>大沼工程环评批复</w:t>
      </w:r>
    </w:p>
    <w:p>
      <w:pPr>
        <w:pStyle w:val="2"/>
        <w:ind w:firstLine="480"/>
        <w:rPr>
          <w:rFonts w:hint="default"/>
        </w:rPr>
      </w:pPr>
      <w:r>
        <w:t>附件8 房屋租赁协议</w:t>
      </w:r>
    </w:p>
    <w:p>
      <w:pPr>
        <w:pStyle w:val="2"/>
        <w:ind w:firstLine="480"/>
        <w:rPr>
          <w:rFonts w:hint="default"/>
        </w:rPr>
      </w:pPr>
      <w:r>
        <w:t>附件9</w:t>
      </w:r>
      <w:r>
        <w:rPr>
          <w:rFonts w:hint="default"/>
        </w:rPr>
        <w:t xml:space="preserve"> </w:t>
      </w:r>
      <w:r>
        <w:t xml:space="preserve"> 现状监测报告；</w:t>
      </w:r>
    </w:p>
    <w:p>
      <w:pPr>
        <w:pStyle w:val="2"/>
        <w:ind w:firstLine="480"/>
        <w:rPr>
          <w:rFonts w:hint="default"/>
        </w:rPr>
      </w:pPr>
      <w:r>
        <w:t>附件</w:t>
      </w:r>
      <w:r>
        <w:rPr>
          <w:rFonts w:hint="default"/>
        </w:rPr>
        <w:t xml:space="preserve">10  </w:t>
      </w:r>
      <w:r>
        <w:t>现状监测报告</w:t>
      </w:r>
    </w:p>
    <w:p>
      <w:pPr>
        <w:pStyle w:val="2"/>
        <w:ind w:firstLine="480"/>
        <w:rPr>
          <w:rFonts w:hint="default"/>
        </w:rPr>
      </w:pPr>
      <w:r>
        <w:t>附件</w:t>
      </w:r>
      <w:r>
        <w:rPr>
          <w:rFonts w:hint="default"/>
        </w:rPr>
        <w:t xml:space="preserve">11 </w:t>
      </w:r>
      <w:r>
        <w:t>营业执照</w:t>
      </w:r>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54" w:name="_Toc511390007"/>
      <w:bookmarkStart w:id="55" w:name="_Toc29110544"/>
      <w:bookmarkStart w:id="56" w:name="_Toc7363146"/>
      <w:r>
        <w:rPr>
          <w:rFonts w:ascii="Times New Roman" w:hAnsi="Times New Roman" w:eastAsia="黑体" w:cs="Times New Roman"/>
          <w:b w:val="0"/>
          <w:bCs/>
          <w:kern w:val="44"/>
          <w:sz w:val="36"/>
        </w:rPr>
        <w:t>概述</w:t>
      </w:r>
      <w:bookmarkEnd w:id="54"/>
      <w:bookmarkEnd w:id="55"/>
      <w:bookmarkEnd w:id="56"/>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57" w:name="_Toc29110545"/>
      <w:bookmarkStart w:id="58" w:name="_Toc511390008"/>
      <w:bookmarkStart w:id="59" w:name="_Toc477697303"/>
      <w:bookmarkStart w:id="60" w:name="_Toc7363147"/>
      <w:r>
        <w:rPr>
          <w:rFonts w:ascii="Times New Roman" w:hAnsi="Times New Roman" w:eastAsia="黑体" w:cs="Times New Roman"/>
          <w:b w:val="0"/>
          <w:bCs/>
          <w:spacing w:val="4"/>
          <w:kern w:val="2"/>
          <w:sz w:val="32"/>
          <w:szCs w:val="32"/>
        </w:rPr>
        <w:t>1.1 项目由来</w:t>
      </w:r>
      <w:bookmarkEnd w:id="57"/>
      <w:bookmarkEnd w:id="58"/>
      <w:bookmarkEnd w:id="59"/>
      <w:bookmarkEnd w:id="60"/>
    </w:p>
    <w:p>
      <w:pPr>
        <w:pStyle w:val="320"/>
        <w:snapToGrid w:val="0"/>
        <w:spacing w:before="0" w:line="360" w:lineRule="auto"/>
        <w:ind w:firstLine="480"/>
        <w:rPr>
          <w:rFonts w:ascii="Times New Roman" w:hAnsi="Times New Roman"/>
          <w:snapToGrid w:val="0"/>
        </w:rPr>
      </w:pPr>
      <w:r>
        <w:rPr>
          <w:rFonts w:ascii="Times New Roman" w:hAnsi="Times New Roman"/>
          <w:snapToGrid w:val="0"/>
        </w:rPr>
        <w:t>生猪生产是农业的重要组成部分，猪肉是大多数城乡居民的重要食品。我国既是养猪大国，也是猪肉消费大国，生猪饲养量和猪肉消费量均占世界总量的一半左右。发展生猪生产，对稳定市场供应、满足消费需求、增加农民收入、促进经济社会稳定发展具有重要意义。从世界水平看，我国大陆居民人均猪肉消费量在亚洲国家和地区中处于中高水平，与香港67.1千克相比，仍有一定的增长潜力。从城镇化趋势看，到2020年，全国将有1亿左右农村人口转为城镇人口，当前我国农村居民家庭每年人均猪肉消费量不足城镇居民家庭的70%，按现有城镇人口消费水平测算，预计可增加猪肉消费约70万吨。从人口数量看，按国家卫计委预测，全面放开二胎政策，到2020年我国总人口将达到14.3亿，按新增人口6000万和现有消费水平（人均消费41.5千克）测算，新增人口将增加猪肉消费约250万吨。产业提升空间很大。</w:t>
      </w:r>
    </w:p>
    <w:p>
      <w:pPr>
        <w:pStyle w:val="320"/>
        <w:snapToGrid w:val="0"/>
        <w:spacing w:before="0" w:line="360" w:lineRule="auto"/>
        <w:ind w:firstLine="480"/>
        <w:rPr>
          <w:rFonts w:ascii="Times New Roman" w:hAnsi="Times New Roman"/>
          <w:snapToGrid w:val="0"/>
        </w:rPr>
      </w:pPr>
      <w:r>
        <w:rPr>
          <w:rFonts w:ascii="Times New Roman" w:hAnsi="Times New Roman"/>
          <w:snapToGrid w:val="0"/>
        </w:rPr>
        <w:t>四川是全国的传统养猪大省之一，业内有“川猪安天下”一说。在农业部下发《全国生猪生产发展规划（2016-2020年）》通知中，对过去5年我国生猪产业的发展情况进行了系统总结，通过综合考虑环境承载能力、资源禀赋、消费偏好和屠宰加工等因素，将包括四川在内的7省（市）列为了全国生猪产业生产重点发展区。</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1" w:name="_Toc477697304"/>
      <w:bookmarkStart w:id="62" w:name="_Toc511390009"/>
      <w:bookmarkStart w:id="63" w:name="_Toc7363148"/>
      <w:bookmarkStart w:id="64" w:name="_Toc29110546"/>
      <w:r>
        <w:rPr>
          <w:rFonts w:ascii="Times New Roman" w:hAnsi="Times New Roman" w:eastAsia="黑体" w:cs="Times New Roman"/>
          <w:b w:val="0"/>
          <w:bCs/>
          <w:spacing w:val="4"/>
          <w:kern w:val="2"/>
          <w:sz w:val="32"/>
          <w:szCs w:val="32"/>
        </w:rPr>
        <w:t>1.2 项目特点</w:t>
      </w:r>
      <w:bookmarkEnd w:id="61"/>
      <w:bookmarkEnd w:id="62"/>
      <w:bookmarkEnd w:id="63"/>
      <w:bookmarkEnd w:id="64"/>
    </w:p>
    <w:p>
      <w:pPr>
        <w:pStyle w:val="320"/>
        <w:snapToGrid w:val="0"/>
        <w:spacing w:before="0" w:line="360" w:lineRule="auto"/>
        <w:ind w:firstLine="480"/>
        <w:rPr>
          <w:rFonts w:ascii="Times New Roman" w:hAnsi="Times New Roman"/>
          <w:snapToGrid w:val="0"/>
        </w:rPr>
      </w:pPr>
      <w:r>
        <w:rPr>
          <w:rFonts w:hint="eastAsia" w:ascii="Times New Roman" w:hAnsi="Times New Roman"/>
          <w:snapToGrid w:val="0"/>
        </w:rPr>
        <w:t>首先选址严格按照政府的畜禽养殖规划要求进行选址，猪舍在建设前进行合理规划和布局，分为生活区、防疫消毒区、生产区、环保区，绿化带等，二是做好源头把控，充分考虑节水设计以降低环保处理压力。三是配套相应硬件设施。</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5" w:name="_Toc511390010"/>
      <w:bookmarkStart w:id="66" w:name="_Toc29110547"/>
      <w:bookmarkStart w:id="67" w:name="_Toc477697305"/>
      <w:bookmarkStart w:id="68" w:name="_Toc7363149"/>
      <w:r>
        <w:rPr>
          <w:rFonts w:ascii="Times New Roman" w:hAnsi="Times New Roman" w:eastAsia="黑体" w:cs="Times New Roman"/>
          <w:b w:val="0"/>
          <w:bCs/>
          <w:spacing w:val="4"/>
          <w:kern w:val="2"/>
          <w:sz w:val="32"/>
          <w:szCs w:val="32"/>
        </w:rPr>
        <w:t>1.3 环境影响评价的工作过程</w:t>
      </w:r>
      <w:bookmarkEnd w:id="65"/>
      <w:bookmarkEnd w:id="66"/>
      <w:bookmarkEnd w:id="67"/>
      <w:bookmarkEnd w:id="68"/>
    </w:p>
    <w:p>
      <w:pPr>
        <w:adjustRightInd w:val="0"/>
        <w:ind w:firstLine="480" w:firstLineChars="200"/>
      </w:pPr>
      <w:r>
        <w:t xml:space="preserve">本次评价具体流程如下图： </w:t>
      </w:r>
    </w:p>
    <w:p>
      <w:pPr>
        <w:adjustRightInd w:val="0"/>
        <w:rPr>
          <w:color w:val="FF0000"/>
          <w:kern w:val="0"/>
        </w:rPr>
      </w:pPr>
      <w:r>
        <w:rPr>
          <w:color w:val="FF0000"/>
        </w:rPr>
        <w:drawing>
          <wp:inline distT="0" distB="0" distL="114300" distR="114300">
            <wp:extent cx="5271770" cy="5667375"/>
            <wp:effectExtent l="0" t="0" r="5080" b="9525"/>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1"/>
                    <a:stretch>
                      <a:fillRect/>
                    </a:stretch>
                  </pic:blipFill>
                  <pic:spPr>
                    <a:xfrm>
                      <a:off x="0" y="0"/>
                      <a:ext cx="5271770" cy="5667375"/>
                    </a:xfrm>
                    <a:prstGeom prst="rect">
                      <a:avLst/>
                    </a:prstGeom>
                    <a:noFill/>
                    <a:ln w="9525">
                      <a:noFill/>
                    </a:ln>
                  </pic:spPr>
                </pic:pic>
              </a:graphicData>
            </a:graphic>
          </wp:inline>
        </w:drawing>
      </w:r>
    </w:p>
    <w:p>
      <w:pPr>
        <w:pStyle w:val="2500"/>
        <w:tabs>
          <w:tab w:val="left" w:pos="1440"/>
        </w:tabs>
        <w:autoSpaceDE w:val="0"/>
        <w:autoSpaceDN w:val="0"/>
        <w:adjustRightInd w:val="0"/>
        <w:snapToGrid w:val="0"/>
        <w:ind w:left="420" w:firstLine="0" w:firstLineChars="0"/>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图1.3-1   环境影响评价工作程序图</w:t>
      </w:r>
    </w:p>
    <w:p>
      <w:pPr>
        <w:pStyle w:val="3177"/>
        <w:spacing w:line="360" w:lineRule="auto"/>
        <w:ind w:firstLine="480"/>
        <w:rPr>
          <w:rFonts w:ascii="Times New Roman" w:hAnsi="Times New Roman"/>
        </w:rPr>
      </w:pPr>
      <w:r>
        <w:rPr>
          <w:rFonts w:ascii="Times New Roman" w:hAnsi="Times New Roman"/>
        </w:rPr>
        <w:t>本次环境影响评价的工作过程主要包括以下三个阶段：</w:t>
      </w:r>
    </w:p>
    <w:p>
      <w:pPr>
        <w:pStyle w:val="3177"/>
        <w:spacing w:line="360" w:lineRule="auto"/>
        <w:ind w:firstLine="480"/>
        <w:rPr>
          <w:rFonts w:ascii="Times New Roman" w:hAnsi="Times New Roman"/>
        </w:rPr>
      </w:pPr>
      <w:r>
        <w:rPr>
          <w:rFonts w:ascii="Times New Roman" w:hAnsi="Times New Roman"/>
        </w:rPr>
        <w:t>第一阶段：调查分析和工作方案制定</w:t>
      </w:r>
    </w:p>
    <w:p>
      <w:pPr>
        <w:pStyle w:val="3177"/>
        <w:spacing w:line="360" w:lineRule="auto"/>
        <w:ind w:firstLine="480"/>
        <w:rPr>
          <w:rFonts w:ascii="Times New Roman" w:hAnsi="Times New Roman"/>
        </w:rPr>
      </w:pPr>
      <w:r>
        <w:rPr>
          <w:rFonts w:hint="eastAsia" w:ascii="宋体" w:hAnsi="宋体" w:cs="宋体"/>
        </w:rPr>
        <w:t>①</w:t>
      </w:r>
      <w:r>
        <w:rPr>
          <w:rFonts w:ascii="Times New Roman" w:hAnsi="Times New Roman"/>
        </w:rPr>
        <w:t>按照《建设项目环境影响评价技术导则——总纲》（HJ2.1-2016）要求，受业主委托后，我单位研究国家和地方有关环境保护的法律法规、政策、标准及相关规划后，对项目开展了现状调查、初步工程分析和现场踏勘。</w:t>
      </w:r>
    </w:p>
    <w:p>
      <w:pPr>
        <w:pStyle w:val="3177"/>
        <w:spacing w:line="360" w:lineRule="auto"/>
        <w:ind w:firstLine="480"/>
        <w:rPr>
          <w:rFonts w:ascii="Times New Roman" w:hAnsi="Times New Roman"/>
        </w:rPr>
      </w:pPr>
      <w:r>
        <w:rPr>
          <w:rFonts w:hint="eastAsia" w:ascii="宋体" w:hAnsi="宋体" w:cs="宋体"/>
        </w:rPr>
        <w:t>②</w:t>
      </w:r>
      <w:r>
        <w:rPr>
          <w:rFonts w:ascii="Times New Roman" w:hAnsi="Times New Roman"/>
        </w:rPr>
        <w:t>根据项目特点，研究相关技术文件和其他有关文件，明确本项目的评价重点，识别环境影响因素、筛选评价因子，对项目进行工程分析。对项目选址地进行实地踏勘，对项目周围地区气象、水文、项目所在地污染源分布情况进行了调查分析，确定环境保护目标、环评工作等级、评价范围和标准。</w:t>
      </w:r>
    </w:p>
    <w:p>
      <w:pPr>
        <w:pStyle w:val="3177"/>
        <w:spacing w:line="360" w:lineRule="auto"/>
        <w:ind w:firstLine="480"/>
        <w:rPr>
          <w:rFonts w:ascii="Times New Roman" w:hAnsi="Times New Roman"/>
        </w:rPr>
      </w:pPr>
      <w:r>
        <w:rPr>
          <w:rFonts w:hint="eastAsia" w:ascii="宋体" w:hAnsi="宋体" w:cs="宋体"/>
        </w:rPr>
        <w:t>③</w:t>
      </w:r>
      <w:r>
        <w:rPr>
          <w:rFonts w:ascii="Times New Roman" w:hAnsi="Times New Roman"/>
        </w:rPr>
        <w:t>制定工作方案</w:t>
      </w:r>
    </w:p>
    <w:p>
      <w:pPr>
        <w:pStyle w:val="3177"/>
        <w:spacing w:line="360" w:lineRule="auto"/>
        <w:ind w:firstLine="480"/>
        <w:rPr>
          <w:rFonts w:ascii="Times New Roman" w:hAnsi="Times New Roman"/>
        </w:rPr>
      </w:pPr>
      <w:r>
        <w:rPr>
          <w:rFonts w:ascii="Times New Roman" w:hAnsi="Times New Roman"/>
        </w:rPr>
        <w:t>第二阶段：分析论证和预测评价</w:t>
      </w:r>
    </w:p>
    <w:p>
      <w:pPr>
        <w:pStyle w:val="3177"/>
        <w:spacing w:line="360" w:lineRule="auto"/>
        <w:ind w:firstLine="480"/>
        <w:rPr>
          <w:rFonts w:ascii="Times New Roman" w:hAnsi="Times New Roman"/>
        </w:rPr>
      </w:pPr>
      <w:r>
        <w:rPr>
          <w:rFonts w:hint="eastAsia" w:ascii="宋体" w:hAnsi="宋体" w:cs="宋体"/>
        </w:rPr>
        <w:t>①</w:t>
      </w:r>
      <w:r>
        <w:rPr>
          <w:rFonts w:ascii="Times New Roman" w:hAnsi="Times New Roman"/>
        </w:rPr>
        <w:t>收集建设地环境特征资料包括自然环境、区域规划、基础设施现状以及区域污染源情况。完成环境现状调查与评价章节。</w:t>
      </w:r>
    </w:p>
    <w:p>
      <w:pPr>
        <w:pStyle w:val="3177"/>
        <w:spacing w:line="360" w:lineRule="auto"/>
        <w:ind w:firstLine="480"/>
        <w:rPr>
          <w:rFonts w:ascii="Times New Roman" w:hAnsi="Times New Roman"/>
        </w:rPr>
      </w:pPr>
      <w:r>
        <w:rPr>
          <w:rFonts w:hint="eastAsia" w:ascii="宋体" w:hAnsi="宋体" w:cs="宋体"/>
        </w:rPr>
        <w:t>②</w:t>
      </w:r>
      <w:r>
        <w:rPr>
          <w:rFonts w:ascii="Times New Roman" w:hAnsi="Times New Roman"/>
        </w:rPr>
        <w:t>对建设项目进行详细工程分析。完成大气环境影响预测与评价、水环境影响预测与评价、声环境影响预测与评价等。</w:t>
      </w:r>
    </w:p>
    <w:p>
      <w:pPr>
        <w:pStyle w:val="3177"/>
        <w:spacing w:line="360" w:lineRule="auto"/>
        <w:ind w:firstLine="480"/>
        <w:rPr>
          <w:rFonts w:ascii="Times New Roman" w:hAnsi="Times New Roman"/>
        </w:rPr>
      </w:pPr>
      <w:r>
        <w:rPr>
          <w:rFonts w:ascii="Times New Roman" w:hAnsi="Times New Roman"/>
        </w:rPr>
        <w:t>第三阶段：环境影响报告编制</w:t>
      </w:r>
    </w:p>
    <w:p>
      <w:pPr>
        <w:pStyle w:val="3177"/>
        <w:spacing w:line="360" w:lineRule="auto"/>
        <w:ind w:firstLine="480"/>
        <w:rPr>
          <w:rFonts w:ascii="Times New Roman" w:hAnsi="Times New Roman"/>
        </w:rPr>
      </w:pPr>
      <w:r>
        <w:rPr>
          <w:rFonts w:hint="eastAsia" w:ascii="宋体" w:hAnsi="宋体" w:cs="宋体"/>
        </w:rPr>
        <w:t>①</w:t>
      </w:r>
      <w:r>
        <w:rPr>
          <w:rFonts w:ascii="Times New Roman" w:hAnsi="Times New Roman"/>
        </w:rPr>
        <w:t>根据工程分析，提出环境保护措施，完成污染防治措施及其技术经济论证分析、列出本项目污染物排放清单。</w:t>
      </w:r>
    </w:p>
    <w:p>
      <w:pPr>
        <w:pStyle w:val="3177"/>
        <w:spacing w:line="360" w:lineRule="auto"/>
        <w:ind w:firstLine="480"/>
        <w:rPr>
          <w:rFonts w:ascii="Times New Roman" w:hAnsi="Times New Roman"/>
        </w:rPr>
      </w:pPr>
      <w:r>
        <w:rPr>
          <w:rFonts w:hint="eastAsia" w:ascii="宋体" w:hAnsi="宋体" w:cs="宋体"/>
        </w:rPr>
        <w:t>②</w:t>
      </w:r>
      <w:r>
        <w:rPr>
          <w:rFonts w:ascii="Times New Roman" w:hAnsi="Times New Roman"/>
        </w:rPr>
        <w:t>根据建设项目环境影响情况，提出施工期和运营期的环境管理及监测计划要求，完成环境管理与环境监测章节撰写。</w:t>
      </w:r>
    </w:p>
    <w:p>
      <w:pPr>
        <w:pStyle w:val="3177"/>
        <w:spacing w:line="360" w:lineRule="auto"/>
        <w:ind w:firstLine="480"/>
        <w:rPr>
          <w:rFonts w:ascii="Times New Roman" w:hAnsi="Times New Roman"/>
        </w:rPr>
      </w:pPr>
      <w:r>
        <w:rPr>
          <w:rFonts w:hint="eastAsia" w:ascii="宋体" w:hAnsi="宋体" w:cs="宋体"/>
        </w:rPr>
        <w:t>③</w:t>
      </w:r>
      <w:r>
        <w:rPr>
          <w:rFonts w:ascii="Times New Roman" w:hAnsi="Times New Roman"/>
        </w:rPr>
        <w:t>编制环境影响评价报告书，送审。</w:t>
      </w:r>
    </w:p>
    <w:p>
      <w:pPr>
        <w:pStyle w:val="3177"/>
        <w:spacing w:line="360" w:lineRule="auto"/>
        <w:ind w:firstLine="480"/>
        <w:rPr>
          <w:rFonts w:ascii="Times New Roman" w:hAnsi="Times New Roman"/>
        </w:rPr>
      </w:pPr>
      <w:r>
        <w:rPr>
          <w:rFonts w:ascii="Times New Roman" w:hAnsi="Times New Roman"/>
        </w:rPr>
        <w:fldChar w:fldCharType="begin"/>
      </w:r>
      <w:r>
        <w:rPr>
          <w:rFonts w:ascii="Times New Roman" w:hAnsi="Times New Roman"/>
        </w:rPr>
        <w:instrText xml:space="preserve"> = 4 \* GB3 </w:instrText>
      </w:r>
      <w:r>
        <w:rPr>
          <w:rFonts w:ascii="Times New Roman" w:hAnsi="Times New Roman"/>
        </w:rPr>
        <w:fldChar w:fldCharType="separate"/>
      </w:r>
      <w:r>
        <w:rPr>
          <w:rFonts w:hint="eastAsia" w:ascii="宋体" w:hAnsi="宋体" w:cs="宋体"/>
        </w:rPr>
        <w:t>④</w:t>
      </w:r>
      <w:r>
        <w:rPr>
          <w:rFonts w:ascii="Times New Roman" w:hAnsi="Times New Roman"/>
        </w:rPr>
        <w:fldChar w:fldCharType="end"/>
      </w:r>
      <w:r>
        <w:rPr>
          <w:rFonts w:ascii="Times New Roman" w:hAnsi="Times New Roman"/>
        </w:rPr>
        <w:t>根据评审意见进行报告修改后报批。</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9" w:name="_Toc511390012"/>
      <w:bookmarkStart w:id="70" w:name="_Toc7363150"/>
      <w:bookmarkStart w:id="71" w:name="_Toc29110548"/>
      <w:bookmarkStart w:id="72" w:name="_Toc477697306"/>
      <w:r>
        <w:rPr>
          <w:rFonts w:ascii="Times New Roman" w:hAnsi="Times New Roman" w:eastAsia="黑体" w:cs="Times New Roman"/>
          <w:b w:val="0"/>
          <w:bCs/>
          <w:spacing w:val="4"/>
          <w:kern w:val="2"/>
          <w:sz w:val="32"/>
          <w:szCs w:val="32"/>
        </w:rPr>
        <w:t>1.4 评价关注的主要环境问题及环境影响</w:t>
      </w:r>
      <w:bookmarkEnd w:id="69"/>
      <w:bookmarkEnd w:id="70"/>
      <w:bookmarkEnd w:id="71"/>
      <w:bookmarkEnd w:id="72"/>
    </w:p>
    <w:p>
      <w:pPr>
        <w:ind w:firstLine="480" w:firstLineChars="200"/>
        <w:rPr>
          <w:bCs/>
          <w:kern w:val="0"/>
          <w:szCs w:val="32"/>
        </w:rPr>
      </w:pPr>
      <w:r>
        <w:rPr>
          <w:bCs/>
          <w:kern w:val="0"/>
          <w:szCs w:val="32"/>
        </w:rPr>
        <w:t>根据项目的工程特点和污染特征，环评过程主要关注的环境问题及环境影响如下：</w:t>
      </w:r>
    </w:p>
    <w:p>
      <w:pPr>
        <w:ind w:firstLine="480" w:firstLineChars="200"/>
        <w:rPr>
          <w:bCs/>
          <w:kern w:val="0"/>
          <w:szCs w:val="32"/>
        </w:rPr>
      </w:pPr>
      <w:bookmarkStart w:id="73" w:name="_Toc399493804"/>
      <w:r>
        <w:rPr>
          <w:bCs/>
          <w:kern w:val="0"/>
          <w:szCs w:val="32"/>
        </w:rPr>
        <w:t>（1）废气</w:t>
      </w:r>
      <w:bookmarkEnd w:id="73"/>
    </w:p>
    <w:p>
      <w:pPr>
        <w:ind w:firstLine="480" w:firstLineChars="200"/>
        <w:rPr>
          <w:bCs/>
          <w:kern w:val="0"/>
          <w:szCs w:val="32"/>
        </w:rPr>
      </w:pPr>
      <w:r>
        <w:rPr>
          <w:bCs/>
          <w:kern w:val="0"/>
          <w:szCs w:val="32"/>
        </w:rPr>
        <w:t>关注项目营运期过程</w:t>
      </w:r>
      <w:r>
        <w:rPr>
          <w:rFonts w:hint="eastAsia"/>
          <w:bCs/>
          <w:kern w:val="0"/>
          <w:szCs w:val="32"/>
        </w:rPr>
        <w:t>中圈舍</w:t>
      </w:r>
      <w:r>
        <w:rPr>
          <w:bCs/>
          <w:kern w:val="0"/>
          <w:szCs w:val="32"/>
        </w:rPr>
        <w:t>所产生的</w:t>
      </w:r>
      <w:r>
        <w:rPr>
          <w:rFonts w:hint="eastAsia"/>
          <w:bCs/>
          <w:kern w:val="0"/>
          <w:szCs w:val="32"/>
        </w:rPr>
        <w:t>恶臭、食堂油烟</w:t>
      </w:r>
      <w:r>
        <w:rPr>
          <w:bCs/>
          <w:kern w:val="0"/>
          <w:szCs w:val="32"/>
        </w:rPr>
        <w:t>，重点分析废气源强、治理措施的可行性及对周边大气环境的影响。</w:t>
      </w:r>
    </w:p>
    <w:p>
      <w:pPr>
        <w:ind w:firstLine="480" w:firstLineChars="200"/>
        <w:rPr>
          <w:bCs/>
          <w:kern w:val="0"/>
          <w:szCs w:val="32"/>
        </w:rPr>
      </w:pPr>
      <w:bookmarkStart w:id="74" w:name="_Toc399493805"/>
      <w:r>
        <w:rPr>
          <w:bCs/>
          <w:kern w:val="0"/>
          <w:szCs w:val="32"/>
        </w:rPr>
        <w:t>（2）废水</w:t>
      </w:r>
      <w:bookmarkEnd w:id="74"/>
    </w:p>
    <w:p>
      <w:pPr>
        <w:ind w:firstLine="480" w:firstLineChars="200"/>
        <w:rPr>
          <w:bCs/>
          <w:kern w:val="0"/>
          <w:szCs w:val="32"/>
        </w:rPr>
      </w:pPr>
      <w:r>
        <w:rPr>
          <w:bCs/>
          <w:kern w:val="0"/>
          <w:szCs w:val="32"/>
        </w:rPr>
        <w:t>地表水：关注项目营运期过程所产生的</w:t>
      </w:r>
      <w:r>
        <w:rPr>
          <w:rFonts w:hint="eastAsia"/>
          <w:bCs/>
          <w:kern w:val="0"/>
          <w:szCs w:val="32"/>
        </w:rPr>
        <w:t>养殖废水</w:t>
      </w:r>
      <w:r>
        <w:rPr>
          <w:bCs/>
          <w:kern w:val="0"/>
          <w:szCs w:val="32"/>
        </w:rPr>
        <w:t>、生活废水，</w:t>
      </w:r>
      <w:r>
        <w:rPr>
          <w:rFonts w:hint="eastAsia"/>
          <w:bCs/>
          <w:kern w:val="0"/>
          <w:szCs w:val="32"/>
        </w:rPr>
        <w:t>重点分析废水“零排放”可行性</w:t>
      </w:r>
      <w:r>
        <w:rPr>
          <w:bCs/>
          <w:kern w:val="0"/>
          <w:szCs w:val="32"/>
        </w:rPr>
        <w:t>。</w:t>
      </w:r>
    </w:p>
    <w:p>
      <w:pPr>
        <w:ind w:firstLine="480" w:firstLineChars="200"/>
        <w:rPr>
          <w:bCs/>
          <w:kern w:val="0"/>
          <w:szCs w:val="32"/>
        </w:rPr>
      </w:pPr>
      <w:r>
        <w:rPr>
          <w:bCs/>
          <w:kern w:val="0"/>
          <w:szCs w:val="32"/>
        </w:rPr>
        <w:t>地下水：主要分析项目对地下水的影响以及分区防渗的要求。</w:t>
      </w:r>
    </w:p>
    <w:p>
      <w:pPr>
        <w:ind w:firstLine="480" w:firstLineChars="200"/>
        <w:rPr>
          <w:bCs/>
          <w:kern w:val="0"/>
          <w:szCs w:val="32"/>
        </w:rPr>
      </w:pPr>
      <w:bookmarkStart w:id="75" w:name="_Toc399493806"/>
      <w:r>
        <w:rPr>
          <w:bCs/>
          <w:kern w:val="0"/>
          <w:szCs w:val="32"/>
        </w:rPr>
        <w:t>（3）噪声</w:t>
      </w:r>
      <w:bookmarkEnd w:id="75"/>
    </w:p>
    <w:p>
      <w:pPr>
        <w:ind w:firstLine="480" w:firstLineChars="200"/>
        <w:rPr>
          <w:bCs/>
          <w:kern w:val="0"/>
          <w:szCs w:val="32"/>
        </w:rPr>
      </w:pPr>
      <w:r>
        <w:rPr>
          <w:bCs/>
          <w:kern w:val="0"/>
          <w:szCs w:val="32"/>
        </w:rPr>
        <w:t>关注营运期噪声是否可以达到相应的要求。重点分析噪声控制措施的可行性及厂界的达标可行性。</w:t>
      </w:r>
    </w:p>
    <w:p>
      <w:pPr>
        <w:ind w:firstLine="480" w:firstLineChars="200"/>
        <w:rPr>
          <w:bCs/>
          <w:kern w:val="0"/>
          <w:szCs w:val="32"/>
        </w:rPr>
      </w:pPr>
      <w:bookmarkStart w:id="76" w:name="_Toc399493807"/>
      <w:r>
        <w:rPr>
          <w:bCs/>
          <w:kern w:val="0"/>
          <w:szCs w:val="32"/>
        </w:rPr>
        <w:t>（4）固废</w:t>
      </w:r>
      <w:bookmarkEnd w:id="76"/>
    </w:p>
    <w:p>
      <w:pPr>
        <w:ind w:firstLine="480" w:firstLineChars="200"/>
        <w:rPr>
          <w:bCs/>
          <w:kern w:val="0"/>
          <w:szCs w:val="32"/>
        </w:rPr>
      </w:pPr>
      <w:r>
        <w:rPr>
          <w:bCs/>
          <w:kern w:val="0"/>
          <w:szCs w:val="32"/>
        </w:rPr>
        <w:t>关注固废尤其是危废的产生情况、暂存要求和处理去向是否符合环保要求。</w:t>
      </w:r>
    </w:p>
    <w:p>
      <w:pPr>
        <w:ind w:firstLine="480" w:firstLineChars="200"/>
        <w:rPr>
          <w:bCs/>
          <w:kern w:val="0"/>
          <w:szCs w:val="32"/>
        </w:rPr>
      </w:pPr>
      <w:r>
        <w:rPr>
          <w:bCs/>
          <w:kern w:val="0"/>
          <w:szCs w:val="32"/>
        </w:rPr>
        <w:t>（5）环境风险</w:t>
      </w:r>
    </w:p>
    <w:p>
      <w:pPr>
        <w:ind w:firstLine="480" w:firstLineChars="200"/>
        <w:rPr>
          <w:kern w:val="0"/>
        </w:rPr>
      </w:pPr>
      <w:r>
        <w:rPr>
          <w:kern w:val="0"/>
        </w:rPr>
        <w:t>关注</w:t>
      </w:r>
      <w:r>
        <w:rPr>
          <w:rFonts w:hint="eastAsia"/>
          <w:kern w:val="0"/>
        </w:rPr>
        <w:t>危化品</w:t>
      </w:r>
      <w:r>
        <w:rPr>
          <w:kern w:val="0"/>
        </w:rPr>
        <w:t>泄漏以及废水</w:t>
      </w:r>
      <w:r>
        <w:rPr>
          <w:rFonts w:hint="eastAsia"/>
          <w:kern w:val="0"/>
        </w:rPr>
        <w:t>、废气</w:t>
      </w:r>
      <w:r>
        <w:rPr>
          <w:kern w:val="0"/>
        </w:rPr>
        <w:t>事故性排放环境风险的防控。</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7" w:name="_Toc511390013"/>
      <w:bookmarkStart w:id="78" w:name="_Toc7363151"/>
      <w:bookmarkStart w:id="79" w:name="_Toc29110549"/>
      <w:bookmarkStart w:id="80" w:name="_Toc477697307"/>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.5 报告书主要结论</w:t>
      </w:r>
      <w:bookmarkEnd w:id="77"/>
      <w:bookmarkEnd w:id="78"/>
      <w:bookmarkEnd w:id="79"/>
      <w:bookmarkEnd w:id="80"/>
    </w:p>
    <w:p>
      <w:pPr>
        <w:ind w:firstLine="480" w:firstLineChars="200"/>
        <w:rPr>
          <w:bCs/>
          <w:kern w:val="0"/>
          <w:szCs w:val="32"/>
        </w:rPr>
      </w:pPr>
      <w:r>
        <w:rPr>
          <w:rFonts w:hint="eastAsia"/>
        </w:rPr>
        <w:t>乐山正邦</w:t>
      </w:r>
      <w:r>
        <w:t>养殖有限</w:t>
      </w:r>
      <w:r>
        <w:rPr>
          <w:rFonts w:hint="eastAsia"/>
        </w:rPr>
        <w:t>公司拟建的井研县高凤循环</w:t>
      </w:r>
      <w:r>
        <w:t>农业生态园生猪标准化生态养殖园区建设项目</w:t>
      </w:r>
      <w:r>
        <w:rPr>
          <w:bCs/>
          <w:kern w:val="0"/>
          <w:szCs w:val="32"/>
        </w:rPr>
        <w:t>，符合国家当前产业政策；选址于</w:t>
      </w:r>
      <w:r>
        <w:rPr>
          <w:rFonts w:hint="eastAsia"/>
          <w:bCs/>
          <w:kern w:val="0"/>
          <w:szCs w:val="32"/>
        </w:rPr>
        <w:t>井研县星星</w:t>
      </w:r>
      <w:r>
        <w:rPr>
          <w:bCs/>
          <w:kern w:val="0"/>
          <w:szCs w:val="32"/>
        </w:rPr>
        <w:t>亮村</w:t>
      </w:r>
      <w:r>
        <w:rPr>
          <w:rFonts w:hint="eastAsia"/>
          <w:bCs/>
          <w:kern w:val="0"/>
          <w:szCs w:val="32"/>
        </w:rPr>
        <w:t>3、6、9组</w:t>
      </w:r>
      <w:r>
        <w:rPr>
          <w:bCs/>
          <w:kern w:val="0"/>
          <w:szCs w:val="32"/>
        </w:rPr>
        <w:t>，符合</w:t>
      </w:r>
      <w:r>
        <w:rPr>
          <w:rFonts w:hint="eastAsia"/>
          <w:bCs/>
          <w:kern w:val="0"/>
          <w:szCs w:val="32"/>
        </w:rPr>
        <w:t>井研县总体</w:t>
      </w:r>
      <w:r>
        <w:rPr>
          <w:bCs/>
          <w:kern w:val="0"/>
          <w:szCs w:val="32"/>
        </w:rPr>
        <w:t>规划。项目运营过程中尽管其生产不可避免产生一定量的废水、废气、噪声和固体废物，但与之配套的环保设施比较完善，治理方案选择合理，只要认真加强管理、落实环保措施，能满足国家和地方环境保护法规和标准要求。在贯彻落实本环境影响报告书各项环境保护措施的前提下，从环境影响的角度而言，本项目在</w:t>
      </w:r>
      <w:r>
        <w:rPr>
          <w:rFonts w:hint="eastAsia"/>
          <w:bCs/>
          <w:kern w:val="0"/>
          <w:szCs w:val="32"/>
        </w:rPr>
        <w:t>乐山市井研县高凤</w:t>
      </w:r>
      <w:r>
        <w:rPr>
          <w:bCs/>
          <w:kern w:val="0"/>
          <w:szCs w:val="32"/>
        </w:rPr>
        <w:t>乡</w:t>
      </w:r>
      <w:r>
        <w:rPr>
          <w:rFonts w:hint="eastAsia"/>
          <w:bCs/>
          <w:kern w:val="0"/>
          <w:szCs w:val="32"/>
        </w:rPr>
        <w:t>星星亮村</w:t>
      </w:r>
      <w:r>
        <w:rPr>
          <w:bCs/>
          <w:kern w:val="0"/>
          <w:szCs w:val="32"/>
        </w:rPr>
        <w:t>建设是可行的。</w:t>
      </w:r>
    </w:p>
    <w:bookmarkEnd w:id="0"/>
    <w:bookmarkEnd w:id="1"/>
    <w:bookmarkEnd w:id="2"/>
    <w:bookmarkEnd w:id="3"/>
    <w:bookmarkEnd w:id="4"/>
    <w:bookmarkEnd w:id="5"/>
    <w:bookmarkEnd w:id="6"/>
    <w:bookmarkEnd w:id="7"/>
    <w:p>
      <w:pPr>
        <w:pStyle w:val="320"/>
        <w:adjustRightInd w:val="0"/>
        <w:snapToGrid w:val="0"/>
        <w:spacing w:line="360" w:lineRule="auto"/>
        <w:ind w:firstLine="480"/>
        <w:rPr>
          <w:rFonts w:ascii="Times New Roman" w:hAnsi="Times New Roman"/>
        </w:rPr>
      </w:pPr>
      <w:bookmarkStart w:id="81" w:name="_Toc457480904"/>
      <w:bookmarkStart w:id="82" w:name="_Toc82857177"/>
      <w:bookmarkStart w:id="83" w:name="_Toc88466676"/>
      <w:bookmarkStart w:id="84" w:name="_Toc114997721"/>
      <w:bookmarkStart w:id="85" w:name="_Toc423336623"/>
      <w:bookmarkStart w:id="86" w:name="_Toc115259800"/>
      <w:bookmarkStart w:id="87" w:name="_Toc179923021"/>
    </w:p>
    <w:p>
      <w:pPr>
        <w:pStyle w:val="347"/>
        <w:keepNext/>
        <w:keepLines/>
        <w:pageBreakBefore/>
        <w:widowControl w:val="0"/>
        <w:numPr>
          <w:ilvl w:val="0"/>
          <w:numId w:val="1"/>
        </w:numPr>
        <w:tabs>
          <w:tab w:val="left" w:pos="0"/>
        </w:tabs>
        <w:spacing w:line="360" w:lineRule="auto"/>
        <w:ind w:left="0" w:firstLine="0"/>
        <w:textAlignment w:val="baseline"/>
        <w:rPr>
          <w:rFonts w:ascii="Times New Roman" w:hAnsi="Times New Roman" w:eastAsia="黑体" w:cs="Times New Roman"/>
          <w:b w:val="0"/>
          <w:bCs/>
          <w:kern w:val="44"/>
          <w:sz w:val="36"/>
        </w:rPr>
      </w:pPr>
      <w:bookmarkStart w:id="88" w:name="_Toc29110550"/>
      <w:r>
        <w:rPr>
          <w:rFonts w:ascii="Times New Roman" w:hAnsi="Times New Roman" w:eastAsia="黑体" w:cs="Times New Roman"/>
          <w:b w:val="0"/>
          <w:bCs/>
          <w:kern w:val="44"/>
          <w:sz w:val="36"/>
        </w:rPr>
        <w:t>总则</w:t>
      </w:r>
      <w:bookmarkEnd w:id="81"/>
      <w:bookmarkEnd w:id="82"/>
      <w:bookmarkEnd w:id="83"/>
      <w:bookmarkEnd w:id="84"/>
      <w:bookmarkEnd w:id="85"/>
      <w:bookmarkEnd w:id="86"/>
      <w:bookmarkEnd w:id="87"/>
      <w:bookmarkEnd w:id="88"/>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89" w:name="_Toc115259804"/>
      <w:bookmarkStart w:id="90" w:name="_Toc179923022"/>
      <w:bookmarkStart w:id="91" w:name="_Toc82857181"/>
      <w:bookmarkStart w:id="92" w:name="_Toc457480905"/>
      <w:bookmarkStart w:id="93" w:name="_Toc29110551"/>
      <w:bookmarkStart w:id="94" w:name="_Toc88466680"/>
      <w:bookmarkStart w:id="95" w:name="_Toc423336624"/>
      <w:bookmarkStart w:id="96" w:name="_Toc114997725"/>
      <w:bookmarkStart w:id="97" w:name="_Toc56581448"/>
      <w:r>
        <w:rPr>
          <w:rFonts w:hint="eastAsia" w:ascii="Times New Roman" w:hAnsi="Times New Roman" w:eastAsia="黑体" w:cs="Times New Roman"/>
          <w:b w:val="0"/>
          <w:bCs/>
          <w:spacing w:val="4"/>
          <w:kern w:val="2"/>
          <w:sz w:val="32"/>
          <w:szCs w:val="32"/>
        </w:rPr>
        <w:t>2.1</w:t>
      </w:r>
      <w:r>
        <w:rPr>
          <w:rFonts w:ascii="Times New Roman" w:hAnsi="Times New Roman" w:eastAsia="黑体" w:cs="Times New Roman"/>
          <w:b w:val="0"/>
          <w:bCs/>
          <w:spacing w:val="4"/>
          <w:kern w:val="2"/>
          <w:sz w:val="32"/>
          <w:szCs w:val="32"/>
        </w:rPr>
        <w:t>编制依据</w:t>
      </w:r>
      <w:bookmarkEnd w:id="89"/>
      <w:bookmarkEnd w:id="90"/>
      <w:bookmarkEnd w:id="91"/>
      <w:bookmarkEnd w:id="92"/>
      <w:bookmarkEnd w:id="93"/>
      <w:bookmarkEnd w:id="94"/>
      <w:bookmarkEnd w:id="95"/>
      <w:bookmarkEnd w:id="96"/>
      <w:bookmarkEnd w:id="97"/>
    </w:p>
    <w:p>
      <w:pPr>
        <w:jc w:val="left"/>
        <w:outlineLvl w:val="2"/>
        <w:rPr>
          <w:rFonts w:eastAsia="黑体"/>
          <w:bCs/>
          <w:sz w:val="28"/>
          <w:szCs w:val="28"/>
        </w:rPr>
      </w:pPr>
      <w:bookmarkStart w:id="98" w:name="_Toc359940521"/>
      <w:bookmarkStart w:id="99" w:name="_Toc423336625"/>
      <w:bookmarkStart w:id="100" w:name="_Toc457480906"/>
      <w:r>
        <w:rPr>
          <w:rFonts w:hint="eastAsia" w:eastAsia="黑体"/>
          <w:bCs/>
          <w:sz w:val="28"/>
          <w:szCs w:val="28"/>
        </w:rPr>
        <w:t>2</w:t>
      </w:r>
      <w:r>
        <w:rPr>
          <w:rFonts w:eastAsia="黑体"/>
          <w:bCs/>
          <w:sz w:val="28"/>
          <w:szCs w:val="28"/>
        </w:rPr>
        <w:t>.1.1法律法规</w:t>
      </w:r>
      <w:bookmarkEnd w:id="98"/>
      <w:bookmarkEnd w:id="99"/>
      <w:bookmarkEnd w:id="100"/>
    </w:p>
    <w:p>
      <w:pPr>
        <w:adjustRightInd w:val="0"/>
        <w:snapToGrid w:val="0"/>
        <w:ind w:firstLine="480" w:firstLineChars="200"/>
      </w:pPr>
      <w:bookmarkStart w:id="101" w:name="_Toc102144482"/>
      <w:bookmarkStart w:id="102" w:name="_Toc181438221"/>
      <w:bookmarkStart w:id="103" w:name="_Toc367884742"/>
      <w:bookmarkStart w:id="104" w:name="_Toc102144592"/>
      <w:bookmarkStart w:id="105" w:name="_Toc227403669"/>
      <w:bookmarkStart w:id="106" w:name="_Toc112332091"/>
      <w:bookmarkStart w:id="107" w:name="_Toc375732683"/>
      <w:bookmarkStart w:id="108" w:name="_Toc102144699"/>
      <w:bookmarkStart w:id="109" w:name="_Toc144775053"/>
      <w:bookmarkStart w:id="110" w:name="_Toc113381851"/>
      <w:r>
        <w:rPr>
          <w:rFonts w:hint="eastAsia"/>
        </w:rPr>
        <w:t>（1）</w:t>
      </w:r>
      <w:r>
        <w:t>《中华人民共和国环境保护法》，</w:t>
      </w:r>
      <w:r>
        <w:rPr>
          <w:snapToGrid w:val="0"/>
        </w:rPr>
        <w:t>2015年1月1日施行；</w:t>
      </w:r>
    </w:p>
    <w:p>
      <w:pPr>
        <w:adjustRightInd w:val="0"/>
        <w:snapToGrid w:val="0"/>
        <w:ind w:firstLine="480" w:firstLineChars="200"/>
      </w:pPr>
      <w:r>
        <w:rPr>
          <w:rFonts w:hint="eastAsia"/>
        </w:rPr>
        <w:t>（2）</w:t>
      </w:r>
      <w:r>
        <w:t>《中华人民共和国水土保持法》，</w:t>
      </w:r>
      <w:r>
        <w:rPr>
          <w:snapToGrid w:val="0"/>
        </w:rPr>
        <w:t>2011年3月1日施行；</w:t>
      </w:r>
    </w:p>
    <w:p>
      <w:pPr>
        <w:adjustRightInd w:val="0"/>
        <w:snapToGrid w:val="0"/>
        <w:ind w:firstLine="480" w:firstLineChars="200"/>
      </w:pPr>
      <w:r>
        <w:rPr>
          <w:rFonts w:hint="eastAsia"/>
        </w:rPr>
        <w:t>（3）</w:t>
      </w:r>
      <w:r>
        <w:t>《中华人民共和国土地管理法》，2004年8月28日施行；</w:t>
      </w:r>
    </w:p>
    <w:p>
      <w:pPr>
        <w:adjustRightInd w:val="0"/>
        <w:snapToGrid w:val="0"/>
        <w:ind w:firstLine="480" w:firstLineChars="200"/>
      </w:pPr>
      <w:r>
        <w:rPr>
          <w:rFonts w:hint="eastAsia"/>
        </w:rPr>
        <w:t>（4）</w:t>
      </w:r>
      <w:r>
        <w:t>《中华人民共和国环境噪声污染防治法》，</w:t>
      </w:r>
      <w:r>
        <w:rPr>
          <w:snapToGrid w:val="0"/>
        </w:rPr>
        <w:t>2018年12月29日修订；</w:t>
      </w:r>
    </w:p>
    <w:p>
      <w:pPr>
        <w:adjustRightInd w:val="0"/>
        <w:snapToGrid w:val="0"/>
        <w:ind w:firstLine="480" w:firstLineChars="200"/>
      </w:pPr>
      <w:r>
        <w:rPr>
          <w:rFonts w:hint="eastAsia"/>
        </w:rPr>
        <w:t>（5）</w:t>
      </w:r>
      <w:r>
        <w:t>《中华人民共和国大气污染防治法》，</w:t>
      </w:r>
      <w:r>
        <w:rPr>
          <w:snapToGrid w:val="0"/>
        </w:rPr>
        <w:t>2018年10月26日施行；</w:t>
      </w:r>
    </w:p>
    <w:p>
      <w:pPr>
        <w:adjustRightInd w:val="0"/>
        <w:snapToGrid w:val="0"/>
        <w:ind w:firstLine="480" w:firstLineChars="200"/>
      </w:pPr>
      <w:r>
        <w:rPr>
          <w:rFonts w:hint="eastAsia"/>
        </w:rPr>
        <w:t>（6）</w:t>
      </w:r>
      <w:r>
        <w:t>《中华人民共和国循环经济促进法》，2009年1月1日施行；</w:t>
      </w:r>
    </w:p>
    <w:p>
      <w:pPr>
        <w:adjustRightInd w:val="0"/>
        <w:snapToGrid w:val="0"/>
        <w:ind w:firstLine="480" w:firstLineChars="200"/>
      </w:pPr>
      <w:r>
        <w:rPr>
          <w:rFonts w:hint="eastAsia"/>
        </w:rPr>
        <w:t>（7）</w:t>
      </w:r>
      <w:r>
        <w:t>《中华人民共和国环境影响评价法》，2018年12月29日</w:t>
      </w:r>
      <w:r>
        <w:rPr>
          <w:snapToGrid w:val="0"/>
        </w:rPr>
        <w:t>施行；</w:t>
      </w:r>
    </w:p>
    <w:p>
      <w:pPr>
        <w:adjustRightInd w:val="0"/>
        <w:snapToGrid w:val="0"/>
        <w:ind w:firstLine="480" w:firstLineChars="200"/>
      </w:pPr>
      <w:r>
        <w:rPr>
          <w:rFonts w:hint="eastAsia"/>
        </w:rPr>
        <w:t>（8）</w:t>
      </w:r>
      <w:r>
        <w:t>《中华人民共和国固体废物污染环境防治法》，</w:t>
      </w:r>
      <w:r>
        <w:rPr>
          <w:snapToGrid w:val="0"/>
        </w:rPr>
        <w:t>2016年11月7日修订；</w:t>
      </w:r>
    </w:p>
    <w:p>
      <w:pPr>
        <w:adjustRightInd w:val="0"/>
        <w:snapToGrid w:val="0"/>
        <w:ind w:firstLine="480" w:firstLineChars="200"/>
      </w:pPr>
      <w:r>
        <w:rPr>
          <w:rFonts w:hint="eastAsia"/>
        </w:rPr>
        <w:t>（9）</w:t>
      </w:r>
      <w:r>
        <w:t>《中华人民共和国动物防疫法》，2008年1月1日施行；</w:t>
      </w:r>
    </w:p>
    <w:p>
      <w:pPr>
        <w:adjustRightInd w:val="0"/>
        <w:snapToGrid w:val="0"/>
        <w:ind w:firstLine="480" w:firstLineChars="200"/>
        <w:rPr>
          <w:snapToGrid w:val="0"/>
        </w:rPr>
      </w:pPr>
      <w:r>
        <w:rPr>
          <w:rFonts w:hint="eastAsia"/>
        </w:rPr>
        <w:t>（1</w:t>
      </w:r>
      <w:r>
        <w:t>0</w:t>
      </w:r>
      <w:r>
        <w:rPr>
          <w:rFonts w:hint="eastAsia"/>
        </w:rPr>
        <w:t>）</w:t>
      </w:r>
      <w:r>
        <w:t>《中华人民共和国水污染防治法》，2018年1月1日</w:t>
      </w:r>
      <w:r>
        <w:rPr>
          <w:snapToGrid w:val="0"/>
        </w:rPr>
        <w:t>施行；</w:t>
      </w:r>
    </w:p>
    <w:p>
      <w:pPr>
        <w:adjustRightInd w:val="0"/>
        <w:snapToGrid w:val="0"/>
        <w:ind w:firstLine="480" w:firstLineChars="200"/>
      </w:pPr>
      <w:r>
        <w:rPr>
          <w:rFonts w:hint="eastAsia"/>
          <w:snapToGrid w:val="0"/>
        </w:rPr>
        <w:t>（1</w:t>
      </w:r>
      <w:r>
        <w:rPr>
          <w:snapToGrid w:val="0"/>
        </w:rPr>
        <w:t>1</w:t>
      </w:r>
      <w:r>
        <w:rPr>
          <w:rFonts w:hint="eastAsia"/>
          <w:snapToGrid w:val="0"/>
        </w:rPr>
        <w:t>）</w:t>
      </w:r>
      <w:r>
        <w:rPr>
          <w:snapToGrid w:val="0"/>
        </w:rPr>
        <w:t>《建设项目环境保护管理条例》</w:t>
      </w:r>
      <w:r>
        <w:rPr>
          <w:rFonts w:hint="eastAsia"/>
          <w:snapToGrid w:val="0"/>
        </w:rPr>
        <w:t>，</w:t>
      </w:r>
      <w:r>
        <w:t>2017年10月1日施行；</w:t>
      </w:r>
    </w:p>
    <w:p>
      <w:pPr>
        <w:adjustRightInd w:val="0"/>
        <w:snapToGrid w:val="0"/>
        <w:ind w:firstLine="480" w:firstLineChars="200"/>
      </w:pPr>
      <w:r>
        <w:rPr>
          <w:rFonts w:hint="eastAsia"/>
        </w:rPr>
        <w:t>（1</w:t>
      </w:r>
      <w:r>
        <w:t>2</w:t>
      </w:r>
      <w:r>
        <w:rPr>
          <w:rFonts w:hint="eastAsia"/>
        </w:rPr>
        <w:t>）</w:t>
      </w:r>
      <w:r>
        <w:t>《建设项目环境影响评价分类管理名录》，环境保护部令第44号及</w:t>
      </w:r>
      <w:r>
        <w:rPr>
          <w:lang w:bidi="ar"/>
        </w:rPr>
        <w:t>《关于修改〈建设项目环境影响评价分类管理名录〉部分内容的决定》（生态环保部第1号）</w:t>
      </w:r>
      <w:r>
        <w:t>；</w:t>
      </w:r>
    </w:p>
    <w:p>
      <w:pPr>
        <w:adjustRightInd w:val="0"/>
        <w:snapToGrid w:val="0"/>
        <w:ind w:firstLine="480" w:firstLineChars="200"/>
        <w:rPr>
          <w:snapToGrid w:val="0"/>
        </w:rPr>
      </w:pPr>
      <w:r>
        <w:rPr>
          <w:rFonts w:hint="eastAsia" w:ascii="宋体" w:hAnsi="宋体" w:cs="宋体"/>
          <w:snapToGrid w:val="0"/>
        </w:rPr>
        <w:t>（1</w:t>
      </w:r>
      <w:r>
        <w:rPr>
          <w:rFonts w:ascii="宋体" w:hAnsi="宋体" w:cs="宋体"/>
          <w:snapToGrid w:val="0"/>
        </w:rPr>
        <w:t>3</w:t>
      </w:r>
      <w:r>
        <w:rPr>
          <w:rFonts w:hint="eastAsia" w:ascii="宋体" w:hAnsi="宋体" w:cs="宋体"/>
          <w:snapToGrid w:val="0"/>
        </w:rPr>
        <w:t>）</w:t>
      </w:r>
      <w:r>
        <w:rPr>
          <w:snapToGrid w:val="0"/>
        </w:rPr>
        <w:t>《国家危险废物名录》， 2016年8月1日施行；</w:t>
      </w:r>
    </w:p>
    <w:p>
      <w:pPr>
        <w:pStyle w:val="192"/>
      </w:pPr>
      <w:r>
        <w:rPr>
          <w:rFonts w:hint="eastAsia"/>
        </w:rPr>
        <w:t>（1</w:t>
      </w:r>
      <w:r>
        <w:t>4</w:t>
      </w:r>
      <w:r>
        <w:rPr>
          <w:rFonts w:hint="eastAsia"/>
        </w:rPr>
        <w:t>）</w:t>
      </w:r>
      <w:r>
        <w:t>《四川省环境保护条例》</w:t>
      </w:r>
      <w:r>
        <w:rPr>
          <w:rFonts w:hint="eastAsia"/>
        </w:rPr>
        <w:t>，</w:t>
      </w:r>
      <w:r>
        <w:t>2018</w:t>
      </w:r>
      <w:r>
        <w:rPr>
          <w:rFonts w:hint="eastAsia"/>
        </w:rPr>
        <w:t>年</w:t>
      </w:r>
      <w:r>
        <w:t>1</w:t>
      </w:r>
      <w:r>
        <w:rPr>
          <w:rFonts w:hint="eastAsia"/>
        </w:rPr>
        <w:t>月</w:t>
      </w:r>
      <w:r>
        <w:t>1</w:t>
      </w:r>
      <w:r>
        <w:rPr>
          <w:rFonts w:hint="eastAsia"/>
        </w:rPr>
        <w:t>日</w:t>
      </w:r>
      <w:r>
        <w:t>施行；</w:t>
      </w:r>
    </w:p>
    <w:bookmarkEnd w:id="101"/>
    <w:bookmarkEnd w:id="102"/>
    <w:bookmarkEnd w:id="103"/>
    <w:bookmarkEnd w:id="104"/>
    <w:bookmarkEnd w:id="105"/>
    <w:bookmarkEnd w:id="106"/>
    <w:bookmarkEnd w:id="107"/>
    <w:bookmarkEnd w:id="108"/>
    <w:bookmarkEnd w:id="109"/>
    <w:bookmarkEnd w:id="110"/>
    <w:p>
      <w:pPr>
        <w:jc w:val="left"/>
        <w:outlineLvl w:val="2"/>
        <w:rPr>
          <w:rFonts w:eastAsia="黑体"/>
          <w:bCs/>
          <w:sz w:val="28"/>
          <w:szCs w:val="28"/>
        </w:rPr>
      </w:pPr>
      <w:r>
        <w:rPr>
          <w:rFonts w:hint="eastAsia" w:eastAsia="黑体"/>
          <w:bCs/>
          <w:sz w:val="28"/>
          <w:szCs w:val="28"/>
        </w:rPr>
        <w:t>2</w:t>
      </w:r>
      <w:r>
        <w:rPr>
          <w:rFonts w:eastAsia="黑体"/>
          <w:bCs/>
          <w:sz w:val="28"/>
          <w:szCs w:val="28"/>
        </w:rPr>
        <w:t>.1.2部门规章</w:t>
      </w:r>
    </w:p>
    <w:p>
      <w:pPr>
        <w:adjustRightInd w:val="0"/>
        <w:snapToGrid w:val="0"/>
        <w:ind w:firstLine="480" w:firstLineChars="200"/>
      </w:pPr>
      <w:bookmarkStart w:id="111" w:name="_Toc102144594"/>
      <w:bookmarkStart w:id="112" w:name="_Toc113381852"/>
      <w:bookmarkStart w:id="113" w:name="_Toc181438222"/>
      <w:bookmarkStart w:id="114" w:name="_Toc375732684"/>
      <w:bookmarkStart w:id="115" w:name="_Toc102144484"/>
      <w:bookmarkStart w:id="116" w:name="_Toc144775054"/>
      <w:bookmarkStart w:id="117" w:name="_Toc112332092"/>
      <w:bookmarkStart w:id="118" w:name="_Toc367884743"/>
      <w:bookmarkStart w:id="119" w:name="_Toc227403670"/>
      <w:bookmarkStart w:id="120" w:name="_Toc102144701"/>
      <w:r>
        <w:rPr>
          <w:rFonts w:hint="eastAsia"/>
        </w:rPr>
        <w:t>（1）</w:t>
      </w:r>
      <w:r>
        <w:t>《国务院关于环境保护若干问题的决定》</w:t>
      </w:r>
      <w:r>
        <w:rPr>
          <w:rFonts w:hint="eastAsia"/>
        </w:rPr>
        <w:t>，</w:t>
      </w:r>
      <w:r>
        <w:t>国发[1996]31号文；</w:t>
      </w:r>
    </w:p>
    <w:p>
      <w:pPr>
        <w:adjustRightInd w:val="0"/>
        <w:snapToGrid w:val="0"/>
        <w:ind w:firstLine="480" w:firstLineChars="200"/>
      </w:pPr>
      <w:r>
        <w:rPr>
          <w:rFonts w:hint="eastAsia"/>
        </w:rPr>
        <w:t>（2）</w:t>
      </w:r>
      <w:r>
        <w:t>《关于加强生态保护工作的意见》，国家环保总局环发[1997]758号；</w:t>
      </w:r>
    </w:p>
    <w:p>
      <w:pPr>
        <w:adjustRightInd w:val="0"/>
        <w:snapToGrid w:val="0"/>
        <w:ind w:firstLine="480" w:firstLineChars="200"/>
      </w:pPr>
      <w:r>
        <w:rPr>
          <w:rFonts w:hint="eastAsia"/>
        </w:rPr>
        <w:t>（3）</w:t>
      </w:r>
      <w:r>
        <w:t>《全国生态环境保护纲要》</w:t>
      </w:r>
      <w:r>
        <w:rPr>
          <w:rFonts w:hint="eastAsia"/>
        </w:rPr>
        <w:t>，</w:t>
      </w:r>
      <w:r>
        <w:t>国发[2000]38号；</w:t>
      </w:r>
    </w:p>
    <w:p>
      <w:pPr>
        <w:adjustRightInd w:val="0"/>
        <w:snapToGrid w:val="0"/>
        <w:ind w:firstLine="480" w:firstLineChars="200"/>
      </w:pPr>
      <w:r>
        <w:rPr>
          <w:rFonts w:hint="eastAsia"/>
        </w:rPr>
        <w:t>（4）</w:t>
      </w:r>
      <w:r>
        <w:t>国家环境保护总局《关于西部大开发中加强建设项目环境保护管理若干意见》</w:t>
      </w:r>
      <w:r>
        <w:rPr>
          <w:rFonts w:hint="eastAsia"/>
        </w:rPr>
        <w:t>，</w:t>
      </w:r>
      <w:r>
        <w:t>环发[2001]4号；</w:t>
      </w:r>
    </w:p>
    <w:p>
      <w:pPr>
        <w:ind w:firstLine="480" w:firstLineChars="200"/>
      </w:pPr>
      <w:r>
        <w:rPr>
          <w:rFonts w:hint="eastAsia"/>
        </w:rPr>
        <w:t>（5）</w:t>
      </w:r>
      <w:r>
        <w:t>国务院《关于落实科学发展观加强环境保护的决定》国发[2005]39号；</w:t>
      </w:r>
    </w:p>
    <w:p>
      <w:pPr>
        <w:ind w:firstLine="480" w:firstLineChars="200"/>
      </w:pPr>
      <w:r>
        <w:rPr>
          <w:rFonts w:hint="eastAsia"/>
        </w:rPr>
        <w:t>（6）</w:t>
      </w:r>
      <w:r>
        <w:t>《关于促进畜牧业平稳发展的通知》，</w:t>
      </w:r>
      <w:r>
        <w:rPr>
          <w:bCs/>
        </w:rPr>
        <w:t>农牧发[2006]7号</w:t>
      </w:r>
      <w:r>
        <w:t>；</w:t>
      </w:r>
    </w:p>
    <w:p>
      <w:pPr>
        <w:ind w:firstLine="480" w:firstLineChars="200"/>
      </w:pPr>
      <w:r>
        <w:rPr>
          <w:rFonts w:hint="eastAsia"/>
        </w:rPr>
        <w:t>（7）</w:t>
      </w:r>
      <w:r>
        <w:t>《国务院关于促进畜牧业持续健康发展的意见》，国发[2007]4号；</w:t>
      </w:r>
    </w:p>
    <w:p>
      <w:pPr>
        <w:ind w:firstLine="480" w:firstLineChars="200"/>
      </w:pPr>
      <w:r>
        <w:rPr>
          <w:rFonts w:hint="eastAsia"/>
        </w:rPr>
        <w:t>（8）</w:t>
      </w:r>
      <w:r>
        <w:t>《国务院关于促进生猪生产发展稳定市场供应的意见》，国发[2007]22号；</w:t>
      </w:r>
    </w:p>
    <w:p>
      <w:pPr>
        <w:ind w:firstLine="480" w:firstLineChars="200"/>
      </w:pPr>
      <w:r>
        <w:rPr>
          <w:rFonts w:hint="eastAsia"/>
        </w:rPr>
        <w:t>（9）</w:t>
      </w:r>
      <w:r>
        <w:t>《关于促进规模化畜禽养殖有关用地政策的通知》，国土资发[2007]220号；</w:t>
      </w:r>
    </w:p>
    <w:p>
      <w:pPr>
        <w:ind w:firstLine="480" w:firstLineChars="200"/>
      </w:pPr>
      <w:r>
        <w:rPr>
          <w:rFonts w:hint="eastAsia"/>
        </w:rPr>
        <w:t>（1</w:t>
      </w:r>
      <w:r>
        <w:t>0</w:t>
      </w:r>
      <w:r>
        <w:rPr>
          <w:rFonts w:hint="eastAsia"/>
        </w:rPr>
        <w:t>）</w:t>
      </w:r>
      <w:r>
        <w:t>《国务院关于印发国家环境保护“十二五”规划的通知》，国发[2011]42号；</w:t>
      </w:r>
    </w:p>
    <w:p>
      <w:pPr>
        <w:ind w:firstLine="480" w:firstLineChars="200"/>
      </w:pPr>
      <w:r>
        <w:rPr>
          <w:rFonts w:hint="eastAsia"/>
        </w:rPr>
        <w:t>（1</w:t>
      </w:r>
      <w:r>
        <w:t>1</w:t>
      </w:r>
      <w:r>
        <w:rPr>
          <w:rFonts w:hint="eastAsia"/>
        </w:rPr>
        <w:t>）</w:t>
      </w:r>
      <w:r>
        <w:t>《关于加强西部地区环境影响评价工作的通知》，环发[2011]150号；</w:t>
      </w:r>
    </w:p>
    <w:p>
      <w:pPr>
        <w:ind w:firstLine="480" w:firstLineChars="200"/>
      </w:pPr>
      <w:r>
        <w:rPr>
          <w:rFonts w:hint="eastAsia"/>
        </w:rPr>
        <w:t>（1</w:t>
      </w:r>
      <w:r>
        <w:t>2</w:t>
      </w:r>
      <w:r>
        <w:rPr>
          <w:rFonts w:hint="eastAsia"/>
        </w:rPr>
        <w:t>）</w:t>
      </w:r>
      <w:r>
        <w:t>《关于切实加强风险防范严格环境影响评价管理的通知》，环发[2012]98号；</w:t>
      </w:r>
    </w:p>
    <w:p>
      <w:pPr>
        <w:ind w:firstLine="480" w:firstLineChars="200"/>
        <w:jc w:val="left"/>
      </w:pPr>
      <w:r>
        <w:rPr>
          <w:rFonts w:hint="eastAsia"/>
        </w:rPr>
        <w:t>（1</w:t>
      </w:r>
      <w:r>
        <w:t>3</w:t>
      </w:r>
      <w:r>
        <w:rPr>
          <w:rFonts w:hint="eastAsia"/>
        </w:rPr>
        <w:t>）</w:t>
      </w:r>
      <w:r>
        <w:t>《畜禽养殖业污染防治技术政策》，环发[2010]151号；</w:t>
      </w:r>
    </w:p>
    <w:p>
      <w:pPr>
        <w:ind w:firstLine="480" w:firstLineChars="200"/>
      </w:pPr>
      <w:r>
        <w:rPr>
          <w:rFonts w:hint="eastAsia"/>
        </w:rPr>
        <w:t>（1</w:t>
      </w:r>
      <w:r>
        <w:t>4</w:t>
      </w:r>
      <w:r>
        <w:rPr>
          <w:rFonts w:hint="eastAsia"/>
        </w:rPr>
        <w:t>）</w:t>
      </w:r>
      <w:r>
        <w:t>《畜禽规模养殖污染防治条例》</w:t>
      </w:r>
      <w:r>
        <w:rPr>
          <w:rFonts w:hint="eastAsia"/>
        </w:rPr>
        <w:t>，</w:t>
      </w:r>
      <w:r>
        <w:t>国务院令第643条；</w:t>
      </w:r>
    </w:p>
    <w:p>
      <w:pPr>
        <w:ind w:firstLine="480" w:firstLineChars="200"/>
      </w:pPr>
      <w:r>
        <w:rPr>
          <w:rFonts w:hint="eastAsia"/>
        </w:rPr>
        <w:t>（1</w:t>
      </w:r>
      <w:r>
        <w:t>5</w:t>
      </w:r>
      <w:r>
        <w:rPr>
          <w:rFonts w:hint="eastAsia"/>
        </w:rPr>
        <w:t>）</w:t>
      </w:r>
      <w:r>
        <w:t>《土壤污染防治行动计划》，2016年5月28日起实施；</w:t>
      </w:r>
    </w:p>
    <w:p>
      <w:pPr>
        <w:ind w:firstLine="480" w:firstLineChars="200"/>
      </w:pPr>
      <w:r>
        <w:rPr>
          <w:rFonts w:hint="eastAsia"/>
        </w:rPr>
        <w:t>（1</w:t>
      </w:r>
      <w:r>
        <w:t>6</w:t>
      </w:r>
      <w:r>
        <w:rPr>
          <w:rFonts w:hint="eastAsia"/>
        </w:rPr>
        <w:t>）</w:t>
      </w:r>
      <w:r>
        <w:t>《大气污染防治行动计划》，国发〔2013〕37号；</w:t>
      </w:r>
    </w:p>
    <w:p>
      <w:pPr>
        <w:ind w:firstLine="480" w:firstLineChars="200"/>
      </w:pPr>
      <w:r>
        <w:rPr>
          <w:rFonts w:hint="eastAsia"/>
        </w:rPr>
        <w:t>（1</w:t>
      </w:r>
      <w:r>
        <w:t>7</w:t>
      </w:r>
      <w:r>
        <w:rPr>
          <w:rFonts w:hint="eastAsia"/>
        </w:rPr>
        <w:t>）</w:t>
      </w:r>
      <w:r>
        <w:t>《水污染防治行动计划》，2015年4月2日发布。</w:t>
      </w:r>
    </w:p>
    <w:bookmarkEnd w:id="111"/>
    <w:bookmarkEnd w:id="112"/>
    <w:bookmarkEnd w:id="113"/>
    <w:bookmarkEnd w:id="114"/>
    <w:bookmarkEnd w:id="115"/>
    <w:bookmarkEnd w:id="116"/>
    <w:bookmarkEnd w:id="117"/>
    <w:bookmarkEnd w:id="118"/>
    <w:bookmarkEnd w:id="119"/>
    <w:bookmarkEnd w:id="120"/>
    <w:p>
      <w:pPr>
        <w:jc w:val="left"/>
        <w:outlineLvl w:val="2"/>
        <w:rPr>
          <w:rFonts w:eastAsia="黑体"/>
          <w:bCs/>
          <w:sz w:val="28"/>
          <w:szCs w:val="28"/>
        </w:rPr>
      </w:pPr>
      <w:r>
        <w:rPr>
          <w:rFonts w:hint="eastAsia" w:eastAsia="黑体"/>
          <w:bCs/>
          <w:sz w:val="28"/>
          <w:szCs w:val="28"/>
        </w:rPr>
        <w:t>2</w:t>
      </w:r>
      <w:r>
        <w:rPr>
          <w:rFonts w:eastAsia="黑体"/>
          <w:bCs/>
          <w:sz w:val="28"/>
          <w:szCs w:val="28"/>
        </w:rPr>
        <w:t>.1.3相关规定及文件</w:t>
      </w:r>
    </w:p>
    <w:p>
      <w:pPr>
        <w:adjustRightInd w:val="0"/>
        <w:snapToGrid w:val="0"/>
        <w:ind w:firstLine="480" w:firstLineChars="200"/>
      </w:pPr>
      <w:bookmarkStart w:id="121" w:name="_Toc423336627"/>
      <w:bookmarkStart w:id="122" w:name="_Toc56581450"/>
      <w:bookmarkStart w:id="123" w:name="_Toc457480908"/>
      <w:bookmarkStart w:id="124" w:name="_Toc82857183"/>
      <w:bookmarkStart w:id="125" w:name="_Toc88466682"/>
      <w:bookmarkStart w:id="126" w:name="_Toc179923024"/>
      <w:bookmarkStart w:id="127" w:name="_Toc115259806"/>
      <w:bookmarkStart w:id="128" w:name="_Toc114997727"/>
      <w:bookmarkStart w:id="129" w:name="_Toc414350344"/>
      <w:bookmarkStart w:id="130" w:name="_Toc457960072"/>
      <w:bookmarkStart w:id="131" w:name="_Toc457959584"/>
      <w:bookmarkStart w:id="132" w:name="_Toc407097729"/>
      <w:bookmarkStart w:id="133" w:name="_Toc464181521"/>
      <w:bookmarkStart w:id="134" w:name="_Toc464179510"/>
      <w:bookmarkStart w:id="135" w:name="_Toc465560739"/>
      <w:bookmarkStart w:id="136" w:name="_Toc414717287"/>
      <w:bookmarkStart w:id="137" w:name="_Toc414717288"/>
      <w:bookmarkStart w:id="138" w:name="_Toc414350345"/>
      <w:bookmarkStart w:id="139" w:name="_Toc407097730"/>
      <w:r>
        <w:rPr>
          <w:rFonts w:hint="eastAsia"/>
        </w:rPr>
        <w:t>（1）</w:t>
      </w:r>
      <w:r>
        <w:t>《产业结构调整指导目录》（2019年本），国家发展与改革委员会；</w:t>
      </w:r>
    </w:p>
    <w:p>
      <w:pPr>
        <w:ind w:firstLine="480" w:firstLineChars="200"/>
      </w:pPr>
      <w:r>
        <w:rPr>
          <w:rFonts w:hint="eastAsia"/>
        </w:rPr>
        <w:t>（2）</w:t>
      </w:r>
      <w:r>
        <w:t>《关于防范环境风险加强环境影响评价管理的通知》（环发[2005]152号）；</w:t>
      </w:r>
    </w:p>
    <w:p>
      <w:pPr>
        <w:ind w:firstLine="480" w:firstLineChars="200"/>
      </w:pPr>
      <w:r>
        <w:rPr>
          <w:rFonts w:hint="eastAsia"/>
        </w:rPr>
        <w:t>（3）</w:t>
      </w:r>
      <w:r>
        <w:t>《环境保护公众参与办法</w:t>
      </w:r>
      <w:r>
        <w:rPr>
          <w:rFonts w:hint="eastAsia"/>
        </w:rPr>
        <w:t>（部</w:t>
      </w:r>
      <w:r>
        <w:t>令第</w:t>
      </w:r>
      <w:r>
        <w:rPr>
          <w:rFonts w:hint="eastAsia"/>
        </w:rPr>
        <w:t>4号）</w:t>
      </w:r>
      <w:r>
        <w:t>》（</w:t>
      </w:r>
      <w:r>
        <w:rPr>
          <w:rFonts w:hint="eastAsia"/>
        </w:rPr>
        <w:t>2019.1.1</w:t>
      </w:r>
      <w:r>
        <w:t>）；</w:t>
      </w:r>
    </w:p>
    <w:p>
      <w:pPr>
        <w:ind w:firstLine="480" w:firstLineChars="200"/>
      </w:pPr>
      <w:r>
        <w:rPr>
          <w:rFonts w:hint="eastAsia"/>
        </w:rPr>
        <w:t>（4）</w:t>
      </w:r>
      <w:r>
        <w:t>《四川省人民政府办公厅关于加强灰霾污染防治的通知》（川办发[2013]32号）；</w:t>
      </w:r>
    </w:p>
    <w:p>
      <w:pPr>
        <w:ind w:firstLine="480" w:firstLineChars="200"/>
      </w:pPr>
      <w:r>
        <w:rPr>
          <w:rFonts w:hint="eastAsia"/>
        </w:rPr>
        <w:t>（5）《</w:t>
      </w:r>
      <w:r>
        <w:t>中共四川省委四川省人民政府关于进一步加强环境保护工作的决定》，中共四川省委川委发[2004]38号；</w:t>
      </w:r>
    </w:p>
    <w:p>
      <w:pPr>
        <w:ind w:firstLine="480" w:firstLineChars="200"/>
      </w:pPr>
      <w:r>
        <w:rPr>
          <w:rFonts w:hint="eastAsia"/>
        </w:rPr>
        <w:t>（6）</w:t>
      </w:r>
      <w:r>
        <w:t>《四川省环境保护局关于依法加强环境影响评价管理防范环境风险的通知》，四川省环境保护局川环发[2006]1号；</w:t>
      </w:r>
    </w:p>
    <w:p>
      <w:pPr>
        <w:ind w:firstLine="480" w:firstLineChars="200"/>
      </w:pPr>
      <w:r>
        <w:rPr>
          <w:rFonts w:hint="eastAsia"/>
        </w:rPr>
        <w:t>（7）</w:t>
      </w:r>
      <w:r>
        <w:t>《种畜禽管理条例》（国务院令第153号）；</w:t>
      </w:r>
    </w:p>
    <w:p>
      <w:pPr>
        <w:ind w:firstLine="480" w:firstLineChars="200"/>
      </w:pPr>
      <w:r>
        <w:rPr>
          <w:rFonts w:hint="eastAsia"/>
        </w:rPr>
        <w:t>（8）</w:t>
      </w:r>
      <w:r>
        <w:t>《中小型集约化养猪场兽医防疫工作流程》（GB/T 17823）；</w:t>
      </w:r>
    </w:p>
    <w:p>
      <w:pPr>
        <w:ind w:firstLine="480" w:firstLineChars="200"/>
      </w:pPr>
      <w:r>
        <w:rPr>
          <w:rFonts w:hint="eastAsia"/>
        </w:rPr>
        <w:t>（9）</w:t>
      </w:r>
      <w:r>
        <w:t>《无公害食品——生猪饲养兽医防疫准则》（NY/T 5031）；</w:t>
      </w:r>
    </w:p>
    <w:p>
      <w:pPr>
        <w:ind w:firstLine="480" w:firstLineChars="200"/>
      </w:pPr>
      <w:r>
        <w:rPr>
          <w:rFonts w:hint="eastAsia"/>
        </w:rPr>
        <w:t>（1</w:t>
      </w:r>
      <w:r>
        <w:t>0</w:t>
      </w:r>
      <w:r>
        <w:rPr>
          <w:rFonts w:hint="eastAsia"/>
        </w:rPr>
        <w:t>）</w:t>
      </w:r>
      <w:r>
        <w:t>《无公害食品——生猪饲养管理准则》（NY/T 5033）；</w:t>
      </w:r>
    </w:p>
    <w:p>
      <w:pPr>
        <w:ind w:firstLine="480" w:firstLineChars="200"/>
      </w:pPr>
      <w:r>
        <w:rPr>
          <w:rFonts w:hint="eastAsia"/>
        </w:rPr>
        <w:t>（1</w:t>
      </w:r>
      <w:r>
        <w:t>1</w:t>
      </w:r>
      <w:r>
        <w:rPr>
          <w:rFonts w:hint="eastAsia"/>
        </w:rPr>
        <w:t>）</w:t>
      </w:r>
      <w:r>
        <w:t>《中、小型集约化养猪场环境参数及环境管理》（GB/T 17824-1999）；</w:t>
      </w:r>
    </w:p>
    <w:p>
      <w:pPr>
        <w:ind w:firstLine="480" w:firstLineChars="200"/>
      </w:pPr>
      <w:r>
        <w:rPr>
          <w:rFonts w:hint="eastAsia"/>
        </w:rPr>
        <w:t>（1</w:t>
      </w:r>
      <w:r>
        <w:t>2</w:t>
      </w:r>
      <w:r>
        <w:rPr>
          <w:rFonts w:hint="eastAsia"/>
        </w:rPr>
        <w:t>）</w:t>
      </w:r>
      <w:r>
        <w:t>《乐山市人民政府办公室关于建立病死畜禽无害化处理机制的通知》（乐府办函[2016]24号）；</w:t>
      </w:r>
    </w:p>
    <w:p>
      <w:pPr>
        <w:ind w:firstLine="480" w:firstLineChars="200"/>
      </w:pPr>
      <w:r>
        <w:rPr>
          <w:rFonts w:hint="eastAsia"/>
        </w:rPr>
        <w:t>（1</w:t>
      </w:r>
      <w:r>
        <w:t>3</w:t>
      </w:r>
      <w:r>
        <w:rPr>
          <w:rFonts w:hint="eastAsia"/>
        </w:rPr>
        <w:t>）</w:t>
      </w:r>
      <w:r>
        <w:t>《乐山市畜禽养殖废弃物资源化利用工作方案》。</w:t>
      </w:r>
    </w:p>
    <w:bookmarkEnd w:id="121"/>
    <w:bookmarkEnd w:id="122"/>
    <w:bookmarkEnd w:id="123"/>
    <w:bookmarkEnd w:id="124"/>
    <w:bookmarkEnd w:id="125"/>
    <w:bookmarkEnd w:id="126"/>
    <w:bookmarkEnd w:id="127"/>
    <w:bookmarkEnd w:id="128"/>
    <w:p>
      <w:pPr>
        <w:jc w:val="left"/>
        <w:outlineLvl w:val="2"/>
        <w:rPr>
          <w:rFonts w:eastAsia="黑体"/>
          <w:bCs/>
          <w:sz w:val="28"/>
          <w:szCs w:val="28"/>
        </w:rPr>
      </w:pPr>
      <w:r>
        <w:rPr>
          <w:rFonts w:hint="eastAsia" w:eastAsia="黑体"/>
          <w:bCs/>
          <w:sz w:val="28"/>
          <w:szCs w:val="28"/>
        </w:rPr>
        <w:t>2</w:t>
      </w:r>
      <w:r>
        <w:rPr>
          <w:rFonts w:eastAsia="黑体"/>
          <w:bCs/>
          <w:sz w:val="28"/>
          <w:szCs w:val="28"/>
        </w:rPr>
        <w:t>.1.4相关规划</w:t>
      </w:r>
    </w:p>
    <w:bookmarkEnd w:id="129"/>
    <w:bookmarkEnd w:id="130"/>
    <w:bookmarkEnd w:id="131"/>
    <w:bookmarkEnd w:id="132"/>
    <w:bookmarkEnd w:id="133"/>
    <w:bookmarkEnd w:id="134"/>
    <w:bookmarkEnd w:id="135"/>
    <w:bookmarkEnd w:id="136"/>
    <w:p>
      <w:pPr>
        <w:adjustRightInd w:val="0"/>
        <w:snapToGrid w:val="0"/>
        <w:ind w:firstLine="480" w:firstLineChars="200"/>
        <w:rPr>
          <w:b/>
          <w:bCs/>
        </w:rPr>
      </w:pPr>
      <w:bookmarkStart w:id="140" w:name="_Toc179923025"/>
      <w:bookmarkStart w:id="141" w:name="_Toc114997722"/>
      <w:bookmarkStart w:id="142" w:name="_Toc115259801"/>
      <w:bookmarkStart w:id="143" w:name="_Toc423336628"/>
      <w:bookmarkStart w:id="144" w:name="_Toc82857178"/>
      <w:bookmarkStart w:id="145" w:name="_Toc88466677"/>
      <w:bookmarkStart w:id="146" w:name="_Toc76139317"/>
      <w:bookmarkStart w:id="147" w:name="_Toc6374266"/>
      <w:bookmarkStart w:id="148" w:name="_Toc457480909"/>
      <w:bookmarkStart w:id="149" w:name="_Toc88466683"/>
      <w:bookmarkStart w:id="150" w:name="_Toc56581454"/>
      <w:bookmarkStart w:id="151" w:name="_Toc464179513"/>
      <w:bookmarkStart w:id="152" w:name="_Toc465560742"/>
      <w:bookmarkStart w:id="153" w:name="_Toc457959587"/>
      <w:bookmarkStart w:id="154" w:name="_Toc457960075"/>
      <w:bookmarkStart w:id="155" w:name="_Toc464181524"/>
      <w:bookmarkStart w:id="156" w:name="_Toc115259807"/>
      <w:bookmarkStart w:id="157" w:name="_Toc114997728"/>
      <w:bookmarkStart w:id="158" w:name="_Toc82857184"/>
      <w:bookmarkStart w:id="159" w:name="_Toc414350349"/>
      <w:bookmarkStart w:id="160" w:name="_Toc407097734"/>
      <w:bookmarkStart w:id="161" w:name="_Toc414717292"/>
      <w:r>
        <w:rPr>
          <w:rFonts w:hint="eastAsia"/>
        </w:rPr>
        <w:t>（1）</w:t>
      </w:r>
      <w:r>
        <w:t>《</w:t>
      </w:r>
      <w:r>
        <w:rPr>
          <w:bCs/>
        </w:rPr>
        <w:t>四川省畜牧业发展“十三五”规划</w:t>
      </w:r>
      <w:r>
        <w:t>》；</w:t>
      </w:r>
    </w:p>
    <w:p>
      <w:pPr>
        <w:adjustRightInd w:val="0"/>
        <w:snapToGrid w:val="0"/>
        <w:ind w:firstLine="480" w:firstLineChars="200"/>
      </w:pPr>
      <w:r>
        <w:rPr>
          <w:rFonts w:hint="eastAsia"/>
        </w:rPr>
        <w:t>（2）</w:t>
      </w:r>
      <w:r>
        <w:t>《</w:t>
      </w:r>
      <w:r>
        <w:rPr>
          <w:rFonts w:hint="eastAsia"/>
        </w:rPr>
        <w:t>井研县</w:t>
      </w:r>
      <w:r>
        <w:t>畜禽养殖禁养区划定方案及分布图》。</w:t>
      </w:r>
    </w:p>
    <w:p>
      <w:pPr>
        <w:jc w:val="left"/>
        <w:outlineLvl w:val="2"/>
        <w:rPr>
          <w:rFonts w:eastAsia="黑体"/>
          <w:bCs/>
          <w:sz w:val="28"/>
          <w:szCs w:val="28"/>
        </w:rPr>
      </w:pPr>
      <w:r>
        <w:rPr>
          <w:rFonts w:hint="eastAsia" w:eastAsia="黑体"/>
          <w:bCs/>
          <w:sz w:val="28"/>
          <w:szCs w:val="28"/>
        </w:rPr>
        <w:t>2</w:t>
      </w:r>
      <w:r>
        <w:rPr>
          <w:rFonts w:eastAsia="黑体"/>
          <w:bCs/>
          <w:sz w:val="28"/>
          <w:szCs w:val="28"/>
        </w:rPr>
        <w:t>.1.5技术规范</w:t>
      </w:r>
    </w:p>
    <w:p>
      <w:pPr>
        <w:pStyle w:val="320"/>
        <w:snapToGrid w:val="0"/>
        <w:spacing w:before="0" w:line="360" w:lineRule="auto"/>
        <w:ind w:firstLine="480"/>
        <w:rPr>
          <w:rFonts w:ascii="Times New Roman" w:hAnsi="Times New Roman"/>
        </w:rPr>
      </w:pPr>
      <w:r>
        <w:rPr>
          <w:rFonts w:hint="eastAsia" w:ascii="Times New Roman" w:hAnsi="Times New Roman"/>
        </w:rPr>
        <w:t>（1）</w:t>
      </w:r>
      <w:r>
        <w:rPr>
          <w:rFonts w:ascii="Times New Roman" w:hAnsi="Times New Roman"/>
        </w:rPr>
        <w:t>《建设项目环境影响评价技术导则 总纲》（HJ 2.1-2016）；</w:t>
      </w:r>
    </w:p>
    <w:p>
      <w:pPr>
        <w:pStyle w:val="320"/>
        <w:snapToGrid w:val="0"/>
        <w:spacing w:before="0" w:line="360" w:lineRule="auto"/>
        <w:ind w:firstLine="480"/>
        <w:rPr>
          <w:rFonts w:ascii="Times New Roman" w:hAnsi="Times New Roman"/>
        </w:rPr>
      </w:pPr>
      <w:r>
        <w:rPr>
          <w:rFonts w:hint="eastAsia" w:ascii="Times New Roman" w:hAnsi="Times New Roman"/>
        </w:rPr>
        <w:t>（2）</w:t>
      </w:r>
      <w:r>
        <w:rPr>
          <w:rFonts w:ascii="Times New Roman" w:hAnsi="Times New Roman"/>
        </w:rPr>
        <w:t>《环境影响评价技术导则 大气环境》（HJ 2.2-2018）；</w:t>
      </w:r>
    </w:p>
    <w:p>
      <w:pPr>
        <w:pStyle w:val="320"/>
        <w:snapToGrid w:val="0"/>
        <w:spacing w:before="0" w:line="360" w:lineRule="auto"/>
        <w:ind w:firstLine="480"/>
        <w:rPr>
          <w:rFonts w:ascii="Times New Roman" w:hAnsi="Times New Roman"/>
        </w:rPr>
      </w:pPr>
      <w:r>
        <w:rPr>
          <w:rFonts w:hint="eastAsia" w:ascii="Times New Roman" w:hAnsi="Times New Roman"/>
        </w:rPr>
        <w:t>（3）</w:t>
      </w:r>
      <w:r>
        <w:rPr>
          <w:rFonts w:ascii="Times New Roman" w:hAnsi="Times New Roman"/>
        </w:rPr>
        <w:t>《环境影响评价技术导则 地</w:t>
      </w:r>
      <w:r>
        <w:rPr>
          <w:rFonts w:hint="eastAsia" w:ascii="Times New Roman" w:hAnsi="Times New Roman"/>
        </w:rPr>
        <w:t>表</w:t>
      </w:r>
      <w:r>
        <w:rPr>
          <w:rFonts w:ascii="Times New Roman" w:hAnsi="Times New Roman"/>
        </w:rPr>
        <w:t>水环境》（HJ 2.3-2018）；</w:t>
      </w:r>
    </w:p>
    <w:p>
      <w:pPr>
        <w:pStyle w:val="320"/>
        <w:snapToGrid w:val="0"/>
        <w:spacing w:before="0" w:line="360" w:lineRule="auto"/>
        <w:ind w:firstLine="480"/>
        <w:rPr>
          <w:rFonts w:ascii="Times New Roman" w:hAnsi="Times New Roman"/>
        </w:rPr>
      </w:pPr>
      <w:r>
        <w:rPr>
          <w:rFonts w:hint="eastAsia" w:ascii="Times New Roman" w:hAnsi="Times New Roman"/>
        </w:rPr>
        <w:t>（4）</w:t>
      </w:r>
      <w:r>
        <w:rPr>
          <w:rFonts w:ascii="Times New Roman" w:hAnsi="Times New Roman"/>
        </w:rPr>
        <w:t>《环境影响评价技术导则 地下水环境》（HJ 610-2016）；</w:t>
      </w:r>
    </w:p>
    <w:p>
      <w:pPr>
        <w:pStyle w:val="320"/>
        <w:snapToGrid w:val="0"/>
        <w:spacing w:before="0" w:line="360" w:lineRule="auto"/>
        <w:ind w:firstLine="480"/>
        <w:rPr>
          <w:rFonts w:ascii="Times New Roman" w:hAnsi="Times New Roman"/>
        </w:rPr>
      </w:pPr>
      <w:r>
        <w:rPr>
          <w:rFonts w:hint="eastAsia" w:ascii="Times New Roman" w:hAnsi="Times New Roman"/>
        </w:rPr>
        <w:t>（5）</w:t>
      </w:r>
      <w:r>
        <w:rPr>
          <w:rFonts w:ascii="Times New Roman" w:hAnsi="Times New Roman"/>
        </w:rPr>
        <w:t>《环境影响评价技术导则 声环境》（HJ 2.4-2009）；</w:t>
      </w:r>
    </w:p>
    <w:p>
      <w:pPr>
        <w:pStyle w:val="320"/>
        <w:snapToGrid w:val="0"/>
        <w:spacing w:before="0" w:line="360" w:lineRule="auto"/>
        <w:ind w:firstLine="480"/>
        <w:rPr>
          <w:rFonts w:ascii="Times New Roman" w:hAnsi="Times New Roman"/>
        </w:rPr>
      </w:pPr>
      <w:r>
        <w:rPr>
          <w:rFonts w:hint="eastAsia" w:ascii="Times New Roman" w:hAnsi="Times New Roman"/>
        </w:rPr>
        <w:t>（6）</w:t>
      </w:r>
      <w:r>
        <w:rPr>
          <w:rFonts w:ascii="Times New Roman" w:hAnsi="Times New Roman"/>
        </w:rPr>
        <w:t>《环境影响评价技术导则 生态影响》（HJ 19-2011）；</w:t>
      </w:r>
    </w:p>
    <w:p>
      <w:pPr>
        <w:pStyle w:val="320"/>
        <w:snapToGrid w:val="0"/>
        <w:spacing w:before="0" w:line="360" w:lineRule="auto"/>
        <w:ind w:firstLine="480"/>
        <w:rPr>
          <w:rFonts w:ascii="Times New Roman" w:hAnsi="Times New Roman"/>
        </w:rPr>
      </w:pPr>
      <w:r>
        <w:rPr>
          <w:rFonts w:hint="eastAsia" w:ascii="Times New Roman" w:hAnsi="Times New Roman"/>
        </w:rPr>
        <w:t>（7）</w:t>
      </w:r>
      <w:r>
        <w:rPr>
          <w:rFonts w:ascii="Times New Roman" w:hAnsi="Times New Roman"/>
        </w:rPr>
        <w:t>《畜禽场环境质量评价准则》（GB/T 19525.2-2004）；</w:t>
      </w:r>
    </w:p>
    <w:p>
      <w:pPr>
        <w:pStyle w:val="320"/>
        <w:snapToGrid w:val="0"/>
        <w:spacing w:before="0" w:line="360" w:lineRule="auto"/>
        <w:ind w:firstLine="480"/>
        <w:rPr>
          <w:rFonts w:ascii="Times New Roman" w:hAnsi="Times New Roman"/>
        </w:rPr>
      </w:pPr>
      <w:r>
        <w:rPr>
          <w:rFonts w:hint="eastAsia" w:ascii="Times New Roman" w:hAnsi="Times New Roman"/>
        </w:rPr>
        <w:t>（8）</w:t>
      </w:r>
      <w:r>
        <w:rPr>
          <w:rFonts w:ascii="Times New Roman" w:hAnsi="Times New Roman"/>
        </w:rPr>
        <w:t>《畜禽养殖产地环境评价规范》（HJ 568-2010）；</w:t>
      </w:r>
    </w:p>
    <w:p>
      <w:pPr>
        <w:pStyle w:val="320"/>
        <w:snapToGrid w:val="0"/>
        <w:spacing w:before="0" w:line="360" w:lineRule="auto"/>
        <w:ind w:firstLine="480"/>
        <w:rPr>
          <w:rFonts w:ascii="Times New Roman" w:hAnsi="Times New Roman"/>
        </w:rPr>
      </w:pPr>
      <w:r>
        <w:rPr>
          <w:rFonts w:hint="eastAsia" w:ascii="Times New Roman" w:hAnsi="Times New Roman"/>
        </w:rPr>
        <w:t>（9）</w:t>
      </w:r>
      <w:r>
        <w:rPr>
          <w:rFonts w:ascii="Times New Roman" w:hAnsi="Times New Roman"/>
        </w:rPr>
        <w:t>《建设项目环境风险评价技术导则》（HJ169-2018）</w:t>
      </w:r>
      <w:r>
        <w:rPr>
          <w:rFonts w:hint="eastAsia" w:ascii="Times New Roman" w:hAnsi="Times New Roman"/>
        </w:rPr>
        <w:t>；</w:t>
      </w:r>
    </w:p>
    <w:p>
      <w:pPr>
        <w:pStyle w:val="320"/>
        <w:snapToGrid w:val="0"/>
        <w:spacing w:before="0" w:line="360" w:lineRule="auto"/>
        <w:ind w:firstLine="480"/>
        <w:rPr>
          <w:rFonts w:ascii="Times New Roman" w:hAnsi="Times New Roman"/>
        </w:rPr>
      </w:pPr>
      <w:r>
        <w:rPr>
          <w:rFonts w:hint="eastAsia"/>
        </w:rPr>
        <w:t>（1</w:t>
      </w:r>
      <w:r>
        <w:t>0</w:t>
      </w:r>
      <w:r>
        <w:rPr>
          <w:rFonts w:hint="eastAsia"/>
        </w:rPr>
        <w:t>）《</w:t>
      </w:r>
      <w:r>
        <w:t>排污</w:t>
      </w:r>
      <w:r>
        <w:rPr>
          <w:rFonts w:hint="eastAsia"/>
        </w:rPr>
        <w:t>许可证</w:t>
      </w:r>
      <w:r>
        <w:t>申请与核发</w:t>
      </w:r>
      <w:r>
        <w:rPr>
          <w:rFonts w:hint="eastAsia"/>
        </w:rPr>
        <w:t>技术</w:t>
      </w:r>
      <w:r>
        <w:t>规范畜禽养殖行业》（</w:t>
      </w:r>
      <w:r>
        <w:rPr>
          <w:rFonts w:ascii="Times New Roman" w:hAnsi="Times New Roman"/>
        </w:rPr>
        <w:t>HJ 1029-2019</w:t>
      </w:r>
      <w:r>
        <w:rPr>
          <w:rFonts w:hint="eastAsia"/>
        </w:rPr>
        <w:t>）。</w:t>
      </w:r>
    </w:p>
    <w:p>
      <w:pPr>
        <w:jc w:val="left"/>
        <w:outlineLvl w:val="2"/>
        <w:rPr>
          <w:rFonts w:eastAsia="黑体"/>
          <w:bCs/>
          <w:sz w:val="28"/>
          <w:szCs w:val="28"/>
        </w:rPr>
      </w:pPr>
      <w:r>
        <w:rPr>
          <w:rFonts w:hint="eastAsia" w:eastAsia="黑体"/>
          <w:bCs/>
          <w:sz w:val="28"/>
          <w:szCs w:val="28"/>
        </w:rPr>
        <w:t>2</w:t>
      </w:r>
      <w:r>
        <w:rPr>
          <w:rFonts w:eastAsia="黑体"/>
          <w:bCs/>
          <w:sz w:val="28"/>
          <w:szCs w:val="28"/>
        </w:rPr>
        <w:t>.1.6项目依据</w:t>
      </w:r>
    </w:p>
    <w:p>
      <w:pPr>
        <w:pStyle w:val="320"/>
        <w:snapToGrid w:val="0"/>
        <w:spacing w:line="360" w:lineRule="auto"/>
        <w:ind w:firstLine="480"/>
        <w:rPr>
          <w:rFonts w:ascii="Times New Roman" w:hAnsi="Times New Roman"/>
        </w:rPr>
      </w:pPr>
      <w:r>
        <w:rPr>
          <w:rFonts w:hint="eastAsia" w:ascii="Times New Roman" w:hAnsi="Times New Roman"/>
        </w:rPr>
        <w:t>（1）</w:t>
      </w:r>
      <w:r>
        <w:rPr>
          <w:rFonts w:ascii="Times New Roman" w:hAnsi="Times New Roman"/>
        </w:rPr>
        <w:t>项目环评委托书；</w:t>
      </w:r>
    </w:p>
    <w:p>
      <w:pPr>
        <w:pStyle w:val="320"/>
        <w:snapToGrid w:val="0"/>
        <w:spacing w:line="360" w:lineRule="auto"/>
        <w:ind w:firstLine="480"/>
        <w:rPr>
          <w:rFonts w:ascii="Times New Roman" w:hAnsi="Times New Roman"/>
        </w:rPr>
      </w:pPr>
      <w:r>
        <w:rPr>
          <w:rFonts w:hint="eastAsia" w:ascii="Times New Roman" w:hAnsi="Times New Roman"/>
        </w:rPr>
        <w:t>（2）</w:t>
      </w:r>
      <w:r>
        <w:rPr>
          <w:rFonts w:ascii="Times New Roman" w:hAnsi="Times New Roman"/>
        </w:rPr>
        <w:t>企业投资项目备案通知书；</w:t>
      </w:r>
    </w:p>
    <w:p>
      <w:pPr>
        <w:pStyle w:val="320"/>
        <w:snapToGrid w:val="0"/>
        <w:spacing w:line="360" w:lineRule="auto"/>
        <w:ind w:firstLine="480"/>
        <w:rPr>
          <w:rFonts w:ascii="Times New Roman" w:hAnsi="Times New Roman"/>
        </w:rPr>
      </w:pPr>
      <w:r>
        <w:rPr>
          <w:rFonts w:hint="eastAsia" w:ascii="Times New Roman" w:hAnsi="Times New Roman"/>
        </w:rPr>
        <w:t>（3）</w:t>
      </w:r>
      <w:r>
        <w:rPr>
          <w:rFonts w:ascii="Times New Roman" w:hAnsi="Times New Roman"/>
        </w:rPr>
        <w:t>业主提供的其它与该项目相关的工程技术资料。</w:t>
      </w:r>
    </w:p>
    <w:p>
      <w:pPr>
        <w:pStyle w:val="320"/>
        <w:snapToGrid w:val="0"/>
        <w:spacing w:line="360" w:lineRule="auto"/>
        <w:ind w:firstLine="480"/>
        <w:rPr>
          <w:rFonts w:ascii="Times New Roman" w:hAnsi="Times New Roman"/>
        </w:rPr>
      </w:pPr>
      <w:r>
        <w:rPr>
          <w:rFonts w:hint="eastAsia"/>
        </w:rPr>
        <w:t>（4）项目可行性</w:t>
      </w:r>
      <w:r>
        <w:t>研究</w:t>
      </w:r>
    </w:p>
    <w:p>
      <w:pPr>
        <w:jc w:val="left"/>
        <w:outlineLvl w:val="2"/>
        <w:rPr>
          <w:rFonts w:eastAsia="黑体"/>
          <w:bCs/>
          <w:sz w:val="28"/>
          <w:szCs w:val="28"/>
        </w:rPr>
      </w:pPr>
      <w:r>
        <w:rPr>
          <w:sz w:val="28"/>
          <w:szCs w:val="28"/>
        </w:rPr>
        <w:t>2.1.7</w:t>
      </w:r>
      <w:r>
        <w:rPr>
          <w:rFonts w:eastAsia="黑体"/>
          <w:bCs/>
          <w:sz w:val="28"/>
          <w:szCs w:val="28"/>
        </w:rPr>
        <w:t>行业相关规范</w:t>
      </w:r>
    </w:p>
    <w:p>
      <w:pPr>
        <w:adjustRightInd w:val="0"/>
        <w:snapToGrid w:val="0"/>
        <w:ind w:firstLine="480" w:firstLineChars="200"/>
      </w:pPr>
      <w:r>
        <w:rPr>
          <w:rFonts w:hint="eastAsia"/>
        </w:rPr>
        <w:t>（1）</w:t>
      </w:r>
      <w:r>
        <w:t>《畜禽产地检疫规范》（GB16549-1996）；</w:t>
      </w:r>
    </w:p>
    <w:p>
      <w:pPr>
        <w:adjustRightInd w:val="0"/>
        <w:snapToGrid w:val="0"/>
        <w:ind w:firstLine="480" w:firstLineChars="200"/>
      </w:pPr>
      <w:r>
        <w:rPr>
          <w:rFonts w:hint="eastAsia"/>
        </w:rPr>
        <w:t>（2）</w:t>
      </w:r>
      <w:r>
        <w:t>《畜禽养殖业污染</w:t>
      </w:r>
      <w:r>
        <w:rPr>
          <w:rFonts w:hint="eastAsia"/>
        </w:rPr>
        <w:t>治理工程技术规范</w:t>
      </w:r>
      <w:r>
        <w:t>》（HJ</w:t>
      </w:r>
      <w:r>
        <w:rPr>
          <w:rFonts w:hint="eastAsia"/>
        </w:rPr>
        <w:t>497-2009</w:t>
      </w:r>
      <w:r>
        <w:t>）；</w:t>
      </w:r>
    </w:p>
    <w:p>
      <w:pPr>
        <w:ind w:firstLine="480" w:firstLineChars="200"/>
      </w:pPr>
      <w:r>
        <w:rPr>
          <w:rFonts w:hint="eastAsia"/>
        </w:rPr>
        <w:t>（3）</w:t>
      </w:r>
      <w:r>
        <w:t>《标准化规模养猪场建设规范》（NY/T 1568-2007）；</w:t>
      </w:r>
    </w:p>
    <w:p>
      <w:pPr>
        <w:adjustRightInd w:val="0"/>
        <w:snapToGrid w:val="0"/>
        <w:ind w:firstLine="480" w:firstLineChars="200"/>
      </w:pPr>
      <w:r>
        <w:rPr>
          <w:rFonts w:hint="eastAsia"/>
        </w:rPr>
        <w:t>（4）</w:t>
      </w:r>
      <w:r>
        <w:t>《规模猪场建设技术规范》（DB51/T1073-2010）</w:t>
      </w:r>
      <w:r>
        <w:rPr>
          <w:rFonts w:hint="eastAsia"/>
        </w:rPr>
        <w:t>；</w:t>
      </w:r>
    </w:p>
    <w:p>
      <w:pPr>
        <w:adjustRightInd w:val="0"/>
        <w:snapToGrid w:val="0"/>
        <w:ind w:firstLine="480" w:firstLineChars="200"/>
      </w:pPr>
      <w:r>
        <w:rPr>
          <w:rFonts w:hint="eastAsia"/>
        </w:rPr>
        <w:t>（5）《四川畜禽养殖污染防治技术指南》（试行）（川农业函[2017]647号）</w:t>
      </w:r>
    </w:p>
    <w:p>
      <w:pPr>
        <w:pStyle w:val="588"/>
        <w:keepNext/>
        <w:keepLines/>
        <w:widowControl w:val="0"/>
        <w:adjustRightInd w:val="0"/>
        <w:spacing w:line="360" w:lineRule="auto"/>
        <w:textAlignment w:val="baseline"/>
        <w:rPr>
          <w:rFonts w:ascii="Times New Roman" w:hAnsi="Times New Roman" w:eastAsia="黑体" w:cs="Times New Roman"/>
          <w:b w:val="0"/>
          <w:spacing w:val="4"/>
          <w:kern w:val="2"/>
          <w:sz w:val="32"/>
          <w:szCs w:val="32"/>
        </w:rPr>
      </w:pPr>
      <w:bookmarkStart w:id="162" w:name="_Toc29110552"/>
      <w:r>
        <w:rPr>
          <w:rFonts w:ascii="Times New Roman" w:hAnsi="Times New Roman" w:eastAsia="黑体" w:cs="Times New Roman"/>
          <w:b w:val="0"/>
          <w:spacing w:val="4"/>
          <w:kern w:val="2"/>
          <w:sz w:val="32"/>
          <w:szCs w:val="32"/>
        </w:rPr>
        <w:t>2.2 评价目的与工作原则</w:t>
      </w:r>
      <w:bookmarkEnd w:id="140"/>
      <w:bookmarkEnd w:id="141"/>
      <w:bookmarkEnd w:id="142"/>
      <w:bookmarkEnd w:id="143"/>
      <w:bookmarkEnd w:id="144"/>
      <w:bookmarkEnd w:id="145"/>
      <w:bookmarkEnd w:id="146"/>
      <w:bookmarkEnd w:id="147"/>
      <w:bookmarkEnd w:id="148"/>
      <w:bookmarkEnd w:id="162"/>
    </w:p>
    <w:p>
      <w:pPr>
        <w:jc w:val="left"/>
        <w:outlineLvl w:val="2"/>
        <w:rPr>
          <w:rFonts w:eastAsia="黑体"/>
          <w:bCs/>
          <w:sz w:val="28"/>
          <w:szCs w:val="28"/>
        </w:rPr>
      </w:pPr>
      <w:bookmarkStart w:id="163" w:name="_Toc6374267"/>
      <w:bookmarkStart w:id="164" w:name="_Toc457480910"/>
      <w:bookmarkStart w:id="165" w:name="_Toc423336629"/>
      <w:bookmarkStart w:id="166" w:name="_Toc179923026"/>
      <w:bookmarkStart w:id="167" w:name="_Toc76139318"/>
      <w:bookmarkStart w:id="168" w:name="_Toc82857179"/>
      <w:bookmarkStart w:id="169" w:name="_Toc114997723"/>
      <w:bookmarkStart w:id="170" w:name="_Toc115259802"/>
      <w:bookmarkStart w:id="171" w:name="_Toc88466678"/>
      <w:r>
        <w:rPr>
          <w:rFonts w:hint="eastAsia" w:eastAsia="黑体"/>
          <w:bCs/>
          <w:sz w:val="28"/>
          <w:szCs w:val="28"/>
        </w:rPr>
        <w:t>2</w:t>
      </w:r>
      <w:r>
        <w:rPr>
          <w:rFonts w:eastAsia="黑体"/>
          <w:bCs/>
          <w:sz w:val="28"/>
          <w:szCs w:val="28"/>
        </w:rPr>
        <w:t>.2.1评价目的</w:t>
      </w:r>
      <w:bookmarkEnd w:id="163"/>
      <w:bookmarkEnd w:id="164"/>
      <w:bookmarkEnd w:id="165"/>
      <w:bookmarkEnd w:id="166"/>
      <w:bookmarkEnd w:id="167"/>
      <w:bookmarkEnd w:id="168"/>
      <w:bookmarkEnd w:id="169"/>
      <w:bookmarkEnd w:id="170"/>
      <w:bookmarkEnd w:id="171"/>
    </w:p>
    <w:p>
      <w:pPr>
        <w:pStyle w:val="320"/>
        <w:snapToGrid w:val="0"/>
        <w:spacing w:before="0" w:line="360" w:lineRule="auto"/>
        <w:ind w:firstLine="480"/>
        <w:rPr>
          <w:rFonts w:ascii="Times New Roman" w:hAnsi="Times New Roman"/>
        </w:rPr>
      </w:pPr>
      <w:bookmarkStart w:id="172" w:name="_Toc115259803"/>
      <w:bookmarkStart w:id="173" w:name="_Toc179923027"/>
      <w:bookmarkStart w:id="174" w:name="_Toc423336630"/>
      <w:bookmarkStart w:id="175" w:name="_Toc76139319"/>
      <w:bookmarkStart w:id="176" w:name="_Toc114997724"/>
      <w:bookmarkStart w:id="177" w:name="_Toc82857180"/>
      <w:bookmarkStart w:id="178" w:name="_Toc457480911"/>
      <w:bookmarkStart w:id="179" w:name="_Toc88466679"/>
      <w:bookmarkStart w:id="180" w:name="_Toc6374268"/>
      <w:r>
        <w:rPr>
          <w:rFonts w:ascii="Times New Roman" w:hAnsi="Times New Roman"/>
        </w:rPr>
        <w:t>建设项目环境影响评价制度是我国的环境保护工作制度，旨在促进评价地区经济与环境协调发展，促进生态环境的良性循环。</w:t>
      </w:r>
    </w:p>
    <w:p>
      <w:pPr>
        <w:pStyle w:val="320"/>
        <w:snapToGrid w:val="0"/>
        <w:spacing w:before="0" w:line="360" w:lineRule="auto"/>
        <w:ind w:firstLine="480"/>
        <w:rPr>
          <w:rFonts w:ascii="Times New Roman" w:hAnsi="Times New Roman"/>
        </w:rPr>
      </w:pPr>
      <w:r>
        <w:rPr>
          <w:rFonts w:hint="eastAsia" w:ascii="Times New Roman" w:hAnsi="Times New Roman"/>
        </w:rPr>
        <w:t>本次</w:t>
      </w:r>
      <w:r>
        <w:rPr>
          <w:rFonts w:ascii="Times New Roman" w:hAnsi="Times New Roman"/>
        </w:rPr>
        <w:t>环境影响评价的目的是：</w:t>
      </w:r>
    </w:p>
    <w:p>
      <w:pPr>
        <w:adjustRightInd w:val="0"/>
        <w:snapToGrid w:val="0"/>
        <w:ind w:firstLine="480" w:firstLineChars="200"/>
      </w:pPr>
      <w:r>
        <w:rPr>
          <w:rFonts w:hint="eastAsia"/>
        </w:rPr>
        <w:t>（1）</w:t>
      </w:r>
      <w:r>
        <w:t>通过对拟建工程所涉及的自然环境、社会环境的调查，了解区内环境现状，论述本工程选址的合理性。</w:t>
      </w:r>
    </w:p>
    <w:p>
      <w:pPr>
        <w:pStyle w:val="320"/>
        <w:snapToGrid w:val="0"/>
        <w:spacing w:before="0" w:line="360" w:lineRule="auto"/>
        <w:ind w:firstLine="480"/>
        <w:rPr>
          <w:rFonts w:ascii="Times New Roman" w:hAnsi="Times New Roman"/>
        </w:rPr>
      </w:pPr>
      <w:r>
        <w:rPr>
          <w:rFonts w:hint="eastAsia" w:ascii="Times New Roman" w:hAnsi="Times New Roman"/>
        </w:rPr>
        <w:t>（2）</w:t>
      </w:r>
      <w:r>
        <w:rPr>
          <w:rFonts w:ascii="Times New Roman" w:hAnsi="Times New Roman"/>
        </w:rPr>
        <w:t>通过对本项目所在地的现场调查、监测和资料收集，了解本项目周围区域的自然环境背景、生态环境现状、社会经济状况，评估区域内水环境、大气环境和声环境的环境质量现状，明确环境保护目标和环境敏感目标。</w:t>
      </w:r>
    </w:p>
    <w:p>
      <w:pPr>
        <w:pStyle w:val="320"/>
        <w:snapToGrid w:val="0"/>
        <w:spacing w:before="0" w:line="360" w:lineRule="auto"/>
        <w:ind w:firstLine="480"/>
        <w:rPr>
          <w:rFonts w:ascii="Times New Roman" w:hAnsi="Times New Roman"/>
        </w:rPr>
      </w:pPr>
      <w:r>
        <w:rPr>
          <w:rFonts w:hint="eastAsia" w:ascii="Times New Roman" w:hAnsi="Times New Roman"/>
        </w:rPr>
        <w:t>（3）</w:t>
      </w:r>
      <w:r>
        <w:rPr>
          <w:rFonts w:ascii="Times New Roman" w:hAnsi="Times New Roman"/>
        </w:rPr>
        <w:t>通过工程分析和污染源调查，以及采用模式计算和类比调查分析等方法，对该项目建设对周围环境可能造成不利影响的范围和程度进行系统的预测分析和综合评价，突出主要环境问题和生态问题，为提出减缓环境影响措施和总量控制提供基础资料。</w:t>
      </w:r>
    </w:p>
    <w:p>
      <w:pPr>
        <w:pStyle w:val="320"/>
        <w:snapToGrid w:val="0"/>
        <w:spacing w:before="0" w:line="360" w:lineRule="auto"/>
        <w:ind w:firstLine="480"/>
        <w:rPr>
          <w:rFonts w:ascii="Times New Roman" w:hAnsi="Times New Roman"/>
        </w:rPr>
      </w:pPr>
      <w:r>
        <w:rPr>
          <w:rFonts w:hint="eastAsia" w:ascii="Times New Roman" w:hAnsi="Times New Roman"/>
        </w:rPr>
        <w:t>（4）</w:t>
      </w:r>
      <w:r>
        <w:rPr>
          <w:rFonts w:ascii="Times New Roman" w:hAnsi="Times New Roman"/>
        </w:rPr>
        <w:t>论证项目是否符合国家产业政策，明确建设单位的环境保护责任，针对性地提出预防、减轻或消除环境不利影响的环境保护对策、措施和建议，把环境不利影响降低到最小程度和允许限度。</w:t>
      </w:r>
    </w:p>
    <w:p>
      <w:pPr>
        <w:pStyle w:val="320"/>
        <w:snapToGrid w:val="0"/>
        <w:spacing w:before="0" w:line="360" w:lineRule="auto"/>
        <w:ind w:firstLine="480"/>
        <w:rPr>
          <w:rFonts w:ascii="Times New Roman" w:hAnsi="Times New Roman"/>
        </w:rPr>
      </w:pPr>
      <w:r>
        <w:rPr>
          <w:rFonts w:hint="eastAsia" w:ascii="Times New Roman" w:hAnsi="Times New Roman"/>
        </w:rPr>
        <w:t>（5）</w:t>
      </w:r>
      <w:r>
        <w:rPr>
          <w:rFonts w:ascii="Times New Roman" w:hAnsi="Times New Roman"/>
        </w:rPr>
        <w:t>明确污染控制目标，确定污染物的总量控制方案，根据国家及地方的环保法令和法规，提出环境管理和环境监测的建议方案，为企业的环境保护、环境管理提供科学依据。</w:t>
      </w:r>
    </w:p>
    <w:p>
      <w:pPr>
        <w:pStyle w:val="320"/>
        <w:snapToGrid w:val="0"/>
        <w:spacing w:before="0" w:line="360" w:lineRule="auto"/>
        <w:ind w:firstLine="480"/>
        <w:rPr>
          <w:rFonts w:ascii="Times New Roman" w:hAnsi="Times New Roman"/>
        </w:rPr>
      </w:pPr>
      <w:r>
        <w:rPr>
          <w:rFonts w:ascii="Times New Roman" w:hAnsi="Times New Roman"/>
        </w:rPr>
        <w:t>在上述工作基础上，结合环境经济损益分析，从环境保护角度出发，论证建设工程经济、社会、生态和环境效益的统一性，明确项目建设在环境影响方面的可行性结论，为工程建设的主管部门提供决策依据、为设计部门提供设计依据，并为环境管理部门的环境管理、环境监控提供依据。</w:t>
      </w:r>
    </w:p>
    <w:bookmarkEnd w:id="172"/>
    <w:bookmarkEnd w:id="173"/>
    <w:bookmarkEnd w:id="174"/>
    <w:bookmarkEnd w:id="175"/>
    <w:bookmarkEnd w:id="176"/>
    <w:bookmarkEnd w:id="177"/>
    <w:bookmarkEnd w:id="178"/>
    <w:bookmarkEnd w:id="179"/>
    <w:bookmarkEnd w:id="180"/>
    <w:p>
      <w:pPr>
        <w:spacing w:before="120" w:after="60"/>
        <w:jc w:val="left"/>
        <w:outlineLvl w:val="2"/>
        <w:rPr>
          <w:rFonts w:eastAsia="黑体"/>
          <w:bCs/>
          <w:sz w:val="28"/>
          <w:szCs w:val="28"/>
        </w:rPr>
      </w:pPr>
      <w:bookmarkStart w:id="181" w:name="_Toc457480912"/>
      <w:bookmarkStart w:id="182" w:name="_Toc423336631"/>
      <w:r>
        <w:rPr>
          <w:rFonts w:hint="eastAsia" w:eastAsia="黑体"/>
          <w:bCs/>
          <w:sz w:val="28"/>
          <w:szCs w:val="28"/>
        </w:rPr>
        <w:t xml:space="preserve">2.2.2 </w:t>
      </w:r>
      <w:r>
        <w:rPr>
          <w:rFonts w:eastAsia="黑体"/>
          <w:bCs/>
          <w:sz w:val="28"/>
          <w:szCs w:val="28"/>
        </w:rPr>
        <w:t>评价原则</w:t>
      </w:r>
    </w:p>
    <w:p>
      <w:pPr>
        <w:pStyle w:val="320"/>
        <w:snapToGrid w:val="0"/>
        <w:spacing w:before="0" w:line="360" w:lineRule="auto"/>
        <w:ind w:firstLine="480"/>
        <w:rPr>
          <w:rFonts w:ascii="Times New Roman" w:hAnsi="Times New Roman"/>
        </w:rPr>
      </w:pPr>
      <w:r>
        <w:rPr>
          <w:rFonts w:hint="eastAsia" w:ascii="Times New Roman" w:hAnsi="Times New Roman"/>
        </w:rPr>
        <w:t>（1）</w:t>
      </w:r>
      <w:r>
        <w:rPr>
          <w:rFonts w:ascii="Times New Roman" w:hAnsi="Times New Roman"/>
        </w:rPr>
        <w:t>为环境管理服务，注重环评的实用性。贯彻执行国家各项环保政策法规。以科学、公正、客观的态度开展环评工作。</w:t>
      </w:r>
    </w:p>
    <w:p>
      <w:pPr>
        <w:pStyle w:val="320"/>
        <w:snapToGrid w:val="0"/>
        <w:spacing w:before="0" w:line="360" w:lineRule="auto"/>
        <w:ind w:firstLine="480"/>
        <w:rPr>
          <w:rFonts w:ascii="Times New Roman" w:hAnsi="Times New Roman"/>
        </w:rPr>
      </w:pPr>
      <w:r>
        <w:rPr>
          <w:rFonts w:hint="eastAsia" w:ascii="Times New Roman" w:hAnsi="Times New Roman"/>
        </w:rPr>
        <w:t>（2）</w:t>
      </w:r>
      <w:r>
        <w:rPr>
          <w:rFonts w:ascii="Times New Roman" w:hAnsi="Times New Roman"/>
        </w:rPr>
        <w:t>环境影响报告书的编制符合国家《环境影响评价技术导则》规范并满足地方环保部门及行业主管部门有关建设项目环境保护管理的要求；</w:t>
      </w:r>
    </w:p>
    <w:p>
      <w:pPr>
        <w:pStyle w:val="320"/>
        <w:snapToGrid w:val="0"/>
        <w:spacing w:before="0" w:line="360" w:lineRule="auto"/>
        <w:ind w:firstLine="480"/>
        <w:rPr>
          <w:rFonts w:ascii="Times New Roman" w:hAnsi="Times New Roman"/>
        </w:rPr>
      </w:pPr>
      <w:r>
        <w:rPr>
          <w:rFonts w:hint="eastAsia" w:ascii="Times New Roman" w:hAnsi="Times New Roman"/>
        </w:rPr>
        <w:t>（3）</w:t>
      </w:r>
      <w:r>
        <w:rPr>
          <w:rFonts w:ascii="Times New Roman" w:hAnsi="Times New Roman"/>
        </w:rPr>
        <w:t>根据工程项目的特点，结合工程所在地区的环境特征，以主要环境要素和污染因子为评价对象，突出对重点保护目标的环境影响分析；</w:t>
      </w:r>
    </w:p>
    <w:p>
      <w:pPr>
        <w:pStyle w:val="320"/>
        <w:snapToGrid w:val="0"/>
        <w:spacing w:before="0" w:line="360" w:lineRule="auto"/>
        <w:ind w:firstLine="480"/>
        <w:rPr>
          <w:rFonts w:ascii="Times New Roman" w:hAnsi="Times New Roman"/>
        </w:rPr>
      </w:pPr>
      <w:r>
        <w:rPr>
          <w:rFonts w:hint="eastAsia" w:ascii="Times New Roman" w:hAnsi="Times New Roman"/>
        </w:rPr>
        <w:t>（4）</w:t>
      </w:r>
      <w:r>
        <w:rPr>
          <w:rFonts w:ascii="Times New Roman" w:hAnsi="Times New Roman"/>
        </w:rPr>
        <w:t>严格贯彻国家与地方的有关方针、政策、标准、规范以及规划，根据评价结果提出符合实际的环境保护对策、措施和要求；</w:t>
      </w:r>
    </w:p>
    <w:p>
      <w:pPr>
        <w:pStyle w:val="320"/>
        <w:snapToGrid w:val="0"/>
        <w:spacing w:before="0" w:line="360" w:lineRule="auto"/>
        <w:ind w:firstLine="480"/>
        <w:rPr>
          <w:rFonts w:ascii="Times New Roman" w:hAnsi="Times New Roman"/>
        </w:rPr>
      </w:pPr>
      <w:r>
        <w:rPr>
          <w:rFonts w:hint="eastAsia" w:ascii="Times New Roman" w:hAnsi="Times New Roman"/>
        </w:rPr>
        <w:t>（5）</w:t>
      </w:r>
      <w:r>
        <w:rPr>
          <w:rFonts w:ascii="Times New Roman" w:hAnsi="Times New Roman"/>
        </w:rPr>
        <w:fldChar w:fldCharType="begin"/>
      </w:r>
      <w:r>
        <w:rPr>
          <w:rFonts w:ascii="Times New Roman" w:hAnsi="Times New Roman"/>
        </w:rPr>
        <w:instrText xml:space="preserve"> = 5 \* GB1 </w:instrText>
      </w:r>
      <w:r>
        <w:rPr>
          <w:rFonts w:ascii="Times New Roman" w:hAnsi="Times New Roman"/>
        </w:rPr>
        <w:fldChar w:fldCharType="separate"/>
      </w:r>
      <w:r>
        <w:rPr>
          <w:rFonts w:ascii="Times New Roman" w:hAnsi="Times New Roman"/>
        </w:rPr>
        <w:t>⒌</w:t>
      </w:r>
      <w:r>
        <w:rPr>
          <w:rFonts w:ascii="Times New Roman" w:hAnsi="Times New Roman"/>
        </w:rPr>
        <w:fldChar w:fldCharType="end"/>
      </w:r>
      <w:r>
        <w:rPr>
          <w:rFonts w:ascii="Times New Roman" w:hAnsi="Times New Roman"/>
        </w:rPr>
        <w:t>按照清洁生产、总量控制、达标排放的原则，确保污染物达标排放，最大限度地削减工程的污染物排放总量。</w:t>
      </w:r>
    </w:p>
    <w:p>
      <w:pPr>
        <w:pStyle w:val="320"/>
        <w:snapToGrid w:val="0"/>
        <w:spacing w:before="0" w:line="360" w:lineRule="auto"/>
        <w:ind w:firstLine="480"/>
        <w:rPr>
          <w:rFonts w:ascii="Times New Roman" w:hAnsi="Times New Roman"/>
        </w:rPr>
      </w:pPr>
      <w:r>
        <w:rPr>
          <w:rFonts w:hint="eastAsia" w:ascii="Times New Roman" w:hAnsi="Times New Roman"/>
        </w:rPr>
        <w:t>（6）</w:t>
      </w:r>
      <w:r>
        <w:rPr>
          <w:rFonts w:ascii="Times New Roman" w:hAnsi="Times New Roman"/>
        </w:rPr>
        <w:t>评价工作力求针对性强、技术可行、经济合理，重点突出，符合国家产业政策和环境保护规划。</w:t>
      </w:r>
    </w:p>
    <w:p>
      <w:pPr>
        <w:pStyle w:val="320"/>
        <w:snapToGrid w:val="0"/>
        <w:spacing w:before="0" w:line="360" w:lineRule="auto"/>
        <w:ind w:firstLine="480"/>
        <w:rPr>
          <w:rFonts w:ascii="Times New Roman" w:hAnsi="Times New Roman"/>
        </w:rPr>
      </w:pPr>
      <w:r>
        <w:rPr>
          <w:rFonts w:hint="eastAsia" w:ascii="Times New Roman" w:hAnsi="Times New Roman"/>
        </w:rPr>
        <w:t>（7）</w:t>
      </w:r>
      <w:r>
        <w:rPr>
          <w:rFonts w:ascii="Times New Roman" w:hAnsi="Times New Roman"/>
        </w:rPr>
        <w:fldChar w:fldCharType="begin"/>
      </w:r>
      <w:r>
        <w:rPr>
          <w:rFonts w:ascii="Times New Roman" w:hAnsi="Times New Roman"/>
        </w:rPr>
        <w:instrText xml:space="preserve"> = 7 \* GB1 </w:instrText>
      </w:r>
      <w:r>
        <w:rPr>
          <w:rFonts w:ascii="Times New Roman" w:hAnsi="Times New Roman"/>
        </w:rPr>
        <w:fldChar w:fldCharType="separate"/>
      </w:r>
      <w:r>
        <w:rPr>
          <w:rFonts w:ascii="Times New Roman" w:hAnsi="Times New Roman"/>
        </w:rPr>
        <w:t>⒎</w:t>
      </w:r>
      <w:r>
        <w:rPr>
          <w:rFonts w:ascii="Times New Roman" w:hAnsi="Times New Roman"/>
        </w:rPr>
        <w:fldChar w:fldCharType="end"/>
      </w:r>
      <w:r>
        <w:rPr>
          <w:rFonts w:ascii="Times New Roman" w:hAnsi="Times New Roman"/>
        </w:rPr>
        <w:t>对项目建设的可行性，从环境保护角度作出结论，为项目审批部门的决策、设计部门的设计和建设单位工程项目的实施及环境管理提供科学依据。</w:t>
      </w:r>
    </w:p>
    <w:bookmarkEnd w:id="181"/>
    <w:bookmarkEnd w:id="182"/>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183" w:name="_Toc29110553"/>
      <w:bookmarkStart w:id="184" w:name="_Toc7363155"/>
      <w:bookmarkStart w:id="185" w:name="_Toc423336632"/>
      <w:bookmarkStart w:id="186" w:name="_Toc457480913"/>
      <w:r>
        <w:rPr>
          <w:rFonts w:hint="eastAsia" w:ascii="Times New Roman" w:hAnsi="Times New Roman" w:eastAsia="黑体" w:cs="Times New Roman"/>
          <w:b w:val="0"/>
          <w:bCs/>
          <w:spacing w:val="4"/>
          <w:kern w:val="2"/>
          <w:sz w:val="32"/>
          <w:szCs w:val="32"/>
        </w:rPr>
        <w:t>2</w:t>
      </w:r>
      <w:r>
        <w:rPr>
          <w:rFonts w:ascii="Times New Roman" w:hAnsi="Times New Roman" w:eastAsia="黑体" w:cs="Times New Roman"/>
          <w:b w:val="0"/>
          <w:bCs/>
          <w:spacing w:val="4"/>
          <w:kern w:val="2"/>
          <w:sz w:val="32"/>
          <w:szCs w:val="32"/>
        </w:rPr>
        <w:t>.3</w:t>
      </w:r>
      <w:r>
        <w:rPr>
          <w:rFonts w:hint="eastAsia" w:ascii="Times New Roman" w:hAnsi="Times New Roman" w:eastAsia="黑体" w:cs="Times New Roman"/>
          <w:b w:val="0"/>
          <w:bCs/>
          <w:spacing w:val="4"/>
          <w:kern w:val="2"/>
          <w:sz w:val="32"/>
          <w:szCs w:val="32"/>
        </w:rPr>
        <w:t>产业政策符合性分析</w:t>
      </w:r>
      <w:bookmarkEnd w:id="183"/>
      <w:bookmarkEnd w:id="184"/>
    </w:p>
    <w:p>
      <w:pPr>
        <w:pStyle w:val="320"/>
        <w:snapToGrid w:val="0"/>
        <w:spacing w:before="0" w:line="360" w:lineRule="auto"/>
        <w:ind w:firstLine="480"/>
        <w:rPr>
          <w:rFonts w:ascii="Times New Roman" w:hAnsi="Times New Roman"/>
        </w:rPr>
      </w:pPr>
      <w:r>
        <w:rPr>
          <w:rFonts w:ascii="Times New Roman" w:hAnsi="Times New Roman"/>
        </w:rPr>
        <w:t>根据《国民经济行业分类》(GB/T 4754-201</w:t>
      </w:r>
      <w:r>
        <w:rPr>
          <w:rFonts w:hint="eastAsia" w:ascii="Times New Roman" w:hAnsi="Times New Roman"/>
        </w:rPr>
        <w:t>7</w:t>
      </w:r>
      <w:r>
        <w:rPr>
          <w:rFonts w:ascii="Times New Roman" w:hAnsi="Times New Roman"/>
        </w:rPr>
        <w:t>）关于国民经济行业的分类，项目属于“</w:t>
      </w:r>
      <w:r>
        <w:rPr>
          <w:rFonts w:hint="eastAsia" w:ascii="Times New Roman" w:hAnsi="Times New Roman"/>
        </w:rPr>
        <w:t>猪的饲养</w:t>
      </w:r>
      <w:r>
        <w:rPr>
          <w:rFonts w:ascii="Times New Roman" w:hAnsi="Times New Roman"/>
        </w:rPr>
        <w:t>（A0313）”，</w:t>
      </w:r>
      <w:r>
        <w:rPr>
          <w:rFonts w:hint="eastAsia" w:ascii="Times New Roman" w:hAnsi="Times New Roman"/>
        </w:rPr>
        <w:t>项目年存栏种猪3</w:t>
      </w:r>
      <w:r>
        <w:rPr>
          <w:rFonts w:ascii="Times New Roman" w:hAnsi="Times New Roman"/>
        </w:rPr>
        <w:t>600</w:t>
      </w:r>
      <w:r>
        <w:rPr>
          <w:rFonts w:hint="eastAsia" w:ascii="Times New Roman" w:hAnsi="Times New Roman"/>
        </w:rPr>
        <w:t>头，</w:t>
      </w:r>
      <w:r>
        <w:rPr>
          <w:rFonts w:ascii="Times New Roman" w:hAnsi="Times New Roman"/>
        </w:rPr>
        <w:t>对照中华人民共和国发展和改革委员会第</w:t>
      </w:r>
      <w:r>
        <w:rPr>
          <w:rFonts w:hint="eastAsia" w:ascii="Times New Roman" w:hAnsi="Times New Roman"/>
        </w:rPr>
        <w:t>2</w:t>
      </w:r>
      <w:r>
        <w:rPr>
          <w:rFonts w:ascii="Times New Roman" w:hAnsi="Times New Roman"/>
        </w:rPr>
        <w:t>9号令发布的《产业结构调整指导目录(2019年本）》中相关规定，本项目不属于规定的鼓励类、限制类和淘汰类。同时，依据国务院关于发布实施《促进产业结构调整暂行规定》的决定（国发[2005]40号），</w:t>
      </w:r>
      <w:r>
        <w:rPr>
          <w:rFonts w:hint="eastAsia" w:ascii="Times New Roman" w:hAnsi="Times New Roman"/>
        </w:rPr>
        <w:t>“</w:t>
      </w:r>
      <w:r>
        <w:rPr>
          <w:rFonts w:ascii="Times New Roman" w:hAnsi="Times New Roman"/>
        </w:rPr>
        <w:t>第十三条《产业结构调整指导目录》由鼓励、限制和淘汰三类目录组成。不属于鼓励类、限制类和淘汰类，且符合国家有关法律、法规和政策规定的，为允许类。允许类不列入《产业结构调整指导目录》</w:t>
      </w:r>
      <w:r>
        <w:rPr>
          <w:rFonts w:hint="eastAsia" w:ascii="Times New Roman" w:hAnsi="Times New Roman"/>
        </w:rPr>
        <w:t>”</w:t>
      </w:r>
      <w:r>
        <w:rPr>
          <w:rFonts w:ascii="Times New Roman" w:hAnsi="Times New Roman"/>
        </w:rPr>
        <w:t xml:space="preserve">。因此，本项目为允许类，项目的建设符合国家产业政策。 </w:t>
      </w:r>
    </w:p>
    <w:p>
      <w:pPr>
        <w:pStyle w:val="320"/>
        <w:snapToGrid w:val="0"/>
        <w:spacing w:before="0" w:line="360" w:lineRule="auto"/>
        <w:ind w:firstLine="480"/>
        <w:rPr>
          <w:rFonts w:ascii="Times New Roman" w:hAnsi="Times New Roman"/>
        </w:rPr>
      </w:pPr>
      <w:r>
        <w:rPr>
          <w:rFonts w:ascii="Times New Roman" w:hAnsi="Times New Roman"/>
        </w:rPr>
        <w:t>目前项目经</w:t>
      </w:r>
      <w:r>
        <w:rPr>
          <w:rFonts w:hint="eastAsia" w:ascii="Times New Roman" w:hAnsi="Times New Roman"/>
        </w:rPr>
        <w:t>乐山市发展和改革局</w:t>
      </w:r>
      <w:r>
        <w:rPr>
          <w:rFonts w:ascii="Times New Roman" w:hAnsi="Times New Roman"/>
        </w:rPr>
        <w:t>同意备案</w:t>
      </w:r>
      <w:r>
        <w:rPr>
          <w:rFonts w:hint="eastAsia" w:ascii="Times New Roman" w:hAnsi="Times New Roman"/>
        </w:rPr>
        <w:t>（川投资备</w:t>
      </w:r>
      <w:r>
        <w:rPr>
          <w:rFonts w:ascii="Times New Roman" w:hAnsi="Times New Roman"/>
        </w:rPr>
        <w:t>[</w:t>
      </w:r>
      <w:r>
        <w:rPr>
          <w:rFonts w:hint="eastAsia" w:ascii="Times New Roman" w:hAnsi="Times New Roman"/>
        </w:rPr>
        <w:t>201</w:t>
      </w:r>
      <w:r>
        <w:rPr>
          <w:rFonts w:ascii="Times New Roman" w:hAnsi="Times New Roman"/>
        </w:rPr>
        <w:t>9</w:t>
      </w:r>
      <w:r>
        <w:rPr>
          <w:rFonts w:hint="eastAsia" w:ascii="Times New Roman" w:hAnsi="Times New Roman"/>
        </w:rPr>
        <w:t>-5</w:t>
      </w:r>
      <w:r>
        <w:rPr>
          <w:rFonts w:ascii="Times New Roman" w:hAnsi="Times New Roman"/>
        </w:rPr>
        <w:t>11124</w:t>
      </w:r>
      <w:r>
        <w:rPr>
          <w:rFonts w:hint="eastAsia" w:ascii="Times New Roman" w:hAnsi="Times New Roman"/>
        </w:rPr>
        <w:t>-</w:t>
      </w:r>
      <w:r>
        <w:rPr>
          <w:rFonts w:ascii="Times New Roman" w:hAnsi="Times New Roman"/>
        </w:rPr>
        <w:t>03</w:t>
      </w:r>
      <w:r>
        <w:rPr>
          <w:rFonts w:hint="eastAsia" w:ascii="Times New Roman" w:hAnsi="Times New Roman"/>
        </w:rPr>
        <w:t>-03-</w:t>
      </w:r>
      <w:r>
        <w:rPr>
          <w:rFonts w:ascii="Times New Roman" w:hAnsi="Times New Roman"/>
        </w:rPr>
        <w:t>362212</w:t>
      </w:r>
      <w:r>
        <w:rPr>
          <w:rFonts w:hint="eastAsia" w:ascii="Times New Roman" w:hAnsi="Times New Roman"/>
        </w:rPr>
        <w:t>]FGQB-00</w:t>
      </w:r>
      <w:r>
        <w:rPr>
          <w:rFonts w:ascii="Times New Roman" w:hAnsi="Times New Roman"/>
        </w:rPr>
        <w:t>50</w:t>
      </w:r>
      <w:r>
        <w:rPr>
          <w:rFonts w:hint="eastAsia" w:ascii="Times New Roman" w:hAnsi="Times New Roman"/>
        </w:rPr>
        <w:t>号）</w:t>
      </w:r>
      <w:r>
        <w:rPr>
          <w:rFonts w:ascii="Times New Roman" w:hAnsi="Times New Roman"/>
        </w:rPr>
        <w:t>。</w:t>
      </w:r>
    </w:p>
    <w:p>
      <w:pPr>
        <w:pStyle w:val="320"/>
        <w:snapToGrid w:val="0"/>
        <w:spacing w:before="0" w:line="360" w:lineRule="auto"/>
        <w:ind w:firstLine="480"/>
        <w:rPr>
          <w:rFonts w:ascii="Times New Roman" w:hAnsi="Times New Roman"/>
        </w:rPr>
      </w:pPr>
      <w:r>
        <w:rPr>
          <w:rFonts w:ascii="Times New Roman" w:hAnsi="Times New Roman"/>
        </w:rPr>
        <w:t>因此，本项目符合国家现行产业政策。</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187" w:name="_Toc29110554"/>
      <w:r>
        <w:rPr>
          <w:rFonts w:ascii="Times New Roman" w:hAnsi="Times New Roman" w:eastAsia="黑体" w:cs="Times New Roman"/>
          <w:b w:val="0"/>
          <w:bCs/>
          <w:spacing w:val="4"/>
          <w:kern w:val="2"/>
          <w:sz w:val="32"/>
          <w:szCs w:val="32"/>
        </w:rPr>
        <w:t>2.4 项目选址与相关规范、规划的符合性</w:t>
      </w:r>
      <w:bookmarkEnd w:id="185"/>
      <w:bookmarkEnd w:id="186"/>
      <w:r>
        <w:rPr>
          <w:rFonts w:hint="eastAsia" w:ascii="Times New Roman" w:hAnsi="Times New Roman" w:eastAsia="黑体" w:cs="Times New Roman"/>
          <w:b w:val="0"/>
          <w:bCs/>
          <w:spacing w:val="4"/>
          <w:kern w:val="2"/>
          <w:sz w:val="32"/>
          <w:szCs w:val="32"/>
        </w:rPr>
        <w:t>分析</w:t>
      </w:r>
      <w:bookmarkEnd w:id="187"/>
    </w:p>
    <w:p>
      <w:pPr>
        <w:adjustRightInd w:val="0"/>
        <w:snapToGrid w:val="0"/>
        <w:jc w:val="left"/>
        <w:outlineLvl w:val="2"/>
        <w:rPr>
          <w:rFonts w:eastAsia="黑体"/>
          <w:bCs/>
          <w:sz w:val="28"/>
          <w:szCs w:val="28"/>
        </w:rPr>
      </w:pPr>
      <w:bookmarkStart w:id="188" w:name="_Toc302000863"/>
      <w:bookmarkEnd w:id="188"/>
      <w:bookmarkStart w:id="189" w:name="_Toc385464887"/>
      <w:bookmarkStart w:id="190" w:name="_Toc407622749"/>
      <w:bookmarkStart w:id="191" w:name="_Toc457480915"/>
      <w:bookmarkStart w:id="192" w:name="_Toc428519939"/>
      <w:bookmarkStart w:id="193" w:name="_Toc423336637"/>
      <w:r>
        <w:rPr>
          <w:rFonts w:hint="eastAsia" w:eastAsia="黑体"/>
          <w:bCs/>
          <w:sz w:val="28"/>
          <w:szCs w:val="28"/>
        </w:rPr>
        <w:t>2</w:t>
      </w:r>
      <w:r>
        <w:rPr>
          <w:rFonts w:eastAsia="黑体"/>
          <w:bCs/>
          <w:sz w:val="28"/>
          <w:szCs w:val="28"/>
        </w:rPr>
        <w:t>.4.1与《四川省畜牧业发展“十三五”规划》的符合性</w:t>
      </w:r>
      <w:r>
        <w:rPr>
          <w:rFonts w:hint="eastAsia" w:eastAsia="黑体"/>
          <w:bCs/>
          <w:sz w:val="28"/>
          <w:szCs w:val="28"/>
        </w:rPr>
        <w:t>分析</w:t>
      </w:r>
    </w:p>
    <w:bookmarkEnd w:id="189"/>
    <w:bookmarkEnd w:id="190"/>
    <w:bookmarkEnd w:id="191"/>
    <w:bookmarkEnd w:id="192"/>
    <w:bookmarkEnd w:id="193"/>
    <w:p>
      <w:pPr>
        <w:pStyle w:val="320"/>
        <w:snapToGrid w:val="0"/>
        <w:spacing w:before="0" w:line="360" w:lineRule="auto"/>
        <w:ind w:firstLine="480"/>
        <w:rPr>
          <w:rFonts w:ascii="Times New Roman" w:hAnsi="Times New Roman"/>
        </w:rPr>
      </w:pPr>
      <w:bookmarkStart w:id="194" w:name="_Toc457480916"/>
      <w:r>
        <w:rPr>
          <w:rFonts w:ascii="Times New Roman" w:hAnsi="Times New Roman"/>
        </w:rPr>
        <w:t>《四川省畜牧业 “十三五”发展规划》（2016-2020）明确提出十大工作重点：一、积极推动“粮改饲”；二、粪污的资源化利用及无害化处理问题，争取将粪污变废为宝，实现利用70%以上；三、秸秆的饲料化运用。四、规模养殖。这是现代畜牧业的重要标志，是各项工作的重要抓手。目前蛋鸡和肉鸡的规模化水平最高，牛羊差一些。综合来看，现在，整个畜牧业规模化率39.6%，十三五期间，使畜牧业规模化率达到50%以上。五、畜禽良种方面工作。六、奶业问题。七、饲料问题</w:t>
      </w:r>
      <w:r>
        <w:rPr>
          <w:rFonts w:hint="eastAsia" w:ascii="Times New Roman" w:hAnsi="Times New Roman"/>
        </w:rPr>
        <w:t>。</w:t>
      </w:r>
      <w:r>
        <w:rPr>
          <w:rFonts w:ascii="Times New Roman" w:hAnsi="Times New Roman"/>
        </w:rPr>
        <w:t>.八、草原生态。十三五在十二五的基础上，继续实施，经费投入增加。九、科技方面。十三五期间，继续加强对科技的投入。十、畜牧发展的精准化。</w:t>
      </w:r>
    </w:p>
    <w:p>
      <w:pPr>
        <w:pStyle w:val="320"/>
        <w:snapToGrid w:val="0"/>
        <w:spacing w:before="0" w:line="360" w:lineRule="auto"/>
        <w:ind w:firstLine="480"/>
        <w:rPr>
          <w:rFonts w:ascii="Times New Roman" w:hAnsi="Times New Roman"/>
        </w:rPr>
      </w:pPr>
      <w:r>
        <w:rPr>
          <w:rFonts w:hint="eastAsia" w:ascii="Times New Roman" w:hAnsi="Times New Roman"/>
        </w:rPr>
        <w:t>乐山正邦</w:t>
      </w:r>
      <w:r>
        <w:rPr>
          <w:rFonts w:ascii="Times New Roman" w:hAnsi="Times New Roman"/>
        </w:rPr>
        <w:t>养殖有限公司拟投资11064万元，在</w:t>
      </w:r>
      <w:r>
        <w:rPr>
          <w:rFonts w:hint="eastAsia" w:ascii="Times New Roman" w:hAnsi="Times New Roman"/>
        </w:rPr>
        <w:t>乐山市</w:t>
      </w:r>
      <w:r>
        <w:rPr>
          <w:rFonts w:ascii="Times New Roman" w:hAnsi="Times New Roman"/>
        </w:rPr>
        <w:t>井研县高凤乡星星亮村建设“</w:t>
      </w:r>
      <w:r>
        <w:rPr>
          <w:rFonts w:hint="eastAsia" w:ascii="Times New Roman" w:hAnsi="Times New Roman"/>
        </w:rPr>
        <w:t>井研县高凤循环农业生态园</w:t>
      </w:r>
      <w:r>
        <w:rPr>
          <w:rFonts w:ascii="Times New Roman" w:hAnsi="Times New Roman"/>
        </w:rPr>
        <w:t>生猪标准化</w:t>
      </w:r>
      <w:r>
        <w:rPr>
          <w:rFonts w:hint="eastAsia" w:ascii="Times New Roman" w:hAnsi="Times New Roman"/>
        </w:rPr>
        <w:t>生态养殖</w:t>
      </w:r>
      <w:r>
        <w:rPr>
          <w:rFonts w:ascii="Times New Roman" w:hAnsi="Times New Roman"/>
        </w:rPr>
        <w:t>园区建设项目”。项目占地</w:t>
      </w:r>
      <w:r>
        <w:rPr>
          <w:rFonts w:hint="eastAsia" w:ascii="Times New Roman" w:hAnsi="Times New Roman"/>
        </w:rPr>
        <w:t>129</w:t>
      </w:r>
      <w:r>
        <w:rPr>
          <w:rFonts w:ascii="Times New Roman" w:hAnsi="Times New Roman"/>
        </w:rPr>
        <w:t>亩，</w:t>
      </w:r>
      <w:r>
        <w:rPr>
          <w:rFonts w:hint="eastAsia" w:ascii="Times New Roman" w:hAnsi="Times New Roman"/>
        </w:rPr>
        <w:t>为种猪场，年出栏商品小猪5</w:t>
      </w:r>
      <w:r>
        <w:rPr>
          <w:rFonts w:ascii="Times New Roman" w:hAnsi="Times New Roman"/>
        </w:rPr>
        <w:t>2000</w:t>
      </w:r>
      <w:r>
        <w:rPr>
          <w:rFonts w:hint="eastAsia" w:ascii="Times New Roman" w:hAnsi="Times New Roman"/>
        </w:rPr>
        <w:t>头（存栏母猪3</w:t>
      </w:r>
      <w:r>
        <w:rPr>
          <w:rFonts w:ascii="Times New Roman" w:hAnsi="Times New Roman"/>
        </w:rPr>
        <w:t>000</w:t>
      </w:r>
      <w:r>
        <w:rPr>
          <w:rFonts w:hint="eastAsia" w:ascii="Times New Roman" w:hAnsi="Times New Roman"/>
        </w:rPr>
        <w:t>头），建设猪舍等主体工程并配套办公区、集污池等基础设施</w:t>
      </w:r>
      <w:r>
        <w:rPr>
          <w:rFonts w:ascii="Times New Roman" w:hAnsi="Times New Roman"/>
        </w:rPr>
        <w:t>，对项目产生的污染物按照相关要求进行规范化、无害化、资源化处理；符合四川省畜牧业发展“十</w:t>
      </w:r>
      <w:r>
        <w:rPr>
          <w:rFonts w:hint="eastAsia" w:ascii="Times New Roman" w:hAnsi="Times New Roman"/>
        </w:rPr>
        <w:t>三</w:t>
      </w:r>
      <w:r>
        <w:rPr>
          <w:rFonts w:ascii="Times New Roman" w:hAnsi="Times New Roman"/>
        </w:rPr>
        <w:t>五”规划中的相关要求。</w:t>
      </w:r>
    </w:p>
    <w:p>
      <w:pPr>
        <w:pStyle w:val="320"/>
        <w:snapToGrid w:val="0"/>
        <w:spacing w:before="0" w:line="360" w:lineRule="auto"/>
        <w:ind w:firstLine="480"/>
        <w:rPr>
          <w:rFonts w:ascii="Times New Roman" w:hAnsi="Times New Roman"/>
        </w:rPr>
      </w:pPr>
      <w:r>
        <w:rPr>
          <w:rFonts w:ascii="Times New Roman" w:hAnsi="Times New Roman"/>
        </w:rPr>
        <w:t>综上所述，本项目建设与《四川省畜牧业发展“十三五”规划》中相关要求一致。</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.4.2与</w:t>
      </w:r>
      <w:r>
        <w:rPr>
          <w:rFonts w:hint="eastAsia" w:eastAsia="黑体"/>
          <w:bCs/>
          <w:sz w:val="28"/>
          <w:szCs w:val="28"/>
        </w:rPr>
        <w:t>井研</w:t>
      </w:r>
      <w:r>
        <w:rPr>
          <w:rFonts w:eastAsia="黑体"/>
          <w:bCs/>
          <w:sz w:val="28"/>
          <w:szCs w:val="28"/>
        </w:rPr>
        <w:t>县发展规划的符合性</w:t>
      </w:r>
      <w:r>
        <w:rPr>
          <w:rFonts w:hint="eastAsia" w:eastAsia="黑体"/>
          <w:bCs/>
          <w:sz w:val="28"/>
          <w:szCs w:val="28"/>
        </w:rPr>
        <w:t>分析</w:t>
      </w:r>
    </w:p>
    <w:p>
      <w:pPr>
        <w:pStyle w:val="320"/>
        <w:snapToGrid w:val="0"/>
        <w:spacing w:before="0" w:line="360" w:lineRule="auto"/>
        <w:ind w:firstLine="480"/>
        <w:rPr>
          <w:rFonts w:ascii="Times New Roman" w:hAnsi="Times New Roman"/>
        </w:rPr>
      </w:pPr>
      <w:r>
        <w:rPr>
          <w:rFonts w:hint="eastAsia" w:ascii="Times New Roman" w:hAnsi="Times New Roman"/>
        </w:rPr>
        <w:t>项目选址</w:t>
      </w:r>
      <w:r>
        <w:rPr>
          <w:rFonts w:ascii="Times New Roman" w:hAnsi="Times New Roman"/>
        </w:rPr>
        <w:t>四川省乐山市星星亮村</w:t>
      </w:r>
      <w:r>
        <w:rPr>
          <w:rFonts w:hint="eastAsia" w:ascii="Times New Roman" w:hAnsi="Times New Roman"/>
        </w:rPr>
        <w:t>3、6、9组，</w:t>
      </w:r>
      <w:r>
        <w:rPr>
          <w:rFonts w:ascii="Times New Roman" w:hAnsi="Times New Roman"/>
        </w:rPr>
        <w:t>根据《</w:t>
      </w:r>
      <w:r>
        <w:rPr>
          <w:rFonts w:hint="eastAsia" w:ascii="Times New Roman" w:hAnsi="Times New Roman"/>
        </w:rPr>
        <w:t>井研</w:t>
      </w:r>
      <w:r>
        <w:rPr>
          <w:rFonts w:ascii="Times New Roman" w:hAnsi="Times New Roman"/>
        </w:rPr>
        <w:t>县国民经济和社会发展第十三个五年规划纲要》</w:t>
      </w:r>
      <w:r>
        <w:rPr>
          <w:rFonts w:hint="eastAsia" w:ascii="Times New Roman" w:hAnsi="Times New Roman"/>
        </w:rPr>
        <w:t>可知</w:t>
      </w:r>
      <w:r>
        <w:rPr>
          <w:rFonts w:ascii="Times New Roman" w:hAnsi="Times New Roman"/>
        </w:rPr>
        <w:t>：“</w:t>
      </w:r>
      <w:r>
        <w:rPr>
          <w:rFonts w:hint="eastAsia" w:ascii="Times New Roman" w:hAnsi="Times New Roman"/>
        </w:rPr>
        <w:t>加快</w:t>
      </w:r>
      <w:r>
        <w:rPr>
          <w:rFonts w:ascii="Times New Roman" w:hAnsi="Times New Roman"/>
        </w:rPr>
        <w:t>农业规模</w:t>
      </w:r>
      <w:r>
        <w:rPr>
          <w:rFonts w:hint="eastAsia" w:ascii="Times New Roman" w:hAnsi="Times New Roman"/>
        </w:rPr>
        <w:t>发展</w:t>
      </w:r>
      <w:r>
        <w:rPr>
          <w:rFonts w:ascii="Times New Roman" w:hAnsi="Times New Roman"/>
        </w:rPr>
        <w:t>：提升畜牧产业效益。到</w:t>
      </w:r>
      <w:r>
        <w:rPr>
          <w:rFonts w:hint="eastAsia" w:ascii="Times New Roman" w:hAnsi="Times New Roman"/>
        </w:rPr>
        <w:t>2020年</w:t>
      </w:r>
      <w:r>
        <w:rPr>
          <w:rFonts w:ascii="Times New Roman" w:hAnsi="Times New Roman"/>
        </w:rPr>
        <w:t>，出栏生猪保持在</w:t>
      </w:r>
      <w:r>
        <w:rPr>
          <w:rFonts w:hint="eastAsia" w:ascii="Times New Roman" w:hAnsi="Times New Roman"/>
        </w:rPr>
        <w:t>80万</w:t>
      </w:r>
      <w:r>
        <w:rPr>
          <w:rFonts w:ascii="Times New Roman" w:hAnsi="Times New Roman"/>
        </w:rPr>
        <w:t>头，出栏肉兔</w:t>
      </w:r>
      <w:r>
        <w:rPr>
          <w:rFonts w:hint="eastAsia" w:ascii="Times New Roman" w:hAnsi="Times New Roman"/>
        </w:rPr>
        <w:t>800万</w:t>
      </w:r>
      <w:r>
        <w:rPr>
          <w:rFonts w:ascii="Times New Roman" w:hAnsi="Times New Roman"/>
        </w:rPr>
        <w:t>只以上，巩固“</w:t>
      </w:r>
      <w:r>
        <w:rPr>
          <w:rFonts w:hint="eastAsia" w:ascii="Times New Roman" w:hAnsi="Times New Roman"/>
        </w:rPr>
        <w:t>全国</w:t>
      </w:r>
      <w:r>
        <w:rPr>
          <w:rFonts w:ascii="Times New Roman" w:hAnsi="Times New Roman"/>
        </w:rPr>
        <w:t>生猪调出大县”</w:t>
      </w:r>
      <w:r>
        <w:rPr>
          <w:rFonts w:hint="eastAsia" w:ascii="Times New Roman" w:hAnsi="Times New Roman"/>
        </w:rPr>
        <w:t>地位</w:t>
      </w:r>
      <w:r>
        <w:rPr>
          <w:rFonts w:ascii="Times New Roman" w:hAnsi="Times New Roman"/>
        </w:rPr>
        <w:t>”</w:t>
      </w:r>
      <w:r>
        <w:rPr>
          <w:rFonts w:hint="eastAsia" w:ascii="Times New Roman" w:hAnsi="Times New Roman"/>
        </w:rPr>
        <w:t>，</w:t>
      </w:r>
      <w:r>
        <w:rPr>
          <w:rFonts w:ascii="Times New Roman" w:hAnsi="Times New Roman"/>
        </w:rPr>
        <w:t>本项目由井研县发展和改革局核发《</w:t>
      </w:r>
      <w:r>
        <w:rPr>
          <w:rFonts w:hint="eastAsia" w:ascii="Times New Roman" w:hAnsi="Times New Roman"/>
        </w:rPr>
        <w:t>四川省</w:t>
      </w:r>
      <w:r>
        <w:rPr>
          <w:rFonts w:ascii="Times New Roman" w:hAnsi="Times New Roman"/>
        </w:rPr>
        <w:t>固定</w:t>
      </w:r>
      <w:r>
        <w:rPr>
          <w:rFonts w:hint="eastAsia" w:ascii="Times New Roman" w:hAnsi="Times New Roman"/>
        </w:rPr>
        <w:t>资产</w:t>
      </w:r>
      <w:r>
        <w:rPr>
          <w:rFonts w:ascii="Times New Roman" w:hAnsi="Times New Roman"/>
        </w:rPr>
        <w:t>投资项目备案表》</w:t>
      </w:r>
      <w:r>
        <w:rPr>
          <w:rFonts w:hint="eastAsia" w:ascii="Times New Roman" w:hAnsi="Times New Roman"/>
        </w:rPr>
        <w:t>，</w:t>
      </w:r>
      <w:r>
        <w:rPr>
          <w:rFonts w:ascii="Times New Roman" w:hAnsi="Times New Roman"/>
        </w:rPr>
        <w:t>属于井研县农业发展规划内，故项目符合井研县国民经济和社会发展第十三个五年规划纲要。</w:t>
      </w:r>
    </w:p>
    <w:p>
      <w:pPr>
        <w:pStyle w:val="320"/>
        <w:snapToGrid w:val="0"/>
        <w:spacing w:before="0" w:line="360" w:lineRule="auto"/>
        <w:ind w:firstLine="480"/>
        <w:rPr>
          <w:rFonts w:ascii="Times New Roman" w:hAnsi="Times New Roman"/>
        </w:rPr>
      </w:pPr>
      <w:r>
        <w:rPr>
          <w:rFonts w:hint="eastAsia" w:ascii="Times New Roman" w:hAnsi="Times New Roman"/>
        </w:rPr>
        <w:t>其次，</w:t>
      </w:r>
      <w:r>
        <w:rPr>
          <w:rFonts w:ascii="Times New Roman" w:hAnsi="Times New Roman"/>
        </w:rPr>
        <w:t>井研县</w:t>
      </w:r>
      <w:r>
        <w:rPr>
          <w:rFonts w:hint="eastAsia" w:ascii="Times New Roman" w:hAnsi="Times New Roman"/>
        </w:rPr>
        <w:t>农业</w:t>
      </w:r>
      <w:r>
        <w:rPr>
          <w:rFonts w:ascii="Times New Roman" w:hAnsi="Times New Roman"/>
        </w:rPr>
        <w:t>农村局、井研县自然资源</w:t>
      </w:r>
      <w:r>
        <w:rPr>
          <w:rFonts w:hint="eastAsia" w:ascii="Times New Roman" w:hAnsi="Times New Roman"/>
        </w:rPr>
        <w:t>井研县</w:t>
      </w:r>
      <w:r>
        <w:rPr>
          <w:rFonts w:ascii="Times New Roman" w:hAnsi="Times New Roman"/>
        </w:rPr>
        <w:t>高凤乡人民政府出具《</w:t>
      </w:r>
      <w:r>
        <w:rPr>
          <w:rFonts w:hint="eastAsia" w:ascii="Times New Roman" w:hAnsi="Times New Roman"/>
        </w:rPr>
        <w:t>设施</w:t>
      </w:r>
      <w:r>
        <w:rPr>
          <w:rFonts w:ascii="Times New Roman" w:hAnsi="Times New Roman"/>
        </w:rPr>
        <w:t>农业用地备案表》</w:t>
      </w:r>
      <w:r>
        <w:rPr>
          <w:rFonts w:hint="eastAsia" w:ascii="Times New Roman" w:hAnsi="Times New Roman"/>
        </w:rPr>
        <w:t>（井</w:t>
      </w:r>
      <w:r>
        <w:rPr>
          <w:rFonts w:ascii="Times New Roman" w:hAnsi="Times New Roman"/>
        </w:rPr>
        <w:t>设农备字[2019]</w:t>
      </w:r>
      <w:r>
        <w:rPr>
          <w:rFonts w:hint="eastAsia" w:ascii="Times New Roman" w:hAnsi="Times New Roman"/>
        </w:rPr>
        <w:t>第44号），</w:t>
      </w:r>
      <w:r>
        <w:rPr>
          <w:rFonts w:ascii="Times New Roman" w:hAnsi="Times New Roman"/>
        </w:rPr>
        <w:t>明确项目符合农业发展政策和规划，不在禁养</w:t>
      </w:r>
      <w:r>
        <w:rPr>
          <w:rFonts w:hint="eastAsia" w:ascii="Times New Roman" w:hAnsi="Times New Roman"/>
        </w:rPr>
        <w:t>区</w:t>
      </w:r>
      <w:r>
        <w:rPr>
          <w:rFonts w:ascii="Times New Roman" w:hAnsi="Times New Roman"/>
        </w:rPr>
        <w:t>、禁建</w:t>
      </w:r>
      <w:r>
        <w:rPr>
          <w:rFonts w:hint="eastAsia" w:ascii="Times New Roman" w:hAnsi="Times New Roman"/>
        </w:rPr>
        <w:t>区</w:t>
      </w:r>
      <w:r>
        <w:rPr>
          <w:rFonts w:ascii="Times New Roman" w:hAnsi="Times New Roman"/>
        </w:rPr>
        <w:t>。</w:t>
      </w:r>
    </w:p>
    <w:p>
      <w:pPr>
        <w:pStyle w:val="320"/>
        <w:snapToGrid w:val="0"/>
        <w:spacing w:before="0" w:line="360" w:lineRule="auto"/>
        <w:ind w:firstLine="480"/>
        <w:rPr>
          <w:rFonts w:ascii="Times New Roman" w:hAnsi="Times New Roman"/>
        </w:rPr>
      </w:pPr>
      <w:r>
        <w:rPr>
          <w:rFonts w:hint="eastAsia" w:ascii="Times New Roman" w:hAnsi="Times New Roman"/>
        </w:rPr>
        <w:t>根据</w:t>
      </w:r>
      <w:r>
        <w:rPr>
          <w:rFonts w:ascii="Times New Roman" w:hAnsi="Times New Roman"/>
        </w:rPr>
        <w:t>井研县人民政府《</w:t>
      </w:r>
      <w:r>
        <w:rPr>
          <w:rFonts w:hint="eastAsia" w:ascii="Times New Roman" w:hAnsi="Times New Roman"/>
        </w:rPr>
        <w:t>关于</w:t>
      </w:r>
      <w:r>
        <w:rPr>
          <w:rFonts w:ascii="Times New Roman" w:hAnsi="Times New Roman"/>
        </w:rPr>
        <w:t>印发井研县</w:t>
      </w:r>
      <w:r>
        <w:rPr>
          <w:rFonts w:hint="eastAsia" w:ascii="Times New Roman" w:hAnsi="Times New Roman"/>
        </w:rPr>
        <w:t>畜</w:t>
      </w:r>
      <w:r>
        <w:rPr>
          <w:rFonts w:ascii="Times New Roman" w:hAnsi="Times New Roman"/>
        </w:rPr>
        <w:t>禽养殖禁养区划定方案的通知》</w:t>
      </w:r>
      <w:r>
        <w:rPr>
          <w:rFonts w:hint="eastAsia" w:ascii="Times New Roman" w:hAnsi="Times New Roman"/>
        </w:rPr>
        <w:t>（井府【2017】2号），</w:t>
      </w:r>
      <w:r>
        <w:rPr>
          <w:rFonts w:ascii="Times New Roman" w:hAnsi="Times New Roman"/>
        </w:rPr>
        <w:t>本项目属于井研县宜养区，</w:t>
      </w:r>
      <w:r>
        <w:rPr>
          <w:rFonts w:hint="eastAsia" w:ascii="Times New Roman" w:hAnsi="Times New Roman"/>
        </w:rPr>
        <w:t>项目</w:t>
      </w:r>
      <w:r>
        <w:rPr>
          <w:rFonts w:ascii="Times New Roman" w:hAnsi="Times New Roman"/>
        </w:rPr>
        <w:t>符合井府【</w:t>
      </w:r>
      <w:r>
        <w:rPr>
          <w:rFonts w:hint="eastAsia" w:ascii="Times New Roman" w:hAnsi="Times New Roman"/>
        </w:rPr>
        <w:t>2017</w:t>
      </w:r>
      <w:r>
        <w:rPr>
          <w:rFonts w:ascii="Times New Roman" w:hAnsi="Times New Roman"/>
        </w:rPr>
        <w:t>】</w:t>
      </w:r>
      <w:r>
        <w:rPr>
          <w:rFonts w:hint="eastAsia" w:ascii="Times New Roman" w:hAnsi="Times New Roman"/>
        </w:rPr>
        <w:t>2号</w:t>
      </w:r>
      <w:r>
        <w:rPr>
          <w:rFonts w:ascii="Times New Roman" w:hAnsi="Times New Roman"/>
        </w:rPr>
        <w:t>要求。</w:t>
      </w:r>
    </w:p>
    <w:p>
      <w:pPr>
        <w:pStyle w:val="320"/>
        <w:snapToGrid w:val="0"/>
        <w:spacing w:before="0" w:line="360" w:lineRule="auto"/>
        <w:ind w:firstLine="480"/>
        <w:rPr>
          <w:rFonts w:ascii="Times New Roman" w:hAnsi="Times New Roman"/>
        </w:rPr>
      </w:pPr>
      <w:r>
        <w:rPr>
          <w:rFonts w:hint="eastAsia" w:ascii="Times New Roman" w:hAnsi="Times New Roman"/>
        </w:rPr>
        <w:t>综上</w:t>
      </w:r>
      <w:r>
        <w:rPr>
          <w:rFonts w:ascii="Times New Roman" w:hAnsi="Times New Roman"/>
        </w:rPr>
        <w:t>，项目位于井研县畜禽养殖宜养区，在集镇规划区之外，符合当地农业发展规划</w:t>
      </w:r>
      <w:r>
        <w:rPr>
          <w:rFonts w:hint="eastAsia" w:ascii="Times New Roman" w:hAnsi="Times New Roman"/>
        </w:rPr>
        <w:t>。</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.4.3与《畜禽养殖业污染治理工程技术规范》符合性</w:t>
      </w:r>
      <w:r>
        <w:rPr>
          <w:rFonts w:hint="eastAsia" w:eastAsia="黑体"/>
          <w:bCs/>
          <w:sz w:val="28"/>
          <w:szCs w:val="28"/>
        </w:rPr>
        <w:t>分析</w:t>
      </w:r>
    </w:p>
    <w:p>
      <w:pPr>
        <w:pStyle w:val="3"/>
        <w:snapToGrid w:val="0"/>
        <w:spacing w:after="0"/>
        <w:ind w:left="0" w:leftChars="0" w:firstLine="480" w:firstLineChars="200"/>
      </w:pPr>
      <w:r>
        <w:t>项目与《畜禽养殖业污染治理工程技术规范》（HJ 497－2009 ）的符合性见表2.4-</w:t>
      </w:r>
      <w:r>
        <w:rPr>
          <w:rFonts w:hint="eastAsia"/>
        </w:rPr>
        <w:t>1</w:t>
      </w:r>
      <w:r>
        <w:t>。</w:t>
      </w:r>
    </w:p>
    <w:p>
      <w:pPr>
        <w:pStyle w:val="462"/>
        <w:numPr>
          <w:ilvl w:val="2"/>
          <w:numId w:val="0"/>
        </w:numPr>
        <w:tabs>
          <w:tab w:val="clear" w:pos="2705"/>
        </w:tabs>
        <w:adjustRightInd w:val="0"/>
        <w:snapToGrid w:val="0"/>
        <w:spacing w:line="240" w:lineRule="auto"/>
        <w:jc w:val="center"/>
        <w:outlineLvl w:val="9"/>
        <w:rPr>
          <w:rFonts w:eastAsia="黑体"/>
          <w:b w:val="0"/>
          <w:bCs w:val="0"/>
          <w:color w:val="auto"/>
          <w:sz w:val="24"/>
          <w:szCs w:val="24"/>
        </w:rPr>
      </w:pPr>
      <w:r>
        <w:rPr>
          <w:rFonts w:eastAsia="黑体"/>
          <w:b w:val="0"/>
          <w:bCs w:val="0"/>
          <w:color w:val="auto"/>
          <w:sz w:val="24"/>
          <w:szCs w:val="24"/>
        </w:rPr>
        <w:t>表2.4-</w:t>
      </w:r>
      <w:r>
        <w:rPr>
          <w:rFonts w:hint="eastAsia" w:eastAsia="黑体"/>
          <w:b w:val="0"/>
          <w:bCs w:val="0"/>
          <w:color w:val="auto"/>
          <w:sz w:val="24"/>
          <w:szCs w:val="24"/>
        </w:rPr>
        <w:t>1</w:t>
      </w:r>
      <w:r>
        <w:rPr>
          <w:rFonts w:eastAsia="黑体"/>
          <w:b w:val="0"/>
          <w:bCs w:val="0"/>
          <w:color w:val="auto"/>
          <w:sz w:val="24"/>
          <w:szCs w:val="24"/>
        </w:rPr>
        <w:t xml:space="preserve"> 《畜禽养殖业污染治理工程技术规范》符合性对照表</w:t>
      </w:r>
    </w:p>
    <w:tbl>
      <w:tblPr>
        <w:tblStyle w:val="88"/>
        <w:tblW w:w="8787"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41"/>
        <w:gridCol w:w="3379"/>
        <w:gridCol w:w="3758"/>
        <w:gridCol w:w="80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tcBorders>
              <w:tl2br w:val="nil"/>
              <w:tr2bl w:val="nil"/>
            </w:tcBorders>
            <w:vAlign w:val="center"/>
          </w:tcPr>
          <w:p>
            <w:pPr>
              <w:adjustRightInd w:val="0"/>
              <w:snapToGrid w:val="0"/>
              <w:spacing w:line="240" w:lineRule="auto"/>
              <w:jc w:val="center"/>
              <w:rPr>
                <w:sz w:val="21"/>
                <w:szCs w:val="21"/>
              </w:rPr>
            </w:pPr>
            <w:r>
              <w:rPr>
                <w:sz w:val="21"/>
                <w:szCs w:val="21"/>
              </w:rPr>
              <w:t>项目</w:t>
            </w:r>
          </w:p>
        </w:tc>
        <w:tc>
          <w:tcPr>
            <w:tcW w:w="3379" w:type="dxa"/>
            <w:tcBorders>
              <w:tl2br w:val="nil"/>
              <w:tr2bl w:val="nil"/>
            </w:tcBorders>
            <w:vAlign w:val="center"/>
          </w:tcPr>
          <w:p>
            <w:pPr>
              <w:autoSpaceDE w:val="0"/>
              <w:autoSpaceDN w:val="0"/>
              <w:adjustRightInd w:val="0"/>
              <w:spacing w:line="240" w:lineRule="auto"/>
              <w:jc w:val="center"/>
              <w:rPr>
                <w:sz w:val="21"/>
                <w:szCs w:val="21"/>
              </w:rPr>
            </w:pPr>
            <w:r>
              <w:rPr>
                <w:sz w:val="21"/>
                <w:szCs w:val="21"/>
              </w:rPr>
              <w:t>《畜禽养殖业污染治理工程技术规范》要求</w:t>
            </w:r>
          </w:p>
        </w:tc>
        <w:tc>
          <w:tcPr>
            <w:tcW w:w="3758" w:type="dxa"/>
            <w:tcBorders>
              <w:tl2br w:val="nil"/>
              <w:tr2bl w:val="nil"/>
            </w:tcBorders>
            <w:vAlign w:val="center"/>
          </w:tcPr>
          <w:p>
            <w:pPr>
              <w:adjustRightInd w:val="0"/>
              <w:snapToGrid w:val="0"/>
              <w:spacing w:line="240" w:lineRule="auto"/>
              <w:jc w:val="center"/>
              <w:rPr>
                <w:sz w:val="21"/>
                <w:szCs w:val="21"/>
              </w:rPr>
            </w:pPr>
            <w:r>
              <w:rPr>
                <w:sz w:val="21"/>
                <w:szCs w:val="21"/>
              </w:rPr>
              <w:t>项目情况</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粪污</w:t>
            </w:r>
          </w:p>
          <w:p>
            <w:pPr>
              <w:adjustRightInd w:val="0"/>
              <w:snapToGrid w:val="0"/>
              <w:spacing w:line="240" w:lineRule="auto"/>
              <w:jc w:val="center"/>
              <w:rPr>
                <w:sz w:val="21"/>
                <w:szCs w:val="21"/>
              </w:rPr>
            </w:pPr>
            <w:r>
              <w:rPr>
                <w:sz w:val="21"/>
                <w:szCs w:val="21"/>
              </w:rPr>
              <w:t>收集</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新建、改建、扩建的畜禽养殖场宜采用干清粪工艺。现采用水冲粪、水泡粪清粪工艺的养殖场，应逐步改为干清粪工艺</w:t>
            </w:r>
          </w:p>
        </w:tc>
        <w:tc>
          <w:tcPr>
            <w:tcW w:w="3758" w:type="dxa"/>
            <w:tcBorders>
              <w:tl2br w:val="nil"/>
              <w:tr2bl w:val="nil"/>
            </w:tcBorders>
            <w:vAlign w:val="center"/>
          </w:tcPr>
          <w:p>
            <w:pPr>
              <w:adjustRightInd w:val="0"/>
              <w:snapToGrid w:val="0"/>
              <w:spacing w:line="240" w:lineRule="auto"/>
              <w:jc w:val="left"/>
              <w:rPr>
                <w:sz w:val="21"/>
                <w:szCs w:val="21"/>
              </w:rPr>
            </w:pPr>
            <w:r>
              <w:rPr>
                <w:rFonts w:hint="eastAsia"/>
                <w:sz w:val="21"/>
                <w:szCs w:val="21"/>
              </w:rPr>
              <w:t>本项目分娩舍粪尿依靠重力离开猪舍进入储存池，妊娠舍粪尿依靠重力进入到圈舍下方收集池，再经泵抽至暂存池，进入到暂存池内的粪污全部运至乐山乐高勤力生物质能源综合利用有限公司“大沼”工程用于发电，并依托大沼工程配套建设的干湿分离机对粪尿进行分离，粪便用于有机肥生产，沼液用于还田，均实现了资源化利用，最终未混合排出，依据《环境保护部办公厅函》（关于牧原食品股份有限公司部分养殖场清粪工艺问题的）复函（环办函[</w:t>
            </w:r>
            <w:r>
              <w:rPr>
                <w:sz w:val="21"/>
                <w:szCs w:val="21"/>
              </w:rPr>
              <w:t>2015]425</w:t>
            </w:r>
            <w:r>
              <w:rPr>
                <w:rFonts w:hint="eastAsia"/>
                <w:sz w:val="21"/>
                <w:szCs w:val="21"/>
              </w:rPr>
              <w:t>号），该清粪工艺具备干清粪工艺基本特征，符合相关技术规范的要求。</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djustRightInd w:val="0"/>
              <w:snapToGri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畜禽粪污应日产日清</w:t>
            </w:r>
          </w:p>
        </w:tc>
        <w:tc>
          <w:tcPr>
            <w:tcW w:w="3758" w:type="dxa"/>
            <w:tcBorders>
              <w:tl2br w:val="nil"/>
              <w:tr2bl w:val="nil"/>
            </w:tcBorders>
            <w:vAlign w:val="center"/>
          </w:tcPr>
          <w:p>
            <w:pPr>
              <w:adjustRightInd w:val="0"/>
              <w:snapToGrid w:val="0"/>
              <w:spacing w:line="240" w:lineRule="auto"/>
              <w:jc w:val="center"/>
              <w:rPr>
                <w:sz w:val="21"/>
                <w:szCs w:val="21"/>
              </w:rPr>
            </w:pPr>
            <w:r>
              <w:rPr>
                <w:sz w:val="21"/>
                <w:szCs w:val="21"/>
              </w:rPr>
              <w:t>猪粪日产日清</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djustRightInd w:val="0"/>
              <w:snapToGri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畜禽养殖场应建立排水系统，并实现雨污分流</w:t>
            </w:r>
          </w:p>
        </w:tc>
        <w:tc>
          <w:tcPr>
            <w:tcW w:w="3758" w:type="dxa"/>
            <w:tcBorders>
              <w:tl2br w:val="nil"/>
              <w:tr2bl w:val="nil"/>
            </w:tcBorders>
            <w:vAlign w:val="center"/>
          </w:tcPr>
          <w:p>
            <w:pPr>
              <w:autoSpaceDE w:val="0"/>
              <w:autoSpaceDN w:val="0"/>
              <w:adjustRightInd w:val="0"/>
              <w:spacing w:line="240" w:lineRule="auto"/>
              <w:rPr>
                <w:sz w:val="21"/>
                <w:szCs w:val="21"/>
              </w:rPr>
            </w:pPr>
            <w:r>
              <w:rPr>
                <w:sz w:val="21"/>
                <w:szCs w:val="21"/>
              </w:rPr>
              <w:t>实行雨污分流，建立污水收集系统，含储液池等建设内容</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78" w:hRule="atLeast"/>
        </w:trPr>
        <w:tc>
          <w:tcPr>
            <w:tcW w:w="841" w:type="dxa"/>
            <w:vMerge w:val="restart"/>
            <w:tcBorders>
              <w:tl2br w:val="nil"/>
              <w:tr2bl w:val="nil"/>
            </w:tcBorders>
            <w:vAlign w:val="center"/>
          </w:tcPr>
          <w:p>
            <w:pPr>
              <w:autoSpaceDE w:val="0"/>
              <w:autoSpaceDN w:val="0"/>
              <w:adjustRightInd w:val="0"/>
              <w:spacing w:line="240" w:lineRule="auto"/>
              <w:jc w:val="center"/>
              <w:rPr>
                <w:sz w:val="21"/>
                <w:szCs w:val="21"/>
              </w:rPr>
            </w:pPr>
            <w:r>
              <w:rPr>
                <w:sz w:val="21"/>
                <w:szCs w:val="21"/>
              </w:rPr>
              <w:t>粪污</w:t>
            </w:r>
          </w:p>
          <w:p>
            <w:pPr>
              <w:autoSpaceDE w:val="0"/>
              <w:autoSpaceDN w:val="0"/>
              <w:adjustRightInd w:val="0"/>
              <w:spacing w:line="240" w:lineRule="auto"/>
              <w:jc w:val="center"/>
              <w:rPr>
                <w:sz w:val="21"/>
                <w:szCs w:val="21"/>
              </w:rPr>
            </w:pPr>
            <w:r>
              <w:rPr>
                <w:sz w:val="21"/>
                <w:szCs w:val="21"/>
              </w:rPr>
              <w:t>储存</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粪污无害化处理后用于还田利用的，畜禽粪污处理厂（站）应设置专门的储存池。</w:t>
            </w:r>
          </w:p>
        </w:tc>
        <w:tc>
          <w:tcPr>
            <w:tcW w:w="3758" w:type="dxa"/>
            <w:tcBorders>
              <w:tl2br w:val="nil"/>
              <w:tr2bl w:val="nil"/>
            </w:tcBorders>
            <w:vAlign w:val="center"/>
          </w:tcPr>
          <w:p>
            <w:pPr>
              <w:autoSpaceDE w:val="0"/>
              <w:autoSpaceDN w:val="0"/>
              <w:adjustRightInd w:val="0"/>
              <w:spacing w:line="240" w:lineRule="auto"/>
              <w:rPr>
                <w:sz w:val="21"/>
                <w:szCs w:val="21"/>
              </w:rPr>
            </w:pPr>
            <w:r>
              <w:rPr>
                <w:rFonts w:eastAsiaTheme="minorEastAsia"/>
                <w:sz w:val="21"/>
                <w:szCs w:val="21"/>
              </w:rPr>
              <w:t>猪粪每日</w:t>
            </w:r>
            <w:r>
              <w:rPr>
                <w:rFonts w:hint="eastAsia" w:eastAsiaTheme="minorEastAsia"/>
                <w:sz w:val="21"/>
                <w:szCs w:val="21"/>
              </w:rPr>
              <w:t>收集</w:t>
            </w:r>
            <w:r>
              <w:rPr>
                <w:rFonts w:eastAsiaTheme="minorEastAsia"/>
                <w:sz w:val="21"/>
                <w:szCs w:val="21"/>
              </w:rPr>
              <w:t>至</w:t>
            </w:r>
            <w:r>
              <w:rPr>
                <w:rFonts w:hint="eastAsia" w:eastAsiaTheme="minorEastAsia"/>
                <w:sz w:val="21"/>
                <w:szCs w:val="21"/>
              </w:rPr>
              <w:t>集污池</w:t>
            </w:r>
            <w:r>
              <w:rPr>
                <w:rFonts w:eastAsiaTheme="minorEastAsia"/>
                <w:sz w:val="21"/>
                <w:szCs w:val="21"/>
              </w:rPr>
              <w:t>，</w:t>
            </w:r>
            <w:r>
              <w:rPr>
                <w:rFonts w:hint="eastAsia" w:eastAsiaTheme="minorEastAsia"/>
                <w:sz w:val="21"/>
                <w:szCs w:val="21"/>
              </w:rPr>
              <w:t>交由</w:t>
            </w:r>
            <w:r>
              <w:rPr>
                <w:rFonts w:hint="eastAsia"/>
                <w:sz w:val="21"/>
                <w:szCs w:val="21"/>
              </w:rPr>
              <w:t>乐山乐高勤力生物质能源综合利用有限公司“大沼”工程用于发电，沼液沼渣还田利用，乐山乐高勤力生物质能源综合利用有限公司设有专门的储存池</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djustRightInd w:val="0"/>
              <w:snapToGri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储存池的总有效容积应根据贮存期确定。种养结合的养殖场，贮存池的贮存期不得低于当地农作物生产用肥的最大间                                                                                                                                                                                                                                                                                                                                        隔时间和冬季封冻期或雨季最长降雨期，一般不得小于30d的排放总量。</w:t>
            </w:r>
          </w:p>
        </w:tc>
        <w:tc>
          <w:tcPr>
            <w:tcW w:w="3758" w:type="dxa"/>
            <w:tcBorders>
              <w:tl2br w:val="nil"/>
              <w:tr2bl w:val="nil"/>
            </w:tcBorders>
            <w:vAlign w:val="center"/>
          </w:tcPr>
          <w:p>
            <w:pPr>
              <w:autoSpaceDE w:val="0"/>
              <w:autoSpaceDN w:val="0"/>
              <w:adjustRightInd w:val="0"/>
              <w:spacing w:line="240" w:lineRule="auto"/>
              <w:rPr>
                <w:sz w:val="21"/>
                <w:szCs w:val="21"/>
              </w:rPr>
            </w:pPr>
            <w:r>
              <w:rPr>
                <w:rFonts w:hint="eastAsia"/>
                <w:sz w:val="21"/>
                <w:szCs w:val="21"/>
              </w:rPr>
              <w:t>项目集污池容积200</w:t>
            </w:r>
            <w:r>
              <w:rPr>
                <w:sz w:val="21"/>
                <w:szCs w:val="21"/>
              </w:rPr>
              <w:t xml:space="preserve"> m</w:t>
            </w:r>
            <w:r>
              <w:rPr>
                <w:sz w:val="21"/>
                <w:szCs w:val="21"/>
                <w:vertAlign w:val="superscript"/>
              </w:rPr>
              <w:t>3</w:t>
            </w:r>
            <w:r>
              <w:rPr>
                <w:rFonts w:hint="eastAsia"/>
                <w:sz w:val="21"/>
                <w:szCs w:val="21"/>
              </w:rPr>
              <w:t>，每日由乐山高勤力生物质能源综合利用有限公司清运，大于每日的最大废水量，乐山高勤力生物质能源综合利用有限公司内设储存池8200</w:t>
            </w:r>
            <w:r>
              <w:rPr>
                <w:color w:val="000000"/>
                <w:sz w:val="21"/>
                <w:szCs w:val="21"/>
              </w:rPr>
              <w:t>m³</w:t>
            </w:r>
            <w:r>
              <w:rPr>
                <w:rFonts w:hint="eastAsia"/>
                <w:sz w:val="21"/>
                <w:szCs w:val="21"/>
              </w:rPr>
              <w:t>，本项目最大产生量为109.96t/d，可储存74天</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djustRightInd w:val="0"/>
              <w:snapToGri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贮存池的结构应符合GB50069的有关规定，具有防渗漏功能，不得污染地下水。</w:t>
            </w:r>
          </w:p>
        </w:tc>
        <w:tc>
          <w:tcPr>
            <w:tcW w:w="3758" w:type="dxa"/>
            <w:tcBorders>
              <w:tl2br w:val="nil"/>
              <w:tr2bl w:val="nil"/>
            </w:tcBorders>
            <w:vAlign w:val="center"/>
          </w:tcPr>
          <w:p>
            <w:pPr>
              <w:adjustRightInd w:val="0"/>
              <w:snapToGrid w:val="0"/>
              <w:spacing w:line="240" w:lineRule="auto"/>
              <w:rPr>
                <w:sz w:val="21"/>
                <w:szCs w:val="21"/>
              </w:rPr>
            </w:pPr>
            <w:r>
              <w:rPr>
                <w:sz w:val="21"/>
                <w:szCs w:val="21"/>
              </w:rPr>
              <w:t>所有储存池按规范硬化、防渗</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djustRightInd w:val="0"/>
              <w:snapToGri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贮存池应配备防止降雨（水）进入的措施。</w:t>
            </w:r>
          </w:p>
        </w:tc>
        <w:tc>
          <w:tcPr>
            <w:tcW w:w="3758" w:type="dxa"/>
            <w:tcBorders>
              <w:tl2br w:val="nil"/>
              <w:tr2bl w:val="nil"/>
            </w:tcBorders>
            <w:vAlign w:val="center"/>
          </w:tcPr>
          <w:p>
            <w:pPr>
              <w:autoSpaceDE w:val="0"/>
              <w:autoSpaceDN w:val="0"/>
              <w:adjustRightInd w:val="0"/>
              <w:spacing w:line="240" w:lineRule="auto"/>
              <w:rPr>
                <w:sz w:val="21"/>
                <w:szCs w:val="21"/>
              </w:rPr>
            </w:pPr>
            <w:r>
              <w:rPr>
                <w:rFonts w:hint="eastAsia"/>
                <w:sz w:val="21"/>
                <w:szCs w:val="21"/>
              </w:rPr>
              <w:t>集污池</w:t>
            </w:r>
            <w:r>
              <w:rPr>
                <w:sz w:val="21"/>
                <w:szCs w:val="21"/>
              </w:rPr>
              <w:t>均采用加盖设计，防止雨水进入</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95" w:hRule="atLeast"/>
        </w:trPr>
        <w:tc>
          <w:tcPr>
            <w:tcW w:w="841" w:type="dxa"/>
            <w:tcBorders>
              <w:tl2br w:val="nil"/>
              <w:tr2bl w:val="nil"/>
            </w:tcBorders>
            <w:vAlign w:val="center"/>
          </w:tcPr>
          <w:p>
            <w:pPr>
              <w:autoSpaceDE w:val="0"/>
              <w:autoSpaceDN w:val="0"/>
              <w:adjustRightInd w:val="0"/>
              <w:spacing w:line="240" w:lineRule="auto"/>
              <w:jc w:val="center"/>
              <w:rPr>
                <w:sz w:val="21"/>
                <w:szCs w:val="21"/>
              </w:rPr>
            </w:pPr>
            <w:r>
              <w:rPr>
                <w:sz w:val="21"/>
                <w:szCs w:val="21"/>
              </w:rPr>
              <w:t>粪污处理工艺选择</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养殖规模在存栏2000头及以下的应尽可能采用6.2.2模式Ⅰ或6.2.3模式Ⅱ处理工艺；存栏10000头及以上的，宜采用6.2.4模式Ⅲ处理工艺。能源需求不高且沼液无法进行土地消纳，废水必须经处理后达标排放或回用的，应采用模式Ⅲ处理工艺。</w:t>
            </w:r>
          </w:p>
          <w:p>
            <w:pPr>
              <w:autoSpaceDE w:val="0"/>
              <w:autoSpaceDN w:val="0"/>
              <w:adjustRightInd w:val="0"/>
              <w:spacing w:line="240" w:lineRule="auto"/>
              <w:rPr>
                <w:sz w:val="21"/>
                <w:szCs w:val="21"/>
              </w:rPr>
            </w:pPr>
            <w:r>
              <w:rPr>
                <w:sz w:val="21"/>
                <w:szCs w:val="21"/>
              </w:rPr>
              <w:t>采用模式Ⅰ或模式Ⅱ处理工艺的，养殖场应位于非环境敏感区，周围的环境容量大，远离城市，有能源需求，周边有足够的土地能够消纳全部的废水、沼渣。</w:t>
            </w:r>
          </w:p>
        </w:tc>
        <w:tc>
          <w:tcPr>
            <w:tcW w:w="3758" w:type="dxa"/>
            <w:tcBorders>
              <w:tl2br w:val="nil"/>
              <w:tr2bl w:val="nil"/>
            </w:tcBorders>
            <w:vAlign w:val="center"/>
          </w:tcPr>
          <w:p>
            <w:pPr>
              <w:autoSpaceDE w:val="0"/>
              <w:autoSpaceDN w:val="0"/>
              <w:adjustRightInd w:val="0"/>
              <w:spacing w:line="240" w:lineRule="auto"/>
              <w:rPr>
                <w:sz w:val="21"/>
                <w:szCs w:val="21"/>
              </w:rPr>
            </w:pPr>
            <w:r>
              <w:rPr>
                <w:sz w:val="21"/>
                <w:szCs w:val="21"/>
              </w:rPr>
              <w:t>本项目</w:t>
            </w:r>
            <w:r>
              <w:rPr>
                <w:rFonts w:hint="eastAsia"/>
                <w:sz w:val="21"/>
                <w:szCs w:val="21"/>
              </w:rPr>
              <w:t>建设完成后全厂的</w:t>
            </w:r>
            <w:r>
              <w:rPr>
                <w:sz w:val="21"/>
                <w:szCs w:val="21"/>
              </w:rPr>
              <w:t>存栏</w:t>
            </w:r>
            <w:r>
              <w:rPr>
                <w:rFonts w:hint="eastAsia"/>
                <w:sz w:val="21"/>
                <w:szCs w:val="21"/>
              </w:rPr>
              <w:t>量为</w:t>
            </w:r>
            <w:r>
              <w:rPr>
                <w:sz w:val="21"/>
                <w:szCs w:val="21"/>
              </w:rPr>
              <w:t>3352头</w:t>
            </w:r>
            <w:r>
              <w:rPr>
                <w:rFonts w:hint="eastAsia"/>
                <w:sz w:val="21"/>
                <w:szCs w:val="21"/>
              </w:rPr>
              <w:t>（折合</w:t>
            </w:r>
            <w:r>
              <w:rPr>
                <w:sz w:val="21"/>
                <w:szCs w:val="21"/>
              </w:rPr>
              <w:t>成年猪），位于非环境敏感区，</w:t>
            </w:r>
            <w:r>
              <w:rPr>
                <w:rFonts w:hint="eastAsia"/>
                <w:sz w:val="21"/>
                <w:szCs w:val="21"/>
              </w:rPr>
              <w:t>并且</w:t>
            </w:r>
            <w:r>
              <w:rPr>
                <w:sz w:val="21"/>
                <w:szCs w:val="21"/>
              </w:rPr>
              <w:t>对接</w:t>
            </w:r>
            <w:r>
              <w:rPr>
                <w:rFonts w:hint="eastAsia"/>
                <w:sz w:val="21"/>
                <w:szCs w:val="21"/>
              </w:rPr>
              <w:t>乐山乐高勤力生物质能源综合利用有限公司“大沼”工程</w:t>
            </w:r>
            <w:r>
              <w:rPr>
                <w:sz w:val="21"/>
                <w:szCs w:val="21"/>
              </w:rPr>
              <w:t>，故本项目</w:t>
            </w:r>
            <w:r>
              <w:rPr>
                <w:rFonts w:hint="eastAsia"/>
                <w:sz w:val="21"/>
                <w:szCs w:val="21"/>
              </w:rPr>
              <w:t>粪污收集后全部运至乐山乐高勤力生物质能源综合利用有限公司“大沼”工程用于发电，并依托大沼工程配套建设的干湿分离机对粪尿进行分离，粪便用于有机肥生产，沼液用于还田，均实现了资源化利用，符合</w:t>
            </w:r>
            <w:r>
              <w:rPr>
                <w:sz w:val="21"/>
                <w:szCs w:val="21"/>
              </w:rPr>
              <w:t>6.2.3模式Ⅱ处理工艺。</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54" w:hRule="atLeast"/>
        </w:trPr>
        <w:tc>
          <w:tcPr>
            <w:tcW w:w="841" w:type="dxa"/>
            <w:vMerge w:val="restart"/>
            <w:tcBorders>
              <w:tl2br w:val="nil"/>
              <w:tr2bl w:val="nil"/>
            </w:tcBorders>
            <w:vAlign w:val="center"/>
          </w:tcPr>
          <w:p>
            <w:pPr>
              <w:autoSpaceDE w:val="0"/>
              <w:autoSpaceDN w:val="0"/>
              <w:adjustRightInd w:val="0"/>
              <w:spacing w:line="240" w:lineRule="auto"/>
              <w:jc w:val="center"/>
              <w:rPr>
                <w:sz w:val="21"/>
                <w:szCs w:val="21"/>
              </w:rPr>
            </w:pPr>
            <w:r>
              <w:rPr>
                <w:sz w:val="21"/>
                <w:szCs w:val="21"/>
              </w:rPr>
              <w:t>废水、沼渣处置与利用</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废水可作为农田、大棚蔬菜田、苗木基地、农田等的有机肥，宜放置2d~3d 后再利用</w:t>
            </w:r>
          </w:p>
        </w:tc>
        <w:tc>
          <w:tcPr>
            <w:tcW w:w="3758" w:type="dxa"/>
            <w:tcBorders>
              <w:tl2br w:val="nil"/>
              <w:tr2bl w:val="nil"/>
            </w:tcBorders>
            <w:vAlign w:val="center"/>
          </w:tcPr>
          <w:p>
            <w:pPr>
              <w:autoSpaceDE w:val="0"/>
              <w:autoSpaceDN w:val="0"/>
              <w:adjustRightInd w:val="0"/>
              <w:spacing w:line="240" w:lineRule="auto"/>
              <w:rPr>
                <w:sz w:val="21"/>
                <w:szCs w:val="21"/>
              </w:rPr>
            </w:pPr>
            <w:r>
              <w:rPr>
                <w:rFonts w:hint="eastAsia"/>
                <w:sz w:val="21"/>
                <w:szCs w:val="21"/>
              </w:rPr>
              <w:t>每日转运至乐山乐高勤力生物质能源综合利用有限公司“大沼”工程，大沼工程经干湿分离后，沼液作为农田施肥，粪便用于有机肥生产</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utoSpaceDE w:val="0"/>
              <w:autoSpaceDN w:val="0"/>
              <w:adjustRightInd w:val="0"/>
              <w:spacing w:line="240" w:lineRule="auto"/>
              <w:jc w:val="center"/>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采用模式Ⅰ和模式Ⅱ处理工艺的，沼渣、废水应全部进行资源化利用，不得直接向环境排放。</w:t>
            </w:r>
          </w:p>
        </w:tc>
        <w:tc>
          <w:tcPr>
            <w:tcW w:w="3758" w:type="dxa"/>
            <w:tcBorders>
              <w:tl2br w:val="nil"/>
              <w:tr2bl w:val="nil"/>
            </w:tcBorders>
            <w:vAlign w:val="center"/>
          </w:tcPr>
          <w:p>
            <w:pPr>
              <w:autoSpaceDE w:val="0"/>
              <w:autoSpaceDN w:val="0"/>
              <w:adjustRightInd w:val="0"/>
              <w:spacing w:line="240" w:lineRule="auto"/>
              <w:rPr>
                <w:sz w:val="21"/>
                <w:szCs w:val="21"/>
              </w:rPr>
            </w:pPr>
            <w:r>
              <w:rPr>
                <w:rFonts w:hint="eastAsia"/>
                <w:sz w:val="21"/>
                <w:szCs w:val="21"/>
              </w:rPr>
              <w:t>项目粪、尿均全部交由乐山乐高勤力生物质能源综合利用有限公司“大沼”工程用于发电</w:t>
            </w:r>
            <w:r>
              <w:rPr>
                <w:sz w:val="21"/>
                <w:szCs w:val="21"/>
              </w:rPr>
              <w:t>，</w:t>
            </w:r>
            <w:r>
              <w:rPr>
                <w:rFonts w:hint="eastAsia"/>
                <w:sz w:val="21"/>
                <w:szCs w:val="21"/>
              </w:rPr>
              <w:t>发电后的沼液用于农田施肥，脱水后的粪便用于有机肥生产，实现了资源化利用，未直接向环境排放</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tcBorders>
              <w:tl2br w:val="nil"/>
              <w:tr2bl w:val="nil"/>
            </w:tcBorders>
            <w:vAlign w:val="center"/>
          </w:tcPr>
          <w:p>
            <w:pPr>
              <w:autoSpaceDE w:val="0"/>
              <w:autoSpaceDN w:val="0"/>
              <w:adjustRightInd w:val="0"/>
              <w:spacing w:line="240" w:lineRule="auto"/>
              <w:jc w:val="center"/>
              <w:rPr>
                <w:sz w:val="21"/>
                <w:szCs w:val="21"/>
              </w:rPr>
            </w:pPr>
            <w:r>
              <w:rPr>
                <w:sz w:val="21"/>
                <w:szCs w:val="21"/>
              </w:rPr>
              <w:t>病死畜禽尸体处理与处置</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病死畜禽尸体应及时处理，不得随意丢弃，不得出售或作为饲料再利用。畜禽尸体的处理与处置应符合HJ/T 81-2001第9章的规定。</w:t>
            </w:r>
          </w:p>
        </w:tc>
        <w:tc>
          <w:tcPr>
            <w:tcW w:w="3758" w:type="dxa"/>
            <w:tcBorders>
              <w:tl2br w:val="nil"/>
              <w:tr2bl w:val="nil"/>
            </w:tcBorders>
            <w:vAlign w:val="center"/>
          </w:tcPr>
          <w:p>
            <w:pPr>
              <w:autoSpaceDE w:val="0"/>
              <w:autoSpaceDN w:val="0"/>
              <w:adjustRightInd w:val="0"/>
              <w:spacing w:line="240" w:lineRule="auto"/>
              <w:rPr>
                <w:sz w:val="21"/>
                <w:szCs w:val="21"/>
              </w:rPr>
            </w:pPr>
            <w:r>
              <w:rPr>
                <w:rFonts w:hint="eastAsia"/>
                <w:sz w:val="21"/>
                <w:szCs w:val="21"/>
              </w:rPr>
              <w:t>严格按照《井研县人民政府办公室关于进一步加强病死畜禽无害化处理的通知》(井府办函〔2018〕18号)处置，近期交给有无害化处理资质的单位处置</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restart"/>
            <w:tcBorders>
              <w:tl2br w:val="nil"/>
              <w:tr2bl w:val="nil"/>
            </w:tcBorders>
            <w:vAlign w:val="center"/>
          </w:tcPr>
          <w:p>
            <w:pPr>
              <w:autoSpaceDE w:val="0"/>
              <w:autoSpaceDN w:val="0"/>
              <w:adjustRightInd w:val="0"/>
              <w:spacing w:line="240" w:lineRule="auto"/>
              <w:jc w:val="center"/>
              <w:rPr>
                <w:sz w:val="21"/>
                <w:szCs w:val="21"/>
              </w:rPr>
            </w:pPr>
            <w:r>
              <w:rPr>
                <w:sz w:val="21"/>
                <w:szCs w:val="21"/>
              </w:rPr>
              <w:t>恶臭</w:t>
            </w:r>
          </w:p>
          <w:p>
            <w:pPr>
              <w:autoSpaceDE w:val="0"/>
              <w:autoSpaceDN w:val="0"/>
              <w:adjustRightInd w:val="0"/>
              <w:spacing w:line="240" w:lineRule="auto"/>
              <w:jc w:val="center"/>
              <w:rPr>
                <w:sz w:val="21"/>
                <w:szCs w:val="21"/>
              </w:rPr>
            </w:pPr>
            <w:r>
              <w:rPr>
                <w:sz w:val="21"/>
                <w:szCs w:val="21"/>
              </w:rPr>
              <w:t>控</w:t>
            </w:r>
          </w:p>
          <w:p>
            <w:pPr>
              <w:autoSpaceDE w:val="0"/>
              <w:autoSpaceDN w:val="0"/>
              <w:adjustRightInd w:val="0"/>
              <w:spacing w:line="240" w:lineRule="auto"/>
              <w:jc w:val="center"/>
              <w:rPr>
                <w:sz w:val="21"/>
                <w:szCs w:val="21"/>
              </w:rPr>
            </w:pPr>
            <w:r>
              <w:rPr>
                <w:sz w:val="21"/>
                <w:szCs w:val="21"/>
              </w:rPr>
              <w:t>制</w:t>
            </w: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养殖场区应通过控制饲养密度、加强舍内通风、采用节水型饮水器、及时清粪、绿化等措施抑制或减少臭气的产生。</w:t>
            </w:r>
          </w:p>
        </w:tc>
        <w:tc>
          <w:tcPr>
            <w:tcW w:w="3758" w:type="dxa"/>
            <w:tcBorders>
              <w:tl2br w:val="nil"/>
              <w:tr2bl w:val="nil"/>
            </w:tcBorders>
            <w:vAlign w:val="center"/>
          </w:tcPr>
          <w:p>
            <w:pPr>
              <w:autoSpaceDE w:val="0"/>
              <w:autoSpaceDN w:val="0"/>
              <w:adjustRightInd w:val="0"/>
              <w:spacing w:line="240" w:lineRule="auto"/>
              <w:rPr>
                <w:sz w:val="21"/>
                <w:szCs w:val="21"/>
              </w:rPr>
            </w:pPr>
            <w:r>
              <w:rPr>
                <w:sz w:val="21"/>
                <w:szCs w:val="21"/>
              </w:rPr>
              <w:t>猪粪日产日清，猪舍</w:t>
            </w:r>
            <w:r>
              <w:rPr>
                <w:rFonts w:hint="eastAsia"/>
                <w:sz w:val="21"/>
                <w:szCs w:val="21"/>
              </w:rPr>
              <w:t>采用节水型饮水器，</w:t>
            </w:r>
            <w:r>
              <w:rPr>
                <w:sz w:val="21"/>
                <w:szCs w:val="21"/>
              </w:rPr>
              <w:t>加设排气扇加强通风，场内空地种植观赏植物，最大可能进行绿化</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utoSpaceDE w:val="0"/>
              <w:autoSpaceDN w:val="0"/>
              <w:adjustRightInd w:val="0"/>
              <w:spacing w:line="240" w:lineRule="auto"/>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粪污处理各工艺单元宜设计为密闭形式，减少恶臭对周围环境的污染。</w:t>
            </w:r>
          </w:p>
        </w:tc>
        <w:tc>
          <w:tcPr>
            <w:tcW w:w="3758" w:type="dxa"/>
            <w:tcBorders>
              <w:tl2br w:val="nil"/>
              <w:tr2bl w:val="nil"/>
            </w:tcBorders>
            <w:vAlign w:val="center"/>
          </w:tcPr>
          <w:p>
            <w:pPr>
              <w:autoSpaceDE w:val="0"/>
              <w:autoSpaceDN w:val="0"/>
              <w:adjustRightInd w:val="0"/>
              <w:spacing w:line="240" w:lineRule="auto"/>
              <w:rPr>
                <w:sz w:val="21"/>
                <w:szCs w:val="21"/>
              </w:rPr>
            </w:pPr>
            <w:r>
              <w:rPr>
                <w:sz w:val="21"/>
              </w:rPr>
              <w:t>项目集污</w:t>
            </w:r>
            <w:r>
              <w:rPr>
                <w:rFonts w:hint="eastAsia"/>
                <w:sz w:val="21"/>
              </w:rPr>
              <w:t>管网</w:t>
            </w:r>
            <w:r>
              <w:rPr>
                <w:sz w:val="21"/>
              </w:rPr>
              <w:t>密闭加盖</w:t>
            </w:r>
            <w:r>
              <w:rPr>
                <w:rFonts w:hint="eastAsia"/>
                <w:sz w:val="21"/>
              </w:rPr>
              <w:t>。</w:t>
            </w:r>
          </w:p>
        </w:tc>
        <w:tc>
          <w:tcPr>
            <w:tcW w:w="809" w:type="dxa"/>
            <w:tcBorders>
              <w:tl2br w:val="nil"/>
              <w:tr2bl w:val="nil"/>
            </w:tcBorders>
            <w:vAlign w:val="center"/>
          </w:tcPr>
          <w:p>
            <w:pPr>
              <w:autoSpaceDE w:val="0"/>
              <w:autoSpaceDN w:val="0"/>
              <w:adjustRightInd w:val="0"/>
              <w:spacing w:line="240" w:lineRule="auto"/>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utoSpaceDE w:val="0"/>
              <w:autoSpaceDN w:val="0"/>
              <w:adjustRightInd w:val="0"/>
              <w:spacing w:line="240" w:lineRule="auto"/>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可采用物理除臭方式，向粪便或舍内投（铺）放吸附剂减少臭气的散发，宜采用的吸附剂有沸石、锯末、膨润土以及秸秆、泥炭等含纤维素和木质素较多的材料。</w:t>
            </w:r>
          </w:p>
        </w:tc>
        <w:tc>
          <w:tcPr>
            <w:tcW w:w="3758" w:type="dxa"/>
            <w:vMerge w:val="restart"/>
            <w:tcBorders>
              <w:tl2br w:val="nil"/>
              <w:tr2bl w:val="nil"/>
            </w:tcBorders>
            <w:vAlign w:val="center"/>
          </w:tcPr>
          <w:p>
            <w:pPr>
              <w:autoSpaceDE w:val="0"/>
              <w:autoSpaceDN w:val="0"/>
              <w:adjustRightInd w:val="0"/>
              <w:spacing w:line="240" w:lineRule="auto"/>
              <w:rPr>
                <w:sz w:val="21"/>
                <w:szCs w:val="21"/>
              </w:rPr>
            </w:pPr>
            <w:r>
              <w:rPr>
                <w:sz w:val="21"/>
                <w:szCs w:val="21"/>
              </w:rPr>
              <w:t>猪舍采用</w:t>
            </w:r>
            <w:r>
              <w:rPr>
                <w:rFonts w:hint="eastAsia"/>
                <w:sz w:val="21"/>
                <w:szCs w:val="21"/>
              </w:rPr>
              <w:t>物理除臭和化学除臭，定时向猪舍头发吸附剂，猪舍使用消毒剂消毒。</w:t>
            </w: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utoSpaceDE w:val="0"/>
              <w:autoSpaceDN w:val="0"/>
              <w:adjustRightInd w:val="0"/>
              <w:spacing w:line="240" w:lineRule="auto"/>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可采用化学除臭方式，向养殖场区和粪污处理厂（站）投加或喷洒化学除臭剂消除或减少臭气的产生。宜采用的化学氧化剂有高锰酸钾、重铬酸钾、双氧水、次氯酸钾、臭氧等。</w:t>
            </w:r>
          </w:p>
        </w:tc>
        <w:tc>
          <w:tcPr>
            <w:tcW w:w="3758" w:type="dxa"/>
            <w:vMerge w:val="continue"/>
            <w:tcBorders>
              <w:tl2br w:val="nil"/>
              <w:tr2bl w:val="nil"/>
            </w:tcBorders>
            <w:vAlign w:val="center"/>
          </w:tcPr>
          <w:p>
            <w:pPr>
              <w:autoSpaceDE w:val="0"/>
              <w:autoSpaceDN w:val="0"/>
              <w:adjustRightInd w:val="0"/>
              <w:spacing w:line="240" w:lineRule="auto"/>
              <w:rPr>
                <w:sz w:val="21"/>
                <w:szCs w:val="21"/>
              </w:rPr>
            </w:pP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41" w:type="dxa"/>
            <w:vMerge w:val="continue"/>
            <w:tcBorders>
              <w:tl2br w:val="nil"/>
              <w:tr2bl w:val="nil"/>
            </w:tcBorders>
            <w:vAlign w:val="center"/>
          </w:tcPr>
          <w:p>
            <w:pPr>
              <w:autoSpaceDE w:val="0"/>
              <w:autoSpaceDN w:val="0"/>
              <w:adjustRightInd w:val="0"/>
              <w:spacing w:line="240" w:lineRule="auto"/>
              <w:rPr>
                <w:sz w:val="21"/>
                <w:szCs w:val="21"/>
              </w:rPr>
            </w:pPr>
          </w:p>
        </w:tc>
        <w:tc>
          <w:tcPr>
            <w:tcW w:w="3379" w:type="dxa"/>
            <w:tcBorders>
              <w:tl2br w:val="nil"/>
              <w:tr2bl w:val="nil"/>
            </w:tcBorders>
            <w:vAlign w:val="center"/>
          </w:tcPr>
          <w:p>
            <w:pPr>
              <w:autoSpaceDE w:val="0"/>
              <w:autoSpaceDN w:val="0"/>
              <w:adjustRightInd w:val="0"/>
              <w:spacing w:line="240" w:lineRule="auto"/>
              <w:rPr>
                <w:sz w:val="21"/>
                <w:szCs w:val="21"/>
              </w:rPr>
            </w:pPr>
            <w:r>
              <w:rPr>
                <w:sz w:val="21"/>
                <w:szCs w:val="21"/>
              </w:rPr>
              <w:t>可采用生物除臭方式，如生物过滤法和生物洗涤法等。</w:t>
            </w:r>
          </w:p>
        </w:tc>
        <w:tc>
          <w:tcPr>
            <w:tcW w:w="3758" w:type="dxa"/>
            <w:vMerge w:val="continue"/>
            <w:tcBorders>
              <w:tl2br w:val="nil"/>
              <w:tr2bl w:val="nil"/>
            </w:tcBorders>
            <w:vAlign w:val="center"/>
          </w:tcPr>
          <w:p>
            <w:pPr>
              <w:autoSpaceDE w:val="0"/>
              <w:autoSpaceDN w:val="0"/>
              <w:adjustRightInd w:val="0"/>
              <w:spacing w:line="240" w:lineRule="auto"/>
              <w:rPr>
                <w:sz w:val="21"/>
                <w:szCs w:val="21"/>
              </w:rPr>
            </w:pPr>
          </w:p>
        </w:tc>
        <w:tc>
          <w:tcPr>
            <w:tcW w:w="809" w:type="dxa"/>
            <w:tcBorders>
              <w:tl2br w:val="nil"/>
              <w:tr2bl w:val="nil"/>
            </w:tcBorders>
            <w:vAlign w:val="center"/>
          </w:tcPr>
          <w:p>
            <w:pPr>
              <w:adjustRightInd w:val="0"/>
              <w:snapToGrid w:val="0"/>
              <w:spacing w:line="240" w:lineRule="auto"/>
              <w:jc w:val="center"/>
              <w:rPr>
                <w:sz w:val="21"/>
                <w:szCs w:val="21"/>
              </w:rPr>
            </w:pPr>
            <w:r>
              <w:rPr>
                <w:sz w:val="21"/>
                <w:szCs w:val="21"/>
              </w:rPr>
              <w:t>符合</w:t>
            </w:r>
          </w:p>
        </w:tc>
      </w:tr>
      <w:bookmarkEnd w:id="194"/>
    </w:tbl>
    <w:p>
      <w:pPr>
        <w:pStyle w:val="3"/>
        <w:snapToGrid w:val="0"/>
        <w:spacing w:after="0" w:line="240" w:lineRule="auto"/>
        <w:ind w:left="0" w:leftChars="0" w:firstLine="560" w:firstLineChars="200"/>
        <w:rPr>
          <w:rFonts w:eastAsia="黑体"/>
          <w:bCs/>
          <w:sz w:val="28"/>
          <w:szCs w:val="28"/>
        </w:rPr>
      </w:pPr>
      <w:bookmarkStart w:id="195" w:name="_Toc423336639"/>
      <w:bookmarkStart w:id="196" w:name="_Toc457480917"/>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.4.4与《农产品安全质量—无公害畜禽肉产地环境要求》符合性</w:t>
      </w:r>
      <w:r>
        <w:rPr>
          <w:rFonts w:hint="eastAsia" w:eastAsia="黑体"/>
          <w:bCs/>
          <w:sz w:val="28"/>
          <w:szCs w:val="28"/>
        </w:rPr>
        <w:t>分析</w:t>
      </w:r>
    </w:p>
    <w:p>
      <w:pPr>
        <w:pStyle w:val="3"/>
        <w:snapToGrid w:val="0"/>
        <w:spacing w:after="0"/>
        <w:ind w:left="0" w:leftChars="0" w:firstLine="480" w:firstLineChars="200"/>
      </w:pPr>
      <w:r>
        <w:t>项目与《农产品安全质量—无公害畜禽肉产地环境要求》（GB/T18407.3－2001）的符合性见表2.4-</w:t>
      </w:r>
      <w:r>
        <w:rPr>
          <w:rFonts w:hint="eastAsia"/>
        </w:rPr>
        <w:t>2</w:t>
      </w:r>
      <w:r>
        <w:t>。</w:t>
      </w:r>
    </w:p>
    <w:p>
      <w:pPr>
        <w:snapToGrid w:val="0"/>
        <w:spacing w:line="240" w:lineRule="auto"/>
        <w:jc w:val="center"/>
        <w:rPr>
          <w:rFonts w:eastAsia="黑体"/>
          <w:w w:val="97"/>
        </w:rPr>
      </w:pPr>
      <w:r>
        <w:rPr>
          <w:rFonts w:eastAsia="黑体"/>
          <w:w w:val="97"/>
        </w:rPr>
        <w:t>表2.4-</w:t>
      </w:r>
      <w:r>
        <w:rPr>
          <w:rFonts w:hint="eastAsia" w:eastAsia="黑体"/>
          <w:w w:val="97"/>
        </w:rPr>
        <w:t>2</w:t>
      </w:r>
      <w:r>
        <w:rPr>
          <w:rFonts w:eastAsia="黑体"/>
          <w:w w:val="97"/>
        </w:rPr>
        <w:t xml:space="preserve"> 项目与《农产品安全质量—无公害畜禽肉产地环境要求》的符合性</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94"/>
        <w:gridCol w:w="3231"/>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5" w:hRule="atLeast"/>
          <w:jc w:val="center"/>
        </w:trPr>
        <w:tc>
          <w:tcPr>
            <w:tcW w:w="482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《农产品安全质量—无公害畜禽肉产地环境要求》</w:t>
            </w:r>
          </w:p>
        </w:tc>
        <w:tc>
          <w:tcPr>
            <w:tcW w:w="305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本项目实际情况</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0" w:type="dxa"/>
            <w:tcBorders>
              <w:tl2br w:val="nil"/>
              <w:tr2bl w:val="nil"/>
            </w:tcBorders>
            <w:vAlign w:val="center"/>
          </w:tcPr>
          <w:p>
            <w:pPr>
              <w:pStyle w:val="192"/>
              <w:spacing w:line="240" w:lineRule="auto"/>
              <w:ind w:firstLine="0" w:firstLineChars="0"/>
              <w:jc w:val="left"/>
            </w:pPr>
            <w:r>
              <w:rPr>
                <w:rFonts w:eastAsiaTheme="minorEastAsia"/>
                <w:sz w:val="21"/>
                <w:szCs w:val="21"/>
              </w:rPr>
              <w:t>畜禽养殖地必须选择在生态环境良好、无或不直接受工业“三废”及农业、城镇生活、医疗废弃物污染的生产区域。选址应参照国家相关标准的规定，避开水源保护区、风景名胜区、人口密集区等环境敏感地区，符合环境保护、兽医防疫要求。</w:t>
            </w:r>
          </w:p>
        </w:tc>
        <w:tc>
          <w:tcPr>
            <w:tcW w:w="305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本项目位于</w:t>
            </w:r>
            <w:r>
              <w:rPr>
                <w:rFonts w:hint="eastAsia" w:eastAsiaTheme="minorEastAsia"/>
                <w:sz w:val="21"/>
                <w:szCs w:val="21"/>
              </w:rPr>
              <w:t>乐山市井研县</w:t>
            </w:r>
            <w:r>
              <w:rPr>
                <w:rFonts w:eastAsiaTheme="minorEastAsia"/>
                <w:sz w:val="21"/>
                <w:szCs w:val="21"/>
              </w:rPr>
              <w:t>高凤乡星星亮村，周围为农村环境，生态环境良好，且周边无水源保护区、风景名胜区、人口密集区等环境敏感区</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0" w:type="dxa"/>
            <w:tcBorders>
              <w:tl2br w:val="nil"/>
              <w:tr2bl w:val="nil"/>
            </w:tcBorders>
            <w:vAlign w:val="center"/>
          </w:tcPr>
          <w:p>
            <w:pPr>
              <w:pStyle w:val="192"/>
              <w:spacing w:line="240" w:lineRule="auto"/>
              <w:ind w:firstLine="0" w:firstLineChars="0"/>
              <w:jc w:val="left"/>
            </w:pPr>
            <w:r>
              <w:rPr>
                <w:rFonts w:eastAsiaTheme="minorEastAsia"/>
                <w:sz w:val="21"/>
                <w:szCs w:val="21"/>
              </w:rPr>
              <w:t>养殖区周围500m范围内无水源，且无对产地环境构成威胁的污染源，包括工业“三废”、农业废弃物、医院污水及废弃物、城市垃圾和生活污水等污染物。</w:t>
            </w:r>
          </w:p>
        </w:tc>
        <w:tc>
          <w:tcPr>
            <w:tcW w:w="305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本项目周围500m范围内无水源，且无对产地环境构成威胁的污染源</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w:t>
            </w:r>
          </w:p>
        </w:tc>
      </w:tr>
    </w:tbl>
    <w:p>
      <w:pPr>
        <w:pStyle w:val="3"/>
        <w:snapToGrid w:val="0"/>
        <w:spacing w:after="0" w:line="240" w:lineRule="auto"/>
        <w:ind w:left="0" w:leftChars="0" w:firstLine="560" w:firstLineChars="200"/>
        <w:rPr>
          <w:rFonts w:eastAsia="黑体"/>
          <w:bCs/>
          <w:sz w:val="28"/>
          <w:szCs w:val="28"/>
        </w:rPr>
      </w:pP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.4.5与《畜禽养殖业污染防治技术规范》符合性</w:t>
      </w:r>
      <w:r>
        <w:rPr>
          <w:rFonts w:hint="eastAsia" w:eastAsia="黑体"/>
          <w:bCs/>
          <w:sz w:val="28"/>
          <w:szCs w:val="28"/>
        </w:rPr>
        <w:t>分析</w:t>
      </w:r>
    </w:p>
    <w:p>
      <w:pPr>
        <w:pStyle w:val="3"/>
        <w:snapToGrid w:val="0"/>
        <w:spacing w:after="0"/>
        <w:ind w:left="0" w:leftChars="0" w:firstLine="480" w:firstLineChars="200"/>
      </w:pPr>
      <w:r>
        <w:t>项目与《畜禽养殖业污染防治技术规范》（HJ/T 81—2001）的符合性见表2.4-</w:t>
      </w:r>
      <w:r>
        <w:rPr>
          <w:rFonts w:hint="eastAsia"/>
        </w:rPr>
        <w:t>3</w:t>
      </w:r>
      <w:r>
        <w:t>。</w:t>
      </w:r>
    </w:p>
    <w:p>
      <w:pPr>
        <w:snapToGrid w:val="0"/>
        <w:spacing w:line="240" w:lineRule="auto"/>
        <w:jc w:val="center"/>
        <w:rPr>
          <w:rFonts w:eastAsia="黑体"/>
          <w:w w:val="97"/>
        </w:rPr>
      </w:pPr>
      <w:r>
        <w:rPr>
          <w:rFonts w:eastAsia="黑体"/>
          <w:w w:val="97"/>
        </w:rPr>
        <w:t>表2.4-</w:t>
      </w:r>
      <w:r>
        <w:rPr>
          <w:rFonts w:hint="eastAsia" w:eastAsia="黑体"/>
          <w:w w:val="97"/>
        </w:rPr>
        <w:t>3</w:t>
      </w:r>
      <w:r>
        <w:rPr>
          <w:rFonts w:eastAsia="黑体"/>
          <w:w w:val="97"/>
        </w:rPr>
        <w:t xml:space="preserve">   项目与《畜禽养殖业污染防治技术规范》的符合性</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93"/>
        <w:gridCol w:w="2632"/>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38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《畜禽养殖业污染防治技术规范》</w:t>
            </w:r>
          </w:p>
        </w:tc>
        <w:tc>
          <w:tcPr>
            <w:tcW w:w="249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本项目实际情况</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7" w:type="dxa"/>
            <w:tcBorders>
              <w:tl2br w:val="nil"/>
              <w:tr2bl w:val="nil"/>
            </w:tcBorders>
            <w:vAlign w:val="center"/>
          </w:tcPr>
          <w:p>
            <w:pPr>
              <w:pStyle w:val="192"/>
              <w:spacing w:line="240" w:lineRule="auto"/>
              <w:ind w:firstLine="0" w:firstLineChars="0"/>
              <w:jc w:val="left"/>
            </w:pPr>
            <w:r>
              <w:rPr>
                <w:rFonts w:eastAsiaTheme="minorEastAsia"/>
                <w:sz w:val="21"/>
                <w:szCs w:val="21"/>
              </w:rPr>
              <w:t>畜禽养殖场应避开以下禁建区域：生活饮用水水源保护区、风景名胜区、自然保护区的核心区及缓冲区；城市和城镇居民区，包括文教科研区、医疗区、商业区、工业区、游览区等人口集中地区；县级人民政府依法划定的禁养区域；国家或地方法律、法规规定需特殊保护的其他区域</w:t>
            </w:r>
          </w:p>
        </w:tc>
        <w:tc>
          <w:tcPr>
            <w:tcW w:w="249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本项目位于</w:t>
            </w:r>
            <w:r>
              <w:rPr>
                <w:rFonts w:hint="eastAsia" w:eastAsiaTheme="minorEastAsia"/>
                <w:sz w:val="21"/>
                <w:szCs w:val="21"/>
              </w:rPr>
              <w:t>乐山市井研县</w:t>
            </w:r>
            <w:r>
              <w:rPr>
                <w:rFonts w:eastAsiaTheme="minorEastAsia"/>
                <w:sz w:val="21"/>
                <w:szCs w:val="21"/>
              </w:rPr>
              <w:t>高凤乡星星亮村，不在禁建区域内</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7" w:type="dxa"/>
            <w:tcBorders>
              <w:tl2br w:val="nil"/>
              <w:tr2bl w:val="nil"/>
            </w:tcBorders>
            <w:vAlign w:val="center"/>
          </w:tcPr>
          <w:p>
            <w:pPr>
              <w:pStyle w:val="192"/>
              <w:spacing w:line="240" w:lineRule="auto"/>
              <w:ind w:firstLine="0" w:firstLineChars="0"/>
              <w:jc w:val="left"/>
            </w:pPr>
            <w:r>
              <w:rPr>
                <w:rFonts w:eastAsiaTheme="minorEastAsia"/>
                <w:sz w:val="21"/>
                <w:szCs w:val="21"/>
              </w:rPr>
              <w:t>在禁建区域附近建设的，应设在上述禁建区域常年主导风向的下风向或侧风向处，场界与禁建区域边界的最小距离不得小于500m。</w:t>
            </w:r>
          </w:p>
        </w:tc>
        <w:tc>
          <w:tcPr>
            <w:tcW w:w="249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本项目位于</w:t>
            </w:r>
            <w:r>
              <w:rPr>
                <w:rFonts w:hint="eastAsia" w:eastAsiaTheme="minorEastAsia"/>
                <w:sz w:val="21"/>
                <w:szCs w:val="21"/>
              </w:rPr>
              <w:t>乐山市井研县</w:t>
            </w:r>
            <w:r>
              <w:rPr>
                <w:rFonts w:eastAsiaTheme="minorEastAsia"/>
                <w:sz w:val="21"/>
                <w:szCs w:val="21"/>
              </w:rPr>
              <w:t>高凤乡星星亮村，</w:t>
            </w:r>
            <w:r>
              <w:rPr>
                <w:rFonts w:hint="eastAsia" w:eastAsiaTheme="minorEastAsia"/>
                <w:sz w:val="21"/>
                <w:szCs w:val="21"/>
              </w:rPr>
              <w:t>项目位于高凤乡场镇东南侧</w:t>
            </w:r>
            <w:r>
              <w:rPr>
                <w:rFonts w:eastAsiaTheme="minorEastAsia"/>
                <w:sz w:val="21"/>
                <w:szCs w:val="21"/>
              </w:rPr>
              <w:t>600m</w:t>
            </w:r>
            <w:r>
              <w:rPr>
                <w:rFonts w:hint="eastAsia" w:eastAsiaTheme="minorEastAsia"/>
                <w:sz w:val="21"/>
                <w:szCs w:val="21"/>
              </w:rPr>
              <w:t>，井研常年主导风向</w:t>
            </w:r>
          </w:p>
          <w:p>
            <w:pPr>
              <w:spacing w:line="240" w:lineRule="auto"/>
              <w:jc w:val="center"/>
              <w:rPr>
                <w:rFonts w:eastAsiaTheme="minorEastAsia"/>
                <w:sz w:val="21"/>
                <w:szCs w:val="21"/>
              </w:rPr>
            </w:pPr>
            <w:r>
              <w:rPr>
                <w:rFonts w:hint="eastAsia"/>
                <w:sz w:val="21"/>
                <w:szCs w:val="21"/>
              </w:rPr>
              <w:t>年主导风向西北风，项目位于禁建区域下风向，且距离禁建区域边界的最小距离为5</w:t>
            </w:r>
            <w:r>
              <w:rPr>
                <w:sz w:val="21"/>
                <w:szCs w:val="21"/>
              </w:rPr>
              <w:t>50m</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w:t>
            </w:r>
          </w:p>
        </w:tc>
      </w:tr>
    </w:tbl>
    <w:p>
      <w:pPr>
        <w:pStyle w:val="3"/>
        <w:snapToGrid w:val="0"/>
        <w:spacing w:after="0" w:line="240" w:lineRule="auto"/>
        <w:ind w:left="0" w:leftChars="0" w:firstLine="560" w:firstLineChars="200"/>
        <w:rPr>
          <w:rFonts w:eastAsia="黑体"/>
          <w:bCs/>
          <w:sz w:val="28"/>
          <w:szCs w:val="28"/>
        </w:rPr>
      </w:pP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.4.6</w:t>
      </w:r>
      <w:r>
        <w:rPr>
          <w:rFonts w:hint="eastAsia" w:eastAsia="黑体"/>
          <w:bCs/>
          <w:sz w:val="28"/>
          <w:szCs w:val="28"/>
        </w:rPr>
        <w:t>与井研县人民政府《关于印发井研县畜禽养殖禁养区划定方案的通知》（井府发[2017]2号）符合性分析</w:t>
      </w:r>
    </w:p>
    <w:p>
      <w:pPr>
        <w:pStyle w:val="3"/>
        <w:snapToGrid w:val="0"/>
        <w:spacing w:after="0"/>
        <w:ind w:left="0" w:leftChars="0" w:firstLine="480" w:firstLineChars="200"/>
      </w:pPr>
      <w:r>
        <w:t>项目与《</w:t>
      </w:r>
      <w:r>
        <w:rPr>
          <w:rFonts w:hint="eastAsia"/>
        </w:rPr>
        <w:t>关于印发井研县畜禽养殖禁养区划定方案的通知</w:t>
      </w:r>
      <w:r>
        <w:t>》（</w:t>
      </w:r>
      <w:r>
        <w:rPr>
          <w:rFonts w:hint="eastAsia"/>
        </w:rPr>
        <w:t>井府发[2017]2号</w:t>
      </w:r>
      <w:r>
        <w:t>）的符合性见表2.4-</w:t>
      </w:r>
      <w:r>
        <w:rPr>
          <w:rFonts w:hint="eastAsia"/>
        </w:rPr>
        <w:t>4</w:t>
      </w:r>
      <w:r>
        <w:t>。</w:t>
      </w:r>
    </w:p>
    <w:p>
      <w:pPr>
        <w:snapToGrid w:val="0"/>
        <w:spacing w:line="240" w:lineRule="auto"/>
        <w:jc w:val="center"/>
        <w:rPr>
          <w:rFonts w:eastAsia="黑体"/>
          <w:w w:val="97"/>
        </w:rPr>
      </w:pPr>
      <w:r>
        <w:rPr>
          <w:rFonts w:eastAsia="黑体"/>
          <w:w w:val="97"/>
        </w:rPr>
        <w:t>表2.4-</w:t>
      </w:r>
      <w:r>
        <w:rPr>
          <w:rFonts w:hint="eastAsia" w:eastAsia="黑体"/>
          <w:w w:val="97"/>
        </w:rPr>
        <w:t>4</w:t>
      </w:r>
      <w:r>
        <w:rPr>
          <w:rFonts w:eastAsia="黑体"/>
          <w:w w:val="97"/>
        </w:rPr>
        <w:t xml:space="preserve">   项目与《</w:t>
      </w:r>
      <w:r>
        <w:rPr>
          <w:rFonts w:hint="eastAsia" w:eastAsia="黑体"/>
          <w:w w:val="97"/>
        </w:rPr>
        <w:t>关于印发井研县畜禽养殖禁养区划定方案的通知</w:t>
      </w:r>
      <w:r>
        <w:rPr>
          <w:rFonts w:eastAsia="黑体"/>
          <w:w w:val="97"/>
        </w:rPr>
        <w:t>》的符合性</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94"/>
        <w:gridCol w:w="3231"/>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82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w:t>
            </w:r>
            <w:r>
              <w:rPr>
                <w:rFonts w:hint="eastAsia" w:eastAsiaTheme="minorEastAsia"/>
                <w:sz w:val="21"/>
                <w:szCs w:val="21"/>
              </w:rPr>
              <w:t>关于印发井研县畜禽养殖禁养区划定方案的通知</w:t>
            </w:r>
            <w:r>
              <w:rPr>
                <w:rFonts w:eastAsiaTheme="minorEastAsia"/>
                <w:sz w:val="21"/>
                <w:szCs w:val="21"/>
              </w:rPr>
              <w:t>》</w:t>
            </w:r>
          </w:p>
        </w:tc>
        <w:tc>
          <w:tcPr>
            <w:tcW w:w="305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本项目实际情况</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0" w:type="dxa"/>
            <w:tcBorders>
              <w:tl2br w:val="nil"/>
              <w:tr2bl w:val="nil"/>
            </w:tcBorders>
            <w:vAlign w:val="center"/>
          </w:tcPr>
          <w:p>
            <w:pPr>
              <w:pStyle w:val="192"/>
              <w:spacing w:line="240" w:lineRule="auto"/>
              <w:ind w:firstLine="0" w:firstLineChars="0"/>
              <w:jc w:val="left"/>
            </w:pPr>
            <w:r>
              <w:rPr>
                <w:rFonts w:hint="eastAsia" w:eastAsiaTheme="minorEastAsia"/>
                <w:b/>
                <w:sz w:val="21"/>
                <w:szCs w:val="21"/>
              </w:rPr>
              <w:t>畜禽养殖禁养区范围：</w:t>
            </w:r>
            <w:r>
              <w:rPr>
                <w:rFonts w:hint="eastAsia" w:eastAsiaTheme="minorEastAsia"/>
                <w:sz w:val="21"/>
                <w:szCs w:val="21"/>
              </w:rPr>
              <w:t>①县城、乡（镇）城镇建成区范围内；②集中式饮用水水源保护区；③中型水库管理范围及校准洪水水位以上200米范围的区域；小一型、小二型水库管理范围内校核洪水位以上100米范围内的区域；④风景名胜区、旅游度假区、文物历史遗迹保护区自然（湿地）保护区、核心区和缓冲区；⑤政府划定的基本农田保护区；⑥国家法律、法规规定需要特殊保护的其他区域</w:t>
            </w:r>
          </w:p>
        </w:tc>
        <w:tc>
          <w:tcPr>
            <w:tcW w:w="3057"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本项目位于</w:t>
            </w:r>
            <w:r>
              <w:rPr>
                <w:rFonts w:hint="eastAsia" w:eastAsiaTheme="minorEastAsia"/>
                <w:sz w:val="21"/>
                <w:szCs w:val="21"/>
              </w:rPr>
              <w:t>乐山市井研县</w:t>
            </w:r>
            <w:r>
              <w:rPr>
                <w:rFonts w:eastAsiaTheme="minorEastAsia"/>
                <w:sz w:val="21"/>
                <w:szCs w:val="21"/>
              </w:rPr>
              <w:t>高凤乡星星亮村，</w:t>
            </w:r>
            <w:r>
              <w:rPr>
                <w:rFonts w:hint="eastAsia" w:eastAsiaTheme="minorEastAsia"/>
                <w:sz w:val="21"/>
                <w:szCs w:val="21"/>
              </w:rPr>
              <w:t>项目建设不在建成区、不在饮用水源保护区范围内，项目不在水库管理范围及核准洪水范围以上2</w:t>
            </w:r>
            <w:r>
              <w:rPr>
                <w:rFonts w:eastAsiaTheme="minorEastAsia"/>
                <w:sz w:val="21"/>
                <w:szCs w:val="21"/>
              </w:rPr>
              <w:t>00m</w:t>
            </w:r>
            <w:r>
              <w:rPr>
                <w:rFonts w:hint="eastAsia" w:eastAsiaTheme="minorEastAsia"/>
                <w:sz w:val="21"/>
                <w:szCs w:val="21"/>
              </w:rPr>
              <w:t>的范围，不涉及风景名胜区、旅游度假区，项目内部建筑均未涉及基本农田及其保护区，未占用国家法律、法规规定需要特殊保护的其他区域。</w:t>
            </w:r>
          </w:p>
        </w:tc>
        <w:tc>
          <w:tcPr>
            <w:tcW w:w="910" w:type="dxa"/>
            <w:tcBorders>
              <w:tl2br w:val="nil"/>
              <w:tr2bl w:val="nil"/>
            </w:tcBorders>
            <w:vAlign w:val="center"/>
          </w:tcPr>
          <w:p>
            <w:pPr>
              <w:spacing w:line="240" w:lineRule="auto"/>
              <w:jc w:val="center"/>
              <w:rPr>
                <w:rFonts w:eastAsiaTheme="minorEastAsia"/>
                <w:sz w:val="21"/>
                <w:szCs w:val="21"/>
              </w:rPr>
            </w:pPr>
            <w:r>
              <w:rPr>
                <w:rFonts w:eastAsiaTheme="minorEastAsia"/>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0" w:type="dxa"/>
            <w:tcBorders>
              <w:tl2br w:val="nil"/>
              <w:tr2bl w:val="nil"/>
            </w:tcBorders>
            <w:vAlign w:val="center"/>
          </w:tcPr>
          <w:p>
            <w:pPr>
              <w:pStyle w:val="192"/>
              <w:spacing w:line="240" w:lineRule="auto"/>
              <w:ind w:firstLine="0" w:firstLineChars="0"/>
              <w:jc w:val="left"/>
            </w:pPr>
            <w:r>
              <w:rPr>
                <w:rFonts w:hint="eastAsia" w:eastAsiaTheme="minorEastAsia"/>
                <w:b/>
                <w:sz w:val="21"/>
                <w:szCs w:val="21"/>
              </w:rPr>
              <w:t>畜禽养殖限养区范围（已划入禁养区的除外）：</w:t>
            </w:r>
            <w:r>
              <w:rPr>
                <w:rFonts w:hint="eastAsia" w:eastAsiaTheme="minorEastAsia"/>
                <w:sz w:val="21"/>
                <w:szCs w:val="21"/>
              </w:rPr>
              <w:t>①县城、乡（镇）城镇建成区外规划区，行政村人口集居点外延200米范围内的区域；②集中式饮用水水源保护区外延300米范围的区域；③县域内茫溪河（新桥水坝至茫溪河出境断面）干流两岸纵深外延500米范围内区域，主要支流（研溪河、赛公河、殷家河、东林河、月波河、黄钵河、磨池河、泥溪河、球溪河、花椒溪、麻柳沟）两岸纵深外延300米范围内的区域；④工业集中区划定区域外延200米范围内的区域；⑤县境内通乡公路以上主要交通干线两侧200米范围内的区域；⑥根据城镇发展规划和区域环境总量控制及污染物排放总量控制要求，应当限制养殖的区域；⑦法律、法规规定的其他限养区域</w:t>
            </w:r>
          </w:p>
        </w:tc>
        <w:tc>
          <w:tcPr>
            <w:tcW w:w="3057" w:type="dxa"/>
            <w:tcBorders>
              <w:tl2br w:val="nil"/>
              <w:tr2bl w:val="nil"/>
            </w:tcBorders>
            <w:vAlign w:val="center"/>
          </w:tcPr>
          <w:p>
            <w:pPr>
              <w:spacing w:line="240" w:lineRule="auto"/>
              <w:jc w:val="left"/>
              <w:rPr>
                <w:rFonts w:eastAsiaTheme="minorEastAsia"/>
                <w:sz w:val="21"/>
                <w:szCs w:val="21"/>
              </w:rPr>
            </w:pPr>
            <w:r>
              <w:rPr>
                <w:rFonts w:eastAsiaTheme="minorEastAsia"/>
                <w:sz w:val="21"/>
                <w:szCs w:val="21"/>
              </w:rPr>
              <w:t>本项目位于</w:t>
            </w:r>
            <w:r>
              <w:rPr>
                <w:rFonts w:hint="eastAsia" w:eastAsiaTheme="minorEastAsia"/>
                <w:sz w:val="21"/>
                <w:szCs w:val="21"/>
              </w:rPr>
              <w:t>乐山市井研县</w:t>
            </w:r>
            <w:r>
              <w:rPr>
                <w:rFonts w:eastAsiaTheme="minorEastAsia"/>
                <w:sz w:val="21"/>
                <w:szCs w:val="21"/>
              </w:rPr>
              <w:t>高凤乡星星亮村</w:t>
            </w:r>
            <w:r>
              <w:rPr>
                <w:rFonts w:hint="eastAsia" w:eastAsiaTheme="minorEastAsia"/>
                <w:sz w:val="21"/>
                <w:szCs w:val="21"/>
              </w:rPr>
              <w:t>。</w:t>
            </w:r>
          </w:p>
          <w:p>
            <w:pPr>
              <w:spacing w:line="240" w:lineRule="auto"/>
              <w:jc w:val="left"/>
              <w:rPr>
                <w:rFonts w:eastAsiaTheme="minorEastAsia"/>
                <w:sz w:val="21"/>
                <w:szCs w:val="21"/>
              </w:rPr>
            </w:pPr>
            <w:r>
              <w:rPr>
                <w:rFonts w:eastAsiaTheme="minorEastAsia"/>
                <w:sz w:val="21"/>
                <w:szCs w:val="21"/>
              </w:rPr>
              <w:t>1</w:t>
            </w:r>
            <w:r>
              <w:rPr>
                <w:rFonts w:hint="eastAsia" w:eastAsiaTheme="minorEastAsia"/>
                <w:sz w:val="21"/>
                <w:szCs w:val="21"/>
              </w:rPr>
              <w:t>、项目周围2</w:t>
            </w:r>
            <w:r>
              <w:rPr>
                <w:rFonts w:eastAsiaTheme="minorEastAsia"/>
                <w:sz w:val="21"/>
                <w:szCs w:val="21"/>
              </w:rPr>
              <w:t>00m</w:t>
            </w:r>
            <w:r>
              <w:rPr>
                <w:rFonts w:hint="eastAsia" w:eastAsiaTheme="minorEastAsia"/>
                <w:sz w:val="21"/>
                <w:szCs w:val="21"/>
              </w:rPr>
              <w:t>范围内均为农村分散农户，不在建成区、乡镇建成区外规划区，不在行政村认可集居点外延2</w:t>
            </w:r>
            <w:r>
              <w:rPr>
                <w:rFonts w:eastAsiaTheme="minorEastAsia"/>
                <w:sz w:val="21"/>
                <w:szCs w:val="21"/>
              </w:rPr>
              <w:t>00m</w:t>
            </w:r>
            <w:r>
              <w:rPr>
                <w:rFonts w:hint="eastAsia" w:eastAsiaTheme="minorEastAsia"/>
                <w:sz w:val="21"/>
                <w:szCs w:val="21"/>
              </w:rPr>
              <w:t>范围内；</w:t>
            </w:r>
          </w:p>
          <w:p>
            <w:pPr>
              <w:spacing w:line="240" w:lineRule="auto"/>
              <w:jc w:val="left"/>
              <w:rPr>
                <w:rFonts w:eastAsiaTheme="minorEastAsia"/>
                <w:sz w:val="21"/>
                <w:szCs w:val="21"/>
              </w:rPr>
            </w:pPr>
            <w:r>
              <w:rPr>
                <w:rFonts w:eastAsiaTheme="minorEastAsia"/>
                <w:sz w:val="21"/>
                <w:szCs w:val="21"/>
              </w:rPr>
              <w:t>2、项目不在集中式饮用水源保护区外延300m范围内；</w:t>
            </w:r>
          </w:p>
          <w:p>
            <w:pPr>
              <w:spacing w:line="240" w:lineRule="auto"/>
              <w:jc w:val="left"/>
              <w:rPr>
                <w:rFonts w:eastAsiaTheme="minorEastAsia"/>
                <w:sz w:val="21"/>
                <w:szCs w:val="21"/>
              </w:rPr>
            </w:pPr>
            <w:r>
              <w:rPr>
                <w:rFonts w:eastAsiaTheme="minorEastAsia"/>
                <w:sz w:val="21"/>
                <w:szCs w:val="21"/>
              </w:rPr>
              <w:t>3、项目不在茫溪河干流两岸纵深外延500m范围内的区域及其主要支流两岸纵深外延300m范围内的区域</w:t>
            </w:r>
            <w:r>
              <w:rPr>
                <w:rFonts w:hint="eastAsia" w:eastAsiaTheme="minorEastAsia"/>
                <w:sz w:val="21"/>
                <w:szCs w:val="21"/>
              </w:rPr>
              <w:t>。</w:t>
            </w:r>
          </w:p>
          <w:p>
            <w:pPr>
              <w:spacing w:line="240" w:lineRule="auto"/>
              <w:jc w:val="left"/>
              <w:rPr>
                <w:rFonts w:eastAsiaTheme="minorEastAsia"/>
                <w:sz w:val="21"/>
                <w:szCs w:val="21"/>
              </w:rPr>
            </w:pPr>
            <w:r>
              <w:rPr>
                <w:rFonts w:eastAsiaTheme="minorEastAsia"/>
                <w:sz w:val="21"/>
                <w:szCs w:val="21"/>
              </w:rPr>
              <w:t>4、不在工业集中区划定区域外延200m范围内的区域；</w:t>
            </w:r>
          </w:p>
          <w:p>
            <w:pPr>
              <w:spacing w:line="240" w:lineRule="auto"/>
              <w:jc w:val="left"/>
              <w:rPr>
                <w:rFonts w:eastAsiaTheme="minorEastAsia"/>
                <w:sz w:val="21"/>
                <w:szCs w:val="21"/>
              </w:rPr>
            </w:pPr>
            <w:r>
              <w:rPr>
                <w:rFonts w:eastAsiaTheme="minorEastAsia"/>
                <w:sz w:val="21"/>
                <w:szCs w:val="21"/>
              </w:rPr>
              <w:t>5、不在通乡公路以上主要交通干线200m范围内的区域；</w:t>
            </w:r>
          </w:p>
          <w:p>
            <w:pPr>
              <w:spacing w:line="240" w:lineRule="auto"/>
              <w:jc w:val="left"/>
              <w:rPr>
                <w:rFonts w:eastAsiaTheme="minorEastAsia"/>
                <w:sz w:val="21"/>
                <w:szCs w:val="21"/>
              </w:rPr>
            </w:pPr>
            <w:r>
              <w:rPr>
                <w:rFonts w:eastAsiaTheme="minorEastAsia"/>
                <w:sz w:val="21"/>
                <w:szCs w:val="21"/>
              </w:rPr>
              <w:t>6、未在当地限制养殖区域；</w:t>
            </w:r>
          </w:p>
          <w:p>
            <w:pPr>
              <w:spacing w:line="240" w:lineRule="auto"/>
              <w:jc w:val="left"/>
              <w:rPr>
                <w:rFonts w:eastAsiaTheme="minorEastAsia"/>
                <w:sz w:val="21"/>
                <w:szCs w:val="21"/>
              </w:rPr>
            </w:pPr>
            <w:r>
              <w:rPr>
                <w:rFonts w:eastAsiaTheme="minorEastAsia"/>
                <w:sz w:val="21"/>
                <w:szCs w:val="21"/>
              </w:rPr>
              <w:t>7、不在法律法规规定的其他限养区域。</w:t>
            </w:r>
          </w:p>
        </w:tc>
        <w:tc>
          <w:tcPr>
            <w:tcW w:w="910" w:type="dxa"/>
            <w:tcBorders>
              <w:tl2br w:val="nil"/>
              <w:tr2bl w:val="nil"/>
            </w:tcBorders>
            <w:vAlign w:val="center"/>
          </w:tcPr>
          <w:p>
            <w:pPr>
              <w:spacing w:line="240" w:lineRule="auto"/>
              <w:jc w:val="left"/>
              <w:rPr>
                <w:rFonts w:eastAsiaTheme="minorEastAsia"/>
                <w:sz w:val="21"/>
                <w:szCs w:val="21"/>
                <w:highlight w:val="yellow"/>
              </w:rPr>
            </w:pPr>
            <w:r>
              <w:rPr>
                <w:rFonts w:eastAsiaTheme="minorEastAsia"/>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20" w:type="dxa"/>
            <w:tcBorders>
              <w:tl2br w:val="nil"/>
              <w:tr2bl w:val="nil"/>
            </w:tcBorders>
            <w:vAlign w:val="center"/>
          </w:tcPr>
          <w:p>
            <w:pPr>
              <w:pStyle w:val="192"/>
              <w:spacing w:line="240" w:lineRule="auto"/>
              <w:ind w:firstLine="0" w:firstLineChars="0"/>
              <w:jc w:val="left"/>
              <w:rPr>
                <w:rFonts w:eastAsiaTheme="minorEastAsia"/>
                <w:b/>
                <w:sz w:val="21"/>
                <w:szCs w:val="21"/>
              </w:rPr>
            </w:pPr>
            <w:r>
              <w:rPr>
                <w:rFonts w:hint="eastAsia" w:eastAsiaTheme="minorEastAsia"/>
                <w:b/>
                <w:sz w:val="21"/>
                <w:szCs w:val="21"/>
              </w:rPr>
              <w:t>畜禽养殖宜养区范围：</w:t>
            </w:r>
            <w:r>
              <w:rPr>
                <w:rFonts w:hint="eastAsia" w:eastAsiaTheme="minorEastAsia"/>
                <w:sz w:val="21"/>
                <w:szCs w:val="21"/>
              </w:rPr>
              <w:t>本县行政区域内在禁养区、限养区外，符合本县农业发展规划和土地利用总体规划的区域为宜养区。在宜养区内新建、改建、扩建畜禽养殖场（小区）应当符合产业发展政策和当地环境承载量要求，并合理布局，完善相关手续，进行标准化养殖。</w:t>
            </w:r>
          </w:p>
        </w:tc>
        <w:tc>
          <w:tcPr>
            <w:tcW w:w="3057" w:type="dxa"/>
            <w:tcBorders>
              <w:tl2br w:val="nil"/>
              <w:tr2bl w:val="nil"/>
            </w:tcBorders>
            <w:vAlign w:val="center"/>
          </w:tcPr>
          <w:p>
            <w:pPr>
              <w:spacing w:line="240" w:lineRule="auto"/>
              <w:jc w:val="center"/>
              <w:rPr>
                <w:rFonts w:eastAsiaTheme="minorEastAsia"/>
                <w:sz w:val="21"/>
                <w:szCs w:val="21"/>
              </w:rPr>
            </w:pPr>
            <w:r>
              <w:rPr>
                <w:rFonts w:hint="eastAsia" w:eastAsiaTheme="minorEastAsia"/>
                <w:sz w:val="21"/>
                <w:szCs w:val="21"/>
              </w:rPr>
              <w:t>本项目在宜养区范围内，符合产业发展政策和当地环境承载要求，合理布局，完善相关手续，进行标准化养殖</w:t>
            </w:r>
          </w:p>
        </w:tc>
        <w:tc>
          <w:tcPr>
            <w:tcW w:w="910" w:type="dxa"/>
            <w:tcBorders>
              <w:tl2br w:val="nil"/>
              <w:tr2bl w:val="nil"/>
            </w:tcBorders>
            <w:vAlign w:val="center"/>
          </w:tcPr>
          <w:p>
            <w:pPr>
              <w:spacing w:line="240" w:lineRule="auto"/>
              <w:jc w:val="center"/>
              <w:rPr>
                <w:rFonts w:eastAsiaTheme="minorEastAsia"/>
                <w:sz w:val="21"/>
                <w:szCs w:val="21"/>
              </w:rPr>
            </w:pPr>
            <w:r>
              <w:rPr>
                <w:rFonts w:hint="eastAsia" w:eastAsiaTheme="minorEastAsia"/>
                <w:sz w:val="21"/>
                <w:szCs w:val="21"/>
              </w:rPr>
              <w:t>符合</w:t>
            </w:r>
          </w:p>
        </w:tc>
      </w:tr>
    </w:tbl>
    <w:p>
      <w:pPr>
        <w:pStyle w:val="320"/>
        <w:snapToGrid w:val="0"/>
        <w:spacing w:before="0" w:line="240" w:lineRule="auto"/>
        <w:ind w:firstLine="480"/>
        <w:rPr>
          <w:rFonts w:ascii="Times New Roman" w:hAnsi="Times New Roman"/>
          <w:color w:val="FF0000"/>
        </w:rPr>
      </w:pP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197" w:name="_Toc29110555"/>
      <w:r>
        <w:rPr>
          <w:rFonts w:ascii="Times New Roman" w:hAnsi="Times New Roman" w:eastAsia="黑体" w:cs="Times New Roman"/>
          <w:b w:val="0"/>
          <w:bCs/>
          <w:spacing w:val="4"/>
          <w:kern w:val="2"/>
          <w:sz w:val="32"/>
          <w:szCs w:val="32"/>
        </w:rPr>
        <w:t>2.5项目建设与“三线一单”符合性分析</w:t>
      </w:r>
      <w:bookmarkEnd w:id="197"/>
    </w:p>
    <w:p>
      <w:pPr>
        <w:ind w:firstLine="480" w:firstLineChars="200"/>
        <w:contextualSpacing/>
      </w:pPr>
      <w:r>
        <w:t>根据环保部发布的《关于以改善环境质量为核心的加强环境影响评价管理的通知》（以下简称通知），《通知》要求切实加强环境影响评价管理，落实“生态保护红线、环境质量底线、资源利用上线和环境准入负面清单”约束，建立项目环境审批与规划环评，现有项目环境管理、区域环境质量联动机制，更好地发挥环评制度从源头防范环境污染与生态破坏的作用，加快推进改善环境质量。</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.5.1</w:t>
      </w:r>
      <w:r>
        <w:rPr>
          <w:rFonts w:hint="eastAsia" w:eastAsia="黑体"/>
          <w:bCs/>
          <w:sz w:val="28"/>
          <w:szCs w:val="28"/>
        </w:rPr>
        <w:t>生态保护红线符合性分析</w:t>
      </w:r>
    </w:p>
    <w:p>
      <w:pPr>
        <w:ind w:firstLine="480" w:firstLineChars="200"/>
        <w:contextualSpacing/>
      </w:pPr>
      <w:r>
        <w:t>生态保护红线是指依法在重点生态功能区，生态环境敏感区和脆弱区等区域划定严格的管控边界，是国家和区域生态安全的底线，对于维护生态安全格局、保障生态服务功能、支撑经济社会可持续发展具有重要作用。根据《四川省生态保护红线实施意见》（川府发【2016】45号）（以下简称实施意见）），《实施意见》对全省各市区的生态保护红线进行了划定。</w:t>
      </w:r>
    </w:p>
    <w:p>
      <w:pPr>
        <w:adjustRightInd w:val="0"/>
        <w:snapToGrid w:val="0"/>
        <w:ind w:firstLine="480"/>
        <w:rPr>
          <w:szCs w:val="20"/>
        </w:rPr>
      </w:pPr>
      <w:r>
        <w:rPr>
          <w:rFonts w:hAnsi="宋体"/>
          <w:szCs w:val="20"/>
        </w:rPr>
        <w:t>根据《四川省人民政府关于印发四川省生态保护红线方案的通知》（川府发</w:t>
      </w:r>
      <w:r>
        <w:rPr>
          <w:szCs w:val="20"/>
        </w:rPr>
        <w:t>〔2018〕24</w:t>
      </w:r>
      <w:r>
        <w:rPr>
          <w:rFonts w:hAnsi="宋体"/>
          <w:szCs w:val="20"/>
        </w:rPr>
        <w:t>号），划分情况如下：</w:t>
      </w:r>
    </w:p>
    <w:p>
      <w:pPr>
        <w:adjustRightInd w:val="0"/>
        <w:snapToGrid w:val="0"/>
        <w:ind w:firstLine="480"/>
        <w:rPr>
          <w:szCs w:val="20"/>
        </w:rPr>
      </w:pPr>
      <w:r>
        <w:rPr>
          <w:szCs w:val="20"/>
        </w:rPr>
        <w:t>“4</w:t>
      </w:r>
      <w:r>
        <w:rPr>
          <w:rFonts w:hAnsi="宋体"/>
          <w:szCs w:val="20"/>
        </w:rPr>
        <w:t>个重点区域分别为：若尔盖草原湿地生态功能区、川滇森林及生物多样性生态功能区、秦巴生物多样性生态功能区、大小凉山水土保持及生物多样性生态功能区。</w:t>
      </w:r>
      <w:r>
        <w:rPr>
          <w:szCs w:val="20"/>
        </w:rPr>
        <w:t>”</w:t>
      </w:r>
    </w:p>
    <w:p>
      <w:pPr>
        <w:adjustRightInd w:val="0"/>
        <w:snapToGrid w:val="0"/>
        <w:ind w:firstLine="480"/>
        <w:rPr>
          <w:szCs w:val="20"/>
        </w:rPr>
      </w:pPr>
      <w:r>
        <w:rPr>
          <w:szCs w:val="20"/>
        </w:rPr>
        <w:t>“13</w:t>
      </w:r>
      <w:r>
        <w:rPr>
          <w:rFonts w:hAnsi="宋体"/>
          <w:szCs w:val="20"/>
        </w:rPr>
        <w:t>个区块分别为：雅砻江源水源涵养生态保护红线、大渡河源水源涵养生态保护红线、若尔盖湿地水源涵养</w:t>
      </w:r>
      <w:r>
        <w:rPr>
          <w:szCs w:val="20"/>
        </w:rPr>
        <w:t>—</w:t>
      </w:r>
      <w:r>
        <w:rPr>
          <w:rFonts w:hAnsi="宋体"/>
          <w:szCs w:val="20"/>
        </w:rPr>
        <w:t>生物多样性维护生态保护红线、沙鲁里山生物多样性维护生态保护红线、大雪山生物多样性维护</w:t>
      </w:r>
      <w:r>
        <w:rPr>
          <w:szCs w:val="20"/>
        </w:rPr>
        <w:t>—</w:t>
      </w:r>
      <w:r>
        <w:rPr>
          <w:rFonts w:hAnsi="宋体"/>
          <w:szCs w:val="20"/>
        </w:rPr>
        <w:t>水土保持生态保护红线、岷山生物多样性维护</w:t>
      </w:r>
      <w:r>
        <w:rPr>
          <w:szCs w:val="20"/>
        </w:rPr>
        <w:t>—</w:t>
      </w:r>
      <w:r>
        <w:rPr>
          <w:rFonts w:hAnsi="宋体"/>
          <w:szCs w:val="20"/>
        </w:rPr>
        <w:t>水源涵养生态保护红线、邛崃山生物多样性维护生态保护红线、凉山</w:t>
      </w:r>
      <w:r>
        <w:rPr>
          <w:szCs w:val="20"/>
        </w:rPr>
        <w:t>—</w:t>
      </w:r>
      <w:r>
        <w:rPr>
          <w:rFonts w:hAnsi="宋体"/>
          <w:szCs w:val="20"/>
        </w:rPr>
        <w:t>相岭生物多样性维护</w:t>
      </w:r>
      <w:r>
        <w:rPr>
          <w:szCs w:val="20"/>
        </w:rPr>
        <w:t>—</w:t>
      </w:r>
      <w:r>
        <w:rPr>
          <w:rFonts w:hAnsi="宋体"/>
          <w:szCs w:val="20"/>
        </w:rPr>
        <w:t>水土保持生态保护红线、锦屏山水源涵养</w:t>
      </w:r>
      <w:r>
        <w:rPr>
          <w:szCs w:val="20"/>
        </w:rPr>
        <w:t>—</w:t>
      </w:r>
      <w:r>
        <w:rPr>
          <w:rFonts w:hAnsi="宋体"/>
          <w:szCs w:val="20"/>
        </w:rPr>
        <w:t>水土保持生态保护红线、金沙江下游干热河谷水土流失敏感生态保护红线、大巴山生物多样性维护</w:t>
      </w:r>
      <w:r>
        <w:rPr>
          <w:szCs w:val="20"/>
        </w:rPr>
        <w:t>—</w:t>
      </w:r>
      <w:r>
        <w:rPr>
          <w:rFonts w:hAnsi="宋体"/>
          <w:szCs w:val="20"/>
        </w:rPr>
        <w:t>水源涵养生态保护红线、川东南石漠化敏感生态保护红线和盆中城市饮用水源</w:t>
      </w:r>
      <w:r>
        <w:rPr>
          <w:szCs w:val="20"/>
        </w:rPr>
        <w:t>—</w:t>
      </w:r>
      <w:r>
        <w:rPr>
          <w:rFonts w:hAnsi="宋体"/>
          <w:szCs w:val="20"/>
        </w:rPr>
        <w:t>水土保持生态保护红线。</w:t>
      </w:r>
      <w:r>
        <w:rPr>
          <w:szCs w:val="20"/>
        </w:rPr>
        <w:t>”</w:t>
      </w:r>
    </w:p>
    <w:p>
      <w:pPr>
        <w:adjustRightInd w:val="0"/>
        <w:snapToGrid w:val="0"/>
        <w:ind w:firstLine="480"/>
        <w:rPr>
          <w:szCs w:val="20"/>
        </w:rPr>
      </w:pPr>
      <w:r>
        <w:t>本项目位于井研县高凤乡星星亮村</w:t>
      </w:r>
      <w:r>
        <w:rPr>
          <w:rFonts w:hint="eastAsia"/>
        </w:rPr>
        <w:t>，</w:t>
      </w:r>
      <w:r>
        <w:rPr>
          <w:rFonts w:hint="eastAsia"/>
          <w:szCs w:val="20"/>
        </w:rPr>
        <w:t>不</w:t>
      </w:r>
      <w:r>
        <w:rPr>
          <w:szCs w:val="20"/>
        </w:rPr>
        <w:t>在上述生态保护红线范围内。因此，本项目的建设是符合生态保护红线要求的。</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.5.2</w:t>
      </w:r>
      <w:r>
        <w:rPr>
          <w:rFonts w:hint="eastAsia" w:eastAsia="黑体"/>
          <w:bCs/>
          <w:sz w:val="28"/>
          <w:szCs w:val="28"/>
        </w:rPr>
        <w:t>环境质量底线符合性分析</w:t>
      </w:r>
    </w:p>
    <w:p>
      <w:pPr>
        <w:adjustRightInd w:val="0"/>
        <w:snapToGrid w:val="0"/>
        <w:ind w:firstLine="480"/>
        <w:rPr>
          <w:szCs w:val="20"/>
        </w:rPr>
      </w:pPr>
      <w:r>
        <w:rPr>
          <w:rFonts w:hAnsi="宋体"/>
          <w:szCs w:val="20"/>
        </w:rPr>
        <w:t>根据对当地大气、地表水和噪声监测结果可知，项目所在区域环境质量功能区划及达标情况对比</w:t>
      </w:r>
      <w:r>
        <w:rPr>
          <w:rFonts w:hint="eastAsia" w:hAnsi="宋体"/>
          <w:szCs w:val="20"/>
        </w:rPr>
        <w:t>结果见表</w:t>
      </w:r>
      <w:r>
        <w:rPr>
          <w:rFonts w:hAnsi="宋体"/>
          <w:szCs w:val="20"/>
        </w:rPr>
        <w:t>2.5-1：</w:t>
      </w:r>
    </w:p>
    <w:p>
      <w:pPr>
        <w:adjustRightInd w:val="0"/>
        <w:snapToGrid w:val="0"/>
        <w:spacing w:line="240" w:lineRule="auto"/>
        <w:jc w:val="center"/>
        <w:rPr>
          <w:rFonts w:eastAsia="黑体"/>
          <w:szCs w:val="20"/>
        </w:rPr>
      </w:pPr>
      <w:r>
        <w:rPr>
          <w:rFonts w:eastAsia="黑体"/>
          <w:szCs w:val="20"/>
        </w:rPr>
        <w:t>表2.5-1</w:t>
      </w:r>
      <w:r>
        <w:rPr>
          <w:rFonts w:hint="eastAsia" w:eastAsia="黑体"/>
          <w:szCs w:val="20"/>
        </w:rPr>
        <w:t xml:space="preserve">  </w:t>
      </w:r>
      <w:r>
        <w:rPr>
          <w:rFonts w:eastAsia="黑体"/>
          <w:szCs w:val="20"/>
        </w:rPr>
        <w:t>项目区域环境质量底线符合性对照一览表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95"/>
        <w:gridCol w:w="3097"/>
        <w:gridCol w:w="30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00" w:type="dxa"/>
            <w:vAlign w:val="center"/>
          </w:tcPr>
          <w:p>
            <w:pPr>
              <w:adjustRightInd w:val="0"/>
              <w:snapToGrid w:val="0"/>
              <w:spacing w:line="240" w:lineRule="auto"/>
              <w:jc w:val="center"/>
              <w:rPr>
                <w:b/>
                <w:sz w:val="21"/>
                <w:szCs w:val="21"/>
              </w:rPr>
            </w:pPr>
            <w:r>
              <w:rPr>
                <w:rFonts w:hAnsi="宋体"/>
                <w:b/>
                <w:sz w:val="21"/>
                <w:szCs w:val="21"/>
              </w:rPr>
              <w:t>环境要素</w:t>
            </w:r>
          </w:p>
        </w:tc>
        <w:tc>
          <w:tcPr>
            <w:tcW w:w="3002" w:type="dxa"/>
            <w:vAlign w:val="center"/>
          </w:tcPr>
          <w:p>
            <w:pPr>
              <w:adjustRightInd w:val="0"/>
              <w:snapToGrid w:val="0"/>
              <w:spacing w:line="240" w:lineRule="auto"/>
              <w:jc w:val="center"/>
              <w:rPr>
                <w:b/>
                <w:sz w:val="21"/>
                <w:szCs w:val="21"/>
              </w:rPr>
            </w:pPr>
            <w:r>
              <w:rPr>
                <w:rFonts w:hAnsi="宋体"/>
                <w:b/>
                <w:sz w:val="21"/>
                <w:szCs w:val="21"/>
              </w:rPr>
              <w:t>功能区划要求</w:t>
            </w:r>
          </w:p>
        </w:tc>
        <w:tc>
          <w:tcPr>
            <w:tcW w:w="3000" w:type="dxa"/>
            <w:vAlign w:val="center"/>
          </w:tcPr>
          <w:p>
            <w:pPr>
              <w:adjustRightInd w:val="0"/>
              <w:snapToGrid w:val="0"/>
              <w:spacing w:line="240" w:lineRule="auto"/>
              <w:jc w:val="center"/>
              <w:rPr>
                <w:b/>
                <w:sz w:val="21"/>
                <w:szCs w:val="21"/>
              </w:rPr>
            </w:pPr>
            <w:r>
              <w:rPr>
                <w:rFonts w:hAnsi="宋体"/>
                <w:b/>
                <w:sz w:val="21"/>
                <w:szCs w:val="21"/>
              </w:rPr>
              <w:t>是否符合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00" w:type="dxa"/>
            <w:vAlign w:val="center"/>
          </w:tcPr>
          <w:p>
            <w:pPr>
              <w:adjustRightInd w:val="0"/>
              <w:snapToGrid w:val="0"/>
              <w:spacing w:line="240" w:lineRule="auto"/>
              <w:jc w:val="center"/>
              <w:rPr>
                <w:sz w:val="21"/>
                <w:szCs w:val="21"/>
              </w:rPr>
            </w:pPr>
            <w:r>
              <w:rPr>
                <w:rFonts w:hAnsi="宋体"/>
                <w:sz w:val="21"/>
                <w:szCs w:val="21"/>
              </w:rPr>
              <w:t>环境空气</w:t>
            </w:r>
          </w:p>
        </w:tc>
        <w:tc>
          <w:tcPr>
            <w:tcW w:w="3002" w:type="dxa"/>
            <w:vAlign w:val="center"/>
          </w:tcPr>
          <w:p>
            <w:pPr>
              <w:adjustRightInd w:val="0"/>
              <w:snapToGrid w:val="0"/>
              <w:spacing w:line="240" w:lineRule="auto"/>
              <w:jc w:val="center"/>
              <w:rPr>
                <w:sz w:val="21"/>
                <w:szCs w:val="21"/>
              </w:rPr>
            </w:pPr>
            <w:r>
              <w:rPr>
                <w:rFonts w:hAnsi="宋体"/>
                <w:sz w:val="21"/>
                <w:szCs w:val="21"/>
              </w:rPr>
              <w:t>二类</w:t>
            </w:r>
          </w:p>
        </w:tc>
        <w:tc>
          <w:tcPr>
            <w:tcW w:w="3000" w:type="dxa"/>
            <w:vAlign w:val="center"/>
          </w:tcPr>
          <w:p>
            <w:pPr>
              <w:adjustRightInd w:val="0"/>
              <w:snapToGrid w:val="0"/>
              <w:spacing w:line="240" w:lineRule="auto"/>
              <w:jc w:val="center"/>
              <w:rPr>
                <w:sz w:val="21"/>
                <w:szCs w:val="21"/>
                <w:highlight w:val="yellow"/>
              </w:rPr>
            </w:pPr>
            <w:r>
              <w:rPr>
                <w:rFonts w:hint="eastAsia" w:hAnsi="宋体"/>
                <w:sz w:val="21"/>
                <w:szCs w:val="21"/>
              </w:rPr>
              <w:t>不</w:t>
            </w:r>
            <w:r>
              <w:rPr>
                <w:rFonts w:hAnsi="宋体"/>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00" w:type="dxa"/>
            <w:vAlign w:val="center"/>
          </w:tcPr>
          <w:p>
            <w:pPr>
              <w:adjustRightInd w:val="0"/>
              <w:snapToGrid w:val="0"/>
              <w:spacing w:line="240" w:lineRule="auto"/>
              <w:jc w:val="center"/>
              <w:rPr>
                <w:sz w:val="21"/>
                <w:szCs w:val="21"/>
              </w:rPr>
            </w:pPr>
            <w:r>
              <w:rPr>
                <w:rFonts w:hAnsi="宋体"/>
                <w:sz w:val="21"/>
                <w:szCs w:val="21"/>
              </w:rPr>
              <w:t>地表水环境</w:t>
            </w:r>
          </w:p>
        </w:tc>
        <w:tc>
          <w:tcPr>
            <w:tcW w:w="3002" w:type="dxa"/>
            <w:vAlign w:val="center"/>
          </w:tcPr>
          <w:p>
            <w:pPr>
              <w:adjustRightInd w:val="0"/>
              <w:snapToGrid w:val="0"/>
              <w:spacing w:line="240" w:lineRule="auto"/>
              <w:jc w:val="center"/>
              <w:rPr>
                <w:sz w:val="21"/>
                <w:szCs w:val="21"/>
              </w:rPr>
            </w:pPr>
            <w:r>
              <w:rPr>
                <w:rFonts w:ascii="宋体" w:hAnsi="宋体"/>
                <w:sz w:val="21"/>
                <w:szCs w:val="21"/>
              </w:rPr>
              <w:t>Ⅲ</w:t>
            </w:r>
            <w:r>
              <w:rPr>
                <w:rFonts w:hAnsi="宋体"/>
                <w:sz w:val="21"/>
                <w:szCs w:val="21"/>
              </w:rPr>
              <w:t>类</w:t>
            </w:r>
          </w:p>
        </w:tc>
        <w:tc>
          <w:tcPr>
            <w:tcW w:w="3000" w:type="dxa"/>
            <w:vAlign w:val="center"/>
          </w:tcPr>
          <w:p>
            <w:pPr>
              <w:adjustRightInd w:val="0"/>
              <w:snapToGrid w:val="0"/>
              <w:spacing w:line="240" w:lineRule="auto"/>
              <w:jc w:val="center"/>
              <w:rPr>
                <w:sz w:val="21"/>
                <w:szCs w:val="21"/>
                <w:highlight w:val="yellow"/>
              </w:rPr>
            </w:pPr>
            <w:r>
              <w:rPr>
                <w:rFonts w:hAnsi="宋体"/>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00" w:type="dxa"/>
            <w:vAlign w:val="center"/>
          </w:tcPr>
          <w:p>
            <w:pPr>
              <w:adjustRightInd w:val="0"/>
              <w:snapToGrid w:val="0"/>
              <w:spacing w:line="240" w:lineRule="auto"/>
              <w:jc w:val="center"/>
              <w:rPr>
                <w:sz w:val="21"/>
                <w:szCs w:val="21"/>
              </w:rPr>
            </w:pPr>
            <w:r>
              <w:rPr>
                <w:rFonts w:hAnsi="宋体"/>
                <w:sz w:val="21"/>
                <w:szCs w:val="21"/>
              </w:rPr>
              <w:t>声环境</w:t>
            </w:r>
          </w:p>
        </w:tc>
        <w:tc>
          <w:tcPr>
            <w:tcW w:w="3002" w:type="dxa"/>
            <w:vAlign w:val="center"/>
          </w:tcPr>
          <w:p>
            <w:pPr>
              <w:adjustRightInd w:val="0"/>
              <w:snapToGrid w:val="0"/>
              <w:spacing w:line="240" w:lineRule="auto"/>
              <w:jc w:val="center"/>
              <w:rPr>
                <w:sz w:val="21"/>
                <w:szCs w:val="21"/>
              </w:rPr>
            </w:pPr>
            <w:r>
              <w:rPr>
                <w:sz w:val="21"/>
                <w:szCs w:val="21"/>
              </w:rPr>
              <w:t>2</w:t>
            </w:r>
            <w:r>
              <w:rPr>
                <w:rFonts w:hAnsi="宋体"/>
                <w:sz w:val="21"/>
                <w:szCs w:val="21"/>
              </w:rPr>
              <w:t>类</w:t>
            </w:r>
          </w:p>
        </w:tc>
        <w:tc>
          <w:tcPr>
            <w:tcW w:w="3000" w:type="dxa"/>
            <w:vAlign w:val="center"/>
          </w:tcPr>
          <w:p>
            <w:pPr>
              <w:adjustRightInd w:val="0"/>
              <w:snapToGrid w:val="0"/>
              <w:spacing w:line="240" w:lineRule="auto"/>
              <w:jc w:val="center"/>
              <w:rPr>
                <w:sz w:val="21"/>
                <w:szCs w:val="21"/>
                <w:highlight w:val="yellow"/>
              </w:rPr>
            </w:pPr>
            <w:r>
              <w:rPr>
                <w:rFonts w:hAnsi="宋体"/>
                <w:sz w:val="21"/>
                <w:szCs w:val="21"/>
              </w:rPr>
              <w:t>符合</w:t>
            </w:r>
          </w:p>
        </w:tc>
      </w:tr>
    </w:tbl>
    <w:p>
      <w:pPr>
        <w:adjustRightInd w:val="0"/>
        <w:snapToGrid w:val="0"/>
        <w:ind w:firstLine="480"/>
      </w:pPr>
      <w:r>
        <w:rPr>
          <w:rFonts w:hAnsi="宋体"/>
          <w:szCs w:val="20"/>
        </w:rPr>
        <w:t>由</w:t>
      </w:r>
      <w:r>
        <w:rPr>
          <w:rFonts w:hint="eastAsia" w:hAnsi="宋体"/>
          <w:szCs w:val="20"/>
        </w:rPr>
        <w:t>表</w:t>
      </w:r>
      <w:r>
        <w:rPr>
          <w:rFonts w:hAnsi="宋体"/>
          <w:szCs w:val="20"/>
        </w:rPr>
        <w:t>2.5-1比较可知，地表水环境满足《地表水环境质量标准》</w:t>
      </w:r>
      <w:r>
        <w:rPr>
          <w:szCs w:val="20"/>
        </w:rPr>
        <w:t>（GB3838-2002）III</w:t>
      </w:r>
      <w:r>
        <w:rPr>
          <w:rFonts w:hAnsi="宋体"/>
          <w:szCs w:val="20"/>
        </w:rPr>
        <w:t>类标准要求</w:t>
      </w:r>
      <w:r>
        <w:rPr>
          <w:rFonts w:hint="eastAsia" w:hAnsi="宋体"/>
          <w:szCs w:val="20"/>
        </w:rPr>
        <w:t>；声环境满足《声环境质量标准》（3</w:t>
      </w:r>
      <w:r>
        <w:rPr>
          <w:rFonts w:hAnsi="宋体"/>
          <w:szCs w:val="20"/>
        </w:rPr>
        <w:t>096</w:t>
      </w:r>
      <w:r>
        <w:rPr>
          <w:rFonts w:hint="eastAsia" w:hAnsi="宋体"/>
          <w:szCs w:val="20"/>
        </w:rPr>
        <w:t>-</w:t>
      </w:r>
      <w:r>
        <w:rPr>
          <w:rFonts w:hAnsi="宋体"/>
          <w:szCs w:val="20"/>
        </w:rPr>
        <w:t>2008</w:t>
      </w:r>
      <w:r>
        <w:rPr>
          <w:rFonts w:hint="eastAsia" w:hAnsi="宋体"/>
          <w:szCs w:val="20"/>
        </w:rPr>
        <w:t>）</w:t>
      </w:r>
      <w:r>
        <w:rPr>
          <w:rFonts w:hAnsi="宋体"/>
          <w:szCs w:val="20"/>
        </w:rPr>
        <w:t>2</w:t>
      </w:r>
      <w:r>
        <w:rPr>
          <w:rFonts w:hint="eastAsia" w:hAnsi="宋体"/>
          <w:szCs w:val="20"/>
        </w:rPr>
        <w:t>类标准，但环境空气不满足二类区环境质量标准，目前井研县已制定了</w:t>
      </w:r>
      <w:r>
        <w:rPr>
          <w:rFonts w:hint="eastAsia"/>
        </w:rPr>
        <w:t>《井研县空气质量达标规划</w:t>
      </w:r>
      <w:r>
        <w:t>（201</w:t>
      </w:r>
      <w:r>
        <w:rPr>
          <w:rFonts w:hint="eastAsia"/>
        </w:rPr>
        <w:t>7</w:t>
      </w:r>
      <w:r>
        <w:t>~2025）</w:t>
      </w:r>
      <w:r>
        <w:rPr>
          <w:rFonts w:hint="eastAsia"/>
        </w:rPr>
        <w:t>》，将在规划期间内环境空气质量全面达标。</w:t>
      </w:r>
    </w:p>
    <w:p>
      <w:pPr>
        <w:adjustRightInd w:val="0"/>
        <w:snapToGrid w:val="0"/>
        <w:ind w:firstLine="480"/>
        <w:rPr>
          <w:rFonts w:hAnsi="宋体"/>
          <w:szCs w:val="20"/>
        </w:rPr>
      </w:pPr>
      <w:r>
        <w:rPr>
          <w:rFonts w:hAnsi="宋体"/>
          <w:szCs w:val="20"/>
        </w:rPr>
        <w:t>因此，本项目符合环境质量底线管理要求。</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.5.3</w:t>
      </w:r>
      <w:r>
        <w:rPr>
          <w:rFonts w:hint="eastAsia" w:eastAsia="黑体"/>
          <w:bCs/>
          <w:sz w:val="28"/>
          <w:szCs w:val="28"/>
        </w:rPr>
        <w:t>资源利用上线符合性分析</w:t>
      </w:r>
    </w:p>
    <w:p>
      <w:pPr>
        <w:snapToGrid w:val="0"/>
        <w:ind w:firstLine="480" w:firstLineChars="200"/>
      </w:pPr>
      <w:r>
        <w:t>资源是环境的载体，资源利用上线是各个地区能源、水源、土地等资源消耗不得突破的“天花板”。</w:t>
      </w:r>
    </w:p>
    <w:p>
      <w:pPr>
        <w:snapToGrid w:val="0"/>
        <w:ind w:right="89" w:rightChars="37" w:firstLine="480" w:firstLineChars="200"/>
      </w:pPr>
      <w:r>
        <w:t>本项目为</w:t>
      </w:r>
      <w:r>
        <w:rPr>
          <w:rFonts w:hint="eastAsia"/>
        </w:rPr>
        <w:t>生猪养殖</w:t>
      </w:r>
      <w:r>
        <w:t>，项目所使用的原辅材料有充足的来源，水电来源为</w:t>
      </w:r>
      <w:r>
        <w:rPr>
          <w:rFonts w:hint="eastAsia"/>
        </w:rPr>
        <w:t>水库供水</w:t>
      </w:r>
      <w:r>
        <w:t>、供电系统。本项目建设占地不涉及基本农田。水资源、土地资源利用以及能源消耗符合要求。本项目位于井研县高凤乡星星亮村，该用地属于</w:t>
      </w:r>
      <w:r>
        <w:rPr>
          <w:rFonts w:hint="eastAsia"/>
        </w:rPr>
        <w:t>农业</w:t>
      </w:r>
      <w:r>
        <w:t>用地，故项目未涉及资源利用上线。</w:t>
      </w:r>
    </w:p>
    <w:p>
      <w:pPr>
        <w:adjustRightInd w:val="0"/>
        <w:snapToGrid w:val="0"/>
        <w:jc w:val="left"/>
        <w:outlineLvl w:val="2"/>
        <w:rPr>
          <w:rFonts w:eastAsia="黑体"/>
          <w:bCs/>
          <w:sz w:val="28"/>
          <w:szCs w:val="28"/>
        </w:rPr>
      </w:pPr>
      <w:r>
        <w:rPr>
          <w:rFonts w:hint="eastAsia" w:eastAsia="黑体"/>
          <w:bCs/>
          <w:sz w:val="28"/>
          <w:szCs w:val="28"/>
        </w:rPr>
        <w:t>2</w:t>
      </w:r>
      <w:r>
        <w:rPr>
          <w:rFonts w:eastAsia="黑体"/>
          <w:bCs/>
          <w:sz w:val="28"/>
          <w:szCs w:val="28"/>
        </w:rPr>
        <w:t>.5.4</w:t>
      </w:r>
      <w:r>
        <w:rPr>
          <w:rFonts w:hint="eastAsia" w:eastAsia="黑体"/>
          <w:bCs/>
          <w:sz w:val="28"/>
          <w:szCs w:val="28"/>
        </w:rPr>
        <w:t>环境准入负面清单分析</w:t>
      </w:r>
    </w:p>
    <w:p>
      <w:pPr>
        <w:snapToGrid w:val="0"/>
        <w:ind w:right="89" w:rightChars="37" w:firstLine="480" w:firstLineChars="200"/>
      </w:pPr>
      <w:r>
        <w:t>本项目所在地没有拟定环境准入负面清单，本项目属于</w:t>
      </w:r>
      <w:r>
        <w:rPr>
          <w:rFonts w:hint="eastAsia"/>
        </w:rPr>
        <w:t>生猪养殖项目</w:t>
      </w:r>
      <w:r>
        <w:t>，不属于高污染、高能耗和资源型的产业类型。</w:t>
      </w:r>
    </w:p>
    <w:p>
      <w:pPr>
        <w:snapToGrid w:val="0"/>
        <w:ind w:right="89" w:rightChars="37" w:firstLine="480" w:firstLineChars="200"/>
        <w:jc w:val="left"/>
      </w:pPr>
      <w:r>
        <w:t>本次环评对照国家、地方及行业产业政策进行说明，与《产业结构调整指导目录（2011年修订）》相符性分析，</w:t>
      </w:r>
      <w:r>
        <w:rPr>
          <w:rFonts w:hint="eastAsia"/>
        </w:rPr>
        <w:t>根据国家发展与改革委员会2013年第21号令《产业结构调整指导目录（201</w:t>
      </w:r>
      <w:r>
        <w:t>9</w:t>
      </w:r>
      <w:r>
        <w:rPr>
          <w:rFonts w:hint="eastAsia"/>
        </w:rPr>
        <w:t>年本）》，本项目不属于鼓励类、限制类、禁止类，因此，本项目不在该功能区的负面清单内。</w:t>
      </w:r>
    </w:p>
    <w:p>
      <w:pPr>
        <w:adjustRightInd w:val="0"/>
        <w:snapToGrid w:val="0"/>
        <w:ind w:firstLine="480" w:firstLineChars="200"/>
        <w:jc w:val="left"/>
        <w:rPr>
          <w:rFonts w:cs="宋体"/>
          <w:lang w:bidi="ar"/>
        </w:rPr>
      </w:pPr>
      <w:r>
        <w:rPr>
          <w:szCs w:val="20"/>
          <w:lang w:bidi="ar"/>
        </w:rPr>
        <w:t>综上，经过与“三线一单”进行对照后，项目不在生态保护红线内、未超出</w:t>
      </w:r>
      <w:r>
        <w:rPr>
          <w:rFonts w:hint="eastAsia"/>
          <w:szCs w:val="20"/>
          <w:lang w:bidi="ar"/>
        </w:rPr>
        <w:t>噪声</w:t>
      </w:r>
      <w:r>
        <w:rPr>
          <w:szCs w:val="20"/>
          <w:lang w:bidi="ar"/>
        </w:rPr>
        <w:t>环境质量底线及资源利用上线、未列入环境准入负面清单内</w:t>
      </w:r>
      <w:r>
        <w:rPr>
          <w:rFonts w:hint="eastAsia"/>
          <w:szCs w:val="20"/>
          <w:lang w:bidi="ar"/>
        </w:rPr>
        <w:t>，环境空气和地表水环境质量一般</w:t>
      </w:r>
      <w:r>
        <w:rPr>
          <w:szCs w:val="20"/>
          <w:lang w:bidi="ar"/>
        </w:rPr>
        <w:t>。</w:t>
      </w: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198" w:name="_Toc29110556"/>
      <w:r>
        <w:rPr>
          <w:rFonts w:ascii="Times New Roman" w:hAnsi="Times New Roman" w:eastAsia="黑体" w:cs="Times New Roman"/>
          <w:b w:val="0"/>
          <w:bCs/>
          <w:spacing w:val="4"/>
          <w:kern w:val="2"/>
          <w:sz w:val="32"/>
          <w:szCs w:val="32"/>
        </w:rPr>
        <w:t>2.6 选址合理性分析</w:t>
      </w:r>
      <w:bookmarkEnd w:id="195"/>
      <w:bookmarkEnd w:id="196"/>
      <w:bookmarkEnd w:id="198"/>
    </w:p>
    <w:p>
      <w:pPr>
        <w:jc w:val="left"/>
        <w:outlineLvl w:val="2"/>
        <w:rPr>
          <w:rFonts w:eastAsia="黑体"/>
          <w:bCs/>
          <w:sz w:val="28"/>
          <w:szCs w:val="28"/>
        </w:rPr>
      </w:pPr>
      <w:bookmarkStart w:id="199" w:name="_Toc457480918"/>
      <w:bookmarkStart w:id="200" w:name="_Toc179923028"/>
      <w:bookmarkStart w:id="201" w:name="_Toc423336640"/>
      <w:r>
        <w:rPr>
          <w:rFonts w:eastAsia="黑体"/>
          <w:bCs/>
          <w:sz w:val="28"/>
          <w:szCs w:val="28"/>
        </w:rPr>
        <w:t>2.6.1场址外环境关系介绍</w:t>
      </w:r>
    </w:p>
    <w:p>
      <w:pPr>
        <w:adjustRightInd w:val="0"/>
        <w:snapToGrid w:val="0"/>
        <w:ind w:firstLine="480" w:firstLineChars="200"/>
      </w:pPr>
      <w:r>
        <w:t>根据现场勘查，本项目位于</w:t>
      </w:r>
      <w:r>
        <w:rPr>
          <w:rFonts w:hint="eastAsia"/>
        </w:rPr>
        <w:t>乐山市井研县</w:t>
      </w:r>
      <w:r>
        <w:t>高凤乡星星亮村，</w:t>
      </w:r>
      <w:r>
        <w:rPr>
          <w:rFonts w:hint="eastAsia"/>
        </w:rPr>
        <w:t>不属于城镇居民生活区内，项目</w:t>
      </w:r>
      <w:r>
        <w:t>猪舍和生活办公区域</w:t>
      </w:r>
      <w:r>
        <w:rPr>
          <w:rFonts w:hint="eastAsia"/>
        </w:rPr>
        <w:t>位于</w:t>
      </w:r>
      <w:r>
        <w:t>厂区</w:t>
      </w:r>
      <w:r>
        <w:rPr>
          <w:rFonts w:hint="eastAsia"/>
        </w:rPr>
        <w:t>东北部及中部</w:t>
      </w:r>
      <w:r>
        <w:t>，</w:t>
      </w:r>
      <w:r>
        <w:rPr>
          <w:rFonts w:hint="eastAsia"/>
        </w:rPr>
        <w:t>本项目已流转周边6</w:t>
      </w:r>
      <w:r>
        <w:t>89</w:t>
      </w:r>
      <w:r>
        <w:rPr>
          <w:rFonts w:hint="eastAsia"/>
        </w:rPr>
        <w:t>亩土地拟种植水稻、蔬菜、果树等，</w:t>
      </w:r>
      <w:r>
        <w:t>项目周边为农村环境，周边主要为耕地和农田，无其他工业企业，通过现场调查，</w:t>
      </w:r>
      <w:r>
        <w:rPr>
          <w:rFonts w:hint="eastAsia"/>
        </w:rPr>
        <w:t>企业流转土地中共由四个地块不属于基本农田，其余范围均为基本农田（共1</w:t>
      </w:r>
      <w:r>
        <w:t>29</w:t>
      </w:r>
      <w:r>
        <w:rPr>
          <w:rFonts w:hint="eastAsia"/>
        </w:rPr>
        <w:t>亩），考虑项目占地拆迁等工程量，建设单位拟利用其中3个地块（占地约8</w:t>
      </w:r>
      <w:r>
        <w:t>7</w:t>
      </w:r>
      <w:r>
        <w:rPr>
          <w:rFonts w:hint="eastAsia"/>
        </w:rPr>
        <w:t>亩），其中</w:t>
      </w:r>
      <w:r>
        <w:t>1#</w:t>
      </w:r>
      <w:r>
        <w:rPr>
          <w:rFonts w:hint="eastAsia"/>
        </w:rPr>
        <w:t>地块占地面积2</w:t>
      </w:r>
      <w:r>
        <w:t>6983.06m</w:t>
      </w:r>
      <w:r>
        <w:rPr>
          <w:vertAlign w:val="superscript"/>
        </w:rPr>
        <w:t>2</w:t>
      </w:r>
      <w:r>
        <w:rPr>
          <w:rFonts w:hint="eastAsia"/>
        </w:rPr>
        <w:t>、</w:t>
      </w:r>
      <w:r>
        <w:t>2#</w:t>
      </w:r>
      <w:r>
        <w:rPr>
          <w:rFonts w:hint="eastAsia"/>
        </w:rPr>
        <w:t>地块占地面积1</w:t>
      </w:r>
      <w:r>
        <w:t>0277.57m</w:t>
      </w:r>
      <w:r>
        <w:rPr>
          <w:vertAlign w:val="superscript"/>
        </w:rPr>
        <w:t>2</w:t>
      </w:r>
      <w:r>
        <w:rPr>
          <w:rFonts w:hint="eastAsia"/>
        </w:rPr>
        <w:t>、</w:t>
      </w:r>
      <w:r>
        <w:t>3#</w:t>
      </w:r>
      <w:r>
        <w:rPr>
          <w:rFonts w:hint="eastAsia"/>
        </w:rPr>
        <w:t>地块占地面积</w:t>
      </w:r>
      <w:r>
        <w:t>20856.61m</w:t>
      </w:r>
      <w:r>
        <w:rPr>
          <w:vertAlign w:val="superscript"/>
        </w:rPr>
        <w:t>2</w:t>
      </w:r>
      <w:r>
        <w:rPr>
          <w:rFonts w:hint="eastAsia"/>
        </w:rPr>
        <w:t>，项目占地均不属于基本农田，流转土地内的其他土地均不改变土地使用性质，由于1#地块主要用于生猪养殖，</w:t>
      </w:r>
      <w:r>
        <w:t>2</w:t>
      </w:r>
      <w:r>
        <w:rPr>
          <w:rFonts w:hint="eastAsia"/>
        </w:rPr>
        <w:t>#地块用于修建办公宿舍，3地块修建车辆转换区，现将生产区域（1#地块）地块外环境关系介绍如下：</w:t>
      </w:r>
    </w:p>
    <w:p>
      <w:pPr>
        <w:adjustRightInd w:val="0"/>
        <w:snapToGrid w:val="0"/>
        <w:ind w:firstLine="480" w:firstLineChars="200"/>
      </w:pPr>
      <w:r>
        <w:t>1</w:t>
      </w:r>
      <w:r>
        <w:rPr>
          <w:rFonts w:hint="eastAsia"/>
        </w:rPr>
        <w:t>#地块位于</w:t>
      </w:r>
      <w:r>
        <w:t>高凤乡星星亮村</w:t>
      </w:r>
      <w:r>
        <w:rPr>
          <w:rFonts w:hint="eastAsia"/>
        </w:rPr>
        <w:t>，根据现场调查，并结合</w:t>
      </w:r>
      <w:r>
        <w:t>1</w:t>
      </w:r>
      <w:r>
        <w:rPr>
          <w:rFonts w:hint="eastAsia"/>
        </w:rPr>
        <w:t>#地块平面布置，根据现场调查：</w:t>
      </w:r>
    </w:p>
    <w:p>
      <w:pPr>
        <w:adjustRightInd w:val="0"/>
        <w:snapToGrid w:val="0"/>
        <w:ind w:firstLine="482" w:firstLineChars="200"/>
      </w:pPr>
      <w:r>
        <w:rPr>
          <w:rFonts w:hint="eastAsia"/>
          <w:b/>
          <w:bCs/>
        </w:rPr>
        <w:t>东侧：</w:t>
      </w:r>
      <w:r>
        <w:rPr>
          <w:rFonts w:hint="eastAsia"/>
        </w:rPr>
        <w:t>东侧</w:t>
      </w:r>
      <w:r>
        <w:t>65</w:t>
      </w:r>
      <w:r>
        <w:rPr>
          <w:rFonts w:hint="eastAsia"/>
        </w:rPr>
        <w:t>m处为陡崖，</w:t>
      </w:r>
      <w:r>
        <w:t>陡崖下方为无名溪沟，东侧距离</w:t>
      </w:r>
      <w:r>
        <w:rPr>
          <w:rFonts w:hint="eastAsia"/>
        </w:rPr>
        <w:t>红星村</w:t>
      </w:r>
      <w:r>
        <w:t>农户</w:t>
      </w:r>
      <w:r>
        <w:rPr>
          <w:rFonts w:hint="eastAsia"/>
        </w:rPr>
        <w:t>（</w:t>
      </w:r>
      <w:r>
        <w:t>7</w:t>
      </w:r>
      <w:r>
        <w:rPr>
          <w:rFonts w:hint="eastAsia"/>
        </w:rPr>
        <w:t>户）</w:t>
      </w:r>
      <w:r>
        <w:t>最近距离182m</w:t>
      </w:r>
      <w:r>
        <w:rPr>
          <w:rFonts w:hint="eastAsia"/>
        </w:rPr>
        <w:t>（</w:t>
      </w:r>
      <w:r>
        <w:t>距离</w:t>
      </w:r>
      <w:r>
        <w:rPr>
          <w:rFonts w:hint="eastAsia"/>
        </w:rPr>
        <w:t>车间分娩舍</w:t>
      </w:r>
      <w:r>
        <w:t>193m</w:t>
      </w:r>
      <w:r>
        <w:rPr>
          <w:rFonts w:hint="eastAsia"/>
        </w:rPr>
        <w:t>）</w:t>
      </w:r>
      <w:r>
        <w:t>，</w:t>
      </w:r>
      <w:r>
        <w:rPr>
          <w:rFonts w:hint="eastAsia"/>
        </w:rPr>
        <w:t>东侧</w:t>
      </w:r>
      <w:r>
        <w:t>337m</w:t>
      </w:r>
      <w:r>
        <w:rPr>
          <w:rFonts w:hint="eastAsia"/>
        </w:rPr>
        <w:t>为红星水库（中间有山体阻隔），水库主要功能为灌溉，具有饮用水源功能，项目位于水库下游，项目临近无名溪沟未汇入红星水库。</w:t>
      </w:r>
    </w:p>
    <w:p>
      <w:pPr>
        <w:adjustRightInd w:val="0"/>
        <w:snapToGrid w:val="0"/>
        <w:ind w:firstLine="482" w:firstLineChars="200"/>
      </w:pPr>
      <w:r>
        <w:rPr>
          <w:rFonts w:hint="eastAsia"/>
          <w:b/>
          <w:bCs/>
        </w:rPr>
        <w:t>东南侧：</w:t>
      </w:r>
      <w:r>
        <w:t>东南侧</w:t>
      </w:r>
      <w:r>
        <w:rPr>
          <w:rFonts w:hint="eastAsia"/>
        </w:rPr>
        <w:t>东侧</w:t>
      </w:r>
      <w:r>
        <w:t>67</w:t>
      </w:r>
      <w:r>
        <w:rPr>
          <w:rFonts w:hint="eastAsia"/>
        </w:rPr>
        <w:t>m处为陡崖，</w:t>
      </w:r>
      <w:r>
        <w:t>陡崖下方为无名溪沟，东</w:t>
      </w:r>
      <w:r>
        <w:rPr>
          <w:rFonts w:hint="eastAsia"/>
        </w:rPr>
        <w:t>南</w:t>
      </w:r>
      <w:r>
        <w:t>侧距离</w:t>
      </w:r>
      <w:r>
        <w:rPr>
          <w:rFonts w:hint="eastAsia"/>
        </w:rPr>
        <w:t>红星村</w:t>
      </w:r>
      <w:r>
        <w:t>农户</w:t>
      </w:r>
      <w:r>
        <w:rPr>
          <w:rFonts w:hint="eastAsia"/>
        </w:rPr>
        <w:t>（</w:t>
      </w:r>
      <w:r>
        <w:t>4</w:t>
      </w:r>
      <w:r>
        <w:rPr>
          <w:rFonts w:hint="eastAsia"/>
        </w:rPr>
        <w:t>户）</w:t>
      </w:r>
      <w:r>
        <w:t>最近距离250m</w:t>
      </w:r>
      <w:r>
        <w:rPr>
          <w:rFonts w:hint="eastAsia"/>
        </w:rPr>
        <w:t>（</w:t>
      </w:r>
      <w:r>
        <w:t>距离</w:t>
      </w:r>
      <w:r>
        <w:rPr>
          <w:rFonts w:hint="eastAsia"/>
        </w:rPr>
        <w:t>车间分娩舍</w:t>
      </w:r>
      <w:r>
        <w:t>252m</w:t>
      </w:r>
      <w:r>
        <w:rPr>
          <w:rFonts w:hint="eastAsia"/>
        </w:rPr>
        <w:t>）。</w:t>
      </w:r>
    </w:p>
    <w:p>
      <w:pPr>
        <w:pStyle w:val="2"/>
        <w:ind w:firstLine="482"/>
        <w:rPr>
          <w:rFonts w:hint="default"/>
          <w:color w:val="auto"/>
        </w:rPr>
      </w:pPr>
      <w:r>
        <w:rPr>
          <w:b/>
          <w:bCs/>
          <w:color w:val="auto"/>
        </w:rPr>
        <w:t>南侧：</w:t>
      </w:r>
      <w:r>
        <w:rPr>
          <w:color w:val="auto"/>
        </w:rPr>
        <w:t>南侧主要以耕地及分散农户为主，其中最近居民（3户）距离</w:t>
      </w:r>
      <w:r>
        <w:rPr>
          <w:rFonts w:hint="default"/>
          <w:color w:val="auto"/>
        </w:rPr>
        <w:t>144m</w:t>
      </w:r>
      <w:r>
        <w:rPr>
          <w:color w:val="auto"/>
        </w:rPr>
        <w:t>（距离车间1</w:t>
      </w:r>
      <w:r>
        <w:rPr>
          <w:rFonts w:hint="default"/>
          <w:color w:val="auto"/>
        </w:rPr>
        <w:t>58m</w:t>
      </w:r>
      <w:r>
        <w:rPr>
          <w:color w:val="auto"/>
        </w:rPr>
        <w:t>）。</w:t>
      </w:r>
    </w:p>
    <w:p>
      <w:pPr>
        <w:pStyle w:val="2"/>
        <w:ind w:firstLine="482"/>
        <w:rPr>
          <w:rFonts w:hint="default"/>
          <w:color w:val="auto"/>
        </w:rPr>
      </w:pPr>
      <w:r>
        <w:rPr>
          <w:b/>
          <w:bCs/>
          <w:color w:val="auto"/>
        </w:rPr>
        <w:t>西南侧：</w:t>
      </w:r>
      <w:r>
        <w:rPr>
          <w:color w:val="auto"/>
        </w:rPr>
        <w:t>西南侧主要以耕地及分散农户为主，其中最近1户星星亮村3组农户距离</w:t>
      </w:r>
      <w:r>
        <w:rPr>
          <w:rFonts w:hint="default"/>
          <w:color w:val="auto"/>
        </w:rPr>
        <w:t>27m</w:t>
      </w:r>
      <w:r>
        <w:rPr>
          <w:color w:val="auto"/>
        </w:rPr>
        <w:t>（距离车间</w:t>
      </w:r>
      <w:r>
        <w:rPr>
          <w:rFonts w:hint="default"/>
          <w:color w:val="auto"/>
        </w:rPr>
        <w:t>38m</w:t>
      </w:r>
      <w:r>
        <w:rPr>
          <w:color w:val="auto"/>
        </w:rPr>
        <w:t>），西南侧1</w:t>
      </w:r>
      <w:r>
        <w:rPr>
          <w:rFonts w:hint="default"/>
          <w:color w:val="auto"/>
        </w:rPr>
        <w:t>41m</w:t>
      </w:r>
      <w:r>
        <w:rPr>
          <w:color w:val="auto"/>
        </w:rPr>
        <w:t>范围内分布有3户农户（距离车间</w:t>
      </w:r>
      <w:r>
        <w:rPr>
          <w:rFonts w:hint="default"/>
          <w:color w:val="auto"/>
        </w:rPr>
        <w:t>164m</w:t>
      </w:r>
      <w:r>
        <w:rPr>
          <w:color w:val="auto"/>
        </w:rPr>
        <w:t>）。</w:t>
      </w:r>
    </w:p>
    <w:p>
      <w:pPr>
        <w:pStyle w:val="192"/>
        <w:ind w:firstLine="482"/>
      </w:pPr>
      <w:r>
        <w:rPr>
          <w:rFonts w:hint="eastAsia"/>
          <w:b/>
          <w:bCs/>
        </w:rPr>
        <w:t>西侧：</w:t>
      </w:r>
      <w:r>
        <w:rPr>
          <w:rFonts w:hint="eastAsia"/>
        </w:rPr>
        <w:t>为项目</w:t>
      </w:r>
      <w:r>
        <w:t>2</w:t>
      </w:r>
      <w:r>
        <w:rPr>
          <w:rFonts w:hint="eastAsia"/>
        </w:rPr>
        <w:t>#地块（主要用于项目办公及宿舍），西侧距离厂界最近距离</w:t>
      </w:r>
      <w:r>
        <w:t>104</w:t>
      </w:r>
      <w:r>
        <w:rPr>
          <w:rFonts w:hint="eastAsia"/>
        </w:rPr>
        <w:t>~</w:t>
      </w:r>
      <w:r>
        <w:t>234m</w:t>
      </w:r>
      <w:r>
        <w:rPr>
          <w:rFonts w:hint="eastAsia"/>
        </w:rPr>
        <w:t>（距离车间最近距离1</w:t>
      </w:r>
      <w:r>
        <w:t>83m</w:t>
      </w:r>
      <w:r>
        <w:rPr>
          <w:rFonts w:hint="eastAsia"/>
        </w:rPr>
        <w:t>~</w:t>
      </w:r>
      <w:r>
        <w:t>342m</w:t>
      </w:r>
      <w:r>
        <w:rPr>
          <w:rFonts w:hint="eastAsia"/>
        </w:rPr>
        <w:t>），2#地块紧邻星星亮村3组村民。</w:t>
      </w:r>
    </w:p>
    <w:p>
      <w:pPr>
        <w:adjustRightInd w:val="0"/>
        <w:snapToGrid w:val="0"/>
        <w:ind w:firstLine="482" w:firstLineChars="200"/>
      </w:pPr>
      <w:r>
        <w:rPr>
          <w:rFonts w:hint="eastAsia"/>
          <w:b/>
          <w:bCs/>
        </w:rPr>
        <w:t>北侧：</w:t>
      </w:r>
      <w:r>
        <w:rPr>
          <w:rFonts w:hint="eastAsia"/>
        </w:rPr>
        <w:t>北侧7</w:t>
      </w:r>
      <w:r>
        <w:t>5m</w:t>
      </w:r>
      <w:r>
        <w:rPr>
          <w:rFonts w:hint="eastAsia"/>
        </w:rPr>
        <w:t>范围内为基本农田（地势较</w:t>
      </w:r>
      <w:r>
        <w:t>2</w:t>
      </w:r>
      <w:r>
        <w:rPr>
          <w:rFonts w:hint="eastAsia"/>
        </w:rPr>
        <w:t>#地块低约2</w:t>
      </w:r>
      <w:r>
        <w:t>5m</w:t>
      </w:r>
      <w:r>
        <w:rPr>
          <w:rFonts w:hint="eastAsia"/>
        </w:rPr>
        <w:t>），北侧约</w:t>
      </w:r>
      <w:r>
        <w:t>75</w:t>
      </w:r>
      <w:r>
        <w:rPr>
          <w:rFonts w:hint="eastAsia"/>
        </w:rPr>
        <w:t>m为其中一块非基本农田地块，为山坡地（建设单位不再利用），车间北侧1</w:t>
      </w:r>
      <w:r>
        <w:t>44</w:t>
      </w:r>
      <w:r>
        <w:rPr>
          <w:rFonts w:hint="eastAsia"/>
        </w:rPr>
        <w:t>m处分布有一户星星亮村3组村民，车间北侧</w:t>
      </w:r>
      <w:r>
        <w:t>306</w:t>
      </w:r>
      <w:r>
        <w:rPr>
          <w:rFonts w:hint="eastAsia"/>
        </w:rPr>
        <w:t>m沿基本农田边界零星分布有</w:t>
      </w:r>
      <w:r>
        <w:t>4</w:t>
      </w:r>
      <w:r>
        <w:rPr>
          <w:rFonts w:hint="eastAsia"/>
        </w:rPr>
        <w:t>户星星亮村3组农户（依山而建）。</w:t>
      </w:r>
    </w:p>
    <w:p>
      <w:pPr>
        <w:pStyle w:val="192"/>
        <w:ind w:firstLine="482"/>
      </w:pPr>
      <w:r>
        <w:rPr>
          <w:rFonts w:hint="eastAsia"/>
          <w:b/>
          <w:bCs/>
        </w:rPr>
        <w:t>东北侧：</w:t>
      </w:r>
      <w:r>
        <w:rPr>
          <w:rFonts w:hint="eastAsia"/>
        </w:rPr>
        <w:t>车间东北侧1</w:t>
      </w:r>
      <w:r>
        <w:t>41m</w:t>
      </w:r>
      <w:r>
        <w:rPr>
          <w:rFonts w:hint="eastAsia"/>
        </w:rPr>
        <w:t>~</w:t>
      </w:r>
      <w:r>
        <w:t>232m</w:t>
      </w:r>
      <w:r>
        <w:rPr>
          <w:rFonts w:hint="eastAsia"/>
        </w:rPr>
        <w:t>范围分布有1</w:t>
      </w:r>
      <w:r>
        <w:t>3</w:t>
      </w:r>
      <w:r>
        <w:rPr>
          <w:rFonts w:hint="eastAsia"/>
        </w:rPr>
        <w:t>户红星村4组农户。</w:t>
      </w:r>
    </w:p>
    <w:p>
      <w:pPr>
        <w:jc w:val="left"/>
        <w:outlineLvl w:val="2"/>
        <w:rPr>
          <w:rFonts w:eastAsia="黑体"/>
          <w:bCs/>
          <w:sz w:val="28"/>
          <w:szCs w:val="28"/>
        </w:rPr>
      </w:pPr>
      <w:r>
        <w:rPr>
          <w:rFonts w:hint="eastAsia" w:eastAsia="黑体"/>
          <w:bCs/>
          <w:sz w:val="28"/>
          <w:szCs w:val="28"/>
        </w:rPr>
        <w:t>2.6.2场址选址合理性分析</w:t>
      </w:r>
    </w:p>
    <w:p>
      <w:pPr>
        <w:pStyle w:val="970"/>
        <w:snapToGrid w:val="0"/>
        <w:ind w:firstLine="0"/>
        <w:outlineLvl w:val="3"/>
        <w:rPr>
          <w:rFonts w:eastAsia="黑体"/>
          <w:bCs/>
          <w:szCs w:val="24"/>
        </w:rPr>
      </w:pPr>
      <w:r>
        <w:rPr>
          <w:rFonts w:hint="eastAsia" w:eastAsia="黑体"/>
          <w:bCs/>
          <w:szCs w:val="24"/>
        </w:rPr>
        <w:t>2</w:t>
      </w:r>
      <w:r>
        <w:rPr>
          <w:rFonts w:eastAsia="黑体"/>
          <w:bCs/>
          <w:szCs w:val="24"/>
        </w:rPr>
        <w:t xml:space="preserve">.6.2.1 </w:t>
      </w:r>
      <w:r>
        <w:rPr>
          <w:rFonts w:hint="eastAsia" w:eastAsia="黑体"/>
          <w:bCs/>
          <w:szCs w:val="24"/>
        </w:rPr>
        <w:t>基础设施依托合理性分析</w:t>
      </w:r>
    </w:p>
    <w:p>
      <w:pPr>
        <w:pStyle w:val="2"/>
        <w:ind w:firstLine="480"/>
        <w:rPr>
          <w:rFonts w:hint="default"/>
        </w:rPr>
      </w:pPr>
      <w:r>
        <w:t>项目选址于高凤乡星星亮村，拟采用临近红星水库作为本项目水源，根据调查，红星水库库容8</w:t>
      </w:r>
      <w:r>
        <w:rPr>
          <w:rFonts w:hint="default"/>
        </w:rPr>
        <w:t>80</w:t>
      </w:r>
      <w:r>
        <w:t>万m</w:t>
      </w:r>
      <w:r>
        <w:rPr>
          <w:rFonts w:hint="default"/>
          <w:vertAlign w:val="superscript"/>
        </w:rPr>
        <w:t>3</w:t>
      </w:r>
      <w:r>
        <w:t>，而本项目需水量仅为</w:t>
      </w:r>
      <w:r>
        <w:rPr>
          <w:rFonts w:hint="default"/>
        </w:rPr>
        <w:t>112.92m</w:t>
      </w:r>
      <w:r>
        <w:rPr>
          <w:rFonts w:hint="default"/>
          <w:vertAlign w:val="superscript"/>
        </w:rPr>
        <w:t>3</w:t>
      </w:r>
      <w:r>
        <w:t>/</w:t>
      </w:r>
      <w:r>
        <w:rPr>
          <w:rFonts w:hint="default"/>
        </w:rPr>
        <w:t>d</w:t>
      </w:r>
      <w:r>
        <w:t>，且项目距离本项目仅有4</w:t>
      </w:r>
      <w:r>
        <w:rPr>
          <w:rFonts w:hint="default"/>
        </w:rPr>
        <w:t>42m</w:t>
      </w:r>
      <w:r>
        <w:t>，管道敷设难度较小，</w:t>
      </w:r>
      <w:r>
        <w:rPr>
          <w:bCs/>
          <w:kern w:val="0"/>
        </w:rPr>
        <w:t>水质水量均得到保障；且供电均由高凤乡市政电网供电；同时根据调查，目前乐山乐高勤力生物质能源综合利用有限公司已建成投入运营，该公司“大沼工程”主要利用井研县各养殖粪污经厌氧发酵后利用沼气发电，经发酵后的沼液进行干湿分离，粪便用于生产有机肥，沼液用于农田施肥，高凤乡属于其收集范围内，因此项目建成后，粪污可全部运至乐山乐高勤力生物质能源综合利用有限公司进行综合利用，目前乐山乐高勤力生物质能源综合利用有限公司已与公司签订</w:t>
      </w:r>
      <w:r>
        <w:t>粪污处置协议，同意本项目粪污进入</w:t>
      </w:r>
      <w:r>
        <w:rPr>
          <w:bCs/>
          <w:kern w:val="0"/>
        </w:rPr>
        <w:t>乐山乐高勤力生物质能源综合利用有限公司</w:t>
      </w:r>
      <w:r>
        <w:t>进行综合利用。综上，本项目场址从区域配套基础设施分析，其选址具有合理性。</w:t>
      </w:r>
    </w:p>
    <w:p>
      <w:pPr>
        <w:pStyle w:val="970"/>
        <w:snapToGrid w:val="0"/>
        <w:ind w:firstLine="0"/>
        <w:outlineLvl w:val="3"/>
        <w:rPr>
          <w:rFonts w:eastAsia="黑体"/>
          <w:bCs/>
          <w:szCs w:val="24"/>
        </w:rPr>
      </w:pPr>
      <w:r>
        <w:rPr>
          <w:rFonts w:hint="eastAsia" w:eastAsia="黑体"/>
          <w:bCs/>
          <w:szCs w:val="24"/>
        </w:rPr>
        <w:t>2</w:t>
      </w:r>
      <w:r>
        <w:rPr>
          <w:rFonts w:eastAsia="黑体"/>
          <w:bCs/>
          <w:szCs w:val="24"/>
        </w:rPr>
        <w:t xml:space="preserve">.6.2.2 </w:t>
      </w:r>
      <w:r>
        <w:rPr>
          <w:rFonts w:hint="eastAsia" w:eastAsia="黑体"/>
          <w:bCs/>
          <w:szCs w:val="24"/>
        </w:rPr>
        <w:t>场址周边制约性因素分析</w:t>
      </w:r>
    </w:p>
    <w:p>
      <w:pPr>
        <w:snapToGrid w:val="0"/>
        <w:ind w:firstLine="482" w:firstLineChars="200"/>
        <w:rPr>
          <w:b/>
          <w:bCs/>
          <w:kern w:val="0"/>
        </w:rPr>
      </w:pPr>
      <w:r>
        <w:rPr>
          <w:rFonts w:hint="eastAsia"/>
          <w:b/>
          <w:bCs/>
          <w:kern w:val="0"/>
        </w:rPr>
        <w:t>（1）敏感点制约性分析</w:t>
      </w:r>
    </w:p>
    <w:p>
      <w:pPr>
        <w:snapToGrid w:val="0"/>
        <w:ind w:firstLine="480" w:firstLineChars="200"/>
        <w:rPr>
          <w:rFonts w:hAnsi="宋体"/>
          <w:kern w:val="0"/>
        </w:rPr>
      </w:pPr>
      <w:r>
        <w:rPr>
          <w:rFonts w:hAnsi="宋体"/>
          <w:kern w:val="0"/>
        </w:rPr>
        <w:t>根据现场调查，</w:t>
      </w:r>
      <w:r>
        <w:rPr>
          <w:rFonts w:hint="eastAsia" w:hAnsi="宋体"/>
          <w:kern w:val="0"/>
        </w:rPr>
        <w:t>建设单位已流转的土地范围内，共有4个非基本农田（均位于山坡上），同时根据现场调查，</w:t>
      </w:r>
      <w:r>
        <w:rPr>
          <w:rFonts w:hAnsi="宋体"/>
          <w:kern w:val="0"/>
        </w:rPr>
        <w:t>2#</w:t>
      </w:r>
      <w:r>
        <w:rPr>
          <w:rFonts w:hint="eastAsia" w:hAnsi="宋体"/>
          <w:kern w:val="0"/>
        </w:rPr>
        <w:t>地块、</w:t>
      </w:r>
      <w:r>
        <w:rPr>
          <w:rFonts w:hAnsi="宋体"/>
          <w:kern w:val="0"/>
        </w:rPr>
        <w:t>3</w:t>
      </w:r>
      <w:r>
        <w:rPr>
          <w:rFonts w:hint="eastAsia" w:hAnsi="宋体"/>
          <w:kern w:val="0"/>
        </w:rPr>
        <w:t>#地块、4#地块周围均紧邻农户，且分散农户较多，因此项目选址主要受基本农田及周围农户的制约。</w:t>
      </w:r>
    </w:p>
    <w:p>
      <w:pPr>
        <w:snapToGrid w:val="0"/>
        <w:ind w:firstLine="480" w:firstLineChars="200"/>
        <w:rPr>
          <w:kern w:val="0"/>
        </w:rPr>
      </w:pPr>
      <w:r>
        <w:rPr>
          <w:rFonts w:hint="eastAsia" w:hAnsi="宋体"/>
          <w:kern w:val="0"/>
        </w:rPr>
        <w:t>由于项目受基本农田制约，可建设土地较分散，不利于项目集中布置，项目选址及布局收到了周围基本农田分布情况的制约，为不占用基本农田，建设单位拟在各地块内分功能分别建设设施，同时根据现场调查，</w:t>
      </w:r>
      <w:r>
        <w:rPr>
          <w:rFonts w:hAnsi="宋体"/>
          <w:kern w:val="0"/>
        </w:rPr>
        <w:t>2</w:t>
      </w:r>
      <w:r>
        <w:rPr>
          <w:rFonts w:hint="eastAsia" w:hAnsi="宋体"/>
          <w:kern w:val="0"/>
        </w:rPr>
        <w:t>#地块、</w:t>
      </w:r>
      <w:r>
        <w:rPr>
          <w:rFonts w:hAnsi="宋体"/>
          <w:kern w:val="0"/>
        </w:rPr>
        <w:t>3</w:t>
      </w:r>
      <w:r>
        <w:rPr>
          <w:rFonts w:hint="eastAsia" w:hAnsi="宋体"/>
          <w:kern w:val="0"/>
        </w:rPr>
        <w:t>#地块、</w:t>
      </w:r>
      <w:r>
        <w:rPr>
          <w:rFonts w:hAnsi="宋体"/>
          <w:kern w:val="0"/>
        </w:rPr>
        <w:t>4</w:t>
      </w:r>
      <w:r>
        <w:rPr>
          <w:rFonts w:hint="eastAsia" w:hAnsi="宋体"/>
          <w:kern w:val="0"/>
        </w:rPr>
        <w:t>#地块周围1</w:t>
      </w:r>
      <w:r>
        <w:rPr>
          <w:rFonts w:hAnsi="宋体"/>
          <w:kern w:val="0"/>
        </w:rPr>
        <w:t>00m</w:t>
      </w:r>
      <w:r>
        <w:rPr>
          <w:rFonts w:hint="eastAsia" w:hAnsi="宋体"/>
          <w:kern w:val="0"/>
        </w:rPr>
        <w:t>范围内分布农户较多，共计（共计有1</w:t>
      </w:r>
      <w:r>
        <w:rPr>
          <w:rFonts w:hAnsi="宋体"/>
          <w:kern w:val="0"/>
        </w:rPr>
        <w:t>8</w:t>
      </w:r>
      <w:r>
        <w:rPr>
          <w:rFonts w:hint="eastAsia" w:hAnsi="宋体"/>
          <w:kern w:val="0"/>
        </w:rPr>
        <w:t>户，其中星星亮村3组9户、红星村4组9户），其中主要分布于4#地块周围（其周围1</w:t>
      </w:r>
      <w:r>
        <w:rPr>
          <w:rFonts w:hAnsi="宋体"/>
          <w:kern w:val="0"/>
        </w:rPr>
        <w:t>00m</w:t>
      </w:r>
      <w:r>
        <w:rPr>
          <w:rFonts w:hint="eastAsia" w:hAnsi="宋体"/>
          <w:kern w:val="0"/>
        </w:rPr>
        <w:t>范围内分布1</w:t>
      </w:r>
      <w:r>
        <w:rPr>
          <w:rFonts w:hAnsi="宋体"/>
          <w:kern w:val="0"/>
        </w:rPr>
        <w:t>7</w:t>
      </w:r>
      <w:r>
        <w:rPr>
          <w:rFonts w:hint="eastAsia" w:hAnsi="宋体"/>
          <w:kern w:val="0"/>
        </w:rPr>
        <w:t>户）</w:t>
      </w:r>
      <w:r>
        <w:rPr>
          <w:rFonts w:hAnsi="宋体"/>
          <w:kern w:val="0"/>
        </w:rPr>
        <w:t>，项目建成后对周边敏感点的影响主要体现在项目恶臭及噪声对周边</w:t>
      </w:r>
      <w:r>
        <w:rPr>
          <w:rFonts w:hint="eastAsia" w:hAnsi="宋体"/>
          <w:kern w:val="0"/>
        </w:rPr>
        <w:t>农户</w:t>
      </w:r>
      <w:r>
        <w:rPr>
          <w:rFonts w:hAnsi="宋体"/>
          <w:kern w:val="0"/>
        </w:rPr>
        <w:t>产生的影响，为减小对周边居民的影响，建设单位</w:t>
      </w:r>
      <w:r>
        <w:rPr>
          <w:rFonts w:hint="eastAsia" w:hAnsi="宋体"/>
          <w:kern w:val="0"/>
        </w:rPr>
        <w:t>决定不在4#地块范围内进行建设，仅将圈舍布置于1#地块，根据现场调查，1#地块车间</w:t>
      </w:r>
      <w:r>
        <w:rPr>
          <w:rFonts w:hAnsi="宋体"/>
          <w:kern w:val="0"/>
        </w:rPr>
        <w:t>周围</w:t>
      </w:r>
      <w:r>
        <w:rPr>
          <w:kern w:val="0"/>
        </w:rPr>
        <w:t>100m</w:t>
      </w:r>
      <w:r>
        <w:rPr>
          <w:rFonts w:hAnsi="宋体"/>
          <w:kern w:val="0"/>
        </w:rPr>
        <w:t>范围内</w:t>
      </w:r>
      <w:r>
        <w:rPr>
          <w:rFonts w:hint="eastAsia" w:hAnsi="宋体"/>
          <w:kern w:val="0"/>
        </w:rPr>
        <w:t>需</w:t>
      </w:r>
      <w:r>
        <w:rPr>
          <w:rFonts w:hAnsi="宋体"/>
          <w:kern w:val="0"/>
        </w:rPr>
        <w:t>搬迁的居民共有1户居民</w:t>
      </w:r>
      <w:r>
        <w:rPr>
          <w:rFonts w:hint="eastAsia" w:hAnsi="宋体"/>
          <w:kern w:val="0"/>
        </w:rPr>
        <w:t>（为星星亮村3组村民）</w:t>
      </w:r>
      <w:r>
        <w:rPr>
          <w:rFonts w:hAnsi="宋体"/>
          <w:kern w:val="0"/>
        </w:rPr>
        <w:t>，</w:t>
      </w:r>
      <w:r>
        <w:rPr>
          <w:rFonts w:hint="eastAsia" w:hAnsi="宋体"/>
          <w:kern w:val="0"/>
        </w:rPr>
        <w:t>目前建设单位已与此卫生防护距离范围内的此户农户签订了租赁协议，协议明确了项目在运营期间（生猪养殖期间），农户不得返回原房屋内居住，因此</w:t>
      </w:r>
      <w:r>
        <w:rPr>
          <w:rFonts w:hAnsi="宋体"/>
          <w:kern w:val="0"/>
        </w:rPr>
        <w:t>通过</w:t>
      </w:r>
      <w:r>
        <w:rPr>
          <w:rFonts w:hint="eastAsia" w:hAnsi="宋体"/>
          <w:kern w:val="0"/>
        </w:rPr>
        <w:t>将卫生防护距离范围内的农户进行租赁后</w:t>
      </w:r>
      <w:r>
        <w:rPr>
          <w:rFonts w:hAnsi="宋体"/>
          <w:kern w:val="0"/>
        </w:rPr>
        <w:t>，项目拟划定的卫生防护距离范围内将无居民分布，通过环评预测，项目产生的恶臭对周围居民的影响在可接受范围内，因此项目选址通过采取调整车间布置以及恶臭及噪声治理措施后从环保角度而言是合理的。</w:t>
      </w:r>
    </w:p>
    <w:p>
      <w:pPr>
        <w:snapToGrid w:val="0"/>
        <w:ind w:firstLine="482" w:firstLineChars="200"/>
        <w:rPr>
          <w:b/>
          <w:bCs/>
          <w:kern w:val="0"/>
        </w:rPr>
      </w:pPr>
      <w:r>
        <w:rPr>
          <w:rFonts w:hint="eastAsia"/>
          <w:b/>
          <w:bCs/>
          <w:kern w:val="0"/>
        </w:rPr>
        <w:t>（2）</w:t>
      </w:r>
      <w:r>
        <w:rPr>
          <w:b/>
          <w:bCs/>
          <w:kern w:val="0"/>
        </w:rPr>
        <w:t>周边企业对本项目的制约因素</w:t>
      </w:r>
    </w:p>
    <w:p>
      <w:pPr>
        <w:adjustRightInd w:val="0"/>
        <w:snapToGrid w:val="0"/>
        <w:ind w:firstLine="480" w:firstLineChars="200"/>
        <w:rPr>
          <w:rFonts w:hAnsi="宋体"/>
          <w:color w:val="FF0000"/>
        </w:rPr>
      </w:pPr>
      <w:r>
        <w:rPr>
          <w:rFonts w:hint="eastAsia" w:hAnsi="宋体"/>
        </w:rPr>
        <w:t>根据现场调查，项目周边</w:t>
      </w:r>
      <w:r>
        <w:rPr>
          <w:rFonts w:hAnsi="宋体"/>
        </w:rPr>
        <w:t>500m</w:t>
      </w:r>
      <w:r>
        <w:rPr>
          <w:rFonts w:hint="eastAsia" w:hAnsi="宋体"/>
        </w:rPr>
        <w:t>范围内无生产性企业，对项目选址不造成制约</w:t>
      </w:r>
      <w:r>
        <w:rPr>
          <w:rFonts w:hint="eastAsia" w:hAnsi="宋体"/>
          <w:color w:val="FF0000"/>
        </w:rPr>
        <w:t>。</w:t>
      </w:r>
    </w:p>
    <w:p>
      <w:pPr>
        <w:pStyle w:val="970"/>
        <w:snapToGrid w:val="0"/>
        <w:ind w:firstLine="0"/>
        <w:outlineLvl w:val="3"/>
        <w:rPr>
          <w:rFonts w:eastAsia="黑体"/>
          <w:bCs/>
          <w:szCs w:val="24"/>
        </w:rPr>
      </w:pPr>
      <w:r>
        <w:rPr>
          <w:rFonts w:hint="eastAsia" w:eastAsia="黑体"/>
          <w:bCs/>
          <w:szCs w:val="24"/>
        </w:rPr>
        <w:t>2</w:t>
      </w:r>
      <w:r>
        <w:rPr>
          <w:rFonts w:eastAsia="黑体"/>
          <w:bCs/>
          <w:szCs w:val="24"/>
        </w:rPr>
        <w:t>.6.2.3</w:t>
      </w:r>
      <w:r>
        <w:rPr>
          <w:rFonts w:hint="eastAsia" w:eastAsia="黑体"/>
          <w:bCs/>
          <w:szCs w:val="24"/>
        </w:rPr>
        <w:t>推荐场址选址合理性分析结论</w:t>
      </w:r>
    </w:p>
    <w:p>
      <w:pPr>
        <w:snapToGrid w:val="0"/>
        <w:ind w:firstLine="480" w:firstLineChars="200"/>
        <w:rPr>
          <w:rFonts w:hAnsi="宋体"/>
          <w:kern w:val="0"/>
        </w:rPr>
      </w:pPr>
      <w:r>
        <w:rPr>
          <w:rFonts w:hint="eastAsia" w:hAnsi="宋体"/>
          <w:kern w:val="0"/>
        </w:rPr>
        <w:t>通过上述分析，本项目选址于星星亮村</w:t>
      </w:r>
      <w:r>
        <w:rPr>
          <w:rFonts w:hint="eastAsia"/>
        </w:rPr>
        <w:t>范围内，项目区交通便利，项目区配套基础设施完善，为项目建设提供了可靠的保障，并且建设单位已与</w:t>
      </w:r>
      <w:r>
        <w:rPr>
          <w:rFonts w:hint="eastAsia"/>
          <w:bCs/>
          <w:kern w:val="0"/>
          <w:szCs w:val="20"/>
        </w:rPr>
        <w:t>乐山乐高勤力生物质能源综合利用有限公司</w:t>
      </w:r>
      <w:r>
        <w:rPr>
          <w:rFonts w:hint="eastAsia"/>
        </w:rPr>
        <w:t>签订了粪污消纳协议，因此可确保项目粪污综合利用；同时项目周边无生产性企业，</w:t>
      </w:r>
      <w:r>
        <w:rPr>
          <w:rFonts w:hint="eastAsia" w:hAnsi="宋体"/>
        </w:rPr>
        <w:t>因此本项目选址不受周围企业制约；周边分布的农户对本项目选址具有一定的制约因素，但是本项目通过对周边</w:t>
      </w:r>
      <w:r>
        <w:rPr>
          <w:rFonts w:hAnsi="宋体"/>
        </w:rPr>
        <w:t>1</w:t>
      </w:r>
      <w:r>
        <w:rPr>
          <w:rFonts w:hint="eastAsia" w:hAnsi="宋体"/>
        </w:rPr>
        <w:t>00m范围内的农户进行租赁，同时采取除臭措施后，通过采取上述措施后，周边农户对本项目选址制约因素不明显。</w:t>
      </w:r>
    </w:p>
    <w:p>
      <w:pPr>
        <w:snapToGrid w:val="0"/>
        <w:ind w:firstLine="480" w:firstLineChars="200"/>
        <w:rPr>
          <w:kern w:val="0"/>
        </w:rPr>
      </w:pPr>
      <w:r>
        <w:rPr>
          <w:rFonts w:hAnsi="宋体"/>
          <w:kern w:val="0"/>
        </w:rPr>
        <w:t>综上，本项目选址主要受周围居民的制约，通过对拟划定的卫生防护距离内的居民进行</w:t>
      </w:r>
      <w:r>
        <w:rPr>
          <w:rFonts w:hint="eastAsia" w:hAnsi="宋体"/>
          <w:kern w:val="0"/>
        </w:rPr>
        <w:t>租赁搬迁</w:t>
      </w:r>
      <w:r>
        <w:rPr>
          <w:rFonts w:hAnsi="宋体"/>
          <w:kern w:val="0"/>
        </w:rPr>
        <w:t>，同时通过调整厂区布置，并采取相应的除臭、降噪措施后，项目选址具有环境合理性。</w:t>
      </w:r>
    </w:p>
    <w:bookmarkEnd w:id="149"/>
    <w:bookmarkEnd w:id="150"/>
    <w:bookmarkEnd w:id="151"/>
    <w:bookmarkEnd w:id="152"/>
    <w:bookmarkEnd w:id="153"/>
    <w:bookmarkEnd w:id="154"/>
    <w:bookmarkEnd w:id="155"/>
    <w:bookmarkEnd w:id="156"/>
    <w:bookmarkEnd w:id="157"/>
    <w:bookmarkEnd w:id="158"/>
    <w:bookmarkEnd w:id="199"/>
    <w:bookmarkEnd w:id="200"/>
    <w:bookmarkEnd w:id="201"/>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02" w:name="_Toc29110557"/>
      <w:bookmarkStart w:id="203" w:name="_Toc65636450"/>
      <w:bookmarkStart w:id="204" w:name="_Toc423336641"/>
      <w:bookmarkStart w:id="205" w:name="_Toc179923029"/>
      <w:bookmarkStart w:id="206" w:name="_Toc82857185"/>
      <w:bookmarkStart w:id="207" w:name="_Toc115259808"/>
      <w:bookmarkStart w:id="208" w:name="_Toc88466684"/>
      <w:bookmarkStart w:id="209" w:name="_Toc114997729"/>
      <w:bookmarkStart w:id="210" w:name="_Toc457480919"/>
      <w:r>
        <w:rPr>
          <w:rFonts w:ascii="Times New Roman" w:hAnsi="Times New Roman" w:eastAsia="黑体" w:cs="Times New Roman"/>
          <w:b w:val="0"/>
          <w:bCs/>
          <w:spacing w:val="4"/>
          <w:kern w:val="2"/>
          <w:sz w:val="32"/>
          <w:szCs w:val="32"/>
        </w:rPr>
        <w:t>2.</w:t>
      </w:r>
      <w:r>
        <w:rPr>
          <w:rFonts w:hint="eastAsia" w:ascii="Times New Roman" w:hAnsi="Times New Roman" w:eastAsia="黑体" w:cs="Times New Roman"/>
          <w:b w:val="0"/>
          <w:bCs/>
          <w:spacing w:val="4"/>
          <w:kern w:val="2"/>
          <w:sz w:val="32"/>
          <w:szCs w:val="32"/>
        </w:rPr>
        <w:t>7</w:t>
      </w:r>
      <w:r>
        <w:rPr>
          <w:rFonts w:ascii="Times New Roman" w:hAnsi="Times New Roman" w:eastAsia="黑体" w:cs="Times New Roman"/>
          <w:b w:val="0"/>
          <w:bCs/>
          <w:spacing w:val="4"/>
          <w:kern w:val="2"/>
          <w:sz w:val="32"/>
          <w:szCs w:val="32"/>
        </w:rPr>
        <w:t xml:space="preserve"> </w:t>
      </w:r>
      <w:r>
        <w:rPr>
          <w:rFonts w:hint="eastAsia" w:ascii="Times New Roman" w:hAnsi="Times New Roman" w:eastAsia="黑体" w:cs="Times New Roman"/>
          <w:b w:val="0"/>
          <w:bCs/>
          <w:spacing w:val="4"/>
          <w:kern w:val="2"/>
          <w:sz w:val="32"/>
          <w:szCs w:val="32"/>
        </w:rPr>
        <w:t>污染控制与环境保护目标</w:t>
      </w:r>
      <w:bookmarkEnd w:id="202"/>
    </w:p>
    <w:p>
      <w:pPr>
        <w:jc w:val="left"/>
        <w:outlineLvl w:val="2"/>
        <w:rPr>
          <w:rFonts w:eastAsia="黑体"/>
          <w:bCs/>
          <w:sz w:val="28"/>
          <w:szCs w:val="28"/>
        </w:rPr>
      </w:pPr>
      <w:r>
        <w:rPr>
          <w:rFonts w:hint="eastAsia" w:eastAsia="黑体"/>
          <w:bCs/>
          <w:sz w:val="28"/>
          <w:szCs w:val="28"/>
        </w:rPr>
        <w:t>2</w:t>
      </w:r>
      <w:r>
        <w:rPr>
          <w:rFonts w:eastAsia="黑体"/>
          <w:bCs/>
          <w:sz w:val="28"/>
          <w:szCs w:val="28"/>
        </w:rPr>
        <w:t>.7.1 污染控制的目标</w:t>
      </w:r>
      <w:bookmarkEnd w:id="203"/>
      <w:bookmarkEnd w:id="204"/>
      <w:bookmarkEnd w:id="205"/>
      <w:bookmarkEnd w:id="206"/>
      <w:bookmarkEnd w:id="207"/>
      <w:bookmarkEnd w:id="208"/>
      <w:bookmarkEnd w:id="209"/>
      <w:bookmarkEnd w:id="210"/>
    </w:p>
    <w:bookmarkEnd w:id="137"/>
    <w:bookmarkEnd w:id="138"/>
    <w:bookmarkEnd w:id="139"/>
    <w:bookmarkEnd w:id="159"/>
    <w:bookmarkEnd w:id="160"/>
    <w:bookmarkEnd w:id="161"/>
    <w:p>
      <w:pPr>
        <w:adjustRightInd w:val="0"/>
        <w:snapToGrid w:val="0"/>
        <w:ind w:firstLine="480" w:firstLineChars="200"/>
      </w:pPr>
      <w:bookmarkStart w:id="211" w:name="_Toc465560744"/>
      <w:bookmarkStart w:id="212" w:name="_Toc407097735"/>
      <w:bookmarkStart w:id="213" w:name="_Toc115259809"/>
      <w:bookmarkStart w:id="214" w:name="_Toc464181525"/>
      <w:bookmarkStart w:id="215" w:name="_Toc464179514"/>
      <w:bookmarkStart w:id="216" w:name="_Toc423336642"/>
      <w:bookmarkStart w:id="217" w:name="_Toc179923030"/>
      <w:bookmarkStart w:id="218" w:name="_Toc414717293"/>
      <w:bookmarkStart w:id="219" w:name="_Toc82857186"/>
      <w:bookmarkStart w:id="220" w:name="_Toc414350350"/>
      <w:bookmarkStart w:id="221" w:name="_Toc457959589"/>
      <w:bookmarkStart w:id="222" w:name="_Toc114997730"/>
      <w:bookmarkStart w:id="223" w:name="_Toc457960077"/>
      <w:bookmarkStart w:id="224" w:name="_Toc457480920"/>
      <w:bookmarkStart w:id="225" w:name="_Toc88466685"/>
      <w:bookmarkStart w:id="226" w:name="_Toc56581456"/>
      <w:bookmarkStart w:id="227" w:name="_Toc457960078"/>
      <w:bookmarkStart w:id="228" w:name="_Toc457959590"/>
      <w:bookmarkStart w:id="229" w:name="_Toc464179516"/>
      <w:bookmarkStart w:id="230" w:name="_Toc414717291"/>
      <w:bookmarkStart w:id="231" w:name="_Toc414350348"/>
      <w:bookmarkStart w:id="232" w:name="_Toc407097733"/>
      <w:bookmarkStart w:id="233" w:name="_Toc464181527"/>
      <w:bookmarkStart w:id="234" w:name="_Toc414717289"/>
      <w:bookmarkStart w:id="235" w:name="_Toc414350346"/>
      <w:bookmarkStart w:id="236" w:name="_Toc407097731"/>
      <w:r>
        <w:t>采取有效的污染治理措施，控制本项目运行期间大气、水、噪声、固体废物等污染物的排放量，做到达标排放。项目建成后，周围环境质量不低于现有的环境质量功能。营运期重点论述项目废水、废气、固废治理措施的可行性。</w:t>
      </w:r>
    </w:p>
    <w:p>
      <w:pPr>
        <w:jc w:val="left"/>
        <w:outlineLvl w:val="2"/>
        <w:rPr>
          <w:rFonts w:eastAsia="黑体"/>
          <w:bCs/>
          <w:sz w:val="28"/>
          <w:szCs w:val="28"/>
        </w:rPr>
      </w:pPr>
      <w:r>
        <w:rPr>
          <w:rFonts w:hint="eastAsia" w:eastAsia="黑体"/>
          <w:bCs/>
          <w:sz w:val="28"/>
          <w:szCs w:val="28"/>
        </w:rPr>
        <w:t>2</w:t>
      </w:r>
      <w:r>
        <w:rPr>
          <w:rFonts w:eastAsia="黑体"/>
          <w:bCs/>
          <w:sz w:val="28"/>
          <w:szCs w:val="28"/>
        </w:rPr>
        <w:t>.7.2 环境保护目标</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Pr>
          <w:rFonts w:hint="eastAsia" w:eastAsia="黑体"/>
          <w:bCs/>
          <w:sz w:val="28"/>
          <w:szCs w:val="28"/>
        </w:rPr>
        <w:t xml:space="preserve">                                                                                                                                                                                                                                                                                                                                                                                                                                                                                                                                                                                                                                                                                                                                                                                                                                                                                                                                                                                                                                                                                                                                                                                                                                                                                                                                                                                                                                                                                                   </w:t>
      </w:r>
    </w:p>
    <w:p>
      <w:pPr>
        <w:pStyle w:val="970"/>
        <w:snapToGrid w:val="0"/>
        <w:ind w:firstLine="0"/>
        <w:outlineLvl w:val="3"/>
        <w:rPr>
          <w:rFonts w:eastAsia="黑体"/>
          <w:bCs/>
          <w:szCs w:val="24"/>
        </w:rPr>
      </w:pPr>
      <w:r>
        <w:rPr>
          <w:rFonts w:hint="eastAsia" w:eastAsia="黑体"/>
          <w:bCs/>
          <w:szCs w:val="24"/>
        </w:rPr>
        <w:t>2</w:t>
      </w:r>
      <w:r>
        <w:rPr>
          <w:rFonts w:eastAsia="黑体"/>
          <w:bCs/>
          <w:szCs w:val="24"/>
        </w:rPr>
        <w:t>.7.2.1  场址周边环境保护目标</w:t>
      </w:r>
    </w:p>
    <w:p>
      <w:pPr>
        <w:adjustRightInd w:val="0"/>
        <w:snapToGrid w:val="0"/>
        <w:ind w:firstLine="480" w:firstLineChars="200"/>
      </w:pPr>
      <w:r>
        <w:t>（1）项目周边外环境介绍</w:t>
      </w:r>
    </w:p>
    <w:p>
      <w:pPr>
        <w:adjustRightInd w:val="0"/>
        <w:snapToGrid w:val="0"/>
        <w:ind w:firstLine="480" w:firstLineChars="200"/>
      </w:pPr>
      <w:bookmarkStart w:id="237" w:name="_Toc423336643"/>
      <w:bookmarkStart w:id="238" w:name="_Toc457480921"/>
      <w:bookmarkStart w:id="239" w:name="_Toc114997731"/>
      <w:bookmarkStart w:id="240" w:name="_Toc465560745"/>
      <w:bookmarkStart w:id="241" w:name="_Toc56581457"/>
      <w:bookmarkStart w:id="242" w:name="_Toc82857187"/>
      <w:bookmarkStart w:id="243" w:name="_Toc115259810"/>
      <w:bookmarkStart w:id="244" w:name="_Toc88466686"/>
      <w:bookmarkStart w:id="245" w:name="_Toc179923031"/>
      <w:r>
        <w:t>根据现场勘查，本项目位于</w:t>
      </w:r>
      <w:r>
        <w:rPr>
          <w:rFonts w:hint="eastAsia"/>
        </w:rPr>
        <w:t>乐山市井研县</w:t>
      </w:r>
      <w:r>
        <w:t>高凤乡星星亮村，</w:t>
      </w:r>
      <w:r>
        <w:rPr>
          <w:rFonts w:hint="eastAsia"/>
        </w:rPr>
        <w:t>不属于城镇居民生活区内，项目</w:t>
      </w:r>
      <w:r>
        <w:t>猪舍和生活办公区域</w:t>
      </w:r>
      <w:r>
        <w:rPr>
          <w:rFonts w:hint="eastAsia"/>
        </w:rPr>
        <w:t>位于</w:t>
      </w:r>
      <w:r>
        <w:t>厂区</w:t>
      </w:r>
      <w:r>
        <w:rPr>
          <w:rFonts w:hint="eastAsia"/>
        </w:rPr>
        <w:t>东北部及中部</w:t>
      </w:r>
      <w:r>
        <w:t>，</w:t>
      </w:r>
      <w:r>
        <w:rPr>
          <w:rFonts w:hint="eastAsia"/>
        </w:rPr>
        <w:t>本项目已流转周边6</w:t>
      </w:r>
      <w:r>
        <w:t>89</w:t>
      </w:r>
      <w:r>
        <w:rPr>
          <w:rFonts w:hint="eastAsia"/>
        </w:rPr>
        <w:t>亩土地拟种植水稻、蔬菜、果树等，</w:t>
      </w:r>
      <w:r>
        <w:t>项目周边为农村环境，周边主要为耕地和农田，无其他工业企业，通过现场调查，</w:t>
      </w:r>
      <w:r>
        <w:rPr>
          <w:rFonts w:hint="eastAsia"/>
        </w:rPr>
        <w:t>企业流转土地中共由四个地块不属于基本农田，其余范围均为基本农田（共1</w:t>
      </w:r>
      <w:r>
        <w:t>29</w:t>
      </w:r>
      <w:r>
        <w:rPr>
          <w:rFonts w:hint="eastAsia"/>
        </w:rPr>
        <w:t>亩），考虑项目占地拆迁等工程量，建设单位拟利用其中3个地块（占地约8</w:t>
      </w:r>
      <w:r>
        <w:t>7</w:t>
      </w:r>
      <w:r>
        <w:rPr>
          <w:rFonts w:hint="eastAsia"/>
        </w:rPr>
        <w:t>亩），其中</w:t>
      </w:r>
      <w:r>
        <w:t>1#</w:t>
      </w:r>
      <w:r>
        <w:rPr>
          <w:rFonts w:hint="eastAsia"/>
        </w:rPr>
        <w:t>地块占地面积2</w:t>
      </w:r>
      <w:r>
        <w:t>6983.06m</w:t>
      </w:r>
      <w:r>
        <w:rPr>
          <w:vertAlign w:val="superscript"/>
        </w:rPr>
        <w:t>2</w:t>
      </w:r>
      <w:r>
        <w:rPr>
          <w:rFonts w:hint="eastAsia"/>
        </w:rPr>
        <w:t>、</w:t>
      </w:r>
      <w:r>
        <w:t>2#</w:t>
      </w:r>
      <w:r>
        <w:rPr>
          <w:rFonts w:hint="eastAsia"/>
        </w:rPr>
        <w:t>地块占地面积1</w:t>
      </w:r>
      <w:r>
        <w:t>0277.57m</w:t>
      </w:r>
      <w:r>
        <w:rPr>
          <w:vertAlign w:val="superscript"/>
        </w:rPr>
        <w:t>2</w:t>
      </w:r>
      <w:r>
        <w:rPr>
          <w:rFonts w:hint="eastAsia"/>
        </w:rPr>
        <w:t>、</w:t>
      </w:r>
      <w:r>
        <w:t>3#</w:t>
      </w:r>
      <w:r>
        <w:rPr>
          <w:rFonts w:hint="eastAsia"/>
        </w:rPr>
        <w:t>地块占地面积</w:t>
      </w:r>
      <w:r>
        <w:t>20856.61m</w:t>
      </w:r>
      <w:r>
        <w:rPr>
          <w:vertAlign w:val="superscript"/>
        </w:rPr>
        <w:t>2</w:t>
      </w:r>
      <w:r>
        <w:rPr>
          <w:rFonts w:hint="eastAsia"/>
        </w:rPr>
        <w:t>，项目占地均不属于基本农田，流转土地内的其他土地均不改变土地使用性质，由于1#地块主要用于生猪养殖，</w:t>
      </w:r>
      <w:r>
        <w:t>2</w:t>
      </w:r>
      <w:r>
        <w:rPr>
          <w:rFonts w:hint="eastAsia"/>
        </w:rPr>
        <w:t>#地块用于修建办公宿舍，3地块修建车辆转换区，现将生产区域（1#地块）地块外环境关系介绍如下：</w:t>
      </w:r>
    </w:p>
    <w:p>
      <w:pPr>
        <w:adjustRightInd w:val="0"/>
        <w:snapToGrid w:val="0"/>
        <w:ind w:firstLine="480" w:firstLineChars="200"/>
      </w:pPr>
      <w:r>
        <w:t>1</w:t>
      </w:r>
      <w:r>
        <w:rPr>
          <w:rFonts w:hint="eastAsia"/>
        </w:rPr>
        <w:t>#地块位于</w:t>
      </w:r>
      <w:r>
        <w:t>高凤乡星星亮村</w:t>
      </w:r>
      <w:r>
        <w:rPr>
          <w:rFonts w:hint="eastAsia"/>
        </w:rPr>
        <w:t>，根据现场调查，并结合</w:t>
      </w:r>
      <w:r>
        <w:t>1</w:t>
      </w:r>
      <w:r>
        <w:rPr>
          <w:rFonts w:hint="eastAsia"/>
        </w:rPr>
        <w:t>#地块平面布置，根据现场调查：</w:t>
      </w:r>
    </w:p>
    <w:p>
      <w:pPr>
        <w:adjustRightInd w:val="0"/>
        <w:snapToGrid w:val="0"/>
        <w:ind w:firstLine="482" w:firstLineChars="200"/>
      </w:pPr>
      <w:r>
        <w:rPr>
          <w:rFonts w:hint="eastAsia"/>
          <w:b/>
          <w:bCs/>
        </w:rPr>
        <w:t>东侧：</w:t>
      </w:r>
      <w:r>
        <w:rPr>
          <w:rFonts w:hint="eastAsia"/>
        </w:rPr>
        <w:t>东侧</w:t>
      </w:r>
      <w:r>
        <w:t>65</w:t>
      </w:r>
      <w:r>
        <w:rPr>
          <w:rFonts w:hint="eastAsia"/>
        </w:rPr>
        <w:t>m处为陡崖，</w:t>
      </w:r>
      <w:r>
        <w:t>陡崖下方为无名溪沟，东侧距离</w:t>
      </w:r>
      <w:r>
        <w:rPr>
          <w:rFonts w:hint="eastAsia"/>
        </w:rPr>
        <w:t>红星村</w:t>
      </w:r>
      <w:r>
        <w:t>农户</w:t>
      </w:r>
      <w:r>
        <w:rPr>
          <w:rFonts w:hint="eastAsia"/>
        </w:rPr>
        <w:t>（</w:t>
      </w:r>
      <w:r>
        <w:t>7</w:t>
      </w:r>
      <w:r>
        <w:rPr>
          <w:rFonts w:hint="eastAsia"/>
        </w:rPr>
        <w:t>户）</w:t>
      </w:r>
      <w:r>
        <w:t>最近距离182m</w:t>
      </w:r>
      <w:r>
        <w:rPr>
          <w:rFonts w:hint="eastAsia"/>
        </w:rPr>
        <w:t>（</w:t>
      </w:r>
      <w:r>
        <w:t>距离</w:t>
      </w:r>
      <w:r>
        <w:rPr>
          <w:rFonts w:hint="eastAsia"/>
        </w:rPr>
        <w:t>车间分娩舍</w:t>
      </w:r>
      <w:r>
        <w:t>193m</w:t>
      </w:r>
      <w:r>
        <w:rPr>
          <w:rFonts w:hint="eastAsia"/>
        </w:rPr>
        <w:t>）</w:t>
      </w:r>
      <w:r>
        <w:t>，</w:t>
      </w:r>
      <w:r>
        <w:rPr>
          <w:rFonts w:hint="eastAsia"/>
        </w:rPr>
        <w:t>东侧</w:t>
      </w:r>
      <w:r>
        <w:t>337m</w:t>
      </w:r>
      <w:r>
        <w:rPr>
          <w:rFonts w:hint="eastAsia"/>
        </w:rPr>
        <w:t>为红星水库（中间有山体阻隔），水库主要功能为灌溉，具有饮用水源功能，项目位于水库下游，项目临近无名溪沟未汇入红星水库。</w:t>
      </w:r>
    </w:p>
    <w:p>
      <w:pPr>
        <w:adjustRightInd w:val="0"/>
        <w:snapToGrid w:val="0"/>
        <w:ind w:firstLine="482" w:firstLineChars="200"/>
      </w:pPr>
      <w:r>
        <w:rPr>
          <w:rFonts w:hint="eastAsia"/>
          <w:b/>
          <w:bCs/>
        </w:rPr>
        <w:t>东南侧：</w:t>
      </w:r>
      <w:r>
        <w:t>东南侧</w:t>
      </w:r>
      <w:r>
        <w:rPr>
          <w:rFonts w:hint="eastAsia"/>
        </w:rPr>
        <w:t>东侧</w:t>
      </w:r>
      <w:r>
        <w:t>67</w:t>
      </w:r>
      <w:r>
        <w:rPr>
          <w:rFonts w:hint="eastAsia"/>
        </w:rPr>
        <w:t>m处为陡崖，</w:t>
      </w:r>
      <w:r>
        <w:t>陡崖下方为无名溪沟，东</w:t>
      </w:r>
      <w:r>
        <w:rPr>
          <w:rFonts w:hint="eastAsia"/>
        </w:rPr>
        <w:t>南</w:t>
      </w:r>
      <w:r>
        <w:t>侧距离</w:t>
      </w:r>
      <w:r>
        <w:rPr>
          <w:rFonts w:hint="eastAsia"/>
        </w:rPr>
        <w:t>红星村</w:t>
      </w:r>
      <w:r>
        <w:t>农户</w:t>
      </w:r>
      <w:r>
        <w:rPr>
          <w:rFonts w:hint="eastAsia"/>
        </w:rPr>
        <w:t>（</w:t>
      </w:r>
      <w:r>
        <w:t>4</w:t>
      </w:r>
      <w:r>
        <w:rPr>
          <w:rFonts w:hint="eastAsia"/>
        </w:rPr>
        <w:t>户）</w:t>
      </w:r>
      <w:r>
        <w:t>最近距离250m</w:t>
      </w:r>
      <w:r>
        <w:rPr>
          <w:rFonts w:hint="eastAsia"/>
        </w:rPr>
        <w:t>（</w:t>
      </w:r>
      <w:r>
        <w:t>距离</w:t>
      </w:r>
      <w:r>
        <w:rPr>
          <w:rFonts w:hint="eastAsia"/>
        </w:rPr>
        <w:t>车间分娩舍</w:t>
      </w:r>
      <w:r>
        <w:t>252m</w:t>
      </w:r>
      <w:r>
        <w:rPr>
          <w:rFonts w:hint="eastAsia"/>
        </w:rPr>
        <w:t>）。</w:t>
      </w:r>
    </w:p>
    <w:p>
      <w:pPr>
        <w:pStyle w:val="2"/>
        <w:ind w:firstLine="482"/>
        <w:rPr>
          <w:rFonts w:hint="default"/>
          <w:color w:val="auto"/>
        </w:rPr>
      </w:pPr>
      <w:r>
        <w:rPr>
          <w:b/>
          <w:bCs/>
          <w:color w:val="auto"/>
        </w:rPr>
        <w:t>南侧：</w:t>
      </w:r>
      <w:r>
        <w:rPr>
          <w:color w:val="auto"/>
        </w:rPr>
        <w:t>南侧主要以耕地及分散农户为主，其中最近居民（3户）距离</w:t>
      </w:r>
      <w:r>
        <w:rPr>
          <w:rFonts w:hint="default"/>
          <w:color w:val="auto"/>
        </w:rPr>
        <w:t>144m</w:t>
      </w:r>
      <w:r>
        <w:rPr>
          <w:color w:val="auto"/>
        </w:rPr>
        <w:t>（距离车间1</w:t>
      </w:r>
      <w:r>
        <w:rPr>
          <w:rFonts w:hint="default"/>
          <w:color w:val="auto"/>
        </w:rPr>
        <w:t>58m</w:t>
      </w:r>
      <w:r>
        <w:rPr>
          <w:color w:val="auto"/>
        </w:rPr>
        <w:t>）。</w:t>
      </w:r>
    </w:p>
    <w:p>
      <w:pPr>
        <w:pStyle w:val="2"/>
        <w:ind w:firstLine="482"/>
        <w:rPr>
          <w:rFonts w:hint="default"/>
          <w:color w:val="auto"/>
        </w:rPr>
      </w:pPr>
      <w:r>
        <w:rPr>
          <w:b/>
          <w:bCs/>
          <w:color w:val="auto"/>
        </w:rPr>
        <w:t>西南侧：</w:t>
      </w:r>
      <w:r>
        <w:rPr>
          <w:color w:val="auto"/>
        </w:rPr>
        <w:t>西南侧主要以耕地及分散农户为主，其中最近1户星星亮村3组农户距离</w:t>
      </w:r>
      <w:r>
        <w:rPr>
          <w:rFonts w:hint="default"/>
          <w:color w:val="auto"/>
        </w:rPr>
        <w:t>27m</w:t>
      </w:r>
      <w:r>
        <w:rPr>
          <w:color w:val="auto"/>
        </w:rPr>
        <w:t>（距离车间</w:t>
      </w:r>
      <w:r>
        <w:rPr>
          <w:rFonts w:hint="default"/>
          <w:color w:val="auto"/>
        </w:rPr>
        <w:t>38m</w:t>
      </w:r>
      <w:r>
        <w:rPr>
          <w:color w:val="auto"/>
        </w:rPr>
        <w:t>），西南侧1</w:t>
      </w:r>
      <w:r>
        <w:rPr>
          <w:rFonts w:hint="default"/>
          <w:color w:val="auto"/>
        </w:rPr>
        <w:t>41m</w:t>
      </w:r>
      <w:r>
        <w:rPr>
          <w:color w:val="auto"/>
        </w:rPr>
        <w:t>范围内分布有3户农户（距离车间</w:t>
      </w:r>
      <w:r>
        <w:rPr>
          <w:rFonts w:hint="default"/>
          <w:color w:val="auto"/>
        </w:rPr>
        <w:t>164m</w:t>
      </w:r>
      <w:r>
        <w:rPr>
          <w:color w:val="auto"/>
        </w:rPr>
        <w:t>）。</w:t>
      </w:r>
    </w:p>
    <w:p>
      <w:pPr>
        <w:pStyle w:val="192"/>
        <w:ind w:firstLine="482"/>
      </w:pPr>
      <w:r>
        <w:rPr>
          <w:rFonts w:hint="eastAsia"/>
          <w:b/>
          <w:bCs/>
        </w:rPr>
        <w:t>西侧：</w:t>
      </w:r>
      <w:r>
        <w:rPr>
          <w:rFonts w:hint="eastAsia"/>
        </w:rPr>
        <w:t>为项目</w:t>
      </w:r>
      <w:r>
        <w:t>2</w:t>
      </w:r>
      <w:r>
        <w:rPr>
          <w:rFonts w:hint="eastAsia"/>
        </w:rPr>
        <w:t>#地块（主要用于项目办公及宿舍），西侧距离厂界最近距离</w:t>
      </w:r>
      <w:r>
        <w:t>104</w:t>
      </w:r>
      <w:r>
        <w:rPr>
          <w:rFonts w:hint="eastAsia"/>
        </w:rPr>
        <w:t>~</w:t>
      </w:r>
      <w:r>
        <w:t>234m</w:t>
      </w:r>
      <w:r>
        <w:rPr>
          <w:rFonts w:hint="eastAsia"/>
        </w:rPr>
        <w:t>（距离车间最近距离1</w:t>
      </w:r>
      <w:r>
        <w:t>83m</w:t>
      </w:r>
      <w:r>
        <w:rPr>
          <w:rFonts w:hint="eastAsia"/>
        </w:rPr>
        <w:t>~</w:t>
      </w:r>
      <w:r>
        <w:t>342m</w:t>
      </w:r>
      <w:r>
        <w:rPr>
          <w:rFonts w:hint="eastAsia"/>
        </w:rPr>
        <w:t>），2#地块紧邻星星亮村3组村民。</w:t>
      </w:r>
    </w:p>
    <w:p>
      <w:pPr>
        <w:adjustRightInd w:val="0"/>
        <w:snapToGrid w:val="0"/>
        <w:ind w:firstLine="482" w:firstLineChars="200"/>
      </w:pPr>
      <w:r>
        <w:rPr>
          <w:rFonts w:hint="eastAsia"/>
          <w:b/>
          <w:bCs/>
        </w:rPr>
        <w:t>北侧：</w:t>
      </w:r>
      <w:r>
        <w:rPr>
          <w:rFonts w:hint="eastAsia"/>
        </w:rPr>
        <w:t>北侧7</w:t>
      </w:r>
      <w:r>
        <w:t>5m</w:t>
      </w:r>
      <w:r>
        <w:rPr>
          <w:rFonts w:hint="eastAsia"/>
        </w:rPr>
        <w:t>范围内为基本农田（地势较</w:t>
      </w:r>
      <w:r>
        <w:t>2</w:t>
      </w:r>
      <w:r>
        <w:rPr>
          <w:rFonts w:hint="eastAsia"/>
        </w:rPr>
        <w:t>#地块低约2</w:t>
      </w:r>
      <w:r>
        <w:t>5m</w:t>
      </w:r>
      <w:r>
        <w:rPr>
          <w:rFonts w:hint="eastAsia"/>
        </w:rPr>
        <w:t>），北侧约</w:t>
      </w:r>
      <w:r>
        <w:t>75</w:t>
      </w:r>
      <w:r>
        <w:rPr>
          <w:rFonts w:hint="eastAsia"/>
        </w:rPr>
        <w:t>m为其中一块非基本农田地块，为山坡地（建设单位不再利用），北侧1</w:t>
      </w:r>
      <w:r>
        <w:t>44</w:t>
      </w:r>
      <w:r>
        <w:rPr>
          <w:rFonts w:hint="eastAsia"/>
        </w:rPr>
        <w:t>m处分布有一户星星亮村3组村民，车间北侧</w:t>
      </w:r>
      <w:r>
        <w:t>306</w:t>
      </w:r>
      <w:r>
        <w:rPr>
          <w:rFonts w:hint="eastAsia"/>
        </w:rPr>
        <w:t>m沿基本农田边界零星分布有</w:t>
      </w:r>
      <w:r>
        <w:t>4</w:t>
      </w:r>
      <w:r>
        <w:rPr>
          <w:rFonts w:hint="eastAsia"/>
        </w:rPr>
        <w:t>户星星亮村3组农户（依山而建）。</w:t>
      </w:r>
    </w:p>
    <w:p>
      <w:pPr>
        <w:pStyle w:val="192"/>
        <w:ind w:firstLine="482"/>
      </w:pPr>
      <w:r>
        <w:rPr>
          <w:rFonts w:hint="eastAsia"/>
          <w:b/>
          <w:bCs/>
        </w:rPr>
        <w:t>东北侧：</w:t>
      </w:r>
      <w:r>
        <w:rPr>
          <w:rFonts w:hint="eastAsia"/>
        </w:rPr>
        <w:t>车间东北侧1</w:t>
      </w:r>
      <w:r>
        <w:t>41m</w:t>
      </w:r>
      <w:r>
        <w:rPr>
          <w:rFonts w:hint="eastAsia"/>
        </w:rPr>
        <w:t>~</w:t>
      </w:r>
      <w:r>
        <w:t>232m</w:t>
      </w:r>
      <w:r>
        <w:rPr>
          <w:rFonts w:hint="eastAsia"/>
        </w:rPr>
        <w:t>范围分布有1</w:t>
      </w:r>
      <w:r>
        <w:t>3</w:t>
      </w:r>
      <w:r>
        <w:rPr>
          <w:rFonts w:hint="eastAsia"/>
        </w:rPr>
        <w:t>户红星村4组农户。</w:t>
      </w:r>
    </w:p>
    <w:p>
      <w:pPr>
        <w:adjustRightInd w:val="0"/>
        <w:snapToGrid w:val="0"/>
        <w:ind w:firstLine="480" w:firstLineChars="200"/>
      </w:pPr>
      <w:r>
        <w:t>（2）项目恶臭源强</w:t>
      </w:r>
      <w:r>
        <w:rPr>
          <w:rFonts w:hint="eastAsia"/>
        </w:rPr>
        <w:t>1</w:t>
      </w:r>
      <w:r>
        <w:t>00m范围内敏感点（即需环保拆迁敏感点）分布情况</w:t>
      </w:r>
    </w:p>
    <w:p>
      <w:pPr>
        <w:adjustRightInd w:val="0"/>
        <w:snapToGrid w:val="0"/>
        <w:ind w:firstLine="480" w:firstLineChars="200"/>
      </w:pPr>
      <w:r>
        <w:t>根据现场调查，本项目拟设卫生防护距离为猪舍外围</w:t>
      </w:r>
      <w:r>
        <w:rPr>
          <w:rFonts w:hint="eastAsia"/>
        </w:rPr>
        <w:t>1</w:t>
      </w:r>
      <w:r>
        <w:t>00m，根据现场调查，该范围内分布有1户</w:t>
      </w:r>
      <w:r>
        <w:rPr>
          <w:rFonts w:hint="eastAsia"/>
        </w:rPr>
        <w:t>农户</w:t>
      </w:r>
      <w:r>
        <w:t>，</w:t>
      </w:r>
      <w:r>
        <w:rPr>
          <w:rFonts w:hint="eastAsia"/>
        </w:rPr>
        <w:t>该户农户</w:t>
      </w:r>
      <w:r>
        <w:t>分布情况见表2.</w:t>
      </w:r>
      <w:r>
        <w:rPr>
          <w:rFonts w:hint="eastAsia"/>
        </w:rPr>
        <w:t>7</w:t>
      </w:r>
      <w:r>
        <w:t>-1。</w:t>
      </w:r>
    </w:p>
    <w:p>
      <w:pPr>
        <w:snapToGrid w:val="0"/>
        <w:spacing w:line="240" w:lineRule="auto"/>
        <w:jc w:val="center"/>
        <w:rPr>
          <w:rFonts w:eastAsia="黑体"/>
        </w:rPr>
      </w:pPr>
      <w:r>
        <w:rPr>
          <w:rFonts w:eastAsia="黑体"/>
        </w:rPr>
        <w:t>表2.</w:t>
      </w:r>
      <w:r>
        <w:rPr>
          <w:rFonts w:hint="eastAsia" w:eastAsia="黑体"/>
        </w:rPr>
        <w:t>7</w:t>
      </w:r>
      <w:r>
        <w:rPr>
          <w:rFonts w:eastAsia="黑体"/>
        </w:rPr>
        <w:t>-1</w:t>
      </w:r>
      <w:r>
        <w:rPr>
          <w:rFonts w:hint="eastAsia" w:eastAsia="黑体"/>
        </w:rPr>
        <w:t xml:space="preserve"> 卫生防护距离范围</w:t>
      </w:r>
      <w:r>
        <w:rPr>
          <w:rFonts w:eastAsia="黑体"/>
        </w:rPr>
        <w:t>内</w:t>
      </w:r>
      <w:r>
        <w:rPr>
          <w:rFonts w:hint="eastAsia" w:eastAsia="黑体"/>
        </w:rPr>
        <w:t>（3号车间外1</w:t>
      </w:r>
      <w:r>
        <w:rPr>
          <w:rFonts w:eastAsia="黑体"/>
        </w:rPr>
        <w:t>00m</w:t>
      </w:r>
      <w:r>
        <w:rPr>
          <w:rFonts w:hint="eastAsia" w:eastAsia="黑体"/>
        </w:rPr>
        <w:t>范围内）</w:t>
      </w:r>
      <w:r>
        <w:rPr>
          <w:rFonts w:eastAsia="黑体"/>
        </w:rPr>
        <w:t>敏感点分布情况</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15"/>
        <w:gridCol w:w="969"/>
        <w:gridCol w:w="3087"/>
        <w:gridCol w:w="1665"/>
        <w:gridCol w:w="1665"/>
        <w:gridCol w:w="108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44" w:type="dxa"/>
            <w:vAlign w:val="center"/>
          </w:tcPr>
          <w:p>
            <w:pPr>
              <w:snapToGrid w:val="0"/>
              <w:spacing w:line="240" w:lineRule="auto"/>
              <w:jc w:val="center"/>
              <w:rPr>
                <w:sz w:val="21"/>
                <w:szCs w:val="21"/>
              </w:rPr>
            </w:pPr>
            <w:r>
              <w:rPr>
                <w:rFonts w:hint="eastAsia"/>
                <w:sz w:val="21"/>
                <w:szCs w:val="21"/>
              </w:rPr>
              <w:t>序号</w:t>
            </w:r>
          </w:p>
        </w:tc>
        <w:tc>
          <w:tcPr>
            <w:tcW w:w="1134" w:type="dxa"/>
            <w:vAlign w:val="center"/>
          </w:tcPr>
          <w:p>
            <w:pPr>
              <w:snapToGrid w:val="0"/>
              <w:spacing w:line="240" w:lineRule="auto"/>
              <w:jc w:val="center"/>
              <w:rPr>
                <w:sz w:val="21"/>
                <w:szCs w:val="21"/>
              </w:rPr>
            </w:pPr>
            <w:r>
              <w:rPr>
                <w:rFonts w:hint="eastAsia" w:hAnsi="宋体"/>
                <w:sz w:val="21"/>
                <w:szCs w:val="21"/>
              </w:rPr>
              <w:t>户主姓名</w:t>
            </w:r>
          </w:p>
        </w:tc>
        <w:tc>
          <w:tcPr>
            <w:tcW w:w="3729" w:type="dxa"/>
            <w:vAlign w:val="center"/>
          </w:tcPr>
          <w:p>
            <w:pPr>
              <w:snapToGrid w:val="0"/>
              <w:spacing w:line="240" w:lineRule="auto"/>
              <w:jc w:val="center"/>
              <w:rPr>
                <w:rFonts w:hAnsi="宋体"/>
                <w:sz w:val="21"/>
                <w:szCs w:val="21"/>
              </w:rPr>
            </w:pPr>
            <w:r>
              <w:rPr>
                <w:rFonts w:hint="eastAsia" w:hAnsi="宋体"/>
                <w:sz w:val="21"/>
                <w:szCs w:val="21"/>
              </w:rPr>
              <w:t>经纬度</w:t>
            </w:r>
          </w:p>
        </w:tc>
        <w:tc>
          <w:tcPr>
            <w:tcW w:w="1987" w:type="dxa"/>
            <w:vAlign w:val="center"/>
          </w:tcPr>
          <w:p>
            <w:pPr>
              <w:snapToGrid w:val="0"/>
              <w:spacing w:line="240" w:lineRule="auto"/>
              <w:jc w:val="center"/>
              <w:rPr>
                <w:rFonts w:hAnsi="宋体"/>
                <w:sz w:val="21"/>
                <w:szCs w:val="21"/>
              </w:rPr>
            </w:pPr>
            <w:r>
              <w:rPr>
                <w:rFonts w:hint="eastAsia" w:hAnsi="宋体"/>
                <w:sz w:val="21"/>
                <w:szCs w:val="21"/>
              </w:rPr>
              <w:t>家庭人数</w:t>
            </w:r>
          </w:p>
        </w:tc>
        <w:tc>
          <w:tcPr>
            <w:tcW w:w="1987" w:type="dxa"/>
            <w:vAlign w:val="center"/>
          </w:tcPr>
          <w:p>
            <w:pPr>
              <w:snapToGrid w:val="0"/>
              <w:spacing w:line="240" w:lineRule="auto"/>
              <w:jc w:val="center"/>
              <w:rPr>
                <w:rFonts w:hAnsi="宋体"/>
                <w:sz w:val="21"/>
                <w:szCs w:val="21"/>
              </w:rPr>
            </w:pPr>
            <w:r>
              <w:rPr>
                <w:rFonts w:hint="eastAsia" w:hAnsi="宋体"/>
                <w:sz w:val="21"/>
                <w:szCs w:val="21"/>
              </w:rPr>
              <w:t>所在村民小组</w:t>
            </w:r>
          </w:p>
        </w:tc>
        <w:tc>
          <w:tcPr>
            <w:tcW w:w="1277" w:type="dxa"/>
            <w:vAlign w:val="center"/>
          </w:tcPr>
          <w:p>
            <w:pPr>
              <w:snapToGrid w:val="0"/>
              <w:spacing w:line="240" w:lineRule="auto"/>
              <w:jc w:val="center"/>
              <w:rPr>
                <w:sz w:val="21"/>
                <w:szCs w:val="21"/>
              </w:rPr>
            </w:pPr>
            <w:r>
              <w:rPr>
                <w:rFonts w:hint="eastAsia" w:hAnsi="宋体"/>
                <w:sz w:val="21"/>
                <w:szCs w:val="21"/>
              </w:rPr>
              <w:t>距离圈舍距离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44" w:type="dxa"/>
            <w:vAlign w:val="center"/>
          </w:tcPr>
          <w:p>
            <w:pPr>
              <w:snapToGrid w:val="0"/>
              <w:spacing w:line="240" w:lineRule="auto"/>
              <w:jc w:val="center"/>
              <w:rPr>
                <w:sz w:val="21"/>
                <w:szCs w:val="21"/>
              </w:rPr>
            </w:pPr>
            <w:r>
              <w:rPr>
                <w:sz w:val="21"/>
                <w:szCs w:val="21"/>
              </w:rPr>
              <w:t>1</w:t>
            </w:r>
          </w:p>
        </w:tc>
        <w:tc>
          <w:tcPr>
            <w:tcW w:w="1134" w:type="dxa"/>
            <w:vAlign w:val="center"/>
          </w:tcPr>
          <w:p>
            <w:pPr>
              <w:snapToGrid w:val="0"/>
              <w:spacing w:line="240" w:lineRule="auto"/>
              <w:jc w:val="center"/>
              <w:rPr>
                <w:sz w:val="21"/>
                <w:szCs w:val="21"/>
              </w:rPr>
            </w:pPr>
            <w:r>
              <w:rPr>
                <w:rFonts w:hint="eastAsia"/>
                <w:sz w:val="21"/>
                <w:szCs w:val="21"/>
              </w:rPr>
              <w:t>张永易</w:t>
            </w:r>
          </w:p>
        </w:tc>
        <w:tc>
          <w:tcPr>
            <w:tcW w:w="3729" w:type="dxa"/>
            <w:vAlign w:val="center"/>
          </w:tcPr>
          <w:p>
            <w:pPr>
              <w:snapToGrid w:val="0"/>
              <w:spacing w:line="240" w:lineRule="auto"/>
              <w:jc w:val="center"/>
              <w:rPr>
                <w:sz w:val="21"/>
                <w:szCs w:val="21"/>
              </w:rPr>
            </w:pPr>
            <w:r>
              <w:rPr>
                <w:rFonts w:hint="eastAsia"/>
                <w:sz w:val="21"/>
                <w:szCs w:val="21"/>
              </w:rPr>
              <w:t>1</w:t>
            </w:r>
            <w:r>
              <w:rPr>
                <w:sz w:val="21"/>
                <w:szCs w:val="21"/>
              </w:rPr>
              <w:t>04</w:t>
            </w:r>
            <w:r>
              <w:rPr>
                <w:rFonts w:hint="eastAsia"/>
                <w:sz w:val="21"/>
                <w:szCs w:val="21"/>
              </w:rPr>
              <w:t>°</w:t>
            </w:r>
            <w:r>
              <w:rPr>
                <w:sz w:val="21"/>
                <w:szCs w:val="21"/>
              </w:rPr>
              <w:t>12</w:t>
            </w:r>
            <w:r>
              <w:rPr>
                <w:rFonts w:hint="eastAsia"/>
                <w:sz w:val="21"/>
                <w:szCs w:val="21"/>
              </w:rPr>
              <w:t>′</w:t>
            </w:r>
            <w:r>
              <w:rPr>
                <w:sz w:val="21"/>
                <w:szCs w:val="21"/>
              </w:rPr>
              <w:t>48.15</w:t>
            </w:r>
            <w:r>
              <w:rPr>
                <w:rFonts w:hint="eastAsia"/>
                <w:sz w:val="21"/>
                <w:szCs w:val="21"/>
              </w:rPr>
              <w:t>″，</w:t>
            </w:r>
          </w:p>
          <w:p>
            <w:pPr>
              <w:snapToGrid w:val="0"/>
              <w:spacing w:line="240" w:lineRule="auto"/>
              <w:jc w:val="center"/>
              <w:rPr>
                <w:sz w:val="21"/>
                <w:szCs w:val="21"/>
              </w:rPr>
            </w:pPr>
            <w:r>
              <w:rPr>
                <w:rFonts w:hint="eastAsia"/>
                <w:sz w:val="21"/>
                <w:szCs w:val="21"/>
              </w:rPr>
              <w:t>2</w:t>
            </w:r>
            <w:r>
              <w:rPr>
                <w:sz w:val="21"/>
                <w:szCs w:val="21"/>
              </w:rPr>
              <w:t>9</w:t>
            </w:r>
            <w:r>
              <w:rPr>
                <w:rFonts w:hint="eastAsia"/>
                <w:sz w:val="21"/>
                <w:szCs w:val="21"/>
              </w:rPr>
              <w:t>°</w:t>
            </w:r>
            <w:r>
              <w:rPr>
                <w:sz w:val="21"/>
                <w:szCs w:val="21"/>
              </w:rPr>
              <w:t>38</w:t>
            </w:r>
            <w:r>
              <w:rPr>
                <w:rFonts w:hint="eastAsia"/>
                <w:sz w:val="21"/>
                <w:szCs w:val="21"/>
              </w:rPr>
              <w:t>′</w:t>
            </w:r>
            <w:r>
              <w:rPr>
                <w:sz w:val="21"/>
                <w:szCs w:val="21"/>
              </w:rPr>
              <w:t>51.87</w:t>
            </w:r>
            <w:r>
              <w:rPr>
                <w:rFonts w:hint="eastAsia"/>
                <w:sz w:val="21"/>
                <w:szCs w:val="21"/>
              </w:rPr>
              <w:t>″</w:t>
            </w:r>
          </w:p>
        </w:tc>
        <w:tc>
          <w:tcPr>
            <w:tcW w:w="1987" w:type="dxa"/>
            <w:vAlign w:val="center"/>
          </w:tcPr>
          <w:p>
            <w:pPr>
              <w:snapToGrid w:val="0"/>
              <w:spacing w:line="240" w:lineRule="auto"/>
              <w:jc w:val="center"/>
              <w:rPr>
                <w:sz w:val="21"/>
                <w:szCs w:val="21"/>
              </w:rPr>
            </w:pPr>
            <w:r>
              <w:rPr>
                <w:rFonts w:hint="eastAsia"/>
                <w:sz w:val="21"/>
                <w:szCs w:val="21"/>
              </w:rPr>
              <w:t>4人</w:t>
            </w:r>
          </w:p>
        </w:tc>
        <w:tc>
          <w:tcPr>
            <w:tcW w:w="1987" w:type="dxa"/>
            <w:vAlign w:val="center"/>
          </w:tcPr>
          <w:p>
            <w:pPr>
              <w:snapToGrid w:val="0"/>
              <w:spacing w:line="240" w:lineRule="auto"/>
              <w:jc w:val="center"/>
              <w:rPr>
                <w:sz w:val="21"/>
                <w:szCs w:val="21"/>
              </w:rPr>
            </w:pPr>
            <w:r>
              <w:rPr>
                <w:rFonts w:hint="eastAsia"/>
                <w:sz w:val="21"/>
                <w:szCs w:val="21"/>
              </w:rPr>
              <w:t>星星亮村3组</w:t>
            </w:r>
          </w:p>
        </w:tc>
        <w:tc>
          <w:tcPr>
            <w:tcW w:w="1277" w:type="dxa"/>
            <w:vAlign w:val="center"/>
          </w:tcPr>
          <w:p>
            <w:pPr>
              <w:snapToGrid w:val="0"/>
              <w:spacing w:line="240" w:lineRule="auto"/>
              <w:jc w:val="center"/>
              <w:rPr>
                <w:sz w:val="21"/>
                <w:szCs w:val="21"/>
              </w:rPr>
            </w:pPr>
            <w:r>
              <w:rPr>
                <w:sz w:val="21"/>
                <w:szCs w:val="21"/>
              </w:rPr>
              <w:t>38m</w:t>
            </w:r>
          </w:p>
        </w:tc>
      </w:tr>
    </w:tbl>
    <w:p>
      <w:pPr>
        <w:adjustRightInd w:val="0"/>
        <w:snapToGrid w:val="0"/>
        <w:ind w:firstLine="480" w:firstLineChars="200"/>
        <w:rPr>
          <w:rFonts w:eastAsia="黑体"/>
          <w:bCs/>
        </w:rPr>
      </w:pPr>
    </w:p>
    <w:p>
      <w:pPr>
        <w:pStyle w:val="970"/>
        <w:snapToGrid w:val="0"/>
        <w:ind w:firstLine="0"/>
        <w:outlineLvl w:val="3"/>
        <w:rPr>
          <w:rFonts w:eastAsia="黑体"/>
          <w:bCs/>
          <w:szCs w:val="24"/>
        </w:rPr>
      </w:pPr>
      <w:r>
        <w:rPr>
          <w:rFonts w:hint="eastAsia" w:eastAsia="黑体"/>
          <w:bCs/>
          <w:szCs w:val="24"/>
        </w:rPr>
        <w:t>2</w:t>
      </w:r>
      <w:r>
        <w:rPr>
          <w:rFonts w:eastAsia="黑体"/>
          <w:bCs/>
          <w:szCs w:val="24"/>
        </w:rPr>
        <w:t>.7.2.2  环境保护目标</w:t>
      </w:r>
    </w:p>
    <w:p>
      <w:pPr>
        <w:adjustRightInd w:val="0"/>
        <w:snapToGrid w:val="0"/>
        <w:ind w:firstLine="480" w:firstLineChars="200"/>
      </w:pPr>
      <w:r>
        <w:t>（1）地表水</w:t>
      </w:r>
    </w:p>
    <w:p>
      <w:pPr>
        <w:adjustRightInd w:val="0"/>
        <w:snapToGrid w:val="0"/>
        <w:ind w:firstLine="480" w:firstLineChars="200"/>
      </w:pPr>
      <w:r>
        <w:t>本项目周边的河流主要为</w:t>
      </w:r>
      <w:r>
        <w:rPr>
          <w:rFonts w:hint="eastAsia"/>
        </w:rPr>
        <w:t>东林河及邻近的无名溪沟及东林河</w:t>
      </w:r>
      <w:r>
        <w:t>，因此，地表水环境保护目标为</w:t>
      </w:r>
      <w:r>
        <w:rPr>
          <w:rFonts w:hint="eastAsia"/>
        </w:rPr>
        <w:t>东林河</w:t>
      </w:r>
      <w:r>
        <w:t>，属于《地表水环境质量标准》（GB3838-2002）的Ⅲ类水域，保护其水体水质和水域功能不因本项目的建设而改变。</w:t>
      </w:r>
    </w:p>
    <w:p>
      <w:pPr>
        <w:adjustRightInd w:val="0"/>
        <w:snapToGrid w:val="0"/>
        <w:ind w:firstLine="480" w:firstLineChars="200"/>
      </w:pPr>
      <w:r>
        <w:t>（2）大气</w:t>
      </w:r>
    </w:p>
    <w:p>
      <w:pPr>
        <w:adjustRightInd w:val="0"/>
        <w:snapToGrid w:val="0"/>
        <w:ind w:firstLine="480" w:firstLineChars="200"/>
      </w:pPr>
      <w:r>
        <w:t>以评价范围内的住户等人群集中居住为主的建筑为保护目标。其环境功能为《环境空气质量标准》（GB3095-2012）中二类区，其环境空气质量不因项目建设而使其功能发生改变。</w:t>
      </w:r>
    </w:p>
    <w:p>
      <w:pPr>
        <w:adjustRightInd w:val="0"/>
        <w:snapToGrid w:val="0"/>
        <w:ind w:firstLine="480" w:firstLineChars="200"/>
      </w:pPr>
      <w:r>
        <w:t>（3）噪声</w:t>
      </w:r>
    </w:p>
    <w:p>
      <w:pPr>
        <w:snapToGrid w:val="0"/>
        <w:ind w:firstLine="480" w:firstLineChars="200"/>
      </w:pPr>
      <w:r>
        <w:t>项目所在地声环境保护目标为项目评价范围内的噪声敏感点，应满足《声环境质量标准》（GB3096-2008）2类标准的要求，使其声环境质量不因本项目的建设而改变。</w:t>
      </w:r>
    </w:p>
    <w:p>
      <w:pPr>
        <w:adjustRightInd w:val="0"/>
        <w:snapToGrid w:val="0"/>
        <w:ind w:firstLine="480" w:firstLineChars="200"/>
        <w:rPr>
          <w:rFonts w:eastAsia="黑体"/>
        </w:rPr>
      </w:pPr>
      <w:r>
        <w:t>项目主要环境保护目标见下表2.</w:t>
      </w:r>
      <w:r>
        <w:rPr>
          <w:rFonts w:hint="eastAsia"/>
        </w:rPr>
        <w:t>7</w:t>
      </w:r>
      <w:r>
        <w:t>-</w:t>
      </w:r>
      <w:r>
        <w:rPr>
          <w:rFonts w:hint="eastAsia"/>
        </w:rPr>
        <w:t>2</w:t>
      </w:r>
      <w:r>
        <w:t>。</w:t>
      </w:r>
    </w:p>
    <w:p>
      <w:pPr>
        <w:snapToGrid w:val="0"/>
        <w:spacing w:line="240" w:lineRule="auto"/>
        <w:jc w:val="center"/>
        <w:rPr>
          <w:rFonts w:eastAsia="黑体"/>
        </w:rPr>
      </w:pPr>
      <w:r>
        <w:rPr>
          <w:rFonts w:eastAsia="黑体"/>
        </w:rPr>
        <w:t>表2.</w:t>
      </w:r>
      <w:r>
        <w:rPr>
          <w:rFonts w:hint="eastAsia" w:eastAsia="黑体"/>
        </w:rPr>
        <w:t>7</w:t>
      </w:r>
      <w:r>
        <w:rPr>
          <w:rFonts w:eastAsia="黑体"/>
        </w:rPr>
        <w:t>-2 项目主要环境保护目标</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37"/>
        <w:gridCol w:w="613"/>
        <w:gridCol w:w="1697"/>
        <w:gridCol w:w="805"/>
        <w:gridCol w:w="2533"/>
        <w:gridCol w:w="1742"/>
        <w:gridCol w:w="11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Align w:val="center"/>
          </w:tcPr>
          <w:p>
            <w:pPr>
              <w:adjustRightInd w:val="0"/>
              <w:snapToGrid w:val="0"/>
              <w:spacing w:line="240" w:lineRule="auto"/>
              <w:jc w:val="center"/>
              <w:rPr>
                <w:kern w:val="0"/>
                <w:sz w:val="21"/>
                <w:szCs w:val="21"/>
              </w:rPr>
            </w:pPr>
            <w:r>
              <w:rPr>
                <w:kern w:val="0"/>
                <w:sz w:val="21"/>
                <w:szCs w:val="21"/>
                <w:lang w:bidi="ar"/>
              </w:rPr>
              <w:t>环境要素</w:t>
            </w:r>
          </w:p>
        </w:tc>
        <w:tc>
          <w:tcPr>
            <w:tcW w:w="599" w:type="dxa"/>
            <w:vAlign w:val="center"/>
          </w:tcPr>
          <w:p>
            <w:pPr>
              <w:adjustRightInd w:val="0"/>
              <w:snapToGrid w:val="0"/>
              <w:spacing w:line="240" w:lineRule="auto"/>
              <w:jc w:val="center"/>
              <w:rPr>
                <w:kern w:val="0"/>
                <w:sz w:val="21"/>
                <w:szCs w:val="21"/>
              </w:rPr>
            </w:pPr>
            <w:r>
              <w:rPr>
                <w:kern w:val="0"/>
                <w:sz w:val="21"/>
                <w:szCs w:val="21"/>
                <w:lang w:bidi="ar"/>
              </w:rPr>
              <w:t>序号</w:t>
            </w:r>
          </w:p>
        </w:tc>
        <w:tc>
          <w:tcPr>
            <w:tcW w:w="1658" w:type="dxa"/>
            <w:vAlign w:val="center"/>
          </w:tcPr>
          <w:p>
            <w:pPr>
              <w:adjustRightInd w:val="0"/>
              <w:snapToGrid w:val="0"/>
              <w:spacing w:line="240" w:lineRule="auto"/>
              <w:jc w:val="center"/>
              <w:rPr>
                <w:kern w:val="0"/>
                <w:sz w:val="21"/>
                <w:szCs w:val="21"/>
              </w:rPr>
            </w:pPr>
            <w:r>
              <w:rPr>
                <w:kern w:val="0"/>
                <w:sz w:val="21"/>
                <w:szCs w:val="21"/>
                <w:lang w:bidi="ar"/>
              </w:rPr>
              <w:t>名称</w:t>
            </w:r>
          </w:p>
        </w:tc>
        <w:tc>
          <w:tcPr>
            <w:tcW w:w="786" w:type="dxa"/>
            <w:vAlign w:val="center"/>
          </w:tcPr>
          <w:p>
            <w:pPr>
              <w:adjustRightInd w:val="0"/>
              <w:snapToGrid w:val="0"/>
              <w:spacing w:line="240" w:lineRule="auto"/>
              <w:jc w:val="center"/>
              <w:rPr>
                <w:kern w:val="0"/>
                <w:sz w:val="21"/>
                <w:szCs w:val="21"/>
              </w:rPr>
            </w:pPr>
            <w:r>
              <w:rPr>
                <w:kern w:val="0"/>
                <w:sz w:val="21"/>
                <w:szCs w:val="21"/>
                <w:lang w:bidi="ar"/>
              </w:rPr>
              <w:t>厂界方位</w:t>
            </w:r>
          </w:p>
        </w:tc>
        <w:tc>
          <w:tcPr>
            <w:tcW w:w="2474" w:type="dxa"/>
            <w:vAlign w:val="center"/>
          </w:tcPr>
          <w:p>
            <w:pPr>
              <w:adjustRightInd w:val="0"/>
              <w:snapToGrid w:val="0"/>
              <w:spacing w:line="240" w:lineRule="auto"/>
              <w:jc w:val="center"/>
              <w:rPr>
                <w:kern w:val="0"/>
                <w:sz w:val="21"/>
                <w:szCs w:val="21"/>
              </w:rPr>
            </w:pPr>
            <w:r>
              <w:rPr>
                <w:kern w:val="0"/>
                <w:sz w:val="21"/>
                <w:szCs w:val="21"/>
                <w:lang w:bidi="ar"/>
              </w:rPr>
              <w:t>与厂界相对距离（m）</w:t>
            </w:r>
          </w:p>
        </w:tc>
        <w:tc>
          <w:tcPr>
            <w:tcW w:w="1701" w:type="dxa"/>
            <w:vAlign w:val="center"/>
          </w:tcPr>
          <w:p>
            <w:pPr>
              <w:adjustRightInd w:val="0"/>
              <w:snapToGrid w:val="0"/>
              <w:spacing w:line="240" w:lineRule="auto"/>
              <w:jc w:val="center"/>
              <w:rPr>
                <w:kern w:val="0"/>
                <w:sz w:val="21"/>
                <w:szCs w:val="21"/>
              </w:rPr>
            </w:pPr>
            <w:r>
              <w:rPr>
                <w:kern w:val="0"/>
                <w:sz w:val="21"/>
                <w:szCs w:val="21"/>
                <w:lang w:bidi="ar"/>
              </w:rPr>
              <w:t>性质及规模</w:t>
            </w:r>
          </w:p>
        </w:tc>
        <w:tc>
          <w:tcPr>
            <w:tcW w:w="1133" w:type="dxa"/>
            <w:vAlign w:val="center"/>
          </w:tcPr>
          <w:p>
            <w:pPr>
              <w:adjustRightInd w:val="0"/>
              <w:snapToGrid w:val="0"/>
              <w:spacing w:line="240" w:lineRule="auto"/>
              <w:jc w:val="center"/>
              <w:rPr>
                <w:kern w:val="0"/>
                <w:sz w:val="21"/>
                <w:szCs w:val="21"/>
              </w:rPr>
            </w:pPr>
            <w:r>
              <w:rPr>
                <w:kern w:val="0"/>
                <w:sz w:val="21"/>
                <w:szCs w:val="21"/>
                <w:lang w:bidi="ar"/>
              </w:rPr>
              <w:t>保护等级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restart"/>
            <w:vAlign w:val="center"/>
          </w:tcPr>
          <w:p>
            <w:pPr>
              <w:adjustRightInd w:val="0"/>
              <w:snapToGrid w:val="0"/>
              <w:spacing w:line="240" w:lineRule="auto"/>
              <w:jc w:val="center"/>
              <w:rPr>
                <w:kern w:val="0"/>
                <w:sz w:val="21"/>
                <w:szCs w:val="21"/>
                <w:lang w:bidi="ar"/>
              </w:rPr>
            </w:pPr>
            <w:r>
              <w:rPr>
                <w:kern w:val="0"/>
                <w:sz w:val="21"/>
                <w:szCs w:val="21"/>
                <w:lang w:bidi="ar"/>
              </w:rPr>
              <w:t>环境空气</w:t>
            </w: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1</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红星村4组村民</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东北</w:t>
            </w:r>
          </w:p>
        </w:tc>
        <w:tc>
          <w:tcPr>
            <w:tcW w:w="2474"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6</w:t>
            </w:r>
            <w:r>
              <w:rPr>
                <w:kern w:val="0"/>
                <w:sz w:val="21"/>
                <w:szCs w:val="21"/>
                <w:lang w:bidi="ar"/>
              </w:rPr>
              <w:t>6m</w:t>
            </w:r>
          </w:p>
          <w:p>
            <w:pPr>
              <w:adjustRightInd w:val="0"/>
              <w:snapToGrid w:val="0"/>
              <w:spacing w:line="240" w:lineRule="auto"/>
              <w:rPr>
                <w:kern w:val="0"/>
                <w:sz w:val="21"/>
                <w:szCs w:val="21"/>
                <w:lang w:bidi="ar"/>
              </w:rPr>
            </w:pPr>
            <w:r>
              <w:rPr>
                <w:lang w:bidi="ar"/>
              </w:rPr>
              <w:t>距离车间141</w:t>
            </w:r>
            <w:r>
              <w:rPr>
                <w:rFonts w:hint="eastAsia"/>
                <w:lang w:bidi="ar"/>
              </w:rPr>
              <w:t>~</w:t>
            </w:r>
            <w:r>
              <w:rPr>
                <w:lang w:bidi="ar"/>
              </w:rPr>
              <w:t>232m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分散农户，1</w:t>
            </w:r>
            <w:r>
              <w:rPr>
                <w:kern w:val="0"/>
                <w:sz w:val="21"/>
                <w:szCs w:val="21"/>
                <w:lang w:bidi="ar"/>
              </w:rPr>
              <w:t>6</w:t>
            </w:r>
            <w:r>
              <w:rPr>
                <w:rFonts w:hint="eastAsia"/>
                <w:kern w:val="0"/>
                <w:sz w:val="21"/>
                <w:szCs w:val="21"/>
                <w:lang w:bidi="ar"/>
              </w:rPr>
              <w:t>户</w:t>
            </w:r>
          </w:p>
        </w:tc>
        <w:tc>
          <w:tcPr>
            <w:tcW w:w="1133" w:type="dxa"/>
            <w:vMerge w:val="restart"/>
            <w:vAlign w:val="center"/>
          </w:tcPr>
          <w:p>
            <w:pPr>
              <w:adjustRightInd w:val="0"/>
              <w:snapToGrid w:val="0"/>
              <w:spacing w:line="240" w:lineRule="auto"/>
              <w:jc w:val="center"/>
              <w:rPr>
                <w:kern w:val="0"/>
                <w:sz w:val="21"/>
                <w:szCs w:val="21"/>
                <w:lang w:bidi="ar"/>
              </w:rPr>
            </w:pPr>
            <w:r>
              <w:rPr>
                <w:kern w:val="0"/>
                <w:sz w:val="21"/>
                <w:szCs w:val="21"/>
                <w:lang w:bidi="ar"/>
              </w:rPr>
              <w:t>《环境空气质量标准》（GB3095-2012）二级标准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2</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红星村4组村民</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东侧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182m</w:t>
            </w:r>
          </w:p>
          <w:p>
            <w:pPr>
              <w:adjustRightInd w:val="0"/>
              <w:snapToGrid w:val="0"/>
              <w:spacing w:line="240" w:lineRule="auto"/>
              <w:rPr>
                <w:kern w:val="0"/>
                <w:sz w:val="21"/>
                <w:szCs w:val="21"/>
                <w:lang w:bidi="ar"/>
              </w:rPr>
            </w:pPr>
            <w:r>
              <w:rPr>
                <w:lang w:bidi="ar"/>
              </w:rPr>
              <w:t>距离车间193m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w:t>
            </w:r>
            <w:r>
              <w:rPr>
                <w:kern w:val="0"/>
                <w:sz w:val="21"/>
                <w:szCs w:val="21"/>
                <w:lang w:bidi="ar"/>
              </w:rPr>
              <w:t>7</w:t>
            </w:r>
            <w:r>
              <w:rPr>
                <w:rFonts w:hint="eastAsia"/>
                <w:kern w:val="0"/>
                <w:sz w:val="21"/>
                <w:szCs w:val="21"/>
                <w:lang w:bidi="ar"/>
              </w:rPr>
              <w:t>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3</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红星村4组村民</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东侧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250m</w:t>
            </w:r>
          </w:p>
          <w:p>
            <w:pPr>
              <w:adjustRightInd w:val="0"/>
              <w:snapToGrid w:val="0"/>
              <w:spacing w:line="240" w:lineRule="auto"/>
              <w:rPr>
                <w:kern w:val="0"/>
                <w:sz w:val="21"/>
                <w:szCs w:val="21"/>
                <w:lang w:bidi="ar"/>
              </w:rPr>
            </w:pPr>
            <w:r>
              <w:rPr>
                <w:lang w:bidi="ar"/>
              </w:rPr>
              <w:t>距离车间252m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w:t>
            </w:r>
            <w:r>
              <w:rPr>
                <w:kern w:val="0"/>
                <w:sz w:val="21"/>
                <w:szCs w:val="21"/>
                <w:lang w:bidi="ar"/>
              </w:rPr>
              <w:t>4</w:t>
            </w:r>
            <w:r>
              <w:rPr>
                <w:rFonts w:hint="eastAsia"/>
                <w:kern w:val="0"/>
                <w:sz w:val="21"/>
                <w:szCs w:val="21"/>
                <w:lang w:bidi="ar"/>
              </w:rPr>
              <w:t>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4</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星星亮村3组</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南侧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144m</w:t>
            </w:r>
          </w:p>
          <w:p>
            <w:pPr>
              <w:adjustRightInd w:val="0"/>
              <w:snapToGrid w:val="0"/>
              <w:spacing w:line="240" w:lineRule="auto"/>
              <w:rPr>
                <w:kern w:val="0"/>
                <w:sz w:val="21"/>
                <w:szCs w:val="21"/>
                <w:lang w:bidi="ar"/>
              </w:rPr>
            </w:pPr>
            <w:r>
              <w:rPr>
                <w:lang w:bidi="ar"/>
              </w:rPr>
              <w:t>距离车间158m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分散农户，3户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5</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星星亮村3组及9组</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西侧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104m</w:t>
            </w:r>
            <w:r>
              <w:rPr>
                <w:rFonts w:hint="eastAsia"/>
                <w:kern w:val="0"/>
                <w:sz w:val="21"/>
                <w:szCs w:val="21"/>
                <w:lang w:bidi="ar"/>
              </w:rPr>
              <w:t>~</w:t>
            </w:r>
            <w:r>
              <w:rPr>
                <w:kern w:val="0"/>
                <w:sz w:val="21"/>
                <w:szCs w:val="21"/>
                <w:lang w:bidi="ar"/>
              </w:rPr>
              <w:t>234m</w:t>
            </w:r>
          </w:p>
          <w:p>
            <w:pPr>
              <w:adjustRightInd w:val="0"/>
              <w:snapToGrid w:val="0"/>
              <w:spacing w:line="240" w:lineRule="auto"/>
              <w:rPr>
                <w:kern w:val="0"/>
                <w:sz w:val="21"/>
                <w:szCs w:val="21"/>
                <w:lang w:bidi="ar"/>
              </w:rPr>
            </w:pPr>
            <w:r>
              <w:rPr>
                <w:lang w:bidi="ar"/>
              </w:rPr>
              <w:t>距离车间183m</w:t>
            </w:r>
            <w:r>
              <w:rPr>
                <w:rFonts w:hint="eastAsia"/>
                <w:lang w:bidi="ar"/>
              </w:rPr>
              <w:t>~</w:t>
            </w:r>
            <w:r>
              <w:rPr>
                <w:lang w:bidi="ar"/>
              </w:rPr>
              <w:t>342</w:t>
            </w:r>
            <w:r>
              <w:rPr>
                <w:rFonts w:hint="eastAsia"/>
                <w:lang w:bidi="ar"/>
              </w:rPr>
              <w:t>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w:t>
            </w:r>
            <w:r>
              <w:rPr>
                <w:kern w:val="0"/>
                <w:sz w:val="21"/>
                <w:szCs w:val="21"/>
                <w:lang w:bidi="ar"/>
              </w:rPr>
              <w:t>16</w:t>
            </w:r>
            <w:r>
              <w:rPr>
                <w:rFonts w:hint="eastAsia"/>
                <w:kern w:val="0"/>
                <w:sz w:val="21"/>
                <w:szCs w:val="21"/>
                <w:lang w:bidi="ar"/>
              </w:rPr>
              <w:t>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6</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红星村</w:t>
            </w:r>
            <w:r>
              <w:rPr>
                <w:kern w:val="0"/>
                <w:sz w:val="21"/>
                <w:szCs w:val="21"/>
                <w:lang w:bidi="ar"/>
              </w:rPr>
              <w:t>4</w:t>
            </w:r>
            <w:r>
              <w:rPr>
                <w:rFonts w:hint="eastAsia"/>
                <w:kern w:val="0"/>
                <w:sz w:val="21"/>
                <w:szCs w:val="21"/>
                <w:lang w:bidi="ar"/>
              </w:rPr>
              <w:t>组</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北侧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69m</w:t>
            </w:r>
          </w:p>
          <w:p>
            <w:pPr>
              <w:adjustRightInd w:val="0"/>
              <w:snapToGrid w:val="0"/>
              <w:spacing w:line="240" w:lineRule="auto"/>
              <w:rPr>
                <w:kern w:val="0"/>
                <w:sz w:val="21"/>
                <w:szCs w:val="21"/>
                <w:lang w:bidi="ar"/>
              </w:rPr>
            </w:pPr>
            <w:r>
              <w:rPr>
                <w:lang w:bidi="ar"/>
              </w:rPr>
              <w:t>距离车间144</w:t>
            </w:r>
            <w:r>
              <w:rPr>
                <w:rFonts w:hint="eastAsia"/>
                <w:lang w:bidi="ar"/>
              </w:rPr>
              <w:t>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w:t>
            </w:r>
            <w:r>
              <w:rPr>
                <w:kern w:val="0"/>
                <w:sz w:val="21"/>
                <w:szCs w:val="21"/>
                <w:lang w:bidi="ar"/>
              </w:rPr>
              <w:t>1</w:t>
            </w:r>
            <w:r>
              <w:rPr>
                <w:rFonts w:hint="eastAsia"/>
                <w:kern w:val="0"/>
                <w:sz w:val="21"/>
                <w:szCs w:val="21"/>
                <w:lang w:bidi="ar"/>
              </w:rPr>
              <w:t>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lang w:bidi="ar"/>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7</w:t>
            </w:r>
          </w:p>
        </w:tc>
        <w:tc>
          <w:tcPr>
            <w:tcW w:w="165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星星亮村3组</w:t>
            </w:r>
          </w:p>
        </w:tc>
        <w:tc>
          <w:tcPr>
            <w:tcW w:w="78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北侧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223m</w:t>
            </w:r>
          </w:p>
          <w:p>
            <w:pPr>
              <w:adjustRightInd w:val="0"/>
              <w:snapToGrid w:val="0"/>
              <w:spacing w:line="240" w:lineRule="auto"/>
              <w:rPr>
                <w:kern w:val="0"/>
                <w:sz w:val="21"/>
                <w:szCs w:val="21"/>
                <w:lang w:bidi="ar"/>
              </w:rPr>
            </w:pPr>
            <w:r>
              <w:rPr>
                <w:lang w:bidi="ar"/>
              </w:rPr>
              <w:t>距离车间306</w:t>
            </w:r>
            <w:r>
              <w:rPr>
                <w:rFonts w:hint="eastAsia"/>
                <w:lang w:bidi="ar"/>
              </w:rPr>
              <w:t>m</w:t>
            </w:r>
          </w:p>
        </w:tc>
        <w:tc>
          <w:tcPr>
            <w:tcW w:w="1701"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分散农户，</w:t>
            </w:r>
            <w:r>
              <w:rPr>
                <w:kern w:val="0"/>
                <w:sz w:val="21"/>
                <w:szCs w:val="21"/>
                <w:lang w:bidi="ar"/>
              </w:rPr>
              <w:t>4</w:t>
            </w:r>
            <w:r>
              <w:rPr>
                <w:rFonts w:hint="eastAsia"/>
                <w:kern w:val="0"/>
                <w:sz w:val="21"/>
                <w:szCs w:val="21"/>
                <w:lang w:bidi="ar"/>
              </w:rPr>
              <w:t>户</w:t>
            </w:r>
          </w:p>
        </w:tc>
        <w:tc>
          <w:tcPr>
            <w:tcW w:w="1133" w:type="dxa"/>
            <w:vMerge w:val="continue"/>
            <w:vAlign w:val="center"/>
          </w:tcPr>
          <w:p>
            <w:pPr>
              <w:adjustRightInd w:val="0"/>
              <w:snapToGrid w:val="0"/>
              <w:spacing w:line="240" w:lineRule="auto"/>
              <w:jc w:val="center"/>
              <w:rPr>
                <w:kern w:val="0"/>
                <w:sz w:val="21"/>
                <w:szCs w:val="21"/>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kern w:val="0"/>
                <w:sz w:val="21"/>
                <w:szCs w:val="21"/>
              </w:rPr>
            </w:pPr>
          </w:p>
        </w:tc>
        <w:tc>
          <w:tcPr>
            <w:tcW w:w="599" w:type="dxa"/>
            <w:vAlign w:val="center"/>
          </w:tcPr>
          <w:p>
            <w:pPr>
              <w:adjustRightInd w:val="0"/>
              <w:snapToGrid w:val="0"/>
              <w:spacing w:line="240" w:lineRule="auto"/>
              <w:jc w:val="center"/>
              <w:rPr>
                <w:kern w:val="0"/>
                <w:sz w:val="21"/>
                <w:szCs w:val="21"/>
              </w:rPr>
            </w:pPr>
            <w:r>
              <w:rPr>
                <w:kern w:val="0"/>
                <w:sz w:val="21"/>
                <w:szCs w:val="21"/>
                <w:lang w:bidi="ar"/>
              </w:rPr>
              <w:t>8</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红星村</w:t>
            </w:r>
          </w:p>
        </w:tc>
        <w:tc>
          <w:tcPr>
            <w:tcW w:w="786" w:type="dxa"/>
            <w:vAlign w:val="center"/>
          </w:tcPr>
          <w:p>
            <w:pPr>
              <w:adjustRightInd w:val="0"/>
              <w:snapToGrid w:val="0"/>
              <w:spacing w:line="240" w:lineRule="auto"/>
              <w:jc w:val="center"/>
              <w:rPr>
                <w:kern w:val="0"/>
                <w:sz w:val="21"/>
                <w:szCs w:val="21"/>
              </w:rPr>
            </w:pPr>
            <w:r>
              <w:rPr>
                <w:kern w:val="0"/>
                <w:sz w:val="21"/>
                <w:szCs w:val="21"/>
              </w:rPr>
              <w:t>东</w:t>
            </w:r>
            <w:r>
              <w:rPr>
                <w:rFonts w:hint="eastAsia"/>
                <w:kern w:val="0"/>
                <w:sz w:val="21"/>
                <w:szCs w:val="21"/>
              </w:rPr>
              <w:t>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556</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kern w:val="0"/>
                <w:sz w:val="21"/>
                <w:szCs w:val="21"/>
              </w:rPr>
              <w:t>农户，</w:t>
            </w:r>
            <w:r>
              <w:rPr>
                <w:rFonts w:hint="eastAsia"/>
                <w:kern w:val="0"/>
                <w:sz w:val="21"/>
                <w:szCs w:val="21"/>
              </w:rPr>
              <w:t>约3</w:t>
            </w:r>
            <w:r>
              <w:rPr>
                <w:kern w:val="0"/>
                <w:sz w:val="21"/>
                <w:szCs w:val="21"/>
              </w:rPr>
              <w:t>1</w:t>
            </w:r>
            <w:r>
              <w:rPr>
                <w:rFonts w:hint="eastAsia"/>
                <w:kern w:val="0"/>
                <w:sz w:val="21"/>
                <w:szCs w:val="21"/>
              </w:rPr>
              <w:t>户</w:t>
            </w:r>
          </w:p>
        </w:tc>
        <w:tc>
          <w:tcPr>
            <w:tcW w:w="1133" w:type="dxa"/>
            <w:vMerge w:val="continue"/>
            <w:vAlign w:val="center"/>
          </w:tcPr>
          <w:p>
            <w:pPr>
              <w:adjustRightInd w:val="0"/>
              <w:snapToGrid w:val="0"/>
              <w:spacing w:line="240" w:lineRule="auto"/>
              <w:jc w:val="center"/>
              <w:rPr>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rPr>
            </w:pPr>
            <w:r>
              <w:rPr>
                <w:kern w:val="0"/>
                <w:sz w:val="21"/>
                <w:szCs w:val="21"/>
                <w:lang w:bidi="ar"/>
              </w:rPr>
              <w:t>9</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建国村</w:t>
            </w:r>
          </w:p>
        </w:tc>
        <w:tc>
          <w:tcPr>
            <w:tcW w:w="786" w:type="dxa"/>
          </w:tcPr>
          <w:p>
            <w:pPr>
              <w:adjustRightInd w:val="0"/>
              <w:snapToGrid w:val="0"/>
              <w:spacing w:line="240" w:lineRule="auto"/>
              <w:jc w:val="center"/>
              <w:rPr>
                <w:kern w:val="0"/>
                <w:sz w:val="21"/>
                <w:szCs w:val="21"/>
              </w:rPr>
            </w:pPr>
            <w:r>
              <w:rPr>
                <w:rFonts w:hint="eastAsia"/>
                <w:kern w:val="0"/>
                <w:sz w:val="21"/>
                <w:szCs w:val="21"/>
              </w:rPr>
              <w:t>东北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1159m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农户，约57户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10</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杨灯茏村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东南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729</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农户，约55户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11</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潜力村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东南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1477</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农户，约118户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12</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同力村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2293</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农户，约28户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13</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节约村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2459</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农户，约14户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14</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八角村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西南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2463</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农户，约25户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15</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双堰村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西</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1890</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农户，约22户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16</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星星亮村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西</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674</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农户，约123户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17</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星光村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西北</w:t>
            </w:r>
          </w:p>
        </w:tc>
        <w:tc>
          <w:tcPr>
            <w:tcW w:w="2474" w:type="dxa"/>
            <w:vAlign w:val="center"/>
          </w:tcPr>
          <w:p>
            <w:pPr>
              <w:adjustRightInd w:val="0"/>
              <w:snapToGrid w:val="0"/>
              <w:spacing w:line="240" w:lineRule="auto"/>
              <w:jc w:val="center"/>
              <w:rPr>
                <w:kern w:val="0"/>
                <w:sz w:val="21"/>
                <w:szCs w:val="21"/>
              </w:rPr>
            </w:pPr>
            <w:r>
              <w:rPr>
                <w:rFonts w:hint="eastAsia"/>
                <w:kern w:val="0"/>
                <w:sz w:val="21"/>
                <w:szCs w:val="21"/>
              </w:rPr>
              <w:t>1495</w:t>
            </w:r>
            <w:r>
              <w:rPr>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农户，约43户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18</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高凤乡</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rPr>
              <w:t>北</w:t>
            </w:r>
          </w:p>
        </w:tc>
        <w:tc>
          <w:tcPr>
            <w:tcW w:w="2474" w:type="dxa"/>
            <w:vAlign w:val="center"/>
          </w:tcPr>
          <w:p>
            <w:pPr>
              <w:adjustRightInd w:val="0"/>
              <w:snapToGrid w:val="0"/>
              <w:spacing w:line="240" w:lineRule="auto"/>
              <w:jc w:val="center"/>
              <w:rPr>
                <w:kern w:val="0"/>
                <w:sz w:val="21"/>
                <w:szCs w:val="21"/>
              </w:rPr>
            </w:pPr>
            <w:r>
              <w:rPr>
                <w:kern w:val="0"/>
                <w:sz w:val="21"/>
                <w:szCs w:val="21"/>
              </w:rPr>
              <w:t>600m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乡镇，约175户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restart"/>
            <w:vAlign w:val="center"/>
          </w:tcPr>
          <w:p>
            <w:pPr>
              <w:spacing w:line="240" w:lineRule="auto"/>
              <w:rPr>
                <w:sz w:val="20"/>
                <w:szCs w:val="20"/>
              </w:rPr>
            </w:pPr>
            <w:r>
              <w:rPr>
                <w:rFonts w:hint="eastAsia"/>
                <w:sz w:val="20"/>
                <w:szCs w:val="20"/>
              </w:rPr>
              <w:t>声环境</w:t>
            </w: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1</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lang w:bidi="ar"/>
              </w:rPr>
              <w:t>红星村4组村民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lang w:bidi="ar"/>
              </w:rPr>
              <w:t>东北</w:t>
            </w:r>
          </w:p>
        </w:tc>
        <w:tc>
          <w:tcPr>
            <w:tcW w:w="2474"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6</w:t>
            </w:r>
            <w:r>
              <w:rPr>
                <w:kern w:val="0"/>
                <w:sz w:val="21"/>
                <w:szCs w:val="21"/>
                <w:lang w:bidi="ar"/>
              </w:rPr>
              <w:t>6m</w:t>
            </w:r>
          </w:p>
          <w:p>
            <w:pPr>
              <w:adjustRightInd w:val="0"/>
              <w:snapToGrid w:val="0"/>
              <w:spacing w:line="240" w:lineRule="auto"/>
              <w:rPr>
                <w:kern w:val="0"/>
                <w:sz w:val="21"/>
                <w:szCs w:val="21"/>
                <w:lang w:bidi="ar"/>
              </w:rPr>
            </w:pPr>
            <w:r>
              <w:rPr>
                <w:lang w:bidi="ar"/>
              </w:rPr>
              <w:t>距离车间141</w:t>
            </w:r>
            <w:r>
              <w:rPr>
                <w:rFonts w:hint="eastAsia"/>
                <w:lang w:bidi="ar"/>
              </w:rPr>
              <w:t>~</w:t>
            </w:r>
            <w:r>
              <w:rPr>
                <w:lang w:bidi="ar"/>
              </w:rPr>
              <w:t>232m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lang w:bidi="ar"/>
              </w:rPr>
              <w:t>分散农户，1</w:t>
            </w:r>
            <w:r>
              <w:rPr>
                <w:kern w:val="0"/>
                <w:sz w:val="21"/>
                <w:szCs w:val="21"/>
                <w:lang w:bidi="ar"/>
              </w:rPr>
              <w:t>6</w:t>
            </w:r>
            <w:r>
              <w:rPr>
                <w:rFonts w:hint="eastAsia"/>
                <w:kern w:val="0"/>
                <w:sz w:val="21"/>
                <w:szCs w:val="21"/>
                <w:lang w:bidi="ar"/>
              </w:rPr>
              <w:t>户</w:t>
            </w:r>
          </w:p>
        </w:tc>
        <w:tc>
          <w:tcPr>
            <w:tcW w:w="1133" w:type="dxa"/>
            <w:vMerge w:val="restart"/>
            <w:vAlign w:val="center"/>
          </w:tcPr>
          <w:p>
            <w:pPr>
              <w:spacing w:line="240" w:lineRule="auto"/>
              <w:rPr>
                <w:sz w:val="20"/>
                <w:szCs w:val="20"/>
              </w:rPr>
            </w:pPr>
            <w:r>
              <w:rPr>
                <w:sz w:val="20"/>
                <w:szCs w:val="20"/>
              </w:rPr>
              <w:t>《声环境质量标准》（GB3096-2008）2类标准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2</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lang w:bidi="ar"/>
              </w:rPr>
              <w:t>红星村4组村民</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lang w:bidi="ar"/>
              </w:rPr>
              <w:t>东侧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182m</w:t>
            </w:r>
          </w:p>
          <w:p>
            <w:pPr>
              <w:pStyle w:val="2"/>
              <w:snapToGrid w:val="0"/>
              <w:spacing w:line="240" w:lineRule="auto"/>
              <w:ind w:firstLine="0" w:firstLineChars="0"/>
              <w:rPr>
                <w:rFonts w:hint="default"/>
              </w:rPr>
            </w:pPr>
            <w:r>
              <w:rPr>
                <w:lang w:bidi="ar"/>
              </w:rPr>
              <w:t>距离车间193m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lang w:bidi="ar"/>
              </w:rPr>
              <w:t>分散农户，</w:t>
            </w:r>
            <w:r>
              <w:rPr>
                <w:kern w:val="0"/>
                <w:sz w:val="21"/>
                <w:szCs w:val="21"/>
                <w:lang w:bidi="ar"/>
              </w:rPr>
              <w:t>7</w:t>
            </w:r>
            <w:r>
              <w:rPr>
                <w:rFonts w:hint="eastAsia"/>
                <w:kern w:val="0"/>
                <w:sz w:val="21"/>
                <w:szCs w:val="21"/>
                <w:lang w:bidi="ar"/>
              </w:rPr>
              <w:t>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3</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lang w:bidi="ar"/>
              </w:rPr>
              <w:t>星星亮村3组</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lang w:bidi="ar"/>
              </w:rPr>
              <w:t>南侧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144m</w:t>
            </w:r>
          </w:p>
          <w:p>
            <w:pPr>
              <w:pStyle w:val="2"/>
              <w:snapToGrid w:val="0"/>
              <w:spacing w:line="240" w:lineRule="auto"/>
              <w:ind w:firstLine="0" w:firstLineChars="0"/>
              <w:jc w:val="center"/>
              <w:rPr>
                <w:rFonts w:hint="default"/>
                <w:kern w:val="0"/>
                <w:sz w:val="21"/>
                <w:szCs w:val="21"/>
              </w:rPr>
            </w:pPr>
            <w:r>
              <w:rPr>
                <w:lang w:bidi="ar"/>
              </w:rPr>
              <w:t>距离车间158m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lang w:bidi="ar"/>
              </w:rPr>
              <w:t>分散农户，3户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4</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lang w:bidi="ar"/>
              </w:rPr>
              <w:t>星星亮村3组及9组</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lang w:bidi="ar"/>
              </w:rPr>
              <w:t>西侧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104m</w:t>
            </w:r>
            <w:r>
              <w:rPr>
                <w:rFonts w:hint="eastAsia"/>
                <w:kern w:val="0"/>
                <w:sz w:val="21"/>
                <w:szCs w:val="21"/>
                <w:lang w:bidi="ar"/>
              </w:rPr>
              <w:t>~</w:t>
            </w:r>
            <w:r>
              <w:rPr>
                <w:kern w:val="0"/>
                <w:sz w:val="21"/>
                <w:szCs w:val="21"/>
                <w:lang w:bidi="ar"/>
              </w:rPr>
              <w:t>234m</w:t>
            </w:r>
          </w:p>
          <w:p>
            <w:pPr>
              <w:pStyle w:val="2"/>
              <w:snapToGrid w:val="0"/>
              <w:spacing w:line="240" w:lineRule="auto"/>
              <w:ind w:firstLine="0" w:firstLineChars="0"/>
              <w:jc w:val="center"/>
              <w:rPr>
                <w:rFonts w:hint="default"/>
                <w:kern w:val="0"/>
                <w:sz w:val="21"/>
                <w:szCs w:val="21"/>
              </w:rPr>
            </w:pPr>
            <w:r>
              <w:rPr>
                <w:lang w:bidi="ar"/>
              </w:rPr>
              <w:t>距离车间183m~342m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lang w:bidi="ar"/>
              </w:rPr>
              <w:t>分散农户，</w:t>
            </w:r>
            <w:r>
              <w:rPr>
                <w:kern w:val="0"/>
                <w:sz w:val="21"/>
                <w:szCs w:val="21"/>
                <w:lang w:bidi="ar"/>
              </w:rPr>
              <w:t>16</w:t>
            </w:r>
            <w:r>
              <w:rPr>
                <w:rFonts w:hint="eastAsia"/>
                <w:kern w:val="0"/>
                <w:sz w:val="21"/>
                <w:szCs w:val="21"/>
                <w:lang w:bidi="ar"/>
              </w:rPr>
              <w:t>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lang w:bidi="ar"/>
              </w:rPr>
            </w:pPr>
            <w:r>
              <w:rPr>
                <w:kern w:val="0"/>
                <w:sz w:val="21"/>
                <w:szCs w:val="21"/>
                <w:lang w:bidi="ar"/>
              </w:rPr>
              <w:t>5</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lang w:bidi="ar"/>
              </w:rPr>
              <w:t>红星村</w:t>
            </w:r>
            <w:r>
              <w:rPr>
                <w:kern w:val="0"/>
                <w:sz w:val="21"/>
                <w:szCs w:val="21"/>
                <w:lang w:bidi="ar"/>
              </w:rPr>
              <w:t>4</w:t>
            </w:r>
            <w:r>
              <w:rPr>
                <w:rFonts w:hint="eastAsia"/>
                <w:kern w:val="0"/>
                <w:sz w:val="21"/>
                <w:szCs w:val="21"/>
                <w:lang w:bidi="ar"/>
              </w:rPr>
              <w:t>组</w:t>
            </w:r>
          </w:p>
        </w:tc>
        <w:tc>
          <w:tcPr>
            <w:tcW w:w="786" w:type="dxa"/>
            <w:vAlign w:val="center"/>
          </w:tcPr>
          <w:p>
            <w:pPr>
              <w:adjustRightInd w:val="0"/>
              <w:snapToGrid w:val="0"/>
              <w:spacing w:line="240" w:lineRule="auto"/>
              <w:jc w:val="center"/>
              <w:rPr>
                <w:kern w:val="0"/>
                <w:sz w:val="21"/>
                <w:szCs w:val="21"/>
              </w:rPr>
            </w:pPr>
            <w:r>
              <w:rPr>
                <w:rFonts w:hint="eastAsia"/>
                <w:kern w:val="0"/>
                <w:sz w:val="21"/>
                <w:szCs w:val="21"/>
                <w:lang w:bidi="ar"/>
              </w:rPr>
              <w:t>北侧</w:t>
            </w:r>
          </w:p>
        </w:tc>
        <w:tc>
          <w:tcPr>
            <w:tcW w:w="2474" w:type="dxa"/>
            <w:vAlign w:val="center"/>
          </w:tcPr>
          <w:p>
            <w:pPr>
              <w:adjustRightInd w:val="0"/>
              <w:snapToGrid w:val="0"/>
              <w:spacing w:line="240" w:lineRule="auto"/>
              <w:jc w:val="center"/>
              <w:rPr>
                <w:kern w:val="0"/>
                <w:sz w:val="21"/>
                <w:szCs w:val="21"/>
                <w:lang w:bidi="ar"/>
              </w:rPr>
            </w:pPr>
            <w:r>
              <w:rPr>
                <w:kern w:val="0"/>
                <w:sz w:val="21"/>
                <w:szCs w:val="21"/>
                <w:lang w:bidi="ar"/>
              </w:rPr>
              <w:t>69m</w:t>
            </w:r>
          </w:p>
          <w:p>
            <w:pPr>
              <w:pStyle w:val="2"/>
              <w:snapToGrid w:val="0"/>
              <w:spacing w:line="240" w:lineRule="auto"/>
              <w:ind w:firstLine="0" w:firstLineChars="0"/>
              <w:jc w:val="center"/>
              <w:rPr>
                <w:rFonts w:hint="default"/>
                <w:kern w:val="0"/>
                <w:sz w:val="21"/>
                <w:szCs w:val="21"/>
              </w:rPr>
            </w:pPr>
            <w:r>
              <w:rPr>
                <w:lang w:bidi="ar"/>
              </w:rPr>
              <w:t>距离车间144m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lang w:bidi="ar"/>
              </w:rPr>
              <w:t>分散农户，</w:t>
            </w:r>
            <w:r>
              <w:rPr>
                <w:kern w:val="0"/>
                <w:sz w:val="21"/>
                <w:szCs w:val="21"/>
                <w:lang w:bidi="ar"/>
              </w:rPr>
              <w:t>1</w:t>
            </w:r>
            <w:r>
              <w:rPr>
                <w:rFonts w:hint="eastAsia"/>
                <w:kern w:val="0"/>
                <w:sz w:val="21"/>
                <w:szCs w:val="21"/>
                <w:lang w:bidi="ar"/>
              </w:rPr>
              <w:t>户</w:t>
            </w:r>
          </w:p>
        </w:tc>
        <w:tc>
          <w:tcPr>
            <w:tcW w:w="1133" w:type="dxa"/>
            <w:vMerge w:val="continue"/>
            <w:vAlign w:val="center"/>
          </w:tcPr>
          <w:p>
            <w:pPr>
              <w:spacing w:line="240" w:lineRule="auto"/>
              <w:rPr>
                <w:sz w:val="20"/>
                <w:szCs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restart"/>
            <w:vAlign w:val="center"/>
          </w:tcPr>
          <w:p>
            <w:pPr>
              <w:adjustRightInd w:val="0"/>
              <w:snapToGrid w:val="0"/>
              <w:spacing w:line="240" w:lineRule="auto"/>
              <w:jc w:val="center"/>
              <w:rPr>
                <w:sz w:val="21"/>
                <w:szCs w:val="21"/>
              </w:rPr>
            </w:pPr>
            <w:r>
              <w:rPr>
                <w:sz w:val="21"/>
                <w:szCs w:val="21"/>
                <w:lang w:bidi="ar"/>
              </w:rPr>
              <w:t>地表水</w:t>
            </w:r>
          </w:p>
        </w:tc>
        <w:tc>
          <w:tcPr>
            <w:tcW w:w="599" w:type="dxa"/>
            <w:vAlign w:val="center"/>
          </w:tcPr>
          <w:p>
            <w:pPr>
              <w:adjustRightInd w:val="0"/>
              <w:snapToGrid w:val="0"/>
              <w:spacing w:line="240" w:lineRule="auto"/>
              <w:jc w:val="center"/>
              <w:rPr>
                <w:sz w:val="21"/>
                <w:szCs w:val="21"/>
              </w:rPr>
            </w:pPr>
            <w:r>
              <w:rPr>
                <w:sz w:val="21"/>
                <w:szCs w:val="21"/>
                <w:lang w:bidi="ar"/>
              </w:rPr>
              <w:t>1</w:t>
            </w:r>
          </w:p>
        </w:tc>
        <w:tc>
          <w:tcPr>
            <w:tcW w:w="1658" w:type="dxa"/>
            <w:vAlign w:val="center"/>
          </w:tcPr>
          <w:p>
            <w:pPr>
              <w:adjustRightInd w:val="0"/>
              <w:snapToGrid w:val="0"/>
              <w:spacing w:line="240" w:lineRule="auto"/>
              <w:jc w:val="center"/>
              <w:rPr>
                <w:sz w:val="21"/>
                <w:szCs w:val="21"/>
              </w:rPr>
            </w:pPr>
            <w:r>
              <w:rPr>
                <w:rFonts w:hint="eastAsia"/>
                <w:sz w:val="21"/>
                <w:szCs w:val="21"/>
                <w:lang w:bidi="ar"/>
              </w:rPr>
              <w:t>红星水库</w:t>
            </w:r>
          </w:p>
        </w:tc>
        <w:tc>
          <w:tcPr>
            <w:tcW w:w="786" w:type="dxa"/>
            <w:vAlign w:val="center"/>
          </w:tcPr>
          <w:p>
            <w:pPr>
              <w:adjustRightInd w:val="0"/>
              <w:snapToGrid w:val="0"/>
              <w:spacing w:line="240" w:lineRule="auto"/>
              <w:jc w:val="center"/>
              <w:rPr>
                <w:sz w:val="21"/>
                <w:szCs w:val="21"/>
              </w:rPr>
            </w:pPr>
            <w:r>
              <w:rPr>
                <w:sz w:val="21"/>
                <w:szCs w:val="21"/>
                <w:lang w:bidi="ar"/>
              </w:rPr>
              <w:t>北侧</w:t>
            </w:r>
          </w:p>
        </w:tc>
        <w:tc>
          <w:tcPr>
            <w:tcW w:w="2474" w:type="dxa"/>
            <w:vAlign w:val="center"/>
          </w:tcPr>
          <w:p>
            <w:pPr>
              <w:adjustRightInd w:val="0"/>
              <w:snapToGrid w:val="0"/>
              <w:spacing w:line="240" w:lineRule="auto"/>
              <w:jc w:val="center"/>
              <w:rPr>
                <w:sz w:val="21"/>
                <w:szCs w:val="21"/>
              </w:rPr>
            </w:pPr>
            <w:r>
              <w:rPr>
                <w:sz w:val="21"/>
                <w:szCs w:val="21"/>
                <w:lang w:bidi="ar"/>
              </w:rPr>
              <w:t>442</w:t>
            </w:r>
          </w:p>
        </w:tc>
        <w:tc>
          <w:tcPr>
            <w:tcW w:w="1701" w:type="dxa"/>
            <w:vAlign w:val="center"/>
          </w:tcPr>
          <w:p>
            <w:pPr>
              <w:adjustRightInd w:val="0"/>
              <w:snapToGrid w:val="0"/>
              <w:spacing w:line="240" w:lineRule="auto"/>
              <w:jc w:val="center"/>
              <w:rPr>
                <w:sz w:val="21"/>
                <w:szCs w:val="21"/>
              </w:rPr>
            </w:pPr>
            <w:r>
              <w:rPr>
                <w:sz w:val="21"/>
                <w:szCs w:val="21"/>
                <w:lang w:bidi="ar"/>
              </w:rPr>
              <w:t>周边水体</w:t>
            </w:r>
          </w:p>
        </w:tc>
        <w:tc>
          <w:tcPr>
            <w:tcW w:w="1133" w:type="dxa"/>
            <w:vMerge w:val="restart"/>
            <w:vAlign w:val="center"/>
          </w:tcPr>
          <w:p>
            <w:pPr>
              <w:pStyle w:val="1240"/>
              <w:widowControl/>
              <w:adjustRightInd w:val="0"/>
              <w:snapToGrid w:val="0"/>
              <w:spacing w:line="240" w:lineRule="auto"/>
              <w:jc w:val="both"/>
              <w:rPr>
                <w:rFonts w:ascii="Times New Roman" w:hAnsi="Times New Roman"/>
                <w:spacing w:val="0"/>
                <w:szCs w:val="21"/>
              </w:rPr>
            </w:pPr>
            <w:r>
              <w:rPr>
                <w:rFonts w:ascii="Times New Roman" w:hAnsi="Times New Roman" w:cs="Times New Roman"/>
                <w:spacing w:val="0"/>
                <w:szCs w:val="21"/>
              </w:rPr>
              <w:t>（GB3838-2002）</w:t>
            </w:r>
            <w:r>
              <w:rPr>
                <w:rFonts w:ascii="Times New Roman" w:hAnsi="Times New Roman"/>
                <w:spacing w:val="0"/>
                <w:szCs w:val="21"/>
              </w:rPr>
              <w:fldChar w:fldCharType="begin"/>
            </w:r>
            <w:r>
              <w:rPr>
                <w:rFonts w:ascii="Times New Roman" w:hAnsi="Times New Roman" w:cs="Times New Roman"/>
                <w:spacing w:val="0"/>
                <w:szCs w:val="21"/>
              </w:rPr>
              <w:instrText xml:space="preserve"> = 3 \* ROMAN </w:instrText>
            </w:r>
            <w:r>
              <w:rPr>
                <w:rFonts w:ascii="Times New Roman" w:hAnsi="Times New Roman"/>
                <w:spacing w:val="0"/>
                <w:szCs w:val="21"/>
              </w:rPr>
              <w:fldChar w:fldCharType="separate"/>
            </w:r>
            <w:r>
              <w:rPr>
                <w:rFonts w:ascii="Times New Roman" w:hAnsi="Times New Roman" w:cs="Times New Roman"/>
                <w:spacing w:val="0"/>
                <w:szCs w:val="21"/>
              </w:rPr>
              <w:t>III</w:t>
            </w:r>
            <w:r>
              <w:rPr>
                <w:rFonts w:ascii="Times New Roman" w:hAnsi="Times New Roman"/>
                <w:spacing w:val="0"/>
                <w:szCs w:val="21"/>
              </w:rPr>
              <w:fldChar w:fldCharType="end"/>
            </w:r>
            <w:r>
              <w:rPr>
                <w:rFonts w:ascii="Times New Roman" w:hAnsi="Times New Roman" w:cs="Times New Roman"/>
                <w:spacing w:val="0"/>
                <w:szCs w:val="21"/>
              </w:rPr>
              <w:t>类标准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47" w:hRule="atLeast"/>
          <w:jc w:val="center"/>
        </w:trPr>
        <w:tc>
          <w:tcPr>
            <w:tcW w:w="720" w:type="dxa"/>
            <w:vMerge w:val="continue"/>
            <w:vAlign w:val="center"/>
          </w:tcPr>
          <w:p>
            <w:pPr>
              <w:adjustRightInd w:val="0"/>
              <w:snapToGrid w:val="0"/>
              <w:spacing w:line="240" w:lineRule="auto"/>
              <w:jc w:val="center"/>
              <w:rPr>
                <w:sz w:val="21"/>
                <w:szCs w:val="21"/>
                <w:lang w:bidi="ar"/>
              </w:rPr>
            </w:pPr>
          </w:p>
        </w:tc>
        <w:tc>
          <w:tcPr>
            <w:tcW w:w="599" w:type="dxa"/>
            <w:vAlign w:val="center"/>
          </w:tcPr>
          <w:p>
            <w:pPr>
              <w:adjustRightInd w:val="0"/>
              <w:snapToGrid w:val="0"/>
              <w:spacing w:line="240" w:lineRule="auto"/>
              <w:jc w:val="center"/>
              <w:rPr>
                <w:sz w:val="21"/>
                <w:szCs w:val="21"/>
                <w:lang w:bidi="ar"/>
              </w:rPr>
            </w:pPr>
            <w:r>
              <w:rPr>
                <w:rFonts w:hint="eastAsia"/>
                <w:sz w:val="21"/>
                <w:szCs w:val="21"/>
                <w:lang w:bidi="ar"/>
              </w:rPr>
              <w:t>2</w:t>
            </w:r>
          </w:p>
        </w:tc>
        <w:tc>
          <w:tcPr>
            <w:tcW w:w="1658" w:type="dxa"/>
            <w:vAlign w:val="center"/>
          </w:tcPr>
          <w:p>
            <w:pPr>
              <w:adjustRightInd w:val="0"/>
              <w:snapToGrid w:val="0"/>
              <w:spacing w:line="240" w:lineRule="auto"/>
              <w:jc w:val="center"/>
              <w:rPr>
                <w:sz w:val="21"/>
                <w:szCs w:val="21"/>
                <w:lang w:bidi="ar"/>
              </w:rPr>
            </w:pPr>
            <w:r>
              <w:rPr>
                <w:rFonts w:hint="eastAsia"/>
                <w:sz w:val="21"/>
                <w:szCs w:val="21"/>
                <w:lang w:bidi="ar"/>
              </w:rPr>
              <w:t>东林</w:t>
            </w:r>
            <w:r>
              <w:rPr>
                <w:sz w:val="21"/>
                <w:szCs w:val="21"/>
                <w:lang w:bidi="ar"/>
              </w:rPr>
              <w:t>河</w:t>
            </w:r>
          </w:p>
        </w:tc>
        <w:tc>
          <w:tcPr>
            <w:tcW w:w="786" w:type="dxa"/>
            <w:vAlign w:val="center"/>
          </w:tcPr>
          <w:p>
            <w:pPr>
              <w:adjustRightInd w:val="0"/>
              <w:snapToGrid w:val="0"/>
              <w:spacing w:line="240" w:lineRule="auto"/>
              <w:jc w:val="center"/>
              <w:rPr>
                <w:sz w:val="21"/>
                <w:szCs w:val="21"/>
                <w:lang w:bidi="ar"/>
              </w:rPr>
            </w:pPr>
            <w:r>
              <w:rPr>
                <w:rFonts w:hint="eastAsia"/>
                <w:sz w:val="21"/>
                <w:szCs w:val="21"/>
                <w:lang w:bidi="ar"/>
              </w:rPr>
              <w:t>西南侧</w:t>
            </w:r>
          </w:p>
        </w:tc>
        <w:tc>
          <w:tcPr>
            <w:tcW w:w="2474" w:type="dxa"/>
            <w:vAlign w:val="center"/>
          </w:tcPr>
          <w:p>
            <w:pPr>
              <w:adjustRightInd w:val="0"/>
              <w:snapToGrid w:val="0"/>
              <w:spacing w:line="240" w:lineRule="auto"/>
              <w:jc w:val="center"/>
              <w:rPr>
                <w:sz w:val="21"/>
                <w:szCs w:val="21"/>
                <w:lang w:bidi="ar"/>
              </w:rPr>
            </w:pPr>
            <w:r>
              <w:rPr>
                <w:rFonts w:hint="eastAsia"/>
                <w:sz w:val="21"/>
                <w:szCs w:val="21"/>
                <w:lang w:bidi="ar"/>
              </w:rPr>
              <w:t>1002</w:t>
            </w:r>
          </w:p>
        </w:tc>
        <w:tc>
          <w:tcPr>
            <w:tcW w:w="1701" w:type="dxa"/>
            <w:vAlign w:val="center"/>
          </w:tcPr>
          <w:p>
            <w:pPr>
              <w:adjustRightInd w:val="0"/>
              <w:snapToGrid w:val="0"/>
              <w:spacing w:line="240" w:lineRule="auto"/>
              <w:jc w:val="center"/>
              <w:rPr>
                <w:sz w:val="21"/>
                <w:szCs w:val="21"/>
                <w:lang w:bidi="ar"/>
              </w:rPr>
            </w:pPr>
            <w:r>
              <w:rPr>
                <w:sz w:val="21"/>
                <w:szCs w:val="21"/>
                <w:lang w:bidi="ar"/>
              </w:rPr>
              <w:t>周边水体</w:t>
            </w:r>
          </w:p>
        </w:tc>
        <w:tc>
          <w:tcPr>
            <w:tcW w:w="1133" w:type="dxa"/>
            <w:vMerge w:val="continue"/>
            <w:vAlign w:val="center"/>
          </w:tcPr>
          <w:p>
            <w:pPr>
              <w:pStyle w:val="1240"/>
              <w:widowControl/>
              <w:adjustRightInd w:val="0"/>
              <w:snapToGrid w:val="0"/>
              <w:spacing w:line="240" w:lineRule="auto"/>
              <w:jc w:val="both"/>
              <w:rPr>
                <w:rFonts w:ascii="Times New Roman" w:hAnsi="Times New Roman" w:cs="Times New Roman"/>
                <w:spacing w:val="0"/>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adjustRightInd w:val="0"/>
              <w:snapToGrid w:val="0"/>
              <w:spacing w:line="240" w:lineRule="auto"/>
              <w:jc w:val="center"/>
              <w:rPr>
                <w:sz w:val="21"/>
                <w:szCs w:val="21"/>
                <w:lang w:bidi="ar"/>
              </w:rPr>
            </w:pPr>
          </w:p>
        </w:tc>
        <w:tc>
          <w:tcPr>
            <w:tcW w:w="599" w:type="dxa"/>
            <w:vAlign w:val="center"/>
          </w:tcPr>
          <w:p>
            <w:pPr>
              <w:adjustRightInd w:val="0"/>
              <w:snapToGrid w:val="0"/>
              <w:spacing w:line="240" w:lineRule="auto"/>
              <w:jc w:val="center"/>
              <w:rPr>
                <w:sz w:val="21"/>
                <w:szCs w:val="21"/>
                <w:lang w:bidi="ar"/>
              </w:rPr>
            </w:pPr>
            <w:r>
              <w:rPr>
                <w:rFonts w:hint="eastAsia"/>
                <w:sz w:val="21"/>
                <w:szCs w:val="21"/>
                <w:lang w:bidi="ar"/>
              </w:rPr>
              <w:t>3</w:t>
            </w:r>
          </w:p>
        </w:tc>
        <w:tc>
          <w:tcPr>
            <w:tcW w:w="1658" w:type="dxa"/>
            <w:vAlign w:val="center"/>
          </w:tcPr>
          <w:p>
            <w:pPr>
              <w:adjustRightInd w:val="0"/>
              <w:snapToGrid w:val="0"/>
              <w:spacing w:line="240" w:lineRule="auto"/>
              <w:jc w:val="center"/>
              <w:rPr>
                <w:sz w:val="21"/>
                <w:szCs w:val="21"/>
                <w:lang w:bidi="ar"/>
              </w:rPr>
            </w:pPr>
            <w:r>
              <w:rPr>
                <w:rFonts w:hint="eastAsia"/>
                <w:sz w:val="21"/>
                <w:szCs w:val="21"/>
                <w:lang w:bidi="ar"/>
              </w:rPr>
              <w:t>无名溪沟</w:t>
            </w:r>
          </w:p>
        </w:tc>
        <w:tc>
          <w:tcPr>
            <w:tcW w:w="786" w:type="dxa"/>
            <w:vAlign w:val="center"/>
          </w:tcPr>
          <w:p>
            <w:pPr>
              <w:adjustRightInd w:val="0"/>
              <w:snapToGrid w:val="0"/>
              <w:spacing w:line="240" w:lineRule="auto"/>
              <w:jc w:val="center"/>
              <w:rPr>
                <w:sz w:val="21"/>
                <w:szCs w:val="21"/>
                <w:lang w:bidi="ar"/>
              </w:rPr>
            </w:pPr>
            <w:r>
              <w:rPr>
                <w:rFonts w:hint="eastAsia"/>
                <w:sz w:val="21"/>
                <w:szCs w:val="21"/>
                <w:lang w:bidi="ar"/>
              </w:rPr>
              <w:t>东侧</w:t>
            </w:r>
          </w:p>
        </w:tc>
        <w:tc>
          <w:tcPr>
            <w:tcW w:w="2474" w:type="dxa"/>
            <w:vAlign w:val="center"/>
          </w:tcPr>
          <w:p>
            <w:pPr>
              <w:adjustRightInd w:val="0"/>
              <w:snapToGrid w:val="0"/>
              <w:spacing w:line="240" w:lineRule="auto"/>
              <w:jc w:val="center"/>
              <w:rPr>
                <w:sz w:val="21"/>
                <w:szCs w:val="21"/>
                <w:lang w:bidi="ar"/>
              </w:rPr>
            </w:pPr>
            <w:r>
              <w:rPr>
                <w:rFonts w:hint="eastAsia"/>
                <w:sz w:val="21"/>
                <w:szCs w:val="21"/>
                <w:lang w:bidi="ar"/>
              </w:rPr>
              <w:t>1</w:t>
            </w:r>
            <w:r>
              <w:rPr>
                <w:sz w:val="21"/>
                <w:szCs w:val="21"/>
                <w:lang w:bidi="ar"/>
              </w:rPr>
              <w:t>5m</w:t>
            </w:r>
          </w:p>
        </w:tc>
        <w:tc>
          <w:tcPr>
            <w:tcW w:w="1701" w:type="dxa"/>
            <w:vAlign w:val="center"/>
          </w:tcPr>
          <w:p>
            <w:pPr>
              <w:adjustRightInd w:val="0"/>
              <w:snapToGrid w:val="0"/>
              <w:spacing w:line="240" w:lineRule="auto"/>
              <w:jc w:val="center"/>
              <w:rPr>
                <w:sz w:val="21"/>
                <w:szCs w:val="21"/>
                <w:lang w:bidi="ar"/>
              </w:rPr>
            </w:pPr>
            <w:r>
              <w:rPr>
                <w:rFonts w:hint="eastAsia"/>
                <w:sz w:val="21"/>
                <w:szCs w:val="21"/>
                <w:lang w:bidi="ar"/>
              </w:rPr>
              <w:t>邻近水体</w:t>
            </w:r>
          </w:p>
        </w:tc>
        <w:tc>
          <w:tcPr>
            <w:tcW w:w="1133" w:type="dxa"/>
            <w:vMerge w:val="continue"/>
            <w:vAlign w:val="center"/>
          </w:tcPr>
          <w:p>
            <w:pPr>
              <w:pStyle w:val="1240"/>
              <w:widowControl/>
              <w:adjustRightInd w:val="0"/>
              <w:snapToGrid w:val="0"/>
              <w:spacing w:line="240" w:lineRule="auto"/>
              <w:jc w:val="both"/>
              <w:rPr>
                <w:rFonts w:ascii="Times New Roman" w:hAnsi="Times New Roman" w:cs="Times New Roman"/>
                <w:spacing w:val="0"/>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Align w:val="center"/>
          </w:tcPr>
          <w:p>
            <w:pPr>
              <w:adjustRightInd w:val="0"/>
              <w:snapToGrid w:val="0"/>
              <w:spacing w:line="240" w:lineRule="auto"/>
              <w:jc w:val="center"/>
              <w:rPr>
                <w:sz w:val="21"/>
                <w:szCs w:val="21"/>
                <w:lang w:bidi="ar"/>
              </w:rPr>
            </w:pPr>
            <w:r>
              <w:rPr>
                <w:rFonts w:hint="eastAsia"/>
                <w:sz w:val="21"/>
                <w:szCs w:val="21"/>
                <w:lang w:bidi="ar"/>
              </w:rPr>
              <w:t>地下水</w:t>
            </w:r>
          </w:p>
        </w:tc>
        <w:tc>
          <w:tcPr>
            <w:tcW w:w="599" w:type="dxa"/>
            <w:vAlign w:val="center"/>
          </w:tcPr>
          <w:p>
            <w:pPr>
              <w:adjustRightInd w:val="0"/>
              <w:snapToGrid w:val="0"/>
              <w:spacing w:line="240" w:lineRule="auto"/>
              <w:jc w:val="center"/>
              <w:rPr>
                <w:sz w:val="21"/>
                <w:szCs w:val="21"/>
                <w:lang w:bidi="ar"/>
              </w:rPr>
            </w:pPr>
            <w:r>
              <w:rPr>
                <w:rFonts w:hint="eastAsia"/>
                <w:sz w:val="21"/>
                <w:szCs w:val="21"/>
                <w:lang w:bidi="ar"/>
              </w:rPr>
              <w:t>1</w:t>
            </w:r>
          </w:p>
        </w:tc>
        <w:tc>
          <w:tcPr>
            <w:tcW w:w="6619" w:type="dxa"/>
            <w:gridSpan w:val="4"/>
            <w:vAlign w:val="center"/>
          </w:tcPr>
          <w:p>
            <w:pPr>
              <w:adjustRightInd w:val="0"/>
              <w:snapToGrid w:val="0"/>
              <w:spacing w:line="240" w:lineRule="auto"/>
              <w:jc w:val="center"/>
              <w:rPr>
                <w:sz w:val="21"/>
                <w:szCs w:val="21"/>
                <w:lang w:bidi="ar"/>
              </w:rPr>
            </w:pPr>
            <w:r>
              <w:rPr>
                <w:rFonts w:hint="eastAsia" w:cs="宋体"/>
                <w:bCs/>
                <w:kern w:val="0"/>
                <w:sz w:val="21"/>
                <w:szCs w:val="21"/>
                <w:lang w:bidi="ar"/>
              </w:rPr>
              <w:t>项目区及周围分散式农户水井</w:t>
            </w:r>
          </w:p>
        </w:tc>
        <w:tc>
          <w:tcPr>
            <w:tcW w:w="1133" w:type="dxa"/>
            <w:vAlign w:val="center"/>
          </w:tcPr>
          <w:p>
            <w:pPr>
              <w:pStyle w:val="1240"/>
              <w:widowControl/>
              <w:adjustRightInd w:val="0"/>
              <w:snapToGrid w:val="0"/>
              <w:spacing w:line="240" w:lineRule="auto"/>
              <w:jc w:val="both"/>
              <w:rPr>
                <w:rFonts w:ascii="Times New Roman" w:hAnsi="Times New Roman" w:cs="Times New Roman"/>
                <w:spacing w:val="0"/>
                <w:szCs w:val="21"/>
              </w:rPr>
            </w:pPr>
            <w:r>
              <w:rPr>
                <w:kern w:val="0"/>
                <w:szCs w:val="21"/>
                <w:lang w:bidi="ar"/>
              </w:rPr>
              <w:t>GB/T14848-2017</w:t>
            </w:r>
            <w:r>
              <w:rPr>
                <w:szCs w:val="21"/>
                <w:lang w:bidi="ar"/>
              </w:rPr>
              <w:t>Ⅲ</w:t>
            </w:r>
            <w:r>
              <w:rPr>
                <w:rFonts w:hint="eastAsia" w:cs="宋体"/>
                <w:szCs w:val="21"/>
                <w:lang w:bidi="ar"/>
              </w:rPr>
              <w:t>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restart"/>
            <w:vAlign w:val="center"/>
          </w:tcPr>
          <w:p>
            <w:pPr>
              <w:adjustRightInd w:val="0"/>
              <w:snapToGrid w:val="0"/>
              <w:spacing w:line="240" w:lineRule="auto"/>
              <w:jc w:val="center"/>
              <w:rPr>
                <w:kern w:val="0"/>
                <w:sz w:val="21"/>
                <w:szCs w:val="21"/>
              </w:rPr>
            </w:pPr>
            <w:r>
              <w:rPr>
                <w:sz w:val="21"/>
                <w:szCs w:val="21"/>
                <w:lang w:bidi="ar"/>
              </w:rPr>
              <w:t>环境风险</w:t>
            </w:r>
          </w:p>
        </w:tc>
        <w:tc>
          <w:tcPr>
            <w:tcW w:w="599" w:type="dxa"/>
            <w:vAlign w:val="center"/>
          </w:tcPr>
          <w:p>
            <w:pPr>
              <w:adjustRightInd w:val="0"/>
              <w:snapToGrid w:val="0"/>
              <w:spacing w:line="240" w:lineRule="auto"/>
              <w:jc w:val="center"/>
              <w:rPr>
                <w:kern w:val="0"/>
                <w:sz w:val="21"/>
                <w:szCs w:val="21"/>
              </w:rPr>
            </w:pPr>
            <w:r>
              <w:rPr>
                <w:rFonts w:hint="eastAsia"/>
                <w:kern w:val="0"/>
                <w:sz w:val="21"/>
                <w:szCs w:val="21"/>
                <w:lang w:bidi="ar"/>
              </w:rPr>
              <w:t>地表水</w:t>
            </w:r>
          </w:p>
        </w:tc>
        <w:tc>
          <w:tcPr>
            <w:tcW w:w="1658" w:type="dxa"/>
            <w:vAlign w:val="center"/>
          </w:tcPr>
          <w:p>
            <w:pPr>
              <w:adjustRightInd w:val="0"/>
              <w:snapToGrid w:val="0"/>
              <w:spacing w:line="240" w:lineRule="auto"/>
              <w:jc w:val="center"/>
              <w:rPr>
                <w:kern w:val="0"/>
                <w:sz w:val="21"/>
                <w:szCs w:val="21"/>
              </w:rPr>
            </w:pPr>
            <w:r>
              <w:rPr>
                <w:rFonts w:hint="eastAsia"/>
                <w:kern w:val="0"/>
                <w:sz w:val="21"/>
                <w:szCs w:val="21"/>
              </w:rPr>
              <w:t>无名溪沟</w:t>
            </w:r>
          </w:p>
        </w:tc>
        <w:tc>
          <w:tcPr>
            <w:tcW w:w="786" w:type="dxa"/>
            <w:vAlign w:val="center"/>
          </w:tcPr>
          <w:p>
            <w:pPr>
              <w:adjustRightInd w:val="0"/>
              <w:snapToGrid w:val="0"/>
              <w:spacing w:line="240" w:lineRule="auto"/>
              <w:jc w:val="center"/>
              <w:rPr>
                <w:kern w:val="0"/>
                <w:sz w:val="21"/>
                <w:szCs w:val="21"/>
              </w:rPr>
            </w:pPr>
            <w:r>
              <w:rPr>
                <w:kern w:val="0"/>
                <w:sz w:val="21"/>
                <w:szCs w:val="21"/>
              </w:rPr>
              <w:t>东</w:t>
            </w:r>
            <w:r>
              <w:rPr>
                <w:rFonts w:hint="eastAsia"/>
                <w:kern w:val="0"/>
                <w:sz w:val="21"/>
                <w:szCs w:val="21"/>
              </w:rPr>
              <w:t>侧</w:t>
            </w:r>
          </w:p>
        </w:tc>
        <w:tc>
          <w:tcPr>
            <w:tcW w:w="2474" w:type="dxa"/>
            <w:vAlign w:val="center"/>
          </w:tcPr>
          <w:p>
            <w:pPr>
              <w:adjustRightInd w:val="0"/>
              <w:snapToGrid w:val="0"/>
              <w:spacing w:line="240" w:lineRule="auto"/>
              <w:jc w:val="center"/>
              <w:rPr>
                <w:kern w:val="0"/>
                <w:sz w:val="21"/>
                <w:szCs w:val="21"/>
              </w:rPr>
            </w:pPr>
            <w:r>
              <w:rPr>
                <w:kern w:val="0"/>
                <w:sz w:val="21"/>
                <w:szCs w:val="21"/>
              </w:rPr>
              <w:t>15</w:t>
            </w:r>
            <w:r>
              <w:rPr>
                <w:rFonts w:hint="eastAsia"/>
                <w:kern w:val="0"/>
                <w:sz w:val="21"/>
                <w:szCs w:val="21"/>
              </w:rPr>
              <w:t>m</w:t>
            </w:r>
          </w:p>
        </w:tc>
        <w:tc>
          <w:tcPr>
            <w:tcW w:w="1701" w:type="dxa"/>
            <w:vAlign w:val="center"/>
          </w:tcPr>
          <w:p>
            <w:pPr>
              <w:adjustRightInd w:val="0"/>
              <w:snapToGrid w:val="0"/>
              <w:spacing w:line="240" w:lineRule="auto"/>
              <w:jc w:val="center"/>
              <w:rPr>
                <w:kern w:val="0"/>
                <w:sz w:val="21"/>
                <w:szCs w:val="21"/>
              </w:rPr>
            </w:pPr>
            <w:r>
              <w:rPr>
                <w:rFonts w:hint="eastAsia"/>
                <w:kern w:val="0"/>
                <w:sz w:val="21"/>
                <w:szCs w:val="21"/>
              </w:rPr>
              <w:t>邻近水体</w:t>
            </w:r>
          </w:p>
        </w:tc>
        <w:tc>
          <w:tcPr>
            <w:tcW w:w="1133" w:type="dxa"/>
            <w:vMerge w:val="restart"/>
            <w:vAlign w:val="center"/>
          </w:tcPr>
          <w:p>
            <w:pPr>
              <w:pStyle w:val="1240"/>
              <w:widowControl/>
              <w:adjustRightInd w:val="0"/>
              <w:snapToGrid w:val="0"/>
              <w:spacing w:line="240" w:lineRule="auto"/>
              <w:ind w:firstLine="210" w:firstLineChars="100"/>
              <w:jc w:val="both"/>
              <w:rPr>
                <w:rFonts w:ascii="Times New Roman" w:hAnsi="Times New Roman"/>
                <w:spacing w:val="0"/>
                <w:szCs w:val="21"/>
              </w:rPr>
            </w:pPr>
            <w:r>
              <w:rPr>
                <w:rFonts w:ascii="Times New Roman" w:hAnsi="Times New Roman" w:cs="Times New Roman"/>
                <w:spacing w:val="0"/>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rPr>
            </w:pPr>
            <w:r>
              <w:rPr>
                <w:rFonts w:hint="eastAsia"/>
                <w:kern w:val="0"/>
                <w:sz w:val="21"/>
                <w:szCs w:val="21"/>
                <w:lang w:bidi="ar"/>
              </w:rPr>
              <w:t>地下水</w:t>
            </w:r>
          </w:p>
        </w:tc>
        <w:tc>
          <w:tcPr>
            <w:tcW w:w="6619" w:type="dxa"/>
            <w:gridSpan w:val="4"/>
            <w:vAlign w:val="center"/>
          </w:tcPr>
          <w:p>
            <w:pPr>
              <w:adjustRightInd w:val="0"/>
              <w:snapToGrid w:val="0"/>
              <w:spacing w:line="240" w:lineRule="auto"/>
              <w:jc w:val="center"/>
              <w:rPr>
                <w:kern w:val="0"/>
                <w:sz w:val="21"/>
                <w:szCs w:val="21"/>
              </w:rPr>
            </w:pPr>
            <w:r>
              <w:rPr>
                <w:rFonts w:hint="eastAsia"/>
                <w:kern w:val="0"/>
                <w:sz w:val="21"/>
                <w:szCs w:val="21"/>
              </w:rPr>
              <w:t>星星亮村3组农户分散水井（红星村4组已全部使用红星水库做饮用水源）</w:t>
            </w:r>
          </w:p>
        </w:tc>
        <w:tc>
          <w:tcPr>
            <w:tcW w:w="1133" w:type="dxa"/>
            <w:vMerge w:val="continue"/>
            <w:vAlign w:val="center"/>
          </w:tcPr>
          <w:p>
            <w:pPr>
              <w:spacing w:line="240" w:lineRule="auto"/>
              <w:rPr>
                <w:sz w:val="20"/>
                <w:szCs w:val="20"/>
              </w:rPr>
            </w:pPr>
          </w:p>
        </w:tc>
      </w:tr>
    </w:tbl>
    <w:p>
      <w:pPr>
        <w:snapToGrid w:val="0"/>
        <w:spacing w:line="240" w:lineRule="auto"/>
        <w:rPr>
          <w:rFonts w:eastAsia="黑体"/>
        </w:rPr>
      </w:pPr>
      <w:r>
        <w:rPr>
          <w:rFonts w:hint="eastAsia" w:eastAsia="黑体"/>
        </w:rPr>
        <w:t>注：项目周边即将租赁搬迁的农户未纳入本次评价环境保护目标</w:t>
      </w: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46" w:name="_Toc29110558"/>
      <w:r>
        <w:rPr>
          <w:rFonts w:hint="eastAsia" w:ascii="Times New Roman" w:hAnsi="Times New Roman" w:eastAsia="黑体" w:cs="Times New Roman"/>
          <w:b w:val="0"/>
          <w:bCs/>
          <w:spacing w:val="4"/>
          <w:kern w:val="2"/>
          <w:sz w:val="32"/>
          <w:szCs w:val="32"/>
        </w:rPr>
        <w:t>2.8</w:t>
      </w:r>
      <w:r>
        <w:rPr>
          <w:rFonts w:ascii="Times New Roman" w:hAnsi="Times New Roman" w:eastAsia="黑体" w:cs="Times New Roman"/>
          <w:b w:val="0"/>
          <w:bCs/>
          <w:spacing w:val="4"/>
          <w:kern w:val="2"/>
          <w:sz w:val="32"/>
          <w:szCs w:val="32"/>
        </w:rPr>
        <w:t>评价标准</w:t>
      </w:r>
      <w:bookmarkEnd w:id="227"/>
      <w:bookmarkEnd w:id="228"/>
      <w:bookmarkEnd w:id="229"/>
      <w:bookmarkEnd w:id="230"/>
      <w:bookmarkEnd w:id="231"/>
      <w:bookmarkEnd w:id="232"/>
      <w:bookmarkEnd w:id="233"/>
      <w:bookmarkEnd w:id="237"/>
      <w:bookmarkEnd w:id="238"/>
      <w:bookmarkEnd w:id="239"/>
      <w:bookmarkEnd w:id="240"/>
      <w:bookmarkEnd w:id="241"/>
      <w:bookmarkEnd w:id="242"/>
      <w:bookmarkEnd w:id="243"/>
      <w:bookmarkEnd w:id="244"/>
      <w:bookmarkEnd w:id="245"/>
      <w:bookmarkEnd w:id="246"/>
    </w:p>
    <w:p>
      <w:pPr>
        <w:jc w:val="left"/>
        <w:outlineLvl w:val="2"/>
        <w:rPr>
          <w:rFonts w:eastAsia="黑体"/>
          <w:bCs/>
          <w:sz w:val="28"/>
          <w:szCs w:val="28"/>
        </w:rPr>
      </w:pPr>
      <w:r>
        <w:rPr>
          <w:rFonts w:hint="eastAsia" w:eastAsia="黑体"/>
          <w:bCs/>
          <w:sz w:val="28"/>
          <w:szCs w:val="28"/>
        </w:rPr>
        <w:t>2</w:t>
      </w:r>
      <w:r>
        <w:rPr>
          <w:rFonts w:eastAsia="黑体"/>
          <w:bCs/>
          <w:sz w:val="28"/>
          <w:szCs w:val="28"/>
        </w:rPr>
        <w:t>.8.1 环境功能区分类</w:t>
      </w:r>
    </w:p>
    <w:p>
      <w:pPr>
        <w:adjustRightInd w:val="0"/>
        <w:snapToGrid w:val="0"/>
        <w:ind w:firstLine="480" w:firstLineChars="200"/>
      </w:pPr>
      <w:r>
        <w:t>（1）环境空气功能区分类</w:t>
      </w:r>
    </w:p>
    <w:p>
      <w:pPr>
        <w:adjustRightInd w:val="0"/>
        <w:snapToGrid w:val="0"/>
        <w:ind w:firstLine="480" w:firstLineChars="200"/>
      </w:pPr>
      <w:r>
        <w:t>本项目位于</w:t>
      </w:r>
      <w:r>
        <w:rPr>
          <w:rFonts w:hint="eastAsia"/>
        </w:rPr>
        <w:t>乐山市井研县</w:t>
      </w:r>
      <w:r>
        <w:t>高凤乡星星亮村，按照《环境空气质量标准》（GB3095-2012）中的规定，该区域的环境空气质量功能区划属于二类功能区。</w:t>
      </w:r>
    </w:p>
    <w:p>
      <w:pPr>
        <w:adjustRightInd w:val="0"/>
        <w:snapToGrid w:val="0"/>
        <w:ind w:firstLine="480" w:firstLineChars="200"/>
      </w:pPr>
      <w:r>
        <w:t>（2）地表水功能区分类</w:t>
      </w:r>
    </w:p>
    <w:p>
      <w:pPr>
        <w:tabs>
          <w:tab w:val="left" w:pos="2160"/>
        </w:tabs>
        <w:adjustRightInd w:val="0"/>
        <w:snapToGrid w:val="0"/>
        <w:ind w:firstLine="480" w:firstLineChars="200"/>
      </w:pPr>
      <w:r>
        <w:t>拟建项目周边的水域为</w:t>
      </w:r>
      <w:r>
        <w:rPr>
          <w:rFonts w:hint="eastAsia"/>
        </w:rPr>
        <w:t>东林河</w:t>
      </w:r>
      <w:r>
        <w:t>，其地表水环境功能为Ⅲ类水域。</w:t>
      </w:r>
    </w:p>
    <w:p>
      <w:pPr>
        <w:adjustRightInd w:val="0"/>
        <w:snapToGrid w:val="0"/>
        <w:ind w:firstLine="480" w:firstLineChars="200"/>
      </w:pPr>
      <w:r>
        <w:t>（3）地下水功能区分类</w:t>
      </w:r>
    </w:p>
    <w:p>
      <w:pPr>
        <w:tabs>
          <w:tab w:val="left" w:pos="2160"/>
        </w:tabs>
        <w:adjustRightInd w:val="0"/>
        <w:snapToGrid w:val="0"/>
        <w:ind w:firstLine="480" w:firstLineChars="200"/>
      </w:pPr>
      <w:r>
        <w:t>本项目位于</w:t>
      </w:r>
      <w:r>
        <w:rPr>
          <w:rFonts w:hint="eastAsia"/>
        </w:rPr>
        <w:t>乐山市井研县</w:t>
      </w:r>
      <w:r>
        <w:t>高凤乡星星亮村，根据《地下水质量标准》（GB14848-2017）中的划定，项目区域地下水质量分类为Ⅲ类。</w:t>
      </w:r>
    </w:p>
    <w:p>
      <w:pPr>
        <w:adjustRightInd w:val="0"/>
        <w:snapToGrid w:val="0"/>
        <w:ind w:firstLine="480" w:firstLineChars="200"/>
      </w:pPr>
      <w:r>
        <w:t>（4）声环境功能区分类</w:t>
      </w:r>
    </w:p>
    <w:p>
      <w:pPr>
        <w:adjustRightInd w:val="0"/>
        <w:snapToGrid w:val="0"/>
        <w:ind w:firstLine="480" w:firstLineChars="200"/>
      </w:pPr>
      <w:r>
        <w:t>拟建项目位于</w:t>
      </w:r>
      <w:r>
        <w:rPr>
          <w:rFonts w:hint="eastAsia"/>
        </w:rPr>
        <w:t>乐山市井研县</w:t>
      </w:r>
      <w:r>
        <w:t>高凤乡星星亮村，</w:t>
      </w:r>
      <w:r>
        <w:rPr>
          <w:rFonts w:hint="eastAsia"/>
        </w:rPr>
        <w:t>其属于农村环境</w:t>
      </w:r>
      <w:r>
        <w:t>，根据建设项目周边环境现状，参照GB3096-2008《声环境质量标准》中的规定，划分为2类标准适用区域。</w:t>
      </w:r>
    </w:p>
    <w:p>
      <w:pPr>
        <w:jc w:val="left"/>
        <w:outlineLvl w:val="2"/>
        <w:rPr>
          <w:rFonts w:eastAsia="黑体"/>
          <w:bCs/>
          <w:sz w:val="28"/>
          <w:szCs w:val="28"/>
        </w:rPr>
      </w:pPr>
      <w:bookmarkStart w:id="247" w:name="_Toc367884762"/>
      <w:bookmarkStart w:id="248" w:name="_Toc113381856"/>
      <w:bookmarkStart w:id="249" w:name="_Toc227403687"/>
      <w:bookmarkStart w:id="250" w:name="_Toc375732703"/>
      <w:bookmarkStart w:id="251" w:name="_Toc181438241"/>
      <w:bookmarkStart w:id="252" w:name="_Toc144775058"/>
      <w:r>
        <w:rPr>
          <w:rFonts w:hint="eastAsia" w:eastAsia="黑体"/>
          <w:bCs/>
          <w:sz w:val="28"/>
          <w:szCs w:val="28"/>
        </w:rPr>
        <w:t>2</w:t>
      </w:r>
      <w:r>
        <w:rPr>
          <w:rFonts w:eastAsia="黑体"/>
          <w:bCs/>
          <w:sz w:val="28"/>
          <w:szCs w:val="28"/>
        </w:rPr>
        <w:t>.8.2 评价标准</w:t>
      </w:r>
      <w:bookmarkEnd w:id="247"/>
      <w:bookmarkEnd w:id="248"/>
      <w:bookmarkEnd w:id="249"/>
      <w:bookmarkEnd w:id="250"/>
      <w:bookmarkEnd w:id="251"/>
      <w:bookmarkEnd w:id="252"/>
    </w:p>
    <w:p>
      <w:pPr>
        <w:spacing w:before="120" w:after="60"/>
        <w:jc w:val="left"/>
        <w:outlineLvl w:val="2"/>
        <w:rPr>
          <w:rFonts w:eastAsia="黑体"/>
          <w:bCs/>
          <w:sz w:val="28"/>
          <w:szCs w:val="28"/>
        </w:rPr>
      </w:pPr>
      <w:r>
        <w:rPr>
          <w:rFonts w:hint="eastAsia" w:eastAsia="黑体"/>
          <w:bCs/>
          <w:sz w:val="28"/>
          <w:szCs w:val="28"/>
        </w:rPr>
        <w:t>2.8.2</w:t>
      </w:r>
      <w:r>
        <w:rPr>
          <w:rFonts w:eastAsia="黑体"/>
          <w:bCs/>
          <w:sz w:val="28"/>
          <w:szCs w:val="28"/>
        </w:rPr>
        <w:t>评价标准</w:t>
      </w:r>
    </w:p>
    <w:p>
      <w:pPr>
        <w:adjustRightInd w:val="0"/>
        <w:snapToGrid w:val="0"/>
        <w:ind w:firstLine="480" w:firstLineChars="200"/>
      </w:pPr>
      <w:bookmarkStart w:id="253" w:name="_Toc83438565"/>
      <w:bookmarkStart w:id="254" w:name="_Toc103524625"/>
      <w:bookmarkStart w:id="255" w:name="_Toc88622203"/>
      <w:bookmarkStart w:id="256" w:name="_Toc113381857"/>
      <w:bookmarkStart w:id="257" w:name="_Toc87774332"/>
      <w:bookmarkStart w:id="258" w:name="_Toc107895708"/>
      <w:bookmarkStart w:id="259" w:name="_Toc108435719"/>
      <w:bookmarkStart w:id="260" w:name="_Toc103398739"/>
      <w:bookmarkStart w:id="261" w:name="_Toc144775059"/>
      <w:r>
        <w:t>本次环境影响评价</w:t>
      </w:r>
      <w:r>
        <w:rPr>
          <w:spacing w:val="-4"/>
        </w:rPr>
        <w:t>采用</w:t>
      </w:r>
      <w:r>
        <w:t>的评价标准见表</w:t>
      </w:r>
      <w:r>
        <w:rPr>
          <w:rFonts w:hint="eastAsia"/>
        </w:rPr>
        <w:t>2</w:t>
      </w:r>
      <w:r>
        <w:t>.</w:t>
      </w:r>
      <w:r>
        <w:rPr>
          <w:rFonts w:hint="eastAsia"/>
        </w:rPr>
        <w:t>8</w:t>
      </w:r>
      <w:r>
        <w:t>-1。</w:t>
      </w:r>
    </w:p>
    <w:p>
      <w:pPr>
        <w:snapToGrid w:val="0"/>
        <w:spacing w:line="240" w:lineRule="auto"/>
        <w:jc w:val="center"/>
        <w:rPr>
          <w:rFonts w:eastAsia="黑体"/>
        </w:rPr>
      </w:pPr>
    </w:p>
    <w:p>
      <w:pPr>
        <w:snapToGrid w:val="0"/>
        <w:spacing w:line="240" w:lineRule="auto"/>
        <w:jc w:val="center"/>
        <w:rPr>
          <w:rFonts w:eastAsia="黑体"/>
        </w:rPr>
      </w:pPr>
    </w:p>
    <w:p>
      <w:pPr>
        <w:snapToGrid w:val="0"/>
        <w:spacing w:line="240" w:lineRule="auto"/>
        <w:jc w:val="center"/>
        <w:rPr>
          <w:rFonts w:eastAsia="黑体"/>
        </w:rPr>
      </w:pPr>
    </w:p>
    <w:p>
      <w:pPr>
        <w:snapToGrid w:val="0"/>
        <w:spacing w:line="240" w:lineRule="auto"/>
        <w:jc w:val="center"/>
        <w:rPr>
          <w:rFonts w:eastAsia="黑体"/>
        </w:rPr>
      </w:pPr>
      <w:r>
        <w:rPr>
          <w:rFonts w:eastAsia="黑体"/>
        </w:rPr>
        <w:t>表</w:t>
      </w:r>
      <w:r>
        <w:rPr>
          <w:rFonts w:hint="eastAsia" w:eastAsia="黑体"/>
        </w:rPr>
        <w:t>2</w:t>
      </w:r>
      <w:r>
        <w:rPr>
          <w:rFonts w:eastAsia="黑体"/>
        </w:rPr>
        <w:t>.</w:t>
      </w:r>
      <w:r>
        <w:rPr>
          <w:rFonts w:hint="eastAsia" w:eastAsia="黑体"/>
        </w:rPr>
        <w:t>8</w:t>
      </w:r>
      <w:r>
        <w:rPr>
          <w:rFonts w:eastAsia="黑体"/>
        </w:rPr>
        <w:t>-1　评价标准一览表</w:t>
      </w:r>
    </w:p>
    <w:bookmarkEnd w:id="253"/>
    <w:bookmarkEnd w:id="254"/>
    <w:bookmarkEnd w:id="255"/>
    <w:bookmarkEnd w:id="256"/>
    <w:bookmarkEnd w:id="257"/>
    <w:bookmarkEnd w:id="258"/>
    <w:bookmarkEnd w:id="259"/>
    <w:bookmarkEnd w:id="260"/>
    <w:bookmarkEnd w:id="261"/>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2"/>
        <w:gridCol w:w="475"/>
        <w:gridCol w:w="2151"/>
        <w:gridCol w:w="692"/>
        <w:gridCol w:w="1707"/>
        <w:gridCol w:w="784"/>
        <w:gridCol w:w="565"/>
        <w:gridCol w:w="565"/>
        <w:gridCol w:w="817"/>
        <w:gridCol w:w="40"/>
        <w:gridCol w:w="10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 w:hRule="atLeast"/>
          <w:jc w:val="center"/>
        </w:trPr>
        <w:tc>
          <w:tcPr>
            <w:tcW w:w="886" w:type="dxa"/>
            <w:gridSpan w:val="2"/>
            <w:vMerge w:val="restart"/>
            <w:tcBorders>
              <w:left w:val="nil"/>
            </w:tcBorders>
            <w:vAlign w:val="center"/>
          </w:tcPr>
          <w:p>
            <w:pPr>
              <w:snapToGrid w:val="0"/>
              <w:spacing w:line="240" w:lineRule="auto"/>
              <w:jc w:val="center"/>
              <w:rPr>
                <w:sz w:val="21"/>
                <w:szCs w:val="21"/>
              </w:rPr>
            </w:pPr>
            <w:r>
              <w:rPr>
                <w:sz w:val="21"/>
                <w:szCs w:val="21"/>
              </w:rPr>
              <w:t>类别</w:t>
            </w:r>
          </w:p>
        </w:tc>
        <w:tc>
          <w:tcPr>
            <w:tcW w:w="2101" w:type="dxa"/>
            <w:vMerge w:val="restart"/>
            <w:vAlign w:val="center"/>
          </w:tcPr>
          <w:p>
            <w:pPr>
              <w:snapToGrid w:val="0"/>
              <w:spacing w:line="240" w:lineRule="auto"/>
              <w:jc w:val="center"/>
              <w:rPr>
                <w:sz w:val="21"/>
                <w:szCs w:val="21"/>
              </w:rPr>
            </w:pPr>
            <w:r>
              <w:rPr>
                <w:sz w:val="21"/>
                <w:szCs w:val="21"/>
              </w:rPr>
              <w:t>标准名称</w:t>
            </w:r>
          </w:p>
        </w:tc>
        <w:tc>
          <w:tcPr>
            <w:tcW w:w="676" w:type="dxa"/>
            <w:vMerge w:val="restart"/>
            <w:vAlign w:val="center"/>
          </w:tcPr>
          <w:p>
            <w:pPr>
              <w:snapToGrid w:val="0"/>
              <w:spacing w:line="240" w:lineRule="auto"/>
              <w:jc w:val="center"/>
              <w:rPr>
                <w:sz w:val="21"/>
                <w:szCs w:val="21"/>
              </w:rPr>
            </w:pPr>
            <w:r>
              <w:rPr>
                <w:sz w:val="21"/>
                <w:szCs w:val="21"/>
              </w:rPr>
              <w:t>类别</w:t>
            </w:r>
          </w:p>
        </w:tc>
        <w:tc>
          <w:tcPr>
            <w:tcW w:w="4374" w:type="dxa"/>
            <w:gridSpan w:val="6"/>
            <w:vAlign w:val="center"/>
          </w:tcPr>
          <w:p>
            <w:pPr>
              <w:snapToGrid w:val="0"/>
              <w:spacing w:line="240" w:lineRule="auto"/>
              <w:jc w:val="center"/>
              <w:rPr>
                <w:sz w:val="21"/>
                <w:szCs w:val="21"/>
              </w:rPr>
            </w:pPr>
            <w:r>
              <w:rPr>
                <w:sz w:val="21"/>
                <w:szCs w:val="21"/>
              </w:rPr>
              <w:t>标准限值</w:t>
            </w:r>
          </w:p>
        </w:tc>
        <w:tc>
          <w:tcPr>
            <w:tcW w:w="1034" w:type="dxa"/>
            <w:vMerge w:val="restart"/>
            <w:tcBorders>
              <w:right w:val="nil"/>
            </w:tcBorders>
            <w:vAlign w:val="center"/>
          </w:tcPr>
          <w:p>
            <w:pPr>
              <w:snapToGrid w:val="0"/>
              <w:spacing w:line="240" w:lineRule="auto"/>
              <w:jc w:val="center"/>
              <w:rPr>
                <w:sz w:val="21"/>
                <w:szCs w:val="21"/>
              </w:rPr>
            </w:pPr>
            <w:r>
              <w:rPr>
                <w:sz w:val="21"/>
                <w:szCs w:val="21"/>
              </w:rPr>
              <w:t>评价对象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886" w:type="dxa"/>
            <w:gridSpan w:val="2"/>
            <w:vMerge w:val="continue"/>
            <w:tcBorders>
              <w:left w:val="nil"/>
            </w:tcBorders>
            <w:vAlign w:val="center"/>
          </w:tcPr>
          <w:p>
            <w:pPr>
              <w:snapToGrid w:val="0"/>
              <w:spacing w:line="240" w:lineRule="auto"/>
              <w:rPr>
                <w:sz w:val="21"/>
                <w:szCs w:val="21"/>
              </w:rPr>
            </w:pPr>
          </w:p>
        </w:tc>
        <w:tc>
          <w:tcPr>
            <w:tcW w:w="2101" w:type="dxa"/>
            <w:vMerge w:val="continue"/>
            <w:vAlign w:val="center"/>
          </w:tcPr>
          <w:p>
            <w:pPr>
              <w:snapToGrid w:val="0"/>
              <w:spacing w:line="240" w:lineRule="auto"/>
              <w:rPr>
                <w:sz w:val="21"/>
                <w:szCs w:val="21"/>
              </w:rPr>
            </w:pPr>
          </w:p>
        </w:tc>
        <w:tc>
          <w:tcPr>
            <w:tcW w:w="676" w:type="dxa"/>
            <w:vMerge w:val="continue"/>
            <w:vAlign w:val="center"/>
          </w:tcPr>
          <w:p>
            <w:pPr>
              <w:snapToGrid w:val="0"/>
              <w:spacing w:line="240" w:lineRule="auto"/>
              <w:rPr>
                <w:sz w:val="21"/>
                <w:szCs w:val="21"/>
              </w:rPr>
            </w:pPr>
          </w:p>
        </w:tc>
        <w:tc>
          <w:tcPr>
            <w:tcW w:w="1667" w:type="dxa"/>
            <w:vAlign w:val="center"/>
          </w:tcPr>
          <w:p>
            <w:pPr>
              <w:snapToGrid w:val="0"/>
              <w:spacing w:line="240" w:lineRule="auto"/>
              <w:jc w:val="center"/>
              <w:rPr>
                <w:sz w:val="21"/>
                <w:szCs w:val="21"/>
              </w:rPr>
            </w:pPr>
            <w:r>
              <w:rPr>
                <w:sz w:val="21"/>
                <w:szCs w:val="21"/>
              </w:rPr>
              <w:t>参数名称</w:t>
            </w:r>
          </w:p>
        </w:tc>
        <w:tc>
          <w:tcPr>
            <w:tcW w:w="2707" w:type="dxa"/>
            <w:gridSpan w:val="5"/>
            <w:vAlign w:val="center"/>
          </w:tcPr>
          <w:p>
            <w:pPr>
              <w:snapToGrid w:val="0"/>
              <w:spacing w:line="240" w:lineRule="auto"/>
              <w:jc w:val="center"/>
              <w:rPr>
                <w:sz w:val="21"/>
                <w:szCs w:val="21"/>
              </w:rPr>
            </w:pPr>
            <w:r>
              <w:rPr>
                <w:sz w:val="21"/>
                <w:szCs w:val="21"/>
              </w:rPr>
              <w:t>浓度限值</w:t>
            </w:r>
          </w:p>
        </w:tc>
        <w:tc>
          <w:tcPr>
            <w:tcW w:w="1034" w:type="dxa"/>
            <w:vMerge w:val="continue"/>
            <w:tcBorders>
              <w:right w:val="nil"/>
            </w:tcBorders>
            <w:vAlign w:val="center"/>
          </w:tcPr>
          <w:p>
            <w:pPr>
              <w:snapToGrid w:val="0"/>
              <w:spacing w:line="240" w:lineRule="auto"/>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restart"/>
            <w:tcBorders>
              <w:left w:val="nil"/>
            </w:tcBorders>
            <w:vAlign w:val="center"/>
          </w:tcPr>
          <w:p>
            <w:pPr>
              <w:snapToGrid w:val="0"/>
              <w:spacing w:line="240" w:lineRule="auto"/>
              <w:jc w:val="center"/>
              <w:rPr>
                <w:sz w:val="21"/>
                <w:szCs w:val="21"/>
              </w:rPr>
            </w:pPr>
          </w:p>
          <w:p>
            <w:pPr>
              <w:pStyle w:val="2"/>
              <w:ind w:firstLine="480"/>
              <w:rPr>
                <w:rFonts w:hint="default"/>
              </w:rPr>
            </w:pPr>
          </w:p>
          <w:p>
            <w:pPr>
              <w:snapToGrid w:val="0"/>
              <w:spacing w:line="240" w:lineRule="auto"/>
              <w:jc w:val="center"/>
              <w:rPr>
                <w:sz w:val="21"/>
                <w:szCs w:val="21"/>
              </w:rPr>
            </w:pPr>
            <w:r>
              <w:rPr>
                <w:sz w:val="21"/>
                <w:szCs w:val="21"/>
              </w:rPr>
              <w:t>环</w:t>
            </w:r>
          </w:p>
          <w:p>
            <w:pPr>
              <w:snapToGrid w:val="0"/>
              <w:spacing w:line="240" w:lineRule="auto"/>
              <w:jc w:val="center"/>
              <w:rPr>
                <w:sz w:val="21"/>
                <w:szCs w:val="21"/>
              </w:rPr>
            </w:pPr>
            <w:r>
              <w:rPr>
                <w:sz w:val="21"/>
                <w:szCs w:val="21"/>
              </w:rPr>
              <w:t>境</w:t>
            </w:r>
          </w:p>
          <w:p>
            <w:pPr>
              <w:snapToGrid w:val="0"/>
              <w:spacing w:line="240" w:lineRule="auto"/>
              <w:jc w:val="center"/>
              <w:rPr>
                <w:sz w:val="21"/>
                <w:szCs w:val="21"/>
              </w:rPr>
            </w:pPr>
            <w:r>
              <w:rPr>
                <w:sz w:val="21"/>
                <w:szCs w:val="21"/>
              </w:rPr>
              <w:t>质量标准</w:t>
            </w:r>
          </w:p>
        </w:tc>
        <w:tc>
          <w:tcPr>
            <w:tcW w:w="464" w:type="dxa"/>
            <w:vMerge w:val="restart"/>
            <w:vAlign w:val="center"/>
          </w:tcPr>
          <w:p>
            <w:pPr>
              <w:snapToGrid w:val="0"/>
              <w:spacing w:line="240" w:lineRule="auto"/>
              <w:jc w:val="center"/>
              <w:rPr>
                <w:sz w:val="21"/>
                <w:szCs w:val="21"/>
              </w:rPr>
            </w:pPr>
            <w:r>
              <w:rPr>
                <w:sz w:val="21"/>
                <w:szCs w:val="21"/>
              </w:rPr>
              <w:t>环境</w:t>
            </w:r>
          </w:p>
          <w:p>
            <w:pPr>
              <w:snapToGrid w:val="0"/>
              <w:spacing w:line="240" w:lineRule="auto"/>
              <w:jc w:val="center"/>
              <w:rPr>
                <w:sz w:val="21"/>
                <w:szCs w:val="21"/>
              </w:rPr>
            </w:pPr>
            <w:r>
              <w:rPr>
                <w:sz w:val="21"/>
                <w:szCs w:val="21"/>
              </w:rPr>
              <w:t>空气</w:t>
            </w:r>
          </w:p>
        </w:tc>
        <w:tc>
          <w:tcPr>
            <w:tcW w:w="2101" w:type="dxa"/>
            <w:vMerge w:val="restart"/>
            <w:vAlign w:val="center"/>
          </w:tcPr>
          <w:p>
            <w:pPr>
              <w:snapToGrid w:val="0"/>
              <w:spacing w:line="240" w:lineRule="auto"/>
              <w:jc w:val="center"/>
              <w:rPr>
                <w:sz w:val="21"/>
                <w:szCs w:val="21"/>
              </w:rPr>
            </w:pPr>
            <w:r>
              <w:rPr>
                <w:sz w:val="21"/>
                <w:szCs w:val="21"/>
              </w:rPr>
              <w:t>《环境空气质量标准》（GB3095-2012）</w:t>
            </w:r>
          </w:p>
        </w:tc>
        <w:tc>
          <w:tcPr>
            <w:tcW w:w="676" w:type="dxa"/>
            <w:vMerge w:val="restart"/>
            <w:vAlign w:val="center"/>
          </w:tcPr>
          <w:p>
            <w:pPr>
              <w:snapToGrid w:val="0"/>
              <w:spacing w:line="240" w:lineRule="auto"/>
              <w:jc w:val="center"/>
              <w:rPr>
                <w:sz w:val="21"/>
                <w:szCs w:val="21"/>
              </w:rPr>
            </w:pPr>
            <w:r>
              <w:rPr>
                <w:sz w:val="21"/>
                <w:szCs w:val="21"/>
              </w:rPr>
              <w:t>二级</w:t>
            </w:r>
          </w:p>
        </w:tc>
        <w:tc>
          <w:tcPr>
            <w:tcW w:w="1667" w:type="dxa"/>
            <w:vMerge w:val="restart"/>
            <w:vAlign w:val="center"/>
          </w:tcPr>
          <w:p>
            <w:pPr>
              <w:snapToGrid w:val="0"/>
              <w:spacing w:line="240" w:lineRule="auto"/>
              <w:jc w:val="center"/>
              <w:rPr>
                <w:sz w:val="21"/>
                <w:szCs w:val="21"/>
              </w:rPr>
            </w:pPr>
            <w:r>
              <w:rPr>
                <w:sz w:val="21"/>
                <w:szCs w:val="21"/>
              </w:rPr>
              <w:t>SO</w:t>
            </w:r>
            <w:r>
              <w:rPr>
                <w:sz w:val="21"/>
                <w:szCs w:val="21"/>
                <w:vertAlign w:val="subscript"/>
              </w:rPr>
              <w:t>2</w:t>
            </w:r>
          </w:p>
        </w:tc>
        <w:tc>
          <w:tcPr>
            <w:tcW w:w="1318" w:type="dxa"/>
            <w:gridSpan w:val="2"/>
            <w:vAlign w:val="center"/>
          </w:tcPr>
          <w:p>
            <w:pPr>
              <w:snapToGrid w:val="0"/>
              <w:spacing w:line="240" w:lineRule="auto"/>
              <w:jc w:val="center"/>
              <w:rPr>
                <w:sz w:val="21"/>
                <w:szCs w:val="21"/>
              </w:rPr>
            </w:pPr>
            <w:r>
              <w:rPr>
                <w:sz w:val="21"/>
                <w:szCs w:val="21"/>
              </w:rPr>
              <w:t xml:space="preserve">年平均    </w:t>
            </w:r>
          </w:p>
        </w:tc>
        <w:tc>
          <w:tcPr>
            <w:tcW w:w="1389" w:type="dxa"/>
            <w:gridSpan w:val="3"/>
            <w:vAlign w:val="center"/>
          </w:tcPr>
          <w:p>
            <w:pPr>
              <w:snapToGrid w:val="0"/>
              <w:spacing w:line="240" w:lineRule="auto"/>
              <w:jc w:val="center"/>
              <w:rPr>
                <w:sz w:val="21"/>
                <w:szCs w:val="21"/>
              </w:rPr>
            </w:pPr>
            <w:r>
              <w:rPr>
                <w:sz w:val="21"/>
                <w:szCs w:val="21"/>
              </w:rPr>
              <w:t>0.06mg/m</w:t>
            </w:r>
            <w:r>
              <w:rPr>
                <w:sz w:val="21"/>
                <w:szCs w:val="21"/>
                <w:vertAlign w:val="superscript"/>
              </w:rPr>
              <w:t>3</w:t>
            </w:r>
          </w:p>
        </w:tc>
        <w:tc>
          <w:tcPr>
            <w:tcW w:w="1034" w:type="dxa"/>
            <w:vMerge w:val="restart"/>
            <w:tcBorders>
              <w:right w:val="nil"/>
            </w:tcBorders>
            <w:vAlign w:val="center"/>
          </w:tcPr>
          <w:p>
            <w:pPr>
              <w:snapToGrid w:val="0"/>
              <w:spacing w:line="240" w:lineRule="auto"/>
              <w:jc w:val="center"/>
              <w:rPr>
                <w:sz w:val="21"/>
                <w:szCs w:val="21"/>
              </w:rPr>
            </w:pPr>
            <w:r>
              <w:rPr>
                <w:sz w:val="21"/>
                <w:szCs w:val="21"/>
              </w:rPr>
              <w:t>评价区域环境空气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日平均</w:t>
            </w:r>
          </w:p>
        </w:tc>
        <w:tc>
          <w:tcPr>
            <w:tcW w:w="1389" w:type="dxa"/>
            <w:gridSpan w:val="3"/>
            <w:vAlign w:val="center"/>
          </w:tcPr>
          <w:p>
            <w:pPr>
              <w:snapToGrid w:val="0"/>
              <w:spacing w:line="240" w:lineRule="auto"/>
              <w:jc w:val="center"/>
              <w:rPr>
                <w:sz w:val="21"/>
                <w:szCs w:val="21"/>
              </w:rPr>
            </w:pPr>
            <w:r>
              <w:rPr>
                <w:sz w:val="21"/>
                <w:szCs w:val="21"/>
              </w:rPr>
              <w:t>0.15mg/m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1小时平均</w:t>
            </w:r>
          </w:p>
        </w:tc>
        <w:tc>
          <w:tcPr>
            <w:tcW w:w="1389" w:type="dxa"/>
            <w:gridSpan w:val="3"/>
            <w:vAlign w:val="center"/>
          </w:tcPr>
          <w:p>
            <w:pPr>
              <w:snapToGrid w:val="0"/>
              <w:spacing w:line="240" w:lineRule="auto"/>
              <w:jc w:val="center"/>
              <w:rPr>
                <w:sz w:val="21"/>
                <w:szCs w:val="21"/>
              </w:rPr>
            </w:pPr>
            <w:r>
              <w:rPr>
                <w:sz w:val="21"/>
                <w:szCs w:val="21"/>
              </w:rPr>
              <w:t>0.50mg/m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restart"/>
            <w:vAlign w:val="center"/>
          </w:tcPr>
          <w:p>
            <w:pPr>
              <w:snapToGrid w:val="0"/>
              <w:spacing w:line="240" w:lineRule="auto"/>
              <w:jc w:val="center"/>
              <w:rPr>
                <w:sz w:val="21"/>
                <w:szCs w:val="21"/>
              </w:rPr>
            </w:pPr>
            <w:r>
              <w:rPr>
                <w:sz w:val="21"/>
                <w:szCs w:val="21"/>
              </w:rPr>
              <w:t>NO</w:t>
            </w:r>
            <w:r>
              <w:rPr>
                <w:sz w:val="21"/>
                <w:szCs w:val="21"/>
                <w:vertAlign w:val="subscript"/>
              </w:rPr>
              <w:t>2</w:t>
            </w:r>
          </w:p>
        </w:tc>
        <w:tc>
          <w:tcPr>
            <w:tcW w:w="1318" w:type="dxa"/>
            <w:gridSpan w:val="2"/>
            <w:vAlign w:val="center"/>
          </w:tcPr>
          <w:p>
            <w:pPr>
              <w:snapToGrid w:val="0"/>
              <w:spacing w:line="240" w:lineRule="auto"/>
              <w:jc w:val="center"/>
              <w:rPr>
                <w:sz w:val="21"/>
                <w:szCs w:val="21"/>
              </w:rPr>
            </w:pPr>
            <w:r>
              <w:rPr>
                <w:sz w:val="21"/>
                <w:szCs w:val="21"/>
              </w:rPr>
              <w:t>年平均</w:t>
            </w:r>
          </w:p>
        </w:tc>
        <w:tc>
          <w:tcPr>
            <w:tcW w:w="1389" w:type="dxa"/>
            <w:gridSpan w:val="3"/>
            <w:vAlign w:val="center"/>
          </w:tcPr>
          <w:p>
            <w:pPr>
              <w:snapToGrid w:val="0"/>
              <w:spacing w:line="240" w:lineRule="auto"/>
              <w:jc w:val="center"/>
              <w:rPr>
                <w:sz w:val="21"/>
                <w:szCs w:val="21"/>
              </w:rPr>
            </w:pPr>
            <w:r>
              <w:rPr>
                <w:sz w:val="21"/>
                <w:szCs w:val="21"/>
              </w:rPr>
              <w:t>0.04mg/m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日平均</w:t>
            </w:r>
          </w:p>
        </w:tc>
        <w:tc>
          <w:tcPr>
            <w:tcW w:w="1389" w:type="dxa"/>
            <w:gridSpan w:val="3"/>
            <w:vAlign w:val="center"/>
          </w:tcPr>
          <w:p>
            <w:pPr>
              <w:snapToGrid w:val="0"/>
              <w:spacing w:line="240" w:lineRule="auto"/>
              <w:jc w:val="center"/>
              <w:rPr>
                <w:sz w:val="21"/>
                <w:szCs w:val="21"/>
              </w:rPr>
            </w:pPr>
            <w:r>
              <w:rPr>
                <w:sz w:val="21"/>
                <w:szCs w:val="21"/>
              </w:rPr>
              <w:t>0.08mg/m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1小时平均</w:t>
            </w:r>
          </w:p>
        </w:tc>
        <w:tc>
          <w:tcPr>
            <w:tcW w:w="1389" w:type="dxa"/>
            <w:gridSpan w:val="3"/>
            <w:vAlign w:val="center"/>
          </w:tcPr>
          <w:p>
            <w:pPr>
              <w:snapToGrid w:val="0"/>
              <w:spacing w:line="240" w:lineRule="auto"/>
              <w:jc w:val="center"/>
              <w:rPr>
                <w:sz w:val="21"/>
                <w:szCs w:val="21"/>
              </w:rPr>
            </w:pPr>
            <w:r>
              <w:rPr>
                <w:sz w:val="21"/>
                <w:szCs w:val="21"/>
              </w:rPr>
              <w:t>0.20mg/m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restart"/>
            <w:vAlign w:val="center"/>
          </w:tcPr>
          <w:p>
            <w:pPr>
              <w:snapToGrid w:val="0"/>
              <w:spacing w:line="240" w:lineRule="auto"/>
              <w:jc w:val="center"/>
              <w:rPr>
                <w:sz w:val="21"/>
                <w:szCs w:val="21"/>
              </w:rPr>
            </w:pPr>
            <w:r>
              <w:rPr>
                <w:sz w:val="21"/>
                <w:szCs w:val="21"/>
              </w:rPr>
              <w:t>PM</w:t>
            </w:r>
            <w:r>
              <w:rPr>
                <w:sz w:val="21"/>
                <w:szCs w:val="21"/>
                <w:vertAlign w:val="subscript"/>
              </w:rPr>
              <w:t>10</w:t>
            </w:r>
          </w:p>
        </w:tc>
        <w:tc>
          <w:tcPr>
            <w:tcW w:w="1318" w:type="dxa"/>
            <w:gridSpan w:val="2"/>
            <w:vAlign w:val="center"/>
          </w:tcPr>
          <w:p>
            <w:pPr>
              <w:snapToGrid w:val="0"/>
              <w:spacing w:line="240" w:lineRule="auto"/>
              <w:jc w:val="center"/>
              <w:rPr>
                <w:sz w:val="21"/>
                <w:szCs w:val="21"/>
              </w:rPr>
            </w:pPr>
            <w:r>
              <w:rPr>
                <w:sz w:val="21"/>
                <w:szCs w:val="21"/>
              </w:rPr>
              <w:t>年平均</w:t>
            </w:r>
          </w:p>
        </w:tc>
        <w:tc>
          <w:tcPr>
            <w:tcW w:w="1389" w:type="dxa"/>
            <w:gridSpan w:val="3"/>
            <w:vAlign w:val="center"/>
          </w:tcPr>
          <w:p>
            <w:pPr>
              <w:snapToGrid w:val="0"/>
              <w:spacing w:line="240" w:lineRule="auto"/>
              <w:jc w:val="center"/>
              <w:rPr>
                <w:sz w:val="21"/>
                <w:szCs w:val="21"/>
              </w:rPr>
            </w:pPr>
            <w:r>
              <w:rPr>
                <w:sz w:val="21"/>
                <w:szCs w:val="21"/>
              </w:rPr>
              <w:t>0.07mg/m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日平均</w:t>
            </w:r>
          </w:p>
        </w:tc>
        <w:tc>
          <w:tcPr>
            <w:tcW w:w="1389" w:type="dxa"/>
            <w:gridSpan w:val="3"/>
            <w:vAlign w:val="center"/>
          </w:tcPr>
          <w:p>
            <w:pPr>
              <w:snapToGrid w:val="0"/>
              <w:spacing w:line="240" w:lineRule="auto"/>
              <w:jc w:val="center"/>
              <w:rPr>
                <w:sz w:val="21"/>
                <w:szCs w:val="21"/>
              </w:rPr>
            </w:pPr>
            <w:r>
              <w:rPr>
                <w:sz w:val="21"/>
                <w:szCs w:val="21"/>
              </w:rPr>
              <w:t>0.15mg/m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restart"/>
            <w:vAlign w:val="center"/>
          </w:tcPr>
          <w:p>
            <w:pPr>
              <w:snapToGrid w:val="0"/>
              <w:spacing w:line="240" w:lineRule="auto"/>
              <w:jc w:val="center"/>
              <w:rPr>
                <w:sz w:val="21"/>
                <w:szCs w:val="21"/>
              </w:rPr>
            </w:pPr>
            <w:r>
              <w:rPr>
                <w:sz w:val="21"/>
                <w:szCs w:val="21"/>
              </w:rPr>
              <w:t>PM</w:t>
            </w:r>
            <w:r>
              <w:rPr>
                <w:sz w:val="21"/>
                <w:szCs w:val="21"/>
                <w:vertAlign w:val="subscript"/>
              </w:rPr>
              <w:t>2.5</w:t>
            </w:r>
          </w:p>
        </w:tc>
        <w:tc>
          <w:tcPr>
            <w:tcW w:w="1318" w:type="dxa"/>
            <w:gridSpan w:val="2"/>
            <w:vAlign w:val="center"/>
          </w:tcPr>
          <w:p>
            <w:pPr>
              <w:snapToGrid w:val="0"/>
              <w:spacing w:line="240" w:lineRule="auto"/>
              <w:jc w:val="center"/>
              <w:rPr>
                <w:sz w:val="21"/>
                <w:szCs w:val="21"/>
              </w:rPr>
            </w:pPr>
            <w:r>
              <w:rPr>
                <w:sz w:val="21"/>
                <w:szCs w:val="21"/>
              </w:rPr>
              <w:t>年平均</w:t>
            </w:r>
          </w:p>
        </w:tc>
        <w:tc>
          <w:tcPr>
            <w:tcW w:w="1389" w:type="dxa"/>
            <w:gridSpan w:val="3"/>
            <w:vAlign w:val="center"/>
          </w:tcPr>
          <w:p>
            <w:pPr>
              <w:snapToGrid w:val="0"/>
              <w:spacing w:line="240" w:lineRule="auto"/>
              <w:jc w:val="center"/>
              <w:rPr>
                <w:sz w:val="21"/>
                <w:szCs w:val="21"/>
              </w:rPr>
            </w:pPr>
            <w:r>
              <w:rPr>
                <w:sz w:val="21"/>
                <w:szCs w:val="21"/>
              </w:rPr>
              <w:t>0.035mg/m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z w:val="21"/>
                <w:szCs w:val="21"/>
              </w:rPr>
            </w:pPr>
            <w:r>
              <w:rPr>
                <w:sz w:val="21"/>
                <w:szCs w:val="21"/>
              </w:rPr>
              <w:t>日平均</w:t>
            </w:r>
          </w:p>
        </w:tc>
        <w:tc>
          <w:tcPr>
            <w:tcW w:w="1389" w:type="dxa"/>
            <w:gridSpan w:val="3"/>
            <w:vAlign w:val="center"/>
          </w:tcPr>
          <w:p>
            <w:pPr>
              <w:snapToGrid w:val="0"/>
              <w:spacing w:line="240" w:lineRule="auto"/>
              <w:jc w:val="center"/>
              <w:rPr>
                <w:sz w:val="21"/>
                <w:szCs w:val="21"/>
              </w:rPr>
            </w:pPr>
            <w:r>
              <w:rPr>
                <w:sz w:val="21"/>
                <w:szCs w:val="21"/>
              </w:rPr>
              <w:t>0.075mg/m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restart"/>
            <w:vAlign w:val="center"/>
          </w:tcPr>
          <w:p>
            <w:pPr>
              <w:snapToGrid w:val="0"/>
              <w:spacing w:line="240" w:lineRule="auto"/>
              <w:jc w:val="center"/>
              <w:rPr>
                <w:sz w:val="21"/>
                <w:szCs w:val="21"/>
              </w:rPr>
            </w:pPr>
            <w:r>
              <w:rPr>
                <w:rFonts w:hint="eastAsia"/>
                <w:sz w:val="21"/>
                <w:szCs w:val="21"/>
              </w:rPr>
              <w:t>《环境影响评价技术导则-大气环境》（H</w:t>
            </w:r>
            <w:r>
              <w:rPr>
                <w:sz w:val="21"/>
                <w:szCs w:val="21"/>
              </w:rPr>
              <w:t>J2.2-2018</w:t>
            </w:r>
            <w:r>
              <w:rPr>
                <w:rFonts w:hint="eastAsia"/>
                <w:sz w:val="21"/>
                <w:szCs w:val="21"/>
              </w:rPr>
              <w:t>）附录D</w:t>
            </w:r>
            <w:r>
              <w:rPr>
                <w:sz w:val="21"/>
                <w:szCs w:val="21"/>
              </w:rPr>
              <w:t xml:space="preserve"> </w:t>
            </w:r>
            <w:r>
              <w:rPr>
                <w:rFonts w:hint="eastAsia"/>
                <w:sz w:val="21"/>
                <w:szCs w:val="21"/>
              </w:rPr>
              <w:t>其他污染物空气质量浓度参考限值</w:t>
            </w:r>
          </w:p>
        </w:tc>
        <w:tc>
          <w:tcPr>
            <w:tcW w:w="676" w:type="dxa"/>
            <w:vMerge w:val="restart"/>
            <w:vAlign w:val="center"/>
          </w:tcPr>
          <w:p>
            <w:pPr>
              <w:snapToGrid w:val="0"/>
              <w:spacing w:line="240" w:lineRule="auto"/>
              <w:jc w:val="center"/>
              <w:rPr>
                <w:sz w:val="21"/>
                <w:szCs w:val="21"/>
              </w:rPr>
            </w:pPr>
            <w:r>
              <w:rPr>
                <w:sz w:val="21"/>
                <w:szCs w:val="21"/>
              </w:rPr>
              <w:t>/</w:t>
            </w:r>
          </w:p>
        </w:tc>
        <w:tc>
          <w:tcPr>
            <w:tcW w:w="1667" w:type="dxa"/>
            <w:vAlign w:val="center"/>
          </w:tcPr>
          <w:p>
            <w:pPr>
              <w:snapToGrid w:val="0"/>
              <w:spacing w:line="240" w:lineRule="auto"/>
              <w:jc w:val="center"/>
              <w:rPr>
                <w:sz w:val="21"/>
                <w:szCs w:val="21"/>
              </w:rPr>
            </w:pPr>
            <w:r>
              <w:rPr>
                <w:sz w:val="21"/>
                <w:szCs w:val="21"/>
              </w:rPr>
              <w:t>H</w:t>
            </w:r>
            <w:r>
              <w:rPr>
                <w:sz w:val="21"/>
                <w:szCs w:val="21"/>
                <w:vertAlign w:val="subscript"/>
              </w:rPr>
              <w:t>2</w:t>
            </w:r>
            <w:r>
              <w:rPr>
                <w:sz w:val="21"/>
                <w:szCs w:val="21"/>
              </w:rPr>
              <w:t>S</w:t>
            </w:r>
          </w:p>
        </w:tc>
        <w:tc>
          <w:tcPr>
            <w:tcW w:w="1318" w:type="dxa"/>
            <w:gridSpan w:val="2"/>
            <w:vAlign w:val="center"/>
          </w:tcPr>
          <w:p>
            <w:pPr>
              <w:snapToGrid w:val="0"/>
              <w:spacing w:line="240" w:lineRule="auto"/>
              <w:jc w:val="center"/>
              <w:rPr>
                <w:sz w:val="21"/>
                <w:szCs w:val="21"/>
              </w:rPr>
            </w:pPr>
            <w:r>
              <w:rPr>
                <w:sz w:val="21"/>
                <w:szCs w:val="21"/>
              </w:rPr>
              <w:t>一次值</w:t>
            </w:r>
          </w:p>
        </w:tc>
        <w:tc>
          <w:tcPr>
            <w:tcW w:w="1389" w:type="dxa"/>
            <w:gridSpan w:val="3"/>
            <w:vAlign w:val="center"/>
          </w:tcPr>
          <w:p>
            <w:pPr>
              <w:snapToGrid w:val="0"/>
              <w:spacing w:line="240" w:lineRule="auto"/>
              <w:jc w:val="center"/>
              <w:rPr>
                <w:sz w:val="21"/>
                <w:szCs w:val="21"/>
              </w:rPr>
            </w:pPr>
            <w:r>
              <w:rPr>
                <w:sz w:val="21"/>
                <w:szCs w:val="21"/>
              </w:rPr>
              <w:t>0.01mg/m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jc w:val="center"/>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vertAlign w:val="subscript"/>
              </w:rPr>
            </w:pPr>
            <w:r>
              <w:rPr>
                <w:sz w:val="21"/>
                <w:szCs w:val="21"/>
              </w:rPr>
              <w:t>NH</w:t>
            </w:r>
            <w:r>
              <w:rPr>
                <w:sz w:val="21"/>
                <w:szCs w:val="21"/>
                <w:vertAlign w:val="subscript"/>
              </w:rPr>
              <w:t>3</w:t>
            </w:r>
          </w:p>
        </w:tc>
        <w:tc>
          <w:tcPr>
            <w:tcW w:w="1318" w:type="dxa"/>
            <w:gridSpan w:val="2"/>
            <w:vAlign w:val="center"/>
          </w:tcPr>
          <w:p>
            <w:pPr>
              <w:snapToGrid w:val="0"/>
              <w:spacing w:line="240" w:lineRule="auto"/>
              <w:jc w:val="center"/>
              <w:rPr>
                <w:sz w:val="21"/>
                <w:szCs w:val="21"/>
              </w:rPr>
            </w:pPr>
            <w:r>
              <w:rPr>
                <w:sz w:val="21"/>
                <w:szCs w:val="21"/>
              </w:rPr>
              <w:t>一次值</w:t>
            </w:r>
          </w:p>
        </w:tc>
        <w:tc>
          <w:tcPr>
            <w:tcW w:w="1389" w:type="dxa"/>
            <w:gridSpan w:val="3"/>
            <w:vAlign w:val="center"/>
          </w:tcPr>
          <w:p>
            <w:pPr>
              <w:snapToGrid w:val="0"/>
              <w:spacing w:line="240" w:lineRule="auto"/>
              <w:jc w:val="center"/>
              <w:rPr>
                <w:sz w:val="21"/>
                <w:szCs w:val="21"/>
              </w:rPr>
            </w:pPr>
            <w:r>
              <w:rPr>
                <w:sz w:val="21"/>
                <w:szCs w:val="21"/>
              </w:rPr>
              <w:t>0.2mg/m</w:t>
            </w:r>
            <w:r>
              <w:rPr>
                <w:sz w:val="21"/>
                <w:szCs w:val="21"/>
                <w:vertAlign w:val="superscript"/>
              </w:rPr>
              <w:t>3</w:t>
            </w:r>
          </w:p>
        </w:tc>
        <w:tc>
          <w:tcPr>
            <w:tcW w:w="1034" w:type="dxa"/>
            <w:vMerge w:val="continue"/>
            <w:tcBorders>
              <w:right w:val="nil"/>
            </w:tcBorders>
            <w:vAlign w:val="center"/>
          </w:tcPr>
          <w:p>
            <w:pPr>
              <w:snapToGrid w:val="0"/>
              <w:spacing w:line="240" w:lineRule="auto"/>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restart"/>
            <w:vAlign w:val="center"/>
          </w:tcPr>
          <w:p>
            <w:pPr>
              <w:snapToGrid w:val="0"/>
              <w:spacing w:line="240" w:lineRule="auto"/>
              <w:jc w:val="center"/>
              <w:rPr>
                <w:sz w:val="21"/>
                <w:szCs w:val="21"/>
              </w:rPr>
            </w:pPr>
            <w:r>
              <w:rPr>
                <w:sz w:val="21"/>
                <w:szCs w:val="21"/>
              </w:rPr>
              <w:t>噪声</w:t>
            </w:r>
          </w:p>
        </w:tc>
        <w:tc>
          <w:tcPr>
            <w:tcW w:w="2101" w:type="dxa"/>
            <w:vMerge w:val="restart"/>
            <w:vAlign w:val="center"/>
          </w:tcPr>
          <w:p>
            <w:pPr>
              <w:snapToGrid w:val="0"/>
              <w:spacing w:line="240" w:lineRule="auto"/>
              <w:rPr>
                <w:spacing w:val="-10"/>
                <w:sz w:val="21"/>
                <w:szCs w:val="21"/>
              </w:rPr>
            </w:pPr>
            <w:r>
              <w:rPr>
                <w:spacing w:val="-10"/>
                <w:sz w:val="21"/>
                <w:szCs w:val="21"/>
              </w:rPr>
              <w:t>《声环境质量标准》（GB3096-2008）</w:t>
            </w:r>
          </w:p>
        </w:tc>
        <w:tc>
          <w:tcPr>
            <w:tcW w:w="676" w:type="dxa"/>
            <w:vMerge w:val="restart"/>
            <w:vAlign w:val="center"/>
          </w:tcPr>
          <w:p>
            <w:pPr>
              <w:snapToGrid w:val="0"/>
              <w:spacing w:line="240" w:lineRule="auto"/>
              <w:jc w:val="center"/>
              <w:rPr>
                <w:sz w:val="21"/>
                <w:szCs w:val="21"/>
              </w:rPr>
            </w:pPr>
            <w:r>
              <w:rPr>
                <w:sz w:val="21"/>
                <w:szCs w:val="21"/>
              </w:rPr>
              <w:t>2类</w:t>
            </w:r>
          </w:p>
        </w:tc>
        <w:tc>
          <w:tcPr>
            <w:tcW w:w="1667" w:type="dxa"/>
            <w:vMerge w:val="restart"/>
            <w:vAlign w:val="center"/>
          </w:tcPr>
          <w:p>
            <w:pPr>
              <w:snapToGrid w:val="0"/>
              <w:spacing w:line="240" w:lineRule="auto"/>
              <w:jc w:val="center"/>
              <w:rPr>
                <w:sz w:val="21"/>
                <w:szCs w:val="21"/>
              </w:rPr>
            </w:pPr>
            <w:r>
              <w:rPr>
                <w:sz w:val="21"/>
                <w:szCs w:val="21"/>
              </w:rPr>
              <w:t>等效连续声级Leq</w:t>
            </w:r>
          </w:p>
        </w:tc>
        <w:tc>
          <w:tcPr>
            <w:tcW w:w="2707" w:type="dxa"/>
            <w:gridSpan w:val="5"/>
            <w:vAlign w:val="center"/>
          </w:tcPr>
          <w:p>
            <w:pPr>
              <w:snapToGrid w:val="0"/>
              <w:spacing w:line="240" w:lineRule="auto"/>
              <w:jc w:val="center"/>
              <w:rPr>
                <w:sz w:val="21"/>
                <w:szCs w:val="21"/>
              </w:rPr>
            </w:pPr>
            <w:r>
              <w:rPr>
                <w:sz w:val="21"/>
                <w:szCs w:val="21"/>
              </w:rPr>
              <w:t>昼间  60dB(A)</w:t>
            </w:r>
          </w:p>
        </w:tc>
        <w:tc>
          <w:tcPr>
            <w:tcW w:w="1034" w:type="dxa"/>
            <w:vMerge w:val="restart"/>
            <w:tcBorders>
              <w:right w:val="nil"/>
            </w:tcBorders>
            <w:vAlign w:val="center"/>
          </w:tcPr>
          <w:p>
            <w:pPr>
              <w:snapToGrid w:val="0"/>
              <w:spacing w:line="240" w:lineRule="auto"/>
              <w:rPr>
                <w:snapToGrid w:val="0"/>
                <w:spacing w:val="4"/>
                <w:kern w:val="24"/>
                <w:sz w:val="21"/>
                <w:szCs w:val="21"/>
              </w:rPr>
            </w:pPr>
            <w:r>
              <w:rPr>
                <w:snapToGrid w:val="0"/>
                <w:spacing w:val="4"/>
                <w:kern w:val="24"/>
                <w:sz w:val="21"/>
                <w:szCs w:val="21"/>
              </w:rPr>
              <w:t>项目厂址所在区域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Merge w:val="continue"/>
            <w:vAlign w:val="center"/>
          </w:tcPr>
          <w:p>
            <w:pPr>
              <w:snapToGrid w:val="0"/>
              <w:spacing w:line="240" w:lineRule="auto"/>
              <w:jc w:val="center"/>
              <w:rPr>
                <w:sz w:val="21"/>
                <w:szCs w:val="21"/>
              </w:rPr>
            </w:pPr>
          </w:p>
        </w:tc>
        <w:tc>
          <w:tcPr>
            <w:tcW w:w="2707" w:type="dxa"/>
            <w:gridSpan w:val="5"/>
            <w:vAlign w:val="center"/>
          </w:tcPr>
          <w:p>
            <w:pPr>
              <w:snapToGrid w:val="0"/>
              <w:spacing w:line="240" w:lineRule="auto"/>
              <w:jc w:val="center"/>
              <w:rPr>
                <w:sz w:val="21"/>
                <w:szCs w:val="21"/>
              </w:rPr>
            </w:pPr>
            <w:r>
              <w:rPr>
                <w:sz w:val="21"/>
                <w:szCs w:val="21"/>
              </w:rPr>
              <w:t>夜间  50dB(A)</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restart"/>
            <w:vAlign w:val="center"/>
          </w:tcPr>
          <w:p>
            <w:pPr>
              <w:snapToGrid w:val="0"/>
              <w:spacing w:line="240" w:lineRule="auto"/>
              <w:jc w:val="center"/>
              <w:rPr>
                <w:sz w:val="21"/>
                <w:szCs w:val="21"/>
              </w:rPr>
            </w:pPr>
            <w:r>
              <w:rPr>
                <w:sz w:val="21"/>
                <w:szCs w:val="21"/>
              </w:rPr>
              <w:t>地下水环境</w:t>
            </w:r>
          </w:p>
        </w:tc>
        <w:tc>
          <w:tcPr>
            <w:tcW w:w="2101" w:type="dxa"/>
            <w:vMerge w:val="restart"/>
            <w:vAlign w:val="center"/>
          </w:tcPr>
          <w:p>
            <w:pPr>
              <w:snapToGrid w:val="0"/>
              <w:spacing w:line="240" w:lineRule="auto"/>
              <w:rPr>
                <w:spacing w:val="-10"/>
                <w:sz w:val="21"/>
                <w:szCs w:val="21"/>
              </w:rPr>
            </w:pPr>
            <w:r>
              <w:rPr>
                <w:spacing w:val="-10"/>
                <w:sz w:val="21"/>
                <w:szCs w:val="21"/>
              </w:rPr>
              <w:t>《地下水质量标准》</w:t>
            </w:r>
            <w:r>
              <w:rPr>
                <w:sz w:val="21"/>
                <w:szCs w:val="21"/>
              </w:rPr>
              <w:t>（</w:t>
            </w:r>
            <w:r>
              <w:rPr>
                <w:spacing w:val="-10"/>
                <w:sz w:val="21"/>
                <w:szCs w:val="21"/>
              </w:rPr>
              <w:t>GB/T14848-</w:t>
            </w:r>
            <w:r>
              <w:rPr>
                <w:rFonts w:hint="eastAsia"/>
                <w:spacing w:val="-10"/>
                <w:sz w:val="21"/>
                <w:szCs w:val="21"/>
              </w:rPr>
              <w:t>2017</w:t>
            </w:r>
            <w:r>
              <w:rPr>
                <w:sz w:val="21"/>
                <w:szCs w:val="21"/>
              </w:rPr>
              <w:t>）</w:t>
            </w:r>
          </w:p>
        </w:tc>
        <w:tc>
          <w:tcPr>
            <w:tcW w:w="676" w:type="dxa"/>
            <w:vMerge w:val="restart"/>
            <w:vAlign w:val="center"/>
          </w:tcPr>
          <w:p>
            <w:pPr>
              <w:snapToGrid w:val="0"/>
              <w:spacing w:line="240" w:lineRule="auto"/>
              <w:jc w:val="center"/>
              <w:rPr>
                <w:sz w:val="21"/>
                <w:szCs w:val="21"/>
              </w:rPr>
            </w:pPr>
            <w:r>
              <w:rPr>
                <w:sz w:val="21"/>
                <w:szCs w:val="21"/>
              </w:rPr>
              <w:t>Ⅲ类</w:t>
            </w:r>
          </w:p>
        </w:tc>
        <w:tc>
          <w:tcPr>
            <w:tcW w:w="1667" w:type="dxa"/>
            <w:vAlign w:val="center"/>
          </w:tcPr>
          <w:p>
            <w:pPr>
              <w:snapToGrid w:val="0"/>
              <w:spacing w:line="240" w:lineRule="auto"/>
              <w:jc w:val="center"/>
              <w:rPr>
                <w:sz w:val="21"/>
                <w:szCs w:val="21"/>
              </w:rPr>
            </w:pPr>
            <w:r>
              <w:rPr>
                <w:rFonts w:hint="eastAsia"/>
                <w:sz w:val="21"/>
                <w:szCs w:val="21"/>
              </w:rPr>
              <w:t>p</w:t>
            </w:r>
            <w:r>
              <w:rPr>
                <w:sz w:val="21"/>
                <w:szCs w:val="21"/>
              </w:rPr>
              <w:t>H</w:t>
            </w:r>
          </w:p>
        </w:tc>
        <w:tc>
          <w:tcPr>
            <w:tcW w:w="2707" w:type="dxa"/>
            <w:gridSpan w:val="5"/>
            <w:vAlign w:val="center"/>
          </w:tcPr>
          <w:p>
            <w:pPr>
              <w:snapToGrid w:val="0"/>
              <w:spacing w:line="240" w:lineRule="auto"/>
              <w:jc w:val="center"/>
              <w:rPr>
                <w:sz w:val="21"/>
                <w:szCs w:val="21"/>
              </w:rPr>
            </w:pPr>
            <w:r>
              <w:rPr>
                <w:sz w:val="21"/>
                <w:szCs w:val="21"/>
              </w:rPr>
              <w:t>6.5~8.5</w:t>
            </w:r>
          </w:p>
        </w:tc>
        <w:tc>
          <w:tcPr>
            <w:tcW w:w="1034" w:type="dxa"/>
            <w:vMerge w:val="restart"/>
            <w:tcBorders>
              <w:right w:val="nil"/>
            </w:tcBorders>
            <w:vAlign w:val="center"/>
          </w:tcPr>
          <w:p>
            <w:pPr>
              <w:snapToGrid w:val="0"/>
              <w:spacing w:line="240" w:lineRule="auto"/>
              <w:rPr>
                <w:snapToGrid w:val="0"/>
                <w:spacing w:val="4"/>
                <w:kern w:val="24"/>
                <w:sz w:val="21"/>
                <w:szCs w:val="21"/>
              </w:rPr>
            </w:pPr>
            <w:r>
              <w:rPr>
                <w:rFonts w:hint="eastAsia"/>
                <w:snapToGrid w:val="0"/>
                <w:spacing w:val="4"/>
                <w:kern w:val="24"/>
                <w:sz w:val="21"/>
                <w:szCs w:val="21"/>
              </w:rPr>
              <w:t>地下水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钾</w:t>
            </w:r>
          </w:p>
        </w:tc>
        <w:tc>
          <w:tcPr>
            <w:tcW w:w="2707" w:type="dxa"/>
            <w:gridSpan w:val="5"/>
            <w:vAlign w:val="center"/>
          </w:tcPr>
          <w:p>
            <w:pPr>
              <w:snapToGrid w:val="0"/>
              <w:spacing w:line="240" w:lineRule="auto"/>
              <w:jc w:val="center"/>
              <w:rPr>
                <w:sz w:val="21"/>
                <w:szCs w:val="21"/>
              </w:rPr>
            </w:pPr>
            <w:r>
              <w:rPr>
                <w:sz w:val="21"/>
                <w:szCs w:val="21"/>
              </w:rPr>
              <w:t>/</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钠</w:t>
            </w:r>
          </w:p>
        </w:tc>
        <w:tc>
          <w:tcPr>
            <w:tcW w:w="2707" w:type="dxa"/>
            <w:gridSpan w:val="5"/>
            <w:vAlign w:val="center"/>
          </w:tcPr>
          <w:p>
            <w:pPr>
              <w:snapToGrid w:val="0"/>
              <w:spacing w:line="240" w:lineRule="auto"/>
              <w:jc w:val="center"/>
              <w:rPr>
                <w:sz w:val="21"/>
                <w:szCs w:val="21"/>
              </w:rPr>
            </w:pPr>
            <w:r>
              <w:rPr>
                <w:sz w:val="21"/>
                <w:szCs w:val="21"/>
              </w:rPr>
              <w:t>≤200</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Ca</w:t>
            </w:r>
            <w:r>
              <w:rPr>
                <w:sz w:val="21"/>
                <w:szCs w:val="21"/>
                <w:vertAlign w:val="superscript"/>
              </w:rPr>
              <w:t>2+</w:t>
            </w:r>
          </w:p>
        </w:tc>
        <w:tc>
          <w:tcPr>
            <w:tcW w:w="2707" w:type="dxa"/>
            <w:gridSpan w:val="5"/>
            <w:vAlign w:val="center"/>
          </w:tcPr>
          <w:p>
            <w:pPr>
              <w:snapToGrid w:val="0"/>
              <w:spacing w:line="240" w:lineRule="auto"/>
              <w:jc w:val="center"/>
              <w:rPr>
                <w:sz w:val="21"/>
                <w:szCs w:val="21"/>
              </w:rPr>
            </w:pPr>
            <w:r>
              <w:rPr>
                <w:sz w:val="21"/>
                <w:szCs w:val="21"/>
              </w:rPr>
              <w:t>/</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Mg</w:t>
            </w:r>
            <w:r>
              <w:rPr>
                <w:sz w:val="21"/>
                <w:szCs w:val="21"/>
                <w:vertAlign w:val="superscript"/>
              </w:rPr>
              <w:t>2+</w:t>
            </w:r>
          </w:p>
        </w:tc>
        <w:tc>
          <w:tcPr>
            <w:tcW w:w="2707" w:type="dxa"/>
            <w:gridSpan w:val="5"/>
            <w:vAlign w:val="center"/>
          </w:tcPr>
          <w:p>
            <w:pPr>
              <w:snapToGrid w:val="0"/>
              <w:spacing w:line="240" w:lineRule="auto"/>
              <w:jc w:val="center"/>
              <w:rPr>
                <w:sz w:val="21"/>
                <w:szCs w:val="21"/>
              </w:rPr>
            </w:pPr>
            <w:r>
              <w:rPr>
                <w:sz w:val="21"/>
                <w:szCs w:val="21"/>
              </w:rPr>
              <w:t>/</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CO</w:t>
            </w:r>
            <w:r>
              <w:rPr>
                <w:sz w:val="21"/>
                <w:szCs w:val="21"/>
                <w:vertAlign w:val="subscript"/>
              </w:rPr>
              <w:t>3</w:t>
            </w:r>
            <w:r>
              <w:rPr>
                <w:sz w:val="21"/>
                <w:szCs w:val="21"/>
                <w:vertAlign w:val="superscript"/>
              </w:rPr>
              <w:t>2-</w:t>
            </w:r>
            <w:r>
              <w:rPr>
                <w:sz w:val="21"/>
                <w:szCs w:val="21"/>
              </w:rPr>
              <w:t xml:space="preserve"> </w:t>
            </w:r>
          </w:p>
        </w:tc>
        <w:tc>
          <w:tcPr>
            <w:tcW w:w="2707" w:type="dxa"/>
            <w:gridSpan w:val="5"/>
            <w:vAlign w:val="center"/>
          </w:tcPr>
          <w:p>
            <w:pPr>
              <w:snapToGrid w:val="0"/>
              <w:spacing w:line="240" w:lineRule="auto"/>
              <w:jc w:val="center"/>
              <w:rPr>
                <w:sz w:val="21"/>
                <w:szCs w:val="21"/>
              </w:rPr>
            </w:pPr>
            <w:r>
              <w:rPr>
                <w:sz w:val="21"/>
                <w:szCs w:val="21"/>
              </w:rPr>
              <w:t>/</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HCO</w:t>
            </w:r>
            <w:r>
              <w:rPr>
                <w:sz w:val="21"/>
                <w:szCs w:val="21"/>
                <w:vertAlign w:val="subscript"/>
              </w:rPr>
              <w:t>3</w:t>
            </w:r>
            <w:r>
              <w:rPr>
                <w:sz w:val="21"/>
                <w:szCs w:val="21"/>
                <w:vertAlign w:val="superscript"/>
              </w:rPr>
              <w:t>-</w:t>
            </w:r>
          </w:p>
        </w:tc>
        <w:tc>
          <w:tcPr>
            <w:tcW w:w="2707" w:type="dxa"/>
            <w:gridSpan w:val="5"/>
            <w:vAlign w:val="center"/>
          </w:tcPr>
          <w:p>
            <w:pPr>
              <w:snapToGrid w:val="0"/>
              <w:spacing w:line="240" w:lineRule="auto"/>
              <w:jc w:val="center"/>
              <w:rPr>
                <w:sz w:val="21"/>
                <w:szCs w:val="21"/>
              </w:rPr>
            </w:pPr>
            <w:r>
              <w:rPr>
                <w:sz w:val="21"/>
                <w:szCs w:val="21"/>
              </w:rPr>
              <w:t>/</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Cl</w:t>
            </w:r>
            <w:r>
              <w:rPr>
                <w:sz w:val="21"/>
                <w:szCs w:val="21"/>
                <w:vertAlign w:val="superscript"/>
              </w:rPr>
              <w:t>-</w:t>
            </w:r>
          </w:p>
        </w:tc>
        <w:tc>
          <w:tcPr>
            <w:tcW w:w="2707" w:type="dxa"/>
            <w:gridSpan w:val="5"/>
            <w:vAlign w:val="center"/>
          </w:tcPr>
          <w:p>
            <w:pPr>
              <w:snapToGrid w:val="0"/>
              <w:spacing w:line="240" w:lineRule="auto"/>
              <w:jc w:val="center"/>
              <w:rPr>
                <w:sz w:val="21"/>
                <w:szCs w:val="21"/>
              </w:rPr>
            </w:pPr>
            <w:r>
              <w:rPr>
                <w:sz w:val="21"/>
                <w:szCs w:val="21"/>
              </w:rPr>
              <w:t>≤250</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SO</w:t>
            </w:r>
            <w:r>
              <w:rPr>
                <w:sz w:val="21"/>
                <w:szCs w:val="21"/>
                <w:vertAlign w:val="subscript"/>
              </w:rPr>
              <w:t>4</w:t>
            </w:r>
            <w:r>
              <w:rPr>
                <w:sz w:val="21"/>
                <w:szCs w:val="21"/>
                <w:vertAlign w:val="superscript"/>
              </w:rPr>
              <w:t>2-</w:t>
            </w:r>
          </w:p>
        </w:tc>
        <w:tc>
          <w:tcPr>
            <w:tcW w:w="2707" w:type="dxa"/>
            <w:gridSpan w:val="5"/>
            <w:vAlign w:val="center"/>
          </w:tcPr>
          <w:p>
            <w:pPr>
              <w:snapToGrid w:val="0"/>
              <w:spacing w:line="240" w:lineRule="auto"/>
              <w:jc w:val="center"/>
              <w:rPr>
                <w:sz w:val="21"/>
                <w:szCs w:val="21"/>
              </w:rPr>
            </w:pPr>
            <w:r>
              <w:rPr>
                <w:sz w:val="21"/>
                <w:szCs w:val="21"/>
              </w:rPr>
              <w:t>≤250</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l2br w:val="nil"/>
              <w:tr2bl w:val="nil"/>
            </w:tcBorders>
            <w:vAlign w:val="center"/>
          </w:tcPr>
          <w:p>
            <w:pPr>
              <w:snapToGrid w:val="0"/>
              <w:spacing w:line="240" w:lineRule="auto"/>
              <w:jc w:val="center"/>
              <w:rPr>
                <w:sz w:val="21"/>
                <w:szCs w:val="21"/>
              </w:rPr>
            </w:pPr>
            <w:r>
              <w:rPr>
                <w:sz w:val="21"/>
                <w:szCs w:val="21"/>
              </w:rPr>
              <w:t>硝酸盐</w:t>
            </w:r>
          </w:p>
        </w:tc>
        <w:tc>
          <w:tcPr>
            <w:tcW w:w="2707" w:type="dxa"/>
            <w:gridSpan w:val="5"/>
            <w:vAlign w:val="center"/>
          </w:tcPr>
          <w:p>
            <w:pPr>
              <w:snapToGrid w:val="0"/>
              <w:spacing w:line="240" w:lineRule="auto"/>
              <w:jc w:val="center"/>
              <w:rPr>
                <w:sz w:val="21"/>
                <w:szCs w:val="21"/>
              </w:rPr>
            </w:pPr>
            <w:r>
              <w:rPr>
                <w:sz w:val="21"/>
                <w:szCs w:val="21"/>
              </w:rPr>
              <w:t>≤20.0</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总硬度</w:t>
            </w:r>
            <w:r>
              <w:rPr>
                <w:rFonts w:hint="eastAsia"/>
                <w:sz w:val="21"/>
                <w:szCs w:val="21"/>
              </w:rPr>
              <w:t>(以CaCO</w:t>
            </w:r>
            <w:r>
              <w:rPr>
                <w:rFonts w:hint="eastAsia"/>
                <w:sz w:val="21"/>
                <w:szCs w:val="21"/>
                <w:vertAlign w:val="subscript"/>
              </w:rPr>
              <w:t>3</w:t>
            </w:r>
            <w:r>
              <w:rPr>
                <w:rFonts w:hint="eastAsia"/>
                <w:sz w:val="21"/>
                <w:szCs w:val="21"/>
              </w:rPr>
              <w:t>计)</w:t>
            </w:r>
          </w:p>
        </w:tc>
        <w:tc>
          <w:tcPr>
            <w:tcW w:w="2707" w:type="dxa"/>
            <w:gridSpan w:val="5"/>
            <w:vAlign w:val="center"/>
          </w:tcPr>
          <w:p>
            <w:pPr>
              <w:snapToGrid w:val="0"/>
              <w:spacing w:line="240" w:lineRule="auto"/>
              <w:jc w:val="center"/>
              <w:rPr>
                <w:sz w:val="21"/>
                <w:szCs w:val="21"/>
              </w:rPr>
            </w:pPr>
            <w:r>
              <w:rPr>
                <w:sz w:val="21"/>
                <w:szCs w:val="21"/>
              </w:rPr>
              <w:t>≤450mg/L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rFonts w:hint="eastAsia"/>
                <w:sz w:val="21"/>
                <w:szCs w:val="21"/>
              </w:rPr>
              <w:t>溶解性总固体</w:t>
            </w:r>
          </w:p>
        </w:tc>
        <w:tc>
          <w:tcPr>
            <w:tcW w:w="2707" w:type="dxa"/>
            <w:gridSpan w:val="5"/>
            <w:vAlign w:val="center"/>
          </w:tcPr>
          <w:p>
            <w:pPr>
              <w:snapToGrid w:val="0"/>
              <w:spacing w:line="240" w:lineRule="auto"/>
              <w:jc w:val="center"/>
              <w:rPr>
                <w:sz w:val="21"/>
                <w:szCs w:val="21"/>
              </w:rPr>
            </w:pPr>
            <w:r>
              <w:rPr>
                <w:sz w:val="21"/>
                <w:szCs w:val="21"/>
              </w:rPr>
              <w:t>≤1000mg/L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rFonts w:hint="eastAsia"/>
                <w:sz w:val="21"/>
                <w:szCs w:val="21"/>
              </w:rPr>
              <w:t>耗氧量</w:t>
            </w:r>
          </w:p>
        </w:tc>
        <w:tc>
          <w:tcPr>
            <w:tcW w:w="2707" w:type="dxa"/>
            <w:gridSpan w:val="5"/>
            <w:vAlign w:val="center"/>
          </w:tcPr>
          <w:p>
            <w:pPr>
              <w:snapToGrid w:val="0"/>
              <w:spacing w:line="240" w:lineRule="auto"/>
              <w:jc w:val="center"/>
              <w:rPr>
                <w:sz w:val="21"/>
                <w:szCs w:val="21"/>
              </w:rPr>
            </w:pPr>
            <w:r>
              <w:rPr>
                <w:sz w:val="21"/>
                <w:szCs w:val="21"/>
              </w:rPr>
              <w:t>≤3.0mg/L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rFonts w:hint="eastAsia"/>
                <w:sz w:val="21"/>
                <w:szCs w:val="21"/>
              </w:rPr>
              <w:t>氨氮</w:t>
            </w:r>
          </w:p>
        </w:tc>
        <w:tc>
          <w:tcPr>
            <w:tcW w:w="2707" w:type="dxa"/>
            <w:gridSpan w:val="5"/>
            <w:vAlign w:val="center"/>
          </w:tcPr>
          <w:p>
            <w:pPr>
              <w:snapToGrid w:val="0"/>
              <w:spacing w:line="240" w:lineRule="auto"/>
              <w:jc w:val="center"/>
              <w:rPr>
                <w:sz w:val="21"/>
                <w:szCs w:val="21"/>
              </w:rPr>
            </w:pPr>
            <w:r>
              <w:rPr>
                <w:sz w:val="21"/>
                <w:szCs w:val="21"/>
              </w:rPr>
              <w:t>≤0.5 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rFonts w:hint="eastAsia"/>
                <w:sz w:val="21"/>
                <w:szCs w:val="21"/>
              </w:rPr>
              <w:t>总大肠菌群</w:t>
            </w:r>
          </w:p>
        </w:tc>
        <w:tc>
          <w:tcPr>
            <w:tcW w:w="2707" w:type="dxa"/>
            <w:gridSpan w:val="5"/>
            <w:vAlign w:val="center"/>
          </w:tcPr>
          <w:p>
            <w:pPr>
              <w:snapToGrid w:val="0"/>
              <w:spacing w:line="240" w:lineRule="auto"/>
              <w:jc w:val="center"/>
              <w:rPr>
                <w:sz w:val="21"/>
                <w:szCs w:val="21"/>
              </w:rPr>
            </w:pPr>
            <w:r>
              <w:rPr>
                <w:sz w:val="21"/>
                <w:szCs w:val="21"/>
              </w:rPr>
              <w:t>≤3.0 CFU</w:t>
            </w:r>
            <w:r>
              <w:rPr>
                <w:rFonts w:hint="eastAsia"/>
                <w:sz w:val="21"/>
                <w:szCs w:val="21"/>
              </w:rPr>
              <w:t>°</w:t>
            </w:r>
            <w:r>
              <w:rPr>
                <w:sz w:val="21"/>
                <w:szCs w:val="21"/>
              </w:rPr>
              <w:t>/100mL</w:t>
            </w:r>
          </w:p>
        </w:tc>
        <w:tc>
          <w:tcPr>
            <w:tcW w:w="1034" w:type="dxa"/>
            <w:vMerge w:val="continue"/>
            <w:tcBorders>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rFonts w:hint="eastAsia"/>
                <w:sz w:val="21"/>
                <w:szCs w:val="21"/>
              </w:rPr>
              <w:t>菌落总数</w:t>
            </w:r>
          </w:p>
        </w:tc>
        <w:tc>
          <w:tcPr>
            <w:tcW w:w="2707" w:type="dxa"/>
            <w:gridSpan w:val="5"/>
            <w:vAlign w:val="center"/>
          </w:tcPr>
          <w:p>
            <w:pPr>
              <w:snapToGrid w:val="0"/>
              <w:spacing w:line="240" w:lineRule="auto"/>
              <w:jc w:val="center"/>
              <w:rPr>
                <w:sz w:val="21"/>
                <w:szCs w:val="21"/>
              </w:rPr>
            </w:pPr>
            <w:r>
              <w:rPr>
                <w:sz w:val="21"/>
                <w:szCs w:val="21"/>
              </w:rPr>
              <w:t>≤100CFU/mL</w:t>
            </w:r>
          </w:p>
        </w:tc>
        <w:tc>
          <w:tcPr>
            <w:tcW w:w="1034" w:type="dxa"/>
            <w:vMerge w:val="continue"/>
            <w:tcBorders>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restart"/>
            <w:vAlign w:val="center"/>
          </w:tcPr>
          <w:p>
            <w:pPr>
              <w:snapToGrid w:val="0"/>
              <w:spacing w:line="240" w:lineRule="auto"/>
              <w:jc w:val="center"/>
              <w:rPr>
                <w:sz w:val="21"/>
                <w:szCs w:val="21"/>
              </w:rPr>
            </w:pPr>
            <w:r>
              <w:rPr>
                <w:sz w:val="21"/>
                <w:szCs w:val="21"/>
              </w:rPr>
              <w:t>地表水环境</w:t>
            </w:r>
          </w:p>
        </w:tc>
        <w:tc>
          <w:tcPr>
            <w:tcW w:w="2101" w:type="dxa"/>
            <w:vMerge w:val="restart"/>
            <w:vAlign w:val="center"/>
          </w:tcPr>
          <w:p>
            <w:pPr>
              <w:snapToGrid w:val="0"/>
              <w:spacing w:line="240" w:lineRule="auto"/>
              <w:rPr>
                <w:spacing w:val="-10"/>
                <w:sz w:val="21"/>
                <w:szCs w:val="21"/>
              </w:rPr>
            </w:pPr>
            <w:r>
              <w:rPr>
                <w:spacing w:val="-10"/>
                <w:sz w:val="21"/>
                <w:szCs w:val="21"/>
              </w:rPr>
              <w:t>《地表水环境质量标准》</w:t>
            </w:r>
            <w:r>
              <w:rPr>
                <w:sz w:val="21"/>
                <w:szCs w:val="21"/>
              </w:rPr>
              <w:t>（</w:t>
            </w:r>
            <w:r>
              <w:rPr>
                <w:spacing w:val="-10"/>
                <w:sz w:val="21"/>
                <w:szCs w:val="21"/>
              </w:rPr>
              <w:t>GB3838-2002</w:t>
            </w:r>
            <w:r>
              <w:rPr>
                <w:sz w:val="21"/>
                <w:szCs w:val="21"/>
              </w:rPr>
              <w:t>）</w:t>
            </w:r>
          </w:p>
        </w:tc>
        <w:tc>
          <w:tcPr>
            <w:tcW w:w="676" w:type="dxa"/>
            <w:vMerge w:val="restart"/>
            <w:vAlign w:val="center"/>
          </w:tcPr>
          <w:p>
            <w:pPr>
              <w:snapToGrid w:val="0"/>
              <w:spacing w:line="240" w:lineRule="auto"/>
              <w:jc w:val="center"/>
              <w:rPr>
                <w:sz w:val="21"/>
                <w:szCs w:val="21"/>
              </w:rPr>
            </w:pPr>
            <w:r>
              <w:rPr>
                <w:sz w:val="21"/>
                <w:szCs w:val="21"/>
              </w:rPr>
              <w:t>Ⅲ类</w:t>
            </w:r>
          </w:p>
        </w:tc>
        <w:tc>
          <w:tcPr>
            <w:tcW w:w="1667" w:type="dxa"/>
            <w:vAlign w:val="center"/>
          </w:tcPr>
          <w:p>
            <w:pPr>
              <w:snapToGrid w:val="0"/>
              <w:spacing w:line="240" w:lineRule="auto"/>
              <w:jc w:val="center"/>
              <w:rPr>
                <w:sz w:val="21"/>
                <w:szCs w:val="21"/>
              </w:rPr>
            </w:pPr>
            <w:r>
              <w:rPr>
                <w:sz w:val="21"/>
                <w:szCs w:val="21"/>
              </w:rPr>
              <w:t>pH</w:t>
            </w:r>
          </w:p>
        </w:tc>
        <w:tc>
          <w:tcPr>
            <w:tcW w:w="2707" w:type="dxa"/>
            <w:gridSpan w:val="5"/>
            <w:vAlign w:val="center"/>
          </w:tcPr>
          <w:p>
            <w:pPr>
              <w:snapToGrid w:val="0"/>
              <w:spacing w:line="240" w:lineRule="auto"/>
              <w:jc w:val="center"/>
              <w:rPr>
                <w:sz w:val="21"/>
                <w:szCs w:val="21"/>
              </w:rPr>
            </w:pPr>
            <w:r>
              <w:rPr>
                <w:sz w:val="21"/>
                <w:szCs w:val="21"/>
              </w:rPr>
              <w:t>≤6～9</w:t>
            </w:r>
          </w:p>
        </w:tc>
        <w:tc>
          <w:tcPr>
            <w:tcW w:w="1034" w:type="dxa"/>
            <w:vMerge w:val="restart"/>
            <w:tcBorders>
              <w:right w:val="nil"/>
            </w:tcBorders>
            <w:vAlign w:val="center"/>
          </w:tcPr>
          <w:p>
            <w:pPr>
              <w:snapToGrid w:val="0"/>
              <w:spacing w:line="240" w:lineRule="auto"/>
              <w:rPr>
                <w:snapToGrid w:val="0"/>
                <w:spacing w:val="4"/>
                <w:kern w:val="24"/>
                <w:sz w:val="21"/>
                <w:szCs w:val="21"/>
              </w:rPr>
            </w:pPr>
            <w:r>
              <w:rPr>
                <w:rFonts w:hint="eastAsia"/>
                <w:snapToGrid w:val="0"/>
                <w:spacing w:val="4"/>
                <w:kern w:val="24"/>
                <w:sz w:val="21"/>
                <w:szCs w:val="21"/>
              </w:rPr>
              <w:t>地表水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COD</w:t>
            </w:r>
          </w:p>
        </w:tc>
        <w:tc>
          <w:tcPr>
            <w:tcW w:w="2707" w:type="dxa"/>
            <w:gridSpan w:val="5"/>
            <w:vAlign w:val="center"/>
          </w:tcPr>
          <w:p>
            <w:pPr>
              <w:snapToGrid w:val="0"/>
              <w:spacing w:line="240" w:lineRule="auto"/>
              <w:jc w:val="center"/>
              <w:rPr>
                <w:sz w:val="21"/>
                <w:szCs w:val="21"/>
              </w:rPr>
            </w:pPr>
            <w:r>
              <w:rPr>
                <w:sz w:val="21"/>
                <w:szCs w:val="21"/>
              </w:rPr>
              <w:t>≤</w:t>
            </w:r>
            <w:r>
              <w:rPr>
                <w:rFonts w:hint="eastAsia"/>
                <w:sz w:val="21"/>
                <w:szCs w:val="21"/>
              </w:rPr>
              <w:t>20</w:t>
            </w:r>
            <w:r>
              <w:rPr>
                <w:sz w:val="21"/>
                <w:szCs w:val="21"/>
              </w:rPr>
              <w:t>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BOD</w:t>
            </w:r>
            <w:r>
              <w:rPr>
                <w:sz w:val="21"/>
                <w:szCs w:val="21"/>
                <w:vertAlign w:val="subscript"/>
              </w:rPr>
              <w:t>5</w:t>
            </w:r>
          </w:p>
        </w:tc>
        <w:tc>
          <w:tcPr>
            <w:tcW w:w="2707" w:type="dxa"/>
            <w:gridSpan w:val="5"/>
            <w:vAlign w:val="center"/>
          </w:tcPr>
          <w:p>
            <w:pPr>
              <w:snapToGrid w:val="0"/>
              <w:spacing w:line="240" w:lineRule="auto"/>
              <w:jc w:val="center"/>
              <w:rPr>
                <w:sz w:val="21"/>
                <w:szCs w:val="21"/>
              </w:rPr>
            </w:pPr>
            <w:r>
              <w:rPr>
                <w:sz w:val="21"/>
                <w:szCs w:val="21"/>
              </w:rPr>
              <w:t>≤4mg/l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NH</w:t>
            </w:r>
            <w:r>
              <w:rPr>
                <w:sz w:val="21"/>
                <w:szCs w:val="21"/>
                <w:vertAlign w:val="subscript"/>
              </w:rPr>
              <w:t>3</w:t>
            </w:r>
            <w:r>
              <w:rPr>
                <w:sz w:val="21"/>
                <w:szCs w:val="21"/>
              </w:rPr>
              <w:t>-N</w:t>
            </w:r>
          </w:p>
        </w:tc>
        <w:tc>
          <w:tcPr>
            <w:tcW w:w="2707" w:type="dxa"/>
            <w:gridSpan w:val="5"/>
            <w:vAlign w:val="center"/>
          </w:tcPr>
          <w:p>
            <w:pPr>
              <w:snapToGrid w:val="0"/>
              <w:spacing w:line="240" w:lineRule="auto"/>
              <w:jc w:val="center"/>
              <w:rPr>
                <w:sz w:val="21"/>
                <w:szCs w:val="21"/>
              </w:rPr>
            </w:pPr>
            <w:r>
              <w:rPr>
                <w:sz w:val="21"/>
                <w:szCs w:val="21"/>
              </w:rPr>
              <w:t>≤1.0mg/l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石油类</w:t>
            </w:r>
          </w:p>
        </w:tc>
        <w:tc>
          <w:tcPr>
            <w:tcW w:w="2707" w:type="dxa"/>
            <w:gridSpan w:val="5"/>
            <w:vAlign w:val="center"/>
          </w:tcPr>
          <w:p>
            <w:pPr>
              <w:snapToGrid w:val="0"/>
              <w:spacing w:line="240" w:lineRule="auto"/>
              <w:jc w:val="center"/>
              <w:rPr>
                <w:sz w:val="21"/>
                <w:szCs w:val="21"/>
              </w:rPr>
            </w:pPr>
            <w:r>
              <w:rPr>
                <w:sz w:val="21"/>
                <w:szCs w:val="21"/>
              </w:rPr>
              <w:t>≤0.05mg/l</w:t>
            </w:r>
          </w:p>
        </w:tc>
        <w:tc>
          <w:tcPr>
            <w:tcW w:w="1034" w:type="dxa"/>
            <w:vMerge w:val="continue"/>
            <w:tcBorders>
              <w:right w:val="nil"/>
            </w:tcBorders>
            <w:vAlign w:val="center"/>
          </w:tcPr>
          <w:p>
            <w:pPr>
              <w:numPr>
                <w:ilvl w:val="0"/>
                <w:numId w:val="1"/>
              </w:numPr>
              <w:snapToGrid w:val="0"/>
              <w:spacing w:line="240" w:lineRule="auto"/>
              <w:ind w:left="0" w:firstLine="0"/>
              <w:rPr>
                <w:snapToGrid w:val="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粪大肠菌群</w:t>
            </w:r>
          </w:p>
        </w:tc>
        <w:tc>
          <w:tcPr>
            <w:tcW w:w="2707" w:type="dxa"/>
            <w:gridSpan w:val="5"/>
            <w:vAlign w:val="center"/>
          </w:tcPr>
          <w:p>
            <w:pPr>
              <w:snapToGrid w:val="0"/>
              <w:spacing w:line="240" w:lineRule="auto"/>
              <w:jc w:val="center"/>
              <w:rPr>
                <w:sz w:val="21"/>
                <w:szCs w:val="21"/>
              </w:rPr>
            </w:pPr>
            <w:r>
              <w:rPr>
                <w:sz w:val="21"/>
                <w:szCs w:val="21"/>
              </w:rPr>
              <w:t>≤10000个/L</w:t>
            </w:r>
          </w:p>
        </w:tc>
        <w:tc>
          <w:tcPr>
            <w:tcW w:w="1034" w:type="dxa"/>
            <w:vMerge w:val="continue"/>
            <w:tcBorders>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总磷</w:t>
            </w:r>
          </w:p>
        </w:tc>
        <w:tc>
          <w:tcPr>
            <w:tcW w:w="2707" w:type="dxa"/>
            <w:gridSpan w:val="5"/>
            <w:vAlign w:val="center"/>
          </w:tcPr>
          <w:p>
            <w:pPr>
              <w:snapToGrid w:val="0"/>
              <w:spacing w:line="240" w:lineRule="auto"/>
              <w:jc w:val="center"/>
              <w:rPr>
                <w:sz w:val="21"/>
                <w:szCs w:val="21"/>
              </w:rPr>
            </w:pPr>
            <w:r>
              <w:rPr>
                <w:sz w:val="21"/>
                <w:szCs w:val="21"/>
              </w:rPr>
              <w:t>≤0.2mg/l</w:t>
            </w:r>
          </w:p>
        </w:tc>
        <w:tc>
          <w:tcPr>
            <w:tcW w:w="1034" w:type="dxa"/>
            <w:vMerge w:val="continue"/>
            <w:tcBorders>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vAlign w:val="center"/>
          </w:tcPr>
          <w:p>
            <w:pPr>
              <w:snapToGrid w:val="0"/>
              <w:spacing w:line="240" w:lineRule="auto"/>
              <w:jc w:val="center"/>
              <w:rPr>
                <w:sz w:val="21"/>
                <w:szCs w:val="21"/>
              </w:rPr>
            </w:pPr>
            <w:r>
              <w:rPr>
                <w:sz w:val="21"/>
                <w:szCs w:val="21"/>
              </w:rPr>
              <w:t>总氮</w:t>
            </w:r>
          </w:p>
        </w:tc>
        <w:tc>
          <w:tcPr>
            <w:tcW w:w="2707" w:type="dxa"/>
            <w:gridSpan w:val="5"/>
            <w:vAlign w:val="center"/>
          </w:tcPr>
          <w:p>
            <w:pPr>
              <w:snapToGrid w:val="0"/>
              <w:spacing w:line="240" w:lineRule="auto"/>
              <w:jc w:val="center"/>
              <w:rPr>
                <w:sz w:val="21"/>
                <w:szCs w:val="21"/>
              </w:rPr>
            </w:pPr>
            <w:r>
              <w:rPr>
                <w:sz w:val="21"/>
                <w:szCs w:val="21"/>
              </w:rPr>
              <w:t>≤</w:t>
            </w:r>
            <w:r>
              <w:rPr>
                <w:rFonts w:hint="eastAsia"/>
                <w:sz w:val="21"/>
                <w:szCs w:val="21"/>
              </w:rPr>
              <w:t>1.0</w:t>
            </w:r>
            <w:r>
              <w:rPr>
                <w:sz w:val="21"/>
                <w:szCs w:val="21"/>
              </w:rPr>
              <w:t>mg/l</w:t>
            </w:r>
          </w:p>
        </w:tc>
        <w:tc>
          <w:tcPr>
            <w:tcW w:w="1034" w:type="dxa"/>
            <w:vMerge w:val="continue"/>
            <w:tcBorders>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bottom w:val="single" w:color="auto" w:sz="4" w:space="0"/>
            </w:tcBorders>
            <w:vAlign w:val="center"/>
          </w:tcPr>
          <w:p>
            <w:pPr>
              <w:snapToGrid w:val="0"/>
              <w:spacing w:line="240" w:lineRule="auto"/>
              <w:jc w:val="center"/>
              <w:rPr>
                <w:sz w:val="21"/>
                <w:szCs w:val="21"/>
              </w:rPr>
            </w:pPr>
          </w:p>
        </w:tc>
        <w:tc>
          <w:tcPr>
            <w:tcW w:w="2101" w:type="dxa"/>
            <w:vMerge w:val="continue"/>
            <w:tcBorders>
              <w:bottom w:val="single" w:color="auto" w:sz="4" w:space="0"/>
            </w:tcBorders>
            <w:vAlign w:val="center"/>
          </w:tcPr>
          <w:p>
            <w:pPr>
              <w:snapToGrid w:val="0"/>
              <w:spacing w:line="240" w:lineRule="auto"/>
              <w:rPr>
                <w:spacing w:val="-10"/>
                <w:sz w:val="21"/>
                <w:szCs w:val="21"/>
              </w:rPr>
            </w:pPr>
          </w:p>
        </w:tc>
        <w:tc>
          <w:tcPr>
            <w:tcW w:w="676" w:type="dxa"/>
            <w:vMerge w:val="continue"/>
            <w:tcBorders>
              <w:bottom w:val="single" w:color="auto" w:sz="4" w:space="0"/>
            </w:tcBorders>
            <w:vAlign w:val="center"/>
          </w:tcPr>
          <w:p>
            <w:pPr>
              <w:snapToGrid w:val="0"/>
              <w:spacing w:line="240" w:lineRule="auto"/>
              <w:jc w:val="center"/>
              <w:rPr>
                <w:sz w:val="21"/>
                <w:szCs w:val="21"/>
              </w:rPr>
            </w:pPr>
          </w:p>
        </w:tc>
        <w:tc>
          <w:tcPr>
            <w:tcW w:w="1667" w:type="dxa"/>
            <w:tcBorders>
              <w:bottom w:val="single" w:color="auto" w:sz="4" w:space="0"/>
            </w:tcBorders>
            <w:vAlign w:val="center"/>
          </w:tcPr>
          <w:p>
            <w:pPr>
              <w:snapToGrid w:val="0"/>
              <w:spacing w:line="240" w:lineRule="auto"/>
              <w:jc w:val="center"/>
              <w:rPr>
                <w:sz w:val="21"/>
                <w:szCs w:val="21"/>
              </w:rPr>
            </w:pPr>
            <w:r>
              <w:rPr>
                <w:sz w:val="21"/>
                <w:szCs w:val="21"/>
              </w:rPr>
              <w:t>溶解氧</w:t>
            </w:r>
          </w:p>
        </w:tc>
        <w:tc>
          <w:tcPr>
            <w:tcW w:w="2707" w:type="dxa"/>
            <w:gridSpan w:val="5"/>
            <w:tcBorders>
              <w:bottom w:val="single" w:color="auto" w:sz="4" w:space="0"/>
            </w:tcBorders>
            <w:vAlign w:val="center"/>
          </w:tcPr>
          <w:p>
            <w:pPr>
              <w:snapToGrid w:val="0"/>
              <w:spacing w:line="240" w:lineRule="auto"/>
              <w:jc w:val="center"/>
              <w:rPr>
                <w:sz w:val="21"/>
                <w:szCs w:val="21"/>
              </w:rPr>
            </w:pPr>
            <w:r>
              <w:rPr>
                <w:sz w:val="21"/>
                <w:szCs w:val="21"/>
              </w:rPr>
              <w:t>≥5mg/l</w:t>
            </w:r>
          </w:p>
        </w:tc>
        <w:tc>
          <w:tcPr>
            <w:tcW w:w="1034" w:type="dxa"/>
            <w:vMerge w:val="continue"/>
            <w:tcBorders>
              <w:bottom w:val="single" w:color="auto" w:sz="4" w:space="0"/>
              <w:right w:val="nil"/>
            </w:tcBorders>
            <w:vAlign w:val="center"/>
          </w:tcPr>
          <w:p>
            <w:pPr>
              <w:numPr>
                <w:ilvl w:val="0"/>
                <w:numId w:val="1"/>
              </w:numPr>
              <w:snapToGrid w:val="0"/>
              <w:spacing w:line="240" w:lineRule="auto"/>
              <w:ind w:left="0" w:firstLine="0"/>
              <w:rPr>
                <w:snapToGrid w:val="0"/>
                <w:color w:val="FF0000"/>
                <w:spacing w:val="4"/>
                <w:kern w:val="24"/>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restart"/>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土壤环境质量标准</w:t>
            </w:r>
          </w:p>
        </w:tc>
        <w:tc>
          <w:tcPr>
            <w:tcW w:w="2101" w:type="dxa"/>
            <w:vMerge w:val="restart"/>
            <w:tcBorders>
              <w:top w:val="single" w:color="auto" w:sz="4" w:space="0"/>
              <w:bottom w:val="single" w:color="auto" w:sz="4" w:space="0"/>
            </w:tcBorders>
            <w:vAlign w:val="center"/>
          </w:tcPr>
          <w:p>
            <w:pPr>
              <w:snapToGrid w:val="0"/>
              <w:spacing w:line="240" w:lineRule="auto"/>
              <w:rPr>
                <w:spacing w:val="-10"/>
                <w:sz w:val="21"/>
                <w:szCs w:val="21"/>
              </w:rPr>
            </w:pPr>
            <w:r>
              <w:rPr>
                <w:rFonts w:hint="eastAsia"/>
                <w:spacing w:val="-10"/>
                <w:sz w:val="21"/>
                <w:szCs w:val="21"/>
              </w:rPr>
              <w:t>土壤环境质量农用地土壤污染风险管控标准</w:t>
            </w:r>
          </w:p>
        </w:tc>
        <w:tc>
          <w:tcPr>
            <w:tcW w:w="676" w:type="dxa"/>
            <w:vMerge w:val="restart"/>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基本项目</w:t>
            </w: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sz w:val="21"/>
                <w:szCs w:val="21"/>
              </w:rPr>
              <w:t>pH</w:t>
            </w:r>
          </w:p>
        </w:tc>
        <w:tc>
          <w:tcPr>
            <w:tcW w:w="3741" w:type="dxa"/>
            <w:gridSpan w:val="6"/>
            <w:tcBorders>
              <w:top w:val="single" w:color="auto" w:sz="4" w:space="0"/>
              <w:bottom w:val="single" w:color="auto" w:sz="4" w:space="0"/>
              <w:right w:val="nil"/>
            </w:tcBorders>
            <w:vAlign w:val="center"/>
          </w:tcPr>
          <w:p>
            <w:pPr>
              <w:tabs>
                <w:tab w:val="left" w:pos="432"/>
              </w:tabs>
              <w:snapToGrid w:val="0"/>
              <w:spacing w:line="240" w:lineRule="auto"/>
              <w:jc w:val="center"/>
              <w:rPr>
                <w:snapToGrid w:val="0"/>
                <w:spacing w:val="4"/>
                <w:kern w:val="24"/>
                <w:sz w:val="21"/>
                <w:szCs w:val="21"/>
              </w:rPr>
            </w:pPr>
            <w:r>
              <w:rPr>
                <w:rFonts w:hint="eastAsia"/>
                <w:snapToGrid w:val="0"/>
                <w:spacing w:val="4"/>
                <w:kern w:val="24"/>
                <w:sz w:val="21"/>
                <w:szCs w:val="21"/>
              </w:rPr>
              <w:t>6</w:t>
            </w:r>
            <w:r>
              <w:rPr>
                <w:snapToGrid w:val="0"/>
                <w:spacing w:val="4"/>
                <w:kern w:val="24"/>
                <w:sz w:val="21"/>
                <w:szCs w:val="21"/>
              </w:rPr>
              <w:t>.5</w:t>
            </w:r>
            <w:r>
              <w:rPr>
                <w:rFonts w:hint="eastAsia"/>
                <w:snapToGrid w:val="0"/>
                <w:spacing w:val="4"/>
                <w:kern w:val="24"/>
                <w:sz w:val="21"/>
                <w:szCs w:val="21"/>
              </w:rPr>
              <w:t>＜</w:t>
            </w:r>
            <w:r>
              <w:rPr>
                <w:snapToGrid w:val="0"/>
                <w:spacing w:val="4"/>
                <w:kern w:val="24"/>
                <w:sz w:val="21"/>
                <w:szCs w:val="21"/>
              </w:rPr>
              <w:t>pH</w:t>
            </w:r>
            <w:r>
              <w:rPr>
                <w:rFonts w:hint="eastAsia"/>
                <w:snapToGrid w:val="0"/>
                <w:spacing w:val="4"/>
                <w:kern w:val="24"/>
                <w:sz w:val="21"/>
                <w:szCs w:val="21"/>
              </w:rPr>
              <w:t>≤</w:t>
            </w:r>
            <w:r>
              <w:rPr>
                <w:snapToGrid w:val="0"/>
                <w:spacing w:val="4"/>
                <w:kern w:val="24"/>
                <w:sz w:val="21"/>
                <w:szCs w:val="21"/>
              </w:rPr>
              <w:t>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镉</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水田</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0</w:t>
            </w:r>
            <w:r>
              <w:rPr>
                <w:snapToGrid w:val="0"/>
                <w:spacing w:val="4"/>
                <w:kern w:val="24"/>
                <w:sz w:val="21"/>
                <w:szCs w:val="21"/>
              </w:rPr>
              <w:t>.6</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0</w:t>
            </w:r>
            <w:r>
              <w:rPr>
                <w:snapToGrid w:val="0"/>
                <w:spacing w:val="4"/>
                <w:kern w:val="24"/>
                <w:sz w:val="21"/>
                <w:szCs w:val="21"/>
              </w:rPr>
              <w:t>.3</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汞</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水田</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0</w:t>
            </w:r>
            <w:r>
              <w:rPr>
                <w:snapToGrid w:val="0"/>
                <w:spacing w:val="4"/>
                <w:kern w:val="24"/>
                <w:sz w:val="21"/>
                <w:szCs w:val="21"/>
              </w:rPr>
              <w:t>.6</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2</w:t>
            </w:r>
            <w:r>
              <w:rPr>
                <w:snapToGrid w:val="0"/>
                <w:spacing w:val="4"/>
                <w:kern w:val="24"/>
                <w:sz w:val="21"/>
                <w:szCs w:val="21"/>
              </w:rPr>
              <w:t>.4</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砷</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水田</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2</w:t>
            </w:r>
            <w:r>
              <w:rPr>
                <w:snapToGrid w:val="0"/>
                <w:spacing w:val="4"/>
                <w:kern w:val="24"/>
                <w:sz w:val="21"/>
                <w:szCs w:val="21"/>
              </w:rPr>
              <w:t>5</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3</w:t>
            </w:r>
            <w:r>
              <w:rPr>
                <w:snapToGrid w:val="0"/>
                <w:spacing w:val="4"/>
                <w:kern w:val="24"/>
                <w:sz w:val="21"/>
                <w:szCs w:val="21"/>
              </w:rPr>
              <w:t>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铅</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水田</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40</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20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铬</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水田</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3</w:t>
            </w:r>
            <w:r>
              <w:rPr>
                <w:snapToGrid w:val="0"/>
                <w:spacing w:val="4"/>
                <w:kern w:val="24"/>
                <w:sz w:val="21"/>
                <w:szCs w:val="21"/>
              </w:rPr>
              <w:t>00</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2</w:t>
            </w:r>
            <w:r>
              <w:rPr>
                <w:snapToGrid w:val="0"/>
                <w:spacing w:val="4"/>
                <w:kern w:val="24"/>
                <w:sz w:val="21"/>
                <w:szCs w:val="21"/>
              </w:rPr>
              <w:t>00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铜</w:t>
            </w:r>
          </w:p>
        </w:tc>
        <w:tc>
          <w:tcPr>
            <w:tcW w:w="766"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果园</w:t>
            </w:r>
          </w:p>
        </w:tc>
        <w:tc>
          <w:tcPr>
            <w:tcW w:w="1104" w:type="dxa"/>
            <w:gridSpan w:val="2"/>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2</w:t>
            </w:r>
            <w:r>
              <w:rPr>
                <w:snapToGrid w:val="0"/>
                <w:spacing w:val="4"/>
                <w:kern w:val="24"/>
                <w:sz w:val="21"/>
                <w:szCs w:val="21"/>
              </w:rPr>
              <w:t>00</w:t>
            </w:r>
            <w:r>
              <w:rPr>
                <w:sz w:val="21"/>
                <w:szCs w:val="21"/>
              </w:rPr>
              <w:t xml:space="preserve"> mg/kg</w:t>
            </w:r>
          </w:p>
        </w:tc>
        <w:tc>
          <w:tcPr>
            <w:tcW w:w="798" w:type="dxa"/>
            <w:tcBorders>
              <w:top w:val="single" w:color="auto" w:sz="4" w:space="0"/>
              <w:bottom w:val="single" w:color="auto" w:sz="4" w:space="0"/>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其他</w:t>
            </w:r>
          </w:p>
        </w:tc>
        <w:tc>
          <w:tcPr>
            <w:tcW w:w="1073" w:type="dxa"/>
            <w:gridSpan w:val="2"/>
            <w:tcBorders>
              <w:top w:val="single" w:color="auto" w:sz="4" w:space="0"/>
              <w:bottom w:val="single" w:color="auto" w:sz="4" w:space="0"/>
              <w:right w:val="nil"/>
            </w:tcBorders>
            <w:vAlign w:val="center"/>
          </w:tcPr>
          <w:p>
            <w:pPr>
              <w:tabs>
                <w:tab w:val="left" w:pos="432"/>
              </w:tabs>
              <w:snapToGrid w:val="0"/>
              <w:spacing w:line="240" w:lineRule="auto"/>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00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4" w:space="0"/>
              <w:bottom w:val="single" w:color="auto" w:sz="6" w:space="0"/>
              <w:right w:val="single" w:color="auto" w:sz="6" w:space="0"/>
            </w:tcBorders>
            <w:vAlign w:val="center"/>
          </w:tcPr>
          <w:p>
            <w:pPr>
              <w:snapToGrid w:val="0"/>
              <w:spacing w:line="240" w:lineRule="auto"/>
              <w:jc w:val="center"/>
              <w:rPr>
                <w:sz w:val="21"/>
                <w:szCs w:val="21"/>
              </w:rPr>
            </w:pPr>
            <w:r>
              <w:rPr>
                <w:rFonts w:hint="eastAsia"/>
                <w:sz w:val="21"/>
                <w:szCs w:val="21"/>
              </w:rPr>
              <w:t>镍</w:t>
            </w:r>
          </w:p>
        </w:tc>
        <w:tc>
          <w:tcPr>
            <w:tcW w:w="3741" w:type="dxa"/>
            <w:gridSpan w:val="6"/>
            <w:tcBorders>
              <w:top w:val="single" w:color="auto" w:sz="4" w:space="0"/>
              <w:left w:val="single" w:color="auto" w:sz="6" w:space="0"/>
              <w:bottom w:val="single" w:color="auto" w:sz="6" w:space="0"/>
              <w:right w:val="nil"/>
            </w:tcBorders>
            <w:vAlign w:val="center"/>
          </w:tcPr>
          <w:p>
            <w:pPr>
              <w:tabs>
                <w:tab w:val="left" w:pos="432"/>
              </w:tabs>
              <w:snapToGrid w:val="0"/>
              <w:spacing w:line="240" w:lineRule="auto"/>
              <w:jc w:val="center"/>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00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bottom w:val="single" w:color="auto" w:sz="4" w:space="0"/>
            </w:tcBorders>
            <w:vAlign w:val="center"/>
          </w:tcPr>
          <w:p>
            <w:pPr>
              <w:snapToGrid w:val="0"/>
              <w:spacing w:line="240" w:lineRule="auto"/>
              <w:rPr>
                <w:spacing w:val="-10"/>
                <w:sz w:val="21"/>
                <w:szCs w:val="21"/>
              </w:rPr>
            </w:pPr>
          </w:p>
        </w:tc>
        <w:tc>
          <w:tcPr>
            <w:tcW w:w="676"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1667" w:type="dxa"/>
            <w:tcBorders>
              <w:top w:val="single" w:color="auto" w:sz="6" w:space="0"/>
              <w:bottom w:val="single" w:color="auto" w:sz="4" w:space="0"/>
              <w:right w:val="single" w:color="auto" w:sz="6" w:space="0"/>
            </w:tcBorders>
            <w:vAlign w:val="center"/>
          </w:tcPr>
          <w:p>
            <w:pPr>
              <w:snapToGrid w:val="0"/>
              <w:spacing w:line="240" w:lineRule="auto"/>
              <w:jc w:val="center"/>
              <w:rPr>
                <w:sz w:val="21"/>
                <w:szCs w:val="21"/>
              </w:rPr>
            </w:pPr>
            <w:r>
              <w:rPr>
                <w:rFonts w:hint="eastAsia"/>
                <w:sz w:val="21"/>
                <w:szCs w:val="21"/>
              </w:rPr>
              <w:t>锌</w:t>
            </w:r>
          </w:p>
        </w:tc>
        <w:tc>
          <w:tcPr>
            <w:tcW w:w="3741" w:type="dxa"/>
            <w:gridSpan w:val="6"/>
            <w:tcBorders>
              <w:top w:val="single" w:color="auto" w:sz="6" w:space="0"/>
              <w:left w:val="single" w:color="auto" w:sz="6" w:space="0"/>
              <w:bottom w:val="single" w:color="auto" w:sz="4" w:space="0"/>
              <w:right w:val="nil"/>
            </w:tcBorders>
            <w:vAlign w:val="center"/>
          </w:tcPr>
          <w:p>
            <w:pPr>
              <w:tabs>
                <w:tab w:val="left" w:pos="432"/>
              </w:tabs>
              <w:snapToGrid w:val="0"/>
              <w:spacing w:line="240" w:lineRule="auto"/>
              <w:jc w:val="center"/>
              <w:rPr>
                <w:snapToGrid w:val="0"/>
                <w:spacing w:val="4"/>
                <w:kern w:val="24"/>
                <w:sz w:val="21"/>
                <w:szCs w:val="21"/>
              </w:rPr>
            </w:pPr>
            <w:r>
              <w:rPr>
                <w:rFonts w:hint="eastAsia"/>
                <w:snapToGrid w:val="0"/>
                <w:spacing w:val="4"/>
                <w:kern w:val="24"/>
                <w:sz w:val="21"/>
                <w:szCs w:val="21"/>
              </w:rPr>
              <w:t>2</w:t>
            </w:r>
            <w:r>
              <w:rPr>
                <w:snapToGrid w:val="0"/>
                <w:spacing w:val="4"/>
                <w:kern w:val="24"/>
                <w:sz w:val="21"/>
                <w:szCs w:val="21"/>
              </w:rPr>
              <w:t>50</w:t>
            </w:r>
            <w:r>
              <w:rPr>
                <w:sz w:val="21"/>
                <w:szCs w:val="21"/>
              </w:rPr>
              <w:t xml:space="preserve"> 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tcBorders>
              <w:top w:val="single" w:color="auto" w:sz="4" w:space="0"/>
            </w:tcBorders>
            <w:vAlign w:val="center"/>
          </w:tcPr>
          <w:p>
            <w:pPr>
              <w:snapToGrid w:val="0"/>
              <w:spacing w:line="240" w:lineRule="auto"/>
              <w:jc w:val="center"/>
              <w:rPr>
                <w:sz w:val="21"/>
                <w:szCs w:val="21"/>
              </w:rPr>
            </w:pPr>
          </w:p>
        </w:tc>
        <w:tc>
          <w:tcPr>
            <w:tcW w:w="2101" w:type="dxa"/>
            <w:vMerge w:val="continue"/>
            <w:tcBorders>
              <w:top w:val="single" w:color="auto" w:sz="4" w:space="0"/>
            </w:tcBorders>
            <w:vAlign w:val="center"/>
          </w:tcPr>
          <w:p>
            <w:pPr>
              <w:snapToGrid w:val="0"/>
              <w:spacing w:line="240" w:lineRule="auto"/>
              <w:rPr>
                <w:spacing w:val="-10"/>
                <w:sz w:val="21"/>
                <w:szCs w:val="21"/>
              </w:rPr>
            </w:pPr>
          </w:p>
        </w:tc>
        <w:tc>
          <w:tcPr>
            <w:tcW w:w="676" w:type="dxa"/>
            <w:vMerge w:val="restart"/>
            <w:tcBorders>
              <w:top w:val="single" w:color="auto" w:sz="4" w:space="0"/>
            </w:tcBorders>
            <w:vAlign w:val="center"/>
          </w:tcPr>
          <w:p>
            <w:pPr>
              <w:snapToGrid w:val="0"/>
              <w:spacing w:line="240" w:lineRule="auto"/>
              <w:jc w:val="center"/>
              <w:rPr>
                <w:sz w:val="21"/>
                <w:szCs w:val="21"/>
              </w:rPr>
            </w:pPr>
            <w:r>
              <w:rPr>
                <w:rFonts w:hint="eastAsia"/>
                <w:sz w:val="21"/>
                <w:szCs w:val="21"/>
              </w:rPr>
              <w:t>其他项目</w:t>
            </w: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六六六总量</w:t>
            </w:r>
          </w:p>
        </w:tc>
        <w:tc>
          <w:tcPr>
            <w:tcW w:w="3741" w:type="dxa"/>
            <w:gridSpan w:val="6"/>
            <w:tcBorders>
              <w:top w:val="single" w:color="auto" w:sz="4" w:space="0"/>
              <w:bottom w:val="single" w:color="auto" w:sz="4" w:space="0"/>
              <w:right w:val="nil"/>
            </w:tcBorders>
            <w:vAlign w:val="center"/>
          </w:tcPr>
          <w:p>
            <w:pPr>
              <w:tabs>
                <w:tab w:val="left" w:pos="432"/>
              </w:tabs>
              <w:snapToGrid w:val="0"/>
              <w:spacing w:line="240" w:lineRule="auto"/>
              <w:jc w:val="center"/>
              <w:rPr>
                <w:snapToGrid w:val="0"/>
                <w:color w:val="FF0000"/>
                <w:spacing w:val="4"/>
                <w:kern w:val="24"/>
                <w:sz w:val="21"/>
                <w:szCs w:val="21"/>
              </w:rPr>
            </w:pPr>
            <w:r>
              <w:rPr>
                <w:rFonts w:hint="eastAsia"/>
                <w:sz w:val="21"/>
                <w:szCs w:val="21"/>
              </w:rPr>
              <w:t>0</w:t>
            </w:r>
            <w:r>
              <w:rPr>
                <w:sz w:val="21"/>
                <w:szCs w:val="21"/>
              </w:rPr>
              <w:t>.1</w:t>
            </w:r>
            <w:r>
              <w:rPr>
                <w:rFonts w:hint="eastAsia"/>
                <w:sz w:val="21"/>
                <w:szCs w:val="21"/>
              </w:rPr>
              <w:t xml:space="preserve"> mg</w:t>
            </w:r>
            <w:r>
              <w:rPr>
                <w:sz w:val="21"/>
                <w:szCs w:val="21"/>
              </w:rPr>
              <w:t>/kg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滴滴滴总量</w:t>
            </w:r>
          </w:p>
        </w:tc>
        <w:tc>
          <w:tcPr>
            <w:tcW w:w="3741" w:type="dxa"/>
            <w:gridSpan w:val="6"/>
            <w:tcBorders>
              <w:top w:val="single" w:color="auto" w:sz="4" w:space="0"/>
              <w:bottom w:val="single" w:color="auto" w:sz="4" w:space="0"/>
              <w:right w:val="nil"/>
            </w:tcBorders>
            <w:vAlign w:val="center"/>
          </w:tcPr>
          <w:p>
            <w:pPr>
              <w:tabs>
                <w:tab w:val="left" w:pos="432"/>
              </w:tabs>
              <w:snapToGrid w:val="0"/>
              <w:spacing w:line="240" w:lineRule="auto"/>
              <w:jc w:val="center"/>
              <w:rPr>
                <w:snapToGrid w:val="0"/>
                <w:color w:val="FF0000"/>
                <w:spacing w:val="4"/>
                <w:kern w:val="24"/>
                <w:sz w:val="21"/>
                <w:szCs w:val="21"/>
              </w:rPr>
            </w:pPr>
            <w:r>
              <w:rPr>
                <w:rFonts w:hint="eastAsia"/>
                <w:sz w:val="21"/>
                <w:szCs w:val="21"/>
              </w:rPr>
              <w:t>0</w:t>
            </w:r>
            <w:r>
              <w:rPr>
                <w:sz w:val="21"/>
                <w:szCs w:val="21"/>
              </w:rPr>
              <w:t>.1</w:t>
            </w:r>
            <w:r>
              <w:rPr>
                <w:rFonts w:hint="eastAsia"/>
                <w:sz w:val="21"/>
                <w:szCs w:val="21"/>
              </w:rPr>
              <w:t xml:space="preserve"> mg</w:t>
            </w:r>
            <w:r>
              <w:rPr>
                <w:sz w:val="21"/>
                <w:szCs w:val="21"/>
              </w:rPr>
              <w:t>/kg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rPr>
                <w:spacing w:val="-10"/>
                <w:sz w:val="21"/>
                <w:szCs w:val="21"/>
              </w:rPr>
            </w:pPr>
          </w:p>
        </w:tc>
        <w:tc>
          <w:tcPr>
            <w:tcW w:w="676" w:type="dxa"/>
            <w:vMerge w:val="continue"/>
            <w:vAlign w:val="center"/>
          </w:tcPr>
          <w:p>
            <w:pPr>
              <w:snapToGrid w:val="0"/>
              <w:spacing w:line="240" w:lineRule="auto"/>
              <w:jc w:val="center"/>
              <w:rPr>
                <w:sz w:val="21"/>
                <w:szCs w:val="21"/>
              </w:rPr>
            </w:pPr>
          </w:p>
        </w:tc>
        <w:tc>
          <w:tcPr>
            <w:tcW w:w="1667" w:type="dxa"/>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苯并[</w:t>
            </w:r>
            <w:r>
              <w:rPr>
                <w:sz w:val="21"/>
                <w:szCs w:val="21"/>
              </w:rPr>
              <w:t>a]</w:t>
            </w:r>
            <w:r>
              <w:rPr>
                <w:rFonts w:hint="eastAsia"/>
                <w:sz w:val="21"/>
                <w:szCs w:val="21"/>
              </w:rPr>
              <w:t>芘</w:t>
            </w:r>
          </w:p>
        </w:tc>
        <w:tc>
          <w:tcPr>
            <w:tcW w:w="3741" w:type="dxa"/>
            <w:gridSpan w:val="6"/>
            <w:tcBorders>
              <w:top w:val="single" w:color="auto" w:sz="4" w:space="0"/>
              <w:bottom w:val="single" w:color="auto" w:sz="4" w:space="0"/>
              <w:right w:val="nil"/>
            </w:tcBorders>
            <w:vAlign w:val="center"/>
          </w:tcPr>
          <w:p>
            <w:pPr>
              <w:tabs>
                <w:tab w:val="left" w:pos="432"/>
              </w:tabs>
              <w:snapToGrid w:val="0"/>
              <w:spacing w:line="240" w:lineRule="auto"/>
              <w:jc w:val="center"/>
              <w:rPr>
                <w:snapToGrid w:val="0"/>
                <w:color w:val="FF0000"/>
                <w:spacing w:val="4"/>
                <w:kern w:val="24"/>
                <w:sz w:val="21"/>
                <w:szCs w:val="21"/>
              </w:rPr>
            </w:pPr>
            <w:r>
              <w:rPr>
                <w:rFonts w:hint="eastAsia"/>
                <w:sz w:val="21"/>
                <w:szCs w:val="21"/>
              </w:rPr>
              <w:t>0</w:t>
            </w:r>
            <w:r>
              <w:rPr>
                <w:sz w:val="21"/>
                <w:szCs w:val="21"/>
              </w:rPr>
              <w:t>.55</w:t>
            </w:r>
            <w:r>
              <w:rPr>
                <w:rFonts w:hint="eastAsia"/>
                <w:sz w:val="21"/>
                <w:szCs w:val="21"/>
              </w:rPr>
              <w:t>mg</w:t>
            </w:r>
            <w:r>
              <w:rPr>
                <w:sz w:val="21"/>
                <w:szCs w:val="21"/>
              </w:rPr>
              <w:t>/kg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422" w:type="dxa"/>
            <w:vMerge w:val="restart"/>
            <w:tcBorders>
              <w:left w:val="nil"/>
            </w:tcBorders>
            <w:vAlign w:val="center"/>
          </w:tcPr>
          <w:p>
            <w:pPr>
              <w:snapToGrid w:val="0"/>
              <w:spacing w:line="240" w:lineRule="auto"/>
              <w:jc w:val="center"/>
              <w:rPr>
                <w:sz w:val="21"/>
                <w:szCs w:val="21"/>
              </w:rPr>
            </w:pPr>
            <w:r>
              <w:rPr>
                <w:sz w:val="21"/>
                <w:szCs w:val="21"/>
              </w:rPr>
              <w:t>排</w:t>
            </w:r>
          </w:p>
          <w:p>
            <w:pPr>
              <w:snapToGrid w:val="0"/>
              <w:spacing w:line="240" w:lineRule="auto"/>
              <w:jc w:val="center"/>
              <w:rPr>
                <w:sz w:val="21"/>
                <w:szCs w:val="21"/>
              </w:rPr>
            </w:pPr>
            <w:r>
              <w:rPr>
                <w:sz w:val="21"/>
                <w:szCs w:val="21"/>
              </w:rPr>
              <w:t>放</w:t>
            </w:r>
          </w:p>
          <w:p>
            <w:pPr>
              <w:snapToGrid w:val="0"/>
              <w:spacing w:line="240" w:lineRule="auto"/>
              <w:jc w:val="center"/>
              <w:rPr>
                <w:sz w:val="21"/>
                <w:szCs w:val="21"/>
              </w:rPr>
            </w:pPr>
            <w:r>
              <w:rPr>
                <w:sz w:val="21"/>
                <w:szCs w:val="21"/>
              </w:rPr>
              <w:t>标</w:t>
            </w:r>
          </w:p>
          <w:p>
            <w:pPr>
              <w:snapToGrid w:val="0"/>
              <w:spacing w:line="240" w:lineRule="auto"/>
              <w:jc w:val="center"/>
              <w:rPr>
                <w:sz w:val="21"/>
                <w:szCs w:val="21"/>
              </w:rPr>
            </w:pPr>
            <w:r>
              <w:rPr>
                <w:sz w:val="21"/>
                <w:szCs w:val="21"/>
              </w:rPr>
              <w:t>准</w:t>
            </w:r>
          </w:p>
        </w:tc>
        <w:tc>
          <w:tcPr>
            <w:tcW w:w="464" w:type="dxa"/>
            <w:vMerge w:val="restart"/>
            <w:vAlign w:val="center"/>
          </w:tcPr>
          <w:p>
            <w:pPr>
              <w:snapToGrid w:val="0"/>
              <w:spacing w:line="240" w:lineRule="auto"/>
              <w:jc w:val="center"/>
              <w:rPr>
                <w:sz w:val="21"/>
                <w:szCs w:val="21"/>
              </w:rPr>
            </w:pPr>
            <w:r>
              <w:rPr>
                <w:sz w:val="21"/>
                <w:szCs w:val="21"/>
              </w:rPr>
              <w:t>废水</w:t>
            </w:r>
          </w:p>
        </w:tc>
        <w:tc>
          <w:tcPr>
            <w:tcW w:w="2101" w:type="dxa"/>
            <w:vMerge w:val="restart"/>
            <w:tcBorders>
              <w:bottom w:val="single" w:color="auto" w:sz="4" w:space="0"/>
            </w:tcBorders>
            <w:vAlign w:val="center"/>
          </w:tcPr>
          <w:p>
            <w:pPr>
              <w:snapToGrid w:val="0"/>
              <w:spacing w:line="240" w:lineRule="auto"/>
              <w:rPr>
                <w:spacing w:val="-10"/>
                <w:sz w:val="21"/>
                <w:szCs w:val="21"/>
              </w:rPr>
            </w:pPr>
            <w:r>
              <w:rPr>
                <w:spacing w:val="-10"/>
                <w:sz w:val="21"/>
                <w:szCs w:val="21"/>
              </w:rPr>
              <w:t>《畜禽养殖业污染物排放标准》（GB18596-2001）</w:t>
            </w:r>
          </w:p>
        </w:tc>
        <w:tc>
          <w:tcPr>
            <w:tcW w:w="2343" w:type="dxa"/>
            <w:gridSpan w:val="2"/>
            <w:vMerge w:val="restart"/>
            <w:vAlign w:val="center"/>
          </w:tcPr>
          <w:p>
            <w:pPr>
              <w:snapToGrid w:val="0"/>
              <w:spacing w:line="240" w:lineRule="auto"/>
              <w:jc w:val="center"/>
              <w:rPr>
                <w:sz w:val="21"/>
                <w:szCs w:val="21"/>
              </w:rPr>
            </w:pPr>
            <w:r>
              <w:rPr>
                <w:spacing w:val="-10"/>
                <w:sz w:val="21"/>
                <w:szCs w:val="21"/>
              </w:rPr>
              <w:t>集约化畜禽养殖业</w:t>
            </w:r>
            <w:r>
              <w:rPr>
                <w:rFonts w:hint="eastAsia"/>
                <w:spacing w:val="-10"/>
                <w:sz w:val="21"/>
                <w:szCs w:val="21"/>
              </w:rPr>
              <w:t>干清粪</w:t>
            </w:r>
            <w:r>
              <w:rPr>
                <w:spacing w:val="-10"/>
                <w:sz w:val="21"/>
                <w:szCs w:val="21"/>
              </w:rPr>
              <w:t>工艺最高允许排水量</w:t>
            </w:r>
          </w:p>
        </w:tc>
        <w:tc>
          <w:tcPr>
            <w:tcW w:w="1318" w:type="dxa"/>
            <w:gridSpan w:val="2"/>
            <w:tcBorders>
              <w:bottom w:val="single" w:color="auto" w:sz="4" w:space="0"/>
            </w:tcBorders>
            <w:vAlign w:val="center"/>
          </w:tcPr>
          <w:p>
            <w:pPr>
              <w:snapToGrid w:val="0"/>
              <w:spacing w:line="240" w:lineRule="auto"/>
              <w:jc w:val="center"/>
              <w:rPr>
                <w:sz w:val="21"/>
                <w:szCs w:val="21"/>
              </w:rPr>
            </w:pPr>
            <w:r>
              <w:rPr>
                <w:rFonts w:hint="eastAsia"/>
                <w:sz w:val="21"/>
                <w:szCs w:val="21"/>
              </w:rPr>
              <w:t>冬季</w:t>
            </w:r>
          </w:p>
        </w:tc>
        <w:tc>
          <w:tcPr>
            <w:tcW w:w="1389" w:type="dxa"/>
            <w:gridSpan w:val="3"/>
            <w:tcBorders>
              <w:bottom w:val="single" w:color="auto" w:sz="4" w:space="0"/>
            </w:tcBorders>
            <w:vAlign w:val="center"/>
          </w:tcPr>
          <w:p>
            <w:pPr>
              <w:snapToGrid w:val="0"/>
              <w:spacing w:line="240" w:lineRule="auto"/>
              <w:jc w:val="center"/>
              <w:rPr>
                <w:spacing w:val="-20"/>
                <w:sz w:val="21"/>
                <w:szCs w:val="21"/>
              </w:rPr>
            </w:pPr>
            <w:r>
              <w:rPr>
                <w:rFonts w:hint="eastAsia"/>
                <w:spacing w:val="-20"/>
                <w:sz w:val="21"/>
                <w:szCs w:val="21"/>
              </w:rPr>
              <w:t>夏季</w:t>
            </w:r>
          </w:p>
        </w:tc>
        <w:tc>
          <w:tcPr>
            <w:tcW w:w="1034" w:type="dxa"/>
            <w:vMerge w:val="restart"/>
            <w:tcBorders>
              <w:right w:val="nil"/>
            </w:tcBorders>
            <w:vAlign w:val="center"/>
          </w:tcPr>
          <w:p>
            <w:pPr>
              <w:snapToGrid w:val="0"/>
              <w:spacing w:line="240" w:lineRule="auto"/>
              <w:jc w:val="center"/>
              <w:rPr>
                <w:color w:val="FF0000"/>
                <w:sz w:val="21"/>
                <w:szCs w:val="21"/>
              </w:rPr>
            </w:pPr>
            <w:r>
              <w:rPr>
                <w:rFonts w:hint="eastAsia"/>
                <w:sz w:val="21"/>
                <w:szCs w:val="21"/>
              </w:rPr>
              <w:t>项目废水全部资源化利用，不外排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continue"/>
            <w:vAlign w:val="center"/>
          </w:tcPr>
          <w:p>
            <w:pPr>
              <w:snapToGrid w:val="0"/>
              <w:spacing w:line="240" w:lineRule="auto"/>
              <w:rPr>
                <w:sz w:val="21"/>
                <w:szCs w:val="21"/>
              </w:rPr>
            </w:pPr>
          </w:p>
        </w:tc>
        <w:tc>
          <w:tcPr>
            <w:tcW w:w="2101" w:type="dxa"/>
            <w:vMerge w:val="continue"/>
            <w:vAlign w:val="center"/>
          </w:tcPr>
          <w:p>
            <w:pPr>
              <w:snapToGrid w:val="0"/>
              <w:spacing w:line="240" w:lineRule="auto"/>
              <w:rPr>
                <w:sz w:val="21"/>
                <w:szCs w:val="21"/>
              </w:rPr>
            </w:pPr>
          </w:p>
        </w:tc>
        <w:tc>
          <w:tcPr>
            <w:tcW w:w="2343" w:type="dxa"/>
            <w:gridSpan w:val="2"/>
            <w:vMerge w:val="continue"/>
            <w:vAlign w:val="center"/>
          </w:tcPr>
          <w:p>
            <w:pPr>
              <w:snapToGrid w:val="0"/>
              <w:spacing w:line="240" w:lineRule="auto"/>
              <w:jc w:val="center"/>
              <w:rPr>
                <w:sz w:val="21"/>
                <w:szCs w:val="21"/>
              </w:rPr>
            </w:pPr>
          </w:p>
        </w:tc>
        <w:tc>
          <w:tcPr>
            <w:tcW w:w="1318" w:type="dxa"/>
            <w:gridSpan w:val="2"/>
            <w:vAlign w:val="center"/>
          </w:tcPr>
          <w:p>
            <w:pPr>
              <w:snapToGrid w:val="0"/>
              <w:spacing w:line="240" w:lineRule="auto"/>
              <w:jc w:val="center"/>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.2</w:t>
            </w:r>
          </w:p>
        </w:tc>
        <w:tc>
          <w:tcPr>
            <w:tcW w:w="1389" w:type="dxa"/>
            <w:gridSpan w:val="3"/>
            <w:vAlign w:val="center"/>
          </w:tcPr>
          <w:p>
            <w:pPr>
              <w:snapToGrid w:val="0"/>
              <w:spacing w:line="240" w:lineRule="auto"/>
              <w:jc w:val="center"/>
              <w:rPr>
                <w:snapToGrid w:val="0"/>
                <w:spacing w:val="4"/>
                <w:kern w:val="24"/>
                <w:sz w:val="21"/>
                <w:szCs w:val="21"/>
              </w:rPr>
            </w:pPr>
            <w:r>
              <w:rPr>
                <w:rFonts w:hint="eastAsia"/>
                <w:snapToGrid w:val="0"/>
                <w:spacing w:val="4"/>
                <w:kern w:val="24"/>
                <w:sz w:val="21"/>
                <w:szCs w:val="21"/>
              </w:rPr>
              <w:t>1</w:t>
            </w:r>
            <w:r>
              <w:rPr>
                <w:snapToGrid w:val="0"/>
                <w:spacing w:val="4"/>
                <w:kern w:val="24"/>
                <w:sz w:val="21"/>
                <w:szCs w:val="21"/>
              </w:rPr>
              <w:t>.8</w:t>
            </w:r>
          </w:p>
        </w:tc>
        <w:tc>
          <w:tcPr>
            <w:tcW w:w="1034" w:type="dxa"/>
            <w:vMerge w:val="continue"/>
            <w:tcBorders>
              <w:right w:val="nil"/>
            </w:tcBorders>
            <w:vAlign w:val="center"/>
          </w:tcPr>
          <w:p>
            <w:pPr>
              <w:snapToGrid w:val="0"/>
              <w:spacing w:line="240" w:lineRule="auto"/>
              <w:rPr>
                <w:color w:val="FF000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restart"/>
            <w:vAlign w:val="center"/>
          </w:tcPr>
          <w:p>
            <w:pPr>
              <w:snapToGrid w:val="0"/>
              <w:spacing w:line="240" w:lineRule="auto"/>
              <w:jc w:val="center"/>
              <w:rPr>
                <w:sz w:val="21"/>
                <w:szCs w:val="21"/>
              </w:rPr>
            </w:pPr>
            <w:r>
              <w:rPr>
                <w:sz w:val="21"/>
                <w:szCs w:val="21"/>
              </w:rPr>
              <w:t>废气</w:t>
            </w:r>
          </w:p>
        </w:tc>
        <w:tc>
          <w:tcPr>
            <w:tcW w:w="2101" w:type="dxa"/>
            <w:vMerge w:val="restart"/>
            <w:vAlign w:val="center"/>
          </w:tcPr>
          <w:p>
            <w:pPr>
              <w:snapToGrid w:val="0"/>
              <w:spacing w:line="240" w:lineRule="auto"/>
              <w:jc w:val="center"/>
              <w:rPr>
                <w:sz w:val="21"/>
                <w:szCs w:val="21"/>
              </w:rPr>
            </w:pPr>
            <w:r>
              <w:rPr>
                <w:sz w:val="21"/>
                <w:szCs w:val="21"/>
              </w:rPr>
              <w:t>《恶臭污染物排放标准》GB14554-93</w:t>
            </w:r>
          </w:p>
        </w:tc>
        <w:tc>
          <w:tcPr>
            <w:tcW w:w="676" w:type="dxa"/>
            <w:vMerge w:val="restart"/>
            <w:vAlign w:val="center"/>
          </w:tcPr>
          <w:p>
            <w:pPr>
              <w:snapToGrid w:val="0"/>
              <w:spacing w:line="240" w:lineRule="auto"/>
              <w:jc w:val="center"/>
              <w:rPr>
                <w:sz w:val="21"/>
                <w:szCs w:val="21"/>
              </w:rPr>
            </w:pPr>
            <w:r>
              <w:rPr>
                <w:sz w:val="21"/>
                <w:szCs w:val="21"/>
              </w:rPr>
              <w:t>新建二级</w:t>
            </w:r>
          </w:p>
        </w:tc>
        <w:tc>
          <w:tcPr>
            <w:tcW w:w="1667" w:type="dxa"/>
            <w:vAlign w:val="center"/>
          </w:tcPr>
          <w:p>
            <w:pPr>
              <w:snapToGrid w:val="0"/>
              <w:spacing w:line="240" w:lineRule="auto"/>
              <w:jc w:val="center"/>
              <w:rPr>
                <w:sz w:val="21"/>
                <w:szCs w:val="21"/>
              </w:rPr>
            </w:pPr>
            <w:r>
              <w:rPr>
                <w:sz w:val="21"/>
                <w:szCs w:val="21"/>
              </w:rPr>
              <w:t>臭气浓度</w:t>
            </w:r>
          </w:p>
        </w:tc>
        <w:tc>
          <w:tcPr>
            <w:tcW w:w="2707" w:type="dxa"/>
            <w:gridSpan w:val="5"/>
            <w:vAlign w:val="center"/>
          </w:tcPr>
          <w:p>
            <w:pPr>
              <w:snapToGrid w:val="0"/>
              <w:spacing w:line="240" w:lineRule="auto"/>
              <w:jc w:val="center"/>
              <w:rPr>
                <w:sz w:val="21"/>
                <w:szCs w:val="21"/>
              </w:rPr>
            </w:pPr>
            <w:r>
              <w:rPr>
                <w:sz w:val="21"/>
                <w:szCs w:val="21"/>
              </w:rPr>
              <w:t>20(无量纲)</w:t>
            </w:r>
          </w:p>
        </w:tc>
        <w:tc>
          <w:tcPr>
            <w:tcW w:w="1034" w:type="dxa"/>
            <w:vMerge w:val="restart"/>
            <w:tcBorders>
              <w:right w:val="nil"/>
            </w:tcBorders>
            <w:vAlign w:val="center"/>
          </w:tcPr>
          <w:p>
            <w:pPr>
              <w:snapToGrid w:val="0"/>
              <w:spacing w:line="240" w:lineRule="auto"/>
              <w:jc w:val="center"/>
              <w:rPr>
                <w:sz w:val="21"/>
                <w:szCs w:val="21"/>
              </w:rPr>
            </w:pPr>
            <w:r>
              <w:rPr>
                <w:sz w:val="21"/>
                <w:szCs w:val="21"/>
              </w:rPr>
              <w:t>厂界处</w:t>
            </w:r>
          </w:p>
          <w:p>
            <w:pPr>
              <w:snapToGrid w:val="0"/>
              <w:spacing w:line="240" w:lineRule="auto"/>
              <w:jc w:val="center"/>
              <w:rPr>
                <w:spacing w:val="-8"/>
                <w:sz w:val="21"/>
                <w:szCs w:val="21"/>
              </w:rPr>
            </w:pPr>
            <w:r>
              <w:rPr>
                <w:sz w:val="21"/>
                <w:szCs w:val="21"/>
              </w:rPr>
              <w:t>臭气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3"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rPr>
                <w:sz w:val="21"/>
                <w:szCs w:val="21"/>
              </w:rPr>
            </w:pPr>
          </w:p>
        </w:tc>
        <w:tc>
          <w:tcPr>
            <w:tcW w:w="1667" w:type="dxa"/>
            <w:vAlign w:val="center"/>
          </w:tcPr>
          <w:p>
            <w:pPr>
              <w:snapToGrid w:val="0"/>
              <w:spacing w:line="240" w:lineRule="auto"/>
              <w:jc w:val="center"/>
              <w:rPr>
                <w:sz w:val="21"/>
                <w:szCs w:val="21"/>
              </w:rPr>
            </w:pPr>
            <w:r>
              <w:rPr>
                <w:sz w:val="21"/>
                <w:szCs w:val="21"/>
              </w:rPr>
              <w:t>NH</w:t>
            </w:r>
            <w:r>
              <w:rPr>
                <w:sz w:val="21"/>
                <w:szCs w:val="21"/>
                <w:vertAlign w:val="subscript"/>
              </w:rPr>
              <w:t>3</w:t>
            </w:r>
          </w:p>
        </w:tc>
        <w:tc>
          <w:tcPr>
            <w:tcW w:w="2707" w:type="dxa"/>
            <w:gridSpan w:val="5"/>
            <w:vAlign w:val="center"/>
          </w:tcPr>
          <w:p>
            <w:pPr>
              <w:snapToGrid w:val="0"/>
              <w:spacing w:line="240" w:lineRule="auto"/>
              <w:jc w:val="center"/>
              <w:rPr>
                <w:sz w:val="21"/>
                <w:szCs w:val="21"/>
              </w:rPr>
            </w:pPr>
            <w:r>
              <w:rPr>
                <w:sz w:val="21"/>
                <w:szCs w:val="21"/>
              </w:rPr>
              <w:t>1.5 mg/m</w:t>
            </w:r>
            <w:r>
              <w:rPr>
                <w:sz w:val="21"/>
                <w:szCs w:val="21"/>
                <w:vertAlign w:val="superscript"/>
              </w:rPr>
              <w:t>3</w:t>
            </w:r>
          </w:p>
        </w:tc>
        <w:tc>
          <w:tcPr>
            <w:tcW w:w="1034" w:type="dxa"/>
            <w:vMerge w:val="continue"/>
            <w:tcBorders>
              <w:right w:val="nil"/>
            </w:tcBorders>
            <w:vAlign w:val="center"/>
          </w:tcPr>
          <w:p>
            <w:pPr>
              <w:snapToGrid w:val="0"/>
              <w:spacing w:line="240" w:lineRule="auto"/>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8"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jc w:val="center"/>
              <w:rPr>
                <w:sz w:val="21"/>
                <w:szCs w:val="21"/>
              </w:rPr>
            </w:pPr>
          </w:p>
        </w:tc>
        <w:tc>
          <w:tcPr>
            <w:tcW w:w="2101" w:type="dxa"/>
            <w:vMerge w:val="continue"/>
            <w:vAlign w:val="center"/>
          </w:tcPr>
          <w:p>
            <w:pPr>
              <w:snapToGrid w:val="0"/>
              <w:spacing w:line="240" w:lineRule="auto"/>
              <w:jc w:val="center"/>
              <w:rPr>
                <w:sz w:val="21"/>
                <w:szCs w:val="21"/>
              </w:rPr>
            </w:pPr>
          </w:p>
        </w:tc>
        <w:tc>
          <w:tcPr>
            <w:tcW w:w="676" w:type="dxa"/>
            <w:vMerge w:val="continue"/>
            <w:vAlign w:val="center"/>
          </w:tcPr>
          <w:p>
            <w:pPr>
              <w:snapToGrid w:val="0"/>
              <w:spacing w:line="240" w:lineRule="auto"/>
              <w:rPr>
                <w:sz w:val="21"/>
                <w:szCs w:val="21"/>
              </w:rPr>
            </w:pPr>
          </w:p>
        </w:tc>
        <w:tc>
          <w:tcPr>
            <w:tcW w:w="1667" w:type="dxa"/>
            <w:vAlign w:val="center"/>
          </w:tcPr>
          <w:p>
            <w:pPr>
              <w:snapToGrid w:val="0"/>
              <w:spacing w:line="240" w:lineRule="auto"/>
              <w:jc w:val="center"/>
              <w:rPr>
                <w:sz w:val="21"/>
                <w:szCs w:val="21"/>
              </w:rPr>
            </w:pPr>
            <w:r>
              <w:rPr>
                <w:sz w:val="21"/>
                <w:szCs w:val="21"/>
              </w:rPr>
              <w:t>H</w:t>
            </w:r>
            <w:r>
              <w:rPr>
                <w:sz w:val="21"/>
                <w:szCs w:val="21"/>
                <w:vertAlign w:val="subscript"/>
              </w:rPr>
              <w:t>2</w:t>
            </w:r>
            <w:r>
              <w:rPr>
                <w:sz w:val="21"/>
                <w:szCs w:val="21"/>
              </w:rPr>
              <w:t>S</w:t>
            </w:r>
          </w:p>
        </w:tc>
        <w:tc>
          <w:tcPr>
            <w:tcW w:w="2707" w:type="dxa"/>
            <w:gridSpan w:val="5"/>
            <w:vAlign w:val="center"/>
          </w:tcPr>
          <w:p>
            <w:pPr>
              <w:snapToGrid w:val="0"/>
              <w:spacing w:line="240" w:lineRule="auto"/>
              <w:jc w:val="center"/>
              <w:rPr>
                <w:sz w:val="21"/>
                <w:szCs w:val="21"/>
              </w:rPr>
            </w:pPr>
            <w:r>
              <w:rPr>
                <w:sz w:val="21"/>
                <w:szCs w:val="21"/>
              </w:rPr>
              <w:t>0.06 mg/m</w:t>
            </w:r>
            <w:r>
              <w:rPr>
                <w:sz w:val="21"/>
                <w:szCs w:val="21"/>
                <w:vertAlign w:val="superscript"/>
              </w:rPr>
              <w:t>3</w:t>
            </w:r>
          </w:p>
        </w:tc>
        <w:tc>
          <w:tcPr>
            <w:tcW w:w="1034" w:type="dxa"/>
            <w:vMerge w:val="continue"/>
            <w:tcBorders>
              <w:right w:val="nil"/>
            </w:tcBorders>
            <w:vAlign w:val="center"/>
          </w:tcPr>
          <w:p>
            <w:pPr>
              <w:snapToGrid w:val="0"/>
              <w:spacing w:line="240" w:lineRule="auto"/>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22" w:type="dxa"/>
            <w:vMerge w:val="continue"/>
            <w:tcBorders>
              <w:left w:val="nil"/>
            </w:tcBorders>
            <w:vAlign w:val="center"/>
          </w:tcPr>
          <w:p>
            <w:pPr>
              <w:snapToGrid w:val="0"/>
              <w:spacing w:line="240" w:lineRule="auto"/>
              <w:rPr>
                <w:color w:val="FF0000"/>
                <w:sz w:val="21"/>
                <w:szCs w:val="21"/>
              </w:rPr>
            </w:pPr>
          </w:p>
        </w:tc>
        <w:tc>
          <w:tcPr>
            <w:tcW w:w="464" w:type="dxa"/>
            <w:vMerge w:val="continue"/>
            <w:vAlign w:val="center"/>
          </w:tcPr>
          <w:p>
            <w:pPr>
              <w:snapToGrid w:val="0"/>
              <w:spacing w:line="240" w:lineRule="auto"/>
              <w:rPr>
                <w:color w:val="FF0000"/>
                <w:sz w:val="21"/>
                <w:szCs w:val="21"/>
              </w:rPr>
            </w:pPr>
          </w:p>
        </w:tc>
        <w:tc>
          <w:tcPr>
            <w:tcW w:w="2777" w:type="dxa"/>
            <w:gridSpan w:val="2"/>
            <w:vAlign w:val="center"/>
          </w:tcPr>
          <w:p>
            <w:pPr>
              <w:snapToGrid w:val="0"/>
              <w:spacing w:line="240" w:lineRule="auto"/>
              <w:rPr>
                <w:sz w:val="21"/>
                <w:szCs w:val="21"/>
              </w:rPr>
            </w:pPr>
            <w:r>
              <w:rPr>
                <w:sz w:val="21"/>
                <w:szCs w:val="21"/>
              </w:rPr>
              <w:t>《饮食业油烟排放标准（试行）》（GB18483-2001）</w:t>
            </w:r>
          </w:p>
        </w:tc>
        <w:tc>
          <w:tcPr>
            <w:tcW w:w="1667" w:type="dxa"/>
            <w:vAlign w:val="center"/>
          </w:tcPr>
          <w:p>
            <w:pPr>
              <w:snapToGrid w:val="0"/>
              <w:spacing w:line="240" w:lineRule="auto"/>
              <w:jc w:val="center"/>
              <w:rPr>
                <w:sz w:val="21"/>
                <w:szCs w:val="21"/>
              </w:rPr>
            </w:pPr>
            <w:r>
              <w:rPr>
                <w:rFonts w:hint="eastAsia"/>
                <w:sz w:val="21"/>
                <w:szCs w:val="21"/>
              </w:rPr>
              <w:t>油烟</w:t>
            </w:r>
          </w:p>
        </w:tc>
        <w:tc>
          <w:tcPr>
            <w:tcW w:w="2707" w:type="dxa"/>
            <w:gridSpan w:val="5"/>
            <w:vAlign w:val="center"/>
          </w:tcPr>
          <w:p>
            <w:pPr>
              <w:snapToGrid w:val="0"/>
              <w:spacing w:line="240" w:lineRule="auto"/>
              <w:rPr>
                <w:sz w:val="21"/>
                <w:szCs w:val="21"/>
              </w:rPr>
            </w:pPr>
            <w:r>
              <w:rPr>
                <w:rFonts w:hint="eastAsia"/>
                <w:sz w:val="21"/>
                <w:szCs w:val="21"/>
              </w:rPr>
              <w:t>2</w:t>
            </w:r>
            <w:r>
              <w:rPr>
                <w:sz w:val="21"/>
                <w:szCs w:val="21"/>
              </w:rPr>
              <w:t>.0mg/m</w:t>
            </w:r>
            <w:r>
              <w:rPr>
                <w:sz w:val="21"/>
                <w:szCs w:val="21"/>
                <w:vertAlign w:val="superscript"/>
              </w:rPr>
              <w:t>3</w:t>
            </w:r>
          </w:p>
        </w:tc>
        <w:tc>
          <w:tcPr>
            <w:tcW w:w="1034" w:type="dxa"/>
            <w:tcBorders>
              <w:right w:val="nil"/>
            </w:tcBorders>
            <w:vAlign w:val="center"/>
          </w:tcPr>
          <w:p>
            <w:pPr>
              <w:snapToGrid w:val="0"/>
              <w:spacing w:line="240" w:lineRule="auto"/>
              <w:rPr>
                <w:sz w:val="21"/>
                <w:szCs w:val="21"/>
              </w:rPr>
            </w:pPr>
            <w:r>
              <w:rPr>
                <w:rFonts w:hint="eastAsia"/>
                <w:sz w:val="21"/>
                <w:szCs w:val="21"/>
              </w:rPr>
              <w:t>排气筒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tcBorders>
              <w:bottom w:val="single" w:color="auto" w:sz="4" w:space="0"/>
            </w:tcBorders>
            <w:vAlign w:val="center"/>
          </w:tcPr>
          <w:p>
            <w:pPr>
              <w:snapToGrid w:val="0"/>
              <w:spacing w:line="240" w:lineRule="auto"/>
              <w:jc w:val="center"/>
              <w:rPr>
                <w:sz w:val="21"/>
                <w:szCs w:val="21"/>
              </w:rPr>
            </w:pPr>
            <w:r>
              <w:rPr>
                <w:sz w:val="21"/>
                <w:szCs w:val="21"/>
              </w:rPr>
              <w:t>噪声</w:t>
            </w:r>
          </w:p>
        </w:tc>
        <w:tc>
          <w:tcPr>
            <w:tcW w:w="2101" w:type="dxa"/>
            <w:tcBorders>
              <w:bottom w:val="single" w:color="auto" w:sz="4" w:space="0"/>
            </w:tcBorders>
            <w:vAlign w:val="center"/>
          </w:tcPr>
          <w:p>
            <w:pPr>
              <w:snapToGrid w:val="0"/>
              <w:spacing w:line="240" w:lineRule="auto"/>
              <w:jc w:val="center"/>
              <w:rPr>
                <w:spacing w:val="-6"/>
                <w:sz w:val="21"/>
                <w:szCs w:val="21"/>
              </w:rPr>
            </w:pPr>
            <w:r>
              <w:rPr>
                <w:sz w:val="21"/>
                <w:szCs w:val="21"/>
              </w:rPr>
              <w:t>《工业企业厂界环境噪声排放标准》GB12348-2008</w:t>
            </w:r>
          </w:p>
        </w:tc>
        <w:tc>
          <w:tcPr>
            <w:tcW w:w="676" w:type="dxa"/>
            <w:tcBorders>
              <w:bottom w:val="single" w:color="auto" w:sz="4" w:space="0"/>
            </w:tcBorders>
            <w:vAlign w:val="center"/>
          </w:tcPr>
          <w:p>
            <w:pPr>
              <w:snapToGrid w:val="0"/>
              <w:spacing w:line="240" w:lineRule="auto"/>
              <w:jc w:val="center"/>
              <w:rPr>
                <w:sz w:val="21"/>
                <w:szCs w:val="21"/>
              </w:rPr>
            </w:pPr>
            <w:r>
              <w:rPr>
                <w:sz w:val="21"/>
                <w:szCs w:val="21"/>
              </w:rPr>
              <w:t>2类</w:t>
            </w:r>
          </w:p>
        </w:tc>
        <w:tc>
          <w:tcPr>
            <w:tcW w:w="1667" w:type="dxa"/>
            <w:tcBorders>
              <w:bottom w:val="single" w:color="auto" w:sz="4" w:space="0"/>
            </w:tcBorders>
            <w:vAlign w:val="center"/>
          </w:tcPr>
          <w:p>
            <w:pPr>
              <w:tabs>
                <w:tab w:val="left" w:pos="715"/>
              </w:tabs>
              <w:snapToGrid w:val="0"/>
              <w:spacing w:line="240" w:lineRule="auto"/>
              <w:rPr>
                <w:snapToGrid w:val="0"/>
                <w:spacing w:val="4"/>
                <w:kern w:val="24"/>
                <w:sz w:val="21"/>
                <w:szCs w:val="21"/>
              </w:rPr>
            </w:pPr>
            <w:r>
              <w:rPr>
                <w:snapToGrid w:val="0"/>
                <w:spacing w:val="4"/>
                <w:kern w:val="24"/>
                <w:sz w:val="21"/>
                <w:szCs w:val="21"/>
              </w:rPr>
              <w:t>等效连续声级Leq</w:t>
            </w:r>
          </w:p>
        </w:tc>
        <w:tc>
          <w:tcPr>
            <w:tcW w:w="1318" w:type="dxa"/>
            <w:gridSpan w:val="2"/>
            <w:tcBorders>
              <w:bottom w:val="single" w:color="auto" w:sz="4" w:space="0"/>
            </w:tcBorders>
            <w:vAlign w:val="center"/>
          </w:tcPr>
          <w:p>
            <w:pPr>
              <w:snapToGrid w:val="0"/>
              <w:spacing w:line="240" w:lineRule="auto"/>
              <w:jc w:val="center"/>
              <w:rPr>
                <w:sz w:val="21"/>
                <w:szCs w:val="21"/>
              </w:rPr>
            </w:pPr>
            <w:r>
              <w:rPr>
                <w:sz w:val="21"/>
                <w:szCs w:val="21"/>
              </w:rPr>
              <w:t>昼间 60dB(A)</w:t>
            </w:r>
          </w:p>
        </w:tc>
        <w:tc>
          <w:tcPr>
            <w:tcW w:w="1389" w:type="dxa"/>
            <w:gridSpan w:val="3"/>
            <w:tcBorders>
              <w:bottom w:val="single" w:color="auto" w:sz="4" w:space="0"/>
            </w:tcBorders>
            <w:vAlign w:val="center"/>
          </w:tcPr>
          <w:p>
            <w:pPr>
              <w:snapToGrid w:val="0"/>
              <w:spacing w:line="240" w:lineRule="auto"/>
              <w:jc w:val="center"/>
              <w:rPr>
                <w:sz w:val="21"/>
                <w:szCs w:val="21"/>
              </w:rPr>
            </w:pPr>
            <w:r>
              <w:rPr>
                <w:sz w:val="21"/>
                <w:szCs w:val="21"/>
              </w:rPr>
              <w:t xml:space="preserve">夜间 </w:t>
            </w:r>
          </w:p>
          <w:p>
            <w:pPr>
              <w:snapToGrid w:val="0"/>
              <w:spacing w:line="240" w:lineRule="auto"/>
              <w:jc w:val="center"/>
              <w:rPr>
                <w:sz w:val="21"/>
                <w:szCs w:val="21"/>
              </w:rPr>
            </w:pPr>
            <w:r>
              <w:rPr>
                <w:sz w:val="21"/>
                <w:szCs w:val="21"/>
              </w:rPr>
              <w:t>50dB(A)</w:t>
            </w:r>
          </w:p>
        </w:tc>
        <w:tc>
          <w:tcPr>
            <w:tcW w:w="1034" w:type="dxa"/>
            <w:tcBorders>
              <w:bottom w:val="single" w:color="auto" w:sz="4" w:space="0"/>
              <w:right w:val="nil"/>
            </w:tcBorders>
            <w:vAlign w:val="center"/>
          </w:tcPr>
          <w:p>
            <w:pPr>
              <w:snapToGrid w:val="0"/>
              <w:spacing w:line="240" w:lineRule="auto"/>
              <w:rPr>
                <w:snapToGrid w:val="0"/>
                <w:spacing w:val="4"/>
                <w:kern w:val="24"/>
                <w:sz w:val="21"/>
                <w:szCs w:val="21"/>
              </w:rPr>
            </w:pPr>
            <w:r>
              <w:rPr>
                <w:snapToGrid w:val="0"/>
                <w:spacing w:val="4"/>
                <w:kern w:val="24"/>
                <w:sz w:val="21"/>
                <w:szCs w:val="21"/>
              </w:rPr>
              <w:t>厂界噪声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restart"/>
            <w:tcBorders>
              <w:top w:val="single" w:color="auto" w:sz="4" w:space="0"/>
              <w:bottom w:val="single" w:color="auto" w:sz="4" w:space="0"/>
            </w:tcBorders>
            <w:vAlign w:val="center"/>
          </w:tcPr>
          <w:p>
            <w:pPr>
              <w:snapToGrid w:val="0"/>
              <w:spacing w:line="240" w:lineRule="auto"/>
              <w:jc w:val="center"/>
              <w:rPr>
                <w:sz w:val="21"/>
                <w:szCs w:val="21"/>
              </w:rPr>
            </w:pPr>
            <w:r>
              <w:rPr>
                <w:rFonts w:hint="eastAsia"/>
                <w:sz w:val="21"/>
                <w:szCs w:val="21"/>
              </w:rPr>
              <w:t>固废</w:t>
            </w:r>
          </w:p>
        </w:tc>
        <w:tc>
          <w:tcPr>
            <w:tcW w:w="8185" w:type="dxa"/>
            <w:gridSpan w:val="9"/>
            <w:tcBorders>
              <w:top w:val="single" w:color="auto" w:sz="4" w:space="0"/>
              <w:bottom w:val="single" w:color="auto" w:sz="4" w:space="0"/>
              <w:right w:val="nil"/>
            </w:tcBorders>
            <w:vAlign w:val="center"/>
          </w:tcPr>
          <w:p>
            <w:pPr>
              <w:snapToGrid w:val="0"/>
              <w:spacing w:line="240" w:lineRule="auto"/>
              <w:jc w:val="center"/>
              <w:rPr>
                <w:snapToGrid w:val="0"/>
                <w:spacing w:val="4"/>
                <w:kern w:val="24"/>
                <w:sz w:val="21"/>
                <w:szCs w:val="21"/>
              </w:rPr>
            </w:pPr>
            <w:r>
              <w:rPr>
                <w:sz w:val="21"/>
                <w:szCs w:val="21"/>
              </w:rPr>
              <w:t>《一般工业固体废物贮存、处置场污染控制标准》（GB18599-2001）及其修改单要求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continue"/>
            <w:tcBorders>
              <w:top w:val="single" w:color="auto" w:sz="4" w:space="0"/>
              <w:bottom w:val="single" w:color="auto" w:sz="4" w:space="0"/>
            </w:tcBorders>
            <w:vAlign w:val="center"/>
          </w:tcPr>
          <w:p>
            <w:pPr>
              <w:snapToGrid w:val="0"/>
              <w:spacing w:line="240" w:lineRule="auto"/>
              <w:jc w:val="center"/>
              <w:rPr>
                <w:sz w:val="21"/>
                <w:szCs w:val="21"/>
              </w:rPr>
            </w:pPr>
          </w:p>
        </w:tc>
        <w:tc>
          <w:tcPr>
            <w:tcW w:w="8185" w:type="dxa"/>
            <w:gridSpan w:val="9"/>
            <w:tcBorders>
              <w:top w:val="single" w:color="auto" w:sz="4" w:space="0"/>
              <w:bottom w:val="single" w:color="auto" w:sz="4" w:space="0"/>
              <w:right w:val="nil"/>
            </w:tcBorders>
            <w:vAlign w:val="center"/>
          </w:tcPr>
          <w:p>
            <w:pPr>
              <w:snapToGrid w:val="0"/>
              <w:spacing w:line="240" w:lineRule="auto"/>
              <w:jc w:val="center"/>
              <w:rPr>
                <w:snapToGrid w:val="0"/>
                <w:spacing w:val="4"/>
                <w:kern w:val="24"/>
                <w:sz w:val="21"/>
                <w:szCs w:val="21"/>
              </w:rPr>
            </w:pPr>
            <w:r>
              <w:rPr>
                <w:sz w:val="21"/>
                <w:szCs w:val="21"/>
              </w:rPr>
              <w:t>《危险废物贮存污染控制标准》（GB18597-2001）及2013年修改清单中相关标准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22" w:type="dxa"/>
            <w:vMerge w:val="continue"/>
            <w:tcBorders>
              <w:left w:val="nil"/>
            </w:tcBorders>
            <w:vAlign w:val="center"/>
          </w:tcPr>
          <w:p>
            <w:pPr>
              <w:snapToGrid w:val="0"/>
              <w:spacing w:line="240" w:lineRule="auto"/>
              <w:rPr>
                <w:sz w:val="21"/>
                <w:szCs w:val="21"/>
              </w:rPr>
            </w:pPr>
          </w:p>
        </w:tc>
        <w:tc>
          <w:tcPr>
            <w:tcW w:w="464" w:type="dxa"/>
            <w:vMerge w:val="continue"/>
            <w:tcBorders>
              <w:top w:val="single" w:color="auto" w:sz="4" w:space="0"/>
            </w:tcBorders>
            <w:vAlign w:val="center"/>
          </w:tcPr>
          <w:p>
            <w:pPr>
              <w:snapToGrid w:val="0"/>
              <w:spacing w:line="240" w:lineRule="auto"/>
              <w:jc w:val="center"/>
              <w:rPr>
                <w:sz w:val="21"/>
                <w:szCs w:val="21"/>
              </w:rPr>
            </w:pPr>
          </w:p>
        </w:tc>
        <w:tc>
          <w:tcPr>
            <w:tcW w:w="2777" w:type="dxa"/>
            <w:gridSpan w:val="2"/>
            <w:tcBorders>
              <w:top w:val="single" w:color="auto" w:sz="4" w:space="0"/>
            </w:tcBorders>
            <w:vAlign w:val="center"/>
          </w:tcPr>
          <w:p>
            <w:pPr>
              <w:snapToGrid w:val="0"/>
              <w:spacing w:line="240" w:lineRule="auto"/>
              <w:jc w:val="center"/>
              <w:rPr>
                <w:sz w:val="21"/>
                <w:szCs w:val="21"/>
              </w:rPr>
            </w:pPr>
            <w:r>
              <w:rPr>
                <w:sz w:val="21"/>
                <w:szCs w:val="21"/>
              </w:rPr>
              <w:t>《畜禽养殖业污染物排放标准》（GB18596-2001）中的表6标准</w:t>
            </w:r>
          </w:p>
        </w:tc>
        <w:tc>
          <w:tcPr>
            <w:tcW w:w="1667" w:type="dxa"/>
            <w:tcBorders>
              <w:top w:val="single" w:color="auto" w:sz="4" w:space="0"/>
            </w:tcBorders>
            <w:vAlign w:val="center"/>
          </w:tcPr>
          <w:p>
            <w:pPr>
              <w:tabs>
                <w:tab w:val="left" w:pos="715"/>
              </w:tabs>
              <w:snapToGrid w:val="0"/>
              <w:spacing w:line="240" w:lineRule="auto"/>
              <w:rPr>
                <w:snapToGrid w:val="0"/>
                <w:spacing w:val="4"/>
                <w:kern w:val="24"/>
                <w:sz w:val="21"/>
                <w:szCs w:val="21"/>
              </w:rPr>
            </w:pPr>
            <w:r>
              <w:rPr>
                <w:rFonts w:hint="eastAsia"/>
                <w:snapToGrid w:val="0"/>
                <w:spacing w:val="4"/>
                <w:kern w:val="24"/>
                <w:sz w:val="21"/>
                <w:szCs w:val="21"/>
              </w:rPr>
              <w:t>蛔虫卵</w:t>
            </w:r>
          </w:p>
        </w:tc>
        <w:tc>
          <w:tcPr>
            <w:tcW w:w="1318" w:type="dxa"/>
            <w:gridSpan w:val="2"/>
            <w:tcBorders>
              <w:top w:val="single" w:color="auto" w:sz="4" w:space="0"/>
            </w:tcBorders>
            <w:vAlign w:val="center"/>
          </w:tcPr>
          <w:p>
            <w:pPr>
              <w:snapToGrid w:val="0"/>
              <w:spacing w:line="240" w:lineRule="auto"/>
              <w:jc w:val="center"/>
              <w:rPr>
                <w:sz w:val="21"/>
                <w:szCs w:val="21"/>
              </w:rPr>
            </w:pPr>
            <w:r>
              <w:rPr>
                <w:rFonts w:hint="eastAsia"/>
                <w:sz w:val="21"/>
                <w:szCs w:val="21"/>
              </w:rPr>
              <w:t>死亡率≥</w:t>
            </w:r>
            <w:r>
              <w:rPr>
                <w:sz w:val="21"/>
                <w:szCs w:val="21"/>
              </w:rPr>
              <w:t>95</w:t>
            </w:r>
            <w:r>
              <w:rPr>
                <w:rFonts w:hint="eastAsia"/>
                <w:sz w:val="21"/>
                <w:szCs w:val="21"/>
              </w:rPr>
              <w:t>%</w:t>
            </w:r>
          </w:p>
        </w:tc>
        <w:tc>
          <w:tcPr>
            <w:tcW w:w="1389" w:type="dxa"/>
            <w:gridSpan w:val="3"/>
            <w:tcBorders>
              <w:top w:val="single" w:color="auto" w:sz="4" w:space="0"/>
            </w:tcBorders>
            <w:vAlign w:val="center"/>
          </w:tcPr>
          <w:p>
            <w:pPr>
              <w:snapToGrid w:val="0"/>
              <w:spacing w:line="240" w:lineRule="auto"/>
              <w:jc w:val="center"/>
              <w:rPr>
                <w:sz w:val="21"/>
                <w:szCs w:val="21"/>
              </w:rPr>
            </w:pPr>
            <w:r>
              <w:rPr>
                <w:rFonts w:hint="eastAsia"/>
                <w:sz w:val="21"/>
                <w:szCs w:val="21"/>
              </w:rPr>
              <w:t>粪大肠菌群数</w:t>
            </w:r>
          </w:p>
        </w:tc>
        <w:tc>
          <w:tcPr>
            <w:tcW w:w="1034" w:type="dxa"/>
            <w:tcBorders>
              <w:top w:val="single" w:color="auto" w:sz="4" w:space="0"/>
              <w:right w:val="nil"/>
            </w:tcBorders>
            <w:vAlign w:val="center"/>
          </w:tcPr>
          <w:p>
            <w:pPr>
              <w:snapToGrid w:val="0"/>
              <w:spacing w:line="240" w:lineRule="auto"/>
              <w:rPr>
                <w:snapToGrid w:val="0"/>
                <w:spacing w:val="4"/>
                <w:kern w:val="24"/>
                <w:sz w:val="21"/>
                <w:szCs w:val="21"/>
              </w:rPr>
            </w:pPr>
            <w:r>
              <w:rPr>
                <w:rFonts w:hint="eastAsia"/>
                <w:snapToGrid w:val="0"/>
                <w:spacing w:val="4"/>
                <w:kern w:val="24"/>
                <w:sz w:val="21"/>
                <w:szCs w:val="21"/>
              </w:rPr>
              <w:t>≤</w:t>
            </w:r>
            <w:r>
              <w:rPr>
                <w:snapToGrid w:val="0"/>
                <w:spacing w:val="4"/>
                <w:kern w:val="24"/>
                <w:sz w:val="21"/>
                <w:szCs w:val="21"/>
              </w:rPr>
              <w:t>10</w:t>
            </w:r>
            <w:r>
              <w:rPr>
                <w:snapToGrid w:val="0"/>
                <w:spacing w:val="4"/>
                <w:kern w:val="24"/>
                <w:sz w:val="21"/>
                <w:szCs w:val="21"/>
                <w:vertAlign w:val="superscript"/>
              </w:rPr>
              <w:t>5</w:t>
            </w:r>
            <w:r>
              <w:rPr>
                <w:rFonts w:hint="eastAsia"/>
                <w:snapToGrid w:val="0"/>
                <w:spacing w:val="4"/>
                <w:kern w:val="24"/>
                <w:sz w:val="21"/>
                <w:szCs w:val="21"/>
              </w:rPr>
              <w:t>个/</w:t>
            </w:r>
            <w:r>
              <w:rPr>
                <w:snapToGrid w:val="0"/>
                <w:spacing w:val="4"/>
                <w:kern w:val="24"/>
                <w:sz w:val="21"/>
                <w:szCs w:val="21"/>
              </w:rPr>
              <w:t>kg</w:t>
            </w:r>
          </w:p>
        </w:tc>
      </w:tr>
    </w:tbl>
    <w:p>
      <w:pPr>
        <w:pStyle w:val="2"/>
        <w:spacing w:line="240" w:lineRule="auto"/>
        <w:ind w:firstLine="480"/>
        <w:rPr>
          <w:rFonts w:hint="default"/>
        </w:rPr>
      </w:pP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62" w:name="_Toc423336646"/>
      <w:bookmarkStart w:id="263" w:name="_Toc88466689"/>
      <w:bookmarkStart w:id="264" w:name="_Toc115259813"/>
      <w:bookmarkStart w:id="265" w:name="_Toc82857190"/>
      <w:bookmarkStart w:id="266" w:name="_Toc179923034"/>
      <w:bookmarkStart w:id="267" w:name="_Toc114997734"/>
      <w:bookmarkStart w:id="268" w:name="_Toc29110559"/>
      <w:bookmarkStart w:id="269" w:name="_Toc457480924"/>
      <w:bookmarkStart w:id="270" w:name="_Toc56581460"/>
      <w:r>
        <w:rPr>
          <w:rFonts w:hint="eastAsia" w:ascii="Times New Roman" w:hAnsi="Times New Roman" w:eastAsia="黑体" w:cs="Times New Roman"/>
          <w:b w:val="0"/>
          <w:bCs/>
          <w:spacing w:val="4"/>
          <w:kern w:val="2"/>
          <w:sz w:val="32"/>
          <w:szCs w:val="32"/>
        </w:rPr>
        <w:t>2.9</w:t>
      </w:r>
      <w:r>
        <w:rPr>
          <w:rFonts w:ascii="Times New Roman" w:hAnsi="Times New Roman" w:eastAsia="黑体" w:cs="Times New Roman"/>
          <w:b w:val="0"/>
          <w:bCs/>
          <w:spacing w:val="4"/>
          <w:kern w:val="2"/>
          <w:sz w:val="32"/>
          <w:szCs w:val="32"/>
        </w:rPr>
        <w:t xml:space="preserve"> 评价内容及评价重点</w:t>
      </w:r>
      <w:bookmarkEnd w:id="262"/>
      <w:bookmarkEnd w:id="263"/>
      <w:bookmarkEnd w:id="264"/>
      <w:bookmarkEnd w:id="265"/>
      <w:bookmarkEnd w:id="266"/>
      <w:bookmarkEnd w:id="267"/>
      <w:bookmarkEnd w:id="268"/>
      <w:bookmarkEnd w:id="269"/>
      <w:bookmarkEnd w:id="270"/>
    </w:p>
    <w:p>
      <w:pPr>
        <w:adjustRightInd w:val="0"/>
        <w:snapToGrid w:val="0"/>
        <w:ind w:firstLine="480" w:firstLineChars="200"/>
      </w:pPr>
      <w:bookmarkStart w:id="271" w:name="_Toc74101937"/>
      <w:bookmarkStart w:id="272" w:name="_Toc115259814"/>
      <w:bookmarkStart w:id="273" w:name="_Toc179923035"/>
      <w:bookmarkStart w:id="274" w:name="_Toc88466690"/>
      <w:bookmarkStart w:id="275" w:name="_Toc82857191"/>
      <w:bookmarkStart w:id="276" w:name="_Toc76139330"/>
      <w:bookmarkStart w:id="277" w:name="_Toc114997735"/>
      <w:r>
        <w:t>（1）评价内容</w:t>
      </w:r>
    </w:p>
    <w:p>
      <w:pPr>
        <w:adjustRightInd w:val="0"/>
        <w:snapToGrid w:val="0"/>
        <w:ind w:firstLine="480" w:firstLineChars="200"/>
      </w:pPr>
      <w:r>
        <w:t>本项目产生的污染物主要是生产废水、生活污水、工艺废气、固体废物和噪声，因此，根据工程特征及所在地的环境特征，确定评价项目包括：工程分析，废水排放影响分析，大气环境现状及影响评价、声环境现状及影响评价，固体废物环境影响分析，环境保护措施及技术经济分析，环境风险分析，总量控制分析等。</w:t>
      </w:r>
    </w:p>
    <w:p>
      <w:pPr>
        <w:adjustRightInd w:val="0"/>
        <w:snapToGrid w:val="0"/>
        <w:ind w:firstLine="480" w:firstLineChars="200"/>
      </w:pPr>
      <w:r>
        <w:t>（2）评价重点</w:t>
      </w:r>
    </w:p>
    <w:p>
      <w:pPr>
        <w:adjustRightInd w:val="0"/>
        <w:snapToGrid w:val="0"/>
        <w:ind w:firstLine="480" w:firstLineChars="200"/>
      </w:pPr>
      <w:r>
        <w:t>评价重点为：工程分析、环境保护措施及技术经济分析和环境风险分析。</w:t>
      </w: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78" w:name="_Toc423336647"/>
      <w:bookmarkStart w:id="279" w:name="_Toc29110560"/>
      <w:bookmarkStart w:id="280" w:name="_Toc457480925"/>
      <w:r>
        <w:rPr>
          <w:rFonts w:hint="eastAsia" w:ascii="Times New Roman" w:hAnsi="Times New Roman" w:eastAsia="黑体" w:cs="Times New Roman"/>
          <w:b w:val="0"/>
          <w:bCs/>
          <w:spacing w:val="4"/>
          <w:kern w:val="2"/>
          <w:sz w:val="32"/>
          <w:szCs w:val="32"/>
        </w:rPr>
        <w:t>2.10</w:t>
      </w:r>
      <w:r>
        <w:rPr>
          <w:rFonts w:ascii="Times New Roman" w:hAnsi="Times New Roman" w:eastAsia="黑体" w:cs="Times New Roman"/>
          <w:b w:val="0"/>
          <w:bCs/>
          <w:spacing w:val="4"/>
          <w:kern w:val="2"/>
          <w:sz w:val="32"/>
          <w:szCs w:val="32"/>
        </w:rPr>
        <w:t>评价因子</w:t>
      </w:r>
      <w:bookmarkEnd w:id="271"/>
      <w:bookmarkEnd w:id="272"/>
      <w:bookmarkEnd w:id="273"/>
      <w:bookmarkEnd w:id="274"/>
      <w:bookmarkEnd w:id="275"/>
      <w:bookmarkEnd w:id="276"/>
      <w:bookmarkEnd w:id="277"/>
      <w:bookmarkEnd w:id="278"/>
      <w:bookmarkEnd w:id="279"/>
      <w:bookmarkEnd w:id="280"/>
    </w:p>
    <w:p>
      <w:pPr>
        <w:pStyle w:val="320"/>
        <w:snapToGrid w:val="0"/>
        <w:spacing w:before="0" w:line="360" w:lineRule="auto"/>
        <w:ind w:firstLine="480"/>
        <w:rPr>
          <w:rFonts w:ascii="Times New Roman" w:hAnsi="Times New Roman"/>
        </w:rPr>
      </w:pPr>
      <w:bookmarkStart w:id="281" w:name="_Toc82857192"/>
      <w:bookmarkStart w:id="282" w:name="_Toc464181531"/>
      <w:bookmarkStart w:id="283" w:name="_Toc114997736"/>
      <w:bookmarkStart w:id="284" w:name="_Toc464179520"/>
      <w:bookmarkStart w:id="285" w:name="_Toc88466691"/>
      <w:bookmarkStart w:id="286" w:name="_Toc457959594"/>
      <w:bookmarkStart w:id="287" w:name="_Toc115259815"/>
      <w:bookmarkStart w:id="288" w:name="_Toc457480926"/>
      <w:bookmarkStart w:id="289" w:name="_Toc423336648"/>
      <w:bookmarkStart w:id="290" w:name="_Toc179923036"/>
      <w:bookmarkStart w:id="291" w:name="_Toc457960082"/>
      <w:bookmarkStart w:id="292" w:name="_Toc465560749"/>
      <w:bookmarkStart w:id="293" w:name="_Toc56581461"/>
      <w:r>
        <w:rPr>
          <w:rFonts w:ascii="Times New Roman" w:hAnsi="Times New Roman"/>
        </w:rPr>
        <w:t>通过初步的工程分析、环境影响识别、项目所在地区存在的环境问题以及周边的环境保护目标，确定本项目评价因子见表</w:t>
      </w:r>
      <w:r>
        <w:rPr>
          <w:rFonts w:hint="eastAsia" w:ascii="Times New Roman" w:hAnsi="Times New Roman"/>
        </w:rPr>
        <w:t>2</w:t>
      </w:r>
      <w:r>
        <w:rPr>
          <w:rFonts w:ascii="Times New Roman" w:hAnsi="Times New Roman"/>
        </w:rPr>
        <w:t>.</w:t>
      </w:r>
      <w:r>
        <w:rPr>
          <w:rFonts w:hint="eastAsia" w:ascii="Times New Roman" w:hAnsi="Times New Roman"/>
        </w:rPr>
        <w:t>10</w:t>
      </w:r>
      <w:r>
        <w:rPr>
          <w:rFonts w:ascii="Times New Roman" w:hAnsi="Times New Roman"/>
        </w:rPr>
        <w:t>-1 所示。</w:t>
      </w:r>
    </w:p>
    <w:p>
      <w:pPr>
        <w:pStyle w:val="462"/>
        <w:numPr>
          <w:ilvl w:val="2"/>
          <w:numId w:val="0"/>
        </w:numPr>
        <w:tabs>
          <w:tab w:val="clear" w:pos="2705"/>
        </w:tabs>
        <w:adjustRightInd w:val="0"/>
        <w:snapToGrid w:val="0"/>
        <w:spacing w:line="240" w:lineRule="auto"/>
        <w:jc w:val="center"/>
        <w:outlineLvl w:val="9"/>
        <w:rPr>
          <w:rFonts w:eastAsia="黑体"/>
          <w:b w:val="0"/>
          <w:bCs w:val="0"/>
          <w:color w:val="auto"/>
          <w:sz w:val="24"/>
          <w:szCs w:val="24"/>
        </w:rPr>
      </w:pPr>
      <w:r>
        <w:rPr>
          <w:rFonts w:eastAsia="黑体"/>
          <w:b w:val="0"/>
          <w:bCs w:val="0"/>
          <w:color w:val="auto"/>
          <w:sz w:val="24"/>
          <w:szCs w:val="24"/>
        </w:rPr>
        <w:t>表</w:t>
      </w:r>
      <w:r>
        <w:rPr>
          <w:rFonts w:hint="eastAsia" w:eastAsia="黑体"/>
          <w:b w:val="0"/>
          <w:bCs w:val="0"/>
          <w:color w:val="auto"/>
          <w:sz w:val="24"/>
          <w:szCs w:val="24"/>
        </w:rPr>
        <w:t>2</w:t>
      </w:r>
      <w:r>
        <w:rPr>
          <w:rFonts w:eastAsia="黑体"/>
          <w:b w:val="0"/>
          <w:bCs w:val="0"/>
          <w:color w:val="auto"/>
          <w:sz w:val="24"/>
          <w:szCs w:val="24"/>
        </w:rPr>
        <w:t>.</w:t>
      </w:r>
      <w:r>
        <w:rPr>
          <w:rFonts w:hint="eastAsia" w:eastAsia="黑体"/>
          <w:b w:val="0"/>
          <w:bCs w:val="0"/>
          <w:color w:val="auto"/>
          <w:sz w:val="24"/>
          <w:szCs w:val="24"/>
        </w:rPr>
        <w:t>10</w:t>
      </w:r>
      <w:r>
        <w:rPr>
          <w:rFonts w:eastAsia="黑体"/>
          <w:b w:val="0"/>
          <w:bCs w:val="0"/>
          <w:color w:val="auto"/>
          <w:sz w:val="24"/>
          <w:szCs w:val="24"/>
        </w:rPr>
        <w:t>-1 评价因子一览表</w:t>
      </w:r>
    </w:p>
    <w:tbl>
      <w:tblPr>
        <w:tblStyle w:val="88"/>
        <w:tblW w:w="878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227"/>
        <w:gridCol w:w="1314"/>
        <w:gridCol w:w="57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tcBorders>
              <w:tl2br w:val="nil"/>
              <w:tr2bl w:val="nil"/>
            </w:tcBorders>
            <w:vAlign w:val="center"/>
          </w:tcPr>
          <w:p>
            <w:pPr>
              <w:adjustRightInd w:val="0"/>
              <w:snapToGrid w:val="0"/>
              <w:spacing w:line="240" w:lineRule="auto"/>
              <w:jc w:val="center"/>
              <w:rPr>
                <w:b/>
                <w:sz w:val="21"/>
                <w:szCs w:val="21"/>
              </w:rPr>
            </w:pPr>
          </w:p>
        </w:tc>
        <w:tc>
          <w:tcPr>
            <w:tcW w:w="1227" w:type="dxa"/>
            <w:tcBorders>
              <w:tl2br w:val="nil"/>
              <w:tr2bl w:val="nil"/>
            </w:tcBorders>
            <w:vAlign w:val="center"/>
          </w:tcPr>
          <w:p>
            <w:pPr>
              <w:adjustRightInd w:val="0"/>
              <w:snapToGrid w:val="0"/>
              <w:spacing w:line="240" w:lineRule="auto"/>
              <w:jc w:val="center"/>
              <w:rPr>
                <w:b/>
                <w:sz w:val="21"/>
                <w:szCs w:val="21"/>
              </w:rPr>
            </w:pPr>
            <w:r>
              <w:rPr>
                <w:b/>
                <w:sz w:val="21"/>
                <w:szCs w:val="21"/>
              </w:rPr>
              <w:t>环境要素</w:t>
            </w:r>
          </w:p>
        </w:tc>
        <w:tc>
          <w:tcPr>
            <w:tcW w:w="1314" w:type="dxa"/>
            <w:tcBorders>
              <w:tl2br w:val="nil"/>
              <w:tr2bl w:val="nil"/>
            </w:tcBorders>
            <w:vAlign w:val="center"/>
          </w:tcPr>
          <w:p>
            <w:pPr>
              <w:adjustRightInd w:val="0"/>
              <w:snapToGrid w:val="0"/>
              <w:spacing w:line="240" w:lineRule="auto"/>
              <w:jc w:val="center"/>
              <w:rPr>
                <w:b/>
                <w:sz w:val="21"/>
                <w:szCs w:val="21"/>
              </w:rPr>
            </w:pPr>
            <w:r>
              <w:rPr>
                <w:b/>
                <w:sz w:val="21"/>
                <w:szCs w:val="21"/>
              </w:rPr>
              <w:t>评价专题</w:t>
            </w:r>
          </w:p>
        </w:tc>
        <w:tc>
          <w:tcPr>
            <w:tcW w:w="5754" w:type="dxa"/>
            <w:tcBorders>
              <w:tl2br w:val="nil"/>
              <w:tr2bl w:val="nil"/>
            </w:tcBorders>
            <w:vAlign w:val="center"/>
          </w:tcPr>
          <w:p>
            <w:pPr>
              <w:adjustRightInd w:val="0"/>
              <w:snapToGrid w:val="0"/>
              <w:spacing w:line="240" w:lineRule="auto"/>
              <w:jc w:val="center"/>
              <w:rPr>
                <w:b/>
                <w:sz w:val="21"/>
                <w:szCs w:val="21"/>
              </w:rPr>
            </w:pPr>
            <w:r>
              <w:rPr>
                <w:b/>
                <w:sz w:val="21"/>
                <w:szCs w:val="21"/>
              </w:rPr>
              <w:t>评价因子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评价因子</w:t>
            </w:r>
          </w:p>
        </w:tc>
        <w:tc>
          <w:tcPr>
            <w:tcW w:w="1227"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环境空气</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现状评价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PM</w:t>
            </w:r>
            <w:r>
              <w:rPr>
                <w:sz w:val="21"/>
                <w:szCs w:val="21"/>
                <w:vertAlign w:val="subscript"/>
              </w:rPr>
              <w:t>2.5</w:t>
            </w:r>
            <w:r>
              <w:rPr>
                <w:sz w:val="21"/>
                <w:szCs w:val="21"/>
              </w:rPr>
              <w:t>、PM</w:t>
            </w:r>
            <w:r>
              <w:rPr>
                <w:sz w:val="21"/>
                <w:szCs w:val="21"/>
                <w:vertAlign w:val="subscript"/>
              </w:rPr>
              <w:t>10</w:t>
            </w:r>
            <w:r>
              <w:rPr>
                <w:sz w:val="21"/>
                <w:szCs w:val="21"/>
              </w:rPr>
              <w:t>、SO</w:t>
            </w:r>
            <w:r>
              <w:rPr>
                <w:sz w:val="21"/>
                <w:szCs w:val="21"/>
                <w:vertAlign w:val="subscript"/>
              </w:rPr>
              <w:t>2</w:t>
            </w:r>
            <w:r>
              <w:rPr>
                <w:sz w:val="21"/>
                <w:szCs w:val="21"/>
              </w:rPr>
              <w:t>、NO</w:t>
            </w:r>
            <w:r>
              <w:rPr>
                <w:sz w:val="21"/>
                <w:szCs w:val="21"/>
                <w:vertAlign w:val="subscript"/>
              </w:rPr>
              <w:t>2</w:t>
            </w:r>
            <w:r>
              <w:rPr>
                <w:sz w:val="21"/>
                <w:szCs w:val="21"/>
              </w:rPr>
              <w:t>、H</w:t>
            </w:r>
            <w:r>
              <w:rPr>
                <w:sz w:val="21"/>
                <w:szCs w:val="21"/>
                <w:vertAlign w:val="subscript"/>
              </w:rPr>
              <w:t>2</w:t>
            </w:r>
            <w:r>
              <w:rPr>
                <w:sz w:val="21"/>
                <w:szCs w:val="21"/>
              </w:rPr>
              <w:t>S、NH</w:t>
            </w:r>
            <w:r>
              <w:rPr>
                <w:sz w:val="21"/>
                <w:szCs w:val="21"/>
                <w:vertAlign w:val="sub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continue"/>
            <w:tcBorders>
              <w:tl2br w:val="nil"/>
              <w:tr2bl w:val="nil"/>
            </w:tcBorders>
            <w:vAlign w:val="center"/>
          </w:tcPr>
          <w:p>
            <w:pPr>
              <w:adjustRightInd w:val="0"/>
              <w:snapToGrid w:val="0"/>
              <w:spacing w:line="240" w:lineRule="auto"/>
              <w:jc w:val="center"/>
              <w:rPr>
                <w:sz w:val="21"/>
                <w:szCs w:val="21"/>
              </w:rPr>
            </w:pP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NH</w:t>
            </w:r>
            <w:r>
              <w:rPr>
                <w:sz w:val="21"/>
                <w:szCs w:val="21"/>
                <w:vertAlign w:val="subscript"/>
              </w:rPr>
              <w:t>3</w:t>
            </w:r>
            <w:r>
              <w:rPr>
                <w:sz w:val="21"/>
                <w:szCs w:val="21"/>
              </w:rPr>
              <w:t>、H</w:t>
            </w:r>
            <w:r>
              <w:rPr>
                <w:sz w:val="21"/>
                <w:szCs w:val="21"/>
                <w:vertAlign w:val="subscript"/>
              </w:rPr>
              <w:t>2</w:t>
            </w:r>
            <w:r>
              <w:rPr>
                <w:sz w:val="21"/>
                <w:szCs w:val="21"/>
              </w:rPr>
              <w:t>S、臭气</w:t>
            </w:r>
            <w:r>
              <w:rPr>
                <w:rFonts w:hint="eastAsia"/>
                <w:sz w:val="21"/>
                <w:szCs w:val="21"/>
              </w:rPr>
              <w:t>浓度</w:t>
            </w:r>
            <w:r>
              <w:rPr>
                <w:sz w:val="21"/>
                <w:szCs w:val="21"/>
              </w:rPr>
              <w:t>、粉尘、油烟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地表水</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现状评价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pH、COD、BOD</w:t>
            </w:r>
            <w:r>
              <w:rPr>
                <w:sz w:val="21"/>
                <w:szCs w:val="21"/>
                <w:vertAlign w:val="subscript"/>
              </w:rPr>
              <w:t>5</w:t>
            </w:r>
            <w:r>
              <w:rPr>
                <w:sz w:val="21"/>
                <w:szCs w:val="21"/>
              </w:rPr>
              <w:t>、SS、NH</w:t>
            </w:r>
            <w:r>
              <w:rPr>
                <w:sz w:val="21"/>
                <w:szCs w:val="21"/>
                <w:vertAlign w:val="subscript"/>
              </w:rPr>
              <w:t>3</w:t>
            </w:r>
            <w:r>
              <w:rPr>
                <w:sz w:val="21"/>
                <w:szCs w:val="21"/>
              </w:rPr>
              <w:t>-N、TP、粪大肠菌群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continue"/>
            <w:tcBorders>
              <w:tl2br w:val="nil"/>
              <w:tr2bl w:val="nil"/>
            </w:tcBorders>
            <w:vAlign w:val="center"/>
          </w:tcPr>
          <w:p>
            <w:pPr>
              <w:adjustRightInd w:val="0"/>
              <w:snapToGrid w:val="0"/>
              <w:spacing w:line="240" w:lineRule="auto"/>
              <w:jc w:val="center"/>
              <w:rPr>
                <w:sz w:val="21"/>
                <w:szCs w:val="21"/>
              </w:rPr>
            </w:pP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项目废水</w:t>
            </w:r>
            <w:r>
              <w:rPr>
                <w:rFonts w:hint="eastAsia"/>
                <w:sz w:val="21"/>
                <w:szCs w:val="21"/>
              </w:rPr>
              <w:t>全部运至</w:t>
            </w:r>
            <w:r>
              <w:rPr>
                <w:sz w:val="21"/>
                <w:szCs w:val="21"/>
              </w:rPr>
              <w:t>井研县大沼工程，全部综合利用，不外排</w:t>
            </w:r>
            <w:r>
              <w:rPr>
                <w:rStyle w:val="145"/>
              </w:rPr>
              <w:t>，并且分析综合利用的可行性和可靠性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地下水</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现状评价</w:t>
            </w:r>
          </w:p>
        </w:tc>
        <w:tc>
          <w:tcPr>
            <w:tcW w:w="5754" w:type="dxa"/>
            <w:tcBorders>
              <w:tl2br w:val="nil"/>
              <w:tr2bl w:val="nil"/>
            </w:tcBorders>
            <w:vAlign w:val="center"/>
          </w:tcPr>
          <w:p>
            <w:pPr>
              <w:adjustRightInd w:val="0"/>
              <w:snapToGrid w:val="0"/>
              <w:spacing w:line="240" w:lineRule="auto"/>
              <w:jc w:val="center"/>
              <w:rPr>
                <w:sz w:val="21"/>
                <w:szCs w:val="21"/>
              </w:rPr>
            </w:pPr>
            <w:r>
              <w:rPr>
                <w:kern w:val="0"/>
                <w:sz w:val="21"/>
                <w:szCs w:val="21"/>
              </w:rPr>
              <w:t>K</w:t>
            </w:r>
            <w:r>
              <w:rPr>
                <w:kern w:val="0"/>
                <w:sz w:val="21"/>
                <w:szCs w:val="21"/>
                <w:vertAlign w:val="superscript"/>
              </w:rPr>
              <w:t>+</w:t>
            </w:r>
            <w:r>
              <w:rPr>
                <w:kern w:val="0"/>
                <w:sz w:val="21"/>
                <w:szCs w:val="21"/>
              </w:rPr>
              <w:t>、</w:t>
            </w:r>
            <w:r>
              <w:rPr>
                <w:rFonts w:hint="eastAsia"/>
                <w:kern w:val="0"/>
                <w:sz w:val="21"/>
                <w:szCs w:val="21"/>
              </w:rPr>
              <w:t>N</w:t>
            </w:r>
            <w:r>
              <w:rPr>
                <w:kern w:val="0"/>
                <w:sz w:val="21"/>
                <w:szCs w:val="21"/>
              </w:rPr>
              <w:t>a</w:t>
            </w:r>
            <w:r>
              <w:rPr>
                <w:kern w:val="0"/>
                <w:sz w:val="21"/>
                <w:szCs w:val="21"/>
                <w:vertAlign w:val="superscript"/>
              </w:rPr>
              <w:t>+</w:t>
            </w:r>
            <w:r>
              <w:rPr>
                <w:rFonts w:hint="eastAsia"/>
                <w:kern w:val="0"/>
                <w:sz w:val="21"/>
                <w:szCs w:val="21"/>
              </w:rPr>
              <w:t>、Ca</w:t>
            </w:r>
            <w:r>
              <w:rPr>
                <w:rFonts w:hint="eastAsia"/>
                <w:kern w:val="0"/>
                <w:sz w:val="21"/>
                <w:szCs w:val="21"/>
                <w:vertAlign w:val="superscript"/>
              </w:rPr>
              <w:t>+</w:t>
            </w:r>
            <w:r>
              <w:rPr>
                <w:rFonts w:hint="eastAsia"/>
                <w:kern w:val="0"/>
                <w:sz w:val="21"/>
                <w:szCs w:val="21"/>
              </w:rPr>
              <w:t>、Mg</w:t>
            </w:r>
            <w:r>
              <w:rPr>
                <w:rFonts w:hint="eastAsia"/>
                <w:kern w:val="0"/>
                <w:sz w:val="21"/>
                <w:szCs w:val="21"/>
                <w:vertAlign w:val="superscript"/>
              </w:rPr>
              <w:t>+</w:t>
            </w:r>
            <w:r>
              <w:rPr>
                <w:rFonts w:hint="eastAsia"/>
                <w:kern w:val="0"/>
                <w:sz w:val="21"/>
                <w:szCs w:val="21"/>
              </w:rPr>
              <w:t>、CO</w:t>
            </w:r>
            <w:r>
              <w:rPr>
                <w:rFonts w:hint="eastAsia"/>
                <w:kern w:val="0"/>
                <w:sz w:val="21"/>
                <w:szCs w:val="21"/>
                <w:vertAlign w:val="subscript"/>
              </w:rPr>
              <w:t>3</w:t>
            </w:r>
            <w:r>
              <w:rPr>
                <w:kern w:val="0"/>
                <w:sz w:val="21"/>
                <w:szCs w:val="21"/>
                <w:vertAlign w:val="superscript"/>
              </w:rPr>
              <w:t>2-</w:t>
            </w:r>
            <w:r>
              <w:rPr>
                <w:rFonts w:hint="eastAsia"/>
                <w:kern w:val="0"/>
                <w:sz w:val="21"/>
                <w:szCs w:val="21"/>
              </w:rPr>
              <w:t>、HCO</w:t>
            </w:r>
            <w:r>
              <w:rPr>
                <w:rFonts w:hint="eastAsia"/>
                <w:kern w:val="0"/>
                <w:sz w:val="21"/>
                <w:szCs w:val="21"/>
                <w:vertAlign w:val="subscript"/>
              </w:rPr>
              <w:t>3</w:t>
            </w:r>
            <w:r>
              <w:rPr>
                <w:kern w:val="0"/>
                <w:sz w:val="21"/>
                <w:szCs w:val="21"/>
                <w:vertAlign w:val="superscript"/>
              </w:rPr>
              <w:t>-</w:t>
            </w:r>
            <w:r>
              <w:rPr>
                <w:kern w:val="0"/>
                <w:sz w:val="21"/>
                <w:szCs w:val="21"/>
              </w:rPr>
              <w:t>、</w:t>
            </w:r>
            <w:r>
              <w:rPr>
                <w:rFonts w:hint="eastAsia"/>
                <w:kern w:val="0"/>
                <w:sz w:val="21"/>
                <w:szCs w:val="21"/>
              </w:rPr>
              <w:t>C</w:t>
            </w:r>
            <w:r>
              <w:rPr>
                <w:kern w:val="0"/>
                <w:sz w:val="21"/>
                <w:szCs w:val="21"/>
              </w:rPr>
              <w:t>l</w:t>
            </w:r>
            <w:r>
              <w:rPr>
                <w:kern w:val="0"/>
                <w:sz w:val="21"/>
                <w:szCs w:val="21"/>
                <w:vertAlign w:val="superscript"/>
              </w:rPr>
              <w:t>-</w:t>
            </w:r>
            <w:r>
              <w:rPr>
                <w:rFonts w:hint="eastAsia"/>
                <w:kern w:val="0"/>
                <w:sz w:val="21"/>
                <w:szCs w:val="21"/>
              </w:rPr>
              <w:t>、SO</w:t>
            </w:r>
            <w:r>
              <w:rPr>
                <w:rFonts w:hint="eastAsia"/>
                <w:kern w:val="0"/>
                <w:sz w:val="21"/>
                <w:szCs w:val="21"/>
                <w:vertAlign w:val="subscript"/>
              </w:rPr>
              <w:t>4</w:t>
            </w:r>
            <w:r>
              <w:rPr>
                <w:rFonts w:hint="eastAsia"/>
                <w:kern w:val="0"/>
                <w:sz w:val="21"/>
                <w:szCs w:val="21"/>
                <w:vertAlign w:val="superscript"/>
              </w:rPr>
              <w:t>2</w:t>
            </w:r>
            <w:r>
              <w:rPr>
                <w:kern w:val="0"/>
                <w:sz w:val="21"/>
                <w:szCs w:val="21"/>
                <w:vertAlign w:val="superscript"/>
              </w:rPr>
              <w:t>-</w:t>
            </w:r>
            <w:r>
              <w:rPr>
                <w:rFonts w:hint="eastAsia"/>
                <w:sz w:val="21"/>
                <w:szCs w:val="21"/>
              </w:rPr>
              <w:t>、</w:t>
            </w:r>
            <w:r>
              <w:rPr>
                <w:sz w:val="21"/>
                <w:szCs w:val="21"/>
              </w:rPr>
              <w:t>pH值、</w:t>
            </w:r>
            <w:r>
              <w:rPr>
                <w:rFonts w:hint="eastAsia"/>
                <w:sz w:val="21"/>
                <w:szCs w:val="21"/>
              </w:rPr>
              <w:t>耗氧量</w:t>
            </w:r>
            <w:r>
              <w:rPr>
                <w:sz w:val="21"/>
                <w:szCs w:val="21"/>
              </w:rPr>
              <w:t>、氨氮、氯化物、总大肠菌群</w:t>
            </w:r>
            <w:r>
              <w:rPr>
                <w:rFonts w:hint="eastAsia"/>
                <w:sz w:val="21"/>
                <w:szCs w:val="21"/>
              </w:rPr>
              <w:t>、</w:t>
            </w:r>
            <w:r>
              <w:rPr>
                <w:sz w:val="21"/>
                <w:szCs w:val="21"/>
              </w:rPr>
              <w:t>细菌总数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continue"/>
            <w:tcBorders>
              <w:tl2br w:val="nil"/>
              <w:tr2bl w:val="nil"/>
            </w:tcBorders>
            <w:vAlign w:val="center"/>
          </w:tcPr>
          <w:p>
            <w:pPr>
              <w:adjustRightInd w:val="0"/>
              <w:snapToGrid w:val="0"/>
              <w:spacing w:line="240" w:lineRule="auto"/>
              <w:jc w:val="center"/>
              <w:rPr>
                <w:sz w:val="21"/>
                <w:szCs w:val="21"/>
              </w:rPr>
            </w:pP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rFonts w:hint="eastAsia"/>
                <w:sz w:val="21"/>
                <w:szCs w:val="21"/>
              </w:rPr>
              <w:t>耗氧量、氨氮、总大肠菌群、细菌总数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声环境</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现状评价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等效连续A声级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continue"/>
            <w:tcBorders>
              <w:tl2br w:val="nil"/>
              <w:tr2bl w:val="nil"/>
            </w:tcBorders>
            <w:vAlign w:val="center"/>
          </w:tcPr>
          <w:p>
            <w:pPr>
              <w:adjustRightInd w:val="0"/>
              <w:snapToGrid w:val="0"/>
              <w:spacing w:line="240" w:lineRule="auto"/>
              <w:jc w:val="center"/>
              <w:rPr>
                <w:sz w:val="21"/>
                <w:szCs w:val="21"/>
              </w:rPr>
            </w:pP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等效连续A声级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tcBorders>
              <w:tl2br w:val="nil"/>
              <w:tr2bl w:val="nil"/>
            </w:tcBorders>
            <w:vAlign w:val="center"/>
          </w:tcPr>
          <w:p>
            <w:pPr>
              <w:adjustRightInd w:val="0"/>
              <w:snapToGrid w:val="0"/>
              <w:spacing w:line="240" w:lineRule="auto"/>
              <w:jc w:val="center"/>
              <w:rPr>
                <w:sz w:val="21"/>
                <w:szCs w:val="21"/>
              </w:rPr>
            </w:pPr>
            <w:r>
              <w:rPr>
                <w:sz w:val="21"/>
                <w:szCs w:val="21"/>
              </w:rPr>
              <w:t>固体废物</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猪粪（粪渣）、病死猪只、生活垃圾、医疗废物</w:t>
            </w:r>
            <w:r>
              <w:rPr>
                <w:rStyle w:val="145"/>
              </w:rPr>
              <w:t>等处置措施合理性分析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生态环境</w:t>
            </w: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现状评价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水土流失、植被破坏、土地利用性质、景观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2" w:type="dxa"/>
            <w:vMerge w:val="continue"/>
            <w:tcBorders>
              <w:tl2br w:val="nil"/>
              <w:tr2bl w:val="nil"/>
            </w:tcBorders>
            <w:vAlign w:val="center"/>
          </w:tcPr>
          <w:p>
            <w:pPr>
              <w:adjustRightInd w:val="0"/>
              <w:snapToGrid w:val="0"/>
              <w:spacing w:line="240" w:lineRule="auto"/>
              <w:jc w:val="center"/>
              <w:rPr>
                <w:sz w:val="21"/>
                <w:szCs w:val="21"/>
              </w:rPr>
            </w:pPr>
          </w:p>
        </w:tc>
        <w:tc>
          <w:tcPr>
            <w:tcW w:w="1227" w:type="dxa"/>
            <w:vMerge w:val="continue"/>
            <w:tcBorders>
              <w:tl2br w:val="nil"/>
              <w:tr2bl w:val="nil"/>
            </w:tcBorders>
            <w:vAlign w:val="center"/>
          </w:tcPr>
          <w:p>
            <w:pPr>
              <w:adjustRightInd w:val="0"/>
              <w:snapToGrid w:val="0"/>
              <w:spacing w:line="240" w:lineRule="auto"/>
              <w:jc w:val="center"/>
              <w:rPr>
                <w:sz w:val="21"/>
                <w:szCs w:val="21"/>
              </w:rPr>
            </w:pPr>
          </w:p>
        </w:tc>
        <w:tc>
          <w:tcPr>
            <w:tcW w:w="1314" w:type="dxa"/>
            <w:tcBorders>
              <w:tl2br w:val="nil"/>
              <w:tr2bl w:val="nil"/>
            </w:tcBorders>
            <w:vAlign w:val="center"/>
          </w:tcPr>
          <w:p>
            <w:pPr>
              <w:adjustRightInd w:val="0"/>
              <w:snapToGrid w:val="0"/>
              <w:spacing w:line="240" w:lineRule="auto"/>
              <w:jc w:val="center"/>
              <w:rPr>
                <w:sz w:val="21"/>
                <w:szCs w:val="21"/>
              </w:rPr>
            </w:pPr>
            <w:r>
              <w:rPr>
                <w:sz w:val="21"/>
                <w:szCs w:val="21"/>
              </w:rPr>
              <w:t>影响评价</w:t>
            </w:r>
          </w:p>
        </w:tc>
        <w:tc>
          <w:tcPr>
            <w:tcW w:w="5754" w:type="dxa"/>
            <w:tcBorders>
              <w:tl2br w:val="nil"/>
              <w:tr2bl w:val="nil"/>
            </w:tcBorders>
            <w:vAlign w:val="center"/>
          </w:tcPr>
          <w:p>
            <w:pPr>
              <w:adjustRightInd w:val="0"/>
              <w:snapToGrid w:val="0"/>
              <w:spacing w:line="240" w:lineRule="auto"/>
              <w:jc w:val="center"/>
              <w:rPr>
                <w:sz w:val="21"/>
                <w:szCs w:val="21"/>
              </w:rPr>
            </w:pPr>
            <w:r>
              <w:rPr>
                <w:sz w:val="21"/>
                <w:szCs w:val="21"/>
              </w:rPr>
              <w:t>植被破坏、水土流失</w:t>
            </w:r>
          </w:p>
        </w:tc>
      </w:tr>
    </w:tbl>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94" w:name="_Toc29110561"/>
      <w:r>
        <w:rPr>
          <w:rFonts w:hint="eastAsia" w:ascii="Times New Roman" w:hAnsi="Times New Roman" w:eastAsia="黑体" w:cs="Times New Roman"/>
          <w:b w:val="0"/>
          <w:bCs/>
          <w:spacing w:val="4"/>
          <w:kern w:val="2"/>
          <w:sz w:val="32"/>
          <w:szCs w:val="32"/>
        </w:rPr>
        <w:t>2.11</w:t>
      </w:r>
      <w:r>
        <w:rPr>
          <w:rFonts w:ascii="Times New Roman" w:hAnsi="Times New Roman" w:eastAsia="黑体" w:cs="Times New Roman"/>
          <w:b w:val="0"/>
          <w:bCs/>
          <w:spacing w:val="4"/>
          <w:kern w:val="2"/>
          <w:sz w:val="32"/>
          <w:szCs w:val="32"/>
        </w:rPr>
        <w:t>评价工作等级</w:t>
      </w:r>
      <w:bookmarkEnd w:id="234"/>
      <w:bookmarkEnd w:id="235"/>
      <w:bookmarkEnd w:id="236"/>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pPr>
        <w:jc w:val="left"/>
        <w:outlineLvl w:val="2"/>
        <w:rPr>
          <w:rFonts w:eastAsia="黑体"/>
          <w:bCs/>
          <w:sz w:val="28"/>
          <w:szCs w:val="28"/>
        </w:rPr>
      </w:pPr>
      <w:r>
        <w:rPr>
          <w:rFonts w:hint="eastAsia" w:eastAsia="黑体"/>
          <w:bCs/>
          <w:sz w:val="28"/>
          <w:szCs w:val="28"/>
        </w:rPr>
        <w:t>2</w:t>
      </w:r>
      <w:r>
        <w:rPr>
          <w:rFonts w:eastAsia="黑体"/>
          <w:bCs/>
          <w:sz w:val="28"/>
          <w:szCs w:val="28"/>
        </w:rPr>
        <w:t>.11.1 大气环境评价等级</w:t>
      </w:r>
    </w:p>
    <w:p>
      <w:pPr>
        <w:adjustRightInd w:val="0"/>
        <w:snapToGrid w:val="0"/>
        <w:ind w:firstLine="480" w:firstLineChars="200"/>
        <w:textAlignment w:val="center"/>
        <w:rPr>
          <w:kern w:val="0"/>
          <w:szCs w:val="20"/>
        </w:rPr>
      </w:pPr>
      <w:r>
        <w:rPr>
          <w:kern w:val="0"/>
          <w:szCs w:val="20"/>
        </w:rPr>
        <w:t>根据《环境影响评价技术导则》HJ 2.2-2018中推荐的大气评价工作等级划分原则，</w:t>
      </w:r>
      <w:r>
        <w:rPr>
          <w:rFonts w:hint="eastAsia"/>
          <w:kern w:val="0"/>
          <w:szCs w:val="20"/>
        </w:rPr>
        <w:t>采用A</w:t>
      </w:r>
      <w:r>
        <w:rPr>
          <w:kern w:val="0"/>
          <w:szCs w:val="20"/>
        </w:rPr>
        <w:t>ERSCREEN，分别计算</w:t>
      </w:r>
      <w:r>
        <w:rPr>
          <w:rFonts w:hint="eastAsia"/>
          <w:kern w:val="0"/>
          <w:szCs w:val="20"/>
        </w:rPr>
        <w:t>本项目排放主要污染物的最大地面空气质量浓度占标率P</w:t>
      </w:r>
      <w:r>
        <w:rPr>
          <w:kern w:val="0"/>
          <w:szCs w:val="20"/>
          <w:vertAlign w:val="subscript"/>
        </w:rPr>
        <w:t>i</w:t>
      </w:r>
      <w:r>
        <w:rPr>
          <w:rFonts w:hint="eastAsia"/>
          <w:kern w:val="0"/>
          <w:szCs w:val="20"/>
        </w:rPr>
        <w:t>，计算公式如下</w:t>
      </w:r>
      <w:r>
        <w:rPr>
          <w:kern w:val="0"/>
          <w:szCs w:val="20"/>
        </w:rPr>
        <w:t>：</w:t>
      </w:r>
    </w:p>
    <w:p>
      <w:pPr>
        <w:adjustRightInd w:val="0"/>
        <w:ind w:left="505" w:firstLine="1200" w:firstLineChars="500"/>
        <w:textAlignment w:val="center"/>
        <w:rPr>
          <w:color w:val="FF0000"/>
          <w:kern w:val="0"/>
          <w:szCs w:val="20"/>
        </w:rPr>
      </w:pPr>
      <w:r>
        <w:rPr>
          <w:color w:val="FF0000"/>
          <w:kern w:val="0"/>
          <w:position w:val="-30"/>
          <w:szCs w:val="20"/>
        </w:rPr>
        <w:object>
          <v:shape id="_x0000_i1025" o:spt="75" type="#_x0000_t75" style="height:36pt;width:84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p>
    <w:p>
      <w:pPr>
        <w:adjustRightInd w:val="0"/>
        <w:snapToGrid w:val="0"/>
        <w:ind w:left="480"/>
        <w:textAlignment w:val="center"/>
        <w:rPr>
          <w:kern w:val="0"/>
          <w:szCs w:val="20"/>
        </w:rPr>
      </w:pPr>
      <w:r>
        <w:rPr>
          <w:kern w:val="0"/>
          <w:szCs w:val="20"/>
        </w:rPr>
        <w:t>式中：P</w:t>
      </w:r>
      <w:r>
        <w:rPr>
          <w:kern w:val="0"/>
          <w:szCs w:val="20"/>
          <w:vertAlign w:val="subscript"/>
        </w:rPr>
        <w:t>i</w:t>
      </w:r>
      <w:r>
        <w:rPr>
          <w:kern w:val="0"/>
          <w:szCs w:val="20"/>
        </w:rPr>
        <w:t>——第i个污染物的最大地面浓度占标率，%；</w:t>
      </w:r>
    </w:p>
    <w:p>
      <w:pPr>
        <w:adjustRightInd w:val="0"/>
        <w:snapToGrid w:val="0"/>
        <w:ind w:left="480" w:firstLine="720" w:firstLineChars="300"/>
        <w:textAlignment w:val="center"/>
        <w:rPr>
          <w:kern w:val="0"/>
          <w:szCs w:val="20"/>
        </w:rPr>
      </w:pPr>
      <w:r>
        <w:rPr>
          <w:kern w:val="0"/>
          <w:szCs w:val="20"/>
        </w:rPr>
        <w:t>C</w:t>
      </w:r>
      <w:r>
        <w:rPr>
          <w:kern w:val="0"/>
          <w:szCs w:val="20"/>
          <w:vertAlign w:val="subscript"/>
        </w:rPr>
        <w:t>i</w:t>
      </w:r>
      <w:r>
        <w:rPr>
          <w:kern w:val="0"/>
          <w:szCs w:val="20"/>
        </w:rPr>
        <w:t>——采用估算模式计算出的第i个污染物的最大地面浓度，mg /m</w:t>
      </w:r>
      <w:r>
        <w:rPr>
          <w:kern w:val="0"/>
          <w:szCs w:val="20"/>
          <w:vertAlign w:val="superscript"/>
        </w:rPr>
        <w:t>3</w:t>
      </w:r>
      <w:r>
        <w:rPr>
          <w:kern w:val="0"/>
          <w:szCs w:val="20"/>
        </w:rPr>
        <w:t>；</w:t>
      </w:r>
    </w:p>
    <w:p>
      <w:pPr>
        <w:adjustRightInd w:val="0"/>
        <w:snapToGrid w:val="0"/>
        <w:ind w:left="480"/>
        <w:textAlignment w:val="center"/>
        <w:rPr>
          <w:kern w:val="0"/>
          <w:szCs w:val="20"/>
        </w:rPr>
      </w:pPr>
      <w:r>
        <w:rPr>
          <w:kern w:val="0"/>
          <w:szCs w:val="20"/>
        </w:rPr>
        <w:t xml:space="preserve">      C</w:t>
      </w:r>
      <w:r>
        <w:rPr>
          <w:kern w:val="0"/>
          <w:szCs w:val="20"/>
          <w:vertAlign w:val="subscript"/>
        </w:rPr>
        <w:t>0i</w:t>
      </w:r>
      <w:r>
        <w:rPr>
          <w:kern w:val="0"/>
          <w:szCs w:val="20"/>
        </w:rPr>
        <w:t xml:space="preserve"> ——第i个污染物的环境空气质量标准，mg /m</w:t>
      </w:r>
      <w:r>
        <w:rPr>
          <w:kern w:val="0"/>
          <w:szCs w:val="20"/>
          <w:vertAlign w:val="superscript"/>
        </w:rPr>
        <w:t>3</w:t>
      </w:r>
      <w:r>
        <w:rPr>
          <w:kern w:val="0"/>
          <w:szCs w:val="20"/>
        </w:rPr>
        <w:t>。</w:t>
      </w:r>
    </w:p>
    <w:p>
      <w:pPr>
        <w:adjustRightInd w:val="0"/>
        <w:snapToGrid w:val="0"/>
        <w:ind w:firstLine="1200" w:firstLineChars="500"/>
        <w:textAlignment w:val="center"/>
        <w:rPr>
          <w:kern w:val="0"/>
        </w:rPr>
      </w:pPr>
      <w:r>
        <w:rPr>
          <w:kern w:val="0"/>
        </w:rPr>
        <w:t>C</w:t>
      </w:r>
      <w:r>
        <w:rPr>
          <w:kern w:val="0"/>
          <w:vertAlign w:val="subscript"/>
        </w:rPr>
        <w:t>0i</w:t>
      </w:r>
      <w:r>
        <w:rPr>
          <w:rFonts w:hint="eastAsia"/>
          <w:kern w:val="0"/>
        </w:rPr>
        <w:t>一般选用 GB 3095 中 1 h 平均质量浓度的二级浓度限值，如项目位于一类环境空气功能区，应选择相应的一级浓度限值；对该标准中未包含的污染物，使用5.2确定的各评价因子1h平均质量浓度限值。对仅有8h平均质量浓度限值、日平均质量浓度限值或年平均质量浓度限值的，可分别按2倍、3倍、6倍折算为1h 平均质量浓度限值。</w:t>
      </w:r>
    </w:p>
    <w:p>
      <w:pPr>
        <w:adjustRightInd w:val="0"/>
        <w:snapToGrid w:val="0"/>
        <w:ind w:firstLine="480" w:firstLineChars="200"/>
        <w:textAlignment w:val="center"/>
        <w:rPr>
          <w:kern w:val="0"/>
        </w:rPr>
      </w:pPr>
      <w:r>
        <w:rPr>
          <w:rFonts w:hint="eastAsia"/>
          <w:kern w:val="0"/>
        </w:rPr>
        <w:t>评价工作等级按下表的分级判据进行划分，如果污染物数 i 大于 1，取 P 值 中大者 Pmax。同一项目有多个污染源（两个级以上）时，则按各污染源分别确 定其评价等级，并取评价等级高者作为项目的评价等级。</w:t>
      </w:r>
    </w:p>
    <w:p>
      <w:pPr>
        <w:snapToGrid w:val="0"/>
        <w:spacing w:line="240" w:lineRule="auto"/>
        <w:jc w:val="center"/>
        <w:rPr>
          <w:rFonts w:eastAsia="黑体"/>
        </w:rPr>
      </w:pPr>
      <w:r>
        <w:rPr>
          <w:rFonts w:eastAsia="黑体"/>
        </w:rPr>
        <w:t>表</w:t>
      </w:r>
      <w:r>
        <w:rPr>
          <w:rFonts w:hint="eastAsia" w:eastAsia="黑体"/>
        </w:rPr>
        <w:t>2</w:t>
      </w:r>
      <w:r>
        <w:rPr>
          <w:rFonts w:eastAsia="黑体"/>
        </w:rPr>
        <w:t>.1</w:t>
      </w:r>
      <w:r>
        <w:rPr>
          <w:rFonts w:hint="eastAsia" w:eastAsia="黑体"/>
        </w:rPr>
        <w:t>1</w:t>
      </w:r>
      <w:r>
        <w:rPr>
          <w:rFonts w:eastAsia="黑体"/>
        </w:rPr>
        <w:t>-1 评价工作等级</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66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adjustRightInd w:val="0"/>
              <w:spacing w:line="240" w:lineRule="auto"/>
              <w:ind w:left="420"/>
              <w:jc w:val="center"/>
              <w:textAlignment w:val="center"/>
              <w:rPr>
                <w:kern w:val="0"/>
                <w:sz w:val="21"/>
                <w:szCs w:val="20"/>
              </w:rPr>
            </w:pPr>
            <w:r>
              <w:rPr>
                <w:kern w:val="0"/>
                <w:sz w:val="21"/>
                <w:szCs w:val="20"/>
              </w:rPr>
              <w:t>评价工作等级</w:t>
            </w:r>
          </w:p>
        </w:tc>
        <w:tc>
          <w:tcPr>
            <w:tcW w:w="6108" w:type="dxa"/>
            <w:tcBorders>
              <w:right w:val="nil"/>
            </w:tcBorders>
            <w:vAlign w:val="center"/>
          </w:tcPr>
          <w:p>
            <w:pPr>
              <w:adjustRightInd w:val="0"/>
              <w:spacing w:line="240" w:lineRule="auto"/>
              <w:ind w:left="420"/>
              <w:jc w:val="center"/>
              <w:textAlignment w:val="center"/>
              <w:rPr>
                <w:kern w:val="0"/>
                <w:sz w:val="21"/>
                <w:szCs w:val="20"/>
              </w:rPr>
            </w:pPr>
            <w:r>
              <w:rPr>
                <w:kern w:val="0"/>
                <w:sz w:val="21"/>
                <w:szCs w:val="20"/>
              </w:rPr>
              <w:t>评价工作等级判据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adjustRightInd w:val="0"/>
              <w:spacing w:line="240" w:lineRule="auto"/>
              <w:ind w:left="420"/>
              <w:jc w:val="center"/>
              <w:textAlignment w:val="center"/>
              <w:rPr>
                <w:kern w:val="0"/>
                <w:sz w:val="21"/>
                <w:szCs w:val="20"/>
              </w:rPr>
            </w:pPr>
            <w:r>
              <w:rPr>
                <w:kern w:val="0"/>
                <w:sz w:val="21"/>
                <w:szCs w:val="20"/>
              </w:rPr>
              <w:t>一级</w:t>
            </w:r>
          </w:p>
        </w:tc>
        <w:tc>
          <w:tcPr>
            <w:tcW w:w="6108" w:type="dxa"/>
            <w:tcBorders>
              <w:right w:val="nil"/>
            </w:tcBorders>
            <w:vAlign w:val="center"/>
          </w:tcPr>
          <w:p>
            <w:pPr>
              <w:adjustRightInd w:val="0"/>
              <w:spacing w:line="240" w:lineRule="auto"/>
              <w:ind w:left="420"/>
              <w:jc w:val="center"/>
              <w:textAlignment w:val="center"/>
              <w:rPr>
                <w:kern w:val="0"/>
                <w:sz w:val="21"/>
                <w:szCs w:val="20"/>
              </w:rPr>
            </w:pPr>
            <w:r>
              <w:rPr>
                <w:kern w:val="0"/>
                <w:sz w:val="21"/>
                <w:szCs w:val="20"/>
              </w:rPr>
              <w:t>Pmax≥10%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415" w:type="dxa"/>
            <w:tcBorders>
              <w:left w:val="nil"/>
            </w:tcBorders>
            <w:vAlign w:val="center"/>
          </w:tcPr>
          <w:p>
            <w:pPr>
              <w:adjustRightInd w:val="0"/>
              <w:spacing w:line="240" w:lineRule="auto"/>
              <w:ind w:left="420"/>
              <w:jc w:val="center"/>
              <w:textAlignment w:val="center"/>
              <w:rPr>
                <w:kern w:val="0"/>
                <w:sz w:val="21"/>
                <w:szCs w:val="20"/>
              </w:rPr>
            </w:pPr>
            <w:r>
              <w:rPr>
                <w:kern w:val="0"/>
                <w:sz w:val="21"/>
                <w:szCs w:val="20"/>
              </w:rPr>
              <w:t>二级</w:t>
            </w:r>
          </w:p>
        </w:tc>
        <w:tc>
          <w:tcPr>
            <w:tcW w:w="6108" w:type="dxa"/>
            <w:tcBorders>
              <w:right w:val="nil"/>
            </w:tcBorders>
            <w:vAlign w:val="center"/>
          </w:tcPr>
          <w:p>
            <w:pPr>
              <w:adjustRightInd w:val="0"/>
              <w:spacing w:line="240" w:lineRule="auto"/>
              <w:ind w:left="420"/>
              <w:jc w:val="center"/>
              <w:textAlignment w:val="center"/>
              <w:rPr>
                <w:kern w:val="0"/>
                <w:sz w:val="21"/>
                <w:szCs w:val="20"/>
              </w:rPr>
            </w:pPr>
            <w:r>
              <w:rPr>
                <w:rFonts w:hint="eastAsia"/>
                <w:kern w:val="0"/>
                <w:sz w:val="21"/>
                <w:szCs w:val="20"/>
              </w:rPr>
              <w:t>1%≤</w:t>
            </w:r>
            <w:r>
              <w:rPr>
                <w:kern w:val="0"/>
                <w:sz w:val="21"/>
                <w:szCs w:val="20"/>
              </w:rPr>
              <w:t>Pmax&lt;10%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adjustRightInd w:val="0"/>
              <w:spacing w:line="240" w:lineRule="auto"/>
              <w:ind w:left="420"/>
              <w:jc w:val="center"/>
              <w:textAlignment w:val="center"/>
              <w:rPr>
                <w:kern w:val="0"/>
                <w:sz w:val="21"/>
                <w:szCs w:val="20"/>
              </w:rPr>
            </w:pPr>
            <w:r>
              <w:rPr>
                <w:kern w:val="0"/>
                <w:sz w:val="21"/>
                <w:szCs w:val="20"/>
              </w:rPr>
              <w:t>三级</w:t>
            </w:r>
          </w:p>
        </w:tc>
        <w:tc>
          <w:tcPr>
            <w:tcW w:w="6108" w:type="dxa"/>
            <w:tcBorders>
              <w:right w:val="nil"/>
            </w:tcBorders>
            <w:vAlign w:val="center"/>
          </w:tcPr>
          <w:p>
            <w:pPr>
              <w:adjustRightInd w:val="0"/>
              <w:spacing w:line="240" w:lineRule="auto"/>
              <w:ind w:left="420"/>
              <w:jc w:val="center"/>
              <w:textAlignment w:val="center"/>
              <w:rPr>
                <w:kern w:val="0"/>
                <w:sz w:val="21"/>
                <w:szCs w:val="20"/>
              </w:rPr>
            </w:pPr>
            <w:r>
              <w:rPr>
                <w:kern w:val="0"/>
                <w:sz w:val="21"/>
                <w:szCs w:val="20"/>
              </w:rPr>
              <w:t>Pmax&lt;1%</w:t>
            </w:r>
          </w:p>
        </w:tc>
      </w:tr>
    </w:tbl>
    <w:p>
      <w:pPr>
        <w:spacing w:line="240" w:lineRule="auto"/>
        <w:ind w:firstLine="480" w:firstLineChars="200"/>
      </w:pPr>
      <w:bookmarkStart w:id="295" w:name="_Toc84179619"/>
      <w:bookmarkEnd w:id="295"/>
      <w:bookmarkStart w:id="296" w:name="_Toc84217974"/>
      <w:bookmarkEnd w:id="296"/>
    </w:p>
    <w:p>
      <w:pPr>
        <w:ind w:firstLine="480" w:firstLineChars="200"/>
        <w:rPr>
          <w:szCs w:val="28"/>
        </w:rPr>
      </w:pPr>
      <w:r>
        <w:t>根据</w:t>
      </w:r>
      <w:r>
        <w:rPr>
          <w:rFonts w:hint="eastAsia"/>
        </w:rPr>
        <w:t>章节</w:t>
      </w:r>
      <w:r>
        <w:t>7.2分析，本项目主要废气污染源为恶臭气体，根据估算模式（</w:t>
      </w:r>
      <w:r>
        <w:rPr>
          <w:rFonts w:hint="eastAsia"/>
        </w:rPr>
        <w:t>a</w:t>
      </w:r>
      <w:r>
        <w:t>erScreen）计算结果</w:t>
      </w:r>
      <w:r>
        <w:rPr>
          <w:rFonts w:hint="eastAsia"/>
        </w:rPr>
        <w:t>见表</w:t>
      </w:r>
      <w:r>
        <w:rPr>
          <w:rFonts w:hint="eastAsia"/>
          <w:szCs w:val="28"/>
        </w:rPr>
        <w:t>2</w:t>
      </w:r>
      <w:r>
        <w:rPr>
          <w:szCs w:val="28"/>
        </w:rPr>
        <w:t>.11-2</w:t>
      </w:r>
      <w:r>
        <w:rPr>
          <w:rFonts w:hint="eastAsia"/>
          <w:szCs w:val="28"/>
        </w:rPr>
        <w:t>。</w:t>
      </w:r>
    </w:p>
    <w:p>
      <w:pPr>
        <w:snapToGrid w:val="0"/>
        <w:spacing w:line="240" w:lineRule="auto"/>
        <w:jc w:val="center"/>
        <w:rPr>
          <w:rFonts w:eastAsia="黑体"/>
        </w:rPr>
      </w:pPr>
      <w:r>
        <w:rPr>
          <w:rFonts w:eastAsia="黑体"/>
        </w:rPr>
        <w:t>表2.11-2  项目主废气污染物估算模型计算结果表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50"/>
        <w:gridCol w:w="793"/>
        <w:gridCol w:w="951"/>
        <w:gridCol w:w="951"/>
        <w:gridCol w:w="1109"/>
        <w:gridCol w:w="1264"/>
        <w:gridCol w:w="918"/>
        <w:gridCol w:w="1206"/>
        <w:gridCol w:w="114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927"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无组织源</w:t>
            </w:r>
          </w:p>
        </w:tc>
        <w:tc>
          <w:tcPr>
            <w:tcW w:w="775"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污染物</w:t>
            </w:r>
          </w:p>
        </w:tc>
        <w:tc>
          <w:tcPr>
            <w:tcW w:w="2941" w:type="dxa"/>
            <w:gridSpan w:val="3"/>
            <w:vAlign w:val="center"/>
          </w:tcPr>
          <w:p>
            <w:pPr>
              <w:snapToGrid w:val="0"/>
              <w:spacing w:line="240" w:lineRule="auto"/>
              <w:jc w:val="center"/>
              <w:rPr>
                <w:rFonts w:hAnsi="宋体"/>
                <w:kern w:val="0"/>
                <w:sz w:val="21"/>
                <w:szCs w:val="21"/>
              </w:rPr>
            </w:pPr>
            <w:r>
              <w:rPr>
                <w:rFonts w:hint="eastAsia" w:hAnsi="宋体"/>
                <w:kern w:val="0"/>
                <w:sz w:val="21"/>
                <w:szCs w:val="21"/>
              </w:rPr>
              <w:t>无组织排放面积（m</w:t>
            </w:r>
            <w:r>
              <w:rPr>
                <w:rFonts w:hAnsi="宋体"/>
                <w:kern w:val="0"/>
                <w:sz w:val="21"/>
                <w:szCs w:val="21"/>
                <w:vertAlign w:val="superscript"/>
              </w:rPr>
              <w:t>2</w:t>
            </w:r>
            <w:r>
              <w:rPr>
                <w:rFonts w:hint="eastAsia" w:hAnsi="宋体"/>
                <w:kern w:val="0"/>
                <w:sz w:val="21"/>
                <w:szCs w:val="21"/>
              </w:rPr>
              <w:t>）</w:t>
            </w:r>
          </w:p>
        </w:tc>
        <w:tc>
          <w:tcPr>
            <w:tcW w:w="1235"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无组织排放量（</w:t>
            </w:r>
            <w:r>
              <w:rPr>
                <w:rFonts w:hAnsi="宋体"/>
                <w:kern w:val="0"/>
                <w:sz w:val="21"/>
                <w:szCs w:val="21"/>
              </w:rPr>
              <w:t>g</w:t>
            </w:r>
            <w:r>
              <w:rPr>
                <w:rFonts w:hint="eastAsia" w:hAnsi="宋体"/>
                <w:kern w:val="0"/>
                <w:sz w:val="21"/>
                <w:szCs w:val="21"/>
              </w:rPr>
              <w:t>/</w:t>
            </w:r>
            <w:r>
              <w:rPr>
                <w:rFonts w:hAnsi="宋体"/>
                <w:kern w:val="0"/>
                <w:sz w:val="21"/>
                <w:szCs w:val="21"/>
              </w:rPr>
              <w:t>h</w:t>
            </w:r>
            <w:r>
              <w:rPr>
                <w:rFonts w:hint="eastAsia" w:hAnsi="宋体"/>
                <w:kern w:val="0"/>
                <w:sz w:val="21"/>
                <w:szCs w:val="21"/>
              </w:rPr>
              <w:t>）</w:t>
            </w:r>
          </w:p>
        </w:tc>
        <w:tc>
          <w:tcPr>
            <w:tcW w:w="897"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评价标准m</w:t>
            </w:r>
            <w:r>
              <w:rPr>
                <w:rFonts w:hAnsi="宋体"/>
                <w:kern w:val="0"/>
                <w:sz w:val="21"/>
                <w:szCs w:val="21"/>
              </w:rPr>
              <w:t>g/m</w:t>
            </w:r>
            <w:r>
              <w:rPr>
                <w:rFonts w:hAnsi="宋体"/>
                <w:kern w:val="0"/>
                <w:sz w:val="21"/>
                <w:szCs w:val="21"/>
                <w:vertAlign w:val="superscript"/>
              </w:rPr>
              <w:t>3</w:t>
            </w:r>
          </w:p>
        </w:tc>
        <w:tc>
          <w:tcPr>
            <w:tcW w:w="1178"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最大地面浓度占标率P</w:t>
            </w:r>
            <w:r>
              <w:rPr>
                <w:rFonts w:hAnsi="宋体"/>
                <w:kern w:val="0"/>
                <w:sz w:val="21"/>
                <w:szCs w:val="21"/>
              </w:rPr>
              <w:t>i</w:t>
            </w:r>
            <w:r>
              <w:rPr>
                <w:rFonts w:hint="eastAsia" w:hAnsi="宋体"/>
                <w:kern w:val="0"/>
                <w:sz w:val="21"/>
                <w:szCs w:val="21"/>
              </w:rPr>
              <w:t>（%）</w:t>
            </w:r>
          </w:p>
        </w:tc>
        <w:tc>
          <w:tcPr>
            <w:tcW w:w="1118"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最大落地浓度mg</w:t>
            </w:r>
            <w:r>
              <w:rPr>
                <w:rFonts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927" w:type="dxa"/>
            <w:vMerge w:val="continue"/>
            <w:vAlign w:val="center"/>
          </w:tcPr>
          <w:p>
            <w:pPr>
              <w:snapToGrid w:val="0"/>
              <w:spacing w:line="240" w:lineRule="auto"/>
              <w:jc w:val="center"/>
              <w:rPr>
                <w:rFonts w:hAnsi="宋体"/>
                <w:kern w:val="0"/>
                <w:sz w:val="21"/>
                <w:szCs w:val="21"/>
              </w:rPr>
            </w:pPr>
          </w:p>
        </w:tc>
        <w:tc>
          <w:tcPr>
            <w:tcW w:w="775" w:type="dxa"/>
            <w:vMerge w:val="continue"/>
            <w:vAlign w:val="center"/>
          </w:tcPr>
          <w:p>
            <w:pPr>
              <w:snapToGrid w:val="0"/>
              <w:spacing w:line="240" w:lineRule="auto"/>
              <w:jc w:val="center"/>
              <w:rPr>
                <w:rFonts w:hAnsi="宋体"/>
                <w:kern w:val="0"/>
                <w:sz w:val="21"/>
                <w:szCs w:val="21"/>
              </w:rPr>
            </w:pPr>
          </w:p>
        </w:tc>
        <w:tc>
          <w:tcPr>
            <w:tcW w:w="929" w:type="dxa"/>
            <w:vAlign w:val="center"/>
          </w:tcPr>
          <w:p>
            <w:pPr>
              <w:snapToGrid w:val="0"/>
              <w:spacing w:line="240" w:lineRule="auto"/>
              <w:jc w:val="center"/>
              <w:rPr>
                <w:rFonts w:hAnsi="宋体"/>
                <w:kern w:val="0"/>
                <w:sz w:val="21"/>
                <w:szCs w:val="21"/>
              </w:rPr>
            </w:pPr>
            <w:r>
              <w:rPr>
                <w:rFonts w:hint="eastAsia" w:hAnsi="宋体"/>
                <w:kern w:val="0"/>
                <w:sz w:val="21"/>
                <w:szCs w:val="21"/>
              </w:rPr>
              <w:t>体源高度（m）</w:t>
            </w:r>
          </w:p>
        </w:tc>
        <w:tc>
          <w:tcPr>
            <w:tcW w:w="929" w:type="dxa"/>
            <w:vAlign w:val="center"/>
          </w:tcPr>
          <w:p>
            <w:pPr>
              <w:snapToGrid w:val="0"/>
              <w:spacing w:line="240" w:lineRule="auto"/>
              <w:jc w:val="center"/>
              <w:rPr>
                <w:rFonts w:hAnsi="宋体"/>
                <w:kern w:val="0"/>
                <w:sz w:val="21"/>
                <w:szCs w:val="21"/>
              </w:rPr>
            </w:pPr>
            <w:r>
              <w:rPr>
                <w:rFonts w:hint="eastAsia" w:hAnsi="宋体"/>
                <w:kern w:val="0"/>
                <w:sz w:val="21"/>
                <w:szCs w:val="21"/>
              </w:rPr>
              <w:t>面源宽度（m）</w:t>
            </w:r>
          </w:p>
        </w:tc>
        <w:tc>
          <w:tcPr>
            <w:tcW w:w="1083" w:type="dxa"/>
            <w:vAlign w:val="center"/>
          </w:tcPr>
          <w:p>
            <w:pPr>
              <w:snapToGrid w:val="0"/>
              <w:spacing w:line="240" w:lineRule="auto"/>
              <w:jc w:val="center"/>
              <w:rPr>
                <w:rFonts w:hAnsi="宋体"/>
                <w:kern w:val="0"/>
                <w:sz w:val="21"/>
                <w:szCs w:val="21"/>
              </w:rPr>
            </w:pPr>
            <w:r>
              <w:rPr>
                <w:rFonts w:hint="eastAsia" w:hAnsi="宋体"/>
                <w:kern w:val="0"/>
                <w:sz w:val="21"/>
                <w:szCs w:val="21"/>
              </w:rPr>
              <w:t>面源长度（m）</w:t>
            </w:r>
          </w:p>
        </w:tc>
        <w:tc>
          <w:tcPr>
            <w:tcW w:w="1235" w:type="dxa"/>
            <w:vMerge w:val="continue"/>
            <w:vAlign w:val="center"/>
          </w:tcPr>
          <w:p>
            <w:pPr>
              <w:snapToGrid w:val="0"/>
              <w:spacing w:line="240" w:lineRule="auto"/>
              <w:jc w:val="center"/>
              <w:rPr>
                <w:rFonts w:hAnsi="宋体"/>
                <w:kern w:val="0"/>
                <w:sz w:val="21"/>
                <w:szCs w:val="21"/>
              </w:rPr>
            </w:pPr>
          </w:p>
        </w:tc>
        <w:tc>
          <w:tcPr>
            <w:tcW w:w="897" w:type="dxa"/>
            <w:vMerge w:val="continue"/>
            <w:vAlign w:val="center"/>
          </w:tcPr>
          <w:p>
            <w:pPr>
              <w:snapToGrid w:val="0"/>
              <w:spacing w:line="240" w:lineRule="auto"/>
              <w:jc w:val="center"/>
              <w:rPr>
                <w:rFonts w:hAnsi="宋体"/>
                <w:kern w:val="0"/>
                <w:sz w:val="21"/>
                <w:szCs w:val="21"/>
              </w:rPr>
            </w:pPr>
          </w:p>
        </w:tc>
        <w:tc>
          <w:tcPr>
            <w:tcW w:w="1178" w:type="dxa"/>
            <w:vMerge w:val="continue"/>
            <w:vAlign w:val="center"/>
          </w:tcPr>
          <w:p>
            <w:pPr>
              <w:snapToGrid w:val="0"/>
              <w:spacing w:line="240" w:lineRule="auto"/>
              <w:jc w:val="center"/>
              <w:rPr>
                <w:rFonts w:hAnsi="宋体"/>
                <w:kern w:val="0"/>
                <w:sz w:val="21"/>
                <w:szCs w:val="21"/>
              </w:rPr>
            </w:pPr>
          </w:p>
        </w:tc>
        <w:tc>
          <w:tcPr>
            <w:tcW w:w="1118" w:type="dxa"/>
            <w:vMerge w:val="continue"/>
            <w:vAlign w:val="center"/>
          </w:tcPr>
          <w:p>
            <w:pPr>
              <w:snapToGrid w:val="0"/>
              <w:spacing w:line="240" w:lineRule="auto"/>
              <w:jc w:val="center"/>
              <w:rPr>
                <w:rFonts w:hAnsi="宋体"/>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927"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车间妊娠舍</w:t>
            </w:r>
          </w:p>
        </w:tc>
        <w:tc>
          <w:tcPr>
            <w:tcW w:w="775"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929" w:type="dxa"/>
            <w:vMerge w:val="restart"/>
            <w:vAlign w:val="center"/>
          </w:tcPr>
          <w:p>
            <w:pPr>
              <w:snapToGrid w:val="0"/>
              <w:spacing w:line="240" w:lineRule="auto"/>
              <w:jc w:val="center"/>
              <w:rPr>
                <w:rFonts w:hAnsi="宋体"/>
                <w:kern w:val="0"/>
                <w:sz w:val="21"/>
                <w:szCs w:val="21"/>
              </w:rPr>
            </w:pPr>
            <w:r>
              <w:rPr>
                <w:rFonts w:hAnsi="宋体"/>
                <w:kern w:val="0"/>
                <w:sz w:val="21"/>
                <w:szCs w:val="21"/>
              </w:rPr>
              <w:t>5</w:t>
            </w:r>
          </w:p>
        </w:tc>
        <w:tc>
          <w:tcPr>
            <w:tcW w:w="929" w:type="dxa"/>
            <w:vMerge w:val="restart"/>
            <w:vAlign w:val="center"/>
          </w:tcPr>
          <w:p>
            <w:pPr>
              <w:snapToGrid w:val="0"/>
              <w:spacing w:line="240" w:lineRule="auto"/>
              <w:jc w:val="center"/>
              <w:rPr>
                <w:rFonts w:hAnsi="宋体"/>
                <w:kern w:val="0"/>
                <w:sz w:val="21"/>
                <w:szCs w:val="21"/>
              </w:rPr>
            </w:pPr>
            <w:r>
              <w:rPr>
                <w:rFonts w:hAnsi="宋体"/>
                <w:kern w:val="0"/>
                <w:sz w:val="21"/>
                <w:szCs w:val="21"/>
              </w:rPr>
              <w:t>42.7</w:t>
            </w:r>
          </w:p>
        </w:tc>
        <w:tc>
          <w:tcPr>
            <w:tcW w:w="108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1</w:t>
            </w:r>
            <w:r>
              <w:rPr>
                <w:rFonts w:hAnsi="宋体"/>
                <w:kern w:val="0"/>
                <w:sz w:val="21"/>
                <w:szCs w:val="21"/>
              </w:rPr>
              <w:t>58.44</w:t>
            </w:r>
          </w:p>
        </w:tc>
        <w:tc>
          <w:tcPr>
            <w:tcW w:w="1235" w:type="dxa"/>
            <w:vAlign w:val="center"/>
          </w:tcPr>
          <w:p>
            <w:pPr>
              <w:snapToGrid w:val="0"/>
              <w:spacing w:line="240" w:lineRule="auto"/>
              <w:jc w:val="center"/>
              <w:rPr>
                <w:rFonts w:hAnsi="宋体"/>
                <w:kern w:val="0"/>
                <w:sz w:val="21"/>
                <w:szCs w:val="21"/>
              </w:rPr>
            </w:pPr>
            <w:r>
              <w:rPr>
                <w:bCs/>
                <w:kern w:val="0"/>
                <w:sz w:val="21"/>
              </w:rPr>
              <w:t>156.86</w:t>
            </w:r>
          </w:p>
        </w:tc>
        <w:tc>
          <w:tcPr>
            <w:tcW w:w="897"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w:t>
            </w:r>
          </w:p>
        </w:tc>
        <w:tc>
          <w:tcPr>
            <w:tcW w:w="1178" w:type="dxa"/>
            <w:vAlign w:val="center"/>
          </w:tcPr>
          <w:p>
            <w:pPr>
              <w:snapToGrid w:val="0"/>
              <w:spacing w:line="240" w:lineRule="auto"/>
              <w:jc w:val="center"/>
              <w:rPr>
                <w:rFonts w:hAnsi="宋体"/>
                <w:kern w:val="0"/>
                <w:sz w:val="21"/>
                <w:szCs w:val="21"/>
              </w:rPr>
            </w:pPr>
            <w:r>
              <w:rPr>
                <w:rFonts w:hAnsi="宋体"/>
                <w:kern w:val="0"/>
                <w:sz w:val="21"/>
                <w:szCs w:val="21"/>
              </w:rPr>
              <w:t>8.98</w:t>
            </w:r>
          </w:p>
        </w:tc>
        <w:tc>
          <w:tcPr>
            <w:tcW w:w="1118" w:type="dxa"/>
            <w:vAlign w:val="center"/>
          </w:tcPr>
          <w:p>
            <w:pPr>
              <w:snapToGrid w:val="0"/>
              <w:spacing w:line="240" w:lineRule="auto"/>
              <w:jc w:val="center"/>
              <w:rPr>
                <w:rFonts w:hAnsi="宋体"/>
                <w:kern w:val="0"/>
                <w:sz w:val="21"/>
                <w:szCs w:val="21"/>
              </w:rPr>
            </w:pPr>
            <w:r>
              <w:rPr>
                <w:rFonts w:hint="eastAsia" w:hAnsi="宋体"/>
                <w:kern w:val="0"/>
                <w:sz w:val="21"/>
                <w:szCs w:val="21"/>
              </w:rPr>
              <w:t>0.0</w:t>
            </w:r>
            <w:r>
              <w:rPr>
                <w:rFonts w:hAnsi="宋体"/>
                <w:kern w:val="0"/>
                <w:sz w:val="21"/>
                <w:szCs w:val="21"/>
              </w:rPr>
              <w:t>17952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927" w:type="dxa"/>
            <w:vMerge w:val="continue"/>
            <w:vAlign w:val="center"/>
          </w:tcPr>
          <w:p>
            <w:pPr>
              <w:snapToGrid w:val="0"/>
              <w:spacing w:line="240" w:lineRule="auto"/>
              <w:jc w:val="center"/>
              <w:rPr>
                <w:rFonts w:hAnsi="宋体"/>
                <w:kern w:val="0"/>
                <w:sz w:val="21"/>
                <w:szCs w:val="21"/>
              </w:rPr>
            </w:pPr>
          </w:p>
        </w:tc>
        <w:tc>
          <w:tcPr>
            <w:tcW w:w="775" w:type="dxa"/>
            <w:vAlign w:val="center"/>
          </w:tcPr>
          <w:p>
            <w:pPr>
              <w:snapToGrid w:val="0"/>
              <w:spacing w:line="240" w:lineRule="auto"/>
              <w:jc w:val="center"/>
              <w:rPr>
                <w:rFonts w:hAnsi="宋体"/>
                <w:kern w:val="0"/>
                <w:sz w:val="21"/>
                <w:szCs w:val="21"/>
              </w:rPr>
            </w:pPr>
            <w:r>
              <w:rPr>
                <w:rFonts w:hAnsi="宋体"/>
                <w:kern w:val="0"/>
                <w:sz w:val="21"/>
                <w:szCs w:val="21"/>
              </w:rPr>
              <w:t>H</w:t>
            </w:r>
            <w:r>
              <w:rPr>
                <w:rFonts w:hAnsi="宋体"/>
                <w:kern w:val="0"/>
                <w:sz w:val="21"/>
                <w:szCs w:val="21"/>
                <w:vertAlign w:val="subscript"/>
              </w:rPr>
              <w:t>2</w:t>
            </w:r>
            <w:r>
              <w:rPr>
                <w:rFonts w:hAnsi="宋体"/>
                <w:kern w:val="0"/>
                <w:sz w:val="21"/>
                <w:szCs w:val="21"/>
              </w:rPr>
              <w:t>S</w:t>
            </w:r>
          </w:p>
        </w:tc>
        <w:tc>
          <w:tcPr>
            <w:tcW w:w="929" w:type="dxa"/>
            <w:vMerge w:val="continue"/>
            <w:vAlign w:val="center"/>
          </w:tcPr>
          <w:p>
            <w:pPr>
              <w:snapToGrid w:val="0"/>
              <w:spacing w:line="240" w:lineRule="auto"/>
              <w:jc w:val="center"/>
              <w:rPr>
                <w:rFonts w:hAnsi="宋体"/>
                <w:kern w:val="0"/>
                <w:sz w:val="21"/>
                <w:szCs w:val="21"/>
              </w:rPr>
            </w:pPr>
          </w:p>
        </w:tc>
        <w:tc>
          <w:tcPr>
            <w:tcW w:w="929" w:type="dxa"/>
            <w:vMerge w:val="continue"/>
            <w:vAlign w:val="center"/>
          </w:tcPr>
          <w:p>
            <w:pPr>
              <w:snapToGrid w:val="0"/>
              <w:spacing w:line="240" w:lineRule="auto"/>
              <w:jc w:val="center"/>
              <w:rPr>
                <w:rFonts w:hAnsi="宋体"/>
                <w:kern w:val="0"/>
                <w:sz w:val="21"/>
                <w:szCs w:val="21"/>
              </w:rPr>
            </w:pPr>
          </w:p>
        </w:tc>
        <w:tc>
          <w:tcPr>
            <w:tcW w:w="1083" w:type="dxa"/>
            <w:vMerge w:val="continue"/>
            <w:vAlign w:val="center"/>
          </w:tcPr>
          <w:p>
            <w:pPr>
              <w:snapToGrid w:val="0"/>
              <w:spacing w:line="240" w:lineRule="auto"/>
              <w:jc w:val="center"/>
              <w:rPr>
                <w:rFonts w:hAnsi="宋体"/>
                <w:kern w:val="0"/>
                <w:sz w:val="21"/>
                <w:szCs w:val="21"/>
              </w:rPr>
            </w:pPr>
          </w:p>
        </w:tc>
        <w:tc>
          <w:tcPr>
            <w:tcW w:w="1235" w:type="dxa"/>
            <w:vAlign w:val="center"/>
          </w:tcPr>
          <w:p>
            <w:pPr>
              <w:snapToGrid w:val="0"/>
              <w:spacing w:line="240" w:lineRule="auto"/>
              <w:jc w:val="center"/>
              <w:rPr>
                <w:rFonts w:hAnsi="宋体"/>
                <w:kern w:val="0"/>
                <w:sz w:val="21"/>
                <w:szCs w:val="21"/>
              </w:rPr>
            </w:pPr>
            <w:r>
              <w:rPr>
                <w:bCs/>
                <w:kern w:val="0"/>
                <w:sz w:val="21"/>
              </w:rPr>
              <w:t>1.14</w:t>
            </w:r>
          </w:p>
        </w:tc>
        <w:tc>
          <w:tcPr>
            <w:tcW w:w="897"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w:t>
            </w:r>
          </w:p>
        </w:tc>
        <w:tc>
          <w:tcPr>
            <w:tcW w:w="1178" w:type="dxa"/>
            <w:vAlign w:val="center"/>
          </w:tcPr>
          <w:p>
            <w:pPr>
              <w:snapToGrid w:val="0"/>
              <w:spacing w:line="240" w:lineRule="auto"/>
              <w:jc w:val="center"/>
              <w:rPr>
                <w:rFonts w:hAnsi="宋体"/>
                <w:kern w:val="0"/>
                <w:sz w:val="21"/>
                <w:szCs w:val="21"/>
              </w:rPr>
            </w:pPr>
            <w:r>
              <w:rPr>
                <w:rFonts w:hAnsi="宋体"/>
                <w:kern w:val="0"/>
                <w:sz w:val="21"/>
                <w:szCs w:val="21"/>
              </w:rPr>
              <w:t>1.29</w:t>
            </w:r>
          </w:p>
        </w:tc>
        <w:tc>
          <w:tcPr>
            <w:tcW w:w="1118" w:type="dxa"/>
            <w:vAlign w:val="center"/>
          </w:tcPr>
          <w:p>
            <w:pPr>
              <w:snapToGrid w:val="0"/>
              <w:spacing w:line="240" w:lineRule="auto"/>
              <w:jc w:val="center"/>
              <w:rPr>
                <w:rFonts w:hAnsi="宋体"/>
                <w:kern w:val="0"/>
                <w:sz w:val="21"/>
                <w:szCs w:val="21"/>
              </w:rPr>
            </w:pPr>
            <w:r>
              <w:rPr>
                <w:rFonts w:hint="eastAsia" w:hAnsi="宋体"/>
                <w:kern w:val="0"/>
                <w:sz w:val="21"/>
                <w:szCs w:val="21"/>
              </w:rPr>
              <w:t>0.000</w:t>
            </w:r>
            <w:r>
              <w:rPr>
                <w:rFonts w:hAnsi="宋体"/>
                <w:kern w:val="0"/>
                <w:sz w:val="21"/>
                <w:szCs w:val="21"/>
              </w:rPr>
              <w:t>129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927"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车间分娩舍</w:t>
            </w:r>
          </w:p>
        </w:tc>
        <w:tc>
          <w:tcPr>
            <w:tcW w:w="775"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929" w:type="dxa"/>
            <w:vMerge w:val="restart"/>
            <w:vAlign w:val="center"/>
          </w:tcPr>
          <w:p>
            <w:pPr>
              <w:snapToGrid w:val="0"/>
              <w:spacing w:line="240" w:lineRule="auto"/>
              <w:jc w:val="center"/>
              <w:rPr>
                <w:rFonts w:hAnsi="宋体"/>
                <w:kern w:val="0"/>
                <w:sz w:val="21"/>
                <w:szCs w:val="21"/>
              </w:rPr>
            </w:pPr>
            <w:r>
              <w:rPr>
                <w:rFonts w:hAnsi="宋体"/>
                <w:kern w:val="0"/>
                <w:sz w:val="21"/>
                <w:szCs w:val="21"/>
              </w:rPr>
              <w:t>5</w:t>
            </w:r>
          </w:p>
        </w:tc>
        <w:tc>
          <w:tcPr>
            <w:tcW w:w="929" w:type="dxa"/>
            <w:vMerge w:val="restart"/>
            <w:vAlign w:val="center"/>
          </w:tcPr>
          <w:p>
            <w:pPr>
              <w:snapToGrid w:val="0"/>
              <w:spacing w:line="240" w:lineRule="auto"/>
              <w:jc w:val="center"/>
              <w:rPr>
                <w:rFonts w:hAnsi="宋体"/>
                <w:kern w:val="0"/>
                <w:sz w:val="21"/>
                <w:szCs w:val="21"/>
              </w:rPr>
            </w:pPr>
            <w:r>
              <w:rPr>
                <w:rFonts w:hAnsi="宋体"/>
                <w:kern w:val="0"/>
                <w:sz w:val="21"/>
                <w:szCs w:val="21"/>
              </w:rPr>
              <w:t>36.59</w:t>
            </w:r>
          </w:p>
        </w:tc>
        <w:tc>
          <w:tcPr>
            <w:tcW w:w="108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1</w:t>
            </w:r>
            <w:r>
              <w:rPr>
                <w:rFonts w:hAnsi="宋体"/>
                <w:kern w:val="0"/>
                <w:sz w:val="21"/>
                <w:szCs w:val="21"/>
              </w:rPr>
              <w:t>24.74</w:t>
            </w:r>
          </w:p>
        </w:tc>
        <w:tc>
          <w:tcPr>
            <w:tcW w:w="1235" w:type="dxa"/>
            <w:vAlign w:val="center"/>
          </w:tcPr>
          <w:p>
            <w:pPr>
              <w:snapToGrid w:val="0"/>
              <w:spacing w:line="240" w:lineRule="auto"/>
              <w:jc w:val="center"/>
              <w:rPr>
                <w:bCs/>
                <w:kern w:val="0"/>
                <w:sz w:val="21"/>
              </w:rPr>
            </w:pPr>
            <w:r>
              <w:rPr>
                <w:bCs/>
                <w:kern w:val="0"/>
                <w:sz w:val="21"/>
              </w:rPr>
              <w:t>41.15</w:t>
            </w:r>
          </w:p>
        </w:tc>
        <w:tc>
          <w:tcPr>
            <w:tcW w:w="897"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w:t>
            </w:r>
          </w:p>
        </w:tc>
        <w:tc>
          <w:tcPr>
            <w:tcW w:w="1178" w:type="dxa"/>
            <w:vAlign w:val="center"/>
          </w:tcPr>
          <w:p>
            <w:pPr>
              <w:snapToGrid w:val="0"/>
              <w:spacing w:line="240" w:lineRule="auto"/>
              <w:jc w:val="center"/>
              <w:rPr>
                <w:rFonts w:hAnsi="宋体"/>
                <w:kern w:val="0"/>
                <w:sz w:val="21"/>
                <w:szCs w:val="21"/>
              </w:rPr>
            </w:pPr>
            <w:r>
              <w:rPr>
                <w:rFonts w:hint="eastAsia" w:hAnsi="宋体"/>
                <w:kern w:val="0"/>
                <w:sz w:val="21"/>
                <w:szCs w:val="21"/>
              </w:rPr>
              <w:t>2</w:t>
            </w:r>
            <w:r>
              <w:rPr>
                <w:rFonts w:hAnsi="宋体"/>
                <w:kern w:val="0"/>
                <w:sz w:val="21"/>
                <w:szCs w:val="21"/>
              </w:rPr>
              <w:t>.93</w:t>
            </w:r>
          </w:p>
        </w:tc>
        <w:tc>
          <w:tcPr>
            <w:tcW w:w="1118"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.00586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927" w:type="dxa"/>
            <w:vMerge w:val="continue"/>
            <w:vAlign w:val="center"/>
          </w:tcPr>
          <w:p>
            <w:pPr>
              <w:snapToGrid w:val="0"/>
              <w:spacing w:line="240" w:lineRule="auto"/>
              <w:jc w:val="center"/>
              <w:rPr>
                <w:rFonts w:hAnsi="宋体"/>
                <w:kern w:val="0"/>
                <w:sz w:val="21"/>
                <w:szCs w:val="21"/>
              </w:rPr>
            </w:pPr>
          </w:p>
        </w:tc>
        <w:tc>
          <w:tcPr>
            <w:tcW w:w="775" w:type="dxa"/>
            <w:vAlign w:val="center"/>
          </w:tcPr>
          <w:p>
            <w:pPr>
              <w:snapToGrid w:val="0"/>
              <w:spacing w:line="240" w:lineRule="auto"/>
              <w:jc w:val="center"/>
              <w:rPr>
                <w:rFonts w:hAnsi="宋体"/>
                <w:kern w:val="0"/>
                <w:sz w:val="21"/>
                <w:szCs w:val="21"/>
              </w:rPr>
            </w:pPr>
            <w:r>
              <w:rPr>
                <w:rFonts w:hAnsi="宋体"/>
                <w:kern w:val="0"/>
                <w:sz w:val="21"/>
                <w:szCs w:val="21"/>
              </w:rPr>
              <w:t>H</w:t>
            </w:r>
            <w:r>
              <w:rPr>
                <w:rFonts w:hAnsi="宋体"/>
                <w:kern w:val="0"/>
                <w:sz w:val="21"/>
                <w:szCs w:val="21"/>
                <w:vertAlign w:val="subscript"/>
              </w:rPr>
              <w:t>2</w:t>
            </w:r>
            <w:r>
              <w:rPr>
                <w:rFonts w:hAnsi="宋体"/>
                <w:kern w:val="0"/>
                <w:sz w:val="21"/>
                <w:szCs w:val="21"/>
              </w:rPr>
              <w:t>S</w:t>
            </w:r>
          </w:p>
        </w:tc>
        <w:tc>
          <w:tcPr>
            <w:tcW w:w="929" w:type="dxa"/>
            <w:vMerge w:val="continue"/>
            <w:vAlign w:val="center"/>
          </w:tcPr>
          <w:p>
            <w:pPr>
              <w:snapToGrid w:val="0"/>
              <w:spacing w:line="240" w:lineRule="auto"/>
              <w:jc w:val="center"/>
              <w:rPr>
                <w:rFonts w:hAnsi="宋体"/>
                <w:kern w:val="0"/>
                <w:sz w:val="21"/>
                <w:szCs w:val="21"/>
              </w:rPr>
            </w:pPr>
          </w:p>
        </w:tc>
        <w:tc>
          <w:tcPr>
            <w:tcW w:w="929" w:type="dxa"/>
            <w:vMerge w:val="continue"/>
            <w:vAlign w:val="center"/>
          </w:tcPr>
          <w:p>
            <w:pPr>
              <w:snapToGrid w:val="0"/>
              <w:spacing w:line="240" w:lineRule="auto"/>
              <w:jc w:val="center"/>
              <w:rPr>
                <w:rFonts w:hAnsi="宋体"/>
                <w:kern w:val="0"/>
                <w:sz w:val="21"/>
                <w:szCs w:val="21"/>
              </w:rPr>
            </w:pPr>
          </w:p>
        </w:tc>
        <w:tc>
          <w:tcPr>
            <w:tcW w:w="1083" w:type="dxa"/>
            <w:vMerge w:val="continue"/>
            <w:vAlign w:val="center"/>
          </w:tcPr>
          <w:p>
            <w:pPr>
              <w:snapToGrid w:val="0"/>
              <w:spacing w:line="240" w:lineRule="auto"/>
              <w:jc w:val="center"/>
              <w:rPr>
                <w:rFonts w:hAnsi="宋体"/>
                <w:kern w:val="0"/>
                <w:sz w:val="21"/>
                <w:szCs w:val="21"/>
              </w:rPr>
            </w:pPr>
          </w:p>
        </w:tc>
        <w:tc>
          <w:tcPr>
            <w:tcW w:w="1235" w:type="dxa"/>
            <w:vAlign w:val="center"/>
          </w:tcPr>
          <w:p>
            <w:pPr>
              <w:snapToGrid w:val="0"/>
              <w:spacing w:line="240" w:lineRule="auto"/>
              <w:jc w:val="center"/>
              <w:rPr>
                <w:bCs/>
                <w:kern w:val="0"/>
                <w:sz w:val="21"/>
              </w:rPr>
            </w:pPr>
            <w:r>
              <w:rPr>
                <w:rFonts w:hint="eastAsia"/>
                <w:bCs/>
                <w:kern w:val="0"/>
                <w:sz w:val="21"/>
              </w:rPr>
              <w:t>0</w:t>
            </w:r>
            <w:r>
              <w:rPr>
                <w:bCs/>
                <w:kern w:val="0"/>
                <w:sz w:val="21"/>
              </w:rPr>
              <w:t>.64</w:t>
            </w:r>
          </w:p>
        </w:tc>
        <w:tc>
          <w:tcPr>
            <w:tcW w:w="897"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w:t>
            </w:r>
          </w:p>
        </w:tc>
        <w:tc>
          <w:tcPr>
            <w:tcW w:w="1178"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.92</w:t>
            </w:r>
          </w:p>
        </w:tc>
        <w:tc>
          <w:tcPr>
            <w:tcW w:w="1118"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.000045</w:t>
            </w:r>
          </w:p>
        </w:tc>
      </w:tr>
    </w:tbl>
    <w:p>
      <w:pPr>
        <w:ind w:firstLine="472" w:firstLineChars="200"/>
        <w:rPr>
          <w:spacing w:val="-2"/>
        </w:rPr>
      </w:pPr>
    </w:p>
    <w:p>
      <w:pPr>
        <w:ind w:firstLine="480" w:firstLineChars="200"/>
      </w:pPr>
      <w:r>
        <w:t>预测可知，污染物最大落地浓度占标率最大为Pmax=8.98%，按照《环境影响评价技术导则—大气环境》（HJ2.2-2018）规定，本项目大气评价等级应为</w:t>
      </w:r>
      <w:r>
        <w:rPr>
          <w:rFonts w:hint="eastAsia"/>
        </w:rPr>
        <w:t>二</w:t>
      </w:r>
      <w:r>
        <w:t>级。</w:t>
      </w:r>
    </w:p>
    <w:p>
      <w:pPr>
        <w:jc w:val="left"/>
        <w:outlineLvl w:val="2"/>
        <w:rPr>
          <w:rFonts w:eastAsia="黑体"/>
          <w:bCs/>
          <w:sz w:val="28"/>
          <w:szCs w:val="28"/>
        </w:rPr>
      </w:pPr>
      <w:r>
        <w:rPr>
          <w:rFonts w:hint="eastAsia" w:eastAsia="黑体"/>
          <w:bCs/>
          <w:sz w:val="28"/>
          <w:szCs w:val="28"/>
        </w:rPr>
        <w:t>2</w:t>
      </w:r>
      <w:r>
        <w:rPr>
          <w:rFonts w:eastAsia="黑体"/>
          <w:bCs/>
          <w:sz w:val="28"/>
          <w:szCs w:val="28"/>
        </w:rPr>
        <w:t>.11.3 地下水评价等级</w:t>
      </w:r>
    </w:p>
    <w:p>
      <w:pPr>
        <w:adjustRightInd w:val="0"/>
        <w:snapToGrid w:val="0"/>
        <w:ind w:firstLine="480" w:firstLineChars="200"/>
      </w:pPr>
      <w:r>
        <w:rPr>
          <w:rFonts w:hint="eastAsia"/>
        </w:rPr>
        <w:t>（1）项目类型识别</w:t>
      </w:r>
    </w:p>
    <w:p>
      <w:pPr>
        <w:adjustRightInd w:val="0"/>
        <w:snapToGrid w:val="0"/>
        <w:ind w:firstLine="480" w:firstLineChars="200"/>
      </w:pPr>
      <w:r>
        <w:rPr>
          <w:rFonts w:hint="eastAsia"/>
        </w:rPr>
        <w:t>根据建设项目对地下水环境影响程度，结合《建设项目环境影响评价分类管理名录》，将建设项目分为四类，其中</w:t>
      </w:r>
      <w:r>
        <w:t xml:space="preserve">I </w:t>
      </w:r>
      <w:r>
        <w:rPr>
          <w:rFonts w:hint="eastAsia"/>
        </w:rPr>
        <w:t>类、</w:t>
      </w:r>
      <w:r>
        <w:t xml:space="preserve">II </w:t>
      </w:r>
      <w:r>
        <w:rPr>
          <w:rFonts w:hint="eastAsia"/>
        </w:rPr>
        <w:t>类及</w:t>
      </w:r>
      <w:r>
        <w:t xml:space="preserve">III </w:t>
      </w:r>
      <w:r>
        <w:rPr>
          <w:rFonts w:hint="eastAsia"/>
        </w:rPr>
        <w:t>类建设项目的地下水环境影响评价应执行本标准，</w:t>
      </w:r>
      <w:r>
        <w:t xml:space="preserve">IV </w:t>
      </w:r>
      <w:r>
        <w:rPr>
          <w:rFonts w:hint="eastAsia"/>
        </w:rPr>
        <w:t>类建设项目不开展地下水环境影响评价，分类详见《环境影响评价技术导则—地下水环境》（</w:t>
      </w:r>
      <w:r>
        <w:t>HJ610-2016</w:t>
      </w:r>
      <w:r>
        <w:rPr>
          <w:rFonts w:hint="eastAsia"/>
        </w:rPr>
        <w:t>）附录</w:t>
      </w:r>
      <w:r>
        <w:t>A</w:t>
      </w:r>
      <w:r>
        <w:rPr>
          <w:rFonts w:hint="eastAsia"/>
        </w:rPr>
        <w:t>（以下简称附录</w:t>
      </w:r>
      <w:r>
        <w:t>A</w:t>
      </w:r>
      <w:r>
        <w:rPr>
          <w:rFonts w:hint="eastAsia"/>
        </w:rPr>
        <w:t>）。</w:t>
      </w:r>
    </w:p>
    <w:p>
      <w:pPr>
        <w:adjustRightInd w:val="0"/>
        <w:snapToGrid w:val="0"/>
        <w:ind w:firstLine="480" w:firstLineChars="200"/>
      </w:pPr>
      <w:r>
        <w:rPr>
          <w:rFonts w:hint="eastAsia"/>
        </w:rPr>
        <w:t>本项目产品为养殖项目中“年出栏生猪5</w:t>
      </w:r>
      <w:r>
        <w:t>000</w:t>
      </w:r>
      <w:r>
        <w:rPr>
          <w:rFonts w:hint="eastAsia"/>
        </w:rPr>
        <w:t>头”，根据附录</w:t>
      </w:r>
      <w:r>
        <w:t>A</w:t>
      </w:r>
      <w:r>
        <w:rPr>
          <w:rFonts w:hint="eastAsia"/>
        </w:rPr>
        <w:t>，项目属于</w:t>
      </w:r>
      <w:r>
        <w:t>B</w:t>
      </w:r>
      <w:r>
        <w:rPr>
          <w:rFonts w:hint="eastAsia"/>
        </w:rPr>
        <w:t>农、林、牧、渔、海洋</w:t>
      </w:r>
      <w:r>
        <w:t xml:space="preserve"> </w:t>
      </w:r>
      <w:r>
        <w:rPr>
          <w:rFonts w:hint="eastAsia"/>
        </w:rPr>
        <w:t>年出栏生猪5</w:t>
      </w:r>
      <w:r>
        <w:t>000</w:t>
      </w:r>
      <w:r>
        <w:rPr>
          <w:rFonts w:hint="eastAsia"/>
        </w:rPr>
        <w:t>头及以上，应编制环境影响报告书，</w:t>
      </w:r>
      <w:r>
        <w:t xml:space="preserve">III </w:t>
      </w:r>
      <w:r>
        <w:rPr>
          <w:rFonts w:hint="eastAsia"/>
        </w:rPr>
        <w:t>类项目（表</w:t>
      </w:r>
      <w:r>
        <w:t>2.11-5</w:t>
      </w:r>
      <w:r>
        <w:rPr>
          <w:rFonts w:hint="eastAsia"/>
        </w:rPr>
        <w:t>）。</w:t>
      </w:r>
    </w:p>
    <w:p>
      <w:pPr>
        <w:snapToGrid w:val="0"/>
        <w:spacing w:line="240" w:lineRule="auto"/>
        <w:jc w:val="center"/>
        <w:rPr>
          <w:rFonts w:eastAsia="黑体"/>
        </w:rPr>
      </w:pPr>
      <w:r>
        <w:rPr>
          <w:rFonts w:hint="eastAsia" w:eastAsia="黑体"/>
        </w:rPr>
        <w:t>表2</w:t>
      </w:r>
      <w:r>
        <w:rPr>
          <w:rFonts w:eastAsia="黑体"/>
        </w:rPr>
        <w:t>.11</w:t>
      </w:r>
      <w:r>
        <w:rPr>
          <w:rFonts w:hint="eastAsia" w:eastAsia="黑体"/>
        </w:rPr>
        <w:t>-</w:t>
      </w:r>
      <w:r>
        <w:rPr>
          <w:rFonts w:eastAsia="黑体"/>
        </w:rPr>
        <w:t>5</w:t>
      </w:r>
      <w:r>
        <w:rPr>
          <w:rFonts w:hint="eastAsia" w:eastAsia="黑体"/>
        </w:rPr>
        <w:t xml:space="preserve"> </w:t>
      </w:r>
      <w:r>
        <w:rPr>
          <w:rFonts w:eastAsia="黑体"/>
        </w:rPr>
        <w:t xml:space="preserve"> </w:t>
      </w:r>
      <w:r>
        <w:rPr>
          <w:rFonts w:hint="eastAsia" w:eastAsia="黑体"/>
        </w:rPr>
        <w:t>建设项目所属地下水环境影响评价项目类别</w:t>
      </w:r>
    </w:p>
    <w:tbl>
      <w:tblPr>
        <w:tblStyle w:val="327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3051"/>
        <w:gridCol w:w="1698"/>
        <w:gridCol w:w="1729"/>
        <w:gridCol w:w="280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4" w:hRule="atLeast"/>
          <w:jc w:val="center"/>
        </w:trPr>
        <w:tc>
          <w:tcPr>
            <w:tcW w:w="2802" w:type="dxa"/>
            <w:vMerge w:val="restart"/>
          </w:tcPr>
          <w:p>
            <w:pPr>
              <w:snapToGrid w:val="0"/>
              <w:spacing w:line="240" w:lineRule="auto"/>
              <w:jc w:val="center"/>
              <w:rPr>
                <w:b/>
                <w:kern w:val="0"/>
                <w:sz w:val="21"/>
                <w:szCs w:val="21"/>
              </w:rPr>
            </w:pPr>
            <w:r>
              <w:rPr>
                <w:rFonts w:hint="eastAsia"/>
                <w:b/>
                <w:kern w:val="0"/>
                <w:sz w:val="21"/>
                <w:szCs w:val="21"/>
              </w:rPr>
              <w:t xml:space="preserve"> </w:t>
            </w:r>
            <w:r>
              <w:rPr>
                <w:b/>
                <w:kern w:val="0"/>
                <w:sz w:val="21"/>
                <w:szCs w:val="21"/>
              </w:rPr>
              <w:t xml:space="preserve">      </w:t>
            </w:r>
            <w:r>
              <w:rPr>
                <w:rFonts w:hint="eastAsia"/>
                <w:b/>
                <w:kern w:val="0"/>
                <w:sz w:val="21"/>
                <w:szCs w:val="21"/>
              </w:rPr>
              <w:t>环评类别</w:t>
            </w:r>
          </w:p>
          <w:p>
            <w:pPr>
              <w:snapToGrid w:val="0"/>
              <w:spacing w:line="240" w:lineRule="auto"/>
              <w:rPr>
                <w:b/>
                <w:kern w:val="0"/>
              </w:rPr>
            </w:pPr>
            <w:r>
              <w:rPr>
                <w:rFonts w:hint="eastAsia"/>
                <w:b/>
                <w:kern w:val="0"/>
                <w:sz w:val="21"/>
                <w:szCs w:val="21"/>
              </w:rPr>
              <w:t>行业类别</w:t>
            </w:r>
          </w:p>
        </w:tc>
        <w:tc>
          <w:tcPr>
            <w:tcW w:w="1559" w:type="dxa"/>
            <w:vMerge w:val="restart"/>
            <w:vAlign w:val="center"/>
          </w:tcPr>
          <w:p>
            <w:pPr>
              <w:spacing w:line="240" w:lineRule="auto"/>
              <w:jc w:val="center"/>
              <w:rPr>
                <w:b/>
                <w:kern w:val="0"/>
                <w:sz w:val="21"/>
                <w:szCs w:val="20"/>
              </w:rPr>
            </w:pPr>
            <w:r>
              <w:rPr>
                <w:rFonts w:hint="eastAsia"/>
                <w:b/>
                <w:kern w:val="0"/>
                <w:sz w:val="21"/>
                <w:szCs w:val="21"/>
              </w:rPr>
              <w:t>环评类别</w:t>
            </w:r>
          </w:p>
        </w:tc>
        <w:tc>
          <w:tcPr>
            <w:tcW w:w="4168" w:type="dxa"/>
            <w:gridSpan w:val="2"/>
            <w:vAlign w:val="center"/>
          </w:tcPr>
          <w:p>
            <w:pPr>
              <w:spacing w:line="240" w:lineRule="auto"/>
              <w:jc w:val="center"/>
              <w:rPr>
                <w:b/>
                <w:kern w:val="0"/>
                <w:sz w:val="21"/>
                <w:szCs w:val="20"/>
              </w:rPr>
            </w:pPr>
            <w:r>
              <w:rPr>
                <w:rFonts w:hint="eastAsia"/>
                <w:b/>
                <w:kern w:val="0"/>
                <w:sz w:val="21"/>
                <w:szCs w:val="21"/>
              </w:rPr>
              <w:t>本项目建设内容及项目类型识别</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4" w:hRule="atLeast"/>
          <w:jc w:val="center"/>
        </w:trPr>
        <w:tc>
          <w:tcPr>
            <w:tcW w:w="2802" w:type="dxa"/>
            <w:vMerge w:val="continue"/>
          </w:tcPr>
          <w:p>
            <w:pPr>
              <w:snapToGrid w:val="0"/>
              <w:spacing w:line="240" w:lineRule="auto"/>
              <w:jc w:val="center"/>
              <w:rPr>
                <w:b/>
                <w:kern w:val="0"/>
                <w:sz w:val="21"/>
                <w:szCs w:val="21"/>
              </w:rPr>
            </w:pPr>
          </w:p>
        </w:tc>
        <w:tc>
          <w:tcPr>
            <w:tcW w:w="1559" w:type="dxa"/>
            <w:vMerge w:val="continue"/>
            <w:vAlign w:val="center"/>
          </w:tcPr>
          <w:p>
            <w:pPr>
              <w:spacing w:line="240" w:lineRule="auto"/>
              <w:jc w:val="center"/>
              <w:rPr>
                <w:b/>
                <w:kern w:val="0"/>
                <w:sz w:val="21"/>
                <w:szCs w:val="21"/>
              </w:rPr>
            </w:pPr>
          </w:p>
        </w:tc>
        <w:tc>
          <w:tcPr>
            <w:tcW w:w="1588" w:type="dxa"/>
            <w:vAlign w:val="center"/>
          </w:tcPr>
          <w:p>
            <w:pPr>
              <w:spacing w:line="240" w:lineRule="auto"/>
              <w:jc w:val="center"/>
              <w:rPr>
                <w:b/>
                <w:kern w:val="0"/>
                <w:sz w:val="21"/>
                <w:szCs w:val="21"/>
              </w:rPr>
            </w:pPr>
            <w:r>
              <w:rPr>
                <w:rFonts w:hint="eastAsia"/>
                <w:b/>
                <w:kern w:val="0"/>
                <w:sz w:val="21"/>
                <w:szCs w:val="21"/>
              </w:rPr>
              <w:t>建设内容</w:t>
            </w:r>
          </w:p>
        </w:tc>
        <w:tc>
          <w:tcPr>
            <w:tcW w:w="2580" w:type="dxa"/>
            <w:vAlign w:val="center"/>
          </w:tcPr>
          <w:p>
            <w:pPr>
              <w:spacing w:line="240" w:lineRule="auto"/>
              <w:jc w:val="center"/>
              <w:rPr>
                <w:b/>
                <w:kern w:val="0"/>
                <w:sz w:val="21"/>
                <w:szCs w:val="21"/>
              </w:rPr>
            </w:pPr>
            <w:r>
              <w:rPr>
                <w:rFonts w:hint="eastAsia"/>
                <w:b/>
                <w:kern w:val="0"/>
                <w:sz w:val="21"/>
                <w:szCs w:val="21"/>
              </w:rPr>
              <w:t>项目类型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02" w:type="dxa"/>
          </w:tcPr>
          <w:p>
            <w:pPr>
              <w:spacing w:line="240" w:lineRule="auto"/>
              <w:jc w:val="center"/>
              <w:rPr>
                <w:kern w:val="0"/>
                <w:sz w:val="21"/>
                <w:szCs w:val="21"/>
              </w:rPr>
            </w:pPr>
            <w:r>
              <w:rPr>
                <w:kern w:val="0"/>
                <w:sz w:val="21"/>
                <w:szCs w:val="21"/>
              </w:rPr>
              <w:t xml:space="preserve">B </w:t>
            </w:r>
            <w:r>
              <w:rPr>
                <w:rFonts w:hint="eastAsia"/>
                <w:kern w:val="0"/>
                <w:sz w:val="21"/>
                <w:szCs w:val="21"/>
              </w:rPr>
              <w:t>农、林、牧、渔、海洋</w:t>
            </w:r>
          </w:p>
          <w:p>
            <w:pPr>
              <w:spacing w:line="240" w:lineRule="auto"/>
              <w:jc w:val="center"/>
              <w:rPr>
                <w:b/>
                <w:kern w:val="0"/>
                <w:sz w:val="21"/>
                <w:szCs w:val="21"/>
              </w:rPr>
            </w:pPr>
            <w:r>
              <w:rPr>
                <w:kern w:val="0"/>
                <w:sz w:val="21"/>
                <w:szCs w:val="21"/>
              </w:rPr>
              <w:t>14</w:t>
            </w:r>
            <w:r>
              <w:rPr>
                <w:rFonts w:hint="eastAsia"/>
                <w:kern w:val="0"/>
                <w:sz w:val="21"/>
                <w:szCs w:val="21"/>
              </w:rPr>
              <w:t xml:space="preserve"> 畜禽养殖场、养殖小区</w:t>
            </w:r>
            <w:r>
              <w:rPr>
                <w:b/>
                <w:kern w:val="0"/>
                <w:sz w:val="21"/>
                <w:szCs w:val="21"/>
              </w:rPr>
              <w:t xml:space="preserve"> </w:t>
            </w:r>
          </w:p>
        </w:tc>
        <w:tc>
          <w:tcPr>
            <w:tcW w:w="1559" w:type="dxa"/>
            <w:vAlign w:val="center"/>
          </w:tcPr>
          <w:p>
            <w:pPr>
              <w:spacing w:line="240" w:lineRule="auto"/>
              <w:jc w:val="center"/>
              <w:rPr>
                <w:kern w:val="0"/>
                <w:sz w:val="21"/>
                <w:szCs w:val="21"/>
              </w:rPr>
            </w:pPr>
            <w:r>
              <w:rPr>
                <w:rFonts w:hint="eastAsia"/>
                <w:kern w:val="0"/>
                <w:sz w:val="21"/>
                <w:szCs w:val="21"/>
              </w:rPr>
              <w:t>报告书</w:t>
            </w:r>
          </w:p>
        </w:tc>
        <w:tc>
          <w:tcPr>
            <w:tcW w:w="1588" w:type="dxa"/>
            <w:vAlign w:val="center"/>
          </w:tcPr>
          <w:p>
            <w:pPr>
              <w:spacing w:line="240" w:lineRule="auto"/>
              <w:jc w:val="center"/>
              <w:rPr>
                <w:kern w:val="0"/>
                <w:sz w:val="21"/>
                <w:szCs w:val="21"/>
              </w:rPr>
            </w:pPr>
            <w:r>
              <w:rPr>
                <w:rFonts w:hint="eastAsia"/>
                <w:kern w:val="0"/>
                <w:sz w:val="21"/>
                <w:szCs w:val="21"/>
              </w:rPr>
              <w:t>年出栏生猪5</w:t>
            </w:r>
            <w:r>
              <w:rPr>
                <w:kern w:val="0"/>
                <w:sz w:val="21"/>
                <w:szCs w:val="21"/>
              </w:rPr>
              <w:t>000</w:t>
            </w:r>
            <w:r>
              <w:rPr>
                <w:rFonts w:hint="eastAsia"/>
                <w:kern w:val="0"/>
                <w:sz w:val="21"/>
                <w:szCs w:val="21"/>
              </w:rPr>
              <w:t>头及以上</w:t>
            </w:r>
          </w:p>
        </w:tc>
        <w:tc>
          <w:tcPr>
            <w:tcW w:w="2580" w:type="dxa"/>
            <w:vAlign w:val="center"/>
          </w:tcPr>
          <w:p>
            <w:pPr>
              <w:snapToGrid w:val="0"/>
              <w:spacing w:line="240" w:lineRule="auto"/>
              <w:jc w:val="center"/>
              <w:rPr>
                <w:kern w:val="0"/>
              </w:rPr>
            </w:pPr>
            <w:r>
              <w:rPr>
                <w:rFonts w:hint="eastAsia"/>
                <w:kern w:val="0"/>
              </w:rPr>
              <w:t>I</w:t>
            </w:r>
            <w:r>
              <w:rPr>
                <w:kern w:val="0"/>
              </w:rPr>
              <w:t>II</w:t>
            </w:r>
            <w:r>
              <w:rPr>
                <w:rFonts w:hint="eastAsia"/>
                <w:kern w:val="0"/>
              </w:rPr>
              <w:t>类</w:t>
            </w:r>
          </w:p>
        </w:tc>
      </w:tr>
    </w:tbl>
    <w:p>
      <w:pPr>
        <w:ind w:firstLine="480" w:firstLineChars="200"/>
      </w:pPr>
      <w:r>
        <w:rPr>
          <w:rFonts w:hint="eastAsia"/>
        </w:rPr>
        <w:t>（</w:t>
      </w:r>
      <w:r>
        <w:t>2</w:t>
      </w:r>
      <w:r>
        <w:rPr>
          <w:rFonts w:hint="eastAsia"/>
        </w:rPr>
        <w:t>）项目类型识别</w:t>
      </w:r>
    </w:p>
    <w:p>
      <w:pPr>
        <w:ind w:firstLine="480" w:firstLineChars="200"/>
      </w:pPr>
      <w:r>
        <w:rPr>
          <w:rFonts w:hint="eastAsia"/>
        </w:rPr>
        <w:t>建设项目地下水环境影响评价等级划分应根据建设项目行业分类和地下水环境敏感程度（表</w:t>
      </w:r>
      <w:r>
        <w:t>2.11-6</w:t>
      </w:r>
      <w:r>
        <w:rPr>
          <w:rFonts w:hint="eastAsia"/>
        </w:rPr>
        <w:t>）进行判定。</w:t>
      </w:r>
    </w:p>
    <w:p>
      <w:pPr>
        <w:snapToGrid w:val="0"/>
        <w:spacing w:line="240" w:lineRule="auto"/>
        <w:jc w:val="center"/>
        <w:rPr>
          <w:rFonts w:eastAsia="黑体"/>
        </w:rPr>
      </w:pPr>
      <w:r>
        <w:rPr>
          <w:rFonts w:hint="eastAsia" w:eastAsia="黑体"/>
        </w:rPr>
        <w:t>表2</w:t>
      </w:r>
      <w:r>
        <w:rPr>
          <w:rFonts w:eastAsia="黑体"/>
        </w:rPr>
        <w:t>.11</w:t>
      </w:r>
      <w:r>
        <w:rPr>
          <w:rFonts w:hint="eastAsia" w:eastAsia="黑体"/>
        </w:rPr>
        <w:t>-</w:t>
      </w:r>
      <w:r>
        <w:rPr>
          <w:rFonts w:eastAsia="黑体"/>
        </w:rPr>
        <w:t>6</w:t>
      </w:r>
      <w:r>
        <w:rPr>
          <w:rFonts w:hint="eastAsia" w:eastAsia="黑体"/>
        </w:rPr>
        <w:t xml:space="preserve"> </w:t>
      </w:r>
      <w:r>
        <w:rPr>
          <w:rFonts w:eastAsia="黑体"/>
        </w:rPr>
        <w:t xml:space="preserve"> </w:t>
      </w:r>
      <w:r>
        <w:rPr>
          <w:rFonts w:hint="eastAsia" w:eastAsia="黑体"/>
        </w:rPr>
        <w:t>建设项目所属地下水环境影响评价项目类别</w:t>
      </w:r>
    </w:p>
    <w:tbl>
      <w:tblPr>
        <w:tblStyle w:val="327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99"/>
        <w:gridCol w:w="4992"/>
        <w:gridCol w:w="309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01" w:type="dxa"/>
            <w:vAlign w:val="center"/>
          </w:tcPr>
          <w:p>
            <w:pPr>
              <w:spacing w:line="240" w:lineRule="auto"/>
              <w:jc w:val="center"/>
              <w:rPr>
                <w:b/>
                <w:kern w:val="0"/>
                <w:sz w:val="21"/>
                <w:szCs w:val="21"/>
              </w:rPr>
            </w:pPr>
            <w:r>
              <w:rPr>
                <w:rFonts w:hint="eastAsia"/>
                <w:b/>
                <w:kern w:val="0"/>
                <w:sz w:val="21"/>
                <w:szCs w:val="21"/>
              </w:rPr>
              <w:t>敏感程度</w:t>
            </w:r>
          </w:p>
        </w:tc>
        <w:tc>
          <w:tcPr>
            <w:tcW w:w="4585" w:type="dxa"/>
            <w:vAlign w:val="center"/>
          </w:tcPr>
          <w:p>
            <w:pPr>
              <w:spacing w:line="240" w:lineRule="auto"/>
              <w:jc w:val="center"/>
              <w:rPr>
                <w:b/>
                <w:kern w:val="0"/>
                <w:sz w:val="21"/>
                <w:szCs w:val="21"/>
              </w:rPr>
            </w:pPr>
            <w:r>
              <w:rPr>
                <w:rFonts w:hint="eastAsia"/>
                <w:b/>
                <w:kern w:val="0"/>
                <w:sz w:val="21"/>
                <w:szCs w:val="21"/>
              </w:rPr>
              <w:t>地下水环境敏感特征</w:t>
            </w:r>
          </w:p>
        </w:tc>
        <w:tc>
          <w:tcPr>
            <w:tcW w:w="2843" w:type="dxa"/>
            <w:vAlign w:val="center"/>
          </w:tcPr>
          <w:p>
            <w:pPr>
              <w:spacing w:line="240" w:lineRule="auto"/>
              <w:jc w:val="center"/>
              <w:rPr>
                <w:b/>
                <w:kern w:val="0"/>
                <w:sz w:val="21"/>
                <w:szCs w:val="21"/>
              </w:rPr>
            </w:pPr>
            <w:r>
              <w:rPr>
                <w:rFonts w:hint="eastAsia"/>
                <w:b/>
                <w:kern w:val="0"/>
                <w:sz w:val="21"/>
                <w:szCs w:val="21"/>
              </w:rPr>
              <w:t>本项目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01" w:type="dxa"/>
            <w:vAlign w:val="center"/>
          </w:tcPr>
          <w:p>
            <w:pPr>
              <w:spacing w:line="240" w:lineRule="auto"/>
              <w:jc w:val="center"/>
              <w:rPr>
                <w:b/>
                <w:kern w:val="0"/>
                <w:sz w:val="21"/>
                <w:szCs w:val="21"/>
              </w:rPr>
            </w:pPr>
            <w:r>
              <w:rPr>
                <w:rFonts w:hint="eastAsia"/>
                <w:b/>
                <w:kern w:val="0"/>
                <w:sz w:val="21"/>
                <w:szCs w:val="21"/>
              </w:rPr>
              <w:t>敏感</w:t>
            </w:r>
          </w:p>
        </w:tc>
        <w:tc>
          <w:tcPr>
            <w:tcW w:w="4585" w:type="dxa"/>
            <w:vAlign w:val="center"/>
          </w:tcPr>
          <w:p>
            <w:pPr>
              <w:autoSpaceDE w:val="0"/>
              <w:autoSpaceDN w:val="0"/>
              <w:adjustRightInd w:val="0"/>
              <w:spacing w:line="240" w:lineRule="auto"/>
              <w:jc w:val="left"/>
              <w:rPr>
                <w:b/>
                <w:kern w:val="0"/>
                <w:szCs w:val="21"/>
              </w:rPr>
            </w:pPr>
            <w:r>
              <w:rPr>
                <w:rFonts w:hint="eastAsia" w:ascii="宋体" w:cs="宋体"/>
                <w:kern w:val="0"/>
                <w:sz w:val="21"/>
                <w:szCs w:val="21"/>
              </w:rPr>
              <w:t>集中式饮用水源地（包括已建成的在用、备用、应急水源地，在建和规划的水源地）准保护区；除集中式饮用水源地以外的国家或地方政府设定的与地下水环境相关的其它保护区，如热水、矿泉水、温泉等特殊地下水资源保护区</w:t>
            </w:r>
          </w:p>
        </w:tc>
        <w:tc>
          <w:tcPr>
            <w:tcW w:w="2843" w:type="dxa"/>
            <w:vMerge w:val="restart"/>
            <w:vAlign w:val="center"/>
          </w:tcPr>
          <w:p>
            <w:pPr>
              <w:autoSpaceDE w:val="0"/>
              <w:autoSpaceDN w:val="0"/>
              <w:adjustRightInd w:val="0"/>
              <w:spacing w:line="240" w:lineRule="auto"/>
              <w:jc w:val="left"/>
              <w:rPr>
                <w:b/>
                <w:kern w:val="0"/>
                <w:sz w:val="21"/>
                <w:szCs w:val="21"/>
              </w:rPr>
            </w:pPr>
            <w:r>
              <w:rPr>
                <w:kern w:val="0"/>
                <w:sz w:val="21"/>
                <w:szCs w:val="21"/>
              </w:rPr>
              <w:t>根据现场调查，本项目不涉及集中式饮用水源地及其它与地下水环境相关的保护区。本项目评价范围内</w:t>
            </w:r>
            <w:r>
              <w:rPr>
                <w:rFonts w:hint="eastAsia"/>
                <w:kern w:val="0"/>
                <w:sz w:val="21"/>
                <w:szCs w:val="21"/>
              </w:rPr>
              <w:t>分布有分散农户饮用水源（水井），为较敏感。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01" w:type="dxa"/>
            <w:vAlign w:val="center"/>
          </w:tcPr>
          <w:p>
            <w:pPr>
              <w:spacing w:line="240" w:lineRule="auto"/>
              <w:jc w:val="center"/>
              <w:rPr>
                <w:b/>
                <w:kern w:val="0"/>
                <w:sz w:val="21"/>
                <w:szCs w:val="21"/>
              </w:rPr>
            </w:pPr>
            <w:r>
              <w:rPr>
                <w:rFonts w:hint="eastAsia"/>
                <w:b/>
                <w:kern w:val="0"/>
                <w:sz w:val="21"/>
                <w:szCs w:val="21"/>
              </w:rPr>
              <w:t>较敏感</w:t>
            </w:r>
          </w:p>
        </w:tc>
        <w:tc>
          <w:tcPr>
            <w:tcW w:w="4585" w:type="dxa"/>
            <w:vAlign w:val="center"/>
          </w:tcPr>
          <w:p>
            <w:pPr>
              <w:autoSpaceDE w:val="0"/>
              <w:autoSpaceDN w:val="0"/>
              <w:adjustRightInd w:val="0"/>
              <w:spacing w:line="240" w:lineRule="auto"/>
              <w:jc w:val="left"/>
              <w:rPr>
                <w:rFonts w:ascii="宋体" w:cs="宋体"/>
                <w:kern w:val="0"/>
                <w:sz w:val="21"/>
                <w:szCs w:val="21"/>
              </w:rPr>
            </w:pPr>
            <w:r>
              <w:rPr>
                <w:rFonts w:hint="eastAsia" w:ascii="宋体" w:cs="宋体"/>
                <w:kern w:val="0"/>
                <w:sz w:val="21"/>
                <w:szCs w:val="21"/>
              </w:rPr>
              <w:t>集中式饮用水源地（包括已建成的在用、备用、应急水源地，在建和规划的水源地）准保护区</w:t>
            </w:r>
          </w:p>
          <w:p>
            <w:pPr>
              <w:autoSpaceDE w:val="0"/>
              <w:autoSpaceDN w:val="0"/>
              <w:adjustRightInd w:val="0"/>
              <w:spacing w:line="240" w:lineRule="auto"/>
              <w:jc w:val="left"/>
              <w:rPr>
                <w:rFonts w:ascii="宋体" w:cs="宋体"/>
                <w:kern w:val="0"/>
                <w:sz w:val="21"/>
                <w:szCs w:val="21"/>
              </w:rPr>
            </w:pPr>
            <w:r>
              <w:rPr>
                <w:rFonts w:hint="eastAsia" w:ascii="宋体" w:cs="宋体"/>
                <w:kern w:val="0"/>
                <w:sz w:val="21"/>
                <w:szCs w:val="21"/>
              </w:rPr>
              <w:t>以外的补给径流区；特殊地下水资源（如矿泉</w:t>
            </w:r>
          </w:p>
          <w:p>
            <w:pPr>
              <w:autoSpaceDE w:val="0"/>
              <w:autoSpaceDN w:val="0"/>
              <w:adjustRightInd w:val="0"/>
              <w:spacing w:line="240" w:lineRule="auto"/>
              <w:jc w:val="left"/>
              <w:rPr>
                <w:b/>
                <w:kern w:val="0"/>
                <w:szCs w:val="21"/>
              </w:rPr>
            </w:pPr>
            <w:r>
              <w:rPr>
                <w:rFonts w:hint="eastAsia" w:ascii="宋体" w:cs="宋体"/>
                <w:kern w:val="0"/>
                <w:sz w:val="21"/>
                <w:szCs w:val="21"/>
              </w:rPr>
              <w:t>水、温泉等）保护区以外的分布区以及分散居民饮用水源等其它未列入上述敏感分级的环境敏感区</w:t>
            </w:r>
          </w:p>
        </w:tc>
        <w:tc>
          <w:tcPr>
            <w:tcW w:w="2843" w:type="dxa"/>
            <w:vMerge w:val="continue"/>
            <w:vAlign w:val="center"/>
          </w:tcPr>
          <w:p>
            <w:pPr>
              <w:spacing w:line="240" w:lineRule="auto"/>
              <w:jc w:val="center"/>
              <w:rPr>
                <w:b/>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01" w:type="dxa"/>
            <w:vAlign w:val="center"/>
          </w:tcPr>
          <w:p>
            <w:pPr>
              <w:spacing w:line="240" w:lineRule="auto"/>
              <w:jc w:val="center"/>
              <w:rPr>
                <w:b/>
                <w:kern w:val="0"/>
                <w:sz w:val="21"/>
                <w:szCs w:val="21"/>
              </w:rPr>
            </w:pPr>
            <w:r>
              <w:rPr>
                <w:rFonts w:hint="eastAsia"/>
                <w:b/>
                <w:kern w:val="0"/>
                <w:sz w:val="21"/>
                <w:szCs w:val="21"/>
              </w:rPr>
              <w:t>不敏感</w:t>
            </w:r>
          </w:p>
        </w:tc>
        <w:tc>
          <w:tcPr>
            <w:tcW w:w="4585" w:type="dxa"/>
            <w:vAlign w:val="center"/>
          </w:tcPr>
          <w:p>
            <w:pPr>
              <w:spacing w:line="240" w:lineRule="auto"/>
              <w:jc w:val="left"/>
              <w:rPr>
                <w:b/>
                <w:kern w:val="0"/>
                <w:sz w:val="21"/>
                <w:szCs w:val="21"/>
              </w:rPr>
            </w:pPr>
            <w:r>
              <w:rPr>
                <w:rFonts w:hint="eastAsia" w:ascii="宋体" w:cs="宋体"/>
                <w:kern w:val="0"/>
                <w:sz w:val="21"/>
                <w:szCs w:val="21"/>
              </w:rPr>
              <w:t>上述地区之外的其它地区</w:t>
            </w:r>
          </w:p>
        </w:tc>
        <w:tc>
          <w:tcPr>
            <w:tcW w:w="2843" w:type="dxa"/>
            <w:vMerge w:val="continue"/>
            <w:vAlign w:val="center"/>
          </w:tcPr>
          <w:p>
            <w:pPr>
              <w:spacing w:line="240" w:lineRule="auto"/>
              <w:jc w:val="center"/>
              <w:rPr>
                <w:b/>
                <w:kern w:val="0"/>
                <w:sz w:val="21"/>
                <w:szCs w:val="21"/>
              </w:rPr>
            </w:pPr>
          </w:p>
        </w:tc>
      </w:tr>
    </w:tbl>
    <w:p>
      <w:pPr>
        <w:autoSpaceDE w:val="0"/>
        <w:autoSpaceDN w:val="0"/>
        <w:adjustRightInd w:val="0"/>
        <w:spacing w:line="240" w:lineRule="auto"/>
        <w:jc w:val="left"/>
        <w:rPr>
          <w:rFonts w:ascii="宋体" w:cs="宋体"/>
          <w:kern w:val="0"/>
          <w:sz w:val="21"/>
          <w:szCs w:val="21"/>
        </w:rPr>
      </w:pPr>
      <w:r>
        <w:rPr>
          <w:rFonts w:hint="eastAsia" w:ascii="宋体" w:cs="宋体"/>
          <w:kern w:val="0"/>
          <w:sz w:val="21"/>
          <w:szCs w:val="21"/>
        </w:rPr>
        <w:t>注：</w:t>
      </w:r>
      <w:r>
        <w:rPr>
          <w:rFonts w:hint="eastAsia" w:ascii="TimesNewRomanPSMT" w:eastAsia="TimesNewRomanPSMT" w:cs="TimesNewRomanPSMT"/>
          <w:kern w:val="0"/>
          <w:sz w:val="21"/>
          <w:szCs w:val="21"/>
        </w:rPr>
        <w:t>“</w:t>
      </w:r>
      <w:r>
        <w:rPr>
          <w:rFonts w:hint="eastAsia" w:ascii="宋体" w:cs="宋体"/>
          <w:kern w:val="0"/>
          <w:sz w:val="21"/>
          <w:szCs w:val="21"/>
        </w:rPr>
        <w:t>环境敏感区</w:t>
      </w:r>
      <w:r>
        <w:rPr>
          <w:rFonts w:hint="eastAsia" w:ascii="TimesNewRomanPSMT" w:eastAsia="TimesNewRomanPSMT" w:cs="TimesNewRomanPSMT"/>
          <w:kern w:val="0"/>
          <w:sz w:val="21"/>
          <w:szCs w:val="21"/>
        </w:rPr>
        <w:t>”</w:t>
      </w:r>
      <w:r>
        <w:rPr>
          <w:rFonts w:hint="eastAsia" w:ascii="宋体" w:cs="宋体"/>
          <w:kern w:val="0"/>
          <w:sz w:val="21"/>
          <w:szCs w:val="21"/>
        </w:rPr>
        <w:t>是指《建设项目环境影响评价分类管理名录》中所界定的涉及地下水的</w:t>
      </w:r>
    </w:p>
    <w:p>
      <w:r>
        <w:rPr>
          <w:rFonts w:hint="eastAsia" w:ascii="宋体" w:cs="宋体"/>
          <w:kern w:val="0"/>
          <w:sz w:val="21"/>
          <w:szCs w:val="21"/>
        </w:rPr>
        <w:t>环境敏感区</w:t>
      </w:r>
    </w:p>
    <w:p>
      <w:pPr>
        <w:autoSpaceDE w:val="0"/>
        <w:autoSpaceDN w:val="0"/>
        <w:adjustRightInd w:val="0"/>
        <w:snapToGrid w:val="0"/>
        <w:ind w:firstLine="480" w:firstLineChars="200"/>
        <w:jc w:val="left"/>
        <w:rPr>
          <w:kern w:val="0"/>
        </w:rPr>
      </w:pPr>
      <w:r>
        <w:rPr>
          <w:kern w:val="0"/>
        </w:rPr>
        <w:t>根据《环境影响评价技术导则—地下水环境》（HJ610-2016），本项目属III类项目，其地下水环境敏感程度为“</w:t>
      </w:r>
      <w:r>
        <w:rPr>
          <w:rFonts w:hint="eastAsia"/>
          <w:kern w:val="0"/>
        </w:rPr>
        <w:t>较</w:t>
      </w:r>
      <w:r>
        <w:rPr>
          <w:kern w:val="0"/>
        </w:rPr>
        <w:t>敏感”，根据（HJ610-2016）判定依据，</w:t>
      </w:r>
    </w:p>
    <w:p>
      <w:pPr>
        <w:snapToGrid w:val="0"/>
      </w:pPr>
      <w:r>
        <w:rPr>
          <w:kern w:val="0"/>
        </w:rPr>
        <w:t>本项目地下水环境评价工作等级判定为三级（表2.11-7）。</w:t>
      </w:r>
    </w:p>
    <w:p>
      <w:pPr>
        <w:snapToGrid w:val="0"/>
        <w:spacing w:line="240" w:lineRule="auto"/>
        <w:jc w:val="center"/>
        <w:rPr>
          <w:rFonts w:eastAsia="黑体"/>
        </w:rPr>
      </w:pPr>
      <w:r>
        <w:rPr>
          <w:rFonts w:eastAsia="黑体"/>
        </w:rPr>
        <w:t>表</w:t>
      </w:r>
      <w:r>
        <w:rPr>
          <w:rFonts w:hint="eastAsia" w:eastAsia="黑体"/>
        </w:rPr>
        <w:t>2</w:t>
      </w:r>
      <w:r>
        <w:rPr>
          <w:rFonts w:eastAsia="黑体"/>
        </w:rPr>
        <w:t>.1</w:t>
      </w:r>
      <w:r>
        <w:rPr>
          <w:rFonts w:hint="eastAsia" w:eastAsia="黑体"/>
        </w:rPr>
        <w:t>1</w:t>
      </w:r>
      <w:r>
        <w:rPr>
          <w:rFonts w:eastAsia="黑体"/>
        </w:rPr>
        <w:t>-7    地下水环境影响评价等级划分一览表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98"/>
        <w:gridCol w:w="2278"/>
        <w:gridCol w:w="2445"/>
        <w:gridCol w:w="216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2200" w:type="dxa"/>
            <w:vAlign w:val="center"/>
          </w:tcPr>
          <w:p>
            <w:pPr>
              <w:spacing w:line="240" w:lineRule="auto"/>
              <w:jc w:val="center"/>
              <w:rPr>
                <w:sz w:val="21"/>
                <w:szCs w:val="21"/>
              </w:rPr>
            </w:pPr>
            <w:r>
              <w:rPr>
                <w:sz w:val="21"/>
                <w:szCs w:val="21"/>
              </w:rPr>
              <w:t>环境敏感程度</w:t>
            </w:r>
          </w:p>
        </w:tc>
        <w:tc>
          <w:tcPr>
            <w:tcW w:w="2091" w:type="dxa"/>
            <w:vAlign w:val="center"/>
          </w:tcPr>
          <w:p>
            <w:pPr>
              <w:spacing w:line="240" w:lineRule="auto"/>
              <w:jc w:val="center"/>
              <w:rPr>
                <w:sz w:val="21"/>
                <w:szCs w:val="21"/>
              </w:rPr>
            </w:pPr>
            <w:r>
              <w:rPr>
                <w:sz w:val="21"/>
                <w:szCs w:val="21"/>
              </w:rPr>
              <w:t>Ⅰ类项目</w:t>
            </w:r>
          </w:p>
        </w:tc>
        <w:tc>
          <w:tcPr>
            <w:tcW w:w="2244" w:type="dxa"/>
            <w:vAlign w:val="center"/>
          </w:tcPr>
          <w:p>
            <w:pPr>
              <w:spacing w:line="240" w:lineRule="auto"/>
              <w:jc w:val="center"/>
              <w:rPr>
                <w:sz w:val="21"/>
                <w:szCs w:val="21"/>
              </w:rPr>
            </w:pPr>
            <w:r>
              <w:rPr>
                <w:sz w:val="21"/>
                <w:szCs w:val="21"/>
              </w:rPr>
              <w:t>Ⅱ类项目</w:t>
            </w:r>
          </w:p>
        </w:tc>
        <w:tc>
          <w:tcPr>
            <w:tcW w:w="1988" w:type="dxa"/>
            <w:vAlign w:val="center"/>
          </w:tcPr>
          <w:p>
            <w:pPr>
              <w:spacing w:line="240" w:lineRule="auto"/>
              <w:jc w:val="center"/>
              <w:rPr>
                <w:sz w:val="21"/>
                <w:szCs w:val="21"/>
              </w:rPr>
            </w:pPr>
            <w:r>
              <w:rPr>
                <w:sz w:val="21"/>
                <w:szCs w:val="21"/>
              </w:rPr>
              <w:t>Ⅲ类项目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2200" w:type="dxa"/>
            <w:vAlign w:val="center"/>
          </w:tcPr>
          <w:p>
            <w:pPr>
              <w:spacing w:line="240" w:lineRule="auto"/>
              <w:jc w:val="center"/>
              <w:rPr>
                <w:sz w:val="21"/>
                <w:szCs w:val="21"/>
              </w:rPr>
            </w:pPr>
            <w:r>
              <w:rPr>
                <w:sz w:val="21"/>
                <w:szCs w:val="21"/>
              </w:rPr>
              <w:t>敏感</w:t>
            </w:r>
          </w:p>
        </w:tc>
        <w:tc>
          <w:tcPr>
            <w:tcW w:w="2091" w:type="dxa"/>
            <w:vAlign w:val="center"/>
          </w:tcPr>
          <w:p>
            <w:pPr>
              <w:spacing w:line="240" w:lineRule="auto"/>
              <w:jc w:val="center"/>
              <w:rPr>
                <w:sz w:val="21"/>
                <w:szCs w:val="21"/>
              </w:rPr>
            </w:pPr>
            <w:r>
              <w:rPr>
                <w:sz w:val="21"/>
                <w:szCs w:val="21"/>
              </w:rPr>
              <w:t>一</w:t>
            </w:r>
          </w:p>
        </w:tc>
        <w:tc>
          <w:tcPr>
            <w:tcW w:w="2244" w:type="dxa"/>
            <w:vAlign w:val="center"/>
          </w:tcPr>
          <w:p>
            <w:pPr>
              <w:spacing w:line="240" w:lineRule="auto"/>
              <w:jc w:val="center"/>
              <w:rPr>
                <w:sz w:val="21"/>
                <w:szCs w:val="21"/>
              </w:rPr>
            </w:pPr>
            <w:r>
              <w:rPr>
                <w:sz w:val="21"/>
                <w:szCs w:val="21"/>
              </w:rPr>
              <w:t>一</w:t>
            </w:r>
          </w:p>
        </w:tc>
        <w:tc>
          <w:tcPr>
            <w:tcW w:w="1988" w:type="dxa"/>
            <w:vAlign w:val="center"/>
          </w:tcPr>
          <w:p>
            <w:pPr>
              <w:spacing w:line="240" w:lineRule="auto"/>
              <w:jc w:val="center"/>
              <w:rPr>
                <w:sz w:val="21"/>
                <w:szCs w:val="21"/>
              </w:rPr>
            </w:pPr>
            <w:r>
              <w:rPr>
                <w:sz w:val="21"/>
                <w:szCs w:val="21"/>
              </w:rPr>
              <w:t>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2200" w:type="dxa"/>
            <w:vAlign w:val="center"/>
          </w:tcPr>
          <w:p>
            <w:pPr>
              <w:spacing w:line="240" w:lineRule="auto"/>
              <w:jc w:val="center"/>
              <w:rPr>
                <w:sz w:val="21"/>
                <w:szCs w:val="21"/>
              </w:rPr>
            </w:pPr>
            <w:r>
              <w:rPr>
                <w:sz w:val="21"/>
                <w:szCs w:val="21"/>
              </w:rPr>
              <w:t>较敏感</w:t>
            </w:r>
          </w:p>
        </w:tc>
        <w:tc>
          <w:tcPr>
            <w:tcW w:w="2091" w:type="dxa"/>
            <w:vAlign w:val="center"/>
          </w:tcPr>
          <w:p>
            <w:pPr>
              <w:spacing w:line="240" w:lineRule="auto"/>
              <w:jc w:val="center"/>
              <w:rPr>
                <w:sz w:val="21"/>
                <w:szCs w:val="21"/>
              </w:rPr>
            </w:pPr>
            <w:r>
              <w:rPr>
                <w:sz w:val="21"/>
                <w:szCs w:val="21"/>
              </w:rPr>
              <w:t>一</w:t>
            </w:r>
          </w:p>
        </w:tc>
        <w:tc>
          <w:tcPr>
            <w:tcW w:w="2244" w:type="dxa"/>
            <w:vAlign w:val="center"/>
          </w:tcPr>
          <w:p>
            <w:pPr>
              <w:spacing w:line="240" w:lineRule="auto"/>
              <w:jc w:val="center"/>
              <w:rPr>
                <w:sz w:val="21"/>
                <w:szCs w:val="21"/>
              </w:rPr>
            </w:pPr>
            <w:r>
              <w:rPr>
                <w:sz w:val="21"/>
                <w:szCs w:val="21"/>
              </w:rPr>
              <w:t>二</w:t>
            </w:r>
          </w:p>
        </w:tc>
        <w:tc>
          <w:tcPr>
            <w:tcW w:w="1988" w:type="dxa"/>
            <w:vAlign w:val="center"/>
          </w:tcPr>
          <w:p>
            <w:pPr>
              <w:spacing w:line="240" w:lineRule="auto"/>
              <w:jc w:val="center"/>
              <w:rPr>
                <w:sz w:val="21"/>
                <w:szCs w:val="21"/>
              </w:rPr>
            </w:pPr>
            <w:r>
              <w:rPr>
                <w:sz w:val="21"/>
                <w:szCs w:val="21"/>
              </w:rPr>
              <w:t>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2200" w:type="dxa"/>
            <w:vAlign w:val="center"/>
          </w:tcPr>
          <w:p>
            <w:pPr>
              <w:spacing w:line="240" w:lineRule="auto"/>
              <w:jc w:val="center"/>
              <w:rPr>
                <w:sz w:val="21"/>
                <w:szCs w:val="21"/>
              </w:rPr>
            </w:pPr>
            <w:r>
              <w:rPr>
                <w:sz w:val="21"/>
                <w:szCs w:val="21"/>
              </w:rPr>
              <w:t>不敏感</w:t>
            </w:r>
          </w:p>
        </w:tc>
        <w:tc>
          <w:tcPr>
            <w:tcW w:w="2091" w:type="dxa"/>
            <w:vAlign w:val="center"/>
          </w:tcPr>
          <w:p>
            <w:pPr>
              <w:spacing w:line="240" w:lineRule="auto"/>
              <w:jc w:val="center"/>
              <w:rPr>
                <w:sz w:val="21"/>
                <w:szCs w:val="21"/>
              </w:rPr>
            </w:pPr>
            <w:r>
              <w:rPr>
                <w:sz w:val="21"/>
                <w:szCs w:val="21"/>
              </w:rPr>
              <w:t>二</w:t>
            </w:r>
          </w:p>
        </w:tc>
        <w:tc>
          <w:tcPr>
            <w:tcW w:w="2244" w:type="dxa"/>
            <w:vAlign w:val="center"/>
          </w:tcPr>
          <w:p>
            <w:pPr>
              <w:spacing w:line="240" w:lineRule="auto"/>
              <w:jc w:val="center"/>
              <w:rPr>
                <w:sz w:val="21"/>
                <w:szCs w:val="21"/>
              </w:rPr>
            </w:pPr>
            <w:r>
              <w:rPr>
                <w:sz w:val="21"/>
                <w:szCs w:val="21"/>
              </w:rPr>
              <w:t>三</w:t>
            </w:r>
          </w:p>
        </w:tc>
        <w:tc>
          <w:tcPr>
            <w:tcW w:w="1988" w:type="dxa"/>
            <w:vAlign w:val="center"/>
          </w:tcPr>
          <w:p>
            <w:pPr>
              <w:spacing w:line="240" w:lineRule="auto"/>
              <w:jc w:val="center"/>
              <w:rPr>
                <w:sz w:val="21"/>
                <w:szCs w:val="21"/>
              </w:rPr>
            </w:pPr>
            <w:r>
              <w:rPr>
                <w:sz w:val="21"/>
                <w:szCs w:val="21"/>
              </w:rPr>
              <w:t>三</w:t>
            </w:r>
          </w:p>
        </w:tc>
      </w:tr>
    </w:tbl>
    <w:p>
      <w:pPr>
        <w:widowControl/>
        <w:tabs>
          <w:tab w:val="left" w:pos="377"/>
        </w:tabs>
        <w:snapToGrid w:val="0"/>
        <w:spacing w:line="240" w:lineRule="auto"/>
        <w:ind w:firstLine="480" w:firstLineChars="200"/>
        <w:rPr>
          <w:rFonts w:ascii="宋体" w:hAnsi="宋体" w:cs="宋体"/>
          <w:kern w:val="0"/>
          <w:szCs w:val="20"/>
        </w:rPr>
      </w:pPr>
    </w:p>
    <w:p>
      <w:pPr>
        <w:jc w:val="left"/>
        <w:outlineLvl w:val="2"/>
        <w:rPr>
          <w:rFonts w:eastAsia="黑体"/>
          <w:bCs/>
          <w:sz w:val="28"/>
          <w:szCs w:val="28"/>
        </w:rPr>
      </w:pPr>
      <w:r>
        <w:rPr>
          <w:rFonts w:eastAsia="黑体"/>
          <w:bCs/>
          <w:sz w:val="28"/>
          <w:szCs w:val="28"/>
        </w:rPr>
        <w:t>2.11.4  噪声评价等级</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拟建项目位于井研县高凤乡星星亮村，为《声环境质量标准》（GB3096-2008）规定的2类声环境功能区，通过采取科学先进的噪声防治措施，本项目建设前后声级增加小于3dB（A），同时项目建成后，周围</w:t>
      </w:r>
      <w:r>
        <w:rPr>
          <w:rFonts w:hint="eastAsia" w:ascii="Times New Roman" w:hAnsi="Times New Roman" w:eastAsiaTheme="minorEastAsia"/>
        </w:rPr>
        <w:t>1</w:t>
      </w:r>
      <w:r>
        <w:rPr>
          <w:rFonts w:ascii="Times New Roman" w:hAnsi="Times New Roman" w:eastAsiaTheme="minorEastAsia"/>
        </w:rPr>
        <w:t>00m范围内的居民均将搬迁，届时项目所在地附近受噪声影响的居民不会明显增加，依据《环境影响评价技术导则－声环境》（HJ2.4-2009）中评价工作等级划分基本原则的规定，本项目噪声评价工作等级为二级。</w:t>
      </w:r>
    </w:p>
    <w:p>
      <w:pPr>
        <w:jc w:val="left"/>
        <w:outlineLvl w:val="2"/>
        <w:rPr>
          <w:rFonts w:eastAsia="黑体"/>
          <w:bCs/>
          <w:sz w:val="28"/>
          <w:szCs w:val="28"/>
        </w:rPr>
      </w:pPr>
      <w:r>
        <w:rPr>
          <w:rFonts w:hint="eastAsia" w:eastAsia="黑体"/>
          <w:bCs/>
          <w:sz w:val="28"/>
          <w:szCs w:val="28"/>
        </w:rPr>
        <w:t>2</w:t>
      </w:r>
      <w:r>
        <w:rPr>
          <w:rFonts w:eastAsia="黑体"/>
          <w:bCs/>
          <w:sz w:val="28"/>
          <w:szCs w:val="28"/>
        </w:rPr>
        <w:t>.11.2 地表水评价等级</w:t>
      </w:r>
    </w:p>
    <w:p>
      <w:pPr>
        <w:tabs>
          <w:tab w:val="left" w:pos="3360"/>
        </w:tabs>
        <w:adjustRightInd w:val="0"/>
        <w:snapToGrid w:val="0"/>
        <w:ind w:firstLine="480" w:firstLineChars="200"/>
      </w:pPr>
      <w:r>
        <w:rPr>
          <w:rFonts w:hint="eastAsia"/>
        </w:rPr>
        <w:t>根据《环境影响评价技术导则</w:t>
      </w:r>
      <w:r>
        <w:t xml:space="preserve"> </w:t>
      </w:r>
      <w:r>
        <w:rPr>
          <w:rFonts w:hint="eastAsia"/>
        </w:rPr>
        <w:t>地面水环境》（</w:t>
      </w:r>
      <w:r>
        <w:t>HJ/T2.3-</w:t>
      </w:r>
      <w:r>
        <w:rPr>
          <w:rFonts w:hint="eastAsia"/>
        </w:rPr>
        <w:t>2018）的规定，地表水评价工作等级的划分是由建设项目的污水排放量、污水水质的复杂程度、受纳水体的规模及水域功能类别而确定的。</w:t>
      </w:r>
    </w:p>
    <w:p>
      <w:pPr>
        <w:ind w:firstLine="480" w:firstLineChars="200"/>
        <w:rPr>
          <w:kern w:val="0"/>
        </w:rPr>
      </w:pPr>
      <w:r>
        <w:t>根据项目工程分析，</w:t>
      </w:r>
      <w:r>
        <w:rPr>
          <w:rFonts w:hint="eastAsia"/>
        </w:rPr>
        <w:t>本项目</w:t>
      </w:r>
      <w:r>
        <w:t>废水</w:t>
      </w:r>
      <w:r>
        <w:rPr>
          <w:rFonts w:hint="eastAsia"/>
        </w:rPr>
        <w:t>全部外运至</w:t>
      </w:r>
      <w:r>
        <w:rPr>
          <w:bCs/>
          <w:kern w:val="0"/>
        </w:rPr>
        <w:t>乐山乐高勤力生物质能源综合利用有限公司</w:t>
      </w:r>
      <w:r>
        <w:rPr>
          <w:rFonts w:hint="eastAsia"/>
          <w:bCs/>
          <w:kern w:val="0"/>
        </w:rPr>
        <w:t>进行沼气发电，经发电后的沼液全部回用于农田，不外排。</w:t>
      </w:r>
      <w:r>
        <w:rPr>
          <w:kern w:val="0"/>
        </w:rPr>
        <w:t>根据《环境影响评价技术导则—地面水环境》（HJ/T2.3-</w:t>
      </w:r>
      <w:r>
        <w:rPr>
          <w:rFonts w:hint="eastAsia"/>
          <w:kern w:val="0"/>
        </w:rPr>
        <w:t>2018</w:t>
      </w:r>
      <w:r>
        <w:rPr>
          <w:kern w:val="0"/>
        </w:rPr>
        <w:t>），本项目地表水环境评价的等级确定为三级</w:t>
      </w:r>
      <w:r>
        <w:rPr>
          <w:rFonts w:hint="eastAsia"/>
          <w:kern w:val="0"/>
        </w:rPr>
        <w:t>B</w:t>
      </w:r>
      <w:r>
        <w:rPr>
          <w:kern w:val="0"/>
        </w:rPr>
        <w:t>。</w:t>
      </w:r>
      <w:r>
        <w:rPr>
          <w:rFonts w:hint="eastAsia"/>
          <w:kern w:val="0"/>
        </w:rPr>
        <w:t>地表水评价等级判别依据见表2</w:t>
      </w:r>
      <w:r>
        <w:rPr>
          <w:kern w:val="0"/>
        </w:rPr>
        <w:t>.11</w:t>
      </w:r>
      <w:r>
        <w:rPr>
          <w:rFonts w:hint="eastAsia"/>
          <w:kern w:val="0"/>
        </w:rPr>
        <w:t>-</w:t>
      </w:r>
      <w:r>
        <w:rPr>
          <w:kern w:val="0"/>
        </w:rPr>
        <w:t>4</w:t>
      </w:r>
      <w:r>
        <w:rPr>
          <w:rFonts w:hint="eastAsia"/>
          <w:kern w:val="0"/>
        </w:rPr>
        <w:t>。</w:t>
      </w:r>
    </w:p>
    <w:p>
      <w:pPr>
        <w:snapToGrid w:val="0"/>
        <w:spacing w:line="240" w:lineRule="auto"/>
        <w:jc w:val="center"/>
        <w:rPr>
          <w:rFonts w:eastAsia="黑体"/>
        </w:rPr>
      </w:pPr>
      <w:r>
        <w:rPr>
          <w:rFonts w:hint="eastAsia" w:eastAsia="黑体"/>
        </w:rPr>
        <w:t>表2.</w:t>
      </w:r>
      <w:r>
        <w:rPr>
          <w:rFonts w:eastAsia="黑体"/>
        </w:rPr>
        <w:t>11</w:t>
      </w:r>
      <w:r>
        <w:rPr>
          <w:rFonts w:hint="eastAsia" w:eastAsia="黑体"/>
        </w:rPr>
        <w:t>-</w:t>
      </w:r>
      <w:r>
        <w:rPr>
          <w:rFonts w:eastAsia="黑体"/>
        </w:rPr>
        <w:t>4</w:t>
      </w:r>
      <w:r>
        <w:rPr>
          <w:rFonts w:hint="eastAsia" w:eastAsia="黑体"/>
        </w:rPr>
        <w:t xml:space="preserve">  </w:t>
      </w:r>
      <w:r>
        <w:rPr>
          <w:rFonts w:eastAsia="黑体"/>
        </w:rPr>
        <w:t>地表水评价等级判别依据表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867"/>
        <w:gridCol w:w="1798"/>
        <w:gridCol w:w="562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005" w:type="pct"/>
            <w:vMerge w:val="restart"/>
            <w:shd w:val="clear" w:color="auto" w:fill="auto"/>
            <w:vAlign w:val="center"/>
          </w:tcPr>
          <w:p>
            <w:pPr>
              <w:adjustRightInd w:val="0"/>
              <w:spacing w:line="240" w:lineRule="auto"/>
              <w:jc w:val="center"/>
              <w:rPr>
                <w:b/>
                <w:sz w:val="21"/>
                <w:szCs w:val="21"/>
              </w:rPr>
            </w:pPr>
            <w:r>
              <w:rPr>
                <w:rFonts w:hAnsi="宋体"/>
                <w:b/>
                <w:sz w:val="21"/>
                <w:szCs w:val="21"/>
              </w:rPr>
              <w:t>评价等级</w:t>
            </w:r>
          </w:p>
        </w:tc>
        <w:tc>
          <w:tcPr>
            <w:tcW w:w="3995" w:type="pct"/>
            <w:gridSpan w:val="2"/>
          </w:tcPr>
          <w:p>
            <w:pPr>
              <w:adjustRightInd w:val="0"/>
              <w:spacing w:line="240" w:lineRule="auto"/>
              <w:jc w:val="center"/>
              <w:rPr>
                <w:b/>
                <w:sz w:val="21"/>
                <w:szCs w:val="21"/>
              </w:rPr>
            </w:pPr>
            <w:r>
              <w:rPr>
                <w:rFonts w:hAnsi="宋体"/>
                <w:b/>
                <w:sz w:val="21"/>
                <w:szCs w:val="21"/>
              </w:rPr>
              <w:t>判定依据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005" w:type="pct"/>
            <w:vMerge w:val="continue"/>
            <w:shd w:val="clear" w:color="auto" w:fill="auto"/>
            <w:vAlign w:val="center"/>
          </w:tcPr>
          <w:p>
            <w:pPr>
              <w:adjustRightInd w:val="0"/>
              <w:spacing w:line="240" w:lineRule="auto"/>
              <w:jc w:val="center"/>
              <w:rPr>
                <w:b/>
                <w:sz w:val="21"/>
                <w:szCs w:val="21"/>
              </w:rPr>
            </w:pPr>
          </w:p>
        </w:tc>
        <w:tc>
          <w:tcPr>
            <w:tcW w:w="968" w:type="pct"/>
          </w:tcPr>
          <w:p>
            <w:pPr>
              <w:adjustRightInd w:val="0"/>
              <w:spacing w:line="240" w:lineRule="auto"/>
              <w:jc w:val="center"/>
              <w:rPr>
                <w:b/>
                <w:sz w:val="21"/>
                <w:szCs w:val="21"/>
              </w:rPr>
            </w:pPr>
            <w:r>
              <w:rPr>
                <w:rFonts w:hAnsi="宋体"/>
                <w:b/>
                <w:sz w:val="21"/>
                <w:szCs w:val="21"/>
              </w:rPr>
              <w:t>排放方式</w:t>
            </w:r>
          </w:p>
        </w:tc>
        <w:tc>
          <w:tcPr>
            <w:tcW w:w="3027" w:type="pct"/>
            <w:shd w:val="clear" w:color="auto" w:fill="auto"/>
            <w:vAlign w:val="center"/>
          </w:tcPr>
          <w:p>
            <w:pPr>
              <w:adjustRightInd w:val="0"/>
              <w:spacing w:line="240" w:lineRule="auto"/>
              <w:jc w:val="center"/>
              <w:rPr>
                <w:b/>
                <w:sz w:val="21"/>
                <w:szCs w:val="21"/>
              </w:rPr>
            </w:pPr>
            <w:r>
              <w:rPr>
                <w:rFonts w:hAnsi="宋体"/>
                <w:b/>
                <w:sz w:val="21"/>
                <w:szCs w:val="21"/>
              </w:rPr>
              <w:t>废水排放量</w:t>
            </w:r>
            <w:r>
              <w:rPr>
                <w:b/>
                <w:sz w:val="21"/>
                <w:szCs w:val="21"/>
              </w:rPr>
              <w:t>Q/</w:t>
            </w:r>
            <w:r>
              <w:rPr>
                <w:rFonts w:hAnsi="宋体"/>
                <w:b/>
                <w:sz w:val="21"/>
                <w:szCs w:val="21"/>
              </w:rPr>
              <w:t>（</w:t>
            </w:r>
            <w:r>
              <w:rPr>
                <w:b/>
                <w:sz w:val="21"/>
                <w:szCs w:val="21"/>
              </w:rPr>
              <w:t>m</w:t>
            </w:r>
            <w:r>
              <w:rPr>
                <w:b/>
                <w:sz w:val="21"/>
                <w:szCs w:val="21"/>
                <w:vertAlign w:val="superscript"/>
              </w:rPr>
              <w:t>3</w:t>
            </w:r>
            <w:r>
              <w:rPr>
                <w:b/>
                <w:sz w:val="21"/>
                <w:szCs w:val="21"/>
              </w:rPr>
              <w:t>/d</w:t>
            </w:r>
            <w:r>
              <w:rPr>
                <w:rFonts w:hAnsi="宋体"/>
                <w:b/>
                <w:sz w:val="21"/>
                <w:szCs w:val="21"/>
              </w:rPr>
              <w:t>）；</w:t>
            </w:r>
          </w:p>
          <w:p>
            <w:pPr>
              <w:spacing w:line="240" w:lineRule="auto"/>
              <w:jc w:val="center"/>
              <w:rPr>
                <w:sz w:val="21"/>
                <w:szCs w:val="21"/>
              </w:rPr>
            </w:pPr>
            <w:r>
              <w:rPr>
                <w:rFonts w:hAnsi="宋体"/>
                <w:sz w:val="21"/>
                <w:szCs w:val="21"/>
              </w:rPr>
              <w:t>水污染当量数</w:t>
            </w:r>
            <w:r>
              <w:rPr>
                <w:sz w:val="21"/>
                <w:szCs w:val="21"/>
              </w:rPr>
              <w:t>W/</w:t>
            </w:r>
            <w:r>
              <w:rPr>
                <w:rFonts w:hAnsi="宋体"/>
                <w:sz w:val="21"/>
                <w:szCs w:val="21"/>
              </w:rPr>
              <w:t>（无量纲）</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5" w:type="pct"/>
            <w:shd w:val="clear" w:color="auto" w:fill="auto"/>
            <w:vAlign w:val="center"/>
          </w:tcPr>
          <w:p>
            <w:pPr>
              <w:spacing w:line="240" w:lineRule="auto"/>
              <w:jc w:val="center"/>
              <w:rPr>
                <w:bCs/>
                <w:sz w:val="21"/>
                <w:szCs w:val="21"/>
              </w:rPr>
            </w:pPr>
            <w:r>
              <w:rPr>
                <w:rFonts w:hAnsi="宋体"/>
                <w:bCs/>
                <w:sz w:val="21"/>
                <w:szCs w:val="21"/>
              </w:rPr>
              <w:t>一级</w:t>
            </w:r>
          </w:p>
        </w:tc>
        <w:tc>
          <w:tcPr>
            <w:tcW w:w="968" w:type="pct"/>
          </w:tcPr>
          <w:p>
            <w:pPr>
              <w:spacing w:line="240" w:lineRule="auto"/>
              <w:jc w:val="center"/>
              <w:rPr>
                <w:bCs/>
                <w:sz w:val="21"/>
                <w:szCs w:val="21"/>
              </w:rPr>
            </w:pPr>
            <w:r>
              <w:rPr>
                <w:rFonts w:hAnsi="宋体"/>
                <w:bCs/>
                <w:sz w:val="21"/>
                <w:szCs w:val="21"/>
              </w:rPr>
              <w:t>直接排放</w:t>
            </w:r>
          </w:p>
        </w:tc>
        <w:tc>
          <w:tcPr>
            <w:tcW w:w="3027" w:type="pct"/>
            <w:shd w:val="clear" w:color="auto" w:fill="auto"/>
            <w:vAlign w:val="center"/>
          </w:tcPr>
          <w:p>
            <w:pPr>
              <w:spacing w:line="240" w:lineRule="auto"/>
              <w:jc w:val="center"/>
              <w:rPr>
                <w:bCs/>
                <w:sz w:val="21"/>
                <w:szCs w:val="21"/>
              </w:rPr>
            </w:pPr>
            <w:r>
              <w:rPr>
                <w:bCs/>
                <w:sz w:val="21"/>
                <w:szCs w:val="21"/>
              </w:rPr>
              <w:t>Q≥200000</w:t>
            </w:r>
            <w:r>
              <w:rPr>
                <w:rFonts w:hAnsi="宋体"/>
                <w:bCs/>
                <w:sz w:val="21"/>
                <w:szCs w:val="21"/>
              </w:rPr>
              <w:t>或</w:t>
            </w:r>
            <w:r>
              <w:rPr>
                <w:bCs/>
                <w:sz w:val="21"/>
                <w:szCs w:val="21"/>
              </w:rPr>
              <w:t>W≥600000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5" w:type="pct"/>
            <w:shd w:val="clear" w:color="auto" w:fill="auto"/>
            <w:vAlign w:val="center"/>
          </w:tcPr>
          <w:p>
            <w:pPr>
              <w:spacing w:line="240" w:lineRule="auto"/>
              <w:jc w:val="center"/>
              <w:rPr>
                <w:bCs/>
                <w:sz w:val="21"/>
                <w:szCs w:val="21"/>
              </w:rPr>
            </w:pPr>
            <w:r>
              <w:rPr>
                <w:rFonts w:hAnsi="宋体"/>
                <w:bCs/>
                <w:sz w:val="21"/>
                <w:szCs w:val="21"/>
              </w:rPr>
              <w:t>二级</w:t>
            </w:r>
          </w:p>
        </w:tc>
        <w:tc>
          <w:tcPr>
            <w:tcW w:w="968" w:type="pct"/>
          </w:tcPr>
          <w:p>
            <w:pPr>
              <w:spacing w:line="240" w:lineRule="auto"/>
              <w:jc w:val="center"/>
              <w:rPr>
                <w:sz w:val="21"/>
                <w:szCs w:val="21"/>
              </w:rPr>
            </w:pPr>
            <w:r>
              <w:rPr>
                <w:rFonts w:hAnsi="宋体"/>
                <w:sz w:val="21"/>
                <w:szCs w:val="21"/>
              </w:rPr>
              <w:t>直接排放</w:t>
            </w:r>
          </w:p>
        </w:tc>
        <w:tc>
          <w:tcPr>
            <w:tcW w:w="3027" w:type="pct"/>
            <w:shd w:val="clear" w:color="auto" w:fill="auto"/>
            <w:vAlign w:val="center"/>
          </w:tcPr>
          <w:p>
            <w:pPr>
              <w:spacing w:line="240" w:lineRule="auto"/>
              <w:jc w:val="center"/>
              <w:rPr>
                <w:bCs/>
                <w:sz w:val="21"/>
                <w:szCs w:val="21"/>
              </w:rPr>
            </w:pPr>
            <w:r>
              <w:rPr>
                <w:rFonts w:hAnsi="宋体"/>
                <w:bCs/>
                <w:sz w:val="21"/>
                <w:szCs w:val="21"/>
              </w:rPr>
              <w:t>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5" w:type="pct"/>
            <w:shd w:val="clear" w:color="auto" w:fill="auto"/>
            <w:vAlign w:val="center"/>
          </w:tcPr>
          <w:p>
            <w:pPr>
              <w:spacing w:line="240" w:lineRule="auto"/>
              <w:jc w:val="center"/>
              <w:rPr>
                <w:bCs/>
                <w:sz w:val="21"/>
                <w:szCs w:val="21"/>
              </w:rPr>
            </w:pPr>
            <w:r>
              <w:rPr>
                <w:rFonts w:hAnsi="宋体"/>
                <w:bCs/>
                <w:sz w:val="21"/>
                <w:szCs w:val="21"/>
              </w:rPr>
              <w:t>三级</w:t>
            </w:r>
            <w:r>
              <w:rPr>
                <w:bCs/>
                <w:sz w:val="21"/>
                <w:szCs w:val="21"/>
              </w:rPr>
              <w:t>A</w:t>
            </w:r>
          </w:p>
        </w:tc>
        <w:tc>
          <w:tcPr>
            <w:tcW w:w="968" w:type="pct"/>
          </w:tcPr>
          <w:p>
            <w:pPr>
              <w:spacing w:line="240" w:lineRule="auto"/>
              <w:jc w:val="center"/>
              <w:rPr>
                <w:sz w:val="21"/>
                <w:szCs w:val="21"/>
              </w:rPr>
            </w:pPr>
            <w:r>
              <w:rPr>
                <w:rFonts w:hAnsi="宋体"/>
                <w:sz w:val="21"/>
                <w:szCs w:val="21"/>
              </w:rPr>
              <w:t>直接排放</w:t>
            </w:r>
          </w:p>
        </w:tc>
        <w:tc>
          <w:tcPr>
            <w:tcW w:w="3027" w:type="pct"/>
            <w:shd w:val="clear" w:color="auto" w:fill="auto"/>
            <w:vAlign w:val="center"/>
          </w:tcPr>
          <w:p>
            <w:pPr>
              <w:spacing w:line="240" w:lineRule="auto"/>
              <w:jc w:val="center"/>
              <w:rPr>
                <w:bCs/>
                <w:sz w:val="21"/>
                <w:szCs w:val="21"/>
              </w:rPr>
            </w:pPr>
            <w:r>
              <w:rPr>
                <w:bCs/>
                <w:sz w:val="21"/>
                <w:szCs w:val="21"/>
              </w:rPr>
              <w:t>Q</w:t>
            </w:r>
            <w:r>
              <w:rPr>
                <w:rFonts w:hAnsi="宋体"/>
                <w:bCs/>
                <w:sz w:val="21"/>
                <w:szCs w:val="21"/>
              </w:rPr>
              <w:t>＜</w:t>
            </w:r>
            <w:r>
              <w:rPr>
                <w:bCs/>
                <w:sz w:val="21"/>
                <w:szCs w:val="21"/>
              </w:rPr>
              <w:t>200</w:t>
            </w:r>
            <w:r>
              <w:rPr>
                <w:rFonts w:hAnsi="宋体"/>
                <w:bCs/>
                <w:sz w:val="21"/>
                <w:szCs w:val="21"/>
              </w:rPr>
              <w:t>且</w:t>
            </w:r>
            <w:r>
              <w:rPr>
                <w:bCs/>
                <w:sz w:val="21"/>
                <w:szCs w:val="21"/>
              </w:rPr>
              <w:t>W</w:t>
            </w:r>
            <w:r>
              <w:rPr>
                <w:rFonts w:hAnsi="宋体"/>
                <w:bCs/>
                <w:sz w:val="21"/>
                <w:szCs w:val="21"/>
              </w:rPr>
              <w:t>＜</w:t>
            </w:r>
            <w:r>
              <w:rPr>
                <w:bCs/>
                <w:sz w:val="21"/>
                <w:szCs w:val="21"/>
              </w:rPr>
              <w:t>600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5" w:type="pct"/>
            <w:shd w:val="clear" w:color="auto" w:fill="E0E0E0"/>
            <w:vAlign w:val="center"/>
          </w:tcPr>
          <w:p>
            <w:pPr>
              <w:spacing w:line="240" w:lineRule="auto"/>
              <w:jc w:val="center"/>
              <w:rPr>
                <w:bCs/>
                <w:sz w:val="21"/>
                <w:szCs w:val="21"/>
              </w:rPr>
            </w:pPr>
            <w:r>
              <w:rPr>
                <w:rFonts w:hAnsi="宋体"/>
                <w:bCs/>
                <w:sz w:val="21"/>
                <w:szCs w:val="21"/>
              </w:rPr>
              <w:t>三级</w:t>
            </w:r>
            <w:r>
              <w:rPr>
                <w:bCs/>
                <w:sz w:val="21"/>
                <w:szCs w:val="21"/>
              </w:rPr>
              <w:t>B</w:t>
            </w:r>
          </w:p>
        </w:tc>
        <w:tc>
          <w:tcPr>
            <w:tcW w:w="968" w:type="pct"/>
            <w:shd w:val="clear" w:color="auto" w:fill="auto"/>
          </w:tcPr>
          <w:p>
            <w:pPr>
              <w:spacing w:line="240" w:lineRule="auto"/>
              <w:jc w:val="center"/>
              <w:rPr>
                <w:sz w:val="21"/>
                <w:szCs w:val="21"/>
              </w:rPr>
            </w:pPr>
            <w:r>
              <w:rPr>
                <w:rFonts w:hint="eastAsia" w:hAnsi="宋体"/>
                <w:sz w:val="21"/>
                <w:szCs w:val="21"/>
              </w:rPr>
              <w:t>间</w:t>
            </w:r>
            <w:r>
              <w:rPr>
                <w:rFonts w:hAnsi="宋体"/>
                <w:sz w:val="21"/>
                <w:szCs w:val="21"/>
              </w:rPr>
              <w:t>接排放</w:t>
            </w:r>
          </w:p>
        </w:tc>
        <w:tc>
          <w:tcPr>
            <w:tcW w:w="3027" w:type="pct"/>
            <w:shd w:val="clear" w:color="auto" w:fill="auto"/>
            <w:vAlign w:val="center"/>
          </w:tcPr>
          <w:p>
            <w:pPr>
              <w:spacing w:line="240" w:lineRule="auto"/>
              <w:jc w:val="center"/>
              <w:rPr>
                <w:bCs/>
                <w:sz w:val="21"/>
                <w:szCs w:val="21"/>
              </w:rPr>
            </w:pPr>
            <w:r>
              <w:rPr>
                <w:bCs/>
                <w:sz w:val="21"/>
                <w:szCs w:val="21"/>
              </w:rPr>
              <w:t>—</w:t>
            </w:r>
          </w:p>
        </w:tc>
      </w:tr>
    </w:tbl>
    <w:p>
      <w:pPr>
        <w:ind w:firstLine="413" w:firstLineChars="196"/>
        <w:rPr>
          <w:b/>
          <w:kern w:val="0"/>
          <w:sz w:val="21"/>
          <w:szCs w:val="21"/>
        </w:rPr>
      </w:pPr>
      <w:r>
        <w:rPr>
          <w:b/>
          <w:kern w:val="0"/>
          <w:sz w:val="21"/>
          <w:szCs w:val="21"/>
        </w:rPr>
        <w:t>注10：建设项目生产工艺中有废水产生，但作为回水利用，不排放到外环境的，按三级B评价。</w:t>
      </w:r>
    </w:p>
    <w:p>
      <w:pPr>
        <w:pStyle w:val="320"/>
        <w:snapToGrid w:val="0"/>
        <w:spacing w:before="0" w:line="360" w:lineRule="auto"/>
        <w:ind w:firstLine="480"/>
        <w:rPr>
          <w:rFonts w:ascii="Times New Roman" w:hAnsi="Times New Roman"/>
        </w:rPr>
      </w:pPr>
    </w:p>
    <w:p>
      <w:pPr>
        <w:jc w:val="left"/>
        <w:outlineLvl w:val="2"/>
        <w:rPr>
          <w:rFonts w:eastAsia="黑体"/>
          <w:bCs/>
          <w:sz w:val="28"/>
          <w:szCs w:val="28"/>
        </w:rPr>
      </w:pPr>
      <w:r>
        <w:rPr>
          <w:rFonts w:eastAsia="黑体"/>
          <w:bCs/>
          <w:sz w:val="28"/>
          <w:szCs w:val="28"/>
        </w:rPr>
        <w:t>2.11.5 生态影响评价等级</w:t>
      </w:r>
    </w:p>
    <w:p>
      <w:pPr>
        <w:pStyle w:val="320"/>
        <w:snapToGrid w:val="0"/>
        <w:spacing w:before="0" w:line="360" w:lineRule="auto"/>
        <w:ind w:firstLine="480"/>
        <w:rPr>
          <w:rFonts w:ascii="Times New Roman" w:hAnsi="Times New Roman"/>
        </w:rPr>
      </w:pPr>
      <w:r>
        <w:rPr>
          <w:rFonts w:ascii="Times New Roman" w:hAnsi="Times New Roman"/>
        </w:rPr>
        <w:t>根据《环境影响评价技术导则 生态影响》（HJ 19-2011），生态影响评价工作可划分为三个等级，详见表</w:t>
      </w:r>
      <w:r>
        <w:rPr>
          <w:rFonts w:hint="eastAsia" w:ascii="Times New Roman" w:hAnsi="Times New Roman"/>
        </w:rPr>
        <w:t>2</w:t>
      </w:r>
      <w:r>
        <w:rPr>
          <w:rFonts w:ascii="Times New Roman" w:hAnsi="Times New Roman"/>
        </w:rPr>
        <w:t>.1</w:t>
      </w:r>
      <w:r>
        <w:rPr>
          <w:rFonts w:hint="eastAsia" w:ascii="Times New Roman" w:hAnsi="Times New Roman"/>
        </w:rPr>
        <w:t>1</w:t>
      </w:r>
      <w:r>
        <w:rPr>
          <w:rFonts w:ascii="Times New Roman" w:hAnsi="Times New Roman"/>
        </w:rPr>
        <w:t>-8。</w:t>
      </w:r>
    </w:p>
    <w:p>
      <w:pPr>
        <w:pStyle w:val="462"/>
        <w:numPr>
          <w:ilvl w:val="2"/>
          <w:numId w:val="0"/>
        </w:numPr>
        <w:tabs>
          <w:tab w:val="clear" w:pos="2705"/>
        </w:tabs>
        <w:adjustRightInd w:val="0"/>
        <w:snapToGrid w:val="0"/>
        <w:spacing w:line="240" w:lineRule="auto"/>
        <w:jc w:val="center"/>
        <w:outlineLvl w:val="9"/>
        <w:rPr>
          <w:rFonts w:eastAsia="黑体"/>
          <w:b w:val="0"/>
          <w:bCs w:val="0"/>
          <w:color w:val="auto"/>
          <w:sz w:val="24"/>
          <w:szCs w:val="24"/>
        </w:rPr>
      </w:pPr>
      <w:bookmarkStart w:id="297" w:name="_Toc399840369"/>
      <w:r>
        <w:rPr>
          <w:rFonts w:eastAsia="黑体"/>
          <w:b w:val="0"/>
          <w:bCs w:val="0"/>
          <w:color w:val="auto"/>
          <w:sz w:val="24"/>
          <w:szCs w:val="24"/>
        </w:rPr>
        <w:t>表</w:t>
      </w:r>
      <w:r>
        <w:rPr>
          <w:rFonts w:hint="eastAsia" w:eastAsia="黑体"/>
          <w:b w:val="0"/>
          <w:bCs w:val="0"/>
          <w:color w:val="auto"/>
          <w:sz w:val="24"/>
          <w:szCs w:val="24"/>
        </w:rPr>
        <w:t>2</w:t>
      </w:r>
      <w:r>
        <w:rPr>
          <w:rFonts w:eastAsia="黑体"/>
          <w:b w:val="0"/>
          <w:bCs w:val="0"/>
          <w:color w:val="auto"/>
          <w:sz w:val="24"/>
          <w:szCs w:val="24"/>
        </w:rPr>
        <w:t>.</w:t>
      </w:r>
      <w:bookmarkEnd w:id="297"/>
      <w:r>
        <w:rPr>
          <w:rFonts w:eastAsia="黑体"/>
          <w:b w:val="0"/>
          <w:bCs w:val="0"/>
          <w:color w:val="auto"/>
          <w:sz w:val="24"/>
          <w:szCs w:val="24"/>
        </w:rPr>
        <w:t>1</w:t>
      </w:r>
      <w:r>
        <w:rPr>
          <w:rFonts w:hint="eastAsia" w:eastAsia="黑体"/>
          <w:b w:val="0"/>
          <w:bCs w:val="0"/>
          <w:color w:val="auto"/>
          <w:sz w:val="24"/>
          <w:szCs w:val="24"/>
        </w:rPr>
        <w:t>1</w:t>
      </w:r>
      <w:r>
        <w:rPr>
          <w:rFonts w:eastAsia="黑体"/>
          <w:b w:val="0"/>
          <w:bCs w:val="0"/>
          <w:color w:val="auto"/>
          <w:sz w:val="24"/>
          <w:szCs w:val="24"/>
        </w:rPr>
        <w:t>-8  生态影响评价工作等级划分表</w:t>
      </w:r>
    </w:p>
    <w:tbl>
      <w:tblPr>
        <w:tblStyle w:val="88"/>
        <w:tblW w:w="8787"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81"/>
        <w:gridCol w:w="2209"/>
        <w:gridCol w:w="2941"/>
        <w:gridCol w:w="165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981" w:type="dxa"/>
            <w:vMerge w:val="restart"/>
            <w:tcBorders>
              <w:tl2br w:val="nil"/>
              <w:tr2bl w:val="nil"/>
            </w:tcBorders>
            <w:vAlign w:val="center"/>
          </w:tcPr>
          <w:p>
            <w:pPr>
              <w:adjustRightInd w:val="0"/>
              <w:snapToGrid w:val="0"/>
              <w:spacing w:line="240" w:lineRule="auto"/>
              <w:jc w:val="center"/>
              <w:rPr>
                <w:b/>
                <w:sz w:val="21"/>
                <w:szCs w:val="21"/>
              </w:rPr>
            </w:pPr>
            <w:r>
              <w:rPr>
                <w:b/>
                <w:sz w:val="21"/>
                <w:szCs w:val="21"/>
              </w:rPr>
              <w:t>区域生态敏感性</w:t>
            </w:r>
          </w:p>
        </w:tc>
        <w:tc>
          <w:tcPr>
            <w:tcW w:w="6806" w:type="dxa"/>
            <w:gridSpan w:val="3"/>
            <w:tcBorders>
              <w:tl2br w:val="nil"/>
              <w:tr2bl w:val="nil"/>
            </w:tcBorders>
            <w:vAlign w:val="center"/>
          </w:tcPr>
          <w:p>
            <w:pPr>
              <w:adjustRightInd w:val="0"/>
              <w:snapToGrid w:val="0"/>
              <w:spacing w:line="240" w:lineRule="auto"/>
              <w:jc w:val="center"/>
              <w:rPr>
                <w:b/>
                <w:sz w:val="21"/>
                <w:szCs w:val="21"/>
              </w:rPr>
            </w:pPr>
            <w:r>
              <w:rPr>
                <w:b/>
                <w:sz w:val="21"/>
                <w:szCs w:val="21"/>
              </w:rPr>
              <w:t>工程占地（水域）范围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981" w:type="dxa"/>
            <w:vMerge w:val="continue"/>
            <w:tcBorders>
              <w:tl2br w:val="nil"/>
              <w:tr2bl w:val="nil"/>
            </w:tcBorders>
            <w:vAlign w:val="center"/>
          </w:tcPr>
          <w:p>
            <w:pPr>
              <w:adjustRightInd w:val="0"/>
              <w:snapToGrid w:val="0"/>
              <w:spacing w:line="240" w:lineRule="auto"/>
              <w:jc w:val="center"/>
              <w:rPr>
                <w:sz w:val="21"/>
                <w:szCs w:val="21"/>
              </w:rPr>
            </w:pPr>
          </w:p>
        </w:tc>
        <w:tc>
          <w:tcPr>
            <w:tcW w:w="2209" w:type="dxa"/>
            <w:tcBorders>
              <w:tl2br w:val="nil"/>
              <w:tr2bl w:val="nil"/>
            </w:tcBorders>
            <w:vAlign w:val="center"/>
          </w:tcPr>
          <w:p>
            <w:pPr>
              <w:adjustRightInd w:val="0"/>
              <w:snapToGrid w:val="0"/>
              <w:spacing w:line="240" w:lineRule="auto"/>
              <w:jc w:val="center"/>
              <w:rPr>
                <w:sz w:val="21"/>
                <w:szCs w:val="21"/>
              </w:rPr>
            </w:pPr>
            <w:r>
              <w:rPr>
                <w:sz w:val="21"/>
                <w:szCs w:val="21"/>
              </w:rPr>
              <w:t>面积≥20km</w:t>
            </w:r>
            <w:r>
              <w:rPr>
                <w:sz w:val="21"/>
                <w:szCs w:val="21"/>
                <w:vertAlign w:val="superscript"/>
              </w:rPr>
              <w:t>2</w:t>
            </w:r>
          </w:p>
          <w:p>
            <w:pPr>
              <w:adjustRightInd w:val="0"/>
              <w:snapToGrid w:val="0"/>
              <w:spacing w:line="240" w:lineRule="auto"/>
              <w:jc w:val="center"/>
              <w:rPr>
                <w:sz w:val="21"/>
                <w:szCs w:val="21"/>
              </w:rPr>
            </w:pPr>
            <w:r>
              <w:rPr>
                <w:sz w:val="21"/>
                <w:szCs w:val="21"/>
              </w:rPr>
              <w:t>或长度≥100km</w:t>
            </w:r>
          </w:p>
        </w:tc>
        <w:tc>
          <w:tcPr>
            <w:tcW w:w="2941" w:type="dxa"/>
            <w:tcBorders>
              <w:tl2br w:val="nil"/>
              <w:tr2bl w:val="nil"/>
            </w:tcBorders>
            <w:vAlign w:val="center"/>
          </w:tcPr>
          <w:p>
            <w:pPr>
              <w:adjustRightInd w:val="0"/>
              <w:snapToGrid w:val="0"/>
              <w:spacing w:line="240" w:lineRule="auto"/>
              <w:jc w:val="center"/>
              <w:rPr>
                <w:sz w:val="21"/>
                <w:szCs w:val="21"/>
              </w:rPr>
            </w:pPr>
            <w:r>
              <w:rPr>
                <w:sz w:val="21"/>
                <w:szCs w:val="21"/>
              </w:rPr>
              <w:t>面积2~20km</w:t>
            </w:r>
            <w:r>
              <w:rPr>
                <w:sz w:val="21"/>
                <w:szCs w:val="21"/>
                <w:vertAlign w:val="superscript"/>
              </w:rPr>
              <w:t>2</w:t>
            </w:r>
          </w:p>
          <w:p>
            <w:pPr>
              <w:adjustRightInd w:val="0"/>
              <w:snapToGrid w:val="0"/>
              <w:spacing w:line="240" w:lineRule="auto"/>
              <w:jc w:val="center"/>
              <w:rPr>
                <w:sz w:val="21"/>
                <w:szCs w:val="21"/>
              </w:rPr>
            </w:pPr>
            <w:r>
              <w:rPr>
                <w:sz w:val="21"/>
                <w:szCs w:val="21"/>
              </w:rPr>
              <w:t>或长度50~100km</w:t>
            </w:r>
          </w:p>
        </w:tc>
        <w:tc>
          <w:tcPr>
            <w:tcW w:w="1656" w:type="dxa"/>
            <w:tcBorders>
              <w:tl2br w:val="nil"/>
              <w:tr2bl w:val="nil"/>
            </w:tcBorders>
            <w:vAlign w:val="center"/>
          </w:tcPr>
          <w:p>
            <w:pPr>
              <w:adjustRightInd w:val="0"/>
              <w:snapToGrid w:val="0"/>
              <w:spacing w:line="240" w:lineRule="auto"/>
              <w:jc w:val="center"/>
              <w:rPr>
                <w:sz w:val="21"/>
                <w:szCs w:val="21"/>
              </w:rPr>
            </w:pPr>
            <w:r>
              <w:rPr>
                <w:sz w:val="21"/>
                <w:szCs w:val="21"/>
              </w:rPr>
              <w:t>面积≤2km</w:t>
            </w:r>
            <w:r>
              <w:rPr>
                <w:sz w:val="21"/>
                <w:szCs w:val="21"/>
                <w:vertAlign w:val="superscript"/>
              </w:rPr>
              <w:t>2</w:t>
            </w:r>
          </w:p>
          <w:p>
            <w:pPr>
              <w:adjustRightInd w:val="0"/>
              <w:snapToGrid w:val="0"/>
              <w:spacing w:line="240" w:lineRule="auto"/>
              <w:jc w:val="center"/>
              <w:rPr>
                <w:sz w:val="21"/>
                <w:szCs w:val="21"/>
              </w:rPr>
            </w:pPr>
            <w:r>
              <w:rPr>
                <w:sz w:val="21"/>
                <w:szCs w:val="21"/>
              </w:rPr>
              <w:t>或长度≤50km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981" w:type="dxa"/>
            <w:tcBorders>
              <w:tl2br w:val="nil"/>
              <w:tr2bl w:val="nil"/>
            </w:tcBorders>
            <w:vAlign w:val="center"/>
          </w:tcPr>
          <w:p>
            <w:pPr>
              <w:autoSpaceDE w:val="0"/>
              <w:autoSpaceDN w:val="0"/>
              <w:adjustRightInd w:val="0"/>
              <w:spacing w:line="240" w:lineRule="auto"/>
              <w:jc w:val="center"/>
              <w:rPr>
                <w:szCs w:val="21"/>
              </w:rPr>
            </w:pPr>
            <w:r>
              <w:rPr>
                <w:sz w:val="21"/>
                <w:szCs w:val="21"/>
              </w:rPr>
              <w:t>特殊生态敏感区</w:t>
            </w:r>
          </w:p>
        </w:tc>
        <w:tc>
          <w:tcPr>
            <w:tcW w:w="2209" w:type="dxa"/>
            <w:tcBorders>
              <w:tl2br w:val="nil"/>
              <w:tr2bl w:val="nil"/>
            </w:tcBorders>
            <w:vAlign w:val="center"/>
          </w:tcPr>
          <w:p>
            <w:pPr>
              <w:autoSpaceDE w:val="0"/>
              <w:autoSpaceDN w:val="0"/>
              <w:adjustRightInd w:val="0"/>
              <w:spacing w:line="240" w:lineRule="auto"/>
              <w:jc w:val="center"/>
              <w:rPr>
                <w:szCs w:val="21"/>
              </w:rPr>
            </w:pPr>
            <w:r>
              <w:rPr>
                <w:sz w:val="21"/>
                <w:szCs w:val="21"/>
              </w:rPr>
              <w:t>一级</w:t>
            </w:r>
          </w:p>
        </w:tc>
        <w:tc>
          <w:tcPr>
            <w:tcW w:w="2941" w:type="dxa"/>
            <w:tcBorders>
              <w:tl2br w:val="nil"/>
              <w:tr2bl w:val="nil"/>
            </w:tcBorders>
            <w:vAlign w:val="center"/>
          </w:tcPr>
          <w:p>
            <w:pPr>
              <w:autoSpaceDE w:val="0"/>
              <w:autoSpaceDN w:val="0"/>
              <w:adjustRightInd w:val="0"/>
              <w:spacing w:line="240" w:lineRule="auto"/>
              <w:jc w:val="center"/>
              <w:rPr>
                <w:szCs w:val="21"/>
              </w:rPr>
            </w:pPr>
            <w:r>
              <w:rPr>
                <w:sz w:val="21"/>
                <w:szCs w:val="21"/>
              </w:rPr>
              <w:t>一级</w:t>
            </w:r>
          </w:p>
        </w:tc>
        <w:tc>
          <w:tcPr>
            <w:tcW w:w="1656" w:type="dxa"/>
            <w:tcBorders>
              <w:tl2br w:val="nil"/>
              <w:tr2bl w:val="nil"/>
            </w:tcBorders>
            <w:vAlign w:val="center"/>
          </w:tcPr>
          <w:p>
            <w:pPr>
              <w:autoSpaceDE w:val="0"/>
              <w:autoSpaceDN w:val="0"/>
              <w:adjustRightInd w:val="0"/>
              <w:spacing w:line="240" w:lineRule="auto"/>
              <w:jc w:val="center"/>
              <w:rPr>
                <w:szCs w:val="21"/>
              </w:rPr>
            </w:pPr>
            <w:r>
              <w:rPr>
                <w:sz w:val="21"/>
                <w:szCs w:val="21"/>
              </w:rPr>
              <w:t>一级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981" w:type="dxa"/>
            <w:tcBorders>
              <w:tl2br w:val="nil"/>
              <w:tr2bl w:val="nil"/>
            </w:tcBorders>
            <w:vAlign w:val="center"/>
          </w:tcPr>
          <w:p>
            <w:pPr>
              <w:autoSpaceDE w:val="0"/>
              <w:autoSpaceDN w:val="0"/>
              <w:adjustRightInd w:val="0"/>
              <w:spacing w:line="240" w:lineRule="auto"/>
              <w:jc w:val="center"/>
              <w:rPr>
                <w:szCs w:val="21"/>
              </w:rPr>
            </w:pPr>
            <w:r>
              <w:rPr>
                <w:sz w:val="21"/>
                <w:szCs w:val="21"/>
              </w:rPr>
              <w:t>重要生态敏感区</w:t>
            </w:r>
          </w:p>
        </w:tc>
        <w:tc>
          <w:tcPr>
            <w:tcW w:w="2209" w:type="dxa"/>
            <w:tcBorders>
              <w:tl2br w:val="nil"/>
              <w:tr2bl w:val="nil"/>
            </w:tcBorders>
            <w:vAlign w:val="center"/>
          </w:tcPr>
          <w:p>
            <w:pPr>
              <w:autoSpaceDE w:val="0"/>
              <w:autoSpaceDN w:val="0"/>
              <w:adjustRightInd w:val="0"/>
              <w:spacing w:line="240" w:lineRule="auto"/>
              <w:jc w:val="center"/>
              <w:rPr>
                <w:szCs w:val="21"/>
              </w:rPr>
            </w:pPr>
            <w:r>
              <w:rPr>
                <w:sz w:val="21"/>
                <w:szCs w:val="21"/>
              </w:rPr>
              <w:t>一级</w:t>
            </w:r>
          </w:p>
        </w:tc>
        <w:tc>
          <w:tcPr>
            <w:tcW w:w="2941" w:type="dxa"/>
            <w:tcBorders>
              <w:tl2br w:val="nil"/>
              <w:tr2bl w:val="nil"/>
            </w:tcBorders>
            <w:vAlign w:val="center"/>
          </w:tcPr>
          <w:p>
            <w:pPr>
              <w:autoSpaceDE w:val="0"/>
              <w:autoSpaceDN w:val="0"/>
              <w:adjustRightInd w:val="0"/>
              <w:spacing w:line="240" w:lineRule="auto"/>
              <w:jc w:val="center"/>
              <w:rPr>
                <w:szCs w:val="21"/>
              </w:rPr>
            </w:pPr>
            <w:r>
              <w:rPr>
                <w:sz w:val="21"/>
                <w:szCs w:val="21"/>
              </w:rPr>
              <w:t>二级</w:t>
            </w:r>
          </w:p>
        </w:tc>
        <w:tc>
          <w:tcPr>
            <w:tcW w:w="1656" w:type="dxa"/>
            <w:tcBorders>
              <w:tl2br w:val="nil"/>
              <w:tr2bl w:val="nil"/>
            </w:tcBorders>
            <w:vAlign w:val="center"/>
          </w:tcPr>
          <w:p>
            <w:pPr>
              <w:autoSpaceDE w:val="0"/>
              <w:autoSpaceDN w:val="0"/>
              <w:adjustRightInd w:val="0"/>
              <w:spacing w:line="240" w:lineRule="auto"/>
              <w:jc w:val="center"/>
              <w:rPr>
                <w:szCs w:val="21"/>
              </w:rPr>
            </w:pPr>
            <w:r>
              <w:rPr>
                <w:sz w:val="21"/>
                <w:szCs w:val="21"/>
              </w:rPr>
              <w:t>三级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981" w:type="dxa"/>
            <w:tcBorders>
              <w:tl2br w:val="nil"/>
              <w:tr2bl w:val="nil"/>
            </w:tcBorders>
            <w:vAlign w:val="center"/>
          </w:tcPr>
          <w:p>
            <w:pPr>
              <w:spacing w:line="240" w:lineRule="auto"/>
              <w:jc w:val="center"/>
              <w:rPr>
                <w:szCs w:val="21"/>
              </w:rPr>
            </w:pPr>
            <w:r>
              <w:rPr>
                <w:sz w:val="21"/>
                <w:szCs w:val="21"/>
              </w:rPr>
              <w:t>一般区域</w:t>
            </w:r>
          </w:p>
        </w:tc>
        <w:tc>
          <w:tcPr>
            <w:tcW w:w="2209" w:type="dxa"/>
            <w:tcBorders>
              <w:tl2br w:val="nil"/>
              <w:tr2bl w:val="nil"/>
            </w:tcBorders>
            <w:vAlign w:val="center"/>
          </w:tcPr>
          <w:p>
            <w:pPr>
              <w:spacing w:line="240" w:lineRule="auto"/>
              <w:jc w:val="center"/>
              <w:rPr>
                <w:szCs w:val="21"/>
              </w:rPr>
            </w:pPr>
            <w:r>
              <w:rPr>
                <w:sz w:val="21"/>
                <w:szCs w:val="21"/>
              </w:rPr>
              <w:t>二级</w:t>
            </w:r>
          </w:p>
        </w:tc>
        <w:tc>
          <w:tcPr>
            <w:tcW w:w="2941" w:type="dxa"/>
            <w:tcBorders>
              <w:tl2br w:val="nil"/>
              <w:tr2bl w:val="nil"/>
            </w:tcBorders>
            <w:vAlign w:val="center"/>
          </w:tcPr>
          <w:p>
            <w:pPr>
              <w:spacing w:line="240" w:lineRule="auto"/>
              <w:jc w:val="center"/>
              <w:rPr>
                <w:szCs w:val="21"/>
              </w:rPr>
            </w:pPr>
            <w:r>
              <w:rPr>
                <w:sz w:val="21"/>
                <w:szCs w:val="21"/>
              </w:rPr>
              <w:t>三级</w:t>
            </w:r>
          </w:p>
        </w:tc>
        <w:tc>
          <w:tcPr>
            <w:tcW w:w="1656" w:type="dxa"/>
            <w:tcBorders>
              <w:tl2br w:val="nil"/>
              <w:tr2bl w:val="nil"/>
            </w:tcBorders>
            <w:vAlign w:val="center"/>
          </w:tcPr>
          <w:p>
            <w:pPr>
              <w:spacing w:line="240" w:lineRule="auto"/>
              <w:jc w:val="center"/>
            </w:pPr>
            <w:r>
              <w:rPr>
                <w:sz w:val="21"/>
                <w:szCs w:val="21"/>
              </w:rPr>
              <w:t>三级</w:t>
            </w:r>
          </w:p>
        </w:tc>
      </w:tr>
    </w:tbl>
    <w:p>
      <w:pPr>
        <w:pStyle w:val="320"/>
        <w:snapToGrid w:val="0"/>
        <w:spacing w:before="0" w:line="360" w:lineRule="auto"/>
        <w:ind w:firstLine="480"/>
        <w:rPr>
          <w:rFonts w:ascii="Times New Roman" w:hAnsi="Times New Roman"/>
        </w:rPr>
      </w:pPr>
    </w:p>
    <w:p>
      <w:pPr>
        <w:pStyle w:val="320"/>
        <w:snapToGrid w:val="0"/>
        <w:spacing w:before="0" w:line="360" w:lineRule="auto"/>
        <w:ind w:firstLine="480"/>
        <w:rPr>
          <w:rFonts w:ascii="Times New Roman" w:hAnsi="Times New Roman"/>
        </w:rPr>
      </w:pPr>
      <w:r>
        <w:rPr>
          <w:rFonts w:ascii="Times New Roman" w:hAnsi="Times New Roman"/>
        </w:rPr>
        <w:t>项目位于</w:t>
      </w:r>
      <w:r>
        <w:rPr>
          <w:rFonts w:ascii="Times New Roman" w:hAnsi="Times New Roman" w:eastAsiaTheme="minorEastAsia"/>
        </w:rPr>
        <w:t>井研县高凤乡星星亮村</w:t>
      </w:r>
      <w:r>
        <w:rPr>
          <w:rFonts w:ascii="Times New Roman" w:hAnsi="Times New Roman"/>
        </w:rPr>
        <w:t>，属于农村区域。项目占地范围内不涉及风景名胜区、自然保护区、森林公园等，为一般区域。项目总占地面积为</w:t>
      </w:r>
      <w:r>
        <w:rPr>
          <w:rFonts w:hint="eastAsia" w:ascii="Times New Roman" w:hAnsi="Times New Roman"/>
        </w:rPr>
        <w:t>129</w:t>
      </w:r>
      <w:r>
        <w:rPr>
          <w:rFonts w:ascii="Times New Roman" w:hAnsi="Times New Roman"/>
        </w:rPr>
        <w:t>亩，小于2km</w:t>
      </w:r>
      <w:r>
        <w:rPr>
          <w:rFonts w:ascii="Times New Roman" w:hAnsi="Times New Roman"/>
          <w:vertAlign w:val="superscript"/>
        </w:rPr>
        <w:t>2</w:t>
      </w:r>
      <w:r>
        <w:rPr>
          <w:rFonts w:ascii="Times New Roman" w:hAnsi="Times New Roman"/>
        </w:rPr>
        <w:t>。根据《环境影响评价技术导则 生态影响》（HJ 19-2011）相关要求，项目生态环境影响评价工作等级为三级。</w:t>
      </w:r>
    </w:p>
    <w:p>
      <w:pPr>
        <w:pStyle w:val="320"/>
        <w:snapToGrid w:val="0"/>
        <w:spacing w:before="0" w:line="360" w:lineRule="auto"/>
        <w:ind w:firstLine="480"/>
        <w:rPr>
          <w:rFonts w:ascii="Times New Roman" w:hAnsi="Times New Roman"/>
        </w:rPr>
      </w:pPr>
      <w:r>
        <w:rPr>
          <w:rFonts w:ascii="Times New Roman" w:hAnsi="Times New Roman"/>
        </w:rPr>
        <w:t>生态环境评价范围：项目场界及场界外200m范围的区域。</w:t>
      </w:r>
    </w:p>
    <w:p>
      <w:pPr>
        <w:jc w:val="left"/>
        <w:outlineLvl w:val="2"/>
        <w:rPr>
          <w:rFonts w:eastAsia="黑体"/>
          <w:bCs/>
          <w:sz w:val="28"/>
          <w:szCs w:val="28"/>
        </w:rPr>
      </w:pPr>
      <w:r>
        <w:rPr>
          <w:rFonts w:eastAsia="黑体"/>
          <w:bCs/>
          <w:sz w:val="28"/>
          <w:szCs w:val="28"/>
        </w:rPr>
        <w:t>2.11.6 环境风险评价等级</w:t>
      </w:r>
    </w:p>
    <w:p>
      <w:pPr>
        <w:tabs>
          <w:tab w:val="right" w:leader="dot" w:pos="8505"/>
        </w:tabs>
        <w:spacing w:line="480" w:lineRule="exact"/>
        <w:ind w:firstLine="480" w:firstLineChars="200"/>
      </w:pPr>
      <w:r>
        <w:rPr>
          <w:rFonts w:hint="eastAsia"/>
        </w:rPr>
        <w:t>根据《建设项目环境风险评价技术导则》（HJ 169—2018），根据建设项目涉及的物质及工艺系统危险性和所在地的环境敏感性确定环境风险潜势。</w:t>
      </w:r>
    </w:p>
    <w:p>
      <w:pPr>
        <w:pStyle w:val="23"/>
        <w:ind w:firstLine="0"/>
        <w:jc w:val="center"/>
        <w:rPr>
          <w:b/>
          <w:szCs w:val="21"/>
        </w:rPr>
      </w:pPr>
      <w:r>
        <w:rPr>
          <w:rFonts w:eastAsia="黑体"/>
          <w:sz w:val="24"/>
          <w:szCs w:val="24"/>
        </w:rPr>
        <w:t>表</w:t>
      </w:r>
      <w:r>
        <w:rPr>
          <w:rFonts w:hint="eastAsia" w:eastAsia="黑体"/>
          <w:sz w:val="24"/>
          <w:szCs w:val="24"/>
        </w:rPr>
        <w:t>2</w:t>
      </w:r>
      <w:r>
        <w:rPr>
          <w:rFonts w:eastAsia="黑体"/>
          <w:sz w:val="24"/>
          <w:szCs w:val="24"/>
        </w:rPr>
        <w:t>.1</w:t>
      </w:r>
      <w:r>
        <w:rPr>
          <w:rFonts w:hint="eastAsia" w:eastAsia="黑体"/>
          <w:sz w:val="24"/>
          <w:szCs w:val="24"/>
        </w:rPr>
        <w:t>1</w:t>
      </w:r>
      <w:r>
        <w:rPr>
          <w:rFonts w:eastAsia="黑体"/>
          <w:sz w:val="24"/>
          <w:szCs w:val="24"/>
        </w:rPr>
        <w:t>-5</w:t>
      </w:r>
      <w:r>
        <w:rPr>
          <w:rFonts w:hint="eastAsia" w:eastAsia="黑体"/>
          <w:sz w:val="24"/>
          <w:szCs w:val="24"/>
        </w:rPr>
        <w:t>评价工作</w:t>
      </w:r>
      <w:r>
        <w:rPr>
          <w:rFonts w:eastAsia="黑体"/>
          <w:sz w:val="24"/>
          <w:szCs w:val="24"/>
        </w:rPr>
        <w:t>等级划分</w:t>
      </w:r>
    </w:p>
    <w:tbl>
      <w:tblPr>
        <w:tblStyle w:val="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1865"/>
        <w:gridCol w:w="1856"/>
        <w:gridCol w:w="1856"/>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Borders>
              <w:top w:val="single" w:color="auto" w:sz="12" w:space="0"/>
              <w:left w:val="nil"/>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环境风险潜势</w:t>
            </w:r>
          </w:p>
        </w:tc>
        <w:tc>
          <w:tcPr>
            <w:tcW w:w="1668"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r>
              <w:rPr>
                <w:rFonts w:hint="eastAsia"/>
                <w:kern w:val="0"/>
                <w:sz w:val="21"/>
                <w:szCs w:val="21"/>
              </w:rPr>
              <w:t>、I</w:t>
            </w:r>
            <w:r>
              <w:rPr>
                <w:kern w:val="0"/>
                <w:sz w:val="21"/>
                <w:szCs w:val="21"/>
              </w:rPr>
              <w:t>V</w:t>
            </w:r>
            <w:r>
              <w:rPr>
                <w:rFonts w:hint="eastAsia"/>
                <w:kern w:val="0"/>
                <w:sz w:val="21"/>
                <w:szCs w:val="21"/>
                <w:vertAlign w:val="superscript"/>
              </w:rPr>
              <w:t>+</w:t>
            </w:r>
          </w:p>
        </w:tc>
        <w:tc>
          <w:tcPr>
            <w:tcW w:w="1660"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660"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c>
          <w:tcPr>
            <w:tcW w:w="1660" w:type="dxa"/>
            <w:tcBorders>
              <w:top w:val="single" w:color="auto" w:sz="12" w:space="0"/>
              <w:left w:val="single" w:color="auto" w:sz="6" w:space="0"/>
              <w:bottom w:val="single" w:color="auto" w:sz="6" w:space="0"/>
              <w:right w:val="nil"/>
            </w:tcBorders>
          </w:tcPr>
          <w:p>
            <w:pPr>
              <w:widowControl/>
              <w:snapToGrid w:val="0"/>
              <w:spacing w:line="240" w:lineRule="auto"/>
              <w:jc w:val="center"/>
              <w:rPr>
                <w:kern w:val="0"/>
                <w:sz w:val="21"/>
                <w:szCs w:val="21"/>
              </w:rPr>
            </w:pPr>
            <w:r>
              <w:rPr>
                <w:rFonts w:hint="eastAsia"/>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Borders>
              <w:top w:val="single" w:color="auto" w:sz="6" w:space="0"/>
              <w:left w:val="nil"/>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评价工作等级</w:t>
            </w:r>
          </w:p>
        </w:tc>
        <w:tc>
          <w:tcPr>
            <w:tcW w:w="1668"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一</w:t>
            </w:r>
          </w:p>
        </w:tc>
        <w:tc>
          <w:tcPr>
            <w:tcW w:w="1660"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二</w:t>
            </w:r>
          </w:p>
        </w:tc>
        <w:tc>
          <w:tcPr>
            <w:tcW w:w="1660"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三</w:t>
            </w:r>
          </w:p>
        </w:tc>
        <w:tc>
          <w:tcPr>
            <w:tcW w:w="1660" w:type="dxa"/>
            <w:tcBorders>
              <w:top w:val="single" w:color="auto" w:sz="6" w:space="0"/>
              <w:left w:val="single" w:color="auto" w:sz="6" w:space="0"/>
              <w:bottom w:val="single" w:color="auto" w:sz="6" w:space="0"/>
              <w:right w:val="nil"/>
            </w:tcBorders>
          </w:tcPr>
          <w:p>
            <w:pPr>
              <w:widowControl/>
              <w:snapToGrid w:val="0"/>
              <w:spacing w:line="240" w:lineRule="auto"/>
              <w:jc w:val="center"/>
              <w:rPr>
                <w:kern w:val="0"/>
                <w:sz w:val="21"/>
                <w:szCs w:val="21"/>
              </w:rPr>
            </w:pPr>
            <w:r>
              <w:rPr>
                <w:rFonts w:hint="eastAsia"/>
                <w:kern w:val="0"/>
                <w:sz w:val="21"/>
                <w:szCs w:val="21"/>
              </w:rPr>
              <w:t>简单分析a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7" w:type="dxa"/>
            <w:gridSpan w:val="5"/>
            <w:tcBorders>
              <w:top w:val="single" w:color="auto" w:sz="6" w:space="0"/>
              <w:left w:val="nil"/>
              <w:bottom w:val="single" w:color="auto" w:sz="12" w:space="0"/>
              <w:right w:val="nil"/>
            </w:tcBorders>
          </w:tcPr>
          <w:p>
            <w:pPr>
              <w:widowControl/>
              <w:snapToGrid w:val="0"/>
              <w:spacing w:line="240" w:lineRule="auto"/>
              <w:jc w:val="left"/>
              <w:rPr>
                <w:kern w:val="0"/>
                <w:sz w:val="21"/>
                <w:szCs w:val="21"/>
              </w:rPr>
            </w:pPr>
            <w:r>
              <w:rPr>
                <w:kern w:val="0"/>
                <w:sz w:val="21"/>
                <w:szCs w:val="21"/>
              </w:rPr>
              <w:t xml:space="preserve">a </w:t>
            </w:r>
            <w:r>
              <w:rPr>
                <w:rFonts w:hint="eastAsia"/>
                <w:kern w:val="0"/>
                <w:sz w:val="21"/>
                <w:szCs w:val="21"/>
              </w:rPr>
              <w:t>是相对于详细评价工作内容而言，在描述危险物质、环境影响途径、环境危害后果、风险防范措施等方面给出定性的说明。</w:t>
            </w:r>
          </w:p>
        </w:tc>
      </w:tr>
    </w:tbl>
    <w:p>
      <w:pPr>
        <w:widowControl/>
        <w:ind w:firstLine="480" w:firstLineChars="200"/>
      </w:pPr>
      <w:r>
        <w:rPr>
          <w:rFonts w:hint="eastAsia"/>
        </w:rPr>
        <w:t>建设项目环境风险潜势划分为Ⅰ、Ⅱ、Ⅲ、Ⅳ/Ⅳ</w:t>
      </w:r>
      <w:r>
        <w:rPr>
          <w:rFonts w:hint="eastAsia"/>
          <w:vertAlign w:val="superscript"/>
        </w:rPr>
        <w:t>+</w:t>
      </w:r>
      <w:r>
        <w:rPr>
          <w:rFonts w:hint="eastAsia"/>
        </w:rPr>
        <w:t>级。根据建设项目涉及的物质和工艺系统的危险性及其所在地的环境敏感程度，结合事故情形下环境影响途径，对建设项目潜在环境危害程度进行概化分析，按照2</w:t>
      </w:r>
      <w:r>
        <w:t>.11</w:t>
      </w:r>
      <w:r>
        <w:rPr>
          <w:rFonts w:hint="eastAsia"/>
        </w:rPr>
        <w:t>-</w:t>
      </w:r>
      <w:r>
        <w:t>6</w:t>
      </w:r>
      <w:r>
        <w:rPr>
          <w:rFonts w:hint="eastAsia"/>
        </w:rPr>
        <w:t>确定环境风险潜势。</w:t>
      </w:r>
    </w:p>
    <w:p>
      <w:pPr>
        <w:spacing w:line="240" w:lineRule="auto"/>
        <w:jc w:val="center"/>
        <w:rPr>
          <w:rFonts w:eastAsia="黑体"/>
        </w:rPr>
      </w:pPr>
    </w:p>
    <w:p>
      <w:pPr>
        <w:spacing w:line="240" w:lineRule="auto"/>
        <w:jc w:val="center"/>
        <w:rPr>
          <w:rFonts w:eastAsia="黑体"/>
        </w:rPr>
      </w:pPr>
      <w:r>
        <w:rPr>
          <w:rFonts w:hint="eastAsia" w:eastAsia="黑体"/>
        </w:rPr>
        <w:t xml:space="preserve"> 表2</w:t>
      </w:r>
      <w:r>
        <w:rPr>
          <w:rFonts w:eastAsia="黑体"/>
        </w:rPr>
        <w:t>.11</w:t>
      </w:r>
      <w:r>
        <w:rPr>
          <w:rFonts w:hint="eastAsia" w:eastAsia="黑体"/>
        </w:rPr>
        <w:t>-</w:t>
      </w:r>
      <w:r>
        <w:rPr>
          <w:rFonts w:eastAsia="黑体"/>
        </w:rPr>
        <w:t>6</w:t>
      </w:r>
      <w:r>
        <w:rPr>
          <w:rFonts w:hint="eastAsia" w:eastAsia="黑体"/>
        </w:rPr>
        <w:t xml:space="preserve">  建设项目环境风险潜势划分</w:t>
      </w:r>
    </w:p>
    <w:tbl>
      <w:tblPr>
        <w:tblStyle w:val="8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6"/>
        <w:gridCol w:w="1857"/>
        <w:gridCol w:w="1858"/>
        <w:gridCol w:w="1858"/>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Merge w:val="restart"/>
            <w:tcBorders>
              <w:top w:val="single" w:color="auto" w:sz="12"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环境敏感程度（E）</w:t>
            </w:r>
          </w:p>
        </w:tc>
        <w:tc>
          <w:tcPr>
            <w:tcW w:w="6824" w:type="dxa"/>
            <w:gridSpan w:val="4"/>
            <w:tcBorders>
              <w:top w:val="single" w:color="auto" w:sz="12"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危险物质及工艺系统危险性（P）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Merge w:val="continue"/>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极高危害（P</w:t>
            </w:r>
            <w:r>
              <w:rPr>
                <w:kern w:val="0"/>
                <w:sz w:val="21"/>
                <w:szCs w:val="21"/>
              </w:rPr>
              <w:t>1</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高度危害（P</w:t>
            </w:r>
            <w:r>
              <w:rPr>
                <w:kern w:val="0"/>
                <w:sz w:val="21"/>
                <w:szCs w:val="21"/>
              </w:rPr>
              <w:t>2</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中度危害（P</w:t>
            </w:r>
            <w:r>
              <w:rPr>
                <w:kern w:val="0"/>
                <w:sz w:val="21"/>
                <w:szCs w:val="21"/>
              </w:rPr>
              <w:t>3</w:t>
            </w:r>
            <w:r>
              <w:rPr>
                <w:rFonts w:hint="eastAsia"/>
                <w:kern w:val="0"/>
                <w:sz w:val="21"/>
                <w:szCs w:val="21"/>
              </w:rPr>
              <w:t>）</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轻度危害（P</w:t>
            </w:r>
            <w:r>
              <w:rPr>
                <w:kern w:val="0"/>
                <w:sz w:val="21"/>
                <w:szCs w:val="21"/>
              </w:rPr>
              <w:t>4</w:t>
            </w:r>
            <w:r>
              <w:rPr>
                <w:rFonts w:hint="eastAsia"/>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环境高度敏感区（E</w:t>
            </w:r>
            <w:r>
              <w:rPr>
                <w:kern w:val="0"/>
                <w:sz w:val="21"/>
                <w:szCs w:val="21"/>
              </w:rPr>
              <w:t>1</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r>
              <w:rPr>
                <w:rFonts w:hint="eastAsia"/>
                <w:kern w:val="0"/>
                <w:sz w:val="21"/>
                <w:szCs w:val="21"/>
                <w:vertAlign w:val="superscript"/>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环境中度敏感区（E</w:t>
            </w:r>
            <w:r>
              <w:rPr>
                <w:kern w:val="0"/>
                <w:sz w:val="21"/>
                <w:szCs w:val="21"/>
              </w:rPr>
              <w:t>2</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环境低度敏感区（E</w:t>
            </w:r>
            <w:r>
              <w:rPr>
                <w:kern w:val="0"/>
                <w:sz w:val="21"/>
                <w:szCs w:val="21"/>
              </w:rPr>
              <w:t>3</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9" w:type="dxa"/>
            <w:gridSpan w:val="5"/>
            <w:tcBorders>
              <w:top w:val="single" w:color="auto" w:sz="6" w:space="0"/>
              <w:left w:val="nil"/>
              <w:bottom w:val="single" w:color="auto" w:sz="12" w:space="0"/>
              <w:right w:val="nil"/>
            </w:tcBorders>
            <w:vAlign w:val="center"/>
          </w:tcPr>
          <w:p>
            <w:pPr>
              <w:widowControl/>
              <w:snapToGrid w:val="0"/>
              <w:spacing w:line="240" w:lineRule="auto"/>
              <w:jc w:val="center"/>
              <w:rPr>
                <w:kern w:val="0"/>
                <w:sz w:val="21"/>
                <w:szCs w:val="21"/>
              </w:rPr>
            </w:pPr>
            <w:r>
              <w:rPr>
                <w:rFonts w:hint="eastAsia"/>
                <w:kern w:val="0"/>
                <w:sz w:val="21"/>
                <w:szCs w:val="21"/>
              </w:rPr>
              <w:t>注：I</w:t>
            </w:r>
            <w:r>
              <w:rPr>
                <w:kern w:val="0"/>
                <w:sz w:val="21"/>
                <w:szCs w:val="21"/>
              </w:rPr>
              <w:t>V</w:t>
            </w:r>
            <w:r>
              <w:rPr>
                <w:rFonts w:hint="eastAsia"/>
                <w:kern w:val="0"/>
                <w:sz w:val="21"/>
                <w:szCs w:val="21"/>
                <w:vertAlign w:val="superscript"/>
              </w:rPr>
              <w:t>+</w:t>
            </w:r>
            <w:r>
              <w:rPr>
                <w:rFonts w:hint="eastAsia"/>
                <w:kern w:val="0"/>
                <w:sz w:val="21"/>
                <w:szCs w:val="21"/>
              </w:rPr>
              <w:t>为极高环境风险</w:t>
            </w:r>
          </w:p>
        </w:tc>
      </w:tr>
    </w:tbl>
    <w:p>
      <w:pPr>
        <w:widowControl/>
        <w:ind w:firstLine="480" w:firstLineChars="200"/>
      </w:pPr>
      <w:r>
        <w:rPr>
          <w:rFonts w:hint="eastAsia"/>
        </w:rPr>
        <w:t xml:space="preserve">分析建设项目生产、使用、储存过程中涉及的有毒有害、易燃易爆物质，参见《建设项目环境风险评价技术导则》（HJ169-2018）附录 B 确定危险物质的临界量。定量分析危险物质数量与临界量的比值（Q）和所属行业及生产工艺特点（M），对危险物质及工艺系统危险性（P）等级进行判断。 </w:t>
      </w:r>
    </w:p>
    <w:p>
      <w:pPr>
        <w:spacing w:line="240" w:lineRule="auto"/>
        <w:jc w:val="center"/>
        <w:rPr>
          <w:rFonts w:eastAsia="黑体"/>
        </w:rPr>
      </w:pPr>
      <w:r>
        <w:rPr>
          <w:rFonts w:hint="eastAsia" w:eastAsia="黑体"/>
        </w:rPr>
        <w:t>表2</w:t>
      </w:r>
      <w:r>
        <w:rPr>
          <w:rFonts w:eastAsia="黑体"/>
        </w:rPr>
        <w:t>.11</w:t>
      </w:r>
      <w:r>
        <w:rPr>
          <w:rFonts w:hint="eastAsia" w:eastAsia="黑体"/>
        </w:rPr>
        <w:t>-</w:t>
      </w:r>
      <w:r>
        <w:rPr>
          <w:rFonts w:eastAsia="黑体"/>
        </w:rPr>
        <w:t>7</w:t>
      </w:r>
      <w:r>
        <w:rPr>
          <w:rFonts w:hint="eastAsia" w:eastAsia="黑体"/>
        </w:rPr>
        <w:t xml:space="preserve">  危险物质及工艺系统危险性等级判断（P）</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856"/>
        <w:gridCol w:w="1857"/>
        <w:gridCol w:w="1858"/>
        <w:gridCol w:w="1858"/>
        <w:gridCol w:w="185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705" w:type="dxa"/>
            <w:vMerge w:val="restart"/>
          </w:tcPr>
          <w:p>
            <w:pPr>
              <w:widowControl/>
              <w:snapToGrid w:val="0"/>
              <w:spacing w:line="240" w:lineRule="auto"/>
              <w:jc w:val="center"/>
              <w:rPr>
                <w:kern w:val="0"/>
                <w:sz w:val="21"/>
                <w:szCs w:val="21"/>
              </w:rPr>
            </w:pPr>
            <w:r>
              <w:rPr>
                <w:rFonts w:hint="eastAsia"/>
                <w:kern w:val="0"/>
                <w:sz w:val="21"/>
                <w:szCs w:val="21"/>
              </w:rPr>
              <w:t>危险物质数量与临界量比值（Q）</w:t>
            </w:r>
          </w:p>
        </w:tc>
        <w:tc>
          <w:tcPr>
            <w:tcW w:w="6824" w:type="dxa"/>
            <w:gridSpan w:val="4"/>
          </w:tcPr>
          <w:p>
            <w:pPr>
              <w:widowControl/>
              <w:snapToGrid w:val="0"/>
              <w:spacing w:line="240" w:lineRule="auto"/>
              <w:jc w:val="center"/>
              <w:rPr>
                <w:kern w:val="0"/>
                <w:sz w:val="21"/>
                <w:szCs w:val="21"/>
              </w:rPr>
            </w:pPr>
            <w:r>
              <w:rPr>
                <w:rFonts w:hint="eastAsia"/>
                <w:kern w:val="0"/>
                <w:sz w:val="21"/>
                <w:szCs w:val="21"/>
              </w:rPr>
              <w:t>行业及生产工艺（M）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705" w:type="dxa"/>
            <w:vMerge w:val="continue"/>
          </w:tcPr>
          <w:p>
            <w:pPr>
              <w:widowControl/>
              <w:snapToGrid w:val="0"/>
              <w:spacing w:line="240" w:lineRule="auto"/>
              <w:jc w:val="center"/>
              <w:rPr>
                <w:kern w:val="0"/>
                <w:sz w:val="21"/>
                <w:szCs w:val="21"/>
              </w:rPr>
            </w:pPr>
          </w:p>
        </w:tc>
        <w:tc>
          <w:tcPr>
            <w:tcW w:w="1706" w:type="dxa"/>
          </w:tcPr>
          <w:p>
            <w:pPr>
              <w:widowControl/>
              <w:snapToGrid w:val="0"/>
              <w:spacing w:line="240" w:lineRule="auto"/>
              <w:jc w:val="center"/>
              <w:rPr>
                <w:kern w:val="0"/>
                <w:sz w:val="21"/>
                <w:szCs w:val="21"/>
              </w:rPr>
            </w:pPr>
            <w:r>
              <w:rPr>
                <w:kern w:val="0"/>
                <w:sz w:val="21"/>
                <w:szCs w:val="21"/>
              </w:rPr>
              <w:t>M1</w:t>
            </w:r>
          </w:p>
        </w:tc>
        <w:tc>
          <w:tcPr>
            <w:tcW w:w="1706" w:type="dxa"/>
          </w:tcPr>
          <w:p>
            <w:pPr>
              <w:widowControl/>
              <w:snapToGrid w:val="0"/>
              <w:spacing w:line="240" w:lineRule="auto"/>
              <w:jc w:val="center"/>
              <w:rPr>
                <w:kern w:val="0"/>
                <w:sz w:val="21"/>
                <w:szCs w:val="21"/>
              </w:rPr>
            </w:pPr>
            <w:r>
              <w:rPr>
                <w:rFonts w:hint="eastAsia"/>
                <w:kern w:val="0"/>
                <w:sz w:val="21"/>
                <w:szCs w:val="21"/>
              </w:rPr>
              <w:t>M</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M</w:t>
            </w:r>
            <w:r>
              <w:rPr>
                <w:kern w:val="0"/>
                <w:sz w:val="21"/>
                <w:szCs w:val="21"/>
              </w:rPr>
              <w:t>3</w:t>
            </w:r>
          </w:p>
        </w:tc>
        <w:tc>
          <w:tcPr>
            <w:tcW w:w="1706" w:type="dxa"/>
          </w:tcPr>
          <w:p>
            <w:pPr>
              <w:widowControl/>
              <w:snapToGrid w:val="0"/>
              <w:spacing w:line="240" w:lineRule="auto"/>
              <w:jc w:val="center"/>
              <w:rPr>
                <w:kern w:val="0"/>
                <w:sz w:val="21"/>
                <w:szCs w:val="21"/>
              </w:rPr>
            </w:pPr>
            <w:r>
              <w:rPr>
                <w:rFonts w:hint="eastAsia"/>
                <w:kern w:val="0"/>
                <w:sz w:val="21"/>
                <w:szCs w:val="21"/>
              </w:rPr>
              <w:t>M</w:t>
            </w:r>
            <w:r>
              <w:rPr>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705" w:type="dxa"/>
          </w:tcPr>
          <w:p>
            <w:pPr>
              <w:widowControl/>
              <w:snapToGrid w:val="0"/>
              <w:spacing w:line="240" w:lineRule="auto"/>
              <w:jc w:val="center"/>
              <w:rPr>
                <w:kern w:val="0"/>
                <w:sz w:val="21"/>
                <w:szCs w:val="21"/>
              </w:rPr>
            </w:pPr>
            <w:r>
              <w:rPr>
                <w:rFonts w:hint="eastAsia"/>
                <w:kern w:val="0"/>
                <w:sz w:val="21"/>
                <w:szCs w:val="21"/>
              </w:rPr>
              <w:t>Q≥1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705" w:type="dxa"/>
          </w:tcPr>
          <w:p>
            <w:pPr>
              <w:widowControl/>
              <w:snapToGrid w:val="0"/>
              <w:spacing w:line="240" w:lineRule="auto"/>
              <w:jc w:val="center"/>
              <w:rPr>
                <w:kern w:val="0"/>
                <w:sz w:val="21"/>
                <w:szCs w:val="21"/>
              </w:rPr>
            </w:pPr>
            <w:r>
              <w:rPr>
                <w:rFonts w:hint="eastAsia"/>
                <w:kern w:val="0"/>
                <w:sz w:val="21"/>
                <w:szCs w:val="21"/>
              </w:rPr>
              <w:t>1</w:t>
            </w:r>
            <w:r>
              <w:rPr>
                <w:kern w:val="0"/>
                <w:sz w:val="21"/>
                <w:szCs w:val="21"/>
              </w:rPr>
              <w:t>0</w:t>
            </w:r>
            <w:r>
              <w:rPr>
                <w:rFonts w:hint="eastAsia"/>
                <w:kern w:val="0"/>
                <w:sz w:val="21"/>
                <w:szCs w:val="21"/>
              </w:rPr>
              <w:t>≤</w:t>
            </w:r>
            <w:r>
              <w:rPr>
                <w:kern w:val="0"/>
                <w:sz w:val="21"/>
                <w:szCs w:val="21"/>
              </w:rPr>
              <w:t>Q</w:t>
            </w:r>
            <w:r>
              <w:rPr>
                <w:rFonts w:hint="eastAsia"/>
                <w:kern w:val="0"/>
                <w:sz w:val="21"/>
                <w:szCs w:val="21"/>
              </w:rPr>
              <w:t>＜1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705" w:type="dxa"/>
          </w:tcPr>
          <w:p>
            <w:pPr>
              <w:widowControl/>
              <w:snapToGrid w:val="0"/>
              <w:spacing w:line="240" w:lineRule="auto"/>
              <w:jc w:val="center"/>
              <w:rPr>
                <w:kern w:val="0"/>
                <w:sz w:val="21"/>
                <w:szCs w:val="21"/>
              </w:rPr>
            </w:pPr>
            <w:r>
              <w:rPr>
                <w:rFonts w:hint="eastAsia"/>
                <w:kern w:val="0"/>
                <w:sz w:val="21"/>
                <w:szCs w:val="21"/>
              </w:rPr>
              <w:t>1≤</w:t>
            </w:r>
            <w:r>
              <w:rPr>
                <w:kern w:val="0"/>
                <w:sz w:val="21"/>
                <w:szCs w:val="21"/>
              </w:rPr>
              <w:t>Q</w:t>
            </w:r>
            <w:r>
              <w:rPr>
                <w:rFonts w:hint="eastAsia"/>
                <w:kern w:val="0"/>
                <w:sz w:val="21"/>
                <w:szCs w:val="21"/>
              </w:rPr>
              <w:t>＜1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r>
    </w:tbl>
    <w:p>
      <w:pPr>
        <w:widowControl/>
        <w:ind w:firstLine="480" w:firstLineChars="200"/>
      </w:pPr>
      <w:r>
        <w:rPr>
          <w:rFonts w:hint="eastAsia"/>
        </w:rPr>
        <w:t>计算所涉及的每种危险物质在厂界内的最大存在总量与其在对应《建设项目环境风险评价技术导则》（HJ/T169-2018）附录 B 中临界量的比值 Q。在不同厂区的同一种物质，按其在厂界内的最大存在总量计算。当只涉及一种危险物质时，计算该物质的总量与其临界量比值，即为 Q；当存在多种危险物质时，则按下式计算物质总量与其临界量比值（Q）：</w:t>
      </w:r>
    </w:p>
    <w:p>
      <w:pPr>
        <w:widowControl/>
        <w:ind w:firstLine="1920" w:firstLineChars="800"/>
      </w:pPr>
      <w:r>
        <w:drawing>
          <wp:inline distT="0" distB="0" distL="0" distR="0">
            <wp:extent cx="1965960" cy="48006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4"/>
                    <a:stretch>
                      <a:fillRect/>
                    </a:stretch>
                  </pic:blipFill>
                  <pic:spPr>
                    <a:xfrm>
                      <a:off x="0" y="0"/>
                      <a:ext cx="1966130" cy="480102"/>
                    </a:xfrm>
                    <a:prstGeom prst="rect">
                      <a:avLst/>
                    </a:prstGeom>
                  </pic:spPr>
                </pic:pic>
              </a:graphicData>
            </a:graphic>
          </wp:inline>
        </w:drawing>
      </w:r>
    </w:p>
    <w:p>
      <w:pPr>
        <w:widowControl/>
      </w:pPr>
      <w:r>
        <w:rPr>
          <w:rFonts w:hint="eastAsia"/>
        </w:rPr>
        <w:t xml:space="preserve">式中：q1，q2，...，qn——每种危险物质的最大存在总量，t； </w:t>
      </w:r>
    </w:p>
    <w:p>
      <w:pPr>
        <w:widowControl/>
        <w:ind w:firstLine="720" w:firstLineChars="300"/>
      </w:pPr>
      <w:r>
        <w:rPr>
          <w:rFonts w:hint="eastAsia"/>
        </w:rPr>
        <w:t xml:space="preserve">Q1，Q2，...，Qn——每种危险物质的临界量，t。 </w:t>
      </w:r>
    </w:p>
    <w:p>
      <w:pPr>
        <w:widowControl/>
        <w:ind w:firstLine="720" w:firstLineChars="300"/>
      </w:pPr>
      <w:r>
        <w:rPr>
          <w:rFonts w:hint="eastAsia"/>
        </w:rPr>
        <w:t xml:space="preserve">当 Q＜1 时，该项目环境风险潜势为Ⅰ。 </w:t>
      </w:r>
    </w:p>
    <w:p>
      <w:pPr>
        <w:widowControl/>
        <w:ind w:firstLine="720" w:firstLineChars="300"/>
      </w:pPr>
      <w:r>
        <w:rPr>
          <w:rFonts w:hint="eastAsia"/>
        </w:rPr>
        <w:t xml:space="preserve">当 Q≥1 时，将 Q 值划分为： </w:t>
      </w:r>
    </w:p>
    <w:p>
      <w:pPr>
        <w:widowControl/>
        <w:ind w:firstLine="960" w:firstLineChars="400"/>
      </w:pPr>
      <w:r>
        <w:rPr>
          <w:rFonts w:hint="eastAsia"/>
        </w:rPr>
        <w:t xml:space="preserve">1≤Q＜10； 10≤Q＜100； Q≥100。 </w:t>
      </w:r>
    </w:p>
    <w:p>
      <w:pPr>
        <w:widowControl/>
        <w:ind w:firstLine="480" w:firstLineChars="200"/>
      </w:pPr>
      <w:r>
        <w:rPr>
          <w:rFonts w:hint="eastAsia"/>
        </w:rPr>
        <w:t>根据《建设项目环境风险评价技术导则》（HJ169-2018）附录 B.1 和附录B.2（化学品分类和标签规范》（GB30000.18-2013）和《化学品分类和标签规范》（GB30000.28-2013））识别本项目的危险物质为柴油。</w:t>
      </w:r>
    </w:p>
    <w:p>
      <w:pPr>
        <w:spacing w:line="240" w:lineRule="auto"/>
        <w:jc w:val="center"/>
        <w:rPr>
          <w:rFonts w:eastAsia="黑体"/>
        </w:rPr>
      </w:pPr>
      <w:r>
        <w:rPr>
          <w:rFonts w:hint="eastAsia" w:eastAsia="黑体"/>
        </w:rPr>
        <w:t xml:space="preserve">表 </w:t>
      </w:r>
      <w:r>
        <w:rPr>
          <w:rFonts w:eastAsia="黑体"/>
        </w:rPr>
        <w:t>2.11</w:t>
      </w:r>
      <w:r>
        <w:rPr>
          <w:rFonts w:hint="eastAsia" w:eastAsia="黑体"/>
        </w:rPr>
        <w:t>-</w:t>
      </w:r>
      <w:r>
        <w:rPr>
          <w:rFonts w:eastAsia="黑体"/>
        </w:rPr>
        <w:t>8</w:t>
      </w:r>
      <w:r>
        <w:rPr>
          <w:rFonts w:hint="eastAsia" w:eastAsia="黑体"/>
        </w:rPr>
        <w:t xml:space="preserve">  建设项目 Q值确定表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93"/>
        <w:gridCol w:w="1231"/>
        <w:gridCol w:w="1245"/>
        <w:gridCol w:w="1393"/>
        <w:gridCol w:w="2151"/>
        <w:gridCol w:w="237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00" w:type="dxa"/>
            <w:vAlign w:val="center"/>
          </w:tcPr>
          <w:p>
            <w:pPr>
              <w:widowControl/>
              <w:spacing w:line="240" w:lineRule="auto"/>
              <w:jc w:val="center"/>
              <w:rPr>
                <w:kern w:val="0"/>
                <w:sz w:val="21"/>
                <w:szCs w:val="21"/>
              </w:rPr>
            </w:pPr>
            <w:r>
              <w:rPr>
                <w:rFonts w:hint="eastAsia"/>
                <w:kern w:val="0"/>
                <w:sz w:val="21"/>
                <w:szCs w:val="21"/>
              </w:rPr>
              <w:t>序号</w:t>
            </w:r>
          </w:p>
        </w:tc>
        <w:tc>
          <w:tcPr>
            <w:tcW w:w="1102" w:type="dxa"/>
            <w:vAlign w:val="center"/>
          </w:tcPr>
          <w:p>
            <w:pPr>
              <w:widowControl/>
              <w:spacing w:line="240" w:lineRule="auto"/>
              <w:jc w:val="center"/>
              <w:rPr>
                <w:kern w:val="0"/>
                <w:sz w:val="21"/>
                <w:szCs w:val="21"/>
              </w:rPr>
            </w:pPr>
            <w:r>
              <w:rPr>
                <w:rFonts w:hint="eastAsia"/>
                <w:kern w:val="0"/>
                <w:sz w:val="21"/>
                <w:szCs w:val="21"/>
              </w:rPr>
              <w:t>危险物质名称</w:t>
            </w:r>
          </w:p>
        </w:tc>
        <w:tc>
          <w:tcPr>
            <w:tcW w:w="1114" w:type="dxa"/>
            <w:vAlign w:val="center"/>
          </w:tcPr>
          <w:p>
            <w:pPr>
              <w:widowControl/>
              <w:spacing w:line="240" w:lineRule="auto"/>
              <w:jc w:val="center"/>
              <w:rPr>
                <w:kern w:val="0"/>
                <w:sz w:val="21"/>
                <w:szCs w:val="21"/>
              </w:rPr>
            </w:pPr>
            <w:r>
              <w:rPr>
                <w:rFonts w:hint="eastAsia"/>
                <w:kern w:val="0"/>
                <w:sz w:val="21"/>
                <w:szCs w:val="21"/>
              </w:rPr>
              <w:t>C</w:t>
            </w:r>
            <w:r>
              <w:rPr>
                <w:kern w:val="0"/>
                <w:sz w:val="21"/>
                <w:szCs w:val="21"/>
              </w:rPr>
              <w:t>AS</w:t>
            </w:r>
            <w:r>
              <w:rPr>
                <w:rFonts w:hint="eastAsia"/>
                <w:kern w:val="0"/>
                <w:sz w:val="21"/>
                <w:szCs w:val="21"/>
              </w:rPr>
              <w:t>号</w:t>
            </w:r>
          </w:p>
        </w:tc>
        <w:tc>
          <w:tcPr>
            <w:tcW w:w="1247" w:type="dxa"/>
            <w:vAlign w:val="center"/>
          </w:tcPr>
          <w:p>
            <w:pPr>
              <w:widowControl/>
              <w:spacing w:line="240" w:lineRule="auto"/>
              <w:jc w:val="center"/>
              <w:rPr>
                <w:kern w:val="0"/>
                <w:sz w:val="21"/>
                <w:szCs w:val="21"/>
              </w:rPr>
            </w:pPr>
            <w:r>
              <w:rPr>
                <w:rFonts w:hint="eastAsia"/>
                <w:kern w:val="0"/>
                <w:sz w:val="21"/>
                <w:szCs w:val="21"/>
              </w:rPr>
              <w:t>最大存在总量Q</w:t>
            </w:r>
            <w:r>
              <w:rPr>
                <w:kern w:val="0"/>
                <w:sz w:val="21"/>
                <w:szCs w:val="21"/>
              </w:rPr>
              <w:t>n</w:t>
            </w:r>
          </w:p>
        </w:tc>
        <w:tc>
          <w:tcPr>
            <w:tcW w:w="1925" w:type="dxa"/>
            <w:vAlign w:val="center"/>
          </w:tcPr>
          <w:p>
            <w:pPr>
              <w:widowControl/>
              <w:spacing w:line="240" w:lineRule="auto"/>
              <w:jc w:val="center"/>
              <w:rPr>
                <w:kern w:val="0"/>
                <w:sz w:val="21"/>
                <w:szCs w:val="21"/>
              </w:rPr>
            </w:pPr>
            <w:r>
              <w:rPr>
                <w:rFonts w:hint="eastAsia"/>
                <w:kern w:val="0"/>
                <w:sz w:val="21"/>
                <w:szCs w:val="21"/>
              </w:rPr>
              <w:t>临界量Qn</w:t>
            </w:r>
          </w:p>
        </w:tc>
        <w:tc>
          <w:tcPr>
            <w:tcW w:w="2125" w:type="dxa"/>
            <w:vAlign w:val="center"/>
          </w:tcPr>
          <w:p>
            <w:pPr>
              <w:widowControl/>
              <w:spacing w:line="240" w:lineRule="auto"/>
              <w:jc w:val="center"/>
              <w:rPr>
                <w:kern w:val="0"/>
                <w:sz w:val="21"/>
                <w:szCs w:val="21"/>
              </w:rPr>
            </w:pPr>
            <w:r>
              <w:rPr>
                <w:rFonts w:hint="eastAsia"/>
                <w:kern w:val="0"/>
                <w:sz w:val="21"/>
                <w:szCs w:val="21"/>
              </w:rPr>
              <w:t>该种危险物质Q值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00" w:type="dxa"/>
            <w:vAlign w:val="center"/>
          </w:tcPr>
          <w:p>
            <w:pPr>
              <w:widowControl/>
              <w:spacing w:line="240" w:lineRule="auto"/>
              <w:jc w:val="center"/>
              <w:rPr>
                <w:kern w:val="0"/>
                <w:sz w:val="21"/>
                <w:szCs w:val="21"/>
              </w:rPr>
            </w:pPr>
            <w:r>
              <w:rPr>
                <w:rFonts w:hint="eastAsia"/>
                <w:kern w:val="0"/>
                <w:sz w:val="21"/>
                <w:szCs w:val="21"/>
              </w:rPr>
              <w:t>1</w:t>
            </w:r>
          </w:p>
        </w:tc>
        <w:tc>
          <w:tcPr>
            <w:tcW w:w="1102" w:type="dxa"/>
            <w:vAlign w:val="center"/>
          </w:tcPr>
          <w:p>
            <w:pPr>
              <w:widowControl/>
              <w:spacing w:line="240" w:lineRule="auto"/>
              <w:jc w:val="center"/>
              <w:rPr>
                <w:kern w:val="0"/>
                <w:sz w:val="21"/>
                <w:szCs w:val="21"/>
              </w:rPr>
            </w:pPr>
            <w:r>
              <w:rPr>
                <w:rFonts w:hint="eastAsia"/>
                <w:kern w:val="0"/>
                <w:sz w:val="21"/>
                <w:szCs w:val="21"/>
              </w:rPr>
              <w:t>次氯酸钠</w:t>
            </w:r>
          </w:p>
        </w:tc>
        <w:tc>
          <w:tcPr>
            <w:tcW w:w="1114" w:type="dxa"/>
            <w:vAlign w:val="center"/>
          </w:tcPr>
          <w:p>
            <w:pPr>
              <w:widowControl/>
              <w:spacing w:line="240" w:lineRule="auto"/>
              <w:jc w:val="center"/>
              <w:rPr>
                <w:kern w:val="0"/>
                <w:sz w:val="21"/>
                <w:szCs w:val="21"/>
              </w:rPr>
            </w:pPr>
            <w:r>
              <w:rPr>
                <w:kern w:val="0"/>
                <w:sz w:val="21"/>
                <w:szCs w:val="21"/>
              </w:rPr>
              <w:t>7681-52-9</w:t>
            </w:r>
          </w:p>
        </w:tc>
        <w:tc>
          <w:tcPr>
            <w:tcW w:w="1247" w:type="dxa"/>
            <w:vAlign w:val="center"/>
          </w:tcPr>
          <w:p>
            <w:pPr>
              <w:widowControl/>
              <w:spacing w:line="240" w:lineRule="auto"/>
              <w:jc w:val="center"/>
              <w:rPr>
                <w:kern w:val="0"/>
                <w:sz w:val="21"/>
                <w:szCs w:val="21"/>
              </w:rPr>
            </w:pPr>
            <w:r>
              <w:rPr>
                <w:kern w:val="0"/>
                <w:sz w:val="21"/>
                <w:szCs w:val="21"/>
              </w:rPr>
              <w:t>0.5t</w:t>
            </w:r>
          </w:p>
        </w:tc>
        <w:tc>
          <w:tcPr>
            <w:tcW w:w="1925" w:type="dxa"/>
            <w:vAlign w:val="center"/>
          </w:tcPr>
          <w:p>
            <w:pPr>
              <w:widowControl/>
              <w:spacing w:line="240" w:lineRule="auto"/>
              <w:jc w:val="center"/>
              <w:rPr>
                <w:kern w:val="0"/>
                <w:sz w:val="21"/>
                <w:szCs w:val="21"/>
              </w:rPr>
            </w:pPr>
            <w:r>
              <w:rPr>
                <w:rFonts w:hint="eastAsia"/>
                <w:kern w:val="0"/>
                <w:sz w:val="21"/>
                <w:szCs w:val="21"/>
              </w:rPr>
              <w:t>1</w:t>
            </w:r>
            <w:r>
              <w:rPr>
                <w:kern w:val="0"/>
                <w:sz w:val="21"/>
                <w:szCs w:val="21"/>
              </w:rPr>
              <w:t>0</w:t>
            </w:r>
            <w:r>
              <w:rPr>
                <w:rFonts w:hint="eastAsia"/>
                <w:kern w:val="0"/>
                <w:sz w:val="21"/>
                <w:szCs w:val="21"/>
              </w:rPr>
              <w:t>t</w:t>
            </w:r>
          </w:p>
        </w:tc>
        <w:tc>
          <w:tcPr>
            <w:tcW w:w="2125" w:type="dxa"/>
            <w:vAlign w:val="center"/>
          </w:tcPr>
          <w:p>
            <w:pPr>
              <w:widowControl/>
              <w:spacing w:line="240" w:lineRule="auto"/>
              <w:jc w:val="center"/>
              <w:rPr>
                <w:kern w:val="0"/>
                <w:sz w:val="21"/>
                <w:szCs w:val="21"/>
              </w:rPr>
            </w:pPr>
            <w:r>
              <w:rPr>
                <w:kern w:val="0"/>
                <w:sz w:val="21"/>
                <w:szCs w:val="21"/>
              </w:rPr>
              <w:t>0.05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00" w:type="dxa"/>
            <w:vAlign w:val="center"/>
          </w:tcPr>
          <w:p>
            <w:pPr>
              <w:widowControl/>
              <w:spacing w:line="240" w:lineRule="auto"/>
              <w:jc w:val="center"/>
              <w:rPr>
                <w:kern w:val="0"/>
                <w:sz w:val="21"/>
                <w:szCs w:val="21"/>
              </w:rPr>
            </w:pPr>
            <w:r>
              <w:rPr>
                <w:rFonts w:hint="eastAsia"/>
                <w:kern w:val="0"/>
                <w:sz w:val="21"/>
                <w:szCs w:val="21"/>
              </w:rPr>
              <w:t>2</w:t>
            </w:r>
          </w:p>
        </w:tc>
        <w:tc>
          <w:tcPr>
            <w:tcW w:w="1102" w:type="dxa"/>
            <w:vAlign w:val="center"/>
          </w:tcPr>
          <w:p>
            <w:pPr>
              <w:widowControl/>
              <w:spacing w:line="240" w:lineRule="auto"/>
              <w:jc w:val="center"/>
              <w:rPr>
                <w:kern w:val="0"/>
                <w:sz w:val="21"/>
                <w:szCs w:val="21"/>
              </w:rPr>
            </w:pPr>
            <w:r>
              <w:rPr>
                <w:rFonts w:hint="eastAsia"/>
                <w:kern w:val="0"/>
                <w:sz w:val="21"/>
                <w:szCs w:val="21"/>
              </w:rPr>
              <w:t>柴油</w:t>
            </w:r>
          </w:p>
        </w:tc>
        <w:tc>
          <w:tcPr>
            <w:tcW w:w="1114" w:type="dxa"/>
            <w:vAlign w:val="center"/>
          </w:tcPr>
          <w:p>
            <w:pPr>
              <w:widowControl/>
              <w:spacing w:line="240" w:lineRule="auto"/>
              <w:jc w:val="center"/>
              <w:rPr>
                <w:kern w:val="0"/>
                <w:sz w:val="21"/>
                <w:szCs w:val="21"/>
              </w:rPr>
            </w:pPr>
            <w:r>
              <w:rPr>
                <w:rFonts w:hint="eastAsia"/>
                <w:kern w:val="0"/>
                <w:sz w:val="21"/>
                <w:szCs w:val="21"/>
              </w:rPr>
              <w:t>/</w:t>
            </w:r>
          </w:p>
        </w:tc>
        <w:tc>
          <w:tcPr>
            <w:tcW w:w="1247" w:type="dxa"/>
            <w:vAlign w:val="center"/>
          </w:tcPr>
          <w:p>
            <w:pPr>
              <w:widowControl/>
              <w:spacing w:line="240" w:lineRule="auto"/>
              <w:jc w:val="center"/>
              <w:rPr>
                <w:kern w:val="0"/>
                <w:sz w:val="21"/>
                <w:szCs w:val="21"/>
              </w:rPr>
            </w:pPr>
            <w:r>
              <w:rPr>
                <w:rFonts w:hint="eastAsia"/>
                <w:kern w:val="0"/>
                <w:sz w:val="21"/>
                <w:szCs w:val="21"/>
              </w:rPr>
              <w:t>0.8t</w:t>
            </w:r>
          </w:p>
        </w:tc>
        <w:tc>
          <w:tcPr>
            <w:tcW w:w="1925" w:type="dxa"/>
            <w:vAlign w:val="center"/>
          </w:tcPr>
          <w:p>
            <w:pPr>
              <w:widowControl/>
              <w:spacing w:line="240" w:lineRule="auto"/>
              <w:jc w:val="center"/>
              <w:rPr>
                <w:kern w:val="0"/>
                <w:sz w:val="21"/>
                <w:szCs w:val="21"/>
              </w:rPr>
            </w:pPr>
            <w:r>
              <w:rPr>
                <w:rFonts w:hint="eastAsia"/>
                <w:kern w:val="0"/>
                <w:sz w:val="21"/>
                <w:szCs w:val="21"/>
              </w:rPr>
              <w:t>2500t</w:t>
            </w:r>
          </w:p>
        </w:tc>
        <w:tc>
          <w:tcPr>
            <w:tcW w:w="2125" w:type="dxa"/>
            <w:vAlign w:val="center"/>
          </w:tcPr>
          <w:p>
            <w:pPr>
              <w:widowControl/>
              <w:spacing w:line="240" w:lineRule="auto"/>
              <w:jc w:val="center"/>
              <w:rPr>
                <w:kern w:val="0"/>
                <w:sz w:val="21"/>
                <w:szCs w:val="21"/>
              </w:rPr>
            </w:pPr>
            <w:r>
              <w:rPr>
                <w:rFonts w:hint="eastAsia"/>
                <w:kern w:val="0"/>
                <w:sz w:val="21"/>
                <w:szCs w:val="21"/>
              </w:rPr>
              <w:t>0.00032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88" w:type="dxa"/>
            <w:gridSpan w:val="5"/>
            <w:vAlign w:val="center"/>
          </w:tcPr>
          <w:p>
            <w:pPr>
              <w:widowControl/>
              <w:spacing w:line="240" w:lineRule="auto"/>
              <w:jc w:val="center"/>
              <w:rPr>
                <w:kern w:val="0"/>
                <w:sz w:val="21"/>
                <w:szCs w:val="21"/>
              </w:rPr>
            </w:pPr>
            <w:r>
              <w:rPr>
                <w:rFonts w:hint="eastAsia"/>
                <w:kern w:val="0"/>
                <w:sz w:val="21"/>
                <w:szCs w:val="21"/>
              </w:rPr>
              <w:t>项目Q值和</w:t>
            </w:r>
          </w:p>
        </w:tc>
        <w:tc>
          <w:tcPr>
            <w:tcW w:w="2125" w:type="dxa"/>
            <w:vAlign w:val="center"/>
          </w:tcPr>
          <w:p>
            <w:pPr>
              <w:widowControl/>
              <w:spacing w:line="240" w:lineRule="auto"/>
              <w:jc w:val="center"/>
              <w:rPr>
                <w:kern w:val="0"/>
                <w:sz w:val="21"/>
                <w:szCs w:val="21"/>
              </w:rPr>
            </w:pPr>
            <w:r>
              <w:rPr>
                <w:kern w:val="0"/>
                <w:sz w:val="21"/>
                <w:szCs w:val="21"/>
              </w:rPr>
              <w:t>0.05032</w:t>
            </w:r>
          </w:p>
        </w:tc>
      </w:tr>
    </w:tbl>
    <w:p>
      <w:pPr>
        <w:tabs>
          <w:tab w:val="right" w:leader="dot" w:pos="8505"/>
        </w:tabs>
        <w:ind w:firstLine="480" w:firstLineChars="200"/>
      </w:pPr>
      <w:r>
        <w:rPr>
          <w:rFonts w:hint="eastAsia"/>
        </w:rPr>
        <w:t>根据上表分析，Q 值应取 Q＜1。根据《建设项目环境风险评价技术导则》（HJ/T169-2018）“附录 C”，当 Q＜1 时，该项目环境风险潜势为Ⅰ，则本项目的环境风险潜势为 I，故本项目环境风险评价工作等级为简单分析。</w:t>
      </w:r>
    </w:p>
    <w:p>
      <w:pPr>
        <w:jc w:val="left"/>
        <w:outlineLvl w:val="2"/>
        <w:rPr>
          <w:rFonts w:eastAsia="黑体"/>
          <w:bCs/>
          <w:sz w:val="28"/>
          <w:szCs w:val="28"/>
        </w:rPr>
      </w:pPr>
      <w:r>
        <w:rPr>
          <w:rFonts w:eastAsia="黑体"/>
          <w:bCs/>
          <w:sz w:val="28"/>
          <w:szCs w:val="28"/>
        </w:rPr>
        <w:t xml:space="preserve">2.11.7 </w:t>
      </w:r>
      <w:r>
        <w:rPr>
          <w:rFonts w:hint="eastAsia" w:eastAsia="黑体"/>
          <w:bCs/>
          <w:sz w:val="28"/>
          <w:szCs w:val="28"/>
        </w:rPr>
        <w:t>土壤</w:t>
      </w:r>
      <w:r>
        <w:rPr>
          <w:rFonts w:eastAsia="黑体"/>
          <w:bCs/>
          <w:sz w:val="28"/>
          <w:szCs w:val="28"/>
        </w:rPr>
        <w:t>评价等级</w:t>
      </w:r>
    </w:p>
    <w:p>
      <w:pPr>
        <w:adjustRightInd w:val="0"/>
        <w:snapToGrid w:val="0"/>
        <w:ind w:firstLine="480" w:firstLineChars="200"/>
        <w:rPr>
          <w:color w:val="000000"/>
        </w:rPr>
      </w:pPr>
      <w:r>
        <w:rPr>
          <w:rFonts w:hint="eastAsia"/>
          <w:color w:val="000000"/>
        </w:rPr>
        <w:t>（1）项目类型</w:t>
      </w:r>
    </w:p>
    <w:p>
      <w:pPr>
        <w:adjustRightInd w:val="0"/>
        <w:snapToGrid w:val="0"/>
        <w:ind w:firstLine="470" w:firstLineChars="196"/>
        <w:rPr>
          <w:color w:val="000000"/>
          <w:szCs w:val="20"/>
        </w:rPr>
      </w:pPr>
      <w:r>
        <w:rPr>
          <w:rFonts w:hint="eastAsia"/>
          <w:color w:val="000000"/>
          <w:szCs w:val="20"/>
        </w:rPr>
        <w:t>本项目属于生猪养殖项目，养殖规模低于年出栏1</w:t>
      </w:r>
      <w:r>
        <w:rPr>
          <w:color w:val="000000"/>
          <w:szCs w:val="20"/>
        </w:rPr>
        <w:t>0</w:t>
      </w:r>
      <w:r>
        <w:rPr>
          <w:rFonts w:hint="eastAsia"/>
          <w:color w:val="000000"/>
          <w:szCs w:val="20"/>
        </w:rPr>
        <w:t>万头，高于5</w:t>
      </w:r>
      <w:r>
        <w:rPr>
          <w:color w:val="000000"/>
          <w:szCs w:val="20"/>
        </w:rPr>
        <w:t>000</w:t>
      </w:r>
      <w:r>
        <w:rPr>
          <w:rFonts w:hint="eastAsia"/>
          <w:color w:val="000000"/>
          <w:szCs w:val="20"/>
        </w:rPr>
        <w:t>头；</w:t>
      </w:r>
      <w:r>
        <w:rPr>
          <w:color w:val="000000"/>
          <w:szCs w:val="20"/>
        </w:rPr>
        <w:t>根据《环境影响评价技术导则</w:t>
      </w:r>
      <w:r>
        <w:rPr>
          <w:rFonts w:hint="eastAsia"/>
          <w:color w:val="000000"/>
          <w:szCs w:val="20"/>
        </w:rPr>
        <w:t xml:space="preserve"> 土壤环境（试行）</w:t>
      </w:r>
      <w:r>
        <w:rPr>
          <w:color w:val="000000"/>
          <w:szCs w:val="20"/>
        </w:rPr>
        <w:t>》HJ964</w:t>
      </w:r>
      <w:r>
        <w:rPr>
          <w:rFonts w:hint="eastAsia"/>
          <w:color w:val="000000"/>
          <w:szCs w:val="20"/>
        </w:rPr>
        <w:t>-</w:t>
      </w:r>
      <w:r>
        <w:rPr>
          <w:color w:val="000000"/>
          <w:szCs w:val="20"/>
        </w:rPr>
        <w:t>2018附录A，本项目属于III类项目。</w:t>
      </w:r>
    </w:p>
    <w:p>
      <w:pPr>
        <w:adjustRightInd w:val="0"/>
        <w:snapToGrid w:val="0"/>
        <w:ind w:firstLine="470" w:firstLineChars="196"/>
        <w:rPr>
          <w:color w:val="000000"/>
          <w:szCs w:val="20"/>
        </w:rPr>
      </w:pPr>
      <w:r>
        <w:rPr>
          <w:rFonts w:hint="eastAsia"/>
          <w:color w:val="000000"/>
          <w:szCs w:val="20"/>
        </w:rPr>
        <w:t>（2）占地规模确定</w:t>
      </w:r>
    </w:p>
    <w:p>
      <w:pPr>
        <w:adjustRightInd w:val="0"/>
        <w:snapToGrid w:val="0"/>
        <w:ind w:firstLine="470" w:firstLineChars="196"/>
        <w:rPr>
          <w:color w:val="000000"/>
          <w:szCs w:val="20"/>
        </w:rPr>
      </w:pPr>
      <w:r>
        <w:rPr>
          <w:rFonts w:hint="eastAsia"/>
          <w:color w:val="000000"/>
          <w:szCs w:val="20"/>
        </w:rPr>
        <w:t>将建设项目占地规模分为大型（≥50hm</w:t>
      </w:r>
      <w:r>
        <w:rPr>
          <w:rFonts w:hint="eastAsia"/>
          <w:color w:val="000000"/>
          <w:szCs w:val="20"/>
          <w:vertAlign w:val="superscript"/>
        </w:rPr>
        <w:t>2</w:t>
      </w:r>
      <w:r>
        <w:rPr>
          <w:rFonts w:hint="eastAsia"/>
          <w:color w:val="000000"/>
          <w:szCs w:val="20"/>
        </w:rPr>
        <w:t>）、中型（5~50hm</w:t>
      </w:r>
      <w:r>
        <w:rPr>
          <w:rFonts w:hint="eastAsia"/>
          <w:color w:val="000000"/>
          <w:szCs w:val="20"/>
          <w:vertAlign w:val="superscript"/>
        </w:rPr>
        <w:t>2</w:t>
      </w:r>
      <w:r>
        <w:rPr>
          <w:rFonts w:hint="eastAsia"/>
          <w:color w:val="000000"/>
          <w:szCs w:val="20"/>
        </w:rPr>
        <w:t>）、小型（≤5hm</w:t>
      </w:r>
      <w:r>
        <w:rPr>
          <w:rFonts w:hint="eastAsia"/>
          <w:color w:val="000000"/>
          <w:szCs w:val="20"/>
          <w:vertAlign w:val="superscript"/>
        </w:rPr>
        <w:t>2</w:t>
      </w:r>
      <w:r>
        <w:rPr>
          <w:rFonts w:hint="eastAsia"/>
          <w:color w:val="000000"/>
          <w:szCs w:val="20"/>
        </w:rPr>
        <w:t>）。本项目面积</w:t>
      </w:r>
      <w:r>
        <w:rPr>
          <w:rFonts w:hint="eastAsia"/>
          <w:color w:val="000000"/>
        </w:rPr>
        <w:t>约8</w:t>
      </w:r>
      <w:r>
        <w:rPr>
          <w:color w:val="000000"/>
        </w:rPr>
        <w:t>.6h</w:t>
      </w:r>
      <w:r>
        <w:rPr>
          <w:rFonts w:hint="eastAsia"/>
          <w:color w:val="000000"/>
          <w:szCs w:val="20"/>
        </w:rPr>
        <w:t>m</w:t>
      </w:r>
      <w:r>
        <w:rPr>
          <w:rFonts w:hint="eastAsia"/>
          <w:color w:val="000000"/>
          <w:szCs w:val="20"/>
          <w:vertAlign w:val="superscript"/>
        </w:rPr>
        <w:t>2</w:t>
      </w:r>
      <w:r>
        <w:rPr>
          <w:rFonts w:hint="eastAsia"/>
          <w:color w:val="000000"/>
          <w:szCs w:val="20"/>
        </w:rPr>
        <w:t>＞5hm</w:t>
      </w:r>
      <w:r>
        <w:rPr>
          <w:rFonts w:hint="eastAsia"/>
          <w:color w:val="000000"/>
          <w:szCs w:val="20"/>
          <w:vertAlign w:val="superscript"/>
        </w:rPr>
        <w:t>2</w:t>
      </w:r>
      <w:r>
        <w:rPr>
          <w:rFonts w:hint="eastAsia"/>
          <w:color w:val="000000"/>
          <w:szCs w:val="20"/>
        </w:rPr>
        <w:t>，属于中型占地规模。</w:t>
      </w:r>
    </w:p>
    <w:p>
      <w:pPr>
        <w:adjustRightInd w:val="0"/>
        <w:snapToGrid w:val="0"/>
        <w:ind w:firstLine="480" w:firstLineChars="200"/>
        <w:textAlignment w:val="baseline"/>
        <w:rPr>
          <w:rFonts w:ascii="Calibri" w:hAnsi="Calibri"/>
          <w:color w:val="000000"/>
        </w:rPr>
      </w:pPr>
      <w:r>
        <w:rPr>
          <w:rFonts w:hint="eastAsia"/>
          <w:color w:val="000000"/>
        </w:rPr>
        <w:t>（3）</w:t>
      </w:r>
      <w:r>
        <w:rPr>
          <w:rFonts w:hint="eastAsia" w:ascii="Calibri" w:hAnsi="Calibri"/>
          <w:color w:val="000000"/>
        </w:rPr>
        <w:t>项目所在地周边土壤环境敏感程度</w:t>
      </w:r>
    </w:p>
    <w:p>
      <w:pPr>
        <w:adjustRightInd w:val="0"/>
        <w:snapToGrid w:val="0"/>
        <w:ind w:firstLine="470" w:firstLineChars="196"/>
        <w:rPr>
          <w:color w:val="000000"/>
          <w:szCs w:val="20"/>
        </w:rPr>
      </w:pPr>
      <w:r>
        <w:rPr>
          <w:rFonts w:hint="eastAsia"/>
          <w:color w:val="000000"/>
          <w:szCs w:val="20"/>
        </w:rPr>
        <w:t>项目位于农村地区内，周边主要为耕地及居住用地，因此，项目周边土壤环境敏感程度为敏感。</w:t>
      </w:r>
    </w:p>
    <w:p>
      <w:pPr>
        <w:keepNext/>
        <w:adjustRightInd w:val="0"/>
        <w:snapToGrid w:val="0"/>
        <w:spacing w:line="240" w:lineRule="auto"/>
        <w:ind w:firstLine="422"/>
        <w:jc w:val="center"/>
        <w:rPr>
          <w:rFonts w:eastAsia="黑体"/>
          <w:bCs/>
          <w:color w:val="000000"/>
        </w:rPr>
      </w:pPr>
      <w:r>
        <w:rPr>
          <w:rFonts w:hint="eastAsia" w:eastAsia="黑体"/>
          <w:bCs/>
          <w:color w:val="000000"/>
        </w:rPr>
        <w:t>表</w:t>
      </w:r>
      <w:r>
        <w:rPr>
          <w:rFonts w:eastAsia="黑体"/>
          <w:bCs/>
          <w:color w:val="000000"/>
        </w:rPr>
        <w:t>2.11</w:t>
      </w:r>
      <w:r>
        <w:rPr>
          <w:rFonts w:hint="eastAsia" w:eastAsia="黑体"/>
          <w:bCs/>
          <w:color w:val="000000"/>
        </w:rPr>
        <w:t>-9  污染影响型土壤环境敏感程度分级表</w:t>
      </w:r>
    </w:p>
    <w:tbl>
      <w:tblPr>
        <w:tblStyle w:val="3279"/>
        <w:tblW w:w="8948"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5"/>
        <w:gridCol w:w="3260"/>
        <w:gridCol w:w="43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05" w:type="dxa"/>
            <w:shd w:val="clear" w:color="auto" w:fill="auto"/>
            <w:vAlign w:val="center"/>
          </w:tcPr>
          <w:p>
            <w:pPr>
              <w:snapToGrid w:val="0"/>
              <w:spacing w:line="240" w:lineRule="auto"/>
              <w:jc w:val="center"/>
              <w:rPr>
                <w:bCs/>
                <w:color w:val="000000"/>
                <w:kern w:val="0"/>
                <w:sz w:val="20"/>
              </w:rPr>
            </w:pPr>
            <w:r>
              <w:rPr>
                <w:bCs/>
                <w:color w:val="000000"/>
                <w:kern w:val="0"/>
                <w:sz w:val="20"/>
              </w:rPr>
              <w:t>敏感程度</w:t>
            </w:r>
          </w:p>
        </w:tc>
        <w:tc>
          <w:tcPr>
            <w:tcW w:w="3260" w:type="dxa"/>
            <w:shd w:val="clear" w:color="auto" w:fill="auto"/>
            <w:vAlign w:val="center"/>
          </w:tcPr>
          <w:p>
            <w:pPr>
              <w:snapToGrid w:val="0"/>
              <w:spacing w:line="240" w:lineRule="auto"/>
              <w:jc w:val="center"/>
              <w:rPr>
                <w:bCs/>
                <w:color w:val="000000"/>
                <w:kern w:val="0"/>
                <w:sz w:val="20"/>
              </w:rPr>
            </w:pPr>
            <w:r>
              <w:rPr>
                <w:bCs/>
                <w:color w:val="000000"/>
                <w:kern w:val="0"/>
                <w:sz w:val="20"/>
              </w:rPr>
              <w:t>判别依据</w:t>
            </w:r>
          </w:p>
        </w:tc>
        <w:tc>
          <w:tcPr>
            <w:tcW w:w="4383" w:type="dxa"/>
            <w:shd w:val="clear" w:color="auto" w:fill="auto"/>
            <w:vAlign w:val="center"/>
          </w:tcPr>
          <w:p>
            <w:pPr>
              <w:snapToGrid w:val="0"/>
              <w:spacing w:line="240" w:lineRule="auto"/>
              <w:jc w:val="center"/>
              <w:rPr>
                <w:bCs/>
                <w:color w:val="000000"/>
                <w:kern w:val="0"/>
                <w:sz w:val="20"/>
              </w:rPr>
            </w:pPr>
            <w:r>
              <w:rPr>
                <w:bCs/>
                <w:color w:val="000000"/>
                <w:kern w:val="0"/>
                <w:sz w:val="20"/>
              </w:rPr>
              <w:t>本项目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05" w:type="dxa"/>
            <w:shd w:val="clear" w:color="auto" w:fill="auto"/>
            <w:vAlign w:val="center"/>
          </w:tcPr>
          <w:p>
            <w:pPr>
              <w:snapToGrid w:val="0"/>
              <w:spacing w:line="240" w:lineRule="auto"/>
              <w:jc w:val="center"/>
              <w:rPr>
                <w:bCs/>
                <w:color w:val="000000"/>
                <w:kern w:val="0"/>
                <w:sz w:val="20"/>
              </w:rPr>
            </w:pPr>
            <w:r>
              <w:rPr>
                <w:bCs/>
                <w:color w:val="000000"/>
                <w:kern w:val="0"/>
                <w:sz w:val="20"/>
              </w:rPr>
              <w:t>敏感</w:t>
            </w:r>
          </w:p>
        </w:tc>
        <w:tc>
          <w:tcPr>
            <w:tcW w:w="3260" w:type="dxa"/>
            <w:shd w:val="clear" w:color="auto" w:fill="auto"/>
            <w:vAlign w:val="center"/>
          </w:tcPr>
          <w:p>
            <w:pPr>
              <w:snapToGrid w:val="0"/>
              <w:spacing w:line="240" w:lineRule="auto"/>
              <w:jc w:val="center"/>
              <w:rPr>
                <w:bCs/>
                <w:color w:val="000000"/>
                <w:kern w:val="0"/>
                <w:sz w:val="20"/>
              </w:rPr>
            </w:pPr>
            <w:r>
              <w:rPr>
                <w:bCs/>
                <w:color w:val="000000"/>
                <w:kern w:val="0"/>
                <w:sz w:val="20"/>
              </w:rPr>
              <w:t>建设项目周边存在耕地、园地、牧草地、饮用水水源地或居民区、学校、医院、疗养院、养老院等土壤环境敏感目标的</w:t>
            </w:r>
          </w:p>
        </w:tc>
        <w:tc>
          <w:tcPr>
            <w:tcW w:w="4383" w:type="dxa"/>
            <w:vMerge w:val="restart"/>
            <w:shd w:val="clear" w:color="auto" w:fill="auto"/>
            <w:vAlign w:val="center"/>
          </w:tcPr>
          <w:p>
            <w:pPr>
              <w:adjustRightInd w:val="0"/>
              <w:snapToGrid w:val="0"/>
              <w:spacing w:line="240" w:lineRule="auto"/>
              <w:jc w:val="center"/>
              <w:rPr>
                <w:bCs/>
                <w:color w:val="000000"/>
                <w:kern w:val="0"/>
                <w:sz w:val="20"/>
              </w:rPr>
            </w:pPr>
            <w:r>
              <w:rPr>
                <w:bCs/>
                <w:color w:val="000000"/>
                <w:kern w:val="0"/>
                <w:sz w:val="20"/>
              </w:rPr>
              <w:t>根据现场调查，项目周边</w:t>
            </w:r>
            <w:r>
              <w:rPr>
                <w:rFonts w:hint="eastAsia"/>
                <w:bCs/>
                <w:color w:val="000000"/>
                <w:kern w:val="0"/>
                <w:sz w:val="20"/>
              </w:rPr>
              <w:t>全部为耕地及居住用地</w:t>
            </w:r>
            <w:r>
              <w:rPr>
                <w:bCs/>
                <w:color w:val="000000"/>
                <w:kern w:val="0"/>
                <w:sz w:val="20"/>
              </w:rPr>
              <w:t>，因此本项目周边土壤环境敏感程度为不敏感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05" w:type="dxa"/>
            <w:shd w:val="clear" w:color="auto" w:fill="auto"/>
            <w:vAlign w:val="center"/>
          </w:tcPr>
          <w:p>
            <w:pPr>
              <w:spacing w:line="240" w:lineRule="auto"/>
              <w:jc w:val="center"/>
              <w:rPr>
                <w:color w:val="000000"/>
                <w:kern w:val="0"/>
                <w:sz w:val="20"/>
              </w:rPr>
            </w:pPr>
            <w:r>
              <w:rPr>
                <w:color w:val="000000"/>
                <w:kern w:val="0"/>
                <w:sz w:val="20"/>
              </w:rPr>
              <w:t>较敏感</w:t>
            </w:r>
          </w:p>
        </w:tc>
        <w:tc>
          <w:tcPr>
            <w:tcW w:w="3260" w:type="dxa"/>
            <w:shd w:val="clear" w:color="auto" w:fill="auto"/>
            <w:vAlign w:val="center"/>
          </w:tcPr>
          <w:p>
            <w:pPr>
              <w:spacing w:line="240" w:lineRule="auto"/>
              <w:jc w:val="center"/>
              <w:rPr>
                <w:color w:val="000000"/>
                <w:kern w:val="0"/>
                <w:sz w:val="20"/>
              </w:rPr>
            </w:pPr>
            <w:r>
              <w:rPr>
                <w:color w:val="000000"/>
                <w:kern w:val="0"/>
                <w:sz w:val="20"/>
              </w:rPr>
              <w:t>建设项目周边存在其他土壤环境敏感目标的</w:t>
            </w:r>
          </w:p>
        </w:tc>
        <w:tc>
          <w:tcPr>
            <w:tcW w:w="4383" w:type="dxa"/>
            <w:vMerge w:val="continue"/>
            <w:shd w:val="clear" w:color="auto" w:fill="auto"/>
            <w:vAlign w:val="center"/>
          </w:tcPr>
          <w:p>
            <w:pPr>
              <w:spacing w:line="240" w:lineRule="auto"/>
              <w:jc w:val="center"/>
              <w:rPr>
                <w:color w:val="000000"/>
                <w:kern w:val="0"/>
                <w:sz w:val="2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05" w:type="dxa"/>
            <w:shd w:val="clear" w:color="auto" w:fill="auto"/>
            <w:vAlign w:val="center"/>
          </w:tcPr>
          <w:p>
            <w:pPr>
              <w:spacing w:line="240" w:lineRule="auto"/>
              <w:jc w:val="center"/>
              <w:rPr>
                <w:color w:val="000000"/>
                <w:kern w:val="0"/>
                <w:sz w:val="20"/>
              </w:rPr>
            </w:pPr>
            <w:r>
              <w:rPr>
                <w:color w:val="000000"/>
                <w:kern w:val="0"/>
                <w:sz w:val="20"/>
              </w:rPr>
              <w:t>不敏感</w:t>
            </w:r>
          </w:p>
        </w:tc>
        <w:tc>
          <w:tcPr>
            <w:tcW w:w="3260" w:type="dxa"/>
            <w:shd w:val="clear" w:color="auto" w:fill="auto"/>
            <w:vAlign w:val="center"/>
          </w:tcPr>
          <w:p>
            <w:pPr>
              <w:spacing w:line="240" w:lineRule="auto"/>
              <w:jc w:val="center"/>
              <w:rPr>
                <w:color w:val="000000"/>
                <w:kern w:val="0"/>
                <w:sz w:val="20"/>
              </w:rPr>
            </w:pPr>
            <w:r>
              <w:rPr>
                <w:color w:val="000000"/>
                <w:kern w:val="0"/>
                <w:sz w:val="20"/>
              </w:rPr>
              <w:t>其他情况</w:t>
            </w:r>
          </w:p>
        </w:tc>
        <w:tc>
          <w:tcPr>
            <w:tcW w:w="4383" w:type="dxa"/>
            <w:vMerge w:val="continue"/>
            <w:shd w:val="clear" w:color="auto" w:fill="auto"/>
            <w:vAlign w:val="center"/>
          </w:tcPr>
          <w:p>
            <w:pPr>
              <w:spacing w:line="240" w:lineRule="auto"/>
              <w:jc w:val="center"/>
              <w:rPr>
                <w:color w:val="000000"/>
                <w:kern w:val="0"/>
                <w:sz w:val="20"/>
              </w:rPr>
            </w:pPr>
          </w:p>
        </w:tc>
      </w:tr>
    </w:tbl>
    <w:p>
      <w:pPr>
        <w:spacing w:line="240" w:lineRule="auto"/>
        <w:jc w:val="center"/>
        <w:rPr>
          <w:b/>
          <w:color w:val="000000"/>
        </w:rPr>
      </w:pPr>
    </w:p>
    <w:p>
      <w:pPr>
        <w:adjustRightInd w:val="0"/>
        <w:snapToGrid w:val="0"/>
        <w:spacing w:after="120" w:line="240" w:lineRule="auto"/>
        <w:ind w:firstLine="480"/>
      </w:pPr>
      <w:r>
        <w:fldChar w:fldCharType="begin"/>
      </w:r>
      <w:r>
        <w:instrText xml:space="preserve"> </w:instrText>
      </w:r>
      <w:r>
        <w:rPr>
          <w:rFonts w:hint="eastAsia"/>
        </w:rPr>
        <w:instrText xml:space="preserve">= 5 \* GB3</w:instrText>
      </w:r>
      <w:r>
        <w:instrText xml:space="preserve"> </w:instrText>
      </w:r>
      <w:r>
        <w:fldChar w:fldCharType="separate"/>
      </w:r>
      <w:r>
        <w:rPr>
          <w:rFonts w:hint="eastAsia"/>
        </w:rPr>
        <w:t>⑤</w:t>
      </w:r>
      <w:r>
        <w:fldChar w:fldCharType="end"/>
      </w:r>
      <w:r>
        <w:t xml:space="preserve"> </w:t>
      </w:r>
      <w:r>
        <w:rPr>
          <w:rFonts w:hint="eastAsia"/>
        </w:rPr>
        <w:t>评价工作等级划分</w:t>
      </w:r>
    </w:p>
    <w:p>
      <w:pPr>
        <w:adjustRightInd w:val="0"/>
        <w:snapToGrid w:val="0"/>
        <w:spacing w:after="120" w:line="240" w:lineRule="auto"/>
        <w:ind w:firstLine="480"/>
      </w:pPr>
      <w:r>
        <w:rPr>
          <w:rFonts w:hint="eastAsia"/>
        </w:rPr>
        <w:t>评价工作等级划分情况见表</w:t>
      </w:r>
      <w:r>
        <w:t>2.11-10</w:t>
      </w:r>
      <w:r>
        <w:rPr>
          <w:rFonts w:hint="eastAsia"/>
        </w:rPr>
        <w:t>。</w:t>
      </w:r>
    </w:p>
    <w:p>
      <w:pPr>
        <w:keepNext/>
        <w:adjustRightInd w:val="0"/>
        <w:snapToGrid w:val="0"/>
        <w:spacing w:line="240" w:lineRule="auto"/>
        <w:ind w:firstLine="422"/>
        <w:jc w:val="center"/>
        <w:rPr>
          <w:rFonts w:eastAsia="黑体"/>
          <w:bCs/>
          <w:color w:val="000000"/>
        </w:rPr>
      </w:pPr>
      <w:r>
        <w:rPr>
          <w:rFonts w:hint="eastAsia" w:eastAsia="黑体"/>
          <w:bCs/>
          <w:color w:val="000000"/>
        </w:rPr>
        <w:t>表</w:t>
      </w:r>
      <w:r>
        <w:rPr>
          <w:rFonts w:eastAsia="黑体"/>
          <w:bCs/>
          <w:color w:val="000000"/>
        </w:rPr>
        <w:t>2.11</w:t>
      </w:r>
      <w:r>
        <w:rPr>
          <w:rFonts w:hint="eastAsia" w:eastAsia="黑体"/>
          <w:bCs/>
          <w:color w:val="000000"/>
        </w:rPr>
        <w:t>-</w:t>
      </w:r>
      <w:r>
        <w:rPr>
          <w:rFonts w:eastAsia="黑体"/>
          <w:bCs/>
          <w:color w:val="000000"/>
        </w:rPr>
        <w:t xml:space="preserve">10 </w:t>
      </w:r>
      <w:r>
        <w:rPr>
          <w:rFonts w:hint="eastAsia" w:eastAsia="黑体"/>
          <w:bCs/>
          <w:color w:val="000000"/>
        </w:rPr>
        <w:t>评价工作等级划分表</w:t>
      </w:r>
    </w:p>
    <w:tbl>
      <w:tblPr>
        <w:tblStyle w:val="88"/>
        <w:tblW w:w="895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 w:type="dxa"/>
          <w:bottom w:w="0" w:type="dxa"/>
          <w:right w:w="10" w:type="dxa"/>
        </w:tblCellMar>
      </w:tblPr>
      <w:tblGrid>
        <w:gridCol w:w="2014"/>
        <w:gridCol w:w="883"/>
        <w:gridCol w:w="760"/>
        <w:gridCol w:w="745"/>
        <w:gridCol w:w="754"/>
        <w:gridCol w:w="754"/>
        <w:gridCol w:w="754"/>
        <w:gridCol w:w="750"/>
        <w:gridCol w:w="772"/>
        <w:gridCol w:w="77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 w:type="dxa"/>
            <w:bottom w:w="0" w:type="dxa"/>
            <w:right w:w="10" w:type="dxa"/>
          </w:tblCellMar>
        </w:tblPrEx>
        <w:trPr>
          <w:trHeight w:val="562" w:hRule="exact"/>
          <w:jc w:val="center"/>
        </w:trPr>
        <w:tc>
          <w:tcPr>
            <w:tcW w:w="2014" w:type="dxa"/>
            <w:vMerge w:val="restart"/>
            <w:shd w:val="clear" w:color="auto" w:fill="auto"/>
            <w:vAlign w:val="bottom"/>
          </w:tcPr>
          <w:p>
            <w:pPr>
              <w:spacing w:line="240" w:lineRule="auto"/>
              <w:jc w:val="left"/>
              <w:rPr>
                <w:b/>
                <w:color w:val="000000"/>
                <w:sz w:val="21"/>
              </w:rPr>
            </w:pPr>
            <w:r>
              <w:rPr>
                <w:b/>
                <w:color w:val="000000"/>
                <w:sz w:val="21"/>
              </w:rPr>
              <mc:AlternateContent>
                <mc:Choice Requires="wps">
                  <w:drawing>
                    <wp:anchor distT="0" distB="0" distL="114300" distR="114300" simplePos="0" relativeHeight="251638784" behindDoc="0" locked="0" layoutInCell="1" allowOverlap="1">
                      <wp:simplePos x="0" y="0"/>
                      <wp:positionH relativeFrom="column">
                        <wp:posOffset>419735</wp:posOffset>
                      </wp:positionH>
                      <wp:positionV relativeFrom="paragraph">
                        <wp:posOffset>-6985</wp:posOffset>
                      </wp:positionV>
                      <wp:extent cx="831215" cy="685800"/>
                      <wp:effectExtent l="0" t="0" r="26035" b="19050"/>
                      <wp:wrapNone/>
                      <wp:docPr id="105" name="直接连接符 105"/>
                      <wp:cNvGraphicFramePr/>
                      <a:graphic xmlns:a="http://schemas.openxmlformats.org/drawingml/2006/main">
                        <a:graphicData uri="http://schemas.microsoft.com/office/word/2010/wordprocessingShape">
                          <wps:wsp>
                            <wps:cNvCnPr/>
                            <wps:spPr>
                              <a:xfrm flipH="1" flipV="1">
                                <a:off x="0" y="0"/>
                                <a:ext cx="831273" cy="6858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x y;margin-left:33.05pt;margin-top:-0.55pt;height:54pt;width:65.45pt;z-index:251638784;mso-width-relative:page;mso-height-relative:page;" filled="f" stroked="t" coordsize="21600,21600" o:gfxdata="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3LPddgAAAAJAQAADwAAAAAAAAABACAAAAAiAAAA&#10;ZHJzL2Rvd25yZXYueG1sUEsBAhQAFAAAAAgAh07iQKEfOzcHAgAA7wMAAA4AAAAAAAAAAQAgAAAA&#10;JwEAAGRycy9lMm9Eb2MueG1sUEsFBgAAAAAGAAYAWQEAAKAFAAAAAA==&#10;">
                      <v:fill on="f" focussize="0,0"/>
                      <v:stroke weight="0.5pt" color="#000000" miterlimit="8" joinstyle="miter"/>
                      <v:imagedata o:title=""/>
                      <o:lock v:ext="edit" aspectratio="f"/>
                    </v:line>
                  </w:pict>
                </mc:Fallback>
              </mc:AlternateContent>
            </w:r>
            <w:r>
              <w:rPr>
                <w:b/>
                <w:color w:val="000000"/>
                <w:sz w:val="21"/>
              </w:rPr>
              <w:t>评价工    占地规模</w:t>
            </w:r>
          </w:p>
          <w:p>
            <w:pPr>
              <w:spacing w:line="240" w:lineRule="auto"/>
              <w:jc w:val="left"/>
              <w:rPr>
                <w:b/>
                <w:color w:val="000000"/>
                <w:sz w:val="21"/>
              </w:rPr>
            </w:pPr>
            <w:r>
              <w:rPr>
                <w:b/>
                <w:color w:val="000000"/>
                <w:sz w:val="21"/>
              </w:rPr>
              <mc:AlternateContent>
                <mc:Choice Requires="wps">
                  <w:drawing>
                    <wp:anchor distT="0" distB="0" distL="114300" distR="114300" simplePos="0" relativeHeight="251640832" behindDoc="0" locked="0" layoutInCell="1" allowOverlap="1">
                      <wp:simplePos x="0" y="0"/>
                      <wp:positionH relativeFrom="column">
                        <wp:posOffset>-5080</wp:posOffset>
                      </wp:positionH>
                      <wp:positionV relativeFrom="paragraph">
                        <wp:posOffset>185420</wp:posOffset>
                      </wp:positionV>
                      <wp:extent cx="1252855" cy="293370"/>
                      <wp:effectExtent l="0" t="0" r="23495" b="30480"/>
                      <wp:wrapNone/>
                      <wp:docPr id="106" name="直接连接符 106"/>
                      <wp:cNvGraphicFramePr/>
                      <a:graphic xmlns:a="http://schemas.openxmlformats.org/drawingml/2006/main">
                        <a:graphicData uri="http://schemas.microsoft.com/office/word/2010/wordprocessingShape">
                          <wps:wsp>
                            <wps:cNvCnPr/>
                            <wps:spPr>
                              <a:xfrm flipH="1" flipV="1">
                                <a:off x="0" y="0"/>
                                <a:ext cx="1253218" cy="293914"/>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x y;margin-left:-0.4pt;margin-top:14.6pt;height:23.1pt;width:98.65pt;z-index:251640832;mso-width-relative:page;mso-height-relative:page;" filled="f" stroked="t" coordsize="21600,21600" o:gfxdata="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&#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bWGfB1gAAAAcBAAAPAAAAAAAAAAEAIAAAACIAAABk&#10;cnMvZG93bnJldi54bWxQSwECFAAUAAAACACHTuJAMYW7dwgCAADwAwAADgAAAAAAAAABACAAAAAl&#10;AQAAZHJzL2Uyb0RvYy54bWxQSwUGAAAAAAYABgBZAQAAnwUAAAAA&#10;">
                      <v:fill on="f" focussize="0,0"/>
                      <v:stroke weight="0.5pt" color="#000000" miterlimit="8" joinstyle="miter"/>
                      <v:imagedata o:title=""/>
                      <o:lock v:ext="edit" aspectratio="f"/>
                    </v:line>
                  </w:pict>
                </mc:Fallback>
              </mc:AlternateContent>
            </w:r>
            <w:r>
              <w:rPr>
                <w:b/>
                <w:color w:val="000000"/>
                <w:sz w:val="21"/>
              </w:rPr>
              <w:t>作等级</w:t>
            </w:r>
          </w:p>
          <w:p>
            <w:pPr>
              <w:adjustRightInd w:val="0"/>
              <w:spacing w:line="360" w:lineRule="atLeast"/>
              <w:jc w:val="left"/>
              <w:textAlignment w:val="baseline"/>
              <w:rPr>
                <w:b/>
                <w:color w:val="000000"/>
                <w:kern w:val="0"/>
                <w:sz w:val="21"/>
                <w:szCs w:val="20"/>
              </w:rPr>
            </w:pPr>
            <w:r>
              <w:rPr>
                <w:b/>
                <w:color w:val="000000"/>
                <w:kern w:val="0"/>
                <w:sz w:val="21"/>
                <w:szCs w:val="20"/>
              </w:rPr>
              <w:t>敏感程度</w:t>
            </w:r>
          </w:p>
        </w:tc>
        <w:tc>
          <w:tcPr>
            <w:tcW w:w="2388" w:type="dxa"/>
            <w:gridSpan w:val="3"/>
            <w:shd w:val="clear" w:color="auto" w:fill="auto"/>
            <w:vAlign w:val="center"/>
          </w:tcPr>
          <w:p>
            <w:pPr>
              <w:spacing w:line="240" w:lineRule="auto"/>
              <w:jc w:val="center"/>
              <w:rPr>
                <w:b/>
                <w:color w:val="000000"/>
                <w:sz w:val="21"/>
              </w:rPr>
            </w:pPr>
            <w:r>
              <w:rPr>
                <w:b/>
                <w:color w:val="000000"/>
                <w:sz w:val="21"/>
              </w:rPr>
              <w:t>I类</w:t>
            </w:r>
          </w:p>
        </w:tc>
        <w:tc>
          <w:tcPr>
            <w:tcW w:w="2262" w:type="dxa"/>
            <w:gridSpan w:val="3"/>
            <w:shd w:val="clear" w:color="auto" w:fill="auto"/>
            <w:vAlign w:val="center"/>
          </w:tcPr>
          <w:p>
            <w:pPr>
              <w:spacing w:line="240" w:lineRule="auto"/>
              <w:jc w:val="center"/>
              <w:rPr>
                <w:b/>
                <w:color w:val="000000"/>
                <w:sz w:val="21"/>
              </w:rPr>
            </w:pPr>
            <w:r>
              <w:rPr>
                <w:b/>
                <w:color w:val="000000"/>
                <w:sz w:val="21"/>
              </w:rPr>
              <w:t>II类</w:t>
            </w:r>
          </w:p>
        </w:tc>
        <w:tc>
          <w:tcPr>
            <w:tcW w:w="2294" w:type="dxa"/>
            <w:gridSpan w:val="3"/>
            <w:shd w:val="clear" w:color="auto" w:fill="auto"/>
            <w:vAlign w:val="center"/>
          </w:tcPr>
          <w:p>
            <w:pPr>
              <w:spacing w:line="240" w:lineRule="auto"/>
              <w:jc w:val="center"/>
              <w:rPr>
                <w:b/>
                <w:color w:val="000000"/>
                <w:sz w:val="21"/>
              </w:rPr>
            </w:pPr>
            <w:r>
              <w:rPr>
                <w:b/>
                <w:color w:val="000000"/>
                <w:sz w:val="21"/>
              </w:rPr>
              <w:t>Ⅲ类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 w:type="dxa"/>
            <w:bottom w:w="0" w:type="dxa"/>
            <w:right w:w="10" w:type="dxa"/>
          </w:tblCellMar>
        </w:tblPrEx>
        <w:trPr>
          <w:trHeight w:val="523" w:hRule="exact"/>
          <w:jc w:val="center"/>
        </w:trPr>
        <w:tc>
          <w:tcPr>
            <w:tcW w:w="2014" w:type="dxa"/>
            <w:vMerge w:val="continue"/>
            <w:shd w:val="clear" w:color="auto" w:fill="auto"/>
            <w:vAlign w:val="bottom"/>
          </w:tcPr>
          <w:p>
            <w:pPr>
              <w:spacing w:line="240" w:lineRule="auto"/>
              <w:jc w:val="center"/>
              <w:rPr>
                <w:color w:val="000000"/>
                <w:sz w:val="21"/>
              </w:rPr>
            </w:pPr>
          </w:p>
        </w:tc>
        <w:tc>
          <w:tcPr>
            <w:tcW w:w="883" w:type="dxa"/>
            <w:shd w:val="clear" w:color="auto" w:fill="auto"/>
            <w:vAlign w:val="center"/>
          </w:tcPr>
          <w:p>
            <w:pPr>
              <w:spacing w:line="240" w:lineRule="auto"/>
              <w:jc w:val="center"/>
              <w:rPr>
                <w:color w:val="000000"/>
                <w:sz w:val="21"/>
              </w:rPr>
            </w:pPr>
            <w:r>
              <w:rPr>
                <w:color w:val="000000"/>
                <w:sz w:val="21"/>
              </w:rPr>
              <w:t>大</w:t>
            </w:r>
          </w:p>
        </w:tc>
        <w:tc>
          <w:tcPr>
            <w:tcW w:w="760" w:type="dxa"/>
            <w:shd w:val="clear" w:color="auto" w:fill="auto"/>
            <w:vAlign w:val="center"/>
          </w:tcPr>
          <w:p>
            <w:pPr>
              <w:spacing w:line="240" w:lineRule="auto"/>
              <w:jc w:val="center"/>
              <w:rPr>
                <w:color w:val="000000"/>
                <w:sz w:val="21"/>
              </w:rPr>
            </w:pPr>
            <w:r>
              <w:rPr>
                <w:color w:val="000000"/>
                <w:sz w:val="21"/>
              </w:rPr>
              <w:t>中</w:t>
            </w:r>
          </w:p>
        </w:tc>
        <w:tc>
          <w:tcPr>
            <w:tcW w:w="745" w:type="dxa"/>
            <w:shd w:val="clear" w:color="auto" w:fill="auto"/>
            <w:vAlign w:val="center"/>
          </w:tcPr>
          <w:p>
            <w:pPr>
              <w:spacing w:line="240" w:lineRule="auto"/>
              <w:jc w:val="center"/>
              <w:rPr>
                <w:color w:val="000000"/>
                <w:sz w:val="21"/>
              </w:rPr>
            </w:pPr>
            <w:r>
              <w:rPr>
                <w:color w:val="000000"/>
                <w:sz w:val="21"/>
              </w:rPr>
              <w:t>小</w:t>
            </w:r>
          </w:p>
        </w:tc>
        <w:tc>
          <w:tcPr>
            <w:tcW w:w="754" w:type="dxa"/>
            <w:shd w:val="clear" w:color="auto" w:fill="auto"/>
            <w:vAlign w:val="center"/>
          </w:tcPr>
          <w:p>
            <w:pPr>
              <w:spacing w:line="240" w:lineRule="auto"/>
              <w:jc w:val="center"/>
              <w:rPr>
                <w:color w:val="000000"/>
                <w:sz w:val="21"/>
              </w:rPr>
            </w:pPr>
            <w:r>
              <w:rPr>
                <w:color w:val="000000"/>
                <w:sz w:val="21"/>
              </w:rPr>
              <w:t>大</w:t>
            </w:r>
          </w:p>
        </w:tc>
        <w:tc>
          <w:tcPr>
            <w:tcW w:w="754" w:type="dxa"/>
            <w:shd w:val="clear" w:color="auto" w:fill="auto"/>
            <w:vAlign w:val="center"/>
          </w:tcPr>
          <w:p>
            <w:pPr>
              <w:spacing w:line="240" w:lineRule="auto"/>
              <w:jc w:val="center"/>
              <w:rPr>
                <w:color w:val="000000"/>
                <w:sz w:val="21"/>
              </w:rPr>
            </w:pPr>
            <w:r>
              <w:rPr>
                <w:color w:val="000000"/>
                <w:sz w:val="21"/>
              </w:rPr>
              <w:t>中</w:t>
            </w:r>
          </w:p>
        </w:tc>
        <w:tc>
          <w:tcPr>
            <w:tcW w:w="754" w:type="dxa"/>
            <w:shd w:val="clear" w:color="auto" w:fill="auto"/>
            <w:vAlign w:val="center"/>
          </w:tcPr>
          <w:p>
            <w:pPr>
              <w:spacing w:line="240" w:lineRule="auto"/>
              <w:jc w:val="center"/>
              <w:rPr>
                <w:color w:val="000000"/>
                <w:sz w:val="21"/>
              </w:rPr>
            </w:pPr>
            <w:r>
              <w:rPr>
                <w:color w:val="000000"/>
                <w:sz w:val="21"/>
              </w:rPr>
              <w:t>小</w:t>
            </w:r>
          </w:p>
        </w:tc>
        <w:tc>
          <w:tcPr>
            <w:tcW w:w="750" w:type="dxa"/>
            <w:shd w:val="clear" w:color="auto" w:fill="auto"/>
            <w:vAlign w:val="center"/>
          </w:tcPr>
          <w:p>
            <w:pPr>
              <w:spacing w:line="240" w:lineRule="auto"/>
              <w:jc w:val="center"/>
              <w:rPr>
                <w:color w:val="000000"/>
                <w:sz w:val="21"/>
              </w:rPr>
            </w:pPr>
            <w:r>
              <w:rPr>
                <w:color w:val="000000"/>
                <w:sz w:val="21"/>
              </w:rPr>
              <w:t>大</w:t>
            </w:r>
          </w:p>
        </w:tc>
        <w:tc>
          <w:tcPr>
            <w:tcW w:w="772" w:type="dxa"/>
            <w:shd w:val="clear" w:color="auto" w:fill="auto"/>
            <w:vAlign w:val="center"/>
          </w:tcPr>
          <w:p>
            <w:pPr>
              <w:spacing w:line="240" w:lineRule="auto"/>
              <w:jc w:val="center"/>
              <w:rPr>
                <w:color w:val="000000"/>
                <w:sz w:val="21"/>
              </w:rPr>
            </w:pPr>
            <w:r>
              <w:rPr>
                <w:rFonts w:hint="eastAsia"/>
                <w:color w:val="000000"/>
                <w:sz w:val="21"/>
              </w:rPr>
              <w:t>中</w:t>
            </w:r>
          </w:p>
        </w:tc>
        <w:tc>
          <w:tcPr>
            <w:tcW w:w="772" w:type="dxa"/>
            <w:shd w:val="clear" w:color="auto" w:fill="auto"/>
            <w:vAlign w:val="center"/>
          </w:tcPr>
          <w:p>
            <w:pPr>
              <w:spacing w:line="240" w:lineRule="auto"/>
              <w:jc w:val="center"/>
              <w:rPr>
                <w:color w:val="000000"/>
                <w:sz w:val="21"/>
              </w:rPr>
            </w:pPr>
            <w:r>
              <w:rPr>
                <w:rFonts w:hint="eastAsia"/>
                <w:color w:val="000000"/>
                <w:sz w:val="21"/>
              </w:rPr>
              <w:t>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 w:type="dxa"/>
            <w:bottom w:w="0" w:type="dxa"/>
            <w:right w:w="10" w:type="dxa"/>
          </w:tblCellMar>
        </w:tblPrEx>
        <w:trPr>
          <w:trHeight w:val="336" w:hRule="exact"/>
          <w:jc w:val="center"/>
        </w:trPr>
        <w:tc>
          <w:tcPr>
            <w:tcW w:w="2014" w:type="dxa"/>
            <w:shd w:val="clear" w:color="auto" w:fill="auto"/>
            <w:vAlign w:val="bottom"/>
          </w:tcPr>
          <w:p>
            <w:pPr>
              <w:spacing w:line="240" w:lineRule="auto"/>
              <w:jc w:val="center"/>
              <w:rPr>
                <w:color w:val="000000"/>
                <w:sz w:val="21"/>
              </w:rPr>
            </w:pPr>
            <w:r>
              <w:rPr>
                <w:color w:val="000000"/>
                <w:sz w:val="21"/>
              </w:rPr>
              <w:t>敏感</w:t>
            </w:r>
          </w:p>
        </w:tc>
        <w:tc>
          <w:tcPr>
            <w:tcW w:w="883" w:type="dxa"/>
            <w:shd w:val="clear" w:color="auto" w:fill="auto"/>
            <w:vAlign w:val="bottom"/>
          </w:tcPr>
          <w:p>
            <w:pPr>
              <w:spacing w:line="240" w:lineRule="auto"/>
              <w:jc w:val="center"/>
              <w:rPr>
                <w:color w:val="000000"/>
                <w:sz w:val="21"/>
              </w:rPr>
            </w:pPr>
            <w:r>
              <w:rPr>
                <w:color w:val="000000"/>
                <w:sz w:val="21"/>
              </w:rPr>
              <w:t>一级</w:t>
            </w:r>
          </w:p>
        </w:tc>
        <w:tc>
          <w:tcPr>
            <w:tcW w:w="760" w:type="dxa"/>
            <w:shd w:val="clear" w:color="auto" w:fill="auto"/>
            <w:vAlign w:val="bottom"/>
          </w:tcPr>
          <w:p>
            <w:pPr>
              <w:spacing w:line="240" w:lineRule="auto"/>
              <w:jc w:val="center"/>
              <w:rPr>
                <w:color w:val="000000"/>
                <w:sz w:val="21"/>
              </w:rPr>
            </w:pPr>
            <w:r>
              <w:rPr>
                <w:color w:val="000000"/>
                <w:sz w:val="21"/>
              </w:rPr>
              <w:t>一级</w:t>
            </w:r>
          </w:p>
        </w:tc>
        <w:tc>
          <w:tcPr>
            <w:tcW w:w="745" w:type="dxa"/>
            <w:shd w:val="clear" w:color="auto" w:fill="auto"/>
            <w:vAlign w:val="bottom"/>
          </w:tcPr>
          <w:p>
            <w:pPr>
              <w:spacing w:line="240" w:lineRule="auto"/>
              <w:jc w:val="center"/>
              <w:rPr>
                <w:color w:val="000000"/>
                <w:sz w:val="21"/>
              </w:rPr>
            </w:pPr>
            <w:r>
              <w:rPr>
                <w:color w:val="000000"/>
                <w:sz w:val="21"/>
              </w:rPr>
              <w:t>一级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0" w:type="dxa"/>
            <w:shd w:val="clear" w:color="auto" w:fill="auto"/>
            <w:vAlign w:val="bottom"/>
          </w:tcPr>
          <w:p>
            <w:pPr>
              <w:spacing w:line="240" w:lineRule="auto"/>
              <w:jc w:val="center"/>
              <w:rPr>
                <w:color w:val="000000"/>
                <w:sz w:val="21"/>
              </w:rPr>
            </w:pPr>
            <w:r>
              <w:rPr>
                <w:color w:val="000000"/>
                <w:sz w:val="21"/>
              </w:rPr>
              <w:t>三级</w:t>
            </w:r>
          </w:p>
        </w:tc>
        <w:tc>
          <w:tcPr>
            <w:tcW w:w="772" w:type="dxa"/>
            <w:shd w:val="clear" w:color="auto" w:fill="auto"/>
            <w:vAlign w:val="bottom"/>
          </w:tcPr>
          <w:p>
            <w:pPr>
              <w:spacing w:line="240" w:lineRule="auto"/>
              <w:jc w:val="center"/>
              <w:rPr>
                <w:rFonts w:ascii="黑体" w:hAnsi="黑体" w:eastAsia="黑体"/>
                <w:b/>
                <w:bCs/>
                <w:color w:val="000000"/>
                <w:sz w:val="21"/>
              </w:rPr>
            </w:pPr>
            <w:r>
              <w:rPr>
                <w:rFonts w:ascii="黑体" w:hAnsi="黑体" w:eastAsia="黑体"/>
                <w:b/>
                <w:bCs/>
                <w:color w:val="000000"/>
                <w:sz w:val="21"/>
              </w:rPr>
              <w:t>三级</w:t>
            </w:r>
          </w:p>
        </w:tc>
        <w:tc>
          <w:tcPr>
            <w:tcW w:w="772" w:type="dxa"/>
            <w:shd w:val="clear" w:color="auto" w:fill="auto"/>
            <w:vAlign w:val="bottom"/>
          </w:tcPr>
          <w:p>
            <w:pPr>
              <w:spacing w:line="240" w:lineRule="auto"/>
              <w:jc w:val="center"/>
              <w:rPr>
                <w:color w:val="000000"/>
                <w:sz w:val="21"/>
              </w:rPr>
            </w:pPr>
            <w:r>
              <w:rPr>
                <w:color w:val="000000"/>
                <w:sz w:val="21"/>
              </w:rPr>
              <w:t>三级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 w:type="dxa"/>
            <w:bottom w:w="0" w:type="dxa"/>
            <w:right w:w="10" w:type="dxa"/>
          </w:tblCellMar>
        </w:tblPrEx>
        <w:trPr>
          <w:trHeight w:val="336" w:hRule="exact"/>
          <w:jc w:val="center"/>
        </w:trPr>
        <w:tc>
          <w:tcPr>
            <w:tcW w:w="2014" w:type="dxa"/>
            <w:shd w:val="clear" w:color="auto" w:fill="auto"/>
            <w:vAlign w:val="bottom"/>
          </w:tcPr>
          <w:p>
            <w:pPr>
              <w:spacing w:line="240" w:lineRule="auto"/>
              <w:jc w:val="center"/>
              <w:rPr>
                <w:color w:val="000000"/>
                <w:sz w:val="21"/>
              </w:rPr>
            </w:pPr>
            <w:r>
              <w:rPr>
                <w:color w:val="000000"/>
                <w:sz w:val="21"/>
              </w:rPr>
              <w:t>较敏感</w:t>
            </w:r>
          </w:p>
        </w:tc>
        <w:tc>
          <w:tcPr>
            <w:tcW w:w="883" w:type="dxa"/>
            <w:shd w:val="clear" w:color="auto" w:fill="auto"/>
            <w:vAlign w:val="bottom"/>
          </w:tcPr>
          <w:p>
            <w:pPr>
              <w:spacing w:line="240" w:lineRule="auto"/>
              <w:jc w:val="center"/>
              <w:rPr>
                <w:color w:val="000000"/>
                <w:sz w:val="21"/>
              </w:rPr>
            </w:pPr>
            <w:r>
              <w:rPr>
                <w:color w:val="000000"/>
                <w:sz w:val="21"/>
              </w:rPr>
              <w:t>一级</w:t>
            </w:r>
          </w:p>
        </w:tc>
        <w:tc>
          <w:tcPr>
            <w:tcW w:w="760" w:type="dxa"/>
            <w:shd w:val="clear" w:color="auto" w:fill="auto"/>
            <w:vAlign w:val="bottom"/>
          </w:tcPr>
          <w:p>
            <w:pPr>
              <w:spacing w:line="240" w:lineRule="auto"/>
              <w:jc w:val="center"/>
              <w:rPr>
                <w:color w:val="000000"/>
                <w:sz w:val="21"/>
              </w:rPr>
            </w:pPr>
            <w:r>
              <w:rPr>
                <w:color w:val="000000"/>
                <w:sz w:val="21"/>
              </w:rPr>
              <w:t>一级</w:t>
            </w:r>
          </w:p>
        </w:tc>
        <w:tc>
          <w:tcPr>
            <w:tcW w:w="745"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三级</w:t>
            </w:r>
          </w:p>
        </w:tc>
        <w:tc>
          <w:tcPr>
            <w:tcW w:w="750" w:type="dxa"/>
            <w:shd w:val="clear" w:color="auto" w:fill="auto"/>
            <w:vAlign w:val="bottom"/>
          </w:tcPr>
          <w:p>
            <w:pPr>
              <w:spacing w:line="240" w:lineRule="auto"/>
              <w:jc w:val="center"/>
              <w:rPr>
                <w:color w:val="000000"/>
                <w:sz w:val="21"/>
              </w:rPr>
            </w:pPr>
            <w:r>
              <w:rPr>
                <w:color w:val="000000"/>
                <w:sz w:val="21"/>
              </w:rPr>
              <w:t>三级</w:t>
            </w:r>
          </w:p>
        </w:tc>
        <w:tc>
          <w:tcPr>
            <w:tcW w:w="772" w:type="dxa"/>
            <w:shd w:val="clear" w:color="auto" w:fill="auto"/>
            <w:vAlign w:val="bottom"/>
          </w:tcPr>
          <w:p>
            <w:pPr>
              <w:spacing w:line="240" w:lineRule="auto"/>
              <w:jc w:val="center"/>
              <w:rPr>
                <w:color w:val="000000"/>
                <w:sz w:val="21"/>
              </w:rPr>
            </w:pPr>
            <w:r>
              <w:rPr>
                <w:color w:val="000000"/>
                <w:sz w:val="21"/>
              </w:rPr>
              <w:t>三级</w:t>
            </w:r>
          </w:p>
        </w:tc>
        <w:tc>
          <w:tcPr>
            <w:tcW w:w="772" w:type="dxa"/>
            <w:shd w:val="clear" w:color="auto" w:fill="auto"/>
            <w:vAlign w:val="bottom"/>
          </w:tcPr>
          <w:p>
            <w:pPr>
              <w:spacing w:line="240" w:lineRule="auto"/>
              <w:jc w:val="center"/>
              <w:rPr>
                <w:color w:val="000000"/>
                <w:sz w:val="21"/>
              </w:rPr>
            </w:pPr>
            <w:r>
              <w:rPr>
                <w:rFonts w:hint="eastAsia"/>
                <w:color w:val="000000"/>
                <w:sz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 w:type="dxa"/>
            <w:bottom w:w="0" w:type="dxa"/>
            <w:right w:w="10" w:type="dxa"/>
          </w:tblCellMar>
        </w:tblPrEx>
        <w:trPr>
          <w:trHeight w:val="336" w:hRule="exact"/>
          <w:jc w:val="center"/>
        </w:trPr>
        <w:tc>
          <w:tcPr>
            <w:tcW w:w="2014" w:type="dxa"/>
            <w:shd w:val="clear" w:color="auto" w:fill="auto"/>
            <w:vAlign w:val="bottom"/>
          </w:tcPr>
          <w:p>
            <w:pPr>
              <w:spacing w:line="240" w:lineRule="auto"/>
              <w:jc w:val="center"/>
              <w:rPr>
                <w:color w:val="000000"/>
                <w:sz w:val="21"/>
              </w:rPr>
            </w:pPr>
            <w:r>
              <w:rPr>
                <w:color w:val="000000"/>
                <w:sz w:val="21"/>
              </w:rPr>
              <w:t>不敏感</w:t>
            </w:r>
          </w:p>
        </w:tc>
        <w:tc>
          <w:tcPr>
            <w:tcW w:w="883" w:type="dxa"/>
            <w:shd w:val="clear" w:color="auto" w:fill="auto"/>
            <w:vAlign w:val="bottom"/>
          </w:tcPr>
          <w:p>
            <w:pPr>
              <w:spacing w:line="240" w:lineRule="auto"/>
              <w:jc w:val="center"/>
              <w:rPr>
                <w:color w:val="000000"/>
                <w:sz w:val="21"/>
              </w:rPr>
            </w:pPr>
            <w:r>
              <w:rPr>
                <w:color w:val="000000"/>
                <w:sz w:val="21"/>
              </w:rPr>
              <w:t>一级</w:t>
            </w:r>
          </w:p>
        </w:tc>
        <w:tc>
          <w:tcPr>
            <w:tcW w:w="760" w:type="dxa"/>
            <w:shd w:val="clear" w:color="auto" w:fill="auto"/>
            <w:vAlign w:val="bottom"/>
          </w:tcPr>
          <w:p>
            <w:pPr>
              <w:spacing w:line="240" w:lineRule="auto"/>
              <w:jc w:val="center"/>
              <w:rPr>
                <w:color w:val="000000"/>
                <w:sz w:val="21"/>
              </w:rPr>
            </w:pPr>
            <w:r>
              <w:rPr>
                <w:color w:val="000000"/>
                <w:sz w:val="21"/>
              </w:rPr>
              <w:t>二级</w:t>
            </w:r>
          </w:p>
        </w:tc>
        <w:tc>
          <w:tcPr>
            <w:tcW w:w="745"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二级</w:t>
            </w:r>
          </w:p>
        </w:tc>
        <w:tc>
          <w:tcPr>
            <w:tcW w:w="754" w:type="dxa"/>
            <w:shd w:val="clear" w:color="auto" w:fill="auto"/>
            <w:vAlign w:val="bottom"/>
          </w:tcPr>
          <w:p>
            <w:pPr>
              <w:spacing w:line="240" w:lineRule="auto"/>
              <w:jc w:val="center"/>
              <w:rPr>
                <w:color w:val="000000"/>
                <w:sz w:val="21"/>
              </w:rPr>
            </w:pPr>
            <w:r>
              <w:rPr>
                <w:color w:val="000000"/>
                <w:sz w:val="21"/>
              </w:rPr>
              <w:t>三级</w:t>
            </w:r>
          </w:p>
        </w:tc>
        <w:tc>
          <w:tcPr>
            <w:tcW w:w="754" w:type="dxa"/>
            <w:shd w:val="clear" w:color="auto" w:fill="auto"/>
            <w:vAlign w:val="bottom"/>
          </w:tcPr>
          <w:p>
            <w:pPr>
              <w:spacing w:line="240" w:lineRule="auto"/>
              <w:jc w:val="center"/>
              <w:rPr>
                <w:color w:val="000000"/>
                <w:sz w:val="21"/>
              </w:rPr>
            </w:pPr>
            <w:r>
              <w:rPr>
                <w:color w:val="000000"/>
                <w:sz w:val="21"/>
              </w:rPr>
              <w:t>三级</w:t>
            </w:r>
          </w:p>
        </w:tc>
        <w:tc>
          <w:tcPr>
            <w:tcW w:w="750" w:type="dxa"/>
            <w:shd w:val="clear" w:color="auto" w:fill="auto"/>
            <w:vAlign w:val="bottom"/>
          </w:tcPr>
          <w:p>
            <w:pPr>
              <w:spacing w:line="240" w:lineRule="auto"/>
              <w:jc w:val="center"/>
              <w:rPr>
                <w:color w:val="000000"/>
                <w:sz w:val="21"/>
              </w:rPr>
            </w:pPr>
            <w:r>
              <w:rPr>
                <w:color w:val="000000"/>
                <w:sz w:val="21"/>
              </w:rPr>
              <w:t>三级</w:t>
            </w:r>
          </w:p>
        </w:tc>
        <w:tc>
          <w:tcPr>
            <w:tcW w:w="772" w:type="dxa"/>
            <w:shd w:val="clear" w:color="auto" w:fill="auto"/>
          </w:tcPr>
          <w:p>
            <w:pPr>
              <w:spacing w:line="240" w:lineRule="auto"/>
              <w:jc w:val="center"/>
              <w:rPr>
                <w:color w:val="000000"/>
                <w:sz w:val="21"/>
              </w:rPr>
            </w:pPr>
            <w:r>
              <w:rPr>
                <w:rFonts w:hint="eastAsia"/>
                <w:color w:val="000000"/>
                <w:sz w:val="21"/>
              </w:rPr>
              <w:t>-</w:t>
            </w:r>
          </w:p>
        </w:tc>
        <w:tc>
          <w:tcPr>
            <w:tcW w:w="772" w:type="dxa"/>
            <w:shd w:val="clear" w:color="auto" w:fill="auto"/>
          </w:tcPr>
          <w:p>
            <w:pPr>
              <w:spacing w:line="240" w:lineRule="auto"/>
              <w:jc w:val="center"/>
              <w:rPr>
                <w:color w:val="000000"/>
                <w:sz w:val="21"/>
              </w:rPr>
            </w:pPr>
            <w:r>
              <w:rPr>
                <w:rFonts w:hint="eastAsia"/>
                <w:color w:val="000000"/>
                <w:sz w:val="21"/>
              </w:rPr>
              <w:t>-</w:t>
            </w:r>
          </w:p>
        </w:tc>
      </w:tr>
    </w:tbl>
    <w:p>
      <w:pPr>
        <w:pStyle w:val="2"/>
        <w:ind w:firstLine="480"/>
        <w:rPr>
          <w:rFonts w:hint="default"/>
          <w:color w:val="auto"/>
        </w:rPr>
      </w:pPr>
    </w:p>
    <w:p>
      <w:pPr>
        <w:pStyle w:val="588"/>
        <w:keepNext/>
        <w:keepLines/>
        <w:widowControl w:val="0"/>
        <w:adjustRightInd w:val="0"/>
        <w:spacing w:before="240" w:after="60" w:line="360" w:lineRule="auto"/>
        <w:textAlignment w:val="baseline"/>
        <w:rPr>
          <w:rFonts w:ascii="Times New Roman" w:hAnsi="Times New Roman" w:eastAsia="黑体" w:cs="Times New Roman"/>
          <w:b w:val="0"/>
          <w:bCs/>
          <w:spacing w:val="4"/>
          <w:kern w:val="2"/>
          <w:sz w:val="32"/>
          <w:szCs w:val="32"/>
        </w:rPr>
      </w:pPr>
      <w:bookmarkStart w:id="298" w:name="_Toc29110562"/>
      <w:r>
        <w:rPr>
          <w:rFonts w:hint="eastAsia" w:ascii="Times New Roman" w:hAnsi="Times New Roman" w:eastAsia="黑体" w:cs="Times New Roman"/>
          <w:b w:val="0"/>
          <w:bCs/>
          <w:spacing w:val="4"/>
          <w:kern w:val="2"/>
          <w:sz w:val="32"/>
          <w:szCs w:val="32"/>
        </w:rPr>
        <w:t>2</w:t>
      </w:r>
      <w:r>
        <w:rPr>
          <w:rFonts w:ascii="Times New Roman" w:hAnsi="Times New Roman" w:eastAsia="黑体" w:cs="Times New Roman"/>
          <w:b w:val="0"/>
          <w:bCs/>
          <w:spacing w:val="4"/>
          <w:kern w:val="2"/>
          <w:sz w:val="32"/>
          <w:szCs w:val="32"/>
        </w:rPr>
        <w:t>.12评价</w:t>
      </w:r>
      <w:r>
        <w:rPr>
          <w:rFonts w:hint="eastAsia" w:ascii="Times New Roman" w:hAnsi="Times New Roman" w:eastAsia="黑体" w:cs="Times New Roman"/>
          <w:b w:val="0"/>
          <w:bCs/>
          <w:spacing w:val="4"/>
          <w:kern w:val="2"/>
          <w:sz w:val="32"/>
          <w:szCs w:val="32"/>
        </w:rPr>
        <w:t>范围</w:t>
      </w:r>
      <w:bookmarkEnd w:id="298"/>
    </w:p>
    <w:p>
      <w:pPr>
        <w:pStyle w:val="23"/>
        <w:snapToGrid w:val="0"/>
        <w:spacing w:line="360" w:lineRule="auto"/>
        <w:ind w:firstLine="480" w:firstLineChars="200"/>
        <w:jc w:val="left"/>
        <w:rPr>
          <w:sz w:val="24"/>
          <w:szCs w:val="24"/>
        </w:rPr>
      </w:pPr>
      <w:r>
        <w:rPr>
          <w:rFonts w:hint="eastAsia"/>
          <w:sz w:val="24"/>
          <w:szCs w:val="24"/>
        </w:rPr>
        <w:t>（1）</w:t>
      </w:r>
      <w:r>
        <w:rPr>
          <w:sz w:val="24"/>
          <w:szCs w:val="24"/>
        </w:rPr>
        <w:t>环境空气：本项目以项目厂址为中心区域，自取自厂界外延2.5km的矩形范围作为大气环境影响评价范围。</w:t>
      </w:r>
    </w:p>
    <w:p>
      <w:pPr>
        <w:pStyle w:val="23"/>
        <w:snapToGrid w:val="0"/>
        <w:spacing w:line="360" w:lineRule="auto"/>
        <w:ind w:firstLine="480" w:firstLineChars="200"/>
        <w:jc w:val="left"/>
        <w:rPr>
          <w:sz w:val="24"/>
          <w:szCs w:val="24"/>
        </w:rPr>
      </w:pPr>
      <w:r>
        <w:rPr>
          <w:rFonts w:hint="eastAsia"/>
          <w:sz w:val="24"/>
          <w:szCs w:val="24"/>
        </w:rPr>
        <w:t>（2）</w:t>
      </w:r>
      <w:r>
        <w:rPr>
          <w:sz w:val="24"/>
          <w:szCs w:val="24"/>
        </w:rPr>
        <w:t>声环境：厂界外200m范围，评价范围内敏感保护目标；</w:t>
      </w:r>
    </w:p>
    <w:p>
      <w:pPr>
        <w:pStyle w:val="2"/>
        <w:ind w:firstLine="480"/>
        <w:rPr>
          <w:rFonts w:hint="default"/>
          <w:color w:val="auto"/>
          <w:szCs w:val="24"/>
        </w:rPr>
      </w:pPr>
      <w:r>
        <w:rPr>
          <w:szCs w:val="24"/>
        </w:rPr>
        <w:t>（3）地表水环境：</w:t>
      </w:r>
      <w:r>
        <w:rPr>
          <w:color w:val="auto"/>
          <w:szCs w:val="24"/>
        </w:rPr>
        <w:t>根据导则 HJ2.3，涉及地表水环境风险的，应“覆盖环境风险影响范围所及的水环境保护目标水体”，因此本项目地表水评价范围为邻近的无名溪沟；</w:t>
      </w:r>
    </w:p>
    <w:p>
      <w:pPr>
        <w:pStyle w:val="970"/>
        <w:snapToGrid w:val="0"/>
        <w:ind w:firstLine="480" w:firstLineChars="200"/>
        <w:jc w:val="left"/>
      </w:pPr>
      <w:r>
        <w:rPr>
          <w:rFonts w:hint="eastAsia"/>
          <w:szCs w:val="24"/>
        </w:rPr>
        <w:t>（4）</w:t>
      </w:r>
      <w:r>
        <w:rPr>
          <w:szCs w:val="24"/>
        </w:rPr>
        <w:t>地下水环境</w:t>
      </w:r>
      <w:r>
        <w:rPr>
          <w:rFonts w:hint="eastAsia"/>
        </w:rPr>
        <w:t>：</w:t>
      </w:r>
    </w:p>
    <w:p>
      <w:pPr>
        <w:ind w:firstLine="480"/>
        <w:rPr>
          <w:rFonts w:ascii="宋体" w:hAnsi="宋体"/>
        </w:rPr>
      </w:pPr>
      <w:r>
        <w:rPr>
          <w:rFonts w:hint="eastAsia"/>
        </w:rPr>
        <w:t>根据现场调查，</w:t>
      </w:r>
      <w:r>
        <w:rPr>
          <w:rFonts w:hint="eastAsia" w:ascii="宋体" w:hAnsi="宋体"/>
        </w:rPr>
        <w:t>当建设项目所在地水文地质条件相对简单，且所掌握的资料能够满足公式技术法的要求，应采用公式技术法确定（参照</w:t>
      </w:r>
      <w:r>
        <w:rPr>
          <w:rFonts w:ascii="宋体" w:hAnsi="宋体"/>
        </w:rPr>
        <w:t>HJ/T338</w:t>
      </w:r>
      <w:r>
        <w:rPr>
          <w:rFonts w:hint="eastAsia" w:ascii="宋体" w:hAnsi="宋体"/>
        </w:rPr>
        <w:t>）。当计算或查表范围超出所处水文地质单位边界时，应以所在水文地质单元边界为宜。</w:t>
      </w:r>
    </w:p>
    <w:p>
      <w:pPr>
        <w:ind w:firstLine="480"/>
      </w:pPr>
      <w:r>
        <w:rPr>
          <w:rFonts w:hint="eastAsia"/>
        </w:rPr>
        <w:t>根据评价区水文地质资料，本项目所在区域水位地质单元界线明显，选取“自定义法”确定本项目地下水环境影响调查评价范围。</w:t>
      </w:r>
    </w:p>
    <w:p>
      <w:pPr>
        <w:pStyle w:val="970"/>
        <w:snapToGrid w:val="0"/>
        <w:ind w:firstLine="480" w:firstLineChars="200"/>
        <w:jc w:val="left"/>
        <w:rPr>
          <w:szCs w:val="24"/>
        </w:rPr>
      </w:pPr>
      <w:r>
        <w:rPr>
          <w:rFonts w:hint="eastAsia"/>
          <w:szCs w:val="24"/>
        </w:rPr>
        <w:t>（5）</w:t>
      </w:r>
      <w:r>
        <w:rPr>
          <w:szCs w:val="24"/>
        </w:rPr>
        <w:t>环境风险：</w:t>
      </w:r>
    </w:p>
    <w:p>
      <w:pPr>
        <w:pStyle w:val="970"/>
        <w:snapToGrid w:val="0"/>
        <w:ind w:firstLine="480" w:firstLineChars="200"/>
        <w:jc w:val="left"/>
      </w:pPr>
      <w:r>
        <w:rPr>
          <w:rFonts w:hint="eastAsia"/>
          <w:szCs w:val="24"/>
        </w:rPr>
        <w:t>①大气环境风险评价范围：根据前述分析，</w:t>
      </w:r>
      <w:r>
        <w:rPr>
          <w:rFonts w:hint="eastAsia"/>
        </w:rPr>
        <w:t>本项目的环境风险潜势为 I，故本项目环境风险评价工作等级为简单分析，根据《建设项目环境风险评价技术导则》（HJ 169—2018），无需确定大气环境风险评价范围。</w:t>
      </w:r>
    </w:p>
    <w:p>
      <w:pPr>
        <w:pStyle w:val="970"/>
        <w:snapToGrid w:val="0"/>
        <w:ind w:firstLine="480" w:firstLineChars="200"/>
        <w:jc w:val="left"/>
        <w:rPr>
          <w:szCs w:val="24"/>
        </w:rPr>
      </w:pPr>
      <w:r>
        <w:rPr>
          <w:rFonts w:hint="eastAsia"/>
        </w:rPr>
        <w:t>②地表水环境风险评价范围：</w:t>
      </w:r>
      <w:r>
        <w:rPr>
          <w:rFonts w:hint="eastAsia"/>
          <w:szCs w:val="24"/>
        </w:rPr>
        <w:t>参照导则 HJ2.3，应“覆盖环境风险影响范围所及的水环境保护目标水域”，本项目涉及的水环境保护目标为无名溪沟。</w:t>
      </w:r>
    </w:p>
    <w:p>
      <w:pPr>
        <w:pStyle w:val="970"/>
        <w:snapToGrid w:val="0"/>
        <w:ind w:firstLine="480" w:firstLineChars="200"/>
        <w:jc w:val="left"/>
      </w:pPr>
      <w:r>
        <w:rPr>
          <w:rFonts w:hint="eastAsia"/>
        </w:rPr>
        <w:t>③地下水环境风险评价范围：参照H</w:t>
      </w:r>
      <w:r>
        <w:t>J610Q确定其范围，根据评价区水文地质资料，本项目所在区域水位地质单元界线明显，选取“自定义法”确定本项目地下水环境风险评价范围</w:t>
      </w:r>
    </w:p>
    <w:p>
      <w:pPr>
        <w:pStyle w:val="970"/>
        <w:snapToGrid w:val="0"/>
        <w:ind w:firstLine="480" w:firstLineChars="200"/>
        <w:jc w:val="left"/>
      </w:pPr>
      <w:r>
        <w:rPr>
          <w:rFonts w:hint="eastAsia"/>
          <w:szCs w:val="24"/>
        </w:rPr>
        <w:t>（6）土壤</w:t>
      </w:r>
      <w:r>
        <w:rPr>
          <w:szCs w:val="24"/>
        </w:rPr>
        <w:t>：</w:t>
      </w:r>
      <w:r>
        <w:rPr>
          <w:rFonts w:hint="eastAsia"/>
          <w:szCs w:val="24"/>
        </w:rPr>
        <w:t>各地块外扩5</w:t>
      </w:r>
      <w:r>
        <w:rPr>
          <w:szCs w:val="24"/>
        </w:rPr>
        <w:t>0m</w:t>
      </w:r>
      <w:r>
        <w:rPr>
          <w:rFonts w:hint="eastAsia"/>
        </w:rPr>
        <w:t>。</w:t>
      </w:r>
    </w:p>
    <w:p>
      <w:pPr>
        <w:pStyle w:val="347"/>
        <w:keepNext/>
        <w:keepLines/>
        <w:pageBreakBefore/>
        <w:widowControl w:val="0"/>
        <w:numPr>
          <w:ilvl w:val="0"/>
          <w:numId w:val="1"/>
        </w:numPr>
        <w:tabs>
          <w:tab w:val="left" w:pos="0"/>
        </w:tabs>
        <w:spacing w:after="60" w:line="360" w:lineRule="auto"/>
        <w:ind w:left="0" w:firstLine="0"/>
        <w:textAlignment w:val="baseline"/>
        <w:rPr>
          <w:rFonts w:ascii="Times New Roman" w:hAnsi="Times New Roman" w:eastAsia="黑体" w:cs="Times New Roman"/>
          <w:b w:val="0"/>
          <w:kern w:val="44"/>
          <w:sz w:val="36"/>
        </w:rPr>
      </w:pPr>
      <w:bookmarkStart w:id="299" w:name="_Toc423336669"/>
      <w:bookmarkStart w:id="300" w:name="_Toc84168080"/>
      <w:bookmarkStart w:id="301" w:name="_Toc457480934"/>
      <w:bookmarkStart w:id="302" w:name="_Toc29110563"/>
      <w:r>
        <w:rPr>
          <w:rFonts w:ascii="Times New Roman" w:hAnsi="Times New Roman" w:eastAsia="黑体" w:cs="Times New Roman"/>
          <w:b w:val="0"/>
          <w:kern w:val="44"/>
          <w:sz w:val="36"/>
        </w:rPr>
        <w:t>建设项目概况</w:t>
      </w:r>
      <w:bookmarkEnd w:id="299"/>
      <w:bookmarkEnd w:id="300"/>
      <w:bookmarkEnd w:id="301"/>
      <w:bookmarkEnd w:id="302"/>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303" w:name="_Toc29110564"/>
      <w:bookmarkStart w:id="304" w:name="_Toc84168081"/>
      <w:bookmarkStart w:id="305" w:name="_Toc457480940"/>
      <w:bookmarkStart w:id="306" w:name="_Toc423336670"/>
      <w:r>
        <w:rPr>
          <w:rFonts w:ascii="Times New Roman" w:hAnsi="Times New Roman" w:eastAsia="黑体" w:cs="Times New Roman"/>
          <w:b w:val="0"/>
          <w:bCs/>
          <w:spacing w:val="4"/>
          <w:kern w:val="2"/>
          <w:sz w:val="32"/>
          <w:szCs w:val="32"/>
        </w:rPr>
        <w:t>3.1 项目基本情况</w:t>
      </w:r>
      <w:bookmarkEnd w:id="303"/>
    </w:p>
    <w:p>
      <w:pPr>
        <w:snapToGrid w:val="0"/>
        <w:ind w:firstLine="480" w:firstLineChars="200"/>
        <w:rPr>
          <w:kern w:val="0"/>
        </w:rPr>
      </w:pPr>
      <w:r>
        <w:rPr>
          <w:rFonts w:hint="eastAsia"/>
          <w:kern w:val="0"/>
        </w:rPr>
        <w:t>项目</w:t>
      </w:r>
      <w:r>
        <w:rPr>
          <w:kern w:val="0"/>
        </w:rPr>
        <w:t>名称：</w:t>
      </w:r>
      <w:r>
        <w:rPr>
          <w:rFonts w:hint="eastAsia"/>
          <w:kern w:val="0"/>
        </w:rPr>
        <w:t>井研县</w:t>
      </w:r>
      <w:r>
        <w:rPr>
          <w:kern w:val="0"/>
        </w:rPr>
        <w:t>高凤循环农业</w:t>
      </w:r>
      <w:r>
        <w:rPr>
          <w:rFonts w:hint="eastAsia"/>
          <w:kern w:val="0"/>
        </w:rPr>
        <w:t>生猪</w:t>
      </w:r>
      <w:r>
        <w:rPr>
          <w:kern w:val="0"/>
        </w:rPr>
        <w:t>标准化生态养殖园区建设</w:t>
      </w:r>
    </w:p>
    <w:p>
      <w:pPr>
        <w:pStyle w:val="2"/>
        <w:ind w:firstLine="480"/>
        <w:rPr>
          <w:rFonts w:hint="default"/>
        </w:rPr>
      </w:pPr>
      <w:r>
        <w:t>建设</w:t>
      </w:r>
      <w:r>
        <w:rPr>
          <w:rFonts w:hint="default"/>
        </w:rPr>
        <w:t>单位</w:t>
      </w:r>
      <w:r>
        <w:t>：乐山</w:t>
      </w:r>
      <w:r>
        <w:rPr>
          <w:rFonts w:hint="default"/>
        </w:rPr>
        <w:t>正邦养殖有限公司</w:t>
      </w:r>
    </w:p>
    <w:p>
      <w:pPr>
        <w:pStyle w:val="2"/>
        <w:ind w:firstLine="480"/>
        <w:rPr>
          <w:rFonts w:hint="default"/>
        </w:rPr>
      </w:pPr>
      <w:r>
        <w:t>建设</w:t>
      </w:r>
      <w:r>
        <w:rPr>
          <w:rFonts w:hint="default"/>
        </w:rPr>
        <w:t>地点：</w:t>
      </w:r>
      <w:r>
        <w:t>井研县</w:t>
      </w:r>
      <w:r>
        <w:rPr>
          <w:rFonts w:hint="default"/>
        </w:rPr>
        <w:t>高凤乡星星亮村</w:t>
      </w:r>
    </w:p>
    <w:p>
      <w:pPr>
        <w:pStyle w:val="2"/>
        <w:ind w:firstLine="480"/>
        <w:rPr>
          <w:rFonts w:hint="default"/>
        </w:rPr>
      </w:pPr>
      <w:r>
        <w:t>建设</w:t>
      </w:r>
      <w:r>
        <w:rPr>
          <w:rFonts w:hint="default"/>
        </w:rPr>
        <w:t>性质：</w:t>
      </w:r>
      <w:r>
        <w:t>新建</w:t>
      </w:r>
    </w:p>
    <w:p>
      <w:pPr>
        <w:pStyle w:val="2"/>
        <w:ind w:firstLine="480"/>
        <w:rPr>
          <w:rFonts w:hint="default"/>
          <w:color w:val="auto"/>
        </w:rPr>
      </w:pPr>
      <w:r>
        <w:t>建设规模</w:t>
      </w:r>
      <w:r>
        <w:rPr>
          <w:rFonts w:hint="default"/>
        </w:rPr>
        <w:t>：</w:t>
      </w:r>
      <w:r>
        <w:rPr>
          <w:rFonts w:hint="default"/>
          <w:color w:val="auto"/>
        </w:rPr>
        <w:t>公司以种养殖循环现代农业生产方式，</w:t>
      </w:r>
      <w:r>
        <w:rPr>
          <w:color w:val="auto"/>
        </w:rPr>
        <w:t>项目养殖区129亩，建筑</w:t>
      </w:r>
      <w:r>
        <w:rPr>
          <w:rFonts w:hint="default"/>
          <w:color w:val="auto"/>
        </w:rPr>
        <w:t>面积</w:t>
      </w:r>
      <w:r>
        <w:rPr>
          <w:color w:val="auto"/>
        </w:rPr>
        <w:t>7</w:t>
      </w:r>
      <w:r>
        <w:rPr>
          <w:rFonts w:hint="default"/>
          <w:color w:val="auto"/>
        </w:rPr>
        <w:t>3280m</w:t>
      </w:r>
      <w:r>
        <w:rPr>
          <w:rFonts w:hint="default"/>
          <w:color w:val="auto"/>
          <w:vertAlign w:val="superscript"/>
        </w:rPr>
        <w:t>2</w:t>
      </w:r>
      <w:r>
        <w:rPr>
          <w:color w:val="auto"/>
        </w:rPr>
        <w:t>，</w:t>
      </w:r>
      <w:r>
        <w:rPr>
          <w:rFonts w:hint="default"/>
          <w:color w:val="auto"/>
        </w:rPr>
        <w:t>流转土地</w:t>
      </w:r>
      <w:r>
        <w:rPr>
          <w:color w:val="auto"/>
        </w:rPr>
        <w:t>种植</w:t>
      </w:r>
      <w:r>
        <w:rPr>
          <w:rFonts w:hint="default"/>
          <w:color w:val="auto"/>
        </w:rPr>
        <w:t>农作物560</w:t>
      </w:r>
      <w:r>
        <w:rPr>
          <w:color w:val="auto"/>
        </w:rPr>
        <w:t>亩，建成</w:t>
      </w:r>
      <w:r>
        <w:rPr>
          <w:rFonts w:hint="default"/>
          <w:color w:val="auto"/>
        </w:rPr>
        <w:t>运营后，常年存栏折</w:t>
      </w:r>
      <w:r>
        <w:rPr>
          <w:color w:val="auto"/>
        </w:rPr>
        <w:t>后</w:t>
      </w:r>
      <w:r>
        <w:rPr>
          <w:rFonts w:hint="default"/>
          <w:color w:val="auto"/>
        </w:rPr>
        <w:t>约3352</w:t>
      </w:r>
      <w:r>
        <w:rPr>
          <w:color w:val="auto"/>
        </w:rPr>
        <w:t>头</w:t>
      </w:r>
      <w:r>
        <w:rPr>
          <w:rFonts w:hint="default"/>
          <w:color w:val="auto"/>
        </w:rPr>
        <w:t>，年出栏商品小猪52000头</w:t>
      </w:r>
      <w:r>
        <w:rPr>
          <w:color w:val="auto"/>
        </w:rPr>
        <w:t>。</w:t>
      </w:r>
    </w:p>
    <w:p>
      <w:pPr>
        <w:pStyle w:val="2"/>
        <w:ind w:firstLine="480"/>
        <w:rPr>
          <w:rFonts w:hint="default"/>
          <w:color w:val="FF0000"/>
        </w:rPr>
      </w:pPr>
      <w:r>
        <w:rPr>
          <w:color w:val="auto"/>
        </w:rPr>
        <w:t>投资</w:t>
      </w:r>
      <w:r>
        <w:rPr>
          <w:rFonts w:hint="default"/>
          <w:color w:val="auto"/>
        </w:rPr>
        <w:t>总额：</w:t>
      </w:r>
      <w:r>
        <w:rPr>
          <w:color w:val="auto"/>
        </w:rPr>
        <w:t>11064万元</w:t>
      </w:r>
    </w:p>
    <w:p>
      <w:pPr>
        <w:pStyle w:val="2"/>
        <w:ind w:firstLine="480"/>
        <w:rPr>
          <w:rFonts w:hint="default"/>
        </w:rPr>
      </w:pPr>
      <w:r>
        <w:t>劳动定员</w:t>
      </w:r>
      <w:r>
        <w:rPr>
          <w:rFonts w:hint="default"/>
        </w:rPr>
        <w:t>及工作制度：</w:t>
      </w:r>
      <w:r>
        <w:t>项目</w:t>
      </w:r>
      <w:r>
        <w:rPr>
          <w:rFonts w:hint="default"/>
        </w:rPr>
        <w:t>建成后，劳动定员</w:t>
      </w:r>
      <w:r>
        <w:t>66人</w:t>
      </w:r>
      <w:r>
        <w:rPr>
          <w:rFonts w:hint="default"/>
        </w:rPr>
        <w:t>，其中技术和管理人员</w:t>
      </w:r>
      <w:r>
        <w:t>20人</w:t>
      </w:r>
      <w:r>
        <w:rPr>
          <w:rFonts w:hint="default"/>
        </w:rPr>
        <w:t>，项目年工作日为</w:t>
      </w:r>
      <w:r>
        <w:t>365天</w:t>
      </w:r>
      <w:r>
        <w:rPr>
          <w:rFonts w:hint="default"/>
        </w:rPr>
        <w:t>，每天两班，每班工作</w:t>
      </w:r>
      <w:r>
        <w:t>8小时</w:t>
      </w:r>
      <w:r>
        <w:rPr>
          <w:rFonts w:hint="default"/>
        </w:rPr>
        <w:t>。</w:t>
      </w:r>
    </w:p>
    <w:p>
      <w:pPr>
        <w:pStyle w:val="2"/>
        <w:ind w:firstLine="480"/>
        <w:rPr>
          <w:rFonts w:hint="default"/>
        </w:rPr>
      </w:pPr>
      <w:r>
        <w:t>行业</w:t>
      </w:r>
      <w:r>
        <w:rPr>
          <w:rFonts w:hint="default"/>
        </w:rPr>
        <w:t>类别：猪的饲养</w:t>
      </w:r>
      <w:r>
        <w:t>A0313；</w:t>
      </w:r>
    </w:p>
    <w:p>
      <w:pPr>
        <w:pStyle w:val="2"/>
        <w:ind w:firstLine="480"/>
        <w:rPr>
          <w:rFonts w:hint="default"/>
        </w:rPr>
      </w:pPr>
      <w:r>
        <w:t>施工</w:t>
      </w:r>
      <w:r>
        <w:rPr>
          <w:rFonts w:hint="default"/>
        </w:rPr>
        <w:t>进度计划：本项目实施一次性投资建成，基建设施部分含基建，房舍及设备安装等。项目</w:t>
      </w:r>
      <w:r>
        <w:t>建设</w:t>
      </w:r>
      <w:r>
        <w:rPr>
          <w:rFonts w:hint="default"/>
        </w:rPr>
        <w:t>日期</w:t>
      </w:r>
      <w:r>
        <w:t>2019年12月</w:t>
      </w:r>
      <w:r>
        <w:rPr>
          <w:rFonts w:hint="default"/>
        </w:rPr>
        <w:t>，</w:t>
      </w:r>
      <w:r>
        <w:t>2020年07月</w:t>
      </w:r>
      <w:r>
        <w:rPr>
          <w:rFonts w:hint="default"/>
        </w:rPr>
        <w:t>完工，施工期9</w:t>
      </w:r>
      <w:r>
        <w:t>个</w:t>
      </w:r>
      <w:r>
        <w:rPr>
          <w:rFonts w:hint="default"/>
        </w:rPr>
        <w:t>月。</w:t>
      </w:r>
    </w:p>
    <w:bookmarkEnd w:id="304"/>
    <w:bookmarkEnd w:id="305"/>
    <w:bookmarkEnd w:id="306"/>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307" w:name="_Toc29110565"/>
      <w:bookmarkStart w:id="308" w:name="_Toc208485548"/>
      <w:bookmarkStart w:id="309" w:name="_Toc233167561"/>
      <w:bookmarkStart w:id="310" w:name="_Toc249847912"/>
      <w:bookmarkStart w:id="311" w:name="_Toc282879898"/>
      <w:r>
        <w:rPr>
          <w:rFonts w:ascii="Times New Roman" w:hAnsi="Times New Roman" w:eastAsia="黑体" w:cs="Times New Roman"/>
          <w:b w:val="0"/>
          <w:bCs/>
          <w:spacing w:val="4"/>
          <w:kern w:val="2"/>
          <w:sz w:val="32"/>
          <w:szCs w:val="32"/>
        </w:rPr>
        <w:t>3.2</w:t>
      </w:r>
      <w:r>
        <w:rPr>
          <w:rFonts w:hint="eastAsia" w:ascii="Times New Roman" w:hAnsi="Times New Roman" w:eastAsia="黑体" w:cs="Times New Roman"/>
          <w:b w:val="0"/>
          <w:bCs/>
          <w:spacing w:val="4"/>
          <w:kern w:val="2"/>
          <w:sz w:val="32"/>
          <w:szCs w:val="32"/>
        </w:rPr>
        <w:t>项目</w:t>
      </w:r>
      <w:r>
        <w:rPr>
          <w:rFonts w:ascii="Times New Roman" w:hAnsi="Times New Roman" w:eastAsia="黑体" w:cs="Times New Roman"/>
          <w:b w:val="0"/>
          <w:bCs/>
          <w:spacing w:val="4"/>
          <w:kern w:val="2"/>
          <w:sz w:val="32"/>
          <w:szCs w:val="32"/>
        </w:rPr>
        <w:t>建设规模及养殖规模</w:t>
      </w:r>
      <w:bookmarkEnd w:id="307"/>
    </w:p>
    <w:p>
      <w:pPr>
        <w:snapToGrid w:val="0"/>
        <w:ind w:firstLine="480" w:firstLineChars="200"/>
      </w:pPr>
      <w:bookmarkStart w:id="312" w:name="_Toc457480942"/>
      <w:r>
        <w:rPr>
          <w:rFonts w:hint="eastAsia"/>
        </w:rPr>
        <w:t>（1）建设规模</w:t>
      </w:r>
    </w:p>
    <w:p>
      <w:pPr>
        <w:snapToGrid w:val="0"/>
        <w:ind w:firstLine="480" w:firstLineChars="200"/>
        <w:rPr>
          <w:color w:val="FF0000"/>
        </w:rPr>
      </w:pPr>
      <w:r>
        <w:t>项目养殖区总占地面积129亩，建设内容：</w:t>
      </w:r>
      <w:r>
        <w:fldChar w:fldCharType="begin"/>
      </w:r>
      <w:r>
        <w:instrText xml:space="preserve"> = 1 \* GB2 </w:instrText>
      </w:r>
      <w:r>
        <w:fldChar w:fldCharType="separate"/>
      </w:r>
      <w:r>
        <w:rPr>
          <w:rFonts w:hint="eastAsia"/>
        </w:rPr>
        <w:t>⑴</w:t>
      </w:r>
      <w:r>
        <w:fldChar w:fldCharType="end"/>
      </w:r>
      <w:r>
        <w:t>新建各类猪舍17923.95㎡，包括种猪</w:t>
      </w:r>
      <w:r>
        <w:rPr>
          <w:rFonts w:hint="eastAsia"/>
        </w:rPr>
        <w:t>3栋厂房⑵</w:t>
      </w:r>
      <w:r>
        <w:t>办公用房、门卫</w:t>
      </w:r>
      <w:r>
        <w:rPr>
          <w:rFonts w:hint="eastAsia"/>
        </w:rPr>
        <w:t>、柴油发电机房、宿舍、食堂、消毒房</w:t>
      </w:r>
      <w:r>
        <w:t>等其它用房。</w:t>
      </w:r>
      <w:r>
        <w:rPr>
          <w:rFonts w:hint="eastAsia"/>
        </w:rPr>
        <w:t>⑶</w:t>
      </w:r>
      <w:r>
        <w:t>新建废水贮存池。</w:t>
      </w:r>
      <w:r>
        <w:rPr>
          <w:rFonts w:hint="eastAsia"/>
        </w:rPr>
        <w:t>⑷</w:t>
      </w:r>
      <w:r>
        <w:t>相关水电、道路、围墙、绿化等配套工程和设备工程。</w:t>
      </w:r>
    </w:p>
    <w:p>
      <w:pPr>
        <w:snapToGrid w:val="0"/>
        <w:ind w:firstLine="480" w:firstLineChars="200"/>
      </w:pPr>
      <w:r>
        <w:rPr>
          <w:rFonts w:hint="eastAsia"/>
        </w:rPr>
        <w:t>（2）</w:t>
      </w:r>
      <w:r>
        <w:t>养殖规模</w:t>
      </w:r>
    </w:p>
    <w:p>
      <w:pPr>
        <w:snapToGrid w:val="0"/>
        <w:ind w:firstLine="480" w:firstLineChars="200"/>
      </w:pPr>
      <w:r>
        <w:t>按照当前养猪市场的一般规律，</w:t>
      </w:r>
      <w:r>
        <w:rPr>
          <w:rFonts w:hint="eastAsia"/>
        </w:rPr>
        <w:t>按</w:t>
      </w:r>
      <w:r>
        <w:t>母猪</w:t>
      </w:r>
      <w:r>
        <w:rPr>
          <w:rFonts w:hint="eastAsia"/>
        </w:rPr>
        <w:t>分娩率90</w:t>
      </w:r>
      <w:r>
        <w:t>%，</w:t>
      </w:r>
      <w:r>
        <w:rPr>
          <w:rFonts w:hint="eastAsia"/>
        </w:rPr>
        <w:t>产猪仔</w:t>
      </w:r>
      <w:r>
        <w:t>10头/窝，存活率</w:t>
      </w:r>
      <w:r>
        <w:rPr>
          <w:rFonts w:hint="eastAsia"/>
        </w:rPr>
        <w:t>95</w:t>
      </w:r>
      <w:r>
        <w:t>%</w:t>
      </w:r>
      <w:r>
        <w:rPr>
          <w:rFonts w:hint="eastAsia"/>
        </w:rPr>
        <w:t>计，</w:t>
      </w:r>
      <w:r>
        <w:t>本项目种母猪淘汰时间约为4年，年淘汰率约为25%，即每年更新与淘汰的基础种母猪约为900头；项目采取人工受精的生产模式，种公猪平均淘汰时间约为3年，对于体躯笨重、精液品质差、配种成绩不理想、性情凶暴的公猪，发现后及时淘汰。此外，根据建设单位提供资料，达产期项目包括50种公猪、3000头种母猪，</w:t>
      </w:r>
      <w:r>
        <w:rPr>
          <w:rFonts w:hint="eastAsia"/>
        </w:rPr>
        <w:t>年产仔猪约</w:t>
      </w:r>
      <w:r>
        <w:t>3018头/批，折合成成年猪约302头</w:t>
      </w:r>
      <w:r>
        <w:rPr>
          <w:rFonts w:hint="eastAsia"/>
        </w:rPr>
        <w:t>，则</w:t>
      </w:r>
      <w:r>
        <w:t>常年存栏量3352</w:t>
      </w:r>
      <w:r>
        <w:rPr>
          <w:rFonts w:hint="eastAsia"/>
        </w:rPr>
        <w:t>头。</w:t>
      </w:r>
      <w:r>
        <w:t>每头种母猪分娩率90%，每年产2窝，每窝产猪仔10头，成活率95%，年出栏仔猪量约为51300头，</w:t>
      </w:r>
      <w:r>
        <w:rPr>
          <w:lang w:bidi="ar"/>
        </w:rPr>
        <w:t>种猪所生产得</w:t>
      </w:r>
      <w:r>
        <w:t>仔猪21天断</w:t>
      </w:r>
      <w:r>
        <w:rPr>
          <w:lang w:bidi="ar"/>
        </w:rPr>
        <w:t>奶出栏并转出，不在场区内保育</w:t>
      </w:r>
      <w:r>
        <w:t>。</w:t>
      </w:r>
    </w:p>
    <w:p>
      <w:pPr>
        <w:pStyle w:val="2500"/>
        <w:adjustRightInd w:val="0"/>
        <w:snapToGrid w:val="0"/>
        <w:ind w:left="2263" w:firstLine="0" w:firstLineChars="0"/>
        <w:rPr>
          <w:rFonts w:ascii="黑体" w:hAnsi="黑体" w:eastAsia="黑体"/>
          <w:sz w:val="24"/>
          <w:szCs w:val="24"/>
        </w:rPr>
      </w:pPr>
      <w:r>
        <w:rPr>
          <w:b/>
        </w:rPr>
        <w:t xml:space="preserve">   </w:t>
      </w:r>
      <w:r>
        <w:rPr>
          <w:rFonts w:ascii="Times New Roman" w:hAnsi="Times New Roman" w:eastAsia="黑体"/>
          <w:sz w:val="24"/>
          <w:szCs w:val="24"/>
        </w:rPr>
        <w:t>表3.2-1  各类猪群存、出栏统计         单位：头/</w:t>
      </w:r>
      <w:r>
        <w:rPr>
          <w:rFonts w:ascii="黑体" w:hAnsi="黑体" w:eastAsia="黑体"/>
          <w:sz w:val="24"/>
          <w:szCs w:val="24"/>
        </w:rPr>
        <w:t>年</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54"/>
        <w:gridCol w:w="1391"/>
        <w:gridCol w:w="1079"/>
        <w:gridCol w:w="546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4" w:hRule="atLeast"/>
          <w:tblHeader/>
          <w:jc w:val="center"/>
        </w:trPr>
        <w:tc>
          <w:tcPr>
            <w:tcW w:w="729" w:type="pct"/>
            <w:vAlign w:val="center"/>
          </w:tcPr>
          <w:p>
            <w:pPr>
              <w:adjustRightInd w:val="0"/>
              <w:snapToGrid w:val="0"/>
              <w:spacing w:line="240" w:lineRule="auto"/>
              <w:jc w:val="center"/>
              <w:rPr>
                <w:sz w:val="21"/>
                <w:szCs w:val="21"/>
              </w:rPr>
            </w:pPr>
            <w:r>
              <w:rPr>
                <w:sz w:val="21"/>
                <w:szCs w:val="21"/>
              </w:rPr>
              <w:t>类 别</w:t>
            </w:r>
          </w:p>
        </w:tc>
        <w:tc>
          <w:tcPr>
            <w:tcW w:w="749" w:type="pct"/>
            <w:vAlign w:val="center"/>
          </w:tcPr>
          <w:p>
            <w:pPr>
              <w:adjustRightInd w:val="0"/>
              <w:snapToGrid w:val="0"/>
              <w:spacing w:line="240" w:lineRule="auto"/>
              <w:jc w:val="center"/>
              <w:rPr>
                <w:sz w:val="21"/>
                <w:szCs w:val="21"/>
              </w:rPr>
            </w:pPr>
            <w:r>
              <w:rPr>
                <w:sz w:val="21"/>
                <w:szCs w:val="21"/>
              </w:rPr>
              <w:t>内 容</w:t>
            </w:r>
          </w:p>
        </w:tc>
        <w:tc>
          <w:tcPr>
            <w:tcW w:w="581" w:type="pct"/>
            <w:vAlign w:val="center"/>
          </w:tcPr>
          <w:p>
            <w:pPr>
              <w:adjustRightInd w:val="0"/>
              <w:snapToGrid w:val="0"/>
              <w:spacing w:line="240" w:lineRule="auto"/>
              <w:jc w:val="center"/>
              <w:rPr>
                <w:sz w:val="21"/>
                <w:szCs w:val="21"/>
              </w:rPr>
            </w:pPr>
            <w:r>
              <w:rPr>
                <w:sz w:val="21"/>
                <w:szCs w:val="21"/>
              </w:rPr>
              <w:t>数 量</w:t>
            </w:r>
          </w:p>
        </w:tc>
        <w:tc>
          <w:tcPr>
            <w:tcW w:w="2941" w:type="pct"/>
            <w:vAlign w:val="center"/>
          </w:tcPr>
          <w:p>
            <w:pPr>
              <w:adjustRightInd w:val="0"/>
              <w:snapToGrid w:val="0"/>
              <w:spacing w:line="240" w:lineRule="auto"/>
              <w:jc w:val="center"/>
              <w:rPr>
                <w:sz w:val="21"/>
                <w:szCs w:val="21"/>
              </w:rPr>
            </w:pPr>
            <w:r>
              <w:rPr>
                <w:sz w:val="21"/>
                <w:szCs w:val="21"/>
              </w:rPr>
              <w:t>备 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9" w:hRule="atLeast"/>
          <w:tblHeader/>
          <w:jc w:val="center"/>
        </w:trPr>
        <w:tc>
          <w:tcPr>
            <w:tcW w:w="729" w:type="pct"/>
            <w:vMerge w:val="restart"/>
            <w:vAlign w:val="center"/>
          </w:tcPr>
          <w:p>
            <w:pPr>
              <w:adjustRightInd w:val="0"/>
              <w:snapToGrid w:val="0"/>
              <w:spacing w:line="240" w:lineRule="auto"/>
              <w:jc w:val="center"/>
              <w:rPr>
                <w:sz w:val="21"/>
                <w:szCs w:val="21"/>
              </w:rPr>
            </w:pPr>
            <w:r>
              <w:rPr>
                <w:sz w:val="21"/>
                <w:szCs w:val="21"/>
              </w:rPr>
              <w:t>存栏统计</w:t>
            </w:r>
          </w:p>
        </w:tc>
        <w:tc>
          <w:tcPr>
            <w:tcW w:w="749" w:type="pct"/>
            <w:vAlign w:val="center"/>
          </w:tcPr>
          <w:p>
            <w:pPr>
              <w:adjustRightInd w:val="0"/>
              <w:snapToGrid w:val="0"/>
              <w:spacing w:line="240" w:lineRule="auto"/>
              <w:jc w:val="center"/>
              <w:rPr>
                <w:sz w:val="21"/>
                <w:szCs w:val="21"/>
              </w:rPr>
            </w:pPr>
            <w:r>
              <w:rPr>
                <w:sz w:val="21"/>
                <w:szCs w:val="21"/>
              </w:rPr>
              <w:t>种母猪</w:t>
            </w:r>
          </w:p>
        </w:tc>
        <w:tc>
          <w:tcPr>
            <w:tcW w:w="581" w:type="pct"/>
            <w:vAlign w:val="center"/>
          </w:tcPr>
          <w:p>
            <w:pPr>
              <w:adjustRightInd w:val="0"/>
              <w:snapToGrid w:val="0"/>
              <w:spacing w:line="240" w:lineRule="auto"/>
              <w:jc w:val="center"/>
              <w:rPr>
                <w:sz w:val="21"/>
                <w:szCs w:val="21"/>
              </w:rPr>
            </w:pPr>
            <w:r>
              <w:rPr>
                <w:sz w:val="21"/>
                <w:szCs w:val="21"/>
              </w:rPr>
              <w:t>3000</w:t>
            </w:r>
          </w:p>
        </w:tc>
        <w:tc>
          <w:tcPr>
            <w:tcW w:w="2941" w:type="pct"/>
            <w:vAlign w:val="center"/>
          </w:tcPr>
          <w:p>
            <w:pPr>
              <w:adjustRightInd w:val="0"/>
              <w:snapToGrid w:val="0"/>
              <w:spacing w:line="240" w:lineRule="auto"/>
              <w:jc w:val="center"/>
              <w:rPr>
                <w:sz w:val="21"/>
                <w:szCs w:val="21"/>
              </w:rPr>
            </w:pPr>
            <w:r>
              <w:rPr>
                <w:rFonts w:hint="eastAsia"/>
                <w:sz w:val="21"/>
                <w:szCs w:val="21"/>
              </w:rPr>
              <w:t>按</w:t>
            </w:r>
            <w:r>
              <w:rPr>
                <w:sz w:val="21"/>
                <w:szCs w:val="21"/>
              </w:rPr>
              <w:t>母猪分娩率90%，产猪仔10头/窝，存活率95%，每年产2窝</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9" w:hRule="atLeast"/>
          <w:tblHeader/>
          <w:jc w:val="center"/>
        </w:trPr>
        <w:tc>
          <w:tcPr>
            <w:tcW w:w="729" w:type="pct"/>
            <w:vMerge w:val="continue"/>
            <w:vAlign w:val="center"/>
          </w:tcPr>
          <w:p>
            <w:pPr>
              <w:adjustRightInd w:val="0"/>
              <w:snapToGrid w:val="0"/>
              <w:spacing w:line="240" w:lineRule="auto"/>
              <w:jc w:val="center"/>
              <w:rPr>
                <w:sz w:val="21"/>
                <w:szCs w:val="21"/>
              </w:rPr>
            </w:pPr>
          </w:p>
        </w:tc>
        <w:tc>
          <w:tcPr>
            <w:tcW w:w="749" w:type="pct"/>
            <w:vAlign w:val="center"/>
          </w:tcPr>
          <w:p>
            <w:pPr>
              <w:adjustRightInd w:val="0"/>
              <w:snapToGrid w:val="0"/>
              <w:spacing w:line="240" w:lineRule="auto"/>
              <w:jc w:val="center"/>
              <w:rPr>
                <w:sz w:val="21"/>
                <w:szCs w:val="21"/>
              </w:rPr>
            </w:pPr>
            <w:r>
              <w:rPr>
                <w:sz w:val="21"/>
                <w:szCs w:val="21"/>
              </w:rPr>
              <w:t>公猪</w:t>
            </w:r>
          </w:p>
        </w:tc>
        <w:tc>
          <w:tcPr>
            <w:tcW w:w="581" w:type="pct"/>
            <w:vAlign w:val="center"/>
          </w:tcPr>
          <w:p>
            <w:pPr>
              <w:adjustRightInd w:val="0"/>
              <w:snapToGrid w:val="0"/>
              <w:spacing w:line="240" w:lineRule="auto"/>
              <w:jc w:val="center"/>
              <w:rPr>
                <w:sz w:val="21"/>
                <w:szCs w:val="21"/>
              </w:rPr>
            </w:pPr>
            <w:r>
              <w:rPr>
                <w:sz w:val="21"/>
                <w:szCs w:val="21"/>
              </w:rPr>
              <w:t>50</w:t>
            </w:r>
          </w:p>
        </w:tc>
        <w:tc>
          <w:tcPr>
            <w:tcW w:w="2941" w:type="pct"/>
            <w:vAlign w:val="center"/>
          </w:tcPr>
          <w:p>
            <w:pPr>
              <w:adjustRightInd w:val="0"/>
              <w:snapToGrid w:val="0"/>
              <w:spacing w:line="240" w:lineRule="auto"/>
              <w:jc w:val="center"/>
              <w:rPr>
                <w:sz w:val="21"/>
                <w:szCs w:val="21"/>
              </w:rPr>
            </w:pPr>
            <w:r>
              <w:rPr>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7" w:hRule="atLeast"/>
          <w:tblHeader/>
          <w:jc w:val="center"/>
        </w:trPr>
        <w:tc>
          <w:tcPr>
            <w:tcW w:w="729" w:type="pct"/>
            <w:vMerge w:val="continue"/>
            <w:vAlign w:val="center"/>
          </w:tcPr>
          <w:p>
            <w:pPr>
              <w:adjustRightInd w:val="0"/>
              <w:snapToGrid w:val="0"/>
              <w:spacing w:line="240" w:lineRule="auto"/>
              <w:jc w:val="center"/>
              <w:rPr>
                <w:sz w:val="21"/>
                <w:szCs w:val="21"/>
              </w:rPr>
            </w:pPr>
          </w:p>
        </w:tc>
        <w:tc>
          <w:tcPr>
            <w:tcW w:w="749" w:type="pct"/>
            <w:vAlign w:val="center"/>
          </w:tcPr>
          <w:p>
            <w:pPr>
              <w:adjustRightInd w:val="0"/>
              <w:snapToGrid w:val="0"/>
              <w:spacing w:line="240" w:lineRule="auto"/>
              <w:jc w:val="center"/>
              <w:rPr>
                <w:sz w:val="21"/>
                <w:szCs w:val="21"/>
              </w:rPr>
            </w:pPr>
            <w:r>
              <w:rPr>
                <w:sz w:val="21"/>
                <w:szCs w:val="21"/>
              </w:rPr>
              <w:t>仔猪</w:t>
            </w:r>
          </w:p>
        </w:tc>
        <w:tc>
          <w:tcPr>
            <w:tcW w:w="581" w:type="pct"/>
            <w:vAlign w:val="center"/>
          </w:tcPr>
          <w:p>
            <w:pPr>
              <w:adjustRightInd w:val="0"/>
              <w:snapToGrid w:val="0"/>
              <w:spacing w:line="240" w:lineRule="auto"/>
              <w:jc w:val="center"/>
              <w:rPr>
                <w:sz w:val="21"/>
                <w:szCs w:val="21"/>
              </w:rPr>
            </w:pPr>
            <w:r>
              <w:rPr>
                <w:sz w:val="21"/>
                <w:szCs w:val="21"/>
              </w:rPr>
              <w:t>3018</w:t>
            </w:r>
          </w:p>
        </w:tc>
        <w:tc>
          <w:tcPr>
            <w:tcW w:w="2941" w:type="pct"/>
            <w:vAlign w:val="center"/>
          </w:tcPr>
          <w:p>
            <w:pPr>
              <w:adjustRightInd w:val="0"/>
              <w:snapToGrid w:val="0"/>
              <w:spacing w:line="240" w:lineRule="auto"/>
              <w:jc w:val="center"/>
              <w:rPr>
                <w:sz w:val="21"/>
                <w:szCs w:val="21"/>
              </w:rPr>
            </w:pPr>
            <w:r>
              <w:rPr>
                <w:sz w:val="21"/>
                <w:szCs w:val="21"/>
              </w:rPr>
              <w:t>年产仔猪约为51300头，仔猪出栏周期为21天，则每年出栏约17批次，则年产仔猪约3018头/批，每10头哺乳仔猪折合成1头成年猪，折合成成年猪约302头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 w:hRule="atLeast"/>
          <w:tblHeader/>
          <w:jc w:val="center"/>
        </w:trPr>
        <w:tc>
          <w:tcPr>
            <w:tcW w:w="729" w:type="pct"/>
            <w:vAlign w:val="center"/>
          </w:tcPr>
          <w:p>
            <w:pPr>
              <w:adjustRightInd w:val="0"/>
              <w:snapToGrid w:val="0"/>
              <w:spacing w:line="240" w:lineRule="auto"/>
              <w:jc w:val="center"/>
              <w:rPr>
                <w:sz w:val="21"/>
                <w:szCs w:val="21"/>
              </w:rPr>
            </w:pPr>
            <w:r>
              <w:rPr>
                <w:sz w:val="21"/>
                <w:szCs w:val="21"/>
              </w:rPr>
              <w:t>出栏统计</w:t>
            </w:r>
          </w:p>
        </w:tc>
        <w:tc>
          <w:tcPr>
            <w:tcW w:w="749" w:type="pct"/>
            <w:vAlign w:val="center"/>
          </w:tcPr>
          <w:p>
            <w:pPr>
              <w:adjustRightInd w:val="0"/>
              <w:snapToGrid w:val="0"/>
              <w:spacing w:line="240" w:lineRule="auto"/>
              <w:jc w:val="center"/>
              <w:rPr>
                <w:sz w:val="21"/>
                <w:szCs w:val="21"/>
              </w:rPr>
            </w:pPr>
            <w:r>
              <w:rPr>
                <w:sz w:val="21"/>
                <w:szCs w:val="21"/>
              </w:rPr>
              <w:t>断奶仔猪</w:t>
            </w:r>
          </w:p>
        </w:tc>
        <w:tc>
          <w:tcPr>
            <w:tcW w:w="581" w:type="pct"/>
            <w:vAlign w:val="center"/>
          </w:tcPr>
          <w:p>
            <w:pPr>
              <w:adjustRightInd w:val="0"/>
              <w:snapToGrid w:val="0"/>
              <w:spacing w:line="240" w:lineRule="auto"/>
              <w:jc w:val="center"/>
              <w:rPr>
                <w:sz w:val="21"/>
                <w:szCs w:val="21"/>
              </w:rPr>
            </w:pPr>
            <w:r>
              <w:rPr>
                <w:sz w:val="21"/>
                <w:szCs w:val="21"/>
              </w:rPr>
              <w:t>51300</w:t>
            </w:r>
          </w:p>
        </w:tc>
        <w:tc>
          <w:tcPr>
            <w:tcW w:w="2941" w:type="pct"/>
            <w:vAlign w:val="center"/>
          </w:tcPr>
          <w:p>
            <w:pPr>
              <w:adjustRightInd w:val="0"/>
              <w:snapToGrid w:val="0"/>
              <w:spacing w:line="240" w:lineRule="auto"/>
              <w:jc w:val="center"/>
              <w:rPr>
                <w:sz w:val="21"/>
                <w:szCs w:val="21"/>
              </w:rPr>
            </w:pPr>
            <w:r>
              <w:rPr>
                <w:sz w:val="21"/>
                <w:szCs w:val="21"/>
              </w:rPr>
              <w:t>年产断奶仔猪约</w:t>
            </w:r>
            <w:r>
              <w:rPr>
                <w:rFonts w:hint="eastAsia"/>
                <w:sz w:val="21"/>
                <w:szCs w:val="21"/>
              </w:rPr>
              <w:t>5</w:t>
            </w:r>
            <w:r>
              <w:rPr>
                <w:sz w:val="21"/>
                <w:szCs w:val="21"/>
              </w:rPr>
              <w:t>1300头</w:t>
            </w:r>
          </w:p>
        </w:tc>
      </w:tr>
    </w:tbl>
    <w:p>
      <w:pPr>
        <w:adjustRightInd w:val="0"/>
        <w:snapToGrid w:val="0"/>
        <w:jc w:val="center"/>
        <w:rPr>
          <w:b/>
        </w:rPr>
      </w:pPr>
    </w:p>
    <w:p>
      <w:pPr>
        <w:pStyle w:val="2500"/>
        <w:adjustRightInd w:val="0"/>
        <w:snapToGrid w:val="0"/>
        <w:ind w:left="2263" w:firstLine="0" w:firstLineChars="0"/>
        <w:rPr>
          <w:rFonts w:ascii="Times New Roman" w:hAnsi="Times New Roman" w:eastAsia="黑体"/>
          <w:sz w:val="24"/>
          <w:szCs w:val="24"/>
        </w:rPr>
      </w:pPr>
      <w:r>
        <w:rPr>
          <w:rFonts w:ascii="Times New Roman" w:hAnsi="Times New Roman" w:eastAsia="黑体"/>
          <w:sz w:val="24"/>
          <w:szCs w:val="24"/>
        </w:rPr>
        <w:t>表3.2-2  各类猪群的常年存栏数</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754"/>
        <w:gridCol w:w="2350"/>
        <w:gridCol w:w="2311"/>
        <w:gridCol w:w="287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 w:hRule="atLeast"/>
          <w:jc w:val="center"/>
        </w:trPr>
        <w:tc>
          <w:tcPr>
            <w:tcW w:w="945" w:type="pct"/>
            <w:vAlign w:val="center"/>
          </w:tcPr>
          <w:p>
            <w:pPr>
              <w:adjustRightInd w:val="0"/>
              <w:snapToGrid w:val="0"/>
              <w:spacing w:line="240" w:lineRule="auto"/>
              <w:jc w:val="center"/>
              <w:rPr>
                <w:sz w:val="21"/>
                <w:szCs w:val="21"/>
              </w:rPr>
            </w:pPr>
            <w:r>
              <w:rPr>
                <w:sz w:val="21"/>
                <w:szCs w:val="21"/>
              </w:rPr>
              <w:t>类别</w:t>
            </w:r>
          </w:p>
        </w:tc>
        <w:tc>
          <w:tcPr>
            <w:tcW w:w="1265" w:type="pct"/>
            <w:vAlign w:val="center"/>
          </w:tcPr>
          <w:p>
            <w:pPr>
              <w:adjustRightInd w:val="0"/>
              <w:snapToGrid w:val="0"/>
              <w:spacing w:line="240" w:lineRule="auto"/>
              <w:jc w:val="center"/>
              <w:rPr>
                <w:sz w:val="21"/>
                <w:szCs w:val="21"/>
              </w:rPr>
            </w:pPr>
            <w:r>
              <w:rPr>
                <w:sz w:val="21"/>
                <w:szCs w:val="21"/>
              </w:rPr>
              <w:t>常年存栏量（头）</w:t>
            </w:r>
          </w:p>
        </w:tc>
        <w:tc>
          <w:tcPr>
            <w:tcW w:w="1244" w:type="pct"/>
            <w:vAlign w:val="center"/>
          </w:tcPr>
          <w:p>
            <w:pPr>
              <w:adjustRightInd w:val="0"/>
              <w:snapToGrid w:val="0"/>
              <w:spacing w:line="240" w:lineRule="auto"/>
              <w:jc w:val="center"/>
              <w:rPr>
                <w:sz w:val="21"/>
                <w:szCs w:val="21"/>
              </w:rPr>
            </w:pPr>
            <w:r>
              <w:rPr>
                <w:sz w:val="21"/>
                <w:szCs w:val="21"/>
              </w:rPr>
              <w:t>存栏时间（天）</w:t>
            </w:r>
          </w:p>
        </w:tc>
        <w:tc>
          <w:tcPr>
            <w:tcW w:w="1546" w:type="pct"/>
            <w:vAlign w:val="center"/>
          </w:tcPr>
          <w:p>
            <w:pPr>
              <w:adjustRightInd w:val="0"/>
              <w:snapToGrid w:val="0"/>
              <w:spacing w:line="240" w:lineRule="auto"/>
              <w:jc w:val="center"/>
              <w:rPr>
                <w:sz w:val="21"/>
                <w:szCs w:val="21"/>
              </w:rPr>
            </w:pPr>
            <w:r>
              <w:rPr>
                <w:sz w:val="21"/>
                <w:szCs w:val="21"/>
              </w:rPr>
              <w:t>折合成成年猪*（头）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2" w:hRule="atLeast"/>
          <w:jc w:val="center"/>
        </w:trPr>
        <w:tc>
          <w:tcPr>
            <w:tcW w:w="945" w:type="pct"/>
            <w:vAlign w:val="center"/>
          </w:tcPr>
          <w:p>
            <w:pPr>
              <w:adjustRightInd w:val="0"/>
              <w:snapToGrid w:val="0"/>
              <w:spacing w:line="240" w:lineRule="auto"/>
              <w:jc w:val="center"/>
              <w:rPr>
                <w:sz w:val="21"/>
                <w:szCs w:val="21"/>
              </w:rPr>
            </w:pPr>
            <w:r>
              <w:rPr>
                <w:sz w:val="21"/>
                <w:szCs w:val="21"/>
              </w:rPr>
              <w:t>母猪</w:t>
            </w:r>
          </w:p>
        </w:tc>
        <w:tc>
          <w:tcPr>
            <w:tcW w:w="1265" w:type="pct"/>
            <w:vAlign w:val="center"/>
          </w:tcPr>
          <w:p>
            <w:pPr>
              <w:adjustRightInd w:val="0"/>
              <w:snapToGrid w:val="0"/>
              <w:spacing w:line="240" w:lineRule="auto"/>
              <w:jc w:val="center"/>
              <w:rPr>
                <w:sz w:val="21"/>
                <w:szCs w:val="21"/>
              </w:rPr>
            </w:pPr>
            <w:r>
              <w:rPr>
                <w:sz w:val="21"/>
                <w:szCs w:val="21"/>
              </w:rPr>
              <w:t>3000</w:t>
            </w:r>
          </w:p>
        </w:tc>
        <w:tc>
          <w:tcPr>
            <w:tcW w:w="1244" w:type="pct"/>
            <w:vAlign w:val="center"/>
          </w:tcPr>
          <w:p>
            <w:pPr>
              <w:adjustRightInd w:val="0"/>
              <w:snapToGrid w:val="0"/>
              <w:spacing w:line="240" w:lineRule="auto"/>
              <w:jc w:val="center"/>
              <w:rPr>
                <w:sz w:val="21"/>
                <w:szCs w:val="21"/>
              </w:rPr>
            </w:pPr>
            <w:r>
              <w:rPr>
                <w:sz w:val="21"/>
                <w:szCs w:val="21"/>
              </w:rPr>
              <w:t>/</w:t>
            </w:r>
          </w:p>
        </w:tc>
        <w:tc>
          <w:tcPr>
            <w:tcW w:w="1546" w:type="pct"/>
            <w:vAlign w:val="center"/>
          </w:tcPr>
          <w:p>
            <w:pPr>
              <w:adjustRightInd w:val="0"/>
              <w:snapToGrid w:val="0"/>
              <w:spacing w:line="240" w:lineRule="auto"/>
              <w:jc w:val="center"/>
              <w:rPr>
                <w:sz w:val="21"/>
                <w:szCs w:val="21"/>
              </w:rPr>
            </w:pPr>
            <w:r>
              <w:rPr>
                <w:sz w:val="21"/>
                <w:szCs w:val="21"/>
              </w:rPr>
              <w:t>3000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2" w:hRule="atLeast"/>
          <w:jc w:val="center"/>
        </w:trPr>
        <w:tc>
          <w:tcPr>
            <w:tcW w:w="945" w:type="pct"/>
            <w:vAlign w:val="center"/>
          </w:tcPr>
          <w:p>
            <w:pPr>
              <w:adjustRightInd w:val="0"/>
              <w:snapToGrid w:val="0"/>
              <w:spacing w:line="240" w:lineRule="auto"/>
              <w:jc w:val="center"/>
              <w:rPr>
                <w:sz w:val="21"/>
                <w:szCs w:val="21"/>
              </w:rPr>
            </w:pPr>
            <w:r>
              <w:rPr>
                <w:rFonts w:hint="eastAsia"/>
                <w:sz w:val="21"/>
                <w:szCs w:val="21"/>
              </w:rPr>
              <w:t>公猪</w:t>
            </w:r>
          </w:p>
        </w:tc>
        <w:tc>
          <w:tcPr>
            <w:tcW w:w="1265" w:type="pct"/>
            <w:vAlign w:val="center"/>
          </w:tcPr>
          <w:p>
            <w:pPr>
              <w:adjustRightInd w:val="0"/>
              <w:snapToGrid w:val="0"/>
              <w:spacing w:line="240" w:lineRule="auto"/>
              <w:jc w:val="center"/>
              <w:rPr>
                <w:sz w:val="21"/>
                <w:szCs w:val="21"/>
              </w:rPr>
            </w:pPr>
            <w:r>
              <w:rPr>
                <w:sz w:val="21"/>
                <w:szCs w:val="21"/>
              </w:rPr>
              <w:t>50</w:t>
            </w:r>
          </w:p>
        </w:tc>
        <w:tc>
          <w:tcPr>
            <w:tcW w:w="1244" w:type="pct"/>
            <w:vAlign w:val="center"/>
          </w:tcPr>
          <w:p>
            <w:pPr>
              <w:adjustRightInd w:val="0"/>
              <w:snapToGrid w:val="0"/>
              <w:spacing w:line="240" w:lineRule="auto"/>
              <w:jc w:val="center"/>
              <w:rPr>
                <w:sz w:val="21"/>
                <w:szCs w:val="21"/>
              </w:rPr>
            </w:pPr>
            <w:r>
              <w:rPr>
                <w:rFonts w:hint="eastAsia"/>
                <w:sz w:val="21"/>
                <w:szCs w:val="21"/>
              </w:rPr>
              <w:t>/</w:t>
            </w:r>
          </w:p>
        </w:tc>
        <w:tc>
          <w:tcPr>
            <w:tcW w:w="1546" w:type="pct"/>
            <w:vAlign w:val="center"/>
          </w:tcPr>
          <w:p>
            <w:pPr>
              <w:adjustRightInd w:val="0"/>
              <w:snapToGrid w:val="0"/>
              <w:spacing w:line="240" w:lineRule="auto"/>
              <w:jc w:val="center"/>
              <w:rPr>
                <w:sz w:val="21"/>
                <w:szCs w:val="21"/>
              </w:rPr>
            </w:pPr>
            <w:r>
              <w:rPr>
                <w:sz w:val="21"/>
                <w:szCs w:val="21"/>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6" w:hRule="atLeast"/>
          <w:jc w:val="center"/>
        </w:trPr>
        <w:tc>
          <w:tcPr>
            <w:tcW w:w="945" w:type="pct"/>
            <w:vAlign w:val="center"/>
          </w:tcPr>
          <w:p>
            <w:pPr>
              <w:adjustRightInd w:val="0"/>
              <w:snapToGrid w:val="0"/>
              <w:spacing w:line="240" w:lineRule="auto"/>
              <w:jc w:val="center"/>
              <w:rPr>
                <w:sz w:val="21"/>
                <w:szCs w:val="21"/>
              </w:rPr>
            </w:pPr>
            <w:r>
              <w:rPr>
                <w:sz w:val="21"/>
                <w:szCs w:val="21"/>
              </w:rPr>
              <w:t>仔猪</w:t>
            </w:r>
          </w:p>
        </w:tc>
        <w:tc>
          <w:tcPr>
            <w:tcW w:w="1265" w:type="pct"/>
            <w:vAlign w:val="center"/>
          </w:tcPr>
          <w:p>
            <w:pPr>
              <w:adjustRightInd w:val="0"/>
              <w:snapToGrid w:val="0"/>
              <w:spacing w:line="240" w:lineRule="auto"/>
              <w:jc w:val="center"/>
              <w:rPr>
                <w:sz w:val="21"/>
                <w:szCs w:val="21"/>
              </w:rPr>
            </w:pPr>
            <w:r>
              <w:rPr>
                <w:sz w:val="21"/>
                <w:szCs w:val="21"/>
              </w:rPr>
              <w:t>3018</w:t>
            </w:r>
          </w:p>
        </w:tc>
        <w:tc>
          <w:tcPr>
            <w:tcW w:w="1244" w:type="pct"/>
            <w:vAlign w:val="center"/>
          </w:tcPr>
          <w:p>
            <w:pPr>
              <w:adjustRightInd w:val="0"/>
              <w:snapToGrid w:val="0"/>
              <w:spacing w:line="240" w:lineRule="auto"/>
              <w:jc w:val="center"/>
              <w:rPr>
                <w:sz w:val="21"/>
                <w:szCs w:val="21"/>
              </w:rPr>
            </w:pPr>
            <w:r>
              <w:rPr>
                <w:sz w:val="21"/>
                <w:szCs w:val="21"/>
              </w:rPr>
              <w:t>21</w:t>
            </w:r>
          </w:p>
        </w:tc>
        <w:tc>
          <w:tcPr>
            <w:tcW w:w="1546" w:type="pct"/>
            <w:vAlign w:val="center"/>
          </w:tcPr>
          <w:p>
            <w:pPr>
              <w:adjustRightInd w:val="0"/>
              <w:snapToGrid w:val="0"/>
              <w:spacing w:line="240" w:lineRule="auto"/>
              <w:jc w:val="center"/>
              <w:rPr>
                <w:sz w:val="21"/>
                <w:szCs w:val="21"/>
              </w:rPr>
            </w:pPr>
            <w:r>
              <w:rPr>
                <w:sz w:val="21"/>
                <w:szCs w:val="21"/>
              </w:rPr>
              <w:t>302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0" w:hRule="atLeast"/>
          <w:jc w:val="center"/>
        </w:trPr>
        <w:tc>
          <w:tcPr>
            <w:tcW w:w="3454" w:type="pct"/>
            <w:gridSpan w:val="3"/>
            <w:vAlign w:val="center"/>
          </w:tcPr>
          <w:p>
            <w:pPr>
              <w:adjustRightInd w:val="0"/>
              <w:snapToGrid w:val="0"/>
              <w:spacing w:line="240" w:lineRule="auto"/>
              <w:jc w:val="center"/>
              <w:rPr>
                <w:sz w:val="21"/>
                <w:szCs w:val="21"/>
              </w:rPr>
            </w:pPr>
            <w:r>
              <w:rPr>
                <w:sz w:val="21"/>
                <w:szCs w:val="21"/>
              </w:rPr>
              <w:t>成年猪合计（头）</w:t>
            </w:r>
          </w:p>
        </w:tc>
        <w:tc>
          <w:tcPr>
            <w:tcW w:w="1546" w:type="pct"/>
            <w:vAlign w:val="center"/>
          </w:tcPr>
          <w:p>
            <w:pPr>
              <w:adjustRightInd w:val="0"/>
              <w:snapToGrid w:val="0"/>
              <w:spacing w:line="240" w:lineRule="auto"/>
              <w:jc w:val="center"/>
              <w:rPr>
                <w:sz w:val="21"/>
                <w:szCs w:val="21"/>
              </w:rPr>
            </w:pPr>
            <w:r>
              <w:rPr>
                <w:sz w:val="21"/>
                <w:szCs w:val="21"/>
              </w:rPr>
              <w:t>3352</w:t>
            </w:r>
          </w:p>
        </w:tc>
      </w:tr>
    </w:tbl>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313" w:name="_Toc29110566"/>
      <w:r>
        <w:rPr>
          <w:rFonts w:ascii="Times New Roman" w:hAnsi="Times New Roman" w:eastAsia="黑体" w:cs="Times New Roman"/>
          <w:b w:val="0"/>
          <w:bCs/>
          <w:spacing w:val="4"/>
          <w:kern w:val="2"/>
          <w:sz w:val="32"/>
          <w:szCs w:val="32"/>
        </w:rPr>
        <w:t>3.3 项目组成</w:t>
      </w:r>
      <w:bookmarkEnd w:id="312"/>
      <w:bookmarkEnd w:id="313"/>
    </w:p>
    <w:p>
      <w:pPr>
        <w:snapToGrid w:val="0"/>
        <w:ind w:firstLine="480" w:firstLineChars="200"/>
      </w:pPr>
      <w:r>
        <w:t>本项目包括主要建设养殖猪舍（</w:t>
      </w:r>
      <w:r>
        <w:rPr>
          <w:lang w:bidi="ar"/>
        </w:rPr>
        <w:t>种猪所生产</w:t>
      </w:r>
      <w:r>
        <w:rPr>
          <w:rFonts w:hint="eastAsia"/>
          <w:lang w:bidi="ar"/>
        </w:rPr>
        <w:t>的</w:t>
      </w:r>
      <w:r>
        <w:t>仔猪21天断</w:t>
      </w:r>
      <w:r>
        <w:rPr>
          <w:lang w:bidi="ar"/>
        </w:rPr>
        <w:t>奶出栏并转出，本项目不涉及猪仔保育，配种环节直接在妊娠舍完成</w:t>
      </w:r>
      <w:r>
        <w:t>）、办公室、生活宿舍、</w:t>
      </w:r>
      <w:r>
        <w:rPr>
          <w:rFonts w:hint="eastAsia"/>
        </w:rPr>
        <w:t>粪污池</w:t>
      </w:r>
      <w:r>
        <w:t>等。养殖场项目组成见表3.3-1。</w:t>
      </w:r>
    </w:p>
    <w:p>
      <w:pPr>
        <w:spacing w:line="240" w:lineRule="auto"/>
        <w:jc w:val="center"/>
        <w:rPr>
          <w:rFonts w:eastAsia="黑体"/>
        </w:rPr>
      </w:pPr>
      <w:r>
        <w:rPr>
          <w:rFonts w:eastAsia="黑体"/>
        </w:rPr>
        <w:t>表3.3-1  项目组成表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44"/>
        <w:gridCol w:w="1296"/>
        <w:gridCol w:w="4818"/>
        <w:gridCol w:w="1285"/>
        <w:gridCol w:w="94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206" w:type="pct"/>
            <w:gridSpan w:val="2"/>
            <w:vMerge w:val="restart"/>
            <w:vAlign w:val="center"/>
          </w:tcPr>
          <w:p>
            <w:pPr>
              <w:snapToGrid w:val="0"/>
              <w:spacing w:line="240" w:lineRule="auto"/>
              <w:jc w:val="center"/>
              <w:rPr>
                <w:sz w:val="21"/>
                <w:szCs w:val="21"/>
              </w:rPr>
            </w:pPr>
            <w:r>
              <w:rPr>
                <w:sz w:val="21"/>
                <w:szCs w:val="21"/>
              </w:rPr>
              <w:t>项目组成</w:t>
            </w:r>
          </w:p>
        </w:tc>
        <w:tc>
          <w:tcPr>
            <w:tcW w:w="2594" w:type="pct"/>
            <w:vMerge w:val="restart"/>
            <w:vAlign w:val="center"/>
          </w:tcPr>
          <w:p>
            <w:pPr>
              <w:snapToGrid w:val="0"/>
              <w:spacing w:line="240" w:lineRule="auto"/>
              <w:jc w:val="center"/>
              <w:rPr>
                <w:sz w:val="21"/>
                <w:szCs w:val="21"/>
              </w:rPr>
            </w:pPr>
            <w:r>
              <w:rPr>
                <w:sz w:val="21"/>
                <w:szCs w:val="21"/>
              </w:rPr>
              <w:t>建设内容及规模</w:t>
            </w:r>
          </w:p>
        </w:tc>
        <w:tc>
          <w:tcPr>
            <w:tcW w:w="1200" w:type="pct"/>
            <w:gridSpan w:val="2"/>
            <w:vAlign w:val="center"/>
          </w:tcPr>
          <w:p>
            <w:pPr>
              <w:snapToGrid w:val="0"/>
              <w:spacing w:line="240" w:lineRule="auto"/>
              <w:jc w:val="center"/>
              <w:rPr>
                <w:sz w:val="21"/>
                <w:szCs w:val="21"/>
              </w:rPr>
            </w:pPr>
            <w:r>
              <w:rPr>
                <w:sz w:val="21"/>
                <w:szCs w:val="21"/>
              </w:rPr>
              <w:t>可能产生的环境问题</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206" w:type="pct"/>
            <w:gridSpan w:val="2"/>
            <w:vMerge w:val="continue"/>
            <w:vAlign w:val="center"/>
          </w:tcPr>
          <w:p>
            <w:pPr>
              <w:snapToGrid w:val="0"/>
              <w:spacing w:line="240" w:lineRule="auto"/>
              <w:jc w:val="center"/>
              <w:rPr>
                <w:sz w:val="21"/>
                <w:szCs w:val="21"/>
              </w:rPr>
            </w:pPr>
          </w:p>
        </w:tc>
        <w:tc>
          <w:tcPr>
            <w:tcW w:w="2594" w:type="pct"/>
            <w:vMerge w:val="continue"/>
            <w:vAlign w:val="center"/>
          </w:tcPr>
          <w:p>
            <w:pPr>
              <w:snapToGrid w:val="0"/>
              <w:spacing w:line="240" w:lineRule="auto"/>
              <w:jc w:val="center"/>
              <w:rPr>
                <w:sz w:val="21"/>
                <w:szCs w:val="21"/>
              </w:rPr>
            </w:pPr>
          </w:p>
        </w:tc>
        <w:tc>
          <w:tcPr>
            <w:tcW w:w="692" w:type="pct"/>
            <w:vAlign w:val="center"/>
          </w:tcPr>
          <w:p>
            <w:pPr>
              <w:snapToGrid w:val="0"/>
              <w:spacing w:line="240" w:lineRule="auto"/>
              <w:jc w:val="center"/>
              <w:rPr>
                <w:sz w:val="21"/>
                <w:szCs w:val="21"/>
              </w:rPr>
            </w:pPr>
            <w:r>
              <w:rPr>
                <w:sz w:val="21"/>
                <w:szCs w:val="21"/>
              </w:rPr>
              <w:t>营运期</w:t>
            </w:r>
          </w:p>
        </w:tc>
        <w:tc>
          <w:tcPr>
            <w:tcW w:w="508" w:type="pct"/>
            <w:vAlign w:val="center"/>
          </w:tcPr>
          <w:p>
            <w:pPr>
              <w:snapToGrid w:val="0"/>
              <w:spacing w:line="240" w:lineRule="auto"/>
              <w:jc w:val="center"/>
              <w:rPr>
                <w:sz w:val="21"/>
                <w:szCs w:val="21"/>
              </w:rPr>
            </w:pPr>
            <w:r>
              <w:rPr>
                <w:sz w:val="21"/>
                <w:szCs w:val="21"/>
              </w:rPr>
              <w:t>施工期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Align w:val="center"/>
          </w:tcPr>
          <w:p>
            <w:pPr>
              <w:snapToGrid w:val="0"/>
              <w:spacing w:line="240" w:lineRule="auto"/>
              <w:jc w:val="center"/>
              <w:rPr>
                <w:sz w:val="21"/>
                <w:szCs w:val="21"/>
              </w:rPr>
            </w:pPr>
            <w:r>
              <w:rPr>
                <w:sz w:val="21"/>
                <w:szCs w:val="21"/>
              </w:rPr>
              <w:t>主体</w:t>
            </w:r>
          </w:p>
          <w:p>
            <w:pPr>
              <w:snapToGrid w:val="0"/>
              <w:spacing w:line="240" w:lineRule="auto"/>
              <w:jc w:val="center"/>
              <w:rPr>
                <w:sz w:val="21"/>
                <w:szCs w:val="21"/>
              </w:rPr>
            </w:pPr>
            <w:r>
              <w:rPr>
                <w:sz w:val="21"/>
                <w:szCs w:val="21"/>
              </w:rPr>
              <w:t>工程</w:t>
            </w:r>
          </w:p>
        </w:tc>
        <w:tc>
          <w:tcPr>
            <w:tcW w:w="698" w:type="pct"/>
            <w:vAlign w:val="center"/>
          </w:tcPr>
          <w:p>
            <w:pPr>
              <w:snapToGrid w:val="0"/>
              <w:spacing w:line="240" w:lineRule="auto"/>
              <w:jc w:val="center"/>
              <w:rPr>
                <w:sz w:val="21"/>
                <w:szCs w:val="21"/>
              </w:rPr>
            </w:pPr>
            <w:r>
              <w:rPr>
                <w:sz w:val="21"/>
                <w:szCs w:val="21"/>
              </w:rPr>
              <w:t>圈舍区</w:t>
            </w:r>
          </w:p>
        </w:tc>
        <w:tc>
          <w:tcPr>
            <w:tcW w:w="2594" w:type="pct"/>
            <w:vAlign w:val="center"/>
          </w:tcPr>
          <w:p>
            <w:pPr>
              <w:snapToGrid w:val="0"/>
              <w:spacing w:line="240" w:lineRule="auto"/>
              <w:rPr>
                <w:sz w:val="21"/>
                <w:szCs w:val="21"/>
              </w:rPr>
            </w:pPr>
            <w:r>
              <w:rPr>
                <w:sz w:val="21"/>
                <w:szCs w:val="21"/>
              </w:rPr>
              <w:t>共1条种猪生产线</w:t>
            </w:r>
            <w:r>
              <w:rPr>
                <w:rFonts w:hint="eastAsia"/>
                <w:sz w:val="21"/>
                <w:szCs w:val="21"/>
              </w:rPr>
              <w:t>，</w:t>
            </w:r>
            <w:r>
              <w:rPr>
                <w:sz w:val="21"/>
                <w:szCs w:val="21"/>
              </w:rPr>
              <w:t>车间建筑面积</w:t>
            </w:r>
            <w:r>
              <w:rPr>
                <w:rFonts w:hint="eastAsia"/>
                <w:sz w:val="21"/>
                <w:szCs w:val="21"/>
              </w:rPr>
              <w:t>1</w:t>
            </w:r>
            <w:r>
              <w:rPr>
                <w:sz w:val="21"/>
                <w:szCs w:val="21"/>
              </w:rPr>
              <w:t>1252.05m</w:t>
            </w:r>
            <w:r>
              <w:rPr>
                <w:sz w:val="21"/>
                <w:szCs w:val="21"/>
                <w:vertAlign w:val="superscript"/>
              </w:rPr>
              <w:t>2</w:t>
            </w:r>
            <w:r>
              <w:rPr>
                <w:sz w:val="21"/>
                <w:szCs w:val="21"/>
              </w:rPr>
              <w:t>（其中分娩舍4529.36m</w:t>
            </w:r>
            <w:r>
              <w:rPr>
                <w:sz w:val="21"/>
                <w:szCs w:val="21"/>
                <w:vertAlign w:val="superscript"/>
              </w:rPr>
              <w:t>2</w:t>
            </w:r>
            <w:r>
              <w:rPr>
                <w:sz w:val="21"/>
                <w:szCs w:val="21"/>
              </w:rPr>
              <w:t>，妊娠舍6722.69m</w:t>
            </w:r>
            <w:r>
              <w:rPr>
                <w:sz w:val="21"/>
                <w:szCs w:val="21"/>
                <w:vertAlign w:val="superscript"/>
              </w:rPr>
              <w:t>2</w:t>
            </w:r>
            <w:r>
              <w:rPr>
                <w:sz w:val="21"/>
                <w:szCs w:val="21"/>
              </w:rPr>
              <w:t>），母猪存栏量为3000头，公猪存栏量50头</w:t>
            </w:r>
            <w:r>
              <w:rPr>
                <w:rFonts w:hint="eastAsia"/>
                <w:sz w:val="21"/>
                <w:szCs w:val="21"/>
              </w:rPr>
              <w:t>，并在车间内设置隔离间；各车间均</w:t>
            </w:r>
            <w:r>
              <w:rPr>
                <w:sz w:val="21"/>
                <w:szCs w:val="21"/>
              </w:rPr>
              <w:t>安装自动饮水器、自动食箱</w:t>
            </w:r>
            <w:r>
              <w:rPr>
                <w:rFonts w:hint="eastAsia"/>
                <w:sz w:val="21"/>
                <w:szCs w:val="21"/>
              </w:rPr>
              <w:t>等</w:t>
            </w:r>
          </w:p>
        </w:tc>
        <w:tc>
          <w:tcPr>
            <w:tcW w:w="692" w:type="pct"/>
            <w:vAlign w:val="center"/>
          </w:tcPr>
          <w:p>
            <w:pPr>
              <w:snapToGrid w:val="0"/>
              <w:spacing w:line="240" w:lineRule="auto"/>
              <w:jc w:val="center"/>
              <w:rPr>
                <w:sz w:val="21"/>
                <w:szCs w:val="21"/>
              </w:rPr>
            </w:pPr>
            <w:r>
              <w:rPr>
                <w:sz w:val="21"/>
                <w:szCs w:val="21"/>
              </w:rPr>
              <w:t>猪舍冲洗水、臭味、猪叫声、固废</w:t>
            </w:r>
          </w:p>
        </w:tc>
        <w:tc>
          <w:tcPr>
            <w:tcW w:w="508" w:type="pct"/>
            <w:vMerge w:val="restart"/>
            <w:vAlign w:val="center"/>
          </w:tcPr>
          <w:p>
            <w:pPr>
              <w:snapToGrid w:val="0"/>
              <w:spacing w:line="240" w:lineRule="auto"/>
              <w:jc w:val="center"/>
              <w:rPr>
                <w:sz w:val="21"/>
                <w:szCs w:val="21"/>
              </w:rPr>
            </w:pPr>
            <w:r>
              <w:rPr>
                <w:sz w:val="21"/>
                <w:szCs w:val="21"/>
              </w:rPr>
              <w:t>施工废水、施工扬尘、施工噪声、建渣等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restart"/>
            <w:vAlign w:val="center"/>
          </w:tcPr>
          <w:p>
            <w:pPr>
              <w:snapToGrid w:val="0"/>
              <w:spacing w:line="240" w:lineRule="auto"/>
              <w:jc w:val="center"/>
              <w:rPr>
                <w:sz w:val="21"/>
                <w:szCs w:val="21"/>
              </w:rPr>
            </w:pPr>
            <w:r>
              <w:rPr>
                <w:sz w:val="21"/>
                <w:szCs w:val="21"/>
              </w:rPr>
              <w:t>辅助</w:t>
            </w:r>
          </w:p>
          <w:p>
            <w:pPr>
              <w:snapToGrid w:val="0"/>
              <w:spacing w:line="240" w:lineRule="auto"/>
              <w:jc w:val="center"/>
              <w:rPr>
                <w:sz w:val="21"/>
                <w:szCs w:val="21"/>
              </w:rPr>
            </w:pPr>
            <w:r>
              <w:rPr>
                <w:sz w:val="21"/>
                <w:szCs w:val="21"/>
              </w:rPr>
              <w:t>工程</w:t>
            </w:r>
          </w:p>
        </w:tc>
        <w:tc>
          <w:tcPr>
            <w:tcW w:w="698" w:type="pct"/>
            <w:vAlign w:val="center"/>
          </w:tcPr>
          <w:p>
            <w:pPr>
              <w:snapToGrid w:val="0"/>
              <w:spacing w:line="240" w:lineRule="auto"/>
              <w:jc w:val="center"/>
              <w:rPr>
                <w:sz w:val="21"/>
                <w:szCs w:val="21"/>
              </w:rPr>
            </w:pPr>
            <w:r>
              <w:rPr>
                <w:rFonts w:hint="eastAsia"/>
                <w:sz w:val="21"/>
                <w:szCs w:val="21"/>
              </w:rPr>
              <w:t>入场区喷雾</w:t>
            </w:r>
            <w:r>
              <w:rPr>
                <w:sz w:val="21"/>
                <w:szCs w:val="21"/>
              </w:rPr>
              <w:t>消毒</w:t>
            </w:r>
            <w:r>
              <w:rPr>
                <w:rFonts w:hint="eastAsia"/>
                <w:sz w:val="21"/>
                <w:szCs w:val="21"/>
              </w:rPr>
              <w:t>间</w:t>
            </w:r>
          </w:p>
        </w:tc>
        <w:tc>
          <w:tcPr>
            <w:tcW w:w="2594" w:type="pct"/>
            <w:vAlign w:val="center"/>
          </w:tcPr>
          <w:p>
            <w:pPr>
              <w:snapToGrid w:val="0"/>
              <w:spacing w:line="240" w:lineRule="auto"/>
              <w:jc w:val="center"/>
              <w:rPr>
                <w:sz w:val="21"/>
                <w:szCs w:val="21"/>
              </w:rPr>
            </w:pPr>
            <w:r>
              <w:rPr>
                <w:sz w:val="21"/>
                <w:szCs w:val="21"/>
              </w:rPr>
              <w:t>位于操作间，面积287.75㎡，对厂区工作人员进行淋浴消毒</w:t>
            </w:r>
          </w:p>
        </w:tc>
        <w:tc>
          <w:tcPr>
            <w:tcW w:w="692" w:type="pct"/>
            <w:vAlign w:val="center"/>
          </w:tcPr>
          <w:p>
            <w:pPr>
              <w:snapToGrid w:val="0"/>
              <w:spacing w:line="240" w:lineRule="auto"/>
              <w:jc w:val="center"/>
              <w:rPr>
                <w:sz w:val="21"/>
                <w:szCs w:val="21"/>
              </w:rPr>
            </w:pPr>
            <w:r>
              <w:rPr>
                <w:sz w:val="21"/>
                <w:szCs w:val="21"/>
              </w:rPr>
              <w:t>废水</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各车间入口喷雾消毒间</w:t>
            </w:r>
          </w:p>
        </w:tc>
        <w:tc>
          <w:tcPr>
            <w:tcW w:w="2594" w:type="pct"/>
            <w:vAlign w:val="center"/>
          </w:tcPr>
          <w:p>
            <w:pPr>
              <w:snapToGrid w:val="0"/>
              <w:spacing w:line="240" w:lineRule="auto"/>
              <w:jc w:val="center"/>
              <w:rPr>
                <w:sz w:val="21"/>
                <w:szCs w:val="21"/>
              </w:rPr>
            </w:pPr>
            <w:r>
              <w:rPr>
                <w:sz w:val="21"/>
                <w:szCs w:val="21"/>
              </w:rPr>
              <w:t>位于</w:t>
            </w:r>
            <w:r>
              <w:rPr>
                <w:rFonts w:hint="eastAsia"/>
                <w:sz w:val="21"/>
                <w:szCs w:val="21"/>
              </w:rPr>
              <w:t>各</w:t>
            </w:r>
            <w:r>
              <w:rPr>
                <w:sz w:val="21"/>
                <w:szCs w:val="21"/>
              </w:rPr>
              <w:t>圈舍生产区入口处</w:t>
            </w:r>
          </w:p>
        </w:tc>
        <w:tc>
          <w:tcPr>
            <w:tcW w:w="692" w:type="pct"/>
            <w:vAlign w:val="center"/>
          </w:tcPr>
          <w:p>
            <w:pPr>
              <w:snapToGrid w:val="0"/>
              <w:spacing w:line="240" w:lineRule="auto"/>
              <w:jc w:val="center"/>
              <w:rPr>
                <w:sz w:val="21"/>
                <w:szCs w:val="21"/>
              </w:rPr>
            </w:pPr>
            <w:r>
              <w:rPr>
                <w:sz w:val="21"/>
                <w:szCs w:val="21"/>
              </w:rPr>
              <w:t>废水</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柴油发电机房</w:t>
            </w:r>
          </w:p>
        </w:tc>
        <w:tc>
          <w:tcPr>
            <w:tcW w:w="2594" w:type="pct"/>
            <w:vAlign w:val="center"/>
          </w:tcPr>
          <w:p>
            <w:pPr>
              <w:snapToGrid w:val="0"/>
              <w:spacing w:line="240" w:lineRule="auto"/>
              <w:jc w:val="center"/>
              <w:rPr>
                <w:sz w:val="21"/>
                <w:szCs w:val="21"/>
              </w:rPr>
            </w:pPr>
            <w:r>
              <w:rPr>
                <w:rFonts w:hint="eastAsia"/>
                <w:sz w:val="21"/>
                <w:szCs w:val="21"/>
              </w:rPr>
              <w:t>建筑面积8</w:t>
            </w:r>
            <w:r>
              <w:rPr>
                <w:sz w:val="21"/>
                <w:szCs w:val="21"/>
              </w:rPr>
              <w:t>2.5</w:t>
            </w:r>
            <w:r>
              <w:rPr>
                <w:rFonts w:hint="eastAsia"/>
                <w:sz w:val="21"/>
                <w:szCs w:val="21"/>
              </w:rPr>
              <w:t>m</w:t>
            </w:r>
            <w:r>
              <w:rPr>
                <w:sz w:val="21"/>
                <w:szCs w:val="21"/>
                <w:vertAlign w:val="superscript"/>
              </w:rPr>
              <w:t>2</w:t>
            </w:r>
            <w:r>
              <w:rPr>
                <w:rFonts w:hint="eastAsia"/>
                <w:sz w:val="21"/>
                <w:szCs w:val="21"/>
              </w:rPr>
              <w:t>，配备一台5</w:t>
            </w:r>
            <w:r>
              <w:rPr>
                <w:sz w:val="21"/>
                <w:szCs w:val="21"/>
              </w:rPr>
              <w:t>00KW</w:t>
            </w:r>
            <w:r>
              <w:rPr>
                <w:rFonts w:hint="eastAsia"/>
                <w:sz w:val="21"/>
                <w:szCs w:val="21"/>
              </w:rPr>
              <w:t>柴油发电机，配备1</w:t>
            </w:r>
            <w:r>
              <w:rPr>
                <w:sz w:val="21"/>
                <w:szCs w:val="21"/>
              </w:rPr>
              <w:t>m</w:t>
            </w:r>
            <w:r>
              <w:rPr>
                <w:sz w:val="21"/>
                <w:szCs w:val="21"/>
                <w:vertAlign w:val="superscript"/>
              </w:rPr>
              <w:t>3</w:t>
            </w:r>
            <w:r>
              <w:rPr>
                <w:rFonts w:hint="eastAsia"/>
                <w:sz w:val="21"/>
                <w:szCs w:val="21"/>
              </w:rPr>
              <w:t>柴油储存罐</w:t>
            </w:r>
          </w:p>
        </w:tc>
        <w:tc>
          <w:tcPr>
            <w:tcW w:w="692" w:type="pct"/>
            <w:vAlign w:val="center"/>
          </w:tcPr>
          <w:p>
            <w:pPr>
              <w:snapToGrid w:val="0"/>
              <w:spacing w:line="240" w:lineRule="auto"/>
              <w:jc w:val="center"/>
              <w:rPr>
                <w:sz w:val="21"/>
                <w:szCs w:val="21"/>
              </w:rPr>
            </w:pP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药品间</w:t>
            </w:r>
          </w:p>
        </w:tc>
        <w:tc>
          <w:tcPr>
            <w:tcW w:w="2594" w:type="pct"/>
            <w:vAlign w:val="center"/>
          </w:tcPr>
          <w:p>
            <w:pPr>
              <w:snapToGrid w:val="0"/>
              <w:spacing w:line="240" w:lineRule="auto"/>
              <w:jc w:val="center"/>
              <w:rPr>
                <w:sz w:val="21"/>
                <w:szCs w:val="21"/>
              </w:rPr>
            </w:pPr>
            <w:r>
              <w:rPr>
                <w:rFonts w:hint="eastAsia"/>
                <w:sz w:val="21"/>
                <w:szCs w:val="21"/>
              </w:rPr>
              <w:t>车间配备3</w:t>
            </w:r>
            <w:r>
              <w:rPr>
                <w:sz w:val="21"/>
                <w:szCs w:val="21"/>
              </w:rPr>
              <w:t>0m</w:t>
            </w:r>
            <w:r>
              <w:rPr>
                <w:sz w:val="21"/>
                <w:szCs w:val="21"/>
                <w:vertAlign w:val="superscript"/>
              </w:rPr>
              <w:t>2</w:t>
            </w:r>
            <w:r>
              <w:rPr>
                <w:rFonts w:hint="eastAsia"/>
                <w:sz w:val="21"/>
                <w:szCs w:val="21"/>
              </w:rPr>
              <w:t>药品间</w:t>
            </w:r>
          </w:p>
        </w:tc>
        <w:tc>
          <w:tcPr>
            <w:tcW w:w="692" w:type="pct"/>
            <w:vAlign w:val="center"/>
          </w:tcPr>
          <w:p>
            <w:pPr>
              <w:snapToGrid w:val="0"/>
              <w:spacing w:line="240" w:lineRule="auto"/>
              <w:jc w:val="center"/>
              <w:rPr>
                <w:sz w:val="21"/>
                <w:szCs w:val="21"/>
              </w:rPr>
            </w:pP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门卫、车库</w:t>
            </w:r>
          </w:p>
        </w:tc>
        <w:tc>
          <w:tcPr>
            <w:tcW w:w="2594" w:type="pct"/>
            <w:vAlign w:val="center"/>
          </w:tcPr>
          <w:p>
            <w:pPr>
              <w:snapToGrid w:val="0"/>
              <w:spacing w:line="240" w:lineRule="auto"/>
              <w:jc w:val="center"/>
              <w:rPr>
                <w:sz w:val="21"/>
                <w:szCs w:val="21"/>
              </w:rPr>
            </w:pPr>
            <w:r>
              <w:rPr>
                <w:sz w:val="21"/>
                <w:szCs w:val="21"/>
              </w:rPr>
              <w:t>占地面积500㎡</w:t>
            </w:r>
          </w:p>
        </w:tc>
        <w:tc>
          <w:tcPr>
            <w:tcW w:w="692" w:type="pct"/>
            <w:vAlign w:val="center"/>
          </w:tcPr>
          <w:p>
            <w:pPr>
              <w:snapToGrid w:val="0"/>
              <w:spacing w:line="240" w:lineRule="auto"/>
              <w:jc w:val="center"/>
              <w:rPr>
                <w:sz w:val="21"/>
                <w:szCs w:val="21"/>
              </w:rPr>
            </w:pPr>
            <w:r>
              <w:rPr>
                <w:sz w:val="21"/>
                <w:szCs w:val="21"/>
              </w:rPr>
              <w:t>/</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大小猪转载平台</w:t>
            </w:r>
          </w:p>
        </w:tc>
        <w:tc>
          <w:tcPr>
            <w:tcW w:w="2594" w:type="pct"/>
            <w:vAlign w:val="center"/>
          </w:tcPr>
          <w:p>
            <w:pPr>
              <w:snapToGrid w:val="0"/>
              <w:spacing w:line="240" w:lineRule="auto"/>
              <w:jc w:val="center"/>
              <w:rPr>
                <w:sz w:val="21"/>
                <w:szCs w:val="21"/>
              </w:rPr>
            </w:pPr>
            <w:r>
              <w:rPr>
                <w:rFonts w:hint="eastAsia"/>
                <w:sz w:val="21"/>
                <w:szCs w:val="21"/>
              </w:rPr>
              <w:t>位于4</w:t>
            </w:r>
            <w:r>
              <w:rPr>
                <w:sz w:val="21"/>
                <w:szCs w:val="21"/>
              </w:rPr>
              <w:t>#</w:t>
            </w:r>
            <w:r>
              <w:rPr>
                <w:rFonts w:hint="eastAsia"/>
                <w:sz w:val="21"/>
                <w:szCs w:val="21"/>
              </w:rPr>
              <w:t>地块，用于大小猪转载专用以及车辆冲洗</w:t>
            </w:r>
          </w:p>
        </w:tc>
        <w:tc>
          <w:tcPr>
            <w:tcW w:w="692" w:type="pct"/>
            <w:vAlign w:val="center"/>
          </w:tcPr>
          <w:p>
            <w:pPr>
              <w:snapToGrid w:val="0"/>
              <w:spacing w:line="240" w:lineRule="auto"/>
              <w:jc w:val="center"/>
              <w:rPr>
                <w:sz w:val="21"/>
                <w:szCs w:val="21"/>
              </w:rPr>
            </w:pPr>
            <w:r>
              <w:rPr>
                <w:rFonts w:hint="eastAsia"/>
                <w:sz w:val="21"/>
                <w:szCs w:val="21"/>
              </w:rPr>
              <w:t>废水、恶臭</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水塔</w:t>
            </w:r>
          </w:p>
        </w:tc>
        <w:tc>
          <w:tcPr>
            <w:tcW w:w="2594" w:type="pct"/>
            <w:vAlign w:val="center"/>
          </w:tcPr>
          <w:p>
            <w:pPr>
              <w:snapToGrid w:val="0"/>
              <w:spacing w:line="240" w:lineRule="auto"/>
              <w:jc w:val="center"/>
              <w:rPr>
                <w:sz w:val="21"/>
                <w:szCs w:val="21"/>
              </w:rPr>
            </w:pPr>
            <w:r>
              <w:rPr>
                <w:rFonts w:hint="eastAsia"/>
                <w:sz w:val="21"/>
                <w:szCs w:val="21"/>
              </w:rPr>
              <w:t>高位水池，池容5</w:t>
            </w:r>
            <w:r>
              <w:rPr>
                <w:sz w:val="21"/>
                <w:szCs w:val="21"/>
              </w:rPr>
              <w:t>00m</w:t>
            </w:r>
            <w:r>
              <w:rPr>
                <w:rFonts w:hint="eastAsia"/>
                <w:sz w:val="21"/>
                <w:szCs w:val="21"/>
                <w:vertAlign w:val="superscript"/>
              </w:rPr>
              <w:t>3</w:t>
            </w:r>
          </w:p>
        </w:tc>
        <w:tc>
          <w:tcPr>
            <w:tcW w:w="692" w:type="pct"/>
            <w:vAlign w:val="center"/>
          </w:tcPr>
          <w:p>
            <w:pPr>
              <w:snapToGrid w:val="0"/>
              <w:spacing w:line="240" w:lineRule="auto"/>
              <w:jc w:val="center"/>
              <w:rPr>
                <w:sz w:val="21"/>
                <w:szCs w:val="21"/>
              </w:rPr>
            </w:pP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restart"/>
            <w:vAlign w:val="center"/>
          </w:tcPr>
          <w:p>
            <w:pPr>
              <w:snapToGrid w:val="0"/>
              <w:spacing w:line="240" w:lineRule="auto"/>
              <w:jc w:val="center"/>
              <w:rPr>
                <w:sz w:val="21"/>
                <w:szCs w:val="21"/>
              </w:rPr>
            </w:pPr>
            <w:r>
              <w:rPr>
                <w:sz w:val="21"/>
                <w:szCs w:val="21"/>
              </w:rPr>
              <w:t>公用</w:t>
            </w:r>
          </w:p>
          <w:p>
            <w:pPr>
              <w:snapToGrid w:val="0"/>
              <w:spacing w:line="240" w:lineRule="auto"/>
              <w:jc w:val="center"/>
              <w:rPr>
                <w:sz w:val="21"/>
                <w:szCs w:val="21"/>
              </w:rPr>
            </w:pPr>
            <w:r>
              <w:rPr>
                <w:sz w:val="21"/>
                <w:szCs w:val="21"/>
              </w:rPr>
              <w:t>工程</w:t>
            </w:r>
          </w:p>
        </w:tc>
        <w:tc>
          <w:tcPr>
            <w:tcW w:w="698" w:type="pct"/>
            <w:vAlign w:val="center"/>
          </w:tcPr>
          <w:p>
            <w:pPr>
              <w:snapToGrid w:val="0"/>
              <w:spacing w:line="240" w:lineRule="auto"/>
              <w:jc w:val="center"/>
              <w:rPr>
                <w:sz w:val="21"/>
                <w:szCs w:val="21"/>
              </w:rPr>
            </w:pPr>
            <w:r>
              <w:rPr>
                <w:sz w:val="21"/>
                <w:szCs w:val="21"/>
              </w:rPr>
              <w:t>供水</w:t>
            </w:r>
          </w:p>
        </w:tc>
        <w:tc>
          <w:tcPr>
            <w:tcW w:w="2594" w:type="pct"/>
            <w:vAlign w:val="center"/>
          </w:tcPr>
          <w:p>
            <w:pPr>
              <w:snapToGrid w:val="0"/>
              <w:spacing w:line="240" w:lineRule="auto"/>
              <w:jc w:val="center"/>
              <w:rPr>
                <w:sz w:val="21"/>
                <w:szCs w:val="21"/>
              </w:rPr>
            </w:pPr>
            <w:r>
              <w:rPr>
                <w:rFonts w:hint="eastAsia"/>
                <w:sz w:val="21"/>
                <w:szCs w:val="21"/>
              </w:rPr>
              <w:t>配备净水站、在红星水库取水</w:t>
            </w:r>
          </w:p>
          <w:p>
            <w:pPr>
              <w:snapToGrid w:val="0"/>
              <w:spacing w:line="240" w:lineRule="auto"/>
              <w:jc w:val="center"/>
              <w:rPr>
                <w:sz w:val="21"/>
                <w:szCs w:val="21"/>
                <w:highlight w:val="yellow"/>
              </w:rPr>
            </w:pPr>
            <w:r>
              <w:rPr>
                <w:rFonts w:hint="eastAsia"/>
                <w:sz w:val="21"/>
                <w:szCs w:val="21"/>
              </w:rPr>
              <w:t>（自建6</w:t>
            </w:r>
            <w:r>
              <w:rPr>
                <w:sz w:val="21"/>
                <w:szCs w:val="21"/>
              </w:rPr>
              <w:t>00m</w:t>
            </w:r>
            <w:r>
              <w:rPr>
                <w:rFonts w:hint="eastAsia"/>
                <w:sz w:val="21"/>
                <w:szCs w:val="21"/>
              </w:rPr>
              <w:t>取水管道），并配备1</w:t>
            </w:r>
            <w:r>
              <w:rPr>
                <w:sz w:val="21"/>
                <w:szCs w:val="21"/>
              </w:rPr>
              <w:t>000m</w:t>
            </w:r>
            <w:r>
              <w:rPr>
                <w:sz w:val="21"/>
                <w:szCs w:val="21"/>
                <w:vertAlign w:val="superscript"/>
              </w:rPr>
              <w:t>3</w:t>
            </w:r>
            <w:r>
              <w:rPr>
                <w:rFonts w:hint="eastAsia"/>
                <w:sz w:val="21"/>
                <w:szCs w:val="21"/>
              </w:rPr>
              <w:t>的水塔</w:t>
            </w:r>
          </w:p>
        </w:tc>
        <w:tc>
          <w:tcPr>
            <w:tcW w:w="692" w:type="pct"/>
            <w:vAlign w:val="center"/>
          </w:tcPr>
          <w:p>
            <w:pPr>
              <w:snapToGrid w:val="0"/>
              <w:spacing w:line="240" w:lineRule="auto"/>
              <w:jc w:val="center"/>
              <w:rPr>
                <w:sz w:val="21"/>
                <w:szCs w:val="21"/>
              </w:rPr>
            </w:pPr>
            <w:r>
              <w:rPr>
                <w:sz w:val="21"/>
                <w:szCs w:val="21"/>
              </w:rPr>
              <w:t>设备噪声</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供电</w:t>
            </w:r>
          </w:p>
        </w:tc>
        <w:tc>
          <w:tcPr>
            <w:tcW w:w="2594" w:type="pct"/>
            <w:vAlign w:val="center"/>
          </w:tcPr>
          <w:p>
            <w:pPr>
              <w:snapToGrid w:val="0"/>
              <w:spacing w:line="240" w:lineRule="auto"/>
              <w:jc w:val="center"/>
              <w:rPr>
                <w:sz w:val="21"/>
                <w:szCs w:val="21"/>
              </w:rPr>
            </w:pPr>
            <w:r>
              <w:rPr>
                <w:rFonts w:hint="eastAsia"/>
                <w:sz w:val="21"/>
                <w:szCs w:val="21"/>
              </w:rPr>
              <w:t>场外</w:t>
            </w:r>
            <w:r>
              <w:rPr>
                <w:sz w:val="21"/>
                <w:szCs w:val="21"/>
              </w:rPr>
              <w:t>10kv专用供电线；</w:t>
            </w:r>
            <w:r>
              <w:rPr>
                <w:rFonts w:hint="eastAsia"/>
                <w:sz w:val="21"/>
                <w:szCs w:val="21"/>
              </w:rPr>
              <w:t>场内3个配电室</w:t>
            </w:r>
            <w:r>
              <w:rPr>
                <w:sz w:val="21"/>
                <w:szCs w:val="21"/>
              </w:rPr>
              <w:t xml:space="preserve"> </w:t>
            </w:r>
          </w:p>
        </w:tc>
        <w:tc>
          <w:tcPr>
            <w:tcW w:w="692" w:type="pct"/>
            <w:vAlign w:val="center"/>
          </w:tcPr>
          <w:p>
            <w:pPr>
              <w:snapToGrid w:val="0"/>
              <w:spacing w:line="240" w:lineRule="auto"/>
              <w:jc w:val="center"/>
              <w:rPr>
                <w:sz w:val="21"/>
                <w:szCs w:val="21"/>
              </w:rPr>
            </w:pPr>
            <w:r>
              <w:rPr>
                <w:sz w:val="21"/>
                <w:szCs w:val="21"/>
              </w:rPr>
              <w:t>发电机噪声、烟气</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供热</w:t>
            </w:r>
          </w:p>
        </w:tc>
        <w:tc>
          <w:tcPr>
            <w:tcW w:w="2594" w:type="pct"/>
            <w:vAlign w:val="center"/>
          </w:tcPr>
          <w:p>
            <w:pPr>
              <w:snapToGrid w:val="0"/>
              <w:spacing w:line="240" w:lineRule="auto"/>
              <w:jc w:val="center"/>
              <w:rPr>
                <w:sz w:val="21"/>
                <w:szCs w:val="21"/>
              </w:rPr>
            </w:pPr>
            <w:r>
              <w:rPr>
                <w:sz w:val="21"/>
                <w:szCs w:val="21"/>
              </w:rPr>
              <w:t>电热板、保温板由</w:t>
            </w:r>
            <w:r>
              <w:rPr>
                <w:rFonts w:hint="eastAsia"/>
                <w:sz w:val="21"/>
                <w:szCs w:val="21"/>
              </w:rPr>
              <w:t>自产</w:t>
            </w:r>
            <w:r>
              <w:rPr>
                <w:sz w:val="21"/>
                <w:szCs w:val="21"/>
              </w:rPr>
              <w:t>沼气供热</w:t>
            </w:r>
          </w:p>
        </w:tc>
        <w:tc>
          <w:tcPr>
            <w:tcW w:w="692" w:type="pct"/>
            <w:vAlign w:val="center"/>
          </w:tcPr>
          <w:p>
            <w:pPr>
              <w:snapToGrid w:val="0"/>
              <w:spacing w:line="240" w:lineRule="auto"/>
              <w:jc w:val="center"/>
              <w:rPr>
                <w:sz w:val="21"/>
                <w:szCs w:val="21"/>
              </w:rPr>
            </w:pPr>
            <w:r>
              <w:rPr>
                <w:sz w:val="21"/>
                <w:szCs w:val="21"/>
              </w:rPr>
              <w:t>/</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38"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进出场道路</w:t>
            </w:r>
          </w:p>
        </w:tc>
        <w:tc>
          <w:tcPr>
            <w:tcW w:w="2594" w:type="pct"/>
            <w:vAlign w:val="center"/>
          </w:tcPr>
          <w:p>
            <w:pPr>
              <w:snapToGrid w:val="0"/>
              <w:spacing w:line="240" w:lineRule="auto"/>
              <w:jc w:val="center"/>
              <w:rPr>
                <w:sz w:val="21"/>
                <w:szCs w:val="21"/>
              </w:rPr>
            </w:pPr>
            <w:r>
              <w:rPr>
                <w:sz w:val="21"/>
                <w:szCs w:val="21"/>
              </w:rPr>
              <w:t>场内道路为混凝土路面，主干路宽6m</w:t>
            </w:r>
          </w:p>
        </w:tc>
        <w:tc>
          <w:tcPr>
            <w:tcW w:w="692" w:type="pct"/>
            <w:vAlign w:val="center"/>
          </w:tcPr>
          <w:p>
            <w:pPr>
              <w:snapToGrid w:val="0"/>
              <w:spacing w:line="240" w:lineRule="auto"/>
              <w:jc w:val="center"/>
              <w:rPr>
                <w:sz w:val="21"/>
                <w:szCs w:val="21"/>
              </w:rPr>
            </w:pPr>
            <w:r>
              <w:rPr>
                <w:sz w:val="21"/>
                <w:szCs w:val="21"/>
              </w:rPr>
              <w:t>汽车尾气、噪声和运输猪叫声</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restart"/>
            <w:vAlign w:val="center"/>
          </w:tcPr>
          <w:p>
            <w:pPr>
              <w:snapToGrid w:val="0"/>
              <w:spacing w:line="240" w:lineRule="auto"/>
              <w:jc w:val="center"/>
              <w:rPr>
                <w:sz w:val="21"/>
                <w:szCs w:val="21"/>
              </w:rPr>
            </w:pPr>
            <w:r>
              <w:rPr>
                <w:sz w:val="21"/>
                <w:szCs w:val="21"/>
              </w:rPr>
              <w:t>环保</w:t>
            </w:r>
          </w:p>
          <w:p>
            <w:pPr>
              <w:snapToGrid w:val="0"/>
              <w:spacing w:line="240" w:lineRule="auto"/>
              <w:jc w:val="center"/>
              <w:rPr>
                <w:sz w:val="21"/>
                <w:szCs w:val="21"/>
              </w:rPr>
            </w:pPr>
            <w:r>
              <w:rPr>
                <w:sz w:val="21"/>
                <w:szCs w:val="21"/>
              </w:rPr>
              <w:t>工程</w:t>
            </w:r>
          </w:p>
        </w:tc>
        <w:tc>
          <w:tcPr>
            <w:tcW w:w="698" w:type="pct"/>
            <w:vAlign w:val="center"/>
          </w:tcPr>
          <w:p>
            <w:pPr>
              <w:snapToGrid w:val="0"/>
              <w:spacing w:line="240" w:lineRule="auto"/>
              <w:jc w:val="center"/>
              <w:rPr>
                <w:sz w:val="21"/>
                <w:szCs w:val="21"/>
              </w:rPr>
            </w:pPr>
            <w:r>
              <w:rPr>
                <w:sz w:val="21"/>
                <w:szCs w:val="21"/>
              </w:rPr>
              <w:t>污水处理系统</w:t>
            </w:r>
          </w:p>
        </w:tc>
        <w:tc>
          <w:tcPr>
            <w:tcW w:w="2594" w:type="pct"/>
            <w:vAlign w:val="center"/>
          </w:tcPr>
          <w:p>
            <w:pPr>
              <w:snapToGrid w:val="0"/>
              <w:spacing w:line="240" w:lineRule="auto"/>
              <w:jc w:val="center"/>
              <w:rPr>
                <w:sz w:val="21"/>
                <w:szCs w:val="21"/>
              </w:rPr>
            </w:pPr>
            <w:r>
              <w:rPr>
                <w:rFonts w:hint="eastAsia"/>
                <w:sz w:val="21"/>
                <w:szCs w:val="21"/>
              </w:rPr>
              <w:t>自建暂存池5</w:t>
            </w:r>
            <w:r>
              <w:rPr>
                <w:sz w:val="21"/>
                <w:szCs w:val="21"/>
              </w:rPr>
              <w:t>00m</w:t>
            </w:r>
            <w:r>
              <w:rPr>
                <w:sz w:val="21"/>
                <w:szCs w:val="21"/>
                <w:vertAlign w:val="superscript"/>
              </w:rPr>
              <w:t>3</w:t>
            </w:r>
            <w:r>
              <w:rPr>
                <w:rFonts w:hint="eastAsia"/>
                <w:sz w:val="21"/>
                <w:szCs w:val="21"/>
              </w:rPr>
              <w:t>，并配备建设固液分离机、一座1</w:t>
            </w:r>
            <w:r>
              <w:rPr>
                <w:sz w:val="21"/>
                <w:szCs w:val="21"/>
              </w:rPr>
              <w:t>00m</w:t>
            </w:r>
            <w:r>
              <w:rPr>
                <w:sz w:val="21"/>
                <w:szCs w:val="21"/>
                <w:vertAlign w:val="superscript"/>
              </w:rPr>
              <w:t>3</w:t>
            </w:r>
            <w:r>
              <w:rPr>
                <w:rFonts w:hint="eastAsia"/>
                <w:sz w:val="21"/>
                <w:szCs w:val="21"/>
              </w:rPr>
              <w:t>沼气池及</w:t>
            </w:r>
            <w:r>
              <w:rPr>
                <w:sz w:val="21"/>
                <w:szCs w:val="21"/>
              </w:rPr>
              <w:t>500m</w:t>
            </w:r>
            <w:r>
              <w:rPr>
                <w:sz w:val="21"/>
                <w:szCs w:val="21"/>
                <w:vertAlign w:val="superscript"/>
              </w:rPr>
              <w:t>3</w:t>
            </w:r>
            <w:r>
              <w:rPr>
                <w:rFonts w:hint="eastAsia"/>
                <w:sz w:val="21"/>
                <w:szCs w:val="21"/>
              </w:rPr>
              <w:t>暂存池作为污水备用设施，同时在流转土地范围内修建1</w:t>
            </w:r>
            <w:r>
              <w:rPr>
                <w:sz w:val="21"/>
                <w:szCs w:val="21"/>
              </w:rPr>
              <w:t>2</w:t>
            </w:r>
            <w:r>
              <w:rPr>
                <w:rFonts w:hint="eastAsia"/>
                <w:sz w:val="21"/>
                <w:szCs w:val="21"/>
              </w:rPr>
              <w:t>座1</w:t>
            </w:r>
            <w:r>
              <w:rPr>
                <w:sz w:val="21"/>
                <w:szCs w:val="21"/>
              </w:rPr>
              <w:t>50m</w:t>
            </w:r>
            <w:r>
              <w:rPr>
                <w:sz w:val="21"/>
                <w:szCs w:val="21"/>
                <w:vertAlign w:val="superscript"/>
              </w:rPr>
              <w:t>3</w:t>
            </w:r>
            <w:r>
              <w:rPr>
                <w:rFonts w:hint="eastAsia"/>
                <w:sz w:val="21"/>
                <w:szCs w:val="21"/>
              </w:rPr>
              <w:t>的田间暂存池</w:t>
            </w:r>
          </w:p>
        </w:tc>
        <w:tc>
          <w:tcPr>
            <w:tcW w:w="692" w:type="pct"/>
            <w:vAlign w:val="center"/>
          </w:tcPr>
          <w:p>
            <w:pPr>
              <w:snapToGrid w:val="0"/>
              <w:spacing w:line="240" w:lineRule="auto"/>
              <w:jc w:val="center"/>
              <w:rPr>
                <w:sz w:val="21"/>
                <w:szCs w:val="21"/>
              </w:rPr>
            </w:pPr>
            <w:r>
              <w:rPr>
                <w:sz w:val="21"/>
                <w:szCs w:val="21"/>
              </w:rPr>
              <w:t>粪污、废水、恶臭、噪声</w:t>
            </w:r>
          </w:p>
        </w:tc>
        <w:tc>
          <w:tcPr>
            <w:tcW w:w="508" w:type="pct"/>
            <w:vMerge w:val="continue"/>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废气处理措施</w:t>
            </w:r>
          </w:p>
        </w:tc>
        <w:tc>
          <w:tcPr>
            <w:tcW w:w="2594" w:type="pct"/>
            <w:vAlign w:val="center"/>
          </w:tcPr>
          <w:p>
            <w:pPr>
              <w:snapToGrid w:val="0"/>
              <w:spacing w:line="240" w:lineRule="auto"/>
              <w:jc w:val="center"/>
              <w:rPr>
                <w:sz w:val="21"/>
                <w:szCs w:val="21"/>
              </w:rPr>
            </w:pPr>
            <w:r>
              <w:rPr>
                <w:sz w:val="21"/>
                <w:szCs w:val="21"/>
              </w:rPr>
              <w:t>猪舍设通风系统，采用科学合理方法存放和处理猪粪</w:t>
            </w:r>
            <w:r>
              <w:rPr>
                <w:rFonts w:hint="eastAsia"/>
                <w:sz w:val="21"/>
                <w:szCs w:val="21"/>
              </w:rPr>
              <w:t>、喷洒抑臭剂</w:t>
            </w:r>
          </w:p>
        </w:tc>
        <w:tc>
          <w:tcPr>
            <w:tcW w:w="692" w:type="pct"/>
            <w:vAlign w:val="center"/>
          </w:tcPr>
          <w:p>
            <w:pPr>
              <w:snapToGrid w:val="0"/>
              <w:spacing w:line="240" w:lineRule="auto"/>
              <w:jc w:val="center"/>
              <w:rPr>
                <w:sz w:val="21"/>
                <w:szCs w:val="21"/>
              </w:rPr>
            </w:pPr>
            <w:r>
              <w:rPr>
                <w:rFonts w:hint="eastAsia"/>
                <w:sz w:val="21"/>
                <w:szCs w:val="21"/>
              </w:rPr>
              <w:t>/</w:t>
            </w:r>
          </w:p>
        </w:tc>
        <w:tc>
          <w:tcPr>
            <w:tcW w:w="508" w:type="pct"/>
            <w:vMerge w:val="continue"/>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干粪堆放间</w:t>
            </w:r>
          </w:p>
        </w:tc>
        <w:tc>
          <w:tcPr>
            <w:tcW w:w="2594" w:type="pct"/>
            <w:vAlign w:val="center"/>
          </w:tcPr>
          <w:p>
            <w:pPr>
              <w:snapToGrid w:val="0"/>
              <w:spacing w:line="240" w:lineRule="auto"/>
              <w:jc w:val="center"/>
              <w:rPr>
                <w:sz w:val="21"/>
                <w:szCs w:val="21"/>
              </w:rPr>
            </w:pPr>
            <w:r>
              <w:rPr>
                <w:rFonts w:hint="eastAsia"/>
                <w:sz w:val="21"/>
                <w:szCs w:val="21"/>
              </w:rPr>
              <w:t>配备一间20</w:t>
            </w:r>
            <w:r>
              <w:rPr>
                <w:sz w:val="21"/>
                <w:szCs w:val="21"/>
              </w:rPr>
              <w:t>m</w:t>
            </w:r>
            <w:r>
              <w:rPr>
                <w:sz w:val="21"/>
                <w:szCs w:val="21"/>
                <w:vertAlign w:val="superscript"/>
              </w:rPr>
              <w:t>2</w:t>
            </w:r>
            <w:r>
              <w:rPr>
                <w:rFonts w:hint="eastAsia"/>
                <w:sz w:val="21"/>
                <w:szCs w:val="21"/>
              </w:rPr>
              <w:t>的干粪堆放间作为“大沼工程”事故状态下的干粪堆放区</w:t>
            </w:r>
          </w:p>
        </w:tc>
        <w:tc>
          <w:tcPr>
            <w:tcW w:w="692" w:type="pct"/>
            <w:vAlign w:val="center"/>
          </w:tcPr>
          <w:p>
            <w:pPr>
              <w:snapToGrid w:val="0"/>
              <w:spacing w:line="240" w:lineRule="auto"/>
              <w:jc w:val="center"/>
              <w:rPr>
                <w:sz w:val="21"/>
                <w:szCs w:val="21"/>
              </w:rPr>
            </w:pPr>
            <w:r>
              <w:rPr>
                <w:rFonts w:hint="eastAsia"/>
                <w:sz w:val="21"/>
                <w:szCs w:val="21"/>
              </w:rPr>
              <w:t>恶臭</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垃圾桶</w:t>
            </w:r>
          </w:p>
        </w:tc>
        <w:tc>
          <w:tcPr>
            <w:tcW w:w="2594" w:type="pct"/>
            <w:tcBorders>
              <w:top w:val="single" w:color="auto" w:sz="4" w:space="0"/>
            </w:tcBorders>
            <w:vAlign w:val="center"/>
          </w:tcPr>
          <w:p>
            <w:pPr>
              <w:snapToGrid w:val="0"/>
              <w:spacing w:line="240" w:lineRule="auto"/>
              <w:jc w:val="center"/>
              <w:rPr>
                <w:sz w:val="21"/>
                <w:szCs w:val="21"/>
                <w:vertAlign w:val="superscript"/>
              </w:rPr>
            </w:pPr>
            <w:r>
              <w:rPr>
                <w:rFonts w:hint="eastAsia"/>
                <w:sz w:val="21"/>
                <w:szCs w:val="21"/>
              </w:rPr>
              <w:t>生活区设置垃圾房1个，建筑面1</w:t>
            </w:r>
            <w:r>
              <w:rPr>
                <w:sz w:val="21"/>
                <w:szCs w:val="21"/>
              </w:rPr>
              <w:t>0m</w:t>
            </w:r>
            <w:r>
              <w:rPr>
                <w:sz w:val="21"/>
                <w:szCs w:val="21"/>
                <w:vertAlign w:val="superscript"/>
              </w:rPr>
              <w:t>2</w:t>
            </w:r>
          </w:p>
        </w:tc>
        <w:tc>
          <w:tcPr>
            <w:tcW w:w="692" w:type="pct"/>
            <w:tcBorders>
              <w:top w:val="single" w:color="auto" w:sz="4" w:space="0"/>
            </w:tcBorders>
            <w:vAlign w:val="center"/>
          </w:tcPr>
          <w:p>
            <w:pPr>
              <w:snapToGrid w:val="0"/>
              <w:spacing w:line="240" w:lineRule="auto"/>
              <w:jc w:val="center"/>
              <w:rPr>
                <w:sz w:val="21"/>
                <w:szCs w:val="21"/>
              </w:rPr>
            </w:pPr>
            <w:r>
              <w:rPr>
                <w:rFonts w:hint="eastAsia"/>
                <w:sz w:val="21"/>
                <w:szCs w:val="21"/>
              </w:rPr>
              <w:t>恶臭</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无害化暂存间</w:t>
            </w:r>
          </w:p>
        </w:tc>
        <w:tc>
          <w:tcPr>
            <w:tcW w:w="2594" w:type="pct"/>
            <w:tcBorders>
              <w:top w:val="single" w:color="auto" w:sz="4" w:space="0"/>
            </w:tcBorders>
            <w:vAlign w:val="center"/>
          </w:tcPr>
          <w:p>
            <w:pPr>
              <w:snapToGrid w:val="0"/>
              <w:spacing w:line="240" w:lineRule="auto"/>
              <w:jc w:val="center"/>
              <w:rPr>
                <w:sz w:val="21"/>
                <w:szCs w:val="21"/>
              </w:rPr>
            </w:pPr>
            <w:r>
              <w:rPr>
                <w:rFonts w:hint="eastAsia"/>
                <w:sz w:val="21"/>
                <w:szCs w:val="21"/>
              </w:rPr>
              <w:t>设置无害化暂存间，建筑面积2</w:t>
            </w:r>
            <w:r>
              <w:rPr>
                <w:sz w:val="21"/>
                <w:szCs w:val="21"/>
              </w:rPr>
              <w:t>0m</w:t>
            </w:r>
            <w:r>
              <w:rPr>
                <w:sz w:val="21"/>
                <w:szCs w:val="21"/>
                <w:vertAlign w:val="superscript"/>
              </w:rPr>
              <w:t>2</w:t>
            </w:r>
            <w:r>
              <w:rPr>
                <w:rFonts w:hint="eastAsia"/>
                <w:sz w:val="21"/>
                <w:szCs w:val="21"/>
              </w:rPr>
              <w:t>，用于存放病死猪、分娩物</w:t>
            </w:r>
          </w:p>
        </w:tc>
        <w:tc>
          <w:tcPr>
            <w:tcW w:w="692" w:type="pct"/>
            <w:tcBorders>
              <w:top w:val="single" w:color="auto" w:sz="4" w:space="0"/>
            </w:tcBorders>
            <w:vAlign w:val="center"/>
          </w:tcPr>
          <w:p>
            <w:pPr>
              <w:snapToGrid w:val="0"/>
              <w:spacing w:line="240" w:lineRule="auto"/>
              <w:jc w:val="center"/>
              <w:rPr>
                <w:sz w:val="21"/>
                <w:szCs w:val="21"/>
              </w:rPr>
            </w:pPr>
            <w:r>
              <w:rPr>
                <w:rFonts w:hint="eastAsia"/>
                <w:sz w:val="21"/>
                <w:szCs w:val="21"/>
              </w:rPr>
              <w:t>恶臭</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rFonts w:hint="eastAsia"/>
                <w:sz w:val="21"/>
                <w:szCs w:val="21"/>
              </w:rPr>
              <w:t>医疗废物暂存间</w:t>
            </w:r>
          </w:p>
        </w:tc>
        <w:tc>
          <w:tcPr>
            <w:tcW w:w="2594" w:type="pct"/>
            <w:tcBorders>
              <w:top w:val="single" w:color="auto" w:sz="4" w:space="0"/>
            </w:tcBorders>
            <w:vAlign w:val="center"/>
          </w:tcPr>
          <w:p>
            <w:pPr>
              <w:snapToGrid w:val="0"/>
              <w:spacing w:line="240" w:lineRule="auto"/>
              <w:jc w:val="center"/>
              <w:rPr>
                <w:sz w:val="21"/>
                <w:szCs w:val="21"/>
              </w:rPr>
            </w:pPr>
            <w:r>
              <w:rPr>
                <w:rFonts w:hint="eastAsia"/>
                <w:sz w:val="21"/>
                <w:szCs w:val="21"/>
              </w:rPr>
              <w:t>用于存放医疗废物，建筑面积1</w:t>
            </w:r>
            <w:r>
              <w:rPr>
                <w:sz w:val="21"/>
                <w:szCs w:val="21"/>
              </w:rPr>
              <w:t>0m</w:t>
            </w:r>
            <w:r>
              <w:rPr>
                <w:sz w:val="21"/>
                <w:szCs w:val="21"/>
                <w:vertAlign w:val="superscript"/>
              </w:rPr>
              <w:t>2</w:t>
            </w:r>
          </w:p>
        </w:tc>
        <w:tc>
          <w:tcPr>
            <w:tcW w:w="692" w:type="pct"/>
            <w:tcBorders>
              <w:top w:val="single" w:color="auto" w:sz="4" w:space="0"/>
            </w:tcBorders>
            <w:vAlign w:val="center"/>
          </w:tcPr>
          <w:p>
            <w:pPr>
              <w:snapToGrid w:val="0"/>
              <w:spacing w:line="240" w:lineRule="auto"/>
              <w:jc w:val="center"/>
              <w:rPr>
                <w:sz w:val="21"/>
                <w:szCs w:val="21"/>
              </w:rPr>
            </w:pPr>
            <w:r>
              <w:rPr>
                <w:rFonts w:hint="eastAsia"/>
                <w:sz w:val="21"/>
                <w:szCs w:val="21"/>
              </w:rPr>
              <w:t>地下水</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restart"/>
            <w:vAlign w:val="center"/>
          </w:tcPr>
          <w:p>
            <w:pPr>
              <w:snapToGrid w:val="0"/>
              <w:spacing w:line="240" w:lineRule="auto"/>
              <w:jc w:val="center"/>
              <w:rPr>
                <w:sz w:val="21"/>
                <w:szCs w:val="21"/>
              </w:rPr>
            </w:pPr>
            <w:r>
              <w:rPr>
                <w:sz w:val="21"/>
                <w:szCs w:val="21"/>
              </w:rPr>
              <w:t>办公及生活设施</w:t>
            </w:r>
          </w:p>
        </w:tc>
        <w:tc>
          <w:tcPr>
            <w:tcW w:w="698" w:type="pct"/>
            <w:vAlign w:val="center"/>
          </w:tcPr>
          <w:p>
            <w:pPr>
              <w:snapToGrid w:val="0"/>
              <w:spacing w:line="240" w:lineRule="auto"/>
              <w:jc w:val="center"/>
              <w:rPr>
                <w:sz w:val="21"/>
                <w:szCs w:val="21"/>
              </w:rPr>
            </w:pPr>
            <w:r>
              <w:rPr>
                <w:sz w:val="21"/>
                <w:szCs w:val="21"/>
              </w:rPr>
              <w:t>办公室</w:t>
            </w:r>
          </w:p>
        </w:tc>
        <w:tc>
          <w:tcPr>
            <w:tcW w:w="2594" w:type="pct"/>
            <w:vAlign w:val="center"/>
          </w:tcPr>
          <w:p>
            <w:pPr>
              <w:snapToGrid w:val="0"/>
              <w:spacing w:line="240" w:lineRule="auto"/>
              <w:jc w:val="center"/>
              <w:rPr>
                <w:sz w:val="21"/>
                <w:szCs w:val="21"/>
              </w:rPr>
            </w:pPr>
            <w:r>
              <w:rPr>
                <w:sz w:val="21"/>
                <w:szCs w:val="21"/>
              </w:rPr>
              <w:t>综合楼1栋，建筑面积682.7㎡</w:t>
            </w:r>
          </w:p>
        </w:tc>
        <w:tc>
          <w:tcPr>
            <w:tcW w:w="692" w:type="pct"/>
            <w:vMerge w:val="restart"/>
            <w:vAlign w:val="center"/>
          </w:tcPr>
          <w:p>
            <w:pPr>
              <w:snapToGrid w:val="0"/>
              <w:spacing w:line="240" w:lineRule="auto"/>
              <w:jc w:val="center"/>
              <w:rPr>
                <w:sz w:val="21"/>
                <w:szCs w:val="21"/>
              </w:rPr>
            </w:pPr>
            <w:r>
              <w:rPr>
                <w:sz w:val="21"/>
                <w:szCs w:val="21"/>
              </w:rPr>
              <w:t>生活污水、生活垃圾</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宿舍</w:t>
            </w:r>
          </w:p>
        </w:tc>
        <w:tc>
          <w:tcPr>
            <w:tcW w:w="2594" w:type="pct"/>
            <w:vAlign w:val="center"/>
          </w:tcPr>
          <w:p>
            <w:pPr>
              <w:snapToGrid w:val="0"/>
              <w:spacing w:line="240" w:lineRule="auto"/>
              <w:jc w:val="center"/>
              <w:rPr>
                <w:sz w:val="21"/>
                <w:szCs w:val="21"/>
              </w:rPr>
            </w:pPr>
            <w:r>
              <w:rPr>
                <w:sz w:val="21"/>
                <w:szCs w:val="21"/>
              </w:rPr>
              <w:t>员工宿舍1栋，</w:t>
            </w:r>
            <w:r>
              <w:rPr>
                <w:rFonts w:hint="eastAsia"/>
                <w:sz w:val="21"/>
                <w:szCs w:val="21"/>
              </w:rPr>
              <w:t>3</w:t>
            </w:r>
            <w:r>
              <w:rPr>
                <w:sz w:val="21"/>
                <w:szCs w:val="21"/>
              </w:rPr>
              <w:t>F</w:t>
            </w:r>
            <w:r>
              <w:rPr>
                <w:rFonts w:hint="eastAsia"/>
                <w:sz w:val="21"/>
                <w:szCs w:val="21"/>
              </w:rPr>
              <w:t>，</w:t>
            </w:r>
            <w:r>
              <w:rPr>
                <w:sz w:val="21"/>
                <w:szCs w:val="21"/>
              </w:rPr>
              <w:t>建筑面积1088.46㎡</w:t>
            </w:r>
          </w:p>
        </w:tc>
        <w:tc>
          <w:tcPr>
            <w:tcW w:w="692" w:type="pct"/>
            <w:vMerge w:val="continue"/>
            <w:vAlign w:val="center"/>
          </w:tcPr>
          <w:p>
            <w:pPr>
              <w:snapToGrid w:val="0"/>
              <w:spacing w:line="240" w:lineRule="auto"/>
              <w:jc w:val="center"/>
              <w:rPr>
                <w:sz w:val="21"/>
                <w:szCs w:val="21"/>
              </w:rPr>
            </w:pP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508" w:type="pct"/>
            <w:vMerge w:val="continue"/>
            <w:vAlign w:val="center"/>
          </w:tcPr>
          <w:p>
            <w:pPr>
              <w:snapToGrid w:val="0"/>
              <w:spacing w:line="240" w:lineRule="auto"/>
              <w:jc w:val="center"/>
              <w:rPr>
                <w:sz w:val="21"/>
                <w:szCs w:val="21"/>
              </w:rPr>
            </w:pPr>
          </w:p>
        </w:tc>
        <w:tc>
          <w:tcPr>
            <w:tcW w:w="698" w:type="pct"/>
            <w:vAlign w:val="center"/>
          </w:tcPr>
          <w:p>
            <w:pPr>
              <w:snapToGrid w:val="0"/>
              <w:spacing w:line="240" w:lineRule="auto"/>
              <w:jc w:val="center"/>
              <w:rPr>
                <w:sz w:val="21"/>
                <w:szCs w:val="21"/>
              </w:rPr>
            </w:pPr>
            <w:r>
              <w:rPr>
                <w:sz w:val="21"/>
                <w:szCs w:val="21"/>
              </w:rPr>
              <w:t>食堂</w:t>
            </w:r>
          </w:p>
        </w:tc>
        <w:tc>
          <w:tcPr>
            <w:tcW w:w="2594" w:type="pct"/>
            <w:vAlign w:val="center"/>
          </w:tcPr>
          <w:p>
            <w:pPr>
              <w:snapToGrid w:val="0"/>
              <w:spacing w:line="240" w:lineRule="auto"/>
              <w:jc w:val="center"/>
              <w:rPr>
                <w:sz w:val="21"/>
                <w:szCs w:val="21"/>
              </w:rPr>
            </w:pPr>
            <w:r>
              <w:rPr>
                <w:sz w:val="21"/>
                <w:szCs w:val="21"/>
              </w:rPr>
              <w:t>建筑面积377.5㎡</w:t>
            </w:r>
            <w:r>
              <w:rPr>
                <w:rFonts w:hint="eastAsia"/>
                <w:sz w:val="21"/>
                <w:szCs w:val="21"/>
              </w:rPr>
              <w:t>，供员工就餐</w:t>
            </w:r>
          </w:p>
        </w:tc>
        <w:tc>
          <w:tcPr>
            <w:tcW w:w="692" w:type="pct"/>
            <w:vAlign w:val="center"/>
          </w:tcPr>
          <w:p>
            <w:pPr>
              <w:snapToGrid w:val="0"/>
              <w:spacing w:line="240" w:lineRule="auto"/>
              <w:jc w:val="center"/>
              <w:rPr>
                <w:sz w:val="21"/>
                <w:szCs w:val="21"/>
              </w:rPr>
            </w:pPr>
            <w:r>
              <w:rPr>
                <w:sz w:val="21"/>
                <w:szCs w:val="21"/>
              </w:rPr>
              <w:t>生活污水、生活垃圾、食堂油烟</w:t>
            </w:r>
          </w:p>
        </w:tc>
        <w:tc>
          <w:tcPr>
            <w:tcW w:w="508" w:type="pct"/>
            <w:vMerge w:val="continue"/>
            <w:vAlign w:val="center"/>
          </w:tcPr>
          <w:p>
            <w:pPr>
              <w:snapToGrid w:val="0"/>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508" w:type="pct"/>
            <w:vAlign w:val="center"/>
          </w:tcPr>
          <w:p>
            <w:pPr>
              <w:snapToGrid w:val="0"/>
              <w:spacing w:line="240" w:lineRule="auto"/>
              <w:rPr>
                <w:sz w:val="21"/>
                <w:szCs w:val="21"/>
              </w:rPr>
            </w:pPr>
            <w:r>
              <w:rPr>
                <w:sz w:val="21"/>
                <w:szCs w:val="21"/>
              </w:rPr>
              <w:t>仓储</w:t>
            </w:r>
          </w:p>
        </w:tc>
        <w:tc>
          <w:tcPr>
            <w:tcW w:w="698" w:type="pct"/>
            <w:vAlign w:val="center"/>
          </w:tcPr>
          <w:p>
            <w:pPr>
              <w:snapToGrid w:val="0"/>
              <w:spacing w:line="240" w:lineRule="auto"/>
              <w:jc w:val="center"/>
              <w:rPr>
                <w:sz w:val="21"/>
                <w:szCs w:val="21"/>
              </w:rPr>
            </w:pPr>
            <w:r>
              <w:rPr>
                <w:sz w:val="21"/>
                <w:szCs w:val="21"/>
              </w:rPr>
              <w:t>饲料库房</w:t>
            </w:r>
          </w:p>
        </w:tc>
        <w:tc>
          <w:tcPr>
            <w:tcW w:w="2594" w:type="pct"/>
            <w:vAlign w:val="center"/>
          </w:tcPr>
          <w:p>
            <w:pPr>
              <w:snapToGrid w:val="0"/>
              <w:spacing w:line="240" w:lineRule="auto"/>
              <w:jc w:val="center"/>
              <w:rPr>
                <w:sz w:val="21"/>
                <w:szCs w:val="21"/>
              </w:rPr>
            </w:pPr>
            <w:r>
              <w:rPr>
                <w:sz w:val="21"/>
                <w:szCs w:val="21"/>
              </w:rPr>
              <w:t>位于</w:t>
            </w:r>
            <w:r>
              <w:rPr>
                <w:rFonts w:hint="eastAsia"/>
                <w:sz w:val="21"/>
                <w:szCs w:val="21"/>
              </w:rPr>
              <w:t>办公生活区</w:t>
            </w:r>
            <w:r>
              <w:rPr>
                <w:sz w:val="21"/>
                <w:szCs w:val="21"/>
              </w:rPr>
              <w:t>，建筑面积494.9㎡</w:t>
            </w:r>
          </w:p>
        </w:tc>
        <w:tc>
          <w:tcPr>
            <w:tcW w:w="692" w:type="pct"/>
            <w:vAlign w:val="center"/>
          </w:tcPr>
          <w:p>
            <w:pPr>
              <w:snapToGrid w:val="0"/>
              <w:spacing w:line="240" w:lineRule="auto"/>
              <w:jc w:val="center"/>
              <w:rPr>
                <w:sz w:val="21"/>
                <w:szCs w:val="21"/>
              </w:rPr>
            </w:pPr>
            <w:r>
              <w:rPr>
                <w:sz w:val="21"/>
                <w:szCs w:val="21"/>
              </w:rPr>
              <w:t>废包装材料</w:t>
            </w:r>
          </w:p>
        </w:tc>
        <w:tc>
          <w:tcPr>
            <w:tcW w:w="508" w:type="pct"/>
            <w:vMerge w:val="continue"/>
            <w:vAlign w:val="center"/>
          </w:tcPr>
          <w:p>
            <w:pPr>
              <w:snapToGrid w:val="0"/>
              <w:spacing w:line="240" w:lineRule="auto"/>
              <w:jc w:val="center"/>
              <w:rPr>
                <w:sz w:val="21"/>
                <w:szCs w:val="21"/>
              </w:rPr>
            </w:pPr>
          </w:p>
        </w:tc>
      </w:tr>
    </w:tbl>
    <w:p>
      <w:pPr>
        <w:pStyle w:val="2"/>
        <w:ind w:firstLine="0" w:firstLineChars="0"/>
        <w:rPr>
          <w:rFonts w:hint="default"/>
        </w:rPr>
      </w:pPr>
    </w:p>
    <w:bookmarkEnd w:id="308"/>
    <w:bookmarkEnd w:id="309"/>
    <w:bookmarkEnd w:id="310"/>
    <w:bookmarkEnd w:id="311"/>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314" w:name="_Toc457480943"/>
      <w:bookmarkStart w:id="315" w:name="_Toc29110567"/>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.4项目总平面布置合理性分析</w:t>
      </w:r>
      <w:bookmarkEnd w:id="314"/>
      <w:bookmarkEnd w:id="315"/>
    </w:p>
    <w:p>
      <w:pPr>
        <w:snapToGrid w:val="0"/>
        <w:ind w:firstLine="480" w:firstLineChars="200"/>
      </w:pPr>
      <w:bookmarkStart w:id="316" w:name="_Toc457480944"/>
      <w:bookmarkStart w:id="317" w:name="_Toc282879899"/>
      <w:bookmarkStart w:id="318" w:name="_Toc423336674"/>
      <w:r>
        <w:rPr>
          <w:rFonts w:hint="eastAsia"/>
        </w:rPr>
        <w:t>（1）</w:t>
      </w:r>
      <w:r>
        <w:t>车间建筑平面布置合理性</w:t>
      </w:r>
    </w:p>
    <w:p>
      <w:pPr>
        <w:snapToGrid w:val="0"/>
        <w:ind w:firstLine="480" w:firstLineChars="200"/>
      </w:pPr>
      <w:r>
        <w:t>本项目总用地面积</w:t>
      </w:r>
      <w:r>
        <w:rPr>
          <w:rFonts w:hint="eastAsia"/>
        </w:rPr>
        <w:t>1</w:t>
      </w:r>
      <w:r>
        <w:t>29亩，区域风向以西北风为主。</w:t>
      </w:r>
      <w:r>
        <w:rPr>
          <w:rFonts w:hint="eastAsia"/>
        </w:rPr>
        <w:t>项目平面</w:t>
      </w:r>
      <w:r>
        <w:t>平面布置满足农业部《标准化规模养猪场建设规范》（NY/T 1568-2007）以及四川省《规模猪场建设技术规范》（DB51/T1073-2010）要求。</w:t>
      </w:r>
    </w:p>
    <w:p>
      <w:pPr>
        <w:snapToGrid w:val="0"/>
        <w:ind w:firstLine="480" w:firstLineChars="200"/>
      </w:pPr>
      <w:r>
        <w:t>整个厂区分为生产区以及生活区两大部分，以绿化树木以及生态围墙隔离。并根据生产要求，设有两个大门。其中北面大门外道路为猪场对外运输的主要道路，设为猪场净道入口，主要用于运输健康猪只、猪饲料等道路出入口；污道位于厂区南面，距离周边农田以及有机堆肥场所较近，用于运输猪只粪便、病死猪的主要通道。</w:t>
      </w:r>
    </w:p>
    <w:p>
      <w:pPr>
        <w:snapToGrid w:val="0"/>
        <w:ind w:firstLine="480" w:firstLineChars="200"/>
      </w:pPr>
      <w:r>
        <w:rPr>
          <w:rFonts w:hint="eastAsia"/>
        </w:rPr>
        <w:t>项目主要受到基本农田的影响，共划分四个地块布置，平面布局不占用基本农田。同时</w:t>
      </w:r>
      <w:r>
        <w:t>4</w:t>
      </w:r>
      <w:r>
        <w:rPr>
          <w:rFonts w:hint="eastAsia"/>
        </w:rPr>
        <w:t>#地块受农户制约，建设单位拟不利用该地块，项目将车间仅布置于</w:t>
      </w:r>
      <w:r>
        <w:t>1</w:t>
      </w:r>
      <w:r>
        <w:rPr>
          <w:rFonts w:hint="eastAsia"/>
        </w:rPr>
        <w:t>#地块，将车间布局在尽可能远离周边农户，同时将生活区布置于3#地块（邻近星星亮村3组农户），项目生产车间将妊娠舍和分娩舍分开布置，为避免相互产生影响，在妊娠舍西侧及分娩舍东侧分别设置风口，根据平面布局可知，妊娠舍西侧为项目3#地块（用于建设项目办公生活设施），可减缓对西侧星星亮村3组农户的影响。</w:t>
      </w:r>
    </w:p>
    <w:p>
      <w:pPr>
        <w:snapToGrid w:val="0"/>
        <w:ind w:firstLine="480" w:firstLineChars="200"/>
      </w:pPr>
      <w:r>
        <w:rPr>
          <w:rFonts w:hint="eastAsia"/>
        </w:rPr>
        <w:t>（2）</w:t>
      </w:r>
      <w:r>
        <w:t>环保设施设置合理性</w:t>
      </w:r>
    </w:p>
    <w:p>
      <w:pPr>
        <w:snapToGrid w:val="0"/>
        <w:ind w:firstLine="480" w:firstLineChars="200"/>
      </w:pPr>
      <w:r>
        <w:rPr>
          <w:rFonts w:hint="eastAsia"/>
        </w:rPr>
        <w:t>由于受到地形限制，项目共设置一座暂存池，位于车间北侧，用于收集各车间产生的粪污，车间北侧暂存池距离农户较远，项目建成后，东侧无农户分布，且项目暂存池全部采取密闭措施，不会对周围农户产生不利影响</w:t>
      </w:r>
    </w:p>
    <w:p>
      <w:pPr>
        <w:snapToGrid w:val="0"/>
        <w:ind w:firstLine="480" w:firstLineChars="200"/>
      </w:pPr>
      <w:r>
        <w:t>综上，评价认为项目总平面布置功能分区清晰，工艺流程顺畅，物流短捷，人流、物流互不交叉干扰，协调了生产和环保的关系，从环保角度分析其平面布局基本合理。</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319" w:name="_Toc29110568"/>
      <w:r>
        <w:rPr>
          <w:rFonts w:ascii="Times New Roman" w:hAnsi="Times New Roman" w:eastAsia="黑体" w:cs="Times New Roman"/>
          <w:b w:val="0"/>
          <w:bCs/>
          <w:spacing w:val="4"/>
          <w:kern w:val="2"/>
          <w:sz w:val="32"/>
          <w:szCs w:val="32"/>
        </w:rPr>
        <w:t>3.5  主要生产设备</w:t>
      </w:r>
      <w:bookmarkEnd w:id="316"/>
      <w:bookmarkEnd w:id="317"/>
      <w:bookmarkEnd w:id="318"/>
      <w:bookmarkEnd w:id="319"/>
    </w:p>
    <w:p>
      <w:pPr>
        <w:widowControl/>
        <w:ind w:firstLine="480" w:firstLineChars="200"/>
      </w:pPr>
      <w:r>
        <w:rPr>
          <w:rFonts w:hint="eastAsia"/>
        </w:rPr>
        <w:t>本</w:t>
      </w:r>
      <w:r>
        <w:t>项目设备设施</w:t>
      </w:r>
      <w:r>
        <w:rPr>
          <w:rFonts w:hint="eastAsia"/>
        </w:rPr>
        <w:t>明细</w:t>
      </w:r>
      <w:r>
        <w:t>见表3</w:t>
      </w:r>
      <w:r>
        <w:rPr>
          <w:rFonts w:hint="eastAsia"/>
        </w:rPr>
        <w:t>.5-1</w:t>
      </w:r>
      <w:r>
        <w:t>。</w:t>
      </w:r>
    </w:p>
    <w:p>
      <w:pPr>
        <w:spacing w:line="240" w:lineRule="auto"/>
        <w:jc w:val="center"/>
        <w:rPr>
          <w:rFonts w:eastAsia="黑体"/>
        </w:rPr>
      </w:pPr>
      <w:r>
        <w:rPr>
          <w:rFonts w:eastAsia="黑体"/>
        </w:rPr>
        <w:t>表3</w:t>
      </w:r>
      <w:r>
        <w:rPr>
          <w:rFonts w:hint="eastAsia" w:eastAsia="黑体"/>
        </w:rPr>
        <w:t>.5-1</w:t>
      </w:r>
      <w:r>
        <w:rPr>
          <w:rFonts w:eastAsia="黑体"/>
        </w:rPr>
        <w:t xml:space="preserve">  </w:t>
      </w:r>
      <w:r>
        <w:rPr>
          <w:rFonts w:hint="eastAsia" w:eastAsia="黑体"/>
        </w:rPr>
        <w:t>设备设施</w:t>
      </w:r>
      <w:r>
        <w:rPr>
          <w:rFonts w:eastAsia="黑体"/>
        </w:rPr>
        <w:t xml:space="preserve">一览表 </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30" w:type="dxa"/>
          <w:bottom w:w="0" w:type="dxa"/>
          <w:right w:w="30" w:type="dxa"/>
        </w:tblCellMar>
      </w:tblPr>
      <w:tblGrid>
        <w:gridCol w:w="1997"/>
        <w:gridCol w:w="995"/>
        <w:gridCol w:w="1049"/>
        <w:gridCol w:w="2101"/>
        <w:gridCol w:w="1421"/>
        <w:gridCol w:w="15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tblHeader/>
          <w:jc w:val="center"/>
        </w:trPr>
        <w:tc>
          <w:tcPr>
            <w:tcW w:w="1984"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设备名称</w:t>
            </w:r>
          </w:p>
        </w:tc>
        <w:tc>
          <w:tcPr>
            <w:tcW w:w="988"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单位</w:t>
            </w:r>
          </w:p>
        </w:tc>
        <w:tc>
          <w:tcPr>
            <w:tcW w:w="1042"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数量</w:t>
            </w:r>
          </w:p>
        </w:tc>
        <w:tc>
          <w:tcPr>
            <w:tcW w:w="2087"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设备名称</w:t>
            </w:r>
          </w:p>
        </w:tc>
        <w:tc>
          <w:tcPr>
            <w:tcW w:w="1412"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单位</w:t>
            </w:r>
          </w:p>
        </w:tc>
        <w:tc>
          <w:tcPr>
            <w:tcW w:w="1558" w:type="dxa"/>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4014" w:type="dxa"/>
            <w:gridSpan w:val="3"/>
            <w:tcBorders>
              <w:right w:val="single" w:color="auto" w:sz="4" w:space="0"/>
              <w:tl2br w:val="nil"/>
              <w:tr2bl w:val="nil"/>
            </w:tcBorders>
            <w:vAlign w:val="center"/>
          </w:tcPr>
          <w:p>
            <w:pPr>
              <w:snapToGrid w:val="0"/>
              <w:spacing w:line="240" w:lineRule="auto"/>
              <w:jc w:val="center"/>
              <w:rPr>
                <w:rFonts w:eastAsiaTheme="minorEastAsia"/>
                <w:b/>
                <w:sz w:val="21"/>
                <w:szCs w:val="21"/>
              </w:rPr>
            </w:pPr>
            <w:r>
              <w:rPr>
                <w:rFonts w:eastAsiaTheme="minorEastAsia"/>
                <w:b/>
                <w:sz w:val="21"/>
                <w:szCs w:val="21"/>
              </w:rPr>
              <w:t>一、繁殖舍</w:t>
            </w:r>
          </w:p>
        </w:tc>
        <w:tc>
          <w:tcPr>
            <w:tcW w:w="5057" w:type="dxa"/>
            <w:gridSpan w:val="3"/>
            <w:tcBorders>
              <w:left w:val="single" w:color="auto" w:sz="4" w:space="0"/>
              <w:tl2br w:val="nil"/>
              <w:tr2bl w:val="nil"/>
            </w:tcBorders>
            <w:vAlign w:val="center"/>
          </w:tcPr>
          <w:p>
            <w:pPr>
              <w:snapToGrid w:val="0"/>
              <w:spacing w:line="240" w:lineRule="auto"/>
              <w:jc w:val="center"/>
              <w:rPr>
                <w:rFonts w:eastAsiaTheme="minorEastAsia"/>
                <w:b/>
                <w:sz w:val="21"/>
                <w:szCs w:val="21"/>
              </w:rPr>
            </w:pPr>
            <w:r>
              <w:rPr>
                <w:rFonts w:eastAsiaTheme="minorEastAsia"/>
                <w:b/>
                <w:sz w:val="21"/>
                <w:szCs w:val="21"/>
              </w:rPr>
              <w:t>三、消毒淋浴更衣室</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栏位（单体栏）</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3600</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紫外线灯</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套</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栏位（大栏）</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100</w:t>
            </w:r>
          </w:p>
        </w:tc>
        <w:tc>
          <w:tcPr>
            <w:tcW w:w="2087"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电热水器</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台</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风机</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个</w:t>
            </w:r>
          </w:p>
        </w:tc>
        <w:tc>
          <w:tcPr>
            <w:tcW w:w="104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120</w:t>
            </w:r>
          </w:p>
        </w:tc>
        <w:tc>
          <w:tcPr>
            <w:tcW w:w="5057" w:type="dxa"/>
            <w:gridSpan w:val="3"/>
            <w:tcBorders>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四、兽医诊疗室</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料线</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3</w:t>
            </w:r>
          </w:p>
        </w:tc>
        <w:tc>
          <w:tcPr>
            <w:tcW w:w="2087"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显微镜</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台</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食槽/饮水碗</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1800</w:t>
            </w:r>
          </w:p>
        </w:tc>
        <w:tc>
          <w:tcPr>
            <w:tcW w:w="2087"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针头</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盒</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4014" w:type="dxa"/>
            <w:gridSpan w:val="3"/>
            <w:tcBorders>
              <w:right w:val="single" w:color="auto" w:sz="4" w:space="0"/>
              <w:tl2br w:val="nil"/>
              <w:tr2bl w:val="nil"/>
            </w:tcBorders>
            <w:vAlign w:val="center"/>
          </w:tcPr>
          <w:p>
            <w:pPr>
              <w:snapToGrid w:val="0"/>
              <w:spacing w:line="240" w:lineRule="auto"/>
              <w:jc w:val="center"/>
              <w:rPr>
                <w:rFonts w:eastAsiaTheme="minorEastAsia"/>
                <w:b/>
                <w:sz w:val="21"/>
                <w:szCs w:val="21"/>
              </w:rPr>
            </w:pPr>
            <w:r>
              <w:rPr>
                <w:rFonts w:eastAsiaTheme="minorEastAsia"/>
                <w:b/>
                <w:sz w:val="21"/>
                <w:szCs w:val="21"/>
              </w:rPr>
              <w:t>二、隔离舍</w:t>
            </w:r>
          </w:p>
        </w:tc>
        <w:tc>
          <w:tcPr>
            <w:tcW w:w="2087" w:type="dxa"/>
            <w:tcBorders>
              <w:lef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缝合针</w:t>
            </w:r>
          </w:p>
        </w:tc>
        <w:tc>
          <w:tcPr>
            <w:tcW w:w="141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包</w:t>
            </w:r>
          </w:p>
        </w:tc>
        <w:tc>
          <w:tcPr>
            <w:tcW w:w="155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栏位</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50</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缝合线</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卷</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风机</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个</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3</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剪刀</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把</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料线</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1</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金属注射器</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支</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食槽/饮水碗</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套</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50</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冰箱</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台</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4014" w:type="dxa"/>
            <w:gridSpan w:val="3"/>
            <w:tcBorders>
              <w:right w:val="single" w:color="auto" w:sz="4" w:space="0"/>
              <w:tl2br w:val="nil"/>
              <w:tr2bl w:val="nil"/>
            </w:tcBorders>
            <w:vAlign w:val="center"/>
          </w:tcPr>
          <w:p>
            <w:pPr>
              <w:snapToGrid w:val="0"/>
              <w:spacing w:line="240" w:lineRule="auto"/>
              <w:jc w:val="center"/>
              <w:rPr>
                <w:rFonts w:eastAsiaTheme="minorEastAsia"/>
                <w:b/>
                <w:sz w:val="21"/>
                <w:szCs w:val="21"/>
              </w:rPr>
            </w:pPr>
            <w:r>
              <w:rPr>
                <w:rFonts w:eastAsiaTheme="minorEastAsia"/>
                <w:b/>
                <w:sz w:val="21"/>
                <w:szCs w:val="21"/>
              </w:rPr>
              <w:t>五、消毒设备</w:t>
            </w:r>
          </w:p>
        </w:tc>
        <w:tc>
          <w:tcPr>
            <w:tcW w:w="5057" w:type="dxa"/>
            <w:gridSpan w:val="3"/>
            <w:tcBorders>
              <w:left w:val="single" w:color="auto" w:sz="4" w:space="0"/>
              <w:tl2br w:val="nil"/>
              <w:tr2bl w:val="nil"/>
            </w:tcBorders>
            <w:vAlign w:val="center"/>
          </w:tcPr>
          <w:p>
            <w:pPr>
              <w:snapToGrid w:val="0"/>
              <w:spacing w:line="240" w:lineRule="auto"/>
              <w:jc w:val="center"/>
              <w:rPr>
                <w:rFonts w:eastAsiaTheme="minorEastAsia"/>
                <w:b/>
                <w:sz w:val="21"/>
                <w:szCs w:val="21"/>
              </w:rPr>
            </w:pPr>
            <w:r>
              <w:rPr>
                <w:rFonts w:eastAsiaTheme="minorEastAsia"/>
                <w:b/>
                <w:sz w:val="21"/>
                <w:szCs w:val="21"/>
              </w:rPr>
              <w:t>六、其他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消毒喷雾器</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台</w:t>
            </w:r>
          </w:p>
        </w:tc>
        <w:tc>
          <w:tcPr>
            <w:tcW w:w="1042" w:type="dxa"/>
            <w:tcBorders>
              <w:right w:val="single" w:color="auto" w:sz="4" w:space="0"/>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4</w:t>
            </w:r>
          </w:p>
        </w:tc>
        <w:tc>
          <w:tcPr>
            <w:tcW w:w="2087"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工作服</w:t>
            </w:r>
          </w:p>
        </w:tc>
        <w:tc>
          <w:tcPr>
            <w:tcW w:w="1412"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套</w:t>
            </w:r>
          </w:p>
        </w:tc>
        <w:tc>
          <w:tcPr>
            <w:tcW w:w="1558"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66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高压清洗消毒设备</w:t>
            </w:r>
          </w:p>
        </w:tc>
        <w:tc>
          <w:tcPr>
            <w:tcW w:w="988"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台</w:t>
            </w:r>
          </w:p>
        </w:tc>
        <w:tc>
          <w:tcPr>
            <w:tcW w:w="1042" w:type="dxa"/>
            <w:tcBorders>
              <w:tl2br w:val="nil"/>
              <w:tr2bl w:val="nil"/>
            </w:tcBorders>
            <w:vAlign w:val="center"/>
          </w:tcPr>
          <w:p>
            <w:pPr>
              <w:snapToGrid w:val="0"/>
              <w:spacing w:line="240" w:lineRule="auto"/>
              <w:jc w:val="center"/>
              <w:rPr>
                <w:rFonts w:eastAsiaTheme="minorEastAsia"/>
                <w:sz w:val="21"/>
                <w:szCs w:val="21"/>
              </w:rPr>
            </w:pPr>
            <w:r>
              <w:rPr>
                <w:rFonts w:eastAsiaTheme="minorEastAsia"/>
                <w:sz w:val="21"/>
                <w:szCs w:val="21"/>
              </w:rPr>
              <w:t>2</w:t>
            </w:r>
          </w:p>
        </w:tc>
        <w:tc>
          <w:tcPr>
            <w:tcW w:w="2087" w:type="dxa"/>
            <w:tcBorders>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赶猪板</w:t>
            </w:r>
          </w:p>
        </w:tc>
        <w:tc>
          <w:tcPr>
            <w:tcW w:w="1412" w:type="dxa"/>
            <w:tcBorders>
              <w:righ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个</w:t>
            </w:r>
          </w:p>
        </w:tc>
        <w:tc>
          <w:tcPr>
            <w:tcW w:w="1558" w:type="dxa"/>
            <w:tcBorders>
              <w:left w:val="single" w:color="auto" w:sz="4" w:space="0"/>
              <w:tl2br w:val="nil"/>
              <w:tr2bl w:val="nil"/>
            </w:tcBorders>
            <w:vAlign w:val="center"/>
          </w:tcPr>
          <w:p>
            <w:pPr>
              <w:pStyle w:val="613"/>
              <w:spacing w:before="0" w:after="0"/>
              <w:jc w:val="center"/>
              <w:rPr>
                <w:rFonts w:ascii="Times New Roman" w:hAnsi="Times New Roman" w:cs="Times New Roman"/>
                <w:szCs w:val="21"/>
              </w:rPr>
            </w:pPr>
            <w:r>
              <w:rPr>
                <w:rFonts w:ascii="Times New Roman" w:hAnsi="Times New Roman" w:cs="Times New Roman"/>
                <w:szCs w:val="21"/>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30" w:type="dxa"/>
            <w:bottom w:w="0" w:type="dxa"/>
            <w:right w:w="30" w:type="dxa"/>
          </w:tblCellMar>
        </w:tblPrEx>
        <w:trPr>
          <w:trHeight w:val="20" w:hRule="atLeast"/>
          <w:jc w:val="center"/>
        </w:trPr>
        <w:tc>
          <w:tcPr>
            <w:tcW w:w="1984" w:type="dxa"/>
            <w:tcBorders>
              <w:tl2br w:val="nil"/>
              <w:tr2bl w:val="nil"/>
            </w:tcBorders>
            <w:vAlign w:val="center"/>
          </w:tcPr>
          <w:p>
            <w:pPr>
              <w:snapToGrid w:val="0"/>
              <w:spacing w:line="240" w:lineRule="auto"/>
              <w:jc w:val="center"/>
              <w:rPr>
                <w:rFonts w:eastAsiaTheme="minorEastAsia"/>
                <w:sz w:val="21"/>
                <w:szCs w:val="21"/>
              </w:rPr>
            </w:pPr>
          </w:p>
        </w:tc>
        <w:tc>
          <w:tcPr>
            <w:tcW w:w="988" w:type="dxa"/>
            <w:tcBorders>
              <w:tl2br w:val="nil"/>
              <w:tr2bl w:val="nil"/>
            </w:tcBorders>
            <w:vAlign w:val="center"/>
          </w:tcPr>
          <w:p>
            <w:pPr>
              <w:snapToGrid w:val="0"/>
              <w:spacing w:line="240" w:lineRule="auto"/>
              <w:jc w:val="center"/>
              <w:rPr>
                <w:rFonts w:eastAsiaTheme="minorEastAsia"/>
                <w:sz w:val="21"/>
                <w:szCs w:val="21"/>
              </w:rPr>
            </w:pPr>
          </w:p>
        </w:tc>
        <w:tc>
          <w:tcPr>
            <w:tcW w:w="1042" w:type="dxa"/>
            <w:tcBorders>
              <w:tl2br w:val="nil"/>
              <w:tr2bl w:val="nil"/>
            </w:tcBorders>
            <w:vAlign w:val="center"/>
          </w:tcPr>
          <w:p>
            <w:pPr>
              <w:snapToGrid w:val="0"/>
              <w:spacing w:line="240" w:lineRule="auto"/>
              <w:jc w:val="center"/>
              <w:rPr>
                <w:rFonts w:eastAsiaTheme="minorEastAsia"/>
                <w:sz w:val="21"/>
                <w:szCs w:val="21"/>
              </w:rPr>
            </w:pPr>
          </w:p>
        </w:tc>
        <w:tc>
          <w:tcPr>
            <w:tcW w:w="2087" w:type="dxa"/>
            <w:tcBorders>
              <w:right w:val="single" w:color="auto" w:sz="4" w:space="0"/>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szCs w:val="21"/>
              </w:rPr>
              <w:t>转畜车</w:t>
            </w:r>
          </w:p>
        </w:tc>
        <w:tc>
          <w:tcPr>
            <w:tcW w:w="1412" w:type="dxa"/>
            <w:tcBorders>
              <w:left w:val="single" w:color="auto" w:sz="4" w:space="0"/>
              <w:right w:val="single" w:color="auto" w:sz="4" w:space="0"/>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szCs w:val="21"/>
              </w:rPr>
              <w:t>台</w:t>
            </w:r>
          </w:p>
        </w:tc>
        <w:tc>
          <w:tcPr>
            <w:tcW w:w="1558" w:type="dxa"/>
            <w:tcBorders>
              <w:left w:val="single" w:color="auto" w:sz="4" w:space="0"/>
              <w:tl2br w:val="nil"/>
              <w:tr2bl w:val="nil"/>
            </w:tcBorders>
            <w:vAlign w:val="center"/>
          </w:tcPr>
          <w:p>
            <w:pPr>
              <w:pStyle w:val="613"/>
              <w:spacing w:before="0" w:after="0"/>
              <w:jc w:val="center"/>
              <w:rPr>
                <w:rFonts w:ascii="Times New Roman" w:hAnsi="Times New Roman" w:cs="Times New Roman"/>
                <w:b/>
                <w:szCs w:val="21"/>
              </w:rPr>
            </w:pPr>
            <w:r>
              <w:rPr>
                <w:rFonts w:ascii="Times New Roman" w:hAnsi="Times New Roman" w:cs="Times New Roman"/>
                <w:b/>
                <w:szCs w:val="21"/>
              </w:rPr>
              <w:t>5</w:t>
            </w:r>
          </w:p>
        </w:tc>
      </w:tr>
    </w:tbl>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320" w:name="_Toc282879901"/>
      <w:bookmarkStart w:id="321" w:name="_Toc457480945"/>
      <w:bookmarkStart w:id="322" w:name="_Toc423336676"/>
      <w:bookmarkStart w:id="323" w:name="_Toc29110569"/>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.6主要原辅材料用量及能源消耗</w:t>
      </w:r>
      <w:bookmarkEnd w:id="320"/>
      <w:bookmarkEnd w:id="321"/>
      <w:bookmarkEnd w:id="322"/>
      <w:bookmarkEnd w:id="323"/>
    </w:p>
    <w:p>
      <w:pPr>
        <w:pStyle w:val="36"/>
        <w:spacing w:after="0"/>
        <w:ind w:firstLine="482"/>
      </w:pPr>
      <w:r>
        <w:rPr>
          <w:rFonts w:hint="eastAsia"/>
        </w:rPr>
        <w:t>根据</w:t>
      </w:r>
      <w:r>
        <w:t>建设单位提供的资料，确定本项目种猪饲料消耗情况。本项目饲料采用的是</w:t>
      </w:r>
      <w:r>
        <w:rPr>
          <w:rFonts w:hint="eastAsia"/>
        </w:rPr>
        <w:t>全价</w:t>
      </w:r>
      <w:r>
        <w:t>配合料，可直接用于养殖，不必再进行饲料加工，项目原辅材料及</w:t>
      </w:r>
      <w:r>
        <w:rPr>
          <w:rFonts w:hint="eastAsia"/>
        </w:rPr>
        <w:t>能耗量</w:t>
      </w:r>
      <w:r>
        <w:t>见表3</w:t>
      </w:r>
      <w:r>
        <w:rPr>
          <w:rFonts w:hint="eastAsia"/>
        </w:rPr>
        <w:t>.6-1</w:t>
      </w:r>
      <w:r>
        <w:t>。</w:t>
      </w:r>
    </w:p>
    <w:p>
      <w:pPr>
        <w:spacing w:line="240" w:lineRule="auto"/>
        <w:jc w:val="center"/>
        <w:rPr>
          <w:rFonts w:eastAsia="黑体"/>
        </w:rPr>
      </w:pPr>
      <w:r>
        <w:rPr>
          <w:rFonts w:eastAsia="黑体"/>
        </w:rPr>
        <w:t>表3</w:t>
      </w:r>
      <w:r>
        <w:rPr>
          <w:rFonts w:hint="eastAsia" w:eastAsia="黑体"/>
        </w:rPr>
        <w:t>.6-1</w:t>
      </w:r>
      <w:r>
        <w:rPr>
          <w:rFonts w:eastAsia="黑体"/>
        </w:rPr>
        <w:t xml:space="preserve"> </w:t>
      </w:r>
      <w:r>
        <w:rPr>
          <w:rFonts w:hint="eastAsia" w:eastAsia="黑体"/>
        </w:rPr>
        <w:t>项目</w:t>
      </w:r>
      <w:r>
        <w:rPr>
          <w:rFonts w:eastAsia="黑体"/>
        </w:rPr>
        <w:t>主要原材料及耗情况表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77"/>
        <w:gridCol w:w="1828"/>
        <w:gridCol w:w="1750"/>
        <w:gridCol w:w="1909"/>
        <w:gridCol w:w="262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51" w:type="dxa"/>
            <w:tcBorders>
              <w:tl2br w:val="nil"/>
              <w:tr2bl w:val="nil"/>
            </w:tcBorders>
            <w:vAlign w:val="center"/>
          </w:tcPr>
          <w:p>
            <w:pPr>
              <w:spacing w:line="240" w:lineRule="auto"/>
              <w:jc w:val="center"/>
              <w:rPr>
                <w:b/>
                <w:sz w:val="21"/>
                <w:szCs w:val="21"/>
              </w:rPr>
            </w:pPr>
            <w:r>
              <w:rPr>
                <w:b/>
                <w:sz w:val="21"/>
                <w:szCs w:val="21"/>
              </w:rPr>
              <w:t>项目</w:t>
            </w:r>
          </w:p>
        </w:tc>
        <w:tc>
          <w:tcPr>
            <w:tcW w:w="1322" w:type="dxa"/>
            <w:tcBorders>
              <w:tl2br w:val="nil"/>
              <w:tr2bl w:val="nil"/>
            </w:tcBorders>
            <w:vAlign w:val="center"/>
          </w:tcPr>
          <w:p>
            <w:pPr>
              <w:spacing w:line="240" w:lineRule="auto"/>
              <w:jc w:val="center"/>
              <w:rPr>
                <w:b/>
                <w:sz w:val="21"/>
                <w:szCs w:val="21"/>
              </w:rPr>
            </w:pPr>
            <w:r>
              <w:rPr>
                <w:b/>
                <w:sz w:val="21"/>
                <w:szCs w:val="21"/>
              </w:rPr>
              <w:t>名称</w:t>
            </w:r>
          </w:p>
        </w:tc>
        <w:tc>
          <w:tcPr>
            <w:tcW w:w="1266" w:type="dxa"/>
            <w:tcBorders>
              <w:tl2br w:val="nil"/>
              <w:tr2bl w:val="nil"/>
            </w:tcBorders>
            <w:vAlign w:val="center"/>
          </w:tcPr>
          <w:p>
            <w:pPr>
              <w:spacing w:line="240" w:lineRule="auto"/>
              <w:jc w:val="center"/>
              <w:rPr>
                <w:b/>
                <w:sz w:val="21"/>
                <w:szCs w:val="21"/>
              </w:rPr>
            </w:pPr>
            <w:r>
              <w:rPr>
                <w:rFonts w:hint="eastAsia"/>
                <w:b/>
                <w:sz w:val="21"/>
                <w:szCs w:val="21"/>
              </w:rPr>
              <w:t>年耗量</w:t>
            </w:r>
          </w:p>
        </w:tc>
        <w:tc>
          <w:tcPr>
            <w:tcW w:w="1381" w:type="dxa"/>
            <w:tcBorders>
              <w:tl2br w:val="nil"/>
              <w:tr2bl w:val="nil"/>
            </w:tcBorders>
            <w:vAlign w:val="center"/>
          </w:tcPr>
          <w:p>
            <w:pPr>
              <w:snapToGrid w:val="0"/>
              <w:spacing w:line="240" w:lineRule="auto"/>
              <w:ind w:firstLine="13" w:firstLineChars="6"/>
              <w:jc w:val="center"/>
              <w:rPr>
                <w:b/>
                <w:sz w:val="21"/>
                <w:szCs w:val="21"/>
              </w:rPr>
            </w:pPr>
            <w:r>
              <w:rPr>
                <w:b/>
                <w:sz w:val="21"/>
                <w:szCs w:val="21"/>
              </w:rPr>
              <w:t>来源</w:t>
            </w:r>
          </w:p>
        </w:tc>
        <w:tc>
          <w:tcPr>
            <w:tcW w:w="1897" w:type="dxa"/>
            <w:tcBorders>
              <w:tl2br w:val="nil"/>
              <w:tr2bl w:val="nil"/>
            </w:tcBorders>
            <w:vAlign w:val="center"/>
          </w:tcPr>
          <w:p>
            <w:pPr>
              <w:spacing w:line="240" w:lineRule="auto"/>
              <w:jc w:val="center"/>
              <w:rPr>
                <w:b/>
                <w:sz w:val="21"/>
                <w:szCs w:val="21"/>
              </w:rPr>
            </w:pPr>
            <w:r>
              <w:rPr>
                <w:b/>
                <w:sz w:val="21"/>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51" w:type="dxa"/>
            <w:tcBorders>
              <w:tl2br w:val="nil"/>
              <w:tr2bl w:val="nil"/>
            </w:tcBorders>
            <w:vAlign w:val="center"/>
          </w:tcPr>
          <w:p>
            <w:pPr>
              <w:spacing w:line="240" w:lineRule="auto"/>
              <w:jc w:val="center"/>
              <w:rPr>
                <w:b/>
                <w:sz w:val="21"/>
                <w:szCs w:val="21"/>
              </w:rPr>
            </w:pPr>
            <w:r>
              <w:rPr>
                <w:sz w:val="21"/>
                <w:szCs w:val="21"/>
              </w:rPr>
              <w:t>原（辅）料</w:t>
            </w:r>
          </w:p>
        </w:tc>
        <w:tc>
          <w:tcPr>
            <w:tcW w:w="1322" w:type="dxa"/>
            <w:tcBorders>
              <w:tl2br w:val="nil"/>
              <w:tr2bl w:val="nil"/>
            </w:tcBorders>
            <w:vAlign w:val="center"/>
          </w:tcPr>
          <w:p>
            <w:pPr>
              <w:spacing w:line="240" w:lineRule="auto"/>
              <w:jc w:val="center"/>
              <w:rPr>
                <w:sz w:val="21"/>
                <w:szCs w:val="21"/>
              </w:rPr>
            </w:pPr>
            <w:r>
              <w:rPr>
                <w:rFonts w:hint="eastAsia"/>
                <w:sz w:val="21"/>
                <w:szCs w:val="21"/>
              </w:rPr>
              <w:t>成品饲料</w:t>
            </w:r>
            <w:r>
              <w:rPr>
                <w:sz w:val="21"/>
                <w:szCs w:val="21"/>
              </w:rPr>
              <w:t>原料（</w:t>
            </w:r>
            <w:r>
              <w:rPr>
                <w:rFonts w:hint="eastAsia"/>
                <w:sz w:val="21"/>
                <w:szCs w:val="21"/>
              </w:rPr>
              <w:t>固态颗粒物</w:t>
            </w:r>
            <w:r>
              <w:rPr>
                <w:sz w:val="21"/>
                <w:szCs w:val="21"/>
              </w:rPr>
              <w:t>）</w:t>
            </w:r>
          </w:p>
        </w:tc>
        <w:tc>
          <w:tcPr>
            <w:tcW w:w="1266" w:type="dxa"/>
            <w:tcBorders>
              <w:tl2br w:val="nil"/>
              <w:tr2bl w:val="nil"/>
            </w:tcBorders>
            <w:vAlign w:val="center"/>
          </w:tcPr>
          <w:p>
            <w:pPr>
              <w:spacing w:line="240" w:lineRule="auto"/>
              <w:jc w:val="center"/>
              <w:rPr>
                <w:sz w:val="21"/>
                <w:szCs w:val="21"/>
              </w:rPr>
            </w:pPr>
            <w:r>
              <w:rPr>
                <w:rFonts w:hint="eastAsia"/>
                <w:sz w:val="21"/>
                <w:szCs w:val="21"/>
              </w:rPr>
              <w:t>5400</w:t>
            </w:r>
            <w:r>
              <w:rPr>
                <w:sz w:val="21"/>
                <w:szCs w:val="21"/>
              </w:rPr>
              <w:t>t</w:t>
            </w:r>
          </w:p>
        </w:tc>
        <w:tc>
          <w:tcPr>
            <w:tcW w:w="1381" w:type="dxa"/>
            <w:tcBorders>
              <w:tl2br w:val="nil"/>
              <w:tr2bl w:val="nil"/>
            </w:tcBorders>
            <w:vAlign w:val="center"/>
          </w:tcPr>
          <w:p>
            <w:pPr>
              <w:snapToGrid w:val="0"/>
              <w:spacing w:line="240" w:lineRule="auto"/>
              <w:ind w:firstLine="12" w:firstLineChars="6"/>
              <w:jc w:val="center"/>
              <w:rPr>
                <w:sz w:val="21"/>
                <w:szCs w:val="21"/>
              </w:rPr>
            </w:pPr>
            <w:r>
              <w:rPr>
                <w:rFonts w:hint="eastAsia"/>
                <w:sz w:val="21"/>
                <w:szCs w:val="21"/>
              </w:rPr>
              <w:t>外购</w:t>
            </w:r>
          </w:p>
        </w:tc>
        <w:tc>
          <w:tcPr>
            <w:tcW w:w="1897" w:type="dxa"/>
            <w:tcBorders>
              <w:tl2br w:val="nil"/>
              <w:tr2bl w:val="nil"/>
            </w:tcBorders>
            <w:vAlign w:val="center"/>
          </w:tcPr>
          <w:p>
            <w:pPr>
              <w:spacing w:line="240" w:lineRule="auto"/>
              <w:jc w:val="center"/>
              <w:rPr>
                <w:sz w:val="21"/>
                <w:szCs w:val="21"/>
              </w:rPr>
            </w:pPr>
            <w:r>
              <w:rPr>
                <w:sz w:val="21"/>
              </w:rPr>
              <w:t>玉米70%，蛋白质原料20%，其他10%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851" w:type="dxa"/>
            <w:vMerge w:val="restart"/>
            <w:tcBorders>
              <w:tl2br w:val="nil"/>
              <w:tr2bl w:val="nil"/>
            </w:tcBorders>
            <w:vAlign w:val="center"/>
          </w:tcPr>
          <w:p>
            <w:pPr>
              <w:spacing w:line="240" w:lineRule="auto"/>
              <w:jc w:val="center"/>
              <w:rPr>
                <w:sz w:val="21"/>
                <w:szCs w:val="21"/>
              </w:rPr>
            </w:pPr>
            <w:r>
              <w:rPr>
                <w:sz w:val="21"/>
                <w:szCs w:val="21"/>
              </w:rPr>
              <w:t>其他</w:t>
            </w:r>
          </w:p>
        </w:tc>
        <w:tc>
          <w:tcPr>
            <w:tcW w:w="1322" w:type="dxa"/>
            <w:tcBorders>
              <w:tl2br w:val="nil"/>
              <w:tr2bl w:val="nil"/>
            </w:tcBorders>
            <w:vAlign w:val="center"/>
          </w:tcPr>
          <w:p>
            <w:pPr>
              <w:adjustRightInd w:val="0"/>
              <w:snapToGrid w:val="0"/>
              <w:spacing w:line="240" w:lineRule="auto"/>
              <w:jc w:val="center"/>
              <w:rPr>
                <w:sz w:val="21"/>
                <w:szCs w:val="21"/>
              </w:rPr>
            </w:pPr>
            <w:r>
              <w:rPr>
                <w:sz w:val="21"/>
                <w:szCs w:val="21"/>
              </w:rPr>
              <w:t>消毒剂</w:t>
            </w:r>
          </w:p>
        </w:tc>
        <w:tc>
          <w:tcPr>
            <w:tcW w:w="1266" w:type="dxa"/>
            <w:tcBorders>
              <w:tl2br w:val="nil"/>
              <w:tr2bl w:val="nil"/>
            </w:tcBorders>
            <w:vAlign w:val="center"/>
          </w:tcPr>
          <w:p>
            <w:pPr>
              <w:snapToGrid w:val="0"/>
              <w:spacing w:line="240" w:lineRule="auto"/>
              <w:jc w:val="center"/>
              <w:rPr>
                <w:sz w:val="21"/>
                <w:szCs w:val="21"/>
              </w:rPr>
            </w:pPr>
            <w:r>
              <w:rPr>
                <w:rFonts w:hint="eastAsia"/>
                <w:sz w:val="21"/>
                <w:szCs w:val="21"/>
              </w:rPr>
              <w:t>500瓶</w:t>
            </w:r>
            <w:r>
              <w:rPr>
                <w:sz w:val="21"/>
                <w:szCs w:val="21"/>
              </w:rPr>
              <w:t>（</w:t>
            </w:r>
            <w:r>
              <w:rPr>
                <w:rFonts w:hint="eastAsia"/>
                <w:sz w:val="21"/>
                <w:szCs w:val="21"/>
              </w:rPr>
              <w:t>0.5L/瓶</w:t>
            </w:r>
            <w:r>
              <w:rPr>
                <w:sz w:val="21"/>
                <w:szCs w:val="21"/>
              </w:rPr>
              <w:t>）</w:t>
            </w:r>
          </w:p>
        </w:tc>
        <w:tc>
          <w:tcPr>
            <w:tcW w:w="1381" w:type="dxa"/>
            <w:tcBorders>
              <w:tl2br w:val="nil"/>
              <w:tr2bl w:val="nil"/>
            </w:tcBorders>
            <w:vAlign w:val="center"/>
          </w:tcPr>
          <w:p>
            <w:pPr>
              <w:snapToGrid w:val="0"/>
              <w:spacing w:line="240" w:lineRule="auto"/>
              <w:ind w:firstLine="12" w:firstLineChars="6"/>
              <w:jc w:val="center"/>
              <w:rPr>
                <w:sz w:val="21"/>
                <w:szCs w:val="21"/>
              </w:rPr>
            </w:pPr>
            <w:r>
              <w:rPr>
                <w:sz w:val="21"/>
                <w:szCs w:val="21"/>
              </w:rPr>
              <w:t>外购</w:t>
            </w:r>
          </w:p>
        </w:tc>
        <w:tc>
          <w:tcPr>
            <w:tcW w:w="1897" w:type="dxa"/>
            <w:tcBorders>
              <w:tl2br w:val="nil"/>
              <w:tr2bl w:val="nil"/>
            </w:tcBorders>
            <w:vAlign w:val="center"/>
          </w:tcPr>
          <w:p>
            <w:pPr>
              <w:adjustRightInd w:val="0"/>
              <w:snapToGrid w:val="0"/>
              <w:spacing w:line="240" w:lineRule="auto"/>
              <w:jc w:val="center"/>
              <w:textAlignment w:val="baseline"/>
              <w:rPr>
                <w:sz w:val="21"/>
                <w:szCs w:val="21"/>
              </w:rPr>
            </w:pPr>
            <w:r>
              <w:rPr>
                <w:sz w:val="21"/>
                <w:szCs w:val="21"/>
              </w:rPr>
              <w:t>84消毒液（NaClO）、</w:t>
            </w:r>
            <w:r>
              <w:rPr>
                <w:rFonts w:hint="eastAsia"/>
                <w:sz w:val="21"/>
                <w:szCs w:val="21"/>
              </w:rPr>
              <w:t>过氧乙酸</w:t>
            </w:r>
            <w:r>
              <w:rPr>
                <w:sz w:val="21"/>
                <w:szCs w:val="21"/>
              </w:rPr>
              <w:t>、</w:t>
            </w:r>
            <w:r>
              <w:rPr>
                <w:rFonts w:hint="eastAsia"/>
                <w:sz w:val="21"/>
                <w:szCs w:val="21"/>
              </w:rPr>
              <w:t>安灭杀</w:t>
            </w:r>
            <w:r>
              <w:rPr>
                <w:sz w:val="21"/>
                <w:szCs w:val="21"/>
              </w:rPr>
              <w:t>（戊二醛苯扎溴铵溶液）等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851" w:type="dxa"/>
            <w:vMerge w:val="continue"/>
            <w:tcBorders>
              <w:tl2br w:val="nil"/>
              <w:tr2bl w:val="nil"/>
            </w:tcBorders>
            <w:vAlign w:val="center"/>
          </w:tcPr>
          <w:p>
            <w:pPr>
              <w:spacing w:line="240" w:lineRule="auto"/>
              <w:jc w:val="center"/>
              <w:rPr>
                <w:sz w:val="21"/>
                <w:szCs w:val="21"/>
              </w:rPr>
            </w:pPr>
          </w:p>
        </w:tc>
        <w:tc>
          <w:tcPr>
            <w:tcW w:w="1322" w:type="dxa"/>
            <w:tcBorders>
              <w:tl2br w:val="nil"/>
              <w:tr2bl w:val="nil"/>
            </w:tcBorders>
            <w:vAlign w:val="center"/>
          </w:tcPr>
          <w:p>
            <w:pPr>
              <w:adjustRightInd w:val="0"/>
              <w:snapToGrid w:val="0"/>
              <w:spacing w:line="240" w:lineRule="auto"/>
              <w:jc w:val="center"/>
              <w:rPr>
                <w:sz w:val="21"/>
                <w:szCs w:val="21"/>
              </w:rPr>
            </w:pPr>
            <w:r>
              <w:rPr>
                <w:sz w:val="21"/>
                <w:szCs w:val="21"/>
              </w:rPr>
              <w:t>疫苗、兽药</w:t>
            </w:r>
          </w:p>
        </w:tc>
        <w:tc>
          <w:tcPr>
            <w:tcW w:w="1266" w:type="dxa"/>
            <w:tcBorders>
              <w:tl2br w:val="nil"/>
              <w:tr2bl w:val="nil"/>
            </w:tcBorders>
            <w:vAlign w:val="center"/>
          </w:tcPr>
          <w:p>
            <w:pPr>
              <w:snapToGrid w:val="0"/>
              <w:spacing w:line="240" w:lineRule="auto"/>
              <w:jc w:val="center"/>
              <w:rPr>
                <w:sz w:val="21"/>
                <w:szCs w:val="21"/>
              </w:rPr>
            </w:pPr>
            <w:r>
              <w:rPr>
                <w:sz w:val="21"/>
                <w:szCs w:val="21"/>
              </w:rPr>
              <w:t>/</w:t>
            </w:r>
          </w:p>
        </w:tc>
        <w:tc>
          <w:tcPr>
            <w:tcW w:w="1381" w:type="dxa"/>
            <w:tcBorders>
              <w:tl2br w:val="nil"/>
              <w:tr2bl w:val="nil"/>
            </w:tcBorders>
            <w:vAlign w:val="center"/>
          </w:tcPr>
          <w:p>
            <w:pPr>
              <w:snapToGrid w:val="0"/>
              <w:spacing w:line="240" w:lineRule="auto"/>
              <w:ind w:firstLine="12" w:firstLineChars="6"/>
              <w:jc w:val="center"/>
              <w:rPr>
                <w:sz w:val="21"/>
                <w:szCs w:val="21"/>
              </w:rPr>
            </w:pPr>
            <w:r>
              <w:rPr>
                <w:sz w:val="21"/>
                <w:szCs w:val="21"/>
              </w:rPr>
              <w:t>当地防疫站</w:t>
            </w:r>
          </w:p>
        </w:tc>
        <w:tc>
          <w:tcPr>
            <w:tcW w:w="1897" w:type="dxa"/>
            <w:tcBorders>
              <w:tl2br w:val="nil"/>
              <w:tr2bl w:val="nil"/>
            </w:tcBorders>
            <w:vAlign w:val="center"/>
          </w:tcPr>
          <w:p>
            <w:pPr>
              <w:adjustRightInd w:val="0"/>
              <w:snapToGrid w:val="0"/>
              <w:spacing w:line="240" w:lineRule="auto"/>
              <w:jc w:val="center"/>
              <w:textAlignment w:val="baseline"/>
              <w:rPr>
                <w:sz w:val="21"/>
                <w:szCs w:val="21"/>
              </w:rPr>
            </w:pPr>
            <w:r>
              <w:rPr>
                <w:sz w:val="21"/>
                <w:szCs w:val="21"/>
              </w:rPr>
              <w:t>根据投产后实际情况定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51" w:type="dxa"/>
            <w:vMerge w:val="restart"/>
            <w:tcBorders>
              <w:tl2br w:val="nil"/>
              <w:tr2bl w:val="nil"/>
            </w:tcBorders>
            <w:vAlign w:val="center"/>
          </w:tcPr>
          <w:p>
            <w:pPr>
              <w:spacing w:line="240" w:lineRule="auto"/>
              <w:jc w:val="center"/>
              <w:rPr>
                <w:sz w:val="21"/>
                <w:szCs w:val="21"/>
              </w:rPr>
            </w:pPr>
            <w:r>
              <w:rPr>
                <w:sz w:val="21"/>
                <w:szCs w:val="21"/>
              </w:rPr>
              <w:t>能源</w:t>
            </w:r>
          </w:p>
        </w:tc>
        <w:tc>
          <w:tcPr>
            <w:tcW w:w="1322" w:type="dxa"/>
            <w:tcBorders>
              <w:tl2br w:val="nil"/>
              <w:tr2bl w:val="nil"/>
            </w:tcBorders>
            <w:vAlign w:val="center"/>
          </w:tcPr>
          <w:p>
            <w:pPr>
              <w:spacing w:line="240" w:lineRule="auto"/>
              <w:jc w:val="center"/>
              <w:rPr>
                <w:sz w:val="21"/>
                <w:szCs w:val="21"/>
              </w:rPr>
            </w:pPr>
            <w:r>
              <w:rPr>
                <w:sz w:val="21"/>
                <w:szCs w:val="21"/>
              </w:rPr>
              <w:t>电</w:t>
            </w:r>
          </w:p>
        </w:tc>
        <w:tc>
          <w:tcPr>
            <w:tcW w:w="1266" w:type="dxa"/>
            <w:tcBorders>
              <w:tl2br w:val="nil"/>
              <w:tr2bl w:val="nil"/>
            </w:tcBorders>
            <w:vAlign w:val="center"/>
          </w:tcPr>
          <w:p>
            <w:pPr>
              <w:snapToGrid w:val="0"/>
              <w:spacing w:line="240" w:lineRule="auto"/>
              <w:jc w:val="center"/>
              <w:rPr>
                <w:sz w:val="21"/>
                <w:szCs w:val="21"/>
              </w:rPr>
            </w:pPr>
            <w:r>
              <w:rPr>
                <w:rFonts w:hint="eastAsia"/>
                <w:sz w:val="21"/>
                <w:szCs w:val="21"/>
              </w:rPr>
              <w:t>5万kwh</w:t>
            </w:r>
          </w:p>
        </w:tc>
        <w:tc>
          <w:tcPr>
            <w:tcW w:w="1381" w:type="dxa"/>
            <w:tcBorders>
              <w:tl2br w:val="nil"/>
              <w:tr2bl w:val="nil"/>
            </w:tcBorders>
            <w:vAlign w:val="center"/>
          </w:tcPr>
          <w:p>
            <w:pPr>
              <w:snapToGrid w:val="0"/>
              <w:spacing w:line="240" w:lineRule="auto"/>
              <w:ind w:firstLine="12" w:firstLineChars="6"/>
              <w:jc w:val="center"/>
              <w:rPr>
                <w:sz w:val="21"/>
                <w:szCs w:val="21"/>
              </w:rPr>
            </w:pPr>
            <w:r>
              <w:rPr>
                <w:sz w:val="21"/>
                <w:szCs w:val="21"/>
              </w:rPr>
              <w:t>当地电网提供</w:t>
            </w:r>
          </w:p>
        </w:tc>
        <w:tc>
          <w:tcPr>
            <w:tcW w:w="1897" w:type="dxa"/>
            <w:tcBorders>
              <w:tl2br w:val="nil"/>
              <w:tr2bl w:val="nil"/>
            </w:tcBorders>
            <w:vAlign w:val="center"/>
          </w:tcPr>
          <w:p>
            <w:pPr>
              <w:spacing w:line="240" w:lineRule="auto"/>
              <w:jc w:val="center"/>
              <w:rPr>
                <w:sz w:val="21"/>
                <w:szCs w:val="21"/>
              </w:rPr>
            </w:pPr>
            <w:r>
              <w:rPr>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8" w:hRule="atLeast"/>
          <w:jc w:val="center"/>
        </w:trPr>
        <w:tc>
          <w:tcPr>
            <w:tcW w:w="851" w:type="dxa"/>
            <w:vMerge w:val="continue"/>
            <w:tcBorders>
              <w:tl2br w:val="nil"/>
              <w:tr2bl w:val="nil"/>
            </w:tcBorders>
            <w:vAlign w:val="center"/>
          </w:tcPr>
          <w:p>
            <w:pPr>
              <w:spacing w:line="240" w:lineRule="auto"/>
              <w:jc w:val="center"/>
              <w:rPr>
                <w:sz w:val="21"/>
                <w:szCs w:val="21"/>
              </w:rPr>
            </w:pPr>
          </w:p>
        </w:tc>
        <w:tc>
          <w:tcPr>
            <w:tcW w:w="1322" w:type="dxa"/>
            <w:tcBorders>
              <w:tl2br w:val="nil"/>
              <w:tr2bl w:val="nil"/>
            </w:tcBorders>
            <w:vAlign w:val="center"/>
          </w:tcPr>
          <w:p>
            <w:pPr>
              <w:spacing w:line="240" w:lineRule="auto"/>
              <w:jc w:val="center"/>
              <w:rPr>
                <w:sz w:val="21"/>
                <w:szCs w:val="21"/>
              </w:rPr>
            </w:pPr>
            <w:r>
              <w:rPr>
                <w:rFonts w:hint="eastAsia"/>
                <w:sz w:val="21"/>
                <w:szCs w:val="21"/>
              </w:rPr>
              <w:t>柴油</w:t>
            </w:r>
          </w:p>
        </w:tc>
        <w:tc>
          <w:tcPr>
            <w:tcW w:w="1266" w:type="dxa"/>
            <w:tcBorders>
              <w:tl2br w:val="nil"/>
              <w:tr2bl w:val="nil"/>
            </w:tcBorders>
            <w:vAlign w:val="center"/>
          </w:tcPr>
          <w:p>
            <w:pPr>
              <w:spacing w:line="240" w:lineRule="auto"/>
              <w:jc w:val="center"/>
              <w:rPr>
                <w:sz w:val="21"/>
                <w:szCs w:val="21"/>
              </w:rPr>
            </w:pPr>
            <w:r>
              <w:rPr>
                <w:sz w:val="21"/>
              </w:rPr>
              <w:t>400L</w:t>
            </w:r>
          </w:p>
        </w:tc>
        <w:tc>
          <w:tcPr>
            <w:tcW w:w="1381" w:type="dxa"/>
            <w:tcBorders>
              <w:tl2br w:val="nil"/>
              <w:tr2bl w:val="nil"/>
            </w:tcBorders>
            <w:vAlign w:val="center"/>
          </w:tcPr>
          <w:p>
            <w:pPr>
              <w:snapToGrid w:val="0"/>
              <w:spacing w:line="240" w:lineRule="auto"/>
              <w:ind w:firstLine="12" w:firstLineChars="6"/>
              <w:jc w:val="center"/>
              <w:rPr>
                <w:sz w:val="21"/>
                <w:szCs w:val="21"/>
              </w:rPr>
            </w:pPr>
            <w:r>
              <w:rPr>
                <w:rFonts w:hint="eastAsia"/>
                <w:sz w:val="21"/>
                <w:szCs w:val="21"/>
              </w:rPr>
              <w:t>柴油储罐</w:t>
            </w:r>
          </w:p>
        </w:tc>
        <w:tc>
          <w:tcPr>
            <w:tcW w:w="1897" w:type="dxa"/>
            <w:tcBorders>
              <w:tl2br w:val="nil"/>
              <w:tr2bl w:val="nil"/>
            </w:tcBorders>
            <w:vAlign w:val="center"/>
          </w:tcPr>
          <w:p>
            <w:pPr>
              <w:adjustRightInd w:val="0"/>
              <w:snapToGrid w:val="0"/>
              <w:spacing w:line="240" w:lineRule="auto"/>
              <w:jc w:val="center"/>
              <w:textAlignment w:val="baseline"/>
              <w:rPr>
                <w:sz w:val="21"/>
                <w:szCs w:val="21"/>
              </w:rPr>
            </w:pPr>
            <w:r>
              <w:rPr>
                <w:sz w:val="21"/>
              </w:rPr>
              <w:t>根据投产后实际情况定</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851" w:type="dxa"/>
            <w:vMerge w:val="continue"/>
            <w:tcBorders>
              <w:tl2br w:val="nil"/>
              <w:tr2bl w:val="nil"/>
            </w:tcBorders>
            <w:vAlign w:val="center"/>
          </w:tcPr>
          <w:p>
            <w:pPr>
              <w:spacing w:line="240" w:lineRule="auto"/>
              <w:jc w:val="center"/>
              <w:rPr>
                <w:sz w:val="21"/>
                <w:szCs w:val="21"/>
              </w:rPr>
            </w:pPr>
          </w:p>
        </w:tc>
        <w:tc>
          <w:tcPr>
            <w:tcW w:w="1322" w:type="dxa"/>
            <w:tcBorders>
              <w:tl2br w:val="nil"/>
              <w:tr2bl w:val="nil"/>
            </w:tcBorders>
            <w:vAlign w:val="center"/>
          </w:tcPr>
          <w:p>
            <w:pPr>
              <w:spacing w:line="240" w:lineRule="auto"/>
              <w:jc w:val="center"/>
              <w:rPr>
                <w:sz w:val="21"/>
                <w:szCs w:val="21"/>
              </w:rPr>
            </w:pPr>
            <w:r>
              <w:rPr>
                <w:sz w:val="21"/>
                <w:szCs w:val="21"/>
              </w:rPr>
              <w:t>水</w:t>
            </w:r>
          </w:p>
        </w:tc>
        <w:tc>
          <w:tcPr>
            <w:tcW w:w="1266" w:type="dxa"/>
            <w:tcBorders>
              <w:tl2br w:val="nil"/>
              <w:tr2bl w:val="nil"/>
            </w:tcBorders>
            <w:vAlign w:val="center"/>
          </w:tcPr>
          <w:p>
            <w:pPr>
              <w:adjustRightInd w:val="0"/>
              <w:snapToGrid w:val="0"/>
              <w:spacing w:line="240" w:lineRule="auto"/>
              <w:jc w:val="center"/>
              <w:rPr>
                <w:sz w:val="21"/>
                <w:szCs w:val="21"/>
              </w:rPr>
            </w:pPr>
            <w:r>
              <w:rPr>
                <w:sz w:val="21"/>
                <w:szCs w:val="21"/>
              </w:rPr>
              <w:t>82791.8t</w:t>
            </w:r>
          </w:p>
        </w:tc>
        <w:tc>
          <w:tcPr>
            <w:tcW w:w="1381" w:type="dxa"/>
            <w:tcBorders>
              <w:tl2br w:val="nil"/>
              <w:tr2bl w:val="nil"/>
            </w:tcBorders>
            <w:vAlign w:val="center"/>
          </w:tcPr>
          <w:p>
            <w:pPr>
              <w:snapToGrid w:val="0"/>
              <w:spacing w:line="240" w:lineRule="auto"/>
              <w:ind w:firstLine="12" w:firstLineChars="6"/>
              <w:jc w:val="center"/>
              <w:rPr>
                <w:sz w:val="21"/>
                <w:szCs w:val="21"/>
              </w:rPr>
            </w:pPr>
            <w:r>
              <w:rPr>
                <w:rFonts w:hint="eastAsia"/>
                <w:sz w:val="21"/>
                <w:szCs w:val="21"/>
              </w:rPr>
              <w:t>地下水</w:t>
            </w:r>
          </w:p>
        </w:tc>
        <w:tc>
          <w:tcPr>
            <w:tcW w:w="1897" w:type="dxa"/>
            <w:tcBorders>
              <w:tl2br w:val="nil"/>
              <w:tr2bl w:val="nil"/>
            </w:tcBorders>
            <w:vAlign w:val="center"/>
          </w:tcPr>
          <w:p>
            <w:pPr>
              <w:adjustRightInd w:val="0"/>
              <w:snapToGrid w:val="0"/>
              <w:spacing w:line="240" w:lineRule="auto"/>
              <w:ind w:firstLine="180"/>
              <w:jc w:val="center"/>
              <w:textAlignment w:val="baseline"/>
              <w:rPr>
                <w:sz w:val="21"/>
                <w:szCs w:val="21"/>
              </w:rPr>
            </w:pPr>
            <w:r>
              <w:rPr>
                <w:sz w:val="21"/>
                <w:szCs w:val="21"/>
              </w:rPr>
              <w:t>/</w:t>
            </w:r>
          </w:p>
        </w:tc>
      </w:tr>
    </w:tbl>
    <w:p>
      <w:pPr>
        <w:ind w:firstLine="480" w:firstLineChars="200"/>
      </w:pPr>
      <w:r>
        <w:t>消毒药品种类繁多，按其性质可分为：醇类、碘类、酸类、碱类、卤素类、酚类、氧化剂类、挥发性烷化剂类等，下面主要介绍饲养场常用的几种消毒药：</w:t>
      </w:r>
    </w:p>
    <w:p>
      <w:pPr>
        <w:ind w:firstLine="480" w:firstLineChars="200"/>
      </w:pPr>
      <w:r>
        <w:rPr>
          <w:rFonts w:hint="eastAsia"/>
        </w:rPr>
        <w:t>（1）</w:t>
      </w:r>
      <w:r>
        <w:t>84消毒液（NaClO）：84消毒液是一种以次氯酸钠为主的高效消毒剂，主要成分为次氯酸钠（NaClO）。无色或淡黄色液体，且具有刺激性气味，有效氯含量5.5～6.5%。NaClO具有漂白性，其漂白原理是NaClO水解生成具有漂白性的HClO（次氯酸）。HClO是一种较弱酸，其酸性比碳酸要弱。但其具有强氧化性，能够将具有还原性的物质氧化，使其变性，因而能够起到消毒的作用。空气中的 CO</w:t>
      </w:r>
      <w:r>
        <w:rPr>
          <w:vertAlign w:val="subscript"/>
        </w:rPr>
        <w:t>2</w:t>
      </w:r>
      <w:r>
        <w:t>（二氧化碳）溶解于NaClO溶液中可以与NaClO参加反应得到具有漂白性的HClO。</w:t>
      </w:r>
    </w:p>
    <w:p>
      <w:pPr>
        <w:ind w:firstLine="480" w:firstLineChars="200"/>
      </w:pPr>
      <w:r>
        <w:rPr>
          <w:rFonts w:hint="eastAsia"/>
        </w:rPr>
        <w:t>（2）</w:t>
      </w:r>
      <w:r>
        <w:t>过氧乙酸：氧化剂类消毒剂，纯品为无色澄明液体，易溶于水，是强氧化剂，有广谱杀菌作用，作用快而强，能杀死细菌、霉菌芽孢及病毒，不稳定，宜现配现用。0.04-0.2%溶液用于耐腐蚀小件物品的浸泡消毒，时间2-120分钟；0.05-0.5%或以上喷雾，喷雾时消毒人员应戴防护目镜、手套和口罩，喷后密闭门窗1-2小时；用3-5%溶液加热熏蒸，每立方米空间2-5毫升，熏蒸后密闭门窗1-2小时。</w:t>
      </w:r>
    </w:p>
    <w:p>
      <w:pPr>
        <w:ind w:firstLine="480" w:firstLineChars="200"/>
      </w:pPr>
      <w:r>
        <w:rPr>
          <w:rFonts w:hint="eastAsia"/>
        </w:rPr>
        <w:t>（3）</w:t>
      </w:r>
      <w:r>
        <w:t>戊二醛苯扎溴铵溶液：戊二醛（C</w:t>
      </w:r>
      <w:r>
        <w:rPr>
          <w:vertAlign w:val="subscript"/>
        </w:rPr>
        <w:t>5</w:t>
      </w:r>
      <w:r>
        <w:t>H</w:t>
      </w:r>
      <w:r>
        <w:rPr>
          <w:vertAlign w:val="subscript"/>
        </w:rPr>
        <w:t>8</w:t>
      </w:r>
      <w:r>
        <w:t>O</w:t>
      </w:r>
      <w:r>
        <w:rPr>
          <w:vertAlign w:val="subscript"/>
        </w:rPr>
        <w:t>2</w:t>
      </w:r>
      <w:r>
        <w:t>，带有刺激性气味的无色透明油状液体，溶于热水）的自由醛基与蛋白质结合而使其变性，从而杀死细菌繁殖体，甚至杀死霉菌、病毒及芽胞等。苯扎溴铵为阳离子表面活性剂，阳离子通过静电力、氢键力以及表面活性剂分子与蛋白质分子间的疏水结合等作用，吸附带负电的细菌体，聚集在细胞壁上，产生室阻效应，导致细菌生长受抑而死亡；同时可改变膜的通透性，继而发生溶胞作用，破坏细胞结构，引起细胞的溶解和死亡。苯扎溴铵对细菌有较好的杀灭作用，对细菌芽孢仅有抑制作用，对亲脂性病毒有一定的杀灭作用，二者联合后作用更强。</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324" w:name="_Toc29110570"/>
      <w:bookmarkStart w:id="325" w:name="_Toc249847928"/>
      <w:bookmarkStart w:id="326" w:name="_Toc208485568"/>
      <w:bookmarkStart w:id="327" w:name="_Toc457480948"/>
      <w:bookmarkStart w:id="328" w:name="_Toc233167577"/>
      <w:bookmarkStart w:id="329" w:name="_Toc182293487"/>
      <w:bookmarkStart w:id="330" w:name="_Toc282879905"/>
      <w:bookmarkStart w:id="331" w:name="_Toc423336679"/>
      <w:bookmarkStart w:id="332" w:name="_Toc105802068"/>
      <w:r>
        <w:rPr>
          <w:rFonts w:ascii="Times New Roman" w:hAnsi="Times New Roman" w:eastAsia="黑体" w:cs="Times New Roman"/>
          <w:b w:val="0"/>
          <w:bCs/>
          <w:spacing w:val="4"/>
          <w:kern w:val="2"/>
          <w:sz w:val="32"/>
          <w:szCs w:val="32"/>
        </w:rPr>
        <w:t>3.7  劳动定员及工作制度</w:t>
      </w:r>
      <w:bookmarkEnd w:id="324"/>
    </w:p>
    <w:p>
      <w:pPr>
        <w:snapToGrid w:val="0"/>
        <w:ind w:firstLine="480" w:firstLineChars="200"/>
      </w:pPr>
      <w:r>
        <w:t>本项目年生产365 天，采取倒班轮休制，每天3 班，每班8h。劳动定员66人</w:t>
      </w:r>
      <w:r>
        <w:rPr>
          <w:rFonts w:hint="eastAsia"/>
        </w:rPr>
        <w:t>，</w:t>
      </w:r>
      <w:r>
        <w:t>其中管理人员（含技术员）20人，生产工人46人。</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333" w:name="_Toc29110571"/>
      <w:r>
        <w:rPr>
          <w:rFonts w:ascii="Times New Roman" w:hAnsi="Times New Roman" w:eastAsia="黑体" w:cs="Times New Roman"/>
          <w:b w:val="0"/>
          <w:bCs/>
          <w:spacing w:val="4"/>
          <w:kern w:val="2"/>
          <w:sz w:val="32"/>
          <w:szCs w:val="32"/>
        </w:rPr>
        <w:t>3.8  公用工程及配套设施</w:t>
      </w:r>
      <w:bookmarkEnd w:id="325"/>
      <w:bookmarkEnd w:id="326"/>
      <w:bookmarkEnd w:id="327"/>
      <w:bookmarkEnd w:id="328"/>
      <w:bookmarkEnd w:id="329"/>
      <w:bookmarkEnd w:id="330"/>
      <w:bookmarkEnd w:id="331"/>
      <w:bookmarkEnd w:id="332"/>
      <w:bookmarkEnd w:id="333"/>
    </w:p>
    <w:p>
      <w:pPr>
        <w:jc w:val="left"/>
        <w:outlineLvl w:val="2"/>
        <w:rPr>
          <w:rFonts w:eastAsia="黑体"/>
          <w:bCs/>
          <w:sz w:val="28"/>
          <w:szCs w:val="28"/>
        </w:rPr>
      </w:pPr>
      <w:r>
        <w:rPr>
          <w:rFonts w:eastAsia="黑体"/>
          <w:bCs/>
          <w:sz w:val="28"/>
          <w:szCs w:val="28"/>
        </w:rPr>
        <w:t>3.8.1  给水</w:t>
      </w:r>
    </w:p>
    <w:p>
      <w:pPr>
        <w:snapToGrid w:val="0"/>
        <w:ind w:firstLine="480" w:firstLineChars="200"/>
        <w:rPr>
          <w:rFonts w:eastAsiaTheme="minorEastAsia"/>
        </w:rPr>
      </w:pPr>
      <w:r>
        <w:rPr>
          <w:rFonts w:eastAsiaTheme="minorEastAsia"/>
        </w:rPr>
        <w:t>（1）供水</w:t>
      </w:r>
    </w:p>
    <w:p>
      <w:pPr>
        <w:snapToGrid w:val="0"/>
        <w:ind w:firstLine="480" w:firstLineChars="200"/>
        <w:rPr>
          <w:rFonts w:eastAsiaTheme="minorEastAsia"/>
        </w:rPr>
      </w:pPr>
      <w:r>
        <w:rPr>
          <w:rFonts w:eastAsiaTheme="minorEastAsia"/>
        </w:rPr>
        <w:t>项目所在地在乐山市井研县高凤乡星星亮村，项目用水取自</w:t>
      </w:r>
      <w:r>
        <w:rPr>
          <w:rFonts w:hint="eastAsia" w:eastAsiaTheme="minorEastAsia"/>
        </w:rPr>
        <w:t>红星水库</w:t>
      </w:r>
      <w:r>
        <w:rPr>
          <w:rFonts w:eastAsiaTheme="minorEastAsia"/>
        </w:rPr>
        <w:t>。</w:t>
      </w:r>
      <w:r>
        <w:rPr>
          <w:rFonts w:hint="eastAsia" w:eastAsiaTheme="minorEastAsia"/>
        </w:rPr>
        <w:t>自建取水管道</w:t>
      </w:r>
      <w:r>
        <w:rPr>
          <w:rFonts w:eastAsiaTheme="minorEastAsia"/>
        </w:rPr>
        <w:t>。</w:t>
      </w:r>
    </w:p>
    <w:p>
      <w:pPr>
        <w:pStyle w:val="2"/>
        <w:ind w:firstLine="480"/>
        <w:rPr>
          <w:rFonts w:hint="default" w:eastAsiaTheme="minorEastAsia"/>
        </w:rPr>
      </w:pPr>
      <w:r>
        <w:rPr>
          <w:rFonts w:hint="default" w:eastAsiaTheme="minorEastAsia"/>
        </w:rPr>
        <w:t>（2）用水量</w:t>
      </w:r>
    </w:p>
    <w:p>
      <w:pPr>
        <w:pStyle w:val="2"/>
        <w:ind w:firstLine="480"/>
        <w:rPr>
          <w:rFonts w:hint="default" w:eastAsiaTheme="minorEastAsia"/>
        </w:rPr>
      </w:pPr>
      <w:r>
        <w:rPr>
          <w:rFonts w:hint="default" w:eastAsiaTheme="minorEastAsia"/>
        </w:rPr>
        <w:fldChar w:fldCharType="begin"/>
      </w:r>
      <w:r>
        <w:rPr>
          <w:rFonts w:hint="default" w:eastAsiaTheme="minorEastAsia"/>
        </w:rPr>
        <w:instrText xml:space="preserve"> </w:instrText>
      </w:r>
      <w:r>
        <w:rPr>
          <w:rFonts w:eastAsiaTheme="minorEastAsia"/>
        </w:rPr>
        <w:instrText xml:space="preserve">= 1 \* GB3</w:instrText>
      </w:r>
      <w:r>
        <w:rPr>
          <w:rFonts w:hint="default" w:eastAsiaTheme="minorEastAsia"/>
        </w:rPr>
        <w:instrText xml:space="preserve"> </w:instrText>
      </w:r>
      <w:r>
        <w:rPr>
          <w:rFonts w:hint="default" w:eastAsiaTheme="minorEastAsia"/>
        </w:rPr>
        <w:fldChar w:fldCharType="separate"/>
      </w:r>
      <w:r>
        <w:rPr>
          <w:rFonts w:eastAsiaTheme="minorEastAsia"/>
        </w:rPr>
        <w:t>①</w:t>
      </w:r>
      <w:r>
        <w:rPr>
          <w:rFonts w:hint="default" w:eastAsiaTheme="minorEastAsia"/>
        </w:rPr>
        <w:fldChar w:fldCharType="end"/>
      </w:r>
      <w:r>
        <w:rPr>
          <w:rFonts w:hint="default" w:eastAsiaTheme="minorEastAsia"/>
        </w:rPr>
        <w:t>猪只饮用水</w:t>
      </w:r>
    </w:p>
    <w:p>
      <w:pPr>
        <w:snapToGrid w:val="0"/>
        <w:ind w:firstLine="480" w:firstLineChars="200"/>
      </w:pPr>
      <w:r>
        <w:t>根据《四川省用水定额》</w:t>
      </w:r>
      <w:r>
        <w:rPr>
          <w:rFonts w:hint="eastAsia"/>
        </w:rPr>
        <w:t>（D</w:t>
      </w:r>
      <w:r>
        <w:t>B51T2138</w:t>
      </w:r>
      <w:r>
        <w:rPr>
          <w:rFonts w:hint="eastAsia"/>
        </w:rPr>
        <w:t>-</w:t>
      </w:r>
      <w:r>
        <w:t>2016</w:t>
      </w:r>
      <w:r>
        <w:rPr>
          <w:rFonts w:hint="eastAsia"/>
        </w:rPr>
        <w:t>）</w:t>
      </w:r>
      <w:r>
        <w:t>规定，结合建设单位猪舍饮用水设计规范，本项目养殖场猪只饮用水量见表3.8-1。</w:t>
      </w:r>
    </w:p>
    <w:p>
      <w:pPr>
        <w:spacing w:line="240" w:lineRule="auto"/>
        <w:contextualSpacing/>
        <w:jc w:val="center"/>
        <w:rPr>
          <w:rFonts w:eastAsia="黑体"/>
          <w:b/>
        </w:rPr>
      </w:pPr>
      <w:r>
        <w:rPr>
          <w:rFonts w:eastAsia="黑体"/>
          <w:b/>
        </w:rPr>
        <w:t xml:space="preserve">     </w:t>
      </w:r>
      <w:r>
        <w:rPr>
          <w:rFonts w:eastAsia="黑体"/>
        </w:rPr>
        <w:t xml:space="preserve">             表3.8-1  养殖场猪只饮用水量表　　        单位：m</w:t>
      </w:r>
      <w:r>
        <w:rPr>
          <w:rFonts w:eastAsia="黑体"/>
          <w:vertAlign w:val="superscript"/>
        </w:rPr>
        <w:t>3</w:t>
      </w:r>
      <w:r>
        <w:rPr>
          <w:rFonts w:eastAsia="黑体"/>
        </w:rPr>
        <w:t>/d</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061"/>
        <w:gridCol w:w="3017"/>
        <w:gridCol w:w="1678"/>
        <w:gridCol w:w="253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85" w:type="dxa"/>
            <w:vAlign w:val="center"/>
          </w:tcPr>
          <w:p>
            <w:pPr>
              <w:snapToGrid w:val="0"/>
              <w:spacing w:line="240" w:lineRule="auto"/>
              <w:jc w:val="center"/>
              <w:rPr>
                <w:sz w:val="21"/>
                <w:szCs w:val="21"/>
              </w:rPr>
            </w:pPr>
            <w:r>
              <w:rPr>
                <w:sz w:val="21"/>
                <w:szCs w:val="21"/>
              </w:rPr>
              <w:t>猪只类型</w:t>
            </w:r>
          </w:p>
        </w:tc>
        <w:tc>
          <w:tcPr>
            <w:tcW w:w="2907" w:type="dxa"/>
            <w:vAlign w:val="center"/>
          </w:tcPr>
          <w:p>
            <w:pPr>
              <w:snapToGrid w:val="0"/>
              <w:spacing w:line="240" w:lineRule="auto"/>
              <w:jc w:val="center"/>
              <w:rPr>
                <w:sz w:val="21"/>
                <w:szCs w:val="21"/>
              </w:rPr>
            </w:pPr>
            <w:r>
              <w:rPr>
                <w:sz w:val="21"/>
                <w:szCs w:val="21"/>
              </w:rPr>
              <w:t>用水系数（L/头•d）</w:t>
            </w:r>
          </w:p>
        </w:tc>
        <w:tc>
          <w:tcPr>
            <w:tcW w:w="1617" w:type="dxa"/>
            <w:vAlign w:val="center"/>
          </w:tcPr>
          <w:p>
            <w:pPr>
              <w:snapToGrid w:val="0"/>
              <w:spacing w:line="240" w:lineRule="auto"/>
              <w:jc w:val="center"/>
              <w:rPr>
                <w:sz w:val="21"/>
                <w:szCs w:val="21"/>
              </w:rPr>
            </w:pPr>
            <w:r>
              <w:rPr>
                <w:sz w:val="21"/>
                <w:szCs w:val="21"/>
              </w:rPr>
              <w:t>数量（头）</w:t>
            </w:r>
          </w:p>
        </w:tc>
        <w:tc>
          <w:tcPr>
            <w:tcW w:w="2438" w:type="dxa"/>
            <w:vAlign w:val="center"/>
          </w:tcPr>
          <w:p>
            <w:pPr>
              <w:snapToGrid w:val="0"/>
              <w:spacing w:line="240" w:lineRule="auto"/>
              <w:jc w:val="center"/>
              <w:rPr>
                <w:sz w:val="21"/>
                <w:szCs w:val="21"/>
              </w:rPr>
            </w:pPr>
            <w:r>
              <w:rPr>
                <w:sz w:val="21"/>
                <w:szCs w:val="21"/>
              </w:rPr>
              <w:t>用水量（m</w:t>
            </w:r>
            <w:r>
              <w:rPr>
                <w:sz w:val="21"/>
                <w:szCs w:val="21"/>
                <w:vertAlign w:val="superscript"/>
              </w:rPr>
              <w:t>3</w:t>
            </w:r>
            <w:r>
              <w:rPr>
                <w:sz w:val="21"/>
                <w:szCs w:val="21"/>
              </w:rPr>
              <w:t>/d）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 w:hRule="atLeast"/>
          <w:jc w:val="center"/>
        </w:trPr>
        <w:tc>
          <w:tcPr>
            <w:tcW w:w="1985" w:type="dxa"/>
            <w:vAlign w:val="center"/>
          </w:tcPr>
          <w:p>
            <w:pPr>
              <w:snapToGrid w:val="0"/>
              <w:spacing w:line="240" w:lineRule="auto"/>
              <w:jc w:val="center"/>
              <w:rPr>
                <w:sz w:val="21"/>
                <w:szCs w:val="21"/>
              </w:rPr>
            </w:pPr>
            <w:r>
              <w:rPr>
                <w:sz w:val="21"/>
                <w:szCs w:val="21"/>
              </w:rPr>
              <w:t>空怀种母猪</w:t>
            </w:r>
          </w:p>
        </w:tc>
        <w:tc>
          <w:tcPr>
            <w:tcW w:w="2907" w:type="dxa"/>
            <w:vAlign w:val="center"/>
          </w:tcPr>
          <w:p>
            <w:pPr>
              <w:snapToGrid w:val="0"/>
              <w:spacing w:line="240" w:lineRule="auto"/>
              <w:jc w:val="center"/>
              <w:rPr>
                <w:sz w:val="21"/>
                <w:szCs w:val="21"/>
              </w:rPr>
            </w:pPr>
            <w:r>
              <w:rPr>
                <w:sz w:val="21"/>
                <w:szCs w:val="21"/>
              </w:rPr>
              <w:t>30</w:t>
            </w:r>
          </w:p>
        </w:tc>
        <w:tc>
          <w:tcPr>
            <w:tcW w:w="1617" w:type="dxa"/>
            <w:vAlign w:val="center"/>
          </w:tcPr>
          <w:p>
            <w:pPr>
              <w:snapToGrid w:val="0"/>
              <w:spacing w:line="240" w:lineRule="auto"/>
              <w:jc w:val="center"/>
              <w:rPr>
                <w:sz w:val="21"/>
                <w:szCs w:val="21"/>
              </w:rPr>
            </w:pPr>
            <w:r>
              <w:rPr>
                <w:sz w:val="21"/>
                <w:szCs w:val="21"/>
              </w:rPr>
              <w:t>3000</w:t>
            </w:r>
          </w:p>
        </w:tc>
        <w:tc>
          <w:tcPr>
            <w:tcW w:w="2438" w:type="dxa"/>
            <w:vAlign w:val="center"/>
          </w:tcPr>
          <w:p>
            <w:pPr>
              <w:snapToGrid w:val="0"/>
              <w:spacing w:line="240" w:lineRule="auto"/>
              <w:jc w:val="center"/>
              <w:rPr>
                <w:sz w:val="21"/>
                <w:szCs w:val="21"/>
              </w:rPr>
            </w:pPr>
            <w:r>
              <w:rPr>
                <w:sz w:val="21"/>
                <w:szCs w:val="21"/>
              </w:rPr>
              <w:t>90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 w:hRule="atLeast"/>
          <w:jc w:val="center"/>
        </w:trPr>
        <w:tc>
          <w:tcPr>
            <w:tcW w:w="1985" w:type="dxa"/>
            <w:vAlign w:val="center"/>
          </w:tcPr>
          <w:p>
            <w:pPr>
              <w:snapToGrid w:val="0"/>
              <w:spacing w:line="240" w:lineRule="auto"/>
              <w:jc w:val="center"/>
              <w:rPr>
                <w:sz w:val="21"/>
                <w:szCs w:val="21"/>
              </w:rPr>
            </w:pPr>
            <w:r>
              <w:rPr>
                <w:rFonts w:hint="eastAsia"/>
                <w:sz w:val="21"/>
                <w:szCs w:val="21"/>
              </w:rPr>
              <w:t>公猪</w:t>
            </w:r>
          </w:p>
        </w:tc>
        <w:tc>
          <w:tcPr>
            <w:tcW w:w="2907" w:type="dxa"/>
            <w:vAlign w:val="center"/>
          </w:tcPr>
          <w:p>
            <w:pPr>
              <w:snapToGrid w:val="0"/>
              <w:spacing w:line="240" w:lineRule="auto"/>
              <w:jc w:val="center"/>
              <w:rPr>
                <w:sz w:val="21"/>
                <w:szCs w:val="21"/>
              </w:rPr>
            </w:pPr>
            <w:r>
              <w:rPr>
                <w:rFonts w:hint="eastAsia"/>
                <w:sz w:val="21"/>
                <w:szCs w:val="21"/>
              </w:rPr>
              <w:t>3</w:t>
            </w:r>
            <w:r>
              <w:rPr>
                <w:sz w:val="21"/>
                <w:szCs w:val="21"/>
              </w:rPr>
              <w:t>0</w:t>
            </w:r>
          </w:p>
        </w:tc>
        <w:tc>
          <w:tcPr>
            <w:tcW w:w="1617" w:type="dxa"/>
            <w:vAlign w:val="center"/>
          </w:tcPr>
          <w:p>
            <w:pPr>
              <w:snapToGrid w:val="0"/>
              <w:spacing w:line="240" w:lineRule="auto"/>
              <w:jc w:val="center"/>
              <w:rPr>
                <w:sz w:val="21"/>
                <w:szCs w:val="21"/>
              </w:rPr>
            </w:pPr>
            <w:r>
              <w:rPr>
                <w:sz w:val="21"/>
                <w:szCs w:val="21"/>
              </w:rPr>
              <w:t>50</w:t>
            </w:r>
          </w:p>
        </w:tc>
        <w:tc>
          <w:tcPr>
            <w:tcW w:w="2438" w:type="dxa"/>
            <w:vAlign w:val="center"/>
          </w:tcPr>
          <w:p>
            <w:pPr>
              <w:snapToGrid w:val="0"/>
              <w:spacing w:line="240" w:lineRule="auto"/>
              <w:jc w:val="center"/>
              <w:rPr>
                <w:sz w:val="21"/>
                <w:szCs w:val="21"/>
              </w:rPr>
            </w:pPr>
            <w:r>
              <w:rPr>
                <w:rFonts w:hint="eastAsia"/>
                <w:sz w:val="21"/>
                <w:szCs w:val="21"/>
              </w:rPr>
              <w:t>1</w:t>
            </w:r>
            <w:r>
              <w:rPr>
                <w:sz w:val="21"/>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85" w:type="dxa"/>
            <w:vAlign w:val="center"/>
          </w:tcPr>
          <w:p>
            <w:pPr>
              <w:snapToGrid w:val="0"/>
              <w:spacing w:line="240" w:lineRule="auto"/>
              <w:jc w:val="center"/>
              <w:rPr>
                <w:sz w:val="21"/>
                <w:szCs w:val="21"/>
              </w:rPr>
            </w:pPr>
            <w:r>
              <w:rPr>
                <w:sz w:val="21"/>
                <w:szCs w:val="21"/>
              </w:rPr>
              <w:t>哺乳仔猪</w:t>
            </w:r>
          </w:p>
        </w:tc>
        <w:tc>
          <w:tcPr>
            <w:tcW w:w="2907" w:type="dxa"/>
            <w:vAlign w:val="center"/>
          </w:tcPr>
          <w:p>
            <w:pPr>
              <w:snapToGrid w:val="0"/>
              <w:spacing w:line="240" w:lineRule="auto"/>
              <w:jc w:val="center"/>
              <w:rPr>
                <w:sz w:val="21"/>
                <w:szCs w:val="21"/>
              </w:rPr>
            </w:pPr>
            <w:r>
              <w:rPr>
                <w:sz w:val="21"/>
                <w:szCs w:val="21"/>
              </w:rPr>
              <w:t>3</w:t>
            </w:r>
          </w:p>
        </w:tc>
        <w:tc>
          <w:tcPr>
            <w:tcW w:w="1617" w:type="dxa"/>
            <w:vAlign w:val="center"/>
          </w:tcPr>
          <w:p>
            <w:pPr>
              <w:snapToGrid w:val="0"/>
              <w:spacing w:line="240" w:lineRule="auto"/>
              <w:jc w:val="center"/>
              <w:rPr>
                <w:sz w:val="21"/>
                <w:szCs w:val="21"/>
              </w:rPr>
            </w:pPr>
            <w:r>
              <w:rPr>
                <w:sz w:val="21"/>
                <w:szCs w:val="21"/>
              </w:rPr>
              <w:t>3018</w:t>
            </w:r>
          </w:p>
        </w:tc>
        <w:tc>
          <w:tcPr>
            <w:tcW w:w="2438" w:type="dxa"/>
            <w:vAlign w:val="center"/>
          </w:tcPr>
          <w:p>
            <w:pPr>
              <w:snapToGrid w:val="0"/>
              <w:spacing w:line="240" w:lineRule="auto"/>
              <w:jc w:val="center"/>
              <w:rPr>
                <w:sz w:val="21"/>
                <w:szCs w:val="21"/>
              </w:rPr>
            </w:pPr>
            <w:r>
              <w:rPr>
                <w:sz w:val="21"/>
                <w:szCs w:val="21"/>
              </w:rPr>
              <w:t>9.05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92" w:type="dxa"/>
            <w:gridSpan w:val="2"/>
            <w:vAlign w:val="center"/>
          </w:tcPr>
          <w:p>
            <w:pPr>
              <w:snapToGrid w:val="0"/>
              <w:spacing w:line="240" w:lineRule="auto"/>
              <w:jc w:val="center"/>
              <w:rPr>
                <w:sz w:val="21"/>
                <w:szCs w:val="21"/>
              </w:rPr>
            </w:pPr>
            <w:r>
              <w:rPr>
                <w:sz w:val="21"/>
                <w:szCs w:val="21"/>
              </w:rPr>
              <w:t>合 计</w:t>
            </w:r>
          </w:p>
        </w:tc>
        <w:tc>
          <w:tcPr>
            <w:tcW w:w="1617" w:type="dxa"/>
            <w:vAlign w:val="center"/>
          </w:tcPr>
          <w:p>
            <w:pPr>
              <w:snapToGrid w:val="0"/>
              <w:spacing w:line="240" w:lineRule="auto"/>
              <w:jc w:val="center"/>
              <w:rPr>
                <w:sz w:val="21"/>
                <w:szCs w:val="21"/>
              </w:rPr>
            </w:pPr>
          </w:p>
        </w:tc>
        <w:tc>
          <w:tcPr>
            <w:tcW w:w="2438" w:type="dxa"/>
            <w:vAlign w:val="center"/>
          </w:tcPr>
          <w:p>
            <w:pPr>
              <w:snapToGrid w:val="0"/>
              <w:spacing w:line="240" w:lineRule="auto"/>
              <w:jc w:val="center"/>
              <w:rPr>
                <w:sz w:val="21"/>
                <w:szCs w:val="21"/>
              </w:rPr>
            </w:pPr>
            <w:r>
              <w:rPr>
                <w:sz w:val="21"/>
                <w:szCs w:val="21"/>
              </w:rPr>
              <w:t>100.55</w:t>
            </w:r>
          </w:p>
        </w:tc>
      </w:tr>
    </w:tbl>
    <w:p>
      <w:pPr>
        <w:snapToGrid w:val="0"/>
        <w:spacing w:line="240" w:lineRule="auto"/>
        <w:ind w:firstLine="420" w:firstLineChars="200"/>
        <w:rPr>
          <w:sz w:val="21"/>
          <w:szCs w:val="21"/>
        </w:rPr>
      </w:pPr>
      <w:r>
        <w:rPr>
          <w:rFonts w:hint="eastAsia"/>
          <w:sz w:val="21"/>
          <w:szCs w:val="21"/>
        </w:rPr>
        <w:t>注：哺乳仔猪用水系数按1</w:t>
      </w:r>
      <w:r>
        <w:rPr>
          <w:sz w:val="21"/>
          <w:szCs w:val="21"/>
        </w:rPr>
        <w:t>0</w:t>
      </w:r>
      <w:r>
        <w:rPr>
          <w:rFonts w:hint="eastAsia"/>
          <w:sz w:val="21"/>
          <w:szCs w:val="21"/>
        </w:rPr>
        <w:t>头小猪折算为1头成年猪计算。</w:t>
      </w:r>
    </w:p>
    <w:p>
      <w:pPr>
        <w:pStyle w:val="2"/>
        <w:ind w:firstLine="480"/>
        <w:rPr>
          <w:rFonts w:hint="default"/>
        </w:rPr>
      </w:pPr>
    </w:p>
    <w:p>
      <w:pPr>
        <w:snapToGrid w:val="0"/>
        <w:ind w:firstLine="480" w:firstLineChars="200"/>
      </w:pPr>
      <w:r>
        <w:t>（2）猪舍冲洗用水</w:t>
      </w:r>
    </w:p>
    <w:p>
      <w:pPr>
        <w:snapToGrid w:val="0"/>
        <w:ind w:firstLine="480" w:firstLineChars="200"/>
      </w:pPr>
      <w:r>
        <w:t>本项目猪舍所有圈舍均为全漏缝地板设置。圈舍的冲洗主要是对</w:t>
      </w:r>
      <w:r>
        <w:rPr>
          <w:rFonts w:hint="eastAsia"/>
        </w:rPr>
        <w:t>分娩舍</w:t>
      </w:r>
      <w:r>
        <w:t>进行冲洗。主要冲洗方式为：先用泡沫侵泡使粪污松软，然后用高压水枪进行冲洗。项目</w:t>
      </w:r>
      <w:r>
        <w:rPr>
          <w:rFonts w:hint="eastAsia"/>
        </w:rPr>
        <w:t>分娩车间设置有</w:t>
      </w:r>
      <w:r>
        <w:t>726</w:t>
      </w:r>
      <w:r>
        <w:rPr>
          <w:rFonts w:hint="eastAsia"/>
        </w:rPr>
        <w:t>个分娩栏。项目每批次使用为</w:t>
      </w:r>
      <w:r>
        <w:t>318</w:t>
      </w:r>
      <w:r>
        <w:rPr>
          <w:rFonts w:hint="eastAsia"/>
        </w:rPr>
        <w:t>个分娩栏，每个分娩栏面积4</w:t>
      </w:r>
      <w:r>
        <w:t>.32m</w:t>
      </w:r>
      <w:r>
        <w:rPr>
          <w:vertAlign w:val="superscript"/>
        </w:rPr>
        <w:t>2</w:t>
      </w:r>
      <w:r>
        <w:rPr>
          <w:rFonts w:hint="eastAsia"/>
        </w:rPr>
        <w:t>，项目冲洗采用高压水枪，流量为30L/min，每个分娩栏冲洗时间为</w:t>
      </w:r>
      <w:r>
        <w:t>2</w:t>
      </w:r>
      <w:r>
        <w:rPr>
          <w:rFonts w:hint="eastAsia"/>
        </w:rPr>
        <w:t>mi</w:t>
      </w:r>
      <w:r>
        <w:t>n~5mi</w:t>
      </w:r>
      <w:r>
        <w:rPr>
          <w:rFonts w:hint="eastAsia"/>
        </w:rPr>
        <w:t>n，评价按照最不利因素考虑，则单个分娩栏冲洗用水为</w:t>
      </w:r>
      <w:r>
        <w:t>150L</w:t>
      </w:r>
      <w:r>
        <w:rPr>
          <w:rFonts w:hint="eastAsia"/>
        </w:rPr>
        <w:t>，则项目单次用水量为</w:t>
      </w:r>
      <w:r>
        <w:t>47.7m</w:t>
      </w:r>
      <w:r>
        <w:rPr>
          <w:vertAlign w:val="superscript"/>
        </w:rPr>
        <w:t>3</w:t>
      </w:r>
      <w:r>
        <w:rPr>
          <w:rFonts w:hint="eastAsia"/>
        </w:rPr>
        <w:t>，项目年冲洗1</w:t>
      </w:r>
      <w:r>
        <w:t>7</w:t>
      </w:r>
      <w:r>
        <w:rPr>
          <w:rFonts w:hint="eastAsia"/>
        </w:rPr>
        <w:t>次，则本项目年冲洗水用水量为</w:t>
      </w:r>
      <w:r>
        <w:t>810.9m</w:t>
      </w:r>
      <w:r>
        <w:rPr>
          <w:vertAlign w:val="superscript"/>
        </w:rPr>
        <w:t>3</w:t>
      </w:r>
      <w:r>
        <w:t>/</w:t>
      </w:r>
      <w:r>
        <w:rPr>
          <w:rFonts w:hint="eastAsia"/>
        </w:rPr>
        <w:t>a</w:t>
      </w:r>
      <w:r>
        <w:t>（</w:t>
      </w:r>
      <w:r>
        <w:rPr>
          <w:rFonts w:hint="eastAsia"/>
        </w:rPr>
        <w:t>约</w:t>
      </w:r>
      <w:r>
        <w:t>2.22m</w:t>
      </w:r>
      <w:r>
        <w:rPr>
          <w:vertAlign w:val="superscript"/>
        </w:rPr>
        <w:t>3</w:t>
      </w:r>
      <w:r>
        <w:t>/d）</w:t>
      </w:r>
      <w:r>
        <w:rPr>
          <w:rFonts w:hint="eastAsia"/>
        </w:rPr>
        <w:t>。</w:t>
      </w:r>
    </w:p>
    <w:p>
      <w:pPr>
        <w:snapToGrid w:val="0"/>
        <w:ind w:firstLine="480" w:firstLineChars="200"/>
      </w:pPr>
      <w:r>
        <w:t>（3）工作人员生活用水</w:t>
      </w:r>
    </w:p>
    <w:p>
      <w:pPr>
        <w:snapToGrid w:val="0"/>
        <w:ind w:firstLine="480" w:firstLineChars="200"/>
      </w:pPr>
      <w:r>
        <w:t>工作人员用水定额为120L/人·d，厂内工作人员共20人，总用水量2.4m</w:t>
      </w:r>
      <w:r>
        <w:rPr>
          <w:vertAlign w:val="superscript"/>
        </w:rPr>
        <w:t>3</w:t>
      </w:r>
      <w:r>
        <w:t>/d。</w:t>
      </w:r>
    </w:p>
    <w:p>
      <w:pPr>
        <w:snapToGrid w:val="0"/>
        <w:ind w:firstLine="480" w:firstLineChars="200"/>
      </w:pPr>
      <w:r>
        <w:t>（4）未预见用水</w:t>
      </w:r>
    </w:p>
    <w:p>
      <w:pPr>
        <w:snapToGrid w:val="0"/>
        <w:ind w:firstLine="480" w:firstLineChars="200"/>
      </w:pPr>
      <w:r>
        <w:t>不可预见用水为上述用水量的5%，5.5m</w:t>
      </w:r>
      <w:r>
        <w:rPr>
          <w:vertAlign w:val="superscript"/>
        </w:rPr>
        <w:t>3</w:t>
      </w:r>
      <w:r>
        <w:t>/d，合计200</w:t>
      </w:r>
      <w:r>
        <w:rPr>
          <w:rFonts w:hint="eastAsia"/>
        </w:rPr>
        <w:t>7</w:t>
      </w:r>
      <w:r>
        <w:t>.5m</w:t>
      </w:r>
      <w:r>
        <w:rPr>
          <w:vertAlign w:val="superscript"/>
        </w:rPr>
        <w:t>3</w:t>
      </w:r>
      <w:r>
        <w:t>/a。</w:t>
      </w:r>
    </w:p>
    <w:p>
      <w:pPr>
        <w:pStyle w:val="2"/>
        <w:ind w:firstLine="480"/>
        <w:rPr>
          <w:rFonts w:hint="default"/>
        </w:rPr>
      </w:pPr>
      <w:r>
        <w:t>（5）</w:t>
      </w:r>
      <w:r>
        <w:rPr>
          <w:rFonts w:hint="default"/>
        </w:rPr>
        <w:t>猪舍消毒用水</w:t>
      </w:r>
    </w:p>
    <w:p>
      <w:pPr>
        <w:pStyle w:val="2"/>
        <w:ind w:firstLine="480"/>
        <w:rPr>
          <w:rFonts w:hint="default"/>
        </w:rPr>
      </w:pPr>
      <w:r>
        <w:t>养猪场</w:t>
      </w:r>
      <w:r>
        <w:rPr>
          <w:rFonts w:hint="default"/>
        </w:rPr>
        <w:t>需要进行消毒，根据建设单位生产经验，项目需要消毒用水约</w:t>
      </w:r>
      <w:r>
        <w:t>0.</w:t>
      </w:r>
      <w:r>
        <w:rPr>
          <w:rFonts w:hint="default"/>
        </w:rPr>
        <w:t>2</w:t>
      </w:r>
      <w:r>
        <w:t>L/m</w:t>
      </w:r>
      <w:r>
        <w:rPr>
          <w:vertAlign w:val="superscript"/>
        </w:rPr>
        <w:t>2</w:t>
      </w:r>
      <w:r>
        <w:t>•d，</w:t>
      </w:r>
      <w:r>
        <w:rPr>
          <w:rFonts w:hint="default"/>
        </w:rPr>
        <w:t>项目猪舍总建筑面积约11252.25</w:t>
      </w:r>
      <w:r>
        <w:t>m</w:t>
      </w:r>
      <w:r>
        <w:rPr>
          <w:vertAlign w:val="superscript"/>
        </w:rPr>
        <w:t>2</w:t>
      </w:r>
      <w:r>
        <w:t>，</w:t>
      </w:r>
      <w:r>
        <w:rPr>
          <w:rFonts w:hint="default"/>
        </w:rPr>
        <w:t>则每天消毒用水量为2.25m</w:t>
      </w:r>
      <w:r>
        <w:rPr>
          <w:rFonts w:hint="default"/>
          <w:vertAlign w:val="superscript"/>
        </w:rPr>
        <w:t>3</w:t>
      </w:r>
      <w:r>
        <w:t>，</w:t>
      </w:r>
      <w:r>
        <w:rPr>
          <w:rFonts w:hint="default"/>
        </w:rPr>
        <w:t>总用水量为821.41</w:t>
      </w:r>
      <w:r>
        <w:t>m</w:t>
      </w:r>
      <w:r>
        <w:rPr>
          <w:vertAlign w:val="superscript"/>
        </w:rPr>
        <w:t>3</w:t>
      </w:r>
      <w:r>
        <w:t>/a</w:t>
      </w:r>
      <w:r>
        <w:rPr>
          <w:rFonts w:hint="default"/>
        </w:rPr>
        <w:t>。</w:t>
      </w:r>
    </w:p>
    <w:p>
      <w:pPr>
        <w:adjustRightInd w:val="0"/>
        <w:snapToGrid w:val="0"/>
        <w:ind w:firstLine="480" w:firstLineChars="200"/>
        <w:rPr>
          <w:bCs/>
        </w:rPr>
      </w:pPr>
      <w:r>
        <w:t>经计算本项目</w:t>
      </w:r>
      <w:r>
        <w:rPr>
          <w:rFonts w:hAnsi="宋体"/>
        </w:rPr>
        <w:t>经计算，本项目日平均用水量为112.92</w:t>
      </w:r>
      <w:r>
        <w:t>m</w:t>
      </w:r>
      <w:r>
        <w:rPr>
          <w:vertAlign w:val="superscript"/>
        </w:rPr>
        <w:t>3</w:t>
      </w:r>
      <w:r>
        <w:t>/d</w:t>
      </w:r>
      <w:r>
        <w:rPr>
          <w:rFonts w:hAnsi="宋体"/>
        </w:rPr>
        <w:t>，项目供水量测算见表</w:t>
      </w:r>
      <w:r>
        <w:rPr>
          <w:rFonts w:hint="eastAsia"/>
        </w:rPr>
        <w:t>3.</w:t>
      </w:r>
      <w:r>
        <w:t>9</w:t>
      </w:r>
      <w:r>
        <w:rPr>
          <w:rFonts w:hint="eastAsia"/>
        </w:rPr>
        <w:t>-1</w:t>
      </w:r>
      <w:r>
        <w:rPr>
          <w:rFonts w:hAnsi="宋体"/>
        </w:rPr>
        <w:t>。</w:t>
      </w:r>
    </w:p>
    <w:p>
      <w:pPr>
        <w:snapToGrid w:val="0"/>
        <w:spacing w:line="240" w:lineRule="auto"/>
        <w:jc w:val="center"/>
        <w:rPr>
          <w:rFonts w:eastAsia="黑体"/>
          <w:bCs/>
        </w:rPr>
      </w:pPr>
    </w:p>
    <w:p>
      <w:pPr>
        <w:snapToGrid w:val="0"/>
        <w:spacing w:line="240" w:lineRule="auto"/>
        <w:jc w:val="center"/>
        <w:rPr>
          <w:rFonts w:eastAsia="黑体"/>
          <w:bCs/>
        </w:rPr>
      </w:pPr>
    </w:p>
    <w:p>
      <w:pPr>
        <w:snapToGrid w:val="0"/>
        <w:spacing w:line="240" w:lineRule="auto"/>
        <w:jc w:val="center"/>
        <w:rPr>
          <w:rFonts w:eastAsia="黑体"/>
          <w:bCs/>
        </w:rPr>
      </w:pPr>
      <w:r>
        <w:rPr>
          <w:rFonts w:eastAsia="黑体"/>
          <w:bCs/>
        </w:rPr>
        <w:t xml:space="preserve">表3.9-1  </w:t>
      </w:r>
      <w:r>
        <w:rPr>
          <w:rFonts w:hint="eastAsia" w:eastAsia="黑体"/>
          <w:bCs/>
        </w:rPr>
        <w:t>项目日用水量测算表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15"/>
        <w:gridCol w:w="1952"/>
        <w:gridCol w:w="2177"/>
        <w:gridCol w:w="1642"/>
        <w:gridCol w:w="1472"/>
        <w:gridCol w:w="152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rFonts w:hAnsi="宋体"/>
                <w:sz w:val="21"/>
                <w:szCs w:val="21"/>
              </w:rPr>
              <w:t>序号</w:t>
            </w:r>
          </w:p>
        </w:tc>
        <w:tc>
          <w:tcPr>
            <w:tcW w:w="1952" w:type="dxa"/>
            <w:vAlign w:val="center"/>
          </w:tcPr>
          <w:p>
            <w:pPr>
              <w:spacing w:line="240" w:lineRule="auto"/>
              <w:jc w:val="center"/>
              <w:rPr>
                <w:sz w:val="21"/>
                <w:szCs w:val="21"/>
              </w:rPr>
            </w:pPr>
            <w:r>
              <w:rPr>
                <w:rFonts w:hAnsi="宋体"/>
                <w:sz w:val="21"/>
                <w:szCs w:val="21"/>
              </w:rPr>
              <w:t>用水名称</w:t>
            </w:r>
          </w:p>
        </w:tc>
        <w:tc>
          <w:tcPr>
            <w:tcW w:w="2177" w:type="dxa"/>
            <w:vAlign w:val="center"/>
          </w:tcPr>
          <w:p>
            <w:pPr>
              <w:spacing w:line="240" w:lineRule="auto"/>
              <w:jc w:val="center"/>
              <w:rPr>
                <w:sz w:val="21"/>
                <w:szCs w:val="21"/>
              </w:rPr>
            </w:pPr>
            <w:r>
              <w:rPr>
                <w:rFonts w:hAnsi="宋体"/>
                <w:sz w:val="21"/>
                <w:szCs w:val="21"/>
              </w:rPr>
              <w:t>用水标准</w:t>
            </w:r>
          </w:p>
        </w:tc>
        <w:tc>
          <w:tcPr>
            <w:tcW w:w="1642" w:type="dxa"/>
            <w:vAlign w:val="center"/>
          </w:tcPr>
          <w:p>
            <w:pPr>
              <w:spacing w:line="240" w:lineRule="auto"/>
              <w:jc w:val="center"/>
              <w:rPr>
                <w:sz w:val="21"/>
                <w:szCs w:val="21"/>
              </w:rPr>
            </w:pPr>
            <w:r>
              <w:rPr>
                <w:rFonts w:hAnsi="宋体"/>
                <w:sz w:val="21"/>
                <w:szCs w:val="21"/>
              </w:rPr>
              <w:t>数量</w:t>
            </w:r>
          </w:p>
        </w:tc>
        <w:tc>
          <w:tcPr>
            <w:tcW w:w="1472" w:type="dxa"/>
            <w:vAlign w:val="center"/>
          </w:tcPr>
          <w:p>
            <w:pPr>
              <w:spacing w:line="240" w:lineRule="auto"/>
              <w:jc w:val="center"/>
              <w:rPr>
                <w:sz w:val="21"/>
                <w:szCs w:val="21"/>
              </w:rPr>
            </w:pPr>
            <w:r>
              <w:rPr>
                <w:rFonts w:hAnsi="宋体"/>
                <w:sz w:val="21"/>
                <w:szCs w:val="21"/>
              </w:rPr>
              <w:t>日平均用水量</w:t>
            </w:r>
            <w:r>
              <w:rPr>
                <w:sz w:val="21"/>
                <w:szCs w:val="21"/>
              </w:rPr>
              <w:t>(m</w:t>
            </w:r>
            <w:r>
              <w:rPr>
                <w:sz w:val="21"/>
                <w:szCs w:val="21"/>
                <w:vertAlign w:val="superscript"/>
              </w:rPr>
              <w:t>3</w:t>
            </w:r>
            <w:r>
              <w:rPr>
                <w:sz w:val="21"/>
                <w:szCs w:val="21"/>
              </w:rPr>
              <w:t>/d)</w:t>
            </w:r>
          </w:p>
        </w:tc>
        <w:tc>
          <w:tcPr>
            <w:tcW w:w="1529" w:type="dxa"/>
            <w:vAlign w:val="center"/>
          </w:tcPr>
          <w:p>
            <w:pPr>
              <w:spacing w:line="240" w:lineRule="auto"/>
              <w:jc w:val="center"/>
              <w:rPr>
                <w:sz w:val="21"/>
                <w:szCs w:val="21"/>
              </w:rPr>
            </w:pPr>
            <w:r>
              <w:rPr>
                <w:rFonts w:hAnsi="宋体"/>
                <w:sz w:val="21"/>
                <w:szCs w:val="21"/>
              </w:rPr>
              <w:t>年用水量</w:t>
            </w:r>
          </w:p>
          <w:p>
            <w:pPr>
              <w:spacing w:line="240" w:lineRule="auto"/>
              <w:jc w:val="center"/>
              <w:rPr>
                <w:sz w:val="21"/>
                <w:szCs w:val="21"/>
              </w:rPr>
            </w:pPr>
            <w:r>
              <w:rPr>
                <w:sz w:val="21"/>
                <w:szCs w:val="21"/>
              </w:rPr>
              <w:t>(m</w:t>
            </w:r>
            <w:r>
              <w:rPr>
                <w:sz w:val="21"/>
                <w:szCs w:val="21"/>
                <w:vertAlign w:val="superscript"/>
              </w:rPr>
              <w:t>3</w:t>
            </w:r>
            <w:r>
              <w:rPr>
                <w:sz w:val="21"/>
                <w:szCs w:val="21"/>
              </w:rP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sz w:val="21"/>
                <w:szCs w:val="21"/>
              </w:rPr>
              <w:t>1</w:t>
            </w:r>
          </w:p>
        </w:tc>
        <w:tc>
          <w:tcPr>
            <w:tcW w:w="1952" w:type="dxa"/>
            <w:vAlign w:val="center"/>
          </w:tcPr>
          <w:p>
            <w:pPr>
              <w:spacing w:line="240" w:lineRule="auto"/>
              <w:jc w:val="center"/>
              <w:rPr>
                <w:sz w:val="21"/>
                <w:szCs w:val="21"/>
              </w:rPr>
            </w:pPr>
            <w:r>
              <w:rPr>
                <w:rFonts w:hAnsi="宋体"/>
                <w:sz w:val="21"/>
                <w:szCs w:val="21"/>
              </w:rPr>
              <w:t>生活用水</w:t>
            </w:r>
          </w:p>
        </w:tc>
        <w:tc>
          <w:tcPr>
            <w:tcW w:w="2177" w:type="dxa"/>
            <w:vAlign w:val="center"/>
          </w:tcPr>
          <w:p>
            <w:pPr>
              <w:spacing w:line="240" w:lineRule="auto"/>
              <w:jc w:val="center"/>
              <w:rPr>
                <w:sz w:val="21"/>
                <w:szCs w:val="21"/>
              </w:rPr>
            </w:pPr>
            <w:r>
              <w:rPr>
                <w:sz w:val="21"/>
                <w:szCs w:val="21"/>
              </w:rPr>
              <w:t>120L/</w:t>
            </w:r>
            <w:r>
              <w:rPr>
                <w:rFonts w:hAnsi="宋体"/>
                <w:sz w:val="21"/>
                <w:szCs w:val="21"/>
              </w:rPr>
              <w:t>人</w:t>
            </w:r>
            <w:r>
              <w:rPr>
                <w:sz w:val="21"/>
                <w:szCs w:val="21"/>
              </w:rPr>
              <w:t>·d</w:t>
            </w:r>
          </w:p>
        </w:tc>
        <w:tc>
          <w:tcPr>
            <w:tcW w:w="1642" w:type="dxa"/>
            <w:vAlign w:val="center"/>
          </w:tcPr>
          <w:p>
            <w:pPr>
              <w:spacing w:line="240" w:lineRule="auto"/>
              <w:jc w:val="center"/>
              <w:rPr>
                <w:sz w:val="21"/>
                <w:szCs w:val="21"/>
              </w:rPr>
            </w:pPr>
            <w:r>
              <w:rPr>
                <w:sz w:val="21"/>
                <w:szCs w:val="21"/>
              </w:rPr>
              <w:t>20</w:t>
            </w:r>
            <w:r>
              <w:rPr>
                <w:rFonts w:hAnsi="宋体"/>
                <w:sz w:val="21"/>
                <w:szCs w:val="21"/>
              </w:rPr>
              <w:t>人</w:t>
            </w:r>
          </w:p>
        </w:tc>
        <w:tc>
          <w:tcPr>
            <w:tcW w:w="1472" w:type="dxa"/>
            <w:vAlign w:val="center"/>
          </w:tcPr>
          <w:p>
            <w:pPr>
              <w:spacing w:line="240" w:lineRule="auto"/>
              <w:jc w:val="center"/>
              <w:rPr>
                <w:sz w:val="21"/>
                <w:szCs w:val="21"/>
              </w:rPr>
            </w:pPr>
            <w:r>
              <w:rPr>
                <w:sz w:val="21"/>
                <w:szCs w:val="21"/>
              </w:rPr>
              <w:t>2.4</w:t>
            </w:r>
          </w:p>
        </w:tc>
        <w:tc>
          <w:tcPr>
            <w:tcW w:w="1529" w:type="dxa"/>
            <w:vAlign w:val="center"/>
          </w:tcPr>
          <w:p>
            <w:pPr>
              <w:spacing w:line="240" w:lineRule="auto"/>
              <w:jc w:val="center"/>
              <w:rPr>
                <w:sz w:val="21"/>
                <w:szCs w:val="21"/>
              </w:rPr>
            </w:pPr>
            <w:r>
              <w:rPr>
                <w:sz w:val="21"/>
                <w:szCs w:val="21"/>
              </w:rPr>
              <w:t>876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sz w:val="21"/>
                <w:szCs w:val="21"/>
              </w:rPr>
              <w:t>2</w:t>
            </w:r>
          </w:p>
        </w:tc>
        <w:tc>
          <w:tcPr>
            <w:tcW w:w="1952" w:type="dxa"/>
            <w:vAlign w:val="center"/>
          </w:tcPr>
          <w:p>
            <w:pPr>
              <w:spacing w:line="240" w:lineRule="auto"/>
              <w:jc w:val="center"/>
              <w:rPr>
                <w:sz w:val="21"/>
                <w:szCs w:val="21"/>
              </w:rPr>
            </w:pPr>
            <w:r>
              <w:rPr>
                <w:rFonts w:hint="eastAsia" w:hAnsi="宋体"/>
                <w:sz w:val="21"/>
                <w:szCs w:val="21"/>
              </w:rPr>
              <w:t>猪只饮用水</w:t>
            </w:r>
          </w:p>
        </w:tc>
        <w:tc>
          <w:tcPr>
            <w:tcW w:w="2177" w:type="dxa"/>
            <w:vAlign w:val="center"/>
          </w:tcPr>
          <w:p>
            <w:pPr>
              <w:pStyle w:val="2"/>
              <w:ind w:firstLine="0" w:firstLineChars="0"/>
              <w:jc w:val="center"/>
              <w:rPr>
                <w:rFonts w:hint="default"/>
                <w:sz w:val="21"/>
                <w:szCs w:val="21"/>
              </w:rPr>
            </w:pPr>
            <w:r>
              <w:rPr>
                <w:color w:val="auto"/>
                <w:sz w:val="21"/>
                <w:szCs w:val="21"/>
              </w:rPr>
              <w:t>见表3</w:t>
            </w:r>
            <w:r>
              <w:rPr>
                <w:rFonts w:hint="default"/>
                <w:color w:val="auto"/>
                <w:sz w:val="21"/>
                <w:szCs w:val="21"/>
              </w:rPr>
              <w:t>.8</w:t>
            </w:r>
            <w:r>
              <w:rPr>
                <w:color w:val="auto"/>
                <w:sz w:val="21"/>
                <w:szCs w:val="21"/>
              </w:rPr>
              <w:t>-</w:t>
            </w:r>
            <w:r>
              <w:rPr>
                <w:rFonts w:hint="default"/>
                <w:color w:val="auto"/>
                <w:sz w:val="21"/>
                <w:szCs w:val="21"/>
              </w:rPr>
              <w:t>1</w:t>
            </w:r>
          </w:p>
        </w:tc>
        <w:tc>
          <w:tcPr>
            <w:tcW w:w="1642" w:type="dxa"/>
            <w:vAlign w:val="center"/>
          </w:tcPr>
          <w:p>
            <w:pPr>
              <w:spacing w:line="240" w:lineRule="auto"/>
              <w:jc w:val="center"/>
              <w:rPr>
                <w:rFonts w:hAnsi="宋体"/>
                <w:sz w:val="21"/>
                <w:szCs w:val="21"/>
              </w:rPr>
            </w:pPr>
            <w:r>
              <w:rPr>
                <w:sz w:val="21"/>
                <w:szCs w:val="21"/>
              </w:rPr>
              <w:t>见表3.8</w:t>
            </w:r>
            <w:r>
              <w:rPr>
                <w:rFonts w:hint="eastAsia"/>
                <w:sz w:val="21"/>
                <w:szCs w:val="21"/>
              </w:rPr>
              <w:t>-</w:t>
            </w:r>
            <w:r>
              <w:rPr>
                <w:sz w:val="21"/>
                <w:szCs w:val="21"/>
              </w:rPr>
              <w:t>1</w:t>
            </w:r>
          </w:p>
        </w:tc>
        <w:tc>
          <w:tcPr>
            <w:tcW w:w="1472" w:type="dxa"/>
            <w:vAlign w:val="center"/>
          </w:tcPr>
          <w:p>
            <w:pPr>
              <w:spacing w:line="240" w:lineRule="auto"/>
              <w:jc w:val="center"/>
              <w:rPr>
                <w:sz w:val="21"/>
                <w:szCs w:val="21"/>
              </w:rPr>
            </w:pPr>
            <w:r>
              <w:rPr>
                <w:sz w:val="21"/>
                <w:szCs w:val="21"/>
              </w:rPr>
              <w:t>100.55</w:t>
            </w:r>
          </w:p>
        </w:tc>
        <w:tc>
          <w:tcPr>
            <w:tcW w:w="1529" w:type="dxa"/>
            <w:vAlign w:val="center"/>
          </w:tcPr>
          <w:p>
            <w:pPr>
              <w:spacing w:line="240" w:lineRule="auto"/>
              <w:jc w:val="center"/>
              <w:rPr>
                <w:sz w:val="21"/>
                <w:szCs w:val="21"/>
              </w:rPr>
            </w:pPr>
            <w:r>
              <w:rPr>
                <w:sz w:val="21"/>
                <w:szCs w:val="21"/>
              </w:rPr>
              <w:t>36700.75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sz w:val="21"/>
                <w:szCs w:val="21"/>
              </w:rPr>
              <w:t>3</w:t>
            </w:r>
          </w:p>
        </w:tc>
        <w:tc>
          <w:tcPr>
            <w:tcW w:w="1952" w:type="dxa"/>
            <w:vAlign w:val="center"/>
          </w:tcPr>
          <w:p>
            <w:pPr>
              <w:spacing w:line="240" w:lineRule="auto"/>
              <w:jc w:val="center"/>
              <w:rPr>
                <w:sz w:val="21"/>
                <w:szCs w:val="21"/>
              </w:rPr>
            </w:pPr>
            <w:r>
              <w:rPr>
                <w:rFonts w:hint="eastAsia" w:hAnsi="宋体"/>
                <w:sz w:val="21"/>
                <w:szCs w:val="21"/>
              </w:rPr>
              <w:t>分娩舍冲洗</w:t>
            </w:r>
            <w:r>
              <w:rPr>
                <w:rFonts w:hAnsi="宋体"/>
                <w:sz w:val="21"/>
                <w:szCs w:val="21"/>
              </w:rPr>
              <w:t>水</w:t>
            </w:r>
          </w:p>
        </w:tc>
        <w:tc>
          <w:tcPr>
            <w:tcW w:w="2177" w:type="dxa"/>
            <w:vAlign w:val="center"/>
          </w:tcPr>
          <w:p>
            <w:pPr>
              <w:spacing w:line="240" w:lineRule="auto"/>
              <w:jc w:val="center"/>
              <w:rPr>
                <w:sz w:val="21"/>
                <w:szCs w:val="21"/>
              </w:rPr>
            </w:pPr>
            <w:r>
              <w:rPr>
                <w:sz w:val="21"/>
                <w:szCs w:val="21"/>
              </w:rPr>
              <w:t>150L/</w:t>
            </w:r>
            <w:r>
              <w:rPr>
                <w:rFonts w:hint="eastAsia"/>
                <w:sz w:val="21"/>
                <w:szCs w:val="21"/>
              </w:rPr>
              <w:t>个</w:t>
            </w:r>
            <w:r>
              <w:rPr>
                <w:sz w:val="21"/>
                <w:szCs w:val="21"/>
              </w:rPr>
              <w:t>·次</w:t>
            </w:r>
          </w:p>
        </w:tc>
        <w:tc>
          <w:tcPr>
            <w:tcW w:w="1642" w:type="dxa"/>
            <w:vAlign w:val="center"/>
          </w:tcPr>
          <w:p>
            <w:pPr>
              <w:spacing w:line="240" w:lineRule="auto"/>
              <w:jc w:val="center"/>
              <w:rPr>
                <w:sz w:val="21"/>
                <w:szCs w:val="21"/>
              </w:rPr>
            </w:pPr>
            <w:r>
              <w:rPr>
                <w:sz w:val="21"/>
                <w:szCs w:val="21"/>
              </w:rPr>
              <w:t>318</w:t>
            </w:r>
            <w:r>
              <w:rPr>
                <w:rFonts w:hint="eastAsia"/>
                <w:sz w:val="21"/>
                <w:szCs w:val="21"/>
              </w:rPr>
              <w:t>个</w:t>
            </w:r>
          </w:p>
        </w:tc>
        <w:tc>
          <w:tcPr>
            <w:tcW w:w="1472" w:type="dxa"/>
            <w:vAlign w:val="center"/>
          </w:tcPr>
          <w:p>
            <w:pPr>
              <w:spacing w:line="240" w:lineRule="auto"/>
              <w:jc w:val="center"/>
              <w:rPr>
                <w:sz w:val="21"/>
                <w:szCs w:val="21"/>
              </w:rPr>
            </w:pPr>
            <w:r>
              <w:rPr>
                <w:sz w:val="21"/>
                <w:szCs w:val="21"/>
              </w:rPr>
              <w:t>2.22</w:t>
            </w:r>
          </w:p>
        </w:tc>
        <w:tc>
          <w:tcPr>
            <w:tcW w:w="1529" w:type="dxa"/>
            <w:vAlign w:val="center"/>
          </w:tcPr>
          <w:p>
            <w:pPr>
              <w:spacing w:line="240" w:lineRule="auto"/>
              <w:jc w:val="center"/>
              <w:rPr>
                <w:sz w:val="21"/>
                <w:szCs w:val="21"/>
              </w:rPr>
            </w:pPr>
            <w:r>
              <w:rPr>
                <w:sz w:val="21"/>
                <w:szCs w:val="21"/>
              </w:rPr>
              <w:t>810.9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sz w:val="21"/>
                <w:szCs w:val="21"/>
              </w:rPr>
              <w:t>4</w:t>
            </w:r>
          </w:p>
        </w:tc>
        <w:tc>
          <w:tcPr>
            <w:tcW w:w="1952" w:type="dxa"/>
            <w:vAlign w:val="center"/>
          </w:tcPr>
          <w:p>
            <w:pPr>
              <w:spacing w:line="240" w:lineRule="auto"/>
              <w:jc w:val="center"/>
              <w:rPr>
                <w:sz w:val="21"/>
                <w:szCs w:val="21"/>
              </w:rPr>
            </w:pPr>
            <w:r>
              <w:rPr>
                <w:rFonts w:hint="eastAsia" w:hAnsi="宋体"/>
                <w:sz w:val="21"/>
                <w:szCs w:val="21"/>
              </w:rPr>
              <w:t>猪舍消毒</w:t>
            </w:r>
            <w:r>
              <w:rPr>
                <w:rFonts w:hAnsi="宋体"/>
                <w:sz w:val="21"/>
                <w:szCs w:val="21"/>
              </w:rPr>
              <w:t>用水</w:t>
            </w:r>
          </w:p>
        </w:tc>
        <w:tc>
          <w:tcPr>
            <w:tcW w:w="2177" w:type="dxa"/>
            <w:vAlign w:val="center"/>
          </w:tcPr>
          <w:p>
            <w:pPr>
              <w:spacing w:line="240" w:lineRule="auto"/>
              <w:jc w:val="center"/>
              <w:rPr>
                <w:sz w:val="21"/>
                <w:szCs w:val="21"/>
              </w:rPr>
            </w:pPr>
            <w:r>
              <w:rPr>
                <w:sz w:val="21"/>
                <w:szCs w:val="21"/>
              </w:rPr>
              <w:t>0</w:t>
            </w:r>
            <w:r>
              <w:rPr>
                <w:rFonts w:hint="eastAsia"/>
                <w:sz w:val="21"/>
                <w:szCs w:val="21"/>
              </w:rPr>
              <w:t>.</w:t>
            </w:r>
            <w:r>
              <w:rPr>
                <w:sz w:val="21"/>
                <w:szCs w:val="21"/>
              </w:rPr>
              <w:t>2 L/m</w:t>
            </w:r>
            <w:r>
              <w:rPr>
                <w:sz w:val="21"/>
                <w:szCs w:val="21"/>
                <w:vertAlign w:val="superscript"/>
              </w:rPr>
              <w:t>2</w:t>
            </w:r>
            <w:r>
              <w:rPr>
                <w:sz w:val="21"/>
                <w:szCs w:val="21"/>
              </w:rPr>
              <w:t>•d</w:t>
            </w:r>
          </w:p>
        </w:tc>
        <w:tc>
          <w:tcPr>
            <w:tcW w:w="1642" w:type="dxa"/>
            <w:vAlign w:val="center"/>
          </w:tcPr>
          <w:p>
            <w:pPr>
              <w:spacing w:line="240" w:lineRule="auto"/>
              <w:jc w:val="center"/>
              <w:rPr>
                <w:sz w:val="21"/>
                <w:szCs w:val="21"/>
              </w:rPr>
            </w:pPr>
            <w:r>
              <w:rPr>
                <w:sz w:val="21"/>
                <w:szCs w:val="21"/>
              </w:rPr>
              <w:t>11252.25m</w:t>
            </w:r>
            <w:r>
              <w:rPr>
                <w:sz w:val="21"/>
                <w:szCs w:val="21"/>
                <w:vertAlign w:val="superscript"/>
              </w:rPr>
              <w:t>2</w:t>
            </w:r>
          </w:p>
        </w:tc>
        <w:tc>
          <w:tcPr>
            <w:tcW w:w="1472" w:type="dxa"/>
            <w:vAlign w:val="center"/>
          </w:tcPr>
          <w:p>
            <w:pPr>
              <w:spacing w:line="240" w:lineRule="auto"/>
              <w:jc w:val="center"/>
              <w:rPr>
                <w:sz w:val="21"/>
                <w:szCs w:val="21"/>
              </w:rPr>
            </w:pPr>
            <w:r>
              <w:rPr>
                <w:sz w:val="21"/>
                <w:szCs w:val="21"/>
              </w:rPr>
              <w:t>2.25</w:t>
            </w:r>
          </w:p>
        </w:tc>
        <w:tc>
          <w:tcPr>
            <w:tcW w:w="1529" w:type="dxa"/>
            <w:vAlign w:val="center"/>
          </w:tcPr>
          <w:p>
            <w:pPr>
              <w:spacing w:line="240" w:lineRule="auto"/>
              <w:jc w:val="center"/>
              <w:rPr>
                <w:sz w:val="21"/>
                <w:szCs w:val="21"/>
              </w:rPr>
            </w:pPr>
            <w:r>
              <w:rPr>
                <w:sz w:val="21"/>
                <w:szCs w:val="21"/>
              </w:rPr>
              <w:t>821.41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r>
              <w:rPr>
                <w:rFonts w:hint="eastAsia"/>
                <w:sz w:val="21"/>
                <w:szCs w:val="21"/>
              </w:rPr>
              <w:t>5</w:t>
            </w:r>
          </w:p>
        </w:tc>
        <w:tc>
          <w:tcPr>
            <w:tcW w:w="1952" w:type="dxa"/>
            <w:vAlign w:val="center"/>
          </w:tcPr>
          <w:p>
            <w:pPr>
              <w:spacing w:line="240" w:lineRule="auto"/>
              <w:jc w:val="center"/>
              <w:rPr>
                <w:rFonts w:hAnsi="宋体"/>
                <w:sz w:val="21"/>
                <w:szCs w:val="21"/>
              </w:rPr>
            </w:pPr>
            <w:r>
              <w:rPr>
                <w:rFonts w:hint="eastAsia" w:hAnsi="宋体"/>
                <w:sz w:val="21"/>
                <w:szCs w:val="21"/>
              </w:rPr>
              <w:t>未预见用水</w:t>
            </w:r>
          </w:p>
        </w:tc>
        <w:tc>
          <w:tcPr>
            <w:tcW w:w="2177" w:type="dxa"/>
            <w:vAlign w:val="center"/>
          </w:tcPr>
          <w:p>
            <w:pPr>
              <w:spacing w:line="240" w:lineRule="auto"/>
              <w:jc w:val="center"/>
              <w:rPr>
                <w:sz w:val="21"/>
                <w:szCs w:val="21"/>
              </w:rPr>
            </w:pPr>
            <w:r>
              <w:rPr>
                <w:rFonts w:hint="eastAsia"/>
                <w:sz w:val="21"/>
                <w:szCs w:val="21"/>
              </w:rPr>
              <w:t>1~</w:t>
            </w:r>
            <w:r>
              <w:rPr>
                <w:sz w:val="21"/>
                <w:szCs w:val="21"/>
              </w:rPr>
              <w:t>4</w:t>
            </w:r>
            <w:r>
              <w:rPr>
                <w:rFonts w:hint="eastAsia"/>
                <w:sz w:val="21"/>
                <w:szCs w:val="21"/>
              </w:rPr>
              <w:t>的5%</w:t>
            </w:r>
          </w:p>
        </w:tc>
        <w:tc>
          <w:tcPr>
            <w:tcW w:w="1642" w:type="dxa"/>
            <w:vAlign w:val="center"/>
          </w:tcPr>
          <w:p>
            <w:pPr>
              <w:spacing w:line="240" w:lineRule="auto"/>
              <w:jc w:val="center"/>
              <w:rPr>
                <w:sz w:val="21"/>
                <w:szCs w:val="21"/>
              </w:rPr>
            </w:pPr>
            <w:r>
              <w:rPr>
                <w:rFonts w:hint="eastAsia"/>
                <w:sz w:val="21"/>
                <w:szCs w:val="21"/>
              </w:rPr>
              <w:t>/</w:t>
            </w:r>
          </w:p>
        </w:tc>
        <w:tc>
          <w:tcPr>
            <w:tcW w:w="1472" w:type="dxa"/>
            <w:vAlign w:val="center"/>
          </w:tcPr>
          <w:p>
            <w:pPr>
              <w:spacing w:line="240" w:lineRule="auto"/>
              <w:jc w:val="center"/>
              <w:rPr>
                <w:sz w:val="21"/>
                <w:szCs w:val="21"/>
              </w:rPr>
            </w:pPr>
            <w:r>
              <w:rPr>
                <w:rFonts w:hint="eastAsia"/>
                <w:sz w:val="21"/>
                <w:szCs w:val="21"/>
              </w:rPr>
              <w:t>5</w:t>
            </w:r>
            <w:r>
              <w:rPr>
                <w:sz w:val="21"/>
                <w:szCs w:val="21"/>
              </w:rPr>
              <w:t>.5</w:t>
            </w:r>
          </w:p>
        </w:tc>
        <w:tc>
          <w:tcPr>
            <w:tcW w:w="1529" w:type="dxa"/>
            <w:vAlign w:val="center"/>
          </w:tcPr>
          <w:p>
            <w:pPr>
              <w:spacing w:line="240" w:lineRule="auto"/>
              <w:jc w:val="center"/>
              <w:rPr>
                <w:sz w:val="21"/>
                <w:szCs w:val="21"/>
              </w:rPr>
            </w:pPr>
            <w:r>
              <w:rPr>
                <w:rFonts w:hint="eastAsia"/>
                <w:sz w:val="21"/>
                <w:szCs w:val="21"/>
              </w:rPr>
              <w:t>2</w:t>
            </w:r>
            <w:r>
              <w:rPr>
                <w:sz w:val="21"/>
                <w:szCs w:val="21"/>
              </w:rPr>
              <w:t>007.5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15" w:type="dxa"/>
            <w:vAlign w:val="center"/>
          </w:tcPr>
          <w:p>
            <w:pPr>
              <w:spacing w:line="240" w:lineRule="auto"/>
              <w:jc w:val="center"/>
              <w:rPr>
                <w:sz w:val="21"/>
                <w:szCs w:val="21"/>
              </w:rPr>
            </w:pPr>
          </w:p>
        </w:tc>
        <w:tc>
          <w:tcPr>
            <w:tcW w:w="1952" w:type="dxa"/>
            <w:vAlign w:val="center"/>
          </w:tcPr>
          <w:p>
            <w:pPr>
              <w:spacing w:line="240" w:lineRule="auto"/>
              <w:jc w:val="center"/>
              <w:rPr>
                <w:sz w:val="21"/>
                <w:szCs w:val="21"/>
              </w:rPr>
            </w:pPr>
            <w:r>
              <w:rPr>
                <w:rFonts w:hAnsi="宋体"/>
                <w:sz w:val="21"/>
                <w:szCs w:val="21"/>
              </w:rPr>
              <w:t>合计</w:t>
            </w:r>
          </w:p>
        </w:tc>
        <w:tc>
          <w:tcPr>
            <w:tcW w:w="2177" w:type="dxa"/>
            <w:vAlign w:val="center"/>
          </w:tcPr>
          <w:p>
            <w:pPr>
              <w:spacing w:line="240" w:lineRule="auto"/>
              <w:jc w:val="center"/>
              <w:rPr>
                <w:sz w:val="21"/>
                <w:szCs w:val="21"/>
              </w:rPr>
            </w:pPr>
            <w:r>
              <w:rPr>
                <w:sz w:val="21"/>
                <w:szCs w:val="21"/>
              </w:rPr>
              <w:t>/</w:t>
            </w:r>
          </w:p>
        </w:tc>
        <w:tc>
          <w:tcPr>
            <w:tcW w:w="1642" w:type="dxa"/>
            <w:vAlign w:val="center"/>
          </w:tcPr>
          <w:p>
            <w:pPr>
              <w:spacing w:line="240" w:lineRule="auto"/>
              <w:jc w:val="center"/>
              <w:rPr>
                <w:sz w:val="21"/>
                <w:szCs w:val="21"/>
              </w:rPr>
            </w:pPr>
            <w:r>
              <w:rPr>
                <w:sz w:val="21"/>
                <w:szCs w:val="21"/>
              </w:rPr>
              <w:t>/</w:t>
            </w:r>
          </w:p>
        </w:tc>
        <w:tc>
          <w:tcPr>
            <w:tcW w:w="1472" w:type="dxa"/>
            <w:vAlign w:val="center"/>
          </w:tcPr>
          <w:p>
            <w:pPr>
              <w:spacing w:line="240" w:lineRule="auto"/>
              <w:jc w:val="center"/>
              <w:rPr>
                <w:sz w:val="21"/>
                <w:szCs w:val="21"/>
              </w:rPr>
            </w:pPr>
            <w:r>
              <w:rPr>
                <w:sz w:val="21"/>
                <w:szCs w:val="21"/>
              </w:rPr>
              <w:t>112.92</w:t>
            </w:r>
          </w:p>
        </w:tc>
        <w:tc>
          <w:tcPr>
            <w:tcW w:w="1529" w:type="dxa"/>
            <w:vAlign w:val="center"/>
          </w:tcPr>
          <w:p>
            <w:pPr>
              <w:spacing w:line="240" w:lineRule="auto"/>
              <w:jc w:val="center"/>
              <w:rPr>
                <w:sz w:val="21"/>
                <w:szCs w:val="21"/>
              </w:rPr>
            </w:pPr>
            <w:r>
              <w:rPr>
                <w:sz w:val="21"/>
                <w:szCs w:val="21"/>
              </w:rPr>
              <w:t>41216.56</w:t>
            </w:r>
          </w:p>
        </w:tc>
      </w:tr>
    </w:tbl>
    <w:p>
      <w:pPr>
        <w:spacing w:before="120" w:after="60"/>
        <w:jc w:val="left"/>
        <w:outlineLvl w:val="2"/>
        <w:rPr>
          <w:rFonts w:eastAsia="黑体"/>
          <w:bCs/>
          <w:sz w:val="28"/>
          <w:szCs w:val="28"/>
        </w:rPr>
      </w:pPr>
      <w:r>
        <w:rPr>
          <w:rFonts w:eastAsia="黑体"/>
          <w:bCs/>
          <w:sz w:val="28"/>
          <w:szCs w:val="28"/>
        </w:rPr>
        <w:t>3.8.2  排水</w:t>
      </w:r>
    </w:p>
    <w:p>
      <w:pPr>
        <w:snapToGrid w:val="0"/>
        <w:ind w:firstLine="480" w:firstLineChars="200"/>
      </w:pPr>
      <w:r>
        <w:t>项目营运时的排水主要为生活污水、生产废水和日常的雨水，实施雨污分流。</w:t>
      </w:r>
    </w:p>
    <w:p>
      <w:pPr>
        <w:snapToGrid w:val="0"/>
        <w:ind w:firstLine="482" w:firstLineChars="200"/>
      </w:pPr>
      <w:r>
        <w:rPr>
          <w:b/>
        </w:rPr>
        <w:t>雨水：</w:t>
      </w:r>
      <w:r>
        <w:t>与粪污管道严格分开，</w:t>
      </w:r>
      <w:r>
        <w:rPr>
          <w:rFonts w:hint="eastAsia"/>
        </w:rPr>
        <w:t>主排水沟沿猪场主通道修建，明沟，与沿房檐四周修建的雨水沟相连。雨水经场区雨水管网收集后经南侧自然冲沟排出场外。</w:t>
      </w:r>
    </w:p>
    <w:p>
      <w:pPr>
        <w:snapToGrid w:val="0"/>
        <w:ind w:firstLine="482" w:firstLineChars="200"/>
      </w:pPr>
      <w:r>
        <w:rPr>
          <w:b/>
        </w:rPr>
        <w:t>生产废水：</w:t>
      </w:r>
      <w:r>
        <w:t>养殖区污水经</w:t>
      </w:r>
      <w:r>
        <w:rPr>
          <w:rFonts w:hint="eastAsia"/>
        </w:rPr>
        <w:t>管道</w:t>
      </w:r>
      <w:r>
        <w:t>进入主粪沟再进入专用车辆</w:t>
      </w:r>
      <w:r>
        <w:rPr>
          <w:rFonts w:hint="eastAsia"/>
        </w:rPr>
        <w:t>转运至乐山乐高勤力生物质能源综合利用有限公司“大沼”工程</w:t>
      </w:r>
      <w:r>
        <w:t>。猪舍</w:t>
      </w:r>
      <w:r>
        <w:rPr>
          <w:rFonts w:hint="eastAsia"/>
        </w:rPr>
        <w:t>采用全</w:t>
      </w:r>
      <w:r>
        <w:t>漏缝</w:t>
      </w:r>
      <w:r>
        <w:rPr>
          <w:rFonts w:hint="eastAsia"/>
        </w:rPr>
        <w:t>地，其中分娩舍底部采用斜沟，粪污依靠重力经斜坡自行汇入集污池；妊娠舍底部设置收集池，粪污依靠重力掉入收集池，每日通过泵将粪污抽至集污池，粪污经集污池收集后，每日依托乐山乐高勤力生物质能源综合利用有限公司专用运输车辆运至“大沼”工程进行沼气发电</w:t>
      </w:r>
      <w:r>
        <w:t>。</w:t>
      </w:r>
    </w:p>
    <w:p>
      <w:pPr>
        <w:snapToGrid w:val="0"/>
        <w:ind w:firstLine="482" w:firstLineChars="200"/>
      </w:pPr>
      <w:r>
        <w:rPr>
          <w:b/>
        </w:rPr>
        <w:t>生活污水：</w:t>
      </w:r>
      <w:r>
        <w:t>职工生活污水由于排放量小，食堂废水经隔油池后同猪场废水一并处理。</w:t>
      </w:r>
    </w:p>
    <w:p>
      <w:pPr>
        <w:spacing w:before="120" w:after="60"/>
        <w:jc w:val="left"/>
        <w:outlineLvl w:val="2"/>
        <w:rPr>
          <w:sz w:val="13"/>
          <w:szCs w:val="13"/>
        </w:rPr>
      </w:pPr>
      <w:r>
        <w:rPr>
          <w:rFonts w:eastAsia="黑体"/>
          <w:bCs/>
          <w:sz w:val="28"/>
          <w:szCs w:val="28"/>
        </w:rPr>
        <w:t>3.8.3 供电</w:t>
      </w:r>
      <w:r>
        <w:rPr>
          <w:sz w:val="13"/>
          <w:szCs w:val="13"/>
        </w:rPr>
        <w:t xml:space="preserve"> </w:t>
      </w:r>
    </w:p>
    <w:bookmarkEnd w:id="8"/>
    <w:bookmarkEnd w:id="9"/>
    <w:bookmarkEnd w:id="10"/>
    <w:bookmarkEnd w:id="11"/>
    <w:p>
      <w:pPr>
        <w:snapToGrid w:val="0"/>
        <w:ind w:firstLine="480" w:firstLineChars="200"/>
      </w:pPr>
      <w:bookmarkStart w:id="334" w:name="_Toc131057524"/>
      <w:bookmarkEnd w:id="334"/>
      <w:bookmarkStart w:id="335" w:name="_Toc131057539"/>
      <w:bookmarkEnd w:id="335"/>
      <w:bookmarkStart w:id="336" w:name="_Toc131816083"/>
      <w:bookmarkEnd w:id="336"/>
      <w:bookmarkStart w:id="337" w:name="_Toc131816085"/>
      <w:bookmarkEnd w:id="337"/>
      <w:bookmarkStart w:id="338" w:name="_Toc132704582"/>
      <w:bookmarkEnd w:id="338"/>
      <w:bookmarkStart w:id="339" w:name="_Toc132704575"/>
      <w:bookmarkEnd w:id="339"/>
      <w:bookmarkStart w:id="340" w:name="_Toc132704589"/>
      <w:bookmarkEnd w:id="340"/>
      <w:bookmarkStart w:id="341" w:name="_Toc132704576"/>
      <w:bookmarkEnd w:id="341"/>
      <w:bookmarkStart w:id="342" w:name="_Toc132704592"/>
      <w:bookmarkEnd w:id="342"/>
      <w:bookmarkStart w:id="343" w:name="_Toc131816071"/>
      <w:bookmarkEnd w:id="343"/>
      <w:bookmarkStart w:id="344" w:name="_Toc131816046"/>
      <w:bookmarkEnd w:id="344"/>
      <w:bookmarkStart w:id="345" w:name="_Toc131057517"/>
      <w:bookmarkEnd w:id="345"/>
      <w:bookmarkStart w:id="346" w:name="_Toc131816093"/>
      <w:bookmarkEnd w:id="346"/>
      <w:bookmarkStart w:id="347" w:name="_Toc132704598"/>
      <w:bookmarkEnd w:id="347"/>
      <w:bookmarkStart w:id="348" w:name="_Toc131816066"/>
      <w:bookmarkEnd w:id="348"/>
      <w:bookmarkStart w:id="349" w:name="_Toc246360528"/>
      <w:bookmarkEnd w:id="349"/>
      <w:bookmarkStart w:id="350" w:name="_Toc131816086"/>
      <w:bookmarkEnd w:id="350"/>
      <w:bookmarkStart w:id="351" w:name="_Toc132704580"/>
      <w:bookmarkEnd w:id="351"/>
      <w:bookmarkStart w:id="352" w:name="_Toc131057501"/>
      <w:bookmarkEnd w:id="352"/>
      <w:bookmarkStart w:id="353" w:name="_Toc131057495"/>
      <w:bookmarkEnd w:id="353"/>
      <w:bookmarkStart w:id="354" w:name="_Toc131057514"/>
      <w:bookmarkEnd w:id="354"/>
      <w:bookmarkStart w:id="355" w:name="_Toc131816088"/>
      <w:bookmarkEnd w:id="355"/>
      <w:bookmarkStart w:id="356" w:name="_Toc132704612"/>
      <w:bookmarkEnd w:id="356"/>
      <w:bookmarkStart w:id="357" w:name="_Toc131816068"/>
      <w:bookmarkEnd w:id="357"/>
      <w:bookmarkStart w:id="358" w:name="_Toc132704590"/>
      <w:bookmarkEnd w:id="358"/>
      <w:bookmarkStart w:id="359" w:name="_Toc132704610"/>
      <w:bookmarkEnd w:id="359"/>
      <w:bookmarkStart w:id="360" w:name="_Toc131057542"/>
      <w:bookmarkEnd w:id="360"/>
      <w:bookmarkStart w:id="361" w:name="_Toc131057530"/>
      <w:bookmarkEnd w:id="361"/>
      <w:bookmarkStart w:id="362" w:name="_Toc131057516"/>
      <w:bookmarkEnd w:id="362"/>
      <w:bookmarkStart w:id="363" w:name="_Toc131057529"/>
      <w:bookmarkEnd w:id="363"/>
      <w:bookmarkStart w:id="364" w:name="_Toc131816060"/>
      <w:bookmarkEnd w:id="364"/>
      <w:bookmarkStart w:id="365" w:name="_Toc131057502"/>
      <w:bookmarkEnd w:id="365"/>
      <w:bookmarkStart w:id="366" w:name="_Toc131816048"/>
      <w:bookmarkEnd w:id="366"/>
      <w:bookmarkStart w:id="367" w:name="_Toc132704596"/>
      <w:bookmarkEnd w:id="367"/>
      <w:bookmarkStart w:id="368" w:name="_Toc132704605"/>
      <w:bookmarkEnd w:id="368"/>
      <w:bookmarkStart w:id="369" w:name="_Toc246359979"/>
      <w:bookmarkEnd w:id="369"/>
      <w:bookmarkStart w:id="370" w:name="_Toc131816059"/>
      <w:bookmarkEnd w:id="370"/>
      <w:bookmarkStart w:id="371" w:name="_Toc132704583"/>
      <w:bookmarkEnd w:id="371"/>
      <w:bookmarkStart w:id="372" w:name="_Toc132704611"/>
      <w:bookmarkEnd w:id="372"/>
      <w:bookmarkStart w:id="373" w:name="_Toc131057496"/>
      <w:bookmarkEnd w:id="373"/>
      <w:bookmarkStart w:id="374" w:name="_Toc132704591"/>
      <w:bookmarkEnd w:id="374"/>
      <w:bookmarkStart w:id="375" w:name="_Toc223508624"/>
      <w:bookmarkEnd w:id="375"/>
      <w:bookmarkStart w:id="376" w:name="_Toc131057531"/>
      <w:bookmarkEnd w:id="376"/>
      <w:bookmarkStart w:id="377" w:name="_Toc131816070"/>
      <w:bookmarkEnd w:id="377"/>
      <w:bookmarkStart w:id="378" w:name="_Toc131057511"/>
      <w:bookmarkEnd w:id="378"/>
      <w:bookmarkStart w:id="379" w:name="_Toc131816099"/>
      <w:bookmarkEnd w:id="379"/>
      <w:bookmarkStart w:id="380" w:name="_Toc132704572"/>
      <w:bookmarkEnd w:id="380"/>
      <w:bookmarkStart w:id="381" w:name="_Toc131816051"/>
      <w:bookmarkEnd w:id="381"/>
      <w:bookmarkStart w:id="382" w:name="_Toc132704567"/>
      <w:bookmarkEnd w:id="382"/>
      <w:bookmarkStart w:id="383" w:name="_Toc131057534"/>
      <w:bookmarkEnd w:id="383"/>
      <w:bookmarkStart w:id="384" w:name="_Toc132704613"/>
      <w:bookmarkEnd w:id="384"/>
      <w:bookmarkStart w:id="385" w:name="_Toc131816094"/>
      <w:bookmarkEnd w:id="385"/>
      <w:bookmarkStart w:id="386" w:name="_Toc131057504"/>
      <w:bookmarkEnd w:id="386"/>
      <w:bookmarkStart w:id="387" w:name="_Toc131057487"/>
      <w:bookmarkEnd w:id="387"/>
      <w:bookmarkStart w:id="388" w:name="_Toc131057520"/>
      <w:bookmarkEnd w:id="388"/>
      <w:bookmarkStart w:id="389" w:name="_Toc131816096"/>
      <w:bookmarkEnd w:id="389"/>
      <w:bookmarkStart w:id="390" w:name="_Toc132704622"/>
      <w:bookmarkEnd w:id="390"/>
      <w:bookmarkStart w:id="391" w:name="_Toc131816082"/>
      <w:bookmarkEnd w:id="391"/>
      <w:bookmarkStart w:id="392" w:name="_Toc132704570"/>
      <w:bookmarkEnd w:id="392"/>
      <w:bookmarkStart w:id="393" w:name="_Toc132704623"/>
      <w:bookmarkEnd w:id="393"/>
      <w:bookmarkStart w:id="394" w:name="_Toc131057528"/>
      <w:bookmarkEnd w:id="394"/>
      <w:bookmarkStart w:id="395" w:name="_Toc246359980"/>
      <w:bookmarkEnd w:id="395"/>
      <w:bookmarkStart w:id="396" w:name="_Toc131057532"/>
      <w:bookmarkEnd w:id="396"/>
      <w:bookmarkStart w:id="397" w:name="_Toc132704624"/>
      <w:bookmarkEnd w:id="397"/>
      <w:bookmarkStart w:id="398" w:name="_Toc246359998"/>
      <w:bookmarkEnd w:id="398"/>
      <w:bookmarkStart w:id="399" w:name="_Toc131057494"/>
      <w:bookmarkEnd w:id="399"/>
      <w:bookmarkStart w:id="400" w:name="_Toc132704594"/>
      <w:bookmarkEnd w:id="400"/>
      <w:bookmarkStart w:id="401" w:name="_Toc132704585"/>
      <w:bookmarkEnd w:id="401"/>
      <w:bookmarkStart w:id="402" w:name="_Toc131816101"/>
      <w:bookmarkEnd w:id="402"/>
      <w:bookmarkStart w:id="403" w:name="_Toc246359988"/>
      <w:bookmarkEnd w:id="403"/>
      <w:bookmarkStart w:id="404" w:name="_Toc131816102"/>
      <w:bookmarkEnd w:id="404"/>
      <w:bookmarkStart w:id="405" w:name="_Toc131057544"/>
      <w:bookmarkEnd w:id="405"/>
      <w:bookmarkStart w:id="406" w:name="_Toc132704579"/>
      <w:bookmarkEnd w:id="406"/>
      <w:bookmarkStart w:id="407" w:name="_Toc132704574"/>
      <w:bookmarkEnd w:id="407"/>
      <w:bookmarkStart w:id="408" w:name="_Toc132704625"/>
      <w:bookmarkEnd w:id="408"/>
      <w:bookmarkStart w:id="409" w:name="_Toc132704577"/>
      <w:bookmarkEnd w:id="409"/>
      <w:bookmarkStart w:id="410" w:name="_Toc131816104"/>
      <w:bookmarkEnd w:id="410"/>
      <w:bookmarkStart w:id="411" w:name="_Toc131057543"/>
      <w:bookmarkEnd w:id="411"/>
      <w:bookmarkStart w:id="412" w:name="_Toc246359986"/>
      <w:bookmarkEnd w:id="412"/>
      <w:bookmarkStart w:id="413" w:name="_Toc131057533"/>
      <w:bookmarkEnd w:id="413"/>
      <w:bookmarkStart w:id="414" w:name="_Toc132704614"/>
      <w:bookmarkEnd w:id="414"/>
      <w:bookmarkStart w:id="415" w:name="_Toc131816064"/>
      <w:bookmarkEnd w:id="415"/>
      <w:bookmarkStart w:id="416" w:name="_Toc132704620"/>
      <w:bookmarkEnd w:id="416"/>
      <w:bookmarkStart w:id="417" w:name="_Toc131057506"/>
      <w:bookmarkEnd w:id="417"/>
      <w:bookmarkStart w:id="418" w:name="_Toc131057515"/>
      <w:bookmarkEnd w:id="418"/>
      <w:bookmarkStart w:id="419" w:name="_Toc131816062"/>
      <w:bookmarkEnd w:id="419"/>
      <w:bookmarkStart w:id="420" w:name="_Toc131057525"/>
      <w:bookmarkEnd w:id="420"/>
      <w:bookmarkStart w:id="421" w:name="_Toc131816054"/>
      <w:bookmarkEnd w:id="421"/>
      <w:bookmarkStart w:id="422" w:name="_Toc132704587"/>
      <w:bookmarkEnd w:id="422"/>
      <w:bookmarkStart w:id="423" w:name="_Toc131057507"/>
      <w:bookmarkEnd w:id="423"/>
      <w:bookmarkStart w:id="424" w:name="_Toc131057510"/>
      <w:bookmarkEnd w:id="424"/>
      <w:bookmarkStart w:id="425" w:name="_Toc131816050"/>
      <w:bookmarkEnd w:id="425"/>
      <w:bookmarkStart w:id="426" w:name="_Toc131816053"/>
      <w:bookmarkEnd w:id="426"/>
      <w:bookmarkStart w:id="427" w:name="_Toc132704581"/>
      <w:bookmarkEnd w:id="427"/>
      <w:bookmarkStart w:id="428" w:name="_Toc131816065"/>
      <w:bookmarkEnd w:id="428"/>
      <w:bookmarkStart w:id="429" w:name="_Toc131816049"/>
      <w:bookmarkEnd w:id="429"/>
      <w:bookmarkStart w:id="430" w:name="_Toc131057489"/>
      <w:bookmarkEnd w:id="430"/>
      <w:bookmarkStart w:id="431" w:name="_Toc132704619"/>
      <w:bookmarkEnd w:id="431"/>
      <w:bookmarkStart w:id="432" w:name="_Toc131816058"/>
      <w:bookmarkEnd w:id="432"/>
      <w:bookmarkStart w:id="433" w:name="_Toc132704616"/>
      <w:bookmarkEnd w:id="433"/>
      <w:bookmarkStart w:id="434" w:name="_Toc131057503"/>
      <w:bookmarkEnd w:id="434"/>
      <w:bookmarkStart w:id="435" w:name="_Toc132704606"/>
      <w:bookmarkEnd w:id="435"/>
      <w:bookmarkStart w:id="436" w:name="_Toc131816074"/>
      <w:bookmarkEnd w:id="436"/>
      <w:bookmarkStart w:id="437" w:name="_Toc131057522"/>
      <w:bookmarkEnd w:id="437"/>
      <w:bookmarkStart w:id="438" w:name="_Toc131057499"/>
      <w:bookmarkEnd w:id="438"/>
      <w:bookmarkStart w:id="439" w:name="_Toc132704621"/>
      <w:bookmarkEnd w:id="439"/>
      <w:bookmarkStart w:id="440" w:name="_Toc131057512"/>
      <w:bookmarkEnd w:id="440"/>
      <w:bookmarkStart w:id="441" w:name="_Toc131057509"/>
      <w:bookmarkEnd w:id="441"/>
      <w:bookmarkStart w:id="442" w:name="_Toc131816063"/>
      <w:bookmarkEnd w:id="442"/>
      <w:bookmarkStart w:id="443" w:name="_Toc246359987"/>
      <w:bookmarkEnd w:id="443"/>
      <w:bookmarkStart w:id="444" w:name="_Toc132704593"/>
      <w:bookmarkEnd w:id="444"/>
      <w:bookmarkStart w:id="445" w:name="_Toc131816052"/>
      <w:bookmarkEnd w:id="445"/>
      <w:bookmarkStart w:id="446" w:name="_Toc132704601"/>
      <w:bookmarkEnd w:id="446"/>
      <w:bookmarkStart w:id="447" w:name="_Toc131816090"/>
      <w:bookmarkEnd w:id="447"/>
      <w:bookmarkStart w:id="448" w:name="_Toc131057537"/>
      <w:bookmarkEnd w:id="448"/>
      <w:bookmarkStart w:id="449" w:name="_Toc132704586"/>
      <w:bookmarkEnd w:id="449"/>
      <w:bookmarkStart w:id="450" w:name="_Toc132704617"/>
      <w:bookmarkEnd w:id="450"/>
      <w:bookmarkStart w:id="451" w:name="_Toc132704604"/>
      <w:bookmarkEnd w:id="451"/>
      <w:bookmarkStart w:id="452" w:name="_Toc131057490"/>
      <w:bookmarkEnd w:id="452"/>
      <w:bookmarkStart w:id="453" w:name="_Toc131816069"/>
      <w:bookmarkEnd w:id="453"/>
      <w:bookmarkStart w:id="454" w:name="_Toc132704578"/>
      <w:bookmarkEnd w:id="454"/>
      <w:bookmarkStart w:id="455" w:name="_Toc131057505"/>
      <w:bookmarkEnd w:id="455"/>
      <w:bookmarkStart w:id="456" w:name="_Toc131057497"/>
      <w:bookmarkEnd w:id="456"/>
      <w:bookmarkStart w:id="457" w:name="_Toc131057536"/>
      <w:bookmarkEnd w:id="457"/>
      <w:bookmarkStart w:id="458" w:name="_Toc131057518"/>
      <w:bookmarkEnd w:id="458"/>
      <w:bookmarkStart w:id="459" w:name="_Toc131816055"/>
      <w:bookmarkEnd w:id="459"/>
      <w:bookmarkStart w:id="460" w:name="_Toc131816045"/>
      <w:bookmarkEnd w:id="460"/>
      <w:bookmarkStart w:id="461" w:name="_Toc132704615"/>
      <w:bookmarkEnd w:id="461"/>
      <w:bookmarkStart w:id="462" w:name="_Toc132704600"/>
      <w:bookmarkEnd w:id="462"/>
      <w:bookmarkStart w:id="463" w:name="_Toc131816073"/>
      <w:bookmarkEnd w:id="463"/>
      <w:bookmarkStart w:id="464" w:name="_Toc132704568"/>
      <w:bookmarkEnd w:id="464"/>
      <w:bookmarkStart w:id="465" w:name="_Toc131057493"/>
      <w:bookmarkEnd w:id="465"/>
      <w:bookmarkStart w:id="466" w:name="_Toc132704618"/>
      <w:bookmarkEnd w:id="466"/>
      <w:bookmarkStart w:id="467" w:name="_Toc132704573"/>
      <w:bookmarkEnd w:id="467"/>
      <w:bookmarkStart w:id="468" w:name="_Toc131816087"/>
      <w:bookmarkEnd w:id="468"/>
      <w:bookmarkStart w:id="469" w:name="_Toc131816084"/>
      <w:bookmarkEnd w:id="469"/>
      <w:bookmarkStart w:id="470" w:name="_Toc131057541"/>
      <w:bookmarkEnd w:id="470"/>
      <w:bookmarkStart w:id="471" w:name="_Toc131057492"/>
      <w:bookmarkEnd w:id="471"/>
      <w:bookmarkStart w:id="472" w:name="_Toc131057508"/>
      <w:bookmarkEnd w:id="472"/>
      <w:bookmarkStart w:id="473" w:name="_Toc246359989"/>
      <w:bookmarkEnd w:id="473"/>
      <w:bookmarkStart w:id="474" w:name="_Toc246360532"/>
      <w:bookmarkEnd w:id="474"/>
      <w:bookmarkStart w:id="475" w:name="_Toc131057513"/>
      <w:bookmarkEnd w:id="475"/>
      <w:bookmarkStart w:id="476" w:name="_Toc131816091"/>
      <w:bookmarkEnd w:id="476"/>
      <w:bookmarkStart w:id="477" w:name="_Toc131057486"/>
      <w:bookmarkEnd w:id="477"/>
      <w:bookmarkStart w:id="478" w:name="_Toc131057488"/>
      <w:bookmarkEnd w:id="478"/>
      <w:bookmarkStart w:id="479" w:name="_Toc132704609"/>
      <w:bookmarkEnd w:id="479"/>
      <w:bookmarkStart w:id="480" w:name="_Toc132704599"/>
      <w:bookmarkEnd w:id="480"/>
      <w:bookmarkStart w:id="481" w:name="_Toc131057540"/>
      <w:bookmarkEnd w:id="481"/>
      <w:bookmarkStart w:id="482" w:name="_Toc131816092"/>
      <w:bookmarkEnd w:id="482"/>
      <w:bookmarkStart w:id="483" w:name="_Toc131816078"/>
      <w:bookmarkEnd w:id="483"/>
      <w:bookmarkStart w:id="484" w:name="_Toc131057523"/>
      <w:bookmarkEnd w:id="484"/>
      <w:bookmarkStart w:id="485" w:name="_Toc132704584"/>
      <w:bookmarkEnd w:id="485"/>
      <w:bookmarkStart w:id="486" w:name="_Toc131057519"/>
      <w:bookmarkEnd w:id="486"/>
      <w:bookmarkStart w:id="487" w:name="_Toc131816103"/>
      <w:bookmarkEnd w:id="487"/>
      <w:bookmarkStart w:id="488" w:name="_Toc131057535"/>
      <w:bookmarkEnd w:id="488"/>
      <w:bookmarkStart w:id="489" w:name="_Toc132704602"/>
      <w:bookmarkEnd w:id="489"/>
      <w:bookmarkStart w:id="490" w:name="_Toc131816076"/>
      <w:bookmarkEnd w:id="490"/>
      <w:bookmarkStart w:id="491" w:name="_Toc131057521"/>
      <w:bookmarkEnd w:id="491"/>
      <w:bookmarkStart w:id="492" w:name="_Toc132704571"/>
      <w:bookmarkEnd w:id="492"/>
      <w:bookmarkStart w:id="493" w:name="_Toc132704569"/>
      <w:bookmarkEnd w:id="493"/>
      <w:bookmarkStart w:id="494" w:name="_Toc132704588"/>
      <w:bookmarkEnd w:id="494"/>
      <w:bookmarkStart w:id="495" w:name="_Toc131816095"/>
      <w:bookmarkEnd w:id="495"/>
      <w:bookmarkStart w:id="496" w:name="_Toc132704608"/>
      <w:bookmarkEnd w:id="496"/>
      <w:bookmarkStart w:id="497" w:name="_Toc132704603"/>
      <w:bookmarkEnd w:id="497"/>
      <w:bookmarkStart w:id="498" w:name="_Toc131816057"/>
      <w:bookmarkEnd w:id="498"/>
      <w:bookmarkStart w:id="499" w:name="_Toc131057498"/>
      <w:bookmarkEnd w:id="499"/>
      <w:bookmarkStart w:id="500" w:name="_Toc132704626"/>
      <w:bookmarkEnd w:id="500"/>
      <w:bookmarkStart w:id="501" w:name="_Toc131057491"/>
      <w:bookmarkEnd w:id="501"/>
      <w:bookmarkStart w:id="502" w:name="_Toc132704595"/>
      <w:bookmarkEnd w:id="502"/>
      <w:bookmarkStart w:id="503" w:name="_Toc132704597"/>
      <w:bookmarkEnd w:id="503"/>
      <w:bookmarkStart w:id="504" w:name="_Toc131816079"/>
      <w:bookmarkEnd w:id="504"/>
      <w:bookmarkStart w:id="505" w:name="_Toc131816077"/>
      <w:bookmarkEnd w:id="505"/>
      <w:bookmarkStart w:id="506" w:name="_Toc131816080"/>
      <w:bookmarkEnd w:id="506"/>
      <w:bookmarkStart w:id="507" w:name="_Toc131816098"/>
      <w:bookmarkEnd w:id="507"/>
      <w:bookmarkStart w:id="508" w:name="_Toc131816097"/>
      <w:bookmarkEnd w:id="508"/>
      <w:bookmarkStart w:id="509" w:name="_Toc131057526"/>
      <w:bookmarkEnd w:id="509"/>
      <w:bookmarkStart w:id="510" w:name="_Toc131057527"/>
      <w:bookmarkEnd w:id="510"/>
      <w:bookmarkStart w:id="511" w:name="_Toc131057545"/>
      <w:bookmarkEnd w:id="511"/>
      <w:bookmarkStart w:id="512" w:name="_Toc131816056"/>
      <w:bookmarkEnd w:id="512"/>
      <w:bookmarkStart w:id="513" w:name="_Toc131057538"/>
      <w:bookmarkEnd w:id="513"/>
      <w:bookmarkStart w:id="514" w:name="_Toc131057500"/>
      <w:bookmarkEnd w:id="514"/>
      <w:bookmarkStart w:id="515" w:name="_Toc131816081"/>
      <w:bookmarkEnd w:id="515"/>
      <w:bookmarkStart w:id="516" w:name="_Toc131816067"/>
      <w:bookmarkEnd w:id="516"/>
      <w:bookmarkStart w:id="517" w:name="_Toc132704607"/>
      <w:bookmarkEnd w:id="517"/>
      <w:bookmarkStart w:id="518" w:name="_Toc131816089"/>
      <w:bookmarkEnd w:id="518"/>
      <w:bookmarkStart w:id="519" w:name="_Toc131816061"/>
      <w:bookmarkEnd w:id="519"/>
      <w:bookmarkStart w:id="520" w:name="_Toc131816047"/>
      <w:bookmarkEnd w:id="520"/>
      <w:bookmarkStart w:id="521" w:name="_Toc131816075"/>
      <w:bookmarkEnd w:id="521"/>
      <w:bookmarkStart w:id="522" w:name="_Toc131816100"/>
      <w:bookmarkEnd w:id="522"/>
      <w:bookmarkStart w:id="523" w:name="_Toc131816072"/>
      <w:bookmarkEnd w:id="523"/>
      <w:bookmarkStart w:id="524" w:name="_Toc76139350"/>
      <w:bookmarkStart w:id="525" w:name="_Toc423336680"/>
      <w:r>
        <w:t>本项目不设锅炉，各生产设备和员工生活用电均由当地电网供应。全场常用电有供料、抽水、照明、猪舍通风、污水处理等，需电50 kW 左右，夏季降温和冬季保嗳最高用电60kW 左右，合计最大用量110kW。全年用量约5万kWh/a。</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526" w:name="_Toc29110572"/>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.9通风降温及保温</w:t>
      </w:r>
      <w:bookmarkEnd w:id="526"/>
    </w:p>
    <w:p>
      <w:pPr>
        <w:snapToGrid w:val="0"/>
        <w:ind w:firstLine="480" w:firstLineChars="200"/>
      </w:pPr>
      <w:r>
        <w:rPr>
          <w:rFonts w:hint="eastAsia"/>
        </w:rPr>
        <w:t>（1）</w:t>
      </w:r>
      <w:r>
        <w:t>保温</w:t>
      </w:r>
    </w:p>
    <w:p>
      <w:pPr>
        <w:snapToGrid w:val="0"/>
        <w:ind w:firstLine="480" w:firstLineChars="200"/>
      </w:pPr>
      <w:r>
        <w:fldChar w:fldCharType="begin"/>
      </w:r>
      <w:r>
        <w:instrText xml:space="preserve"> = 1 \* GB3 </w:instrText>
      </w:r>
      <w:r>
        <w:fldChar w:fldCharType="separate"/>
      </w:r>
      <w:r>
        <w:t>①</w:t>
      </w:r>
      <w:r>
        <w:fldChar w:fldCharType="end"/>
      </w:r>
      <w:r>
        <w:t>猪舍采用单元式建筑，缩小空间有利于保温；在猪舍的外围护结构中，失热最多的是屋顶，铺设在天棚上的保温材料热阻值要高，且要达到足够的厚度并压紧压实；墙壁的失热仅次于屋顶，用空心砖或加气混凝土块代替普通红砖，或在墙体内夹一层泡沫塑料等隔热材料，可提高猪舍的防寒保温能力。猪舍地面为水泥地面，有利于猪舍的清洗消毒、防止猪的拱掘，但水泥地面冷而硬，因此可在趴卧区加铺地板或垫草等。</w:t>
      </w:r>
    </w:p>
    <w:p>
      <w:pPr>
        <w:snapToGrid w:val="0"/>
        <w:ind w:firstLine="480" w:firstLineChars="200"/>
      </w:pPr>
      <w:r>
        <w:fldChar w:fldCharType="begin"/>
      </w:r>
      <w:r>
        <w:instrText xml:space="preserve"> = 2 \* GB3 </w:instrText>
      </w:r>
      <w:r>
        <w:fldChar w:fldCharType="separate"/>
      </w:r>
      <w:r>
        <w:t>②</w:t>
      </w:r>
      <w:r>
        <w:fldChar w:fldCharType="end"/>
      </w:r>
      <w:r>
        <w:t>加强冬季防寒管理。入冬前做好封窗、窗外敷加透光性能好的塑料膜、门上挂防寒毡等；通风换气时尽量降低气流速度；防止舍内潮湿；铺设厚垫草；适当加大饲养密度。</w:t>
      </w:r>
    </w:p>
    <w:p>
      <w:pPr>
        <w:snapToGrid w:val="0"/>
        <w:ind w:firstLine="480" w:firstLineChars="200"/>
      </w:pPr>
      <w:r>
        <w:fldChar w:fldCharType="begin"/>
      </w:r>
      <w:r>
        <w:instrText xml:space="preserve"> = 3 \* GB3 </w:instrText>
      </w:r>
      <w:r>
        <w:fldChar w:fldCharType="separate"/>
      </w:r>
      <w:r>
        <w:t>③</w:t>
      </w:r>
      <w:r>
        <w:fldChar w:fldCharType="end"/>
      </w:r>
      <w:r>
        <w:t>猪舍的供暖。在采取以上各种防寒保温措施后仍不能达到要求的舍温时，须采取供暖措施。猪舍的供暖保温可采用局部保温，局部保温采用红外线灯、电热板。</w:t>
      </w:r>
    </w:p>
    <w:p>
      <w:pPr>
        <w:snapToGrid w:val="0"/>
        <w:ind w:firstLine="480" w:firstLineChars="200"/>
        <w:rPr>
          <w:rFonts w:eastAsiaTheme="minorEastAsia"/>
        </w:rPr>
      </w:pPr>
      <w:r>
        <w:rPr>
          <w:rFonts w:hint="eastAsia"/>
        </w:rPr>
        <w:t>（2）</w:t>
      </w:r>
      <w:r>
        <w:rPr>
          <w:rFonts w:eastAsiaTheme="minorEastAsia"/>
        </w:rPr>
        <w:t>夏季</w:t>
      </w:r>
      <w:r>
        <w:rPr>
          <w:rFonts w:hint="eastAsia" w:eastAsiaTheme="minorEastAsia"/>
        </w:rPr>
        <w:t>降温</w:t>
      </w:r>
      <w:r>
        <w:rPr>
          <w:rFonts w:eastAsiaTheme="minorEastAsia"/>
        </w:rPr>
        <w:t>：本项目猪舍采用水帘风机降温。</w:t>
      </w:r>
    </w:p>
    <w:p>
      <w:pPr>
        <w:ind w:firstLine="480" w:firstLineChars="200"/>
        <w:rPr>
          <w:rFonts w:eastAsiaTheme="minorEastAsia"/>
        </w:rPr>
      </w:pPr>
      <w:r>
        <w:rPr>
          <w:rFonts w:eastAsiaTheme="minorEastAsia"/>
        </w:rPr>
        <w:t>水帘风机降温主要原理：水帘降温系统由水帘、循环水路、抽风机和温度控制装置组成。水帘用波纹状纤维纸粘结而成，在制作的原料中添加了不会随水流、气流的作用而分解的特殊化学成分，具有耐腐蚀、使用时间长等特点。在封闭式的猪舍内，一端的水泵将蓄水池中的水送至喷水管，把水喷向反水板，水均匀地从反水板上流下淋湿整个水帘，水在水槽和水帘间循环，从而保证空气与完全湿透的水帘表面接触。另一端安装负压风机向外排风，猪舍内形成负压区，舍外空气穿过水帘被吸入舍内，带着猪舍内的热量经风机排出室外，从而达到降温的目的。</w:t>
      </w:r>
    </w:p>
    <w:p>
      <w:pPr>
        <w:ind w:firstLine="480" w:firstLineChars="200"/>
        <w:rPr>
          <w:rFonts w:eastAsiaTheme="minorEastAsia"/>
        </w:rPr>
      </w:pPr>
      <w:r>
        <w:rPr>
          <w:rFonts w:eastAsiaTheme="minorEastAsia"/>
        </w:rPr>
        <w:t>水帘风机降温系统的所有的温控全部由电脑程序自动控制，包括空气过滤、风机开启、地辅热启动，自动湿度调节等，该系统旨在给生猪提供一个温度适宜、湿度适中的饲养环境。</w:t>
      </w:r>
    </w:p>
    <w:p>
      <w:pPr>
        <w:pStyle w:val="817"/>
        <w:spacing w:line="360" w:lineRule="auto"/>
        <w:ind w:firstLine="480" w:firstLineChars="200"/>
        <w:rPr>
          <w:rFonts w:ascii="Times New Roman" w:hAnsi="Times New Roman"/>
        </w:rPr>
      </w:pPr>
      <w:r>
        <w:rPr>
          <w:rFonts w:ascii="Times New Roman" w:hAnsi="Times New Roman" w:eastAsiaTheme="minorEastAsia"/>
        </w:rPr>
        <w:t>（3）</w:t>
      </w:r>
      <w:r>
        <w:rPr>
          <w:rFonts w:ascii="Times New Roman" w:hAnsi="Times New Roman"/>
        </w:rPr>
        <w:t>通风</w:t>
      </w:r>
    </w:p>
    <w:p>
      <w:pPr>
        <w:ind w:firstLine="480" w:firstLineChars="200"/>
        <w:rPr>
          <w:rFonts w:eastAsiaTheme="minorEastAsia"/>
        </w:rPr>
      </w:pPr>
      <w:r>
        <w:rPr>
          <w:rFonts w:eastAsiaTheme="minorEastAsia"/>
        </w:rPr>
        <w:t>大多数猪场的猪舍都采用自然通风，在自然通风猪舍设置地脚窗、大窗、通风屋脊等；进气口均匀布置，使各处猪均能享受到凉爽的气流；缩小猪舍跨度，使舍内易形成穿堂风。在自然通风不足时，增设机械通风。在冬季关闭窗户或用塑料布密闭窗户，这样便不利于舍内空气</w:t>
      </w:r>
      <w:r>
        <w:t>的流通，有害气体滞留于舍内，采用机械负压通风的方式来解决，在每个猪舍单元的门框上方、屋顶下30cm处安装小功率排气扇，对面墙角预置进风口，进行负压通风，把猪舍内气体排出舍外，让舍外的新鲜空气进入舍内，降低舍内有害气体的含量。</w:t>
      </w:r>
      <w:r>
        <w:rPr>
          <w:rFonts w:eastAsiaTheme="minorEastAsia"/>
        </w:rPr>
        <w:t xml:space="preserve">                                                                                                                                                                                                                                                                                                                                                                                                                                                                                                                                                                                                                                                                                                                                                                                                                                                                                                                                                                                                                                                                                                                                                                                                                                                                                                                                                                                                                                                                                                                                                                                                                                                                                                                                                                                                                                                                                                                                                                                                                                                                                                                                                                                                                                                                                                                                                                                                                                                                                                                                                                                                                                                                                                                                                                                                                                                                                                                                                                                                                                                                                                                                                                                                                                                                                                                                                                                                                                                                                                                                                                                                                                                                                                                                                                                                                                                                                                                                                                                                                                                                                                                                                                                                                </w:t>
      </w:r>
      <w:r>
        <w:rPr>
          <w:rFonts w:eastAsiaTheme="minorEastAsia"/>
        </w:rPr>
        <w:t xml:space="preserve">                                                                                                                                                                                                                                                                                                                                                                                                                                                                                                                                                                                                                                                                                                                                                                                                                                                                                                                                                                                                                                                                                                                                                                                                                                                                                                                                                                                                                                                                                                                                                                                                                                                                                                                                                                                                                                                                                                                                                                                                                                                                                                                                                                                                                                                                                                                                                                                                                                                                                                                                                                                                                                                  </w:t>
      </w:r>
    </w:p>
    <w:p>
      <w:pPr>
        <w:pStyle w:val="817"/>
        <w:spacing w:line="360" w:lineRule="auto"/>
        <w:ind w:firstLine="480" w:firstLineChars="200"/>
      </w:pPr>
      <w:r>
        <w:rPr>
          <w:rFonts w:ascii="Times New Roman" w:hAnsi="Times New Roman"/>
        </w:rPr>
        <w:t>（4）消毒措施</w:t>
      </w:r>
    </w:p>
    <w:p>
      <w:pPr>
        <w:snapToGrid w:val="0"/>
        <w:ind w:firstLine="480" w:firstLineChars="200"/>
      </w:pPr>
      <w:r>
        <w:t>做好日常消毒。定期对圈舍、道路、环境进行消毒；定期向消毒池内投放消毒剂，保持有效浓度，做好临产前产房、产栏及临产猪的消毒，同时要严格诊疗器械的消毒工作。</w:t>
      </w:r>
    </w:p>
    <w:p>
      <w:pPr>
        <w:snapToGrid w:val="0"/>
        <w:ind w:firstLine="480" w:firstLineChars="200"/>
      </w:pPr>
      <w:r>
        <w:t>加强终末消毒。全进全出制生产方式，出栏后，应对全场或空舍的单元、饲养用具等进行全方位的彻底清洗和消毒。或在周围地区发生国家规定的一、二类疫病流行初期，或在本场发生国家规定的一、二类疫病流行平息后，解除封锁前均应对全场进行彻底清洗和消毒。</w:t>
      </w:r>
    </w:p>
    <w:p>
      <w:pPr>
        <w:snapToGrid w:val="0"/>
        <w:ind w:firstLine="480" w:firstLineChars="200"/>
      </w:pPr>
      <w:r>
        <w:t>每周使用84消毒液喷雾带猪消毒1次；出栏后猪舍彻底清扫并冲洗后，使用过氧乙酸、戊二醛苯扎溴铵溶液等消毒液喷洒消毒，间隔1天后重复进行一次。</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527" w:name="_Toc29110573"/>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.10病死猪运输路线</w:t>
      </w:r>
      <w:bookmarkEnd w:id="527"/>
    </w:p>
    <w:p>
      <w:pPr>
        <w:ind w:firstLine="480" w:firstLineChars="200"/>
        <w:jc w:val="left"/>
      </w:pPr>
      <w:r>
        <w:rPr>
          <w:rFonts w:hint="eastAsia"/>
        </w:rPr>
        <w:t>乐山市无害</w:t>
      </w:r>
      <w:r>
        <w:t>化处理中心~</w:t>
      </w:r>
      <w:r>
        <w:rPr>
          <w:rFonts w:hint="eastAsia"/>
        </w:rPr>
        <w:t>0</w:t>
      </w:r>
      <w:r>
        <w:t>05</w:t>
      </w:r>
      <w:r>
        <w:rPr>
          <w:rFonts w:hint="eastAsia"/>
        </w:rPr>
        <w:t>乡道</w:t>
      </w:r>
      <w:r>
        <w:t>~</w:t>
      </w:r>
      <w:r>
        <w:rPr>
          <w:rFonts w:hint="eastAsia"/>
        </w:rPr>
        <w:t>井荣路</w:t>
      </w:r>
      <w:r>
        <w:t>~</w:t>
      </w:r>
      <w:r>
        <w:rPr>
          <w:rFonts w:hint="eastAsia"/>
        </w:rPr>
        <w:t>井乐</w:t>
      </w:r>
      <w:r>
        <w:t>大道~</w:t>
      </w:r>
      <w:r>
        <w:rPr>
          <w:rFonts w:hint="eastAsia"/>
        </w:rPr>
        <w:t>本项目</w:t>
      </w:r>
      <w:r>
        <w:t>，然后再原路返回。</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528" w:name="_Toc29110574"/>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.11粪便运输管理要求</w:t>
      </w:r>
      <w:bookmarkEnd w:id="528"/>
    </w:p>
    <w:p>
      <w:pPr>
        <w:pStyle w:val="192"/>
      </w:pPr>
      <w:r>
        <w:rPr>
          <w:rFonts w:hint="eastAsia" w:ascii="宋体" w:hAnsi="宋体" w:cs="宋体"/>
        </w:rPr>
        <w:t>①本项目</w:t>
      </w:r>
      <w:r>
        <w:rPr>
          <w:rFonts w:hint="eastAsia"/>
        </w:rPr>
        <w:t>粪尿运输必须使用封闭的罐车运输，用泵将粪尿打入罐车后，将沼液封闭好后进行运输，运输过程中基本无恶臭产生。</w:t>
      </w:r>
    </w:p>
    <w:p>
      <w:pPr>
        <w:pStyle w:val="192"/>
      </w:pPr>
      <w:r>
        <w:rPr>
          <w:rFonts w:hint="eastAsia"/>
        </w:rPr>
        <w:t>本项目的粪便</w:t>
      </w:r>
      <w:r>
        <w:rPr>
          <w:lang w:val="zh-CN"/>
        </w:rPr>
        <w:t>每日由</w:t>
      </w:r>
      <w:r>
        <w:rPr>
          <w:rFonts w:hint="eastAsia"/>
          <w:lang w:val="zh-CN"/>
        </w:rPr>
        <w:t>井研县大沼</w:t>
      </w:r>
      <w:r>
        <w:rPr>
          <w:lang w:val="zh-CN"/>
        </w:rPr>
        <w:t>工程</w:t>
      </w:r>
      <w:r>
        <w:rPr>
          <w:rFonts w:hint="eastAsia"/>
          <w:lang w:val="zh-CN"/>
        </w:rPr>
        <w:t>派车</w:t>
      </w:r>
      <w:r>
        <w:rPr>
          <w:lang w:val="zh-CN"/>
        </w:rPr>
        <w:t>从本项目</w:t>
      </w:r>
      <w:r>
        <w:rPr>
          <w:rFonts w:hint="eastAsia"/>
          <w:lang w:val="zh-CN"/>
        </w:rPr>
        <w:t>粪便临时堆存间</w:t>
      </w:r>
      <w:r>
        <w:rPr>
          <w:lang w:val="zh-CN"/>
        </w:rPr>
        <w:t>将粪便运至其厂区</w:t>
      </w:r>
      <w:r>
        <w:rPr>
          <w:rFonts w:hint="eastAsia"/>
          <w:lang w:val="zh-CN"/>
        </w:rPr>
        <w:t>，环评要求</w:t>
      </w:r>
      <w:r>
        <w:rPr>
          <w:rFonts w:hint="eastAsia"/>
        </w:rPr>
        <w:t>运输过程宜用封闭的容器进行运输，减少运输过程中的恶臭影响。</w:t>
      </w:r>
    </w:p>
    <w:p>
      <w:pPr>
        <w:pStyle w:val="192"/>
      </w:pPr>
      <w:r>
        <w:rPr>
          <w:rFonts w:hint="eastAsia" w:ascii="宋体" w:hAnsi="宋体" w:cs="宋体"/>
        </w:rPr>
        <w:t>②粪便的运输过程应加强管理，</w:t>
      </w:r>
      <w:r>
        <w:rPr>
          <w:rFonts w:hint="eastAsia"/>
        </w:rPr>
        <w:t>建设单位、井研县大沼</w:t>
      </w:r>
      <w:r>
        <w:t>工程</w:t>
      </w:r>
      <w:r>
        <w:rPr>
          <w:rFonts w:hint="eastAsia"/>
        </w:rPr>
        <w:t>均应建立粪污输送管理台帐（由农业和林业局定期检查监督），保证本项目产生的粪便均合理有效地利用，严禁乱排乱弃现场的产生。</w:t>
      </w:r>
    </w:p>
    <w:p>
      <w:pPr>
        <w:pStyle w:val="192"/>
        <w:rPr>
          <w:rFonts w:ascii="宋体" w:hAnsi="宋体" w:cs="宋体"/>
        </w:rPr>
      </w:pPr>
      <w:r>
        <w:rPr>
          <w:rFonts w:hint="eastAsia" w:ascii="宋体" w:hAnsi="宋体" w:cs="宋体"/>
        </w:rPr>
        <w:t>③按照</w:t>
      </w:r>
      <w:r>
        <w:rPr>
          <w:rFonts w:hint="eastAsia"/>
        </w:rPr>
        <w:t>既定</w:t>
      </w:r>
      <w:r>
        <w:rPr>
          <w:rFonts w:hint="eastAsia" w:ascii="宋体" w:hAnsi="宋体" w:cs="宋体"/>
        </w:rPr>
        <w:t>粪便运输路线，减少对沿线农户群的影响，避免粪便从县城等集中区经过。</w:t>
      </w:r>
    </w:p>
    <w:p>
      <w:pPr>
        <w:pStyle w:val="192"/>
      </w:pPr>
      <w:r>
        <w:rPr>
          <w:rFonts w:hint="eastAsia" w:ascii="宋体" w:hAnsi="宋体" w:cs="宋体"/>
        </w:rPr>
        <w:t>④</w:t>
      </w:r>
      <w:r>
        <w:rPr>
          <w:rFonts w:hint="eastAsia"/>
        </w:rPr>
        <w:t>合理安排粪便运输时间，减少对沿路敏感点的影响。</w:t>
      </w:r>
    </w:p>
    <w:p>
      <w:pPr>
        <w:pStyle w:val="192"/>
        <w:rPr>
          <w:rFonts w:ascii="宋体" w:hAnsi="宋体" w:cs="宋体"/>
        </w:rPr>
      </w:pPr>
      <w:r>
        <w:rPr>
          <w:rFonts w:hint="eastAsia" w:ascii="宋体" w:hAnsi="宋体" w:cs="宋体"/>
        </w:rPr>
        <w:t>⑤本项目废水严禁向地表水排放，故环保监管部门及建设单位应定期对项目北侧的东河进行监测，避免此情况发生。</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529" w:name="_Toc29110575"/>
      <w:r>
        <w:rPr>
          <w:rFonts w:hint="eastAsia" w:ascii="Times New Roman" w:hAnsi="Times New Roman" w:eastAsia="黑体" w:cs="Times New Roman"/>
          <w:b w:val="0"/>
          <w:bCs/>
          <w:spacing w:val="4"/>
          <w:kern w:val="2"/>
          <w:sz w:val="32"/>
          <w:szCs w:val="32"/>
        </w:rPr>
        <w:t>3</w:t>
      </w:r>
      <w:r>
        <w:rPr>
          <w:rFonts w:ascii="Times New Roman" w:hAnsi="Times New Roman" w:eastAsia="黑体" w:cs="Times New Roman"/>
          <w:b w:val="0"/>
          <w:bCs/>
          <w:spacing w:val="4"/>
          <w:kern w:val="2"/>
          <w:sz w:val="32"/>
          <w:szCs w:val="32"/>
        </w:rPr>
        <w:t>.12施工进度</w:t>
      </w:r>
      <w:bookmarkEnd w:id="529"/>
    </w:p>
    <w:p>
      <w:pPr>
        <w:snapToGrid w:val="0"/>
        <w:ind w:firstLine="480" w:firstLineChars="200"/>
      </w:pPr>
      <w:r>
        <w:t>本项目目前未开始建，预计2020年5月开始建设，2020年10月建成。</w:t>
      </w:r>
    </w:p>
    <w:p>
      <w:pPr>
        <w:snapToGrid w:val="0"/>
        <w:ind w:firstLine="480" w:firstLineChars="200"/>
      </w:pPr>
    </w:p>
    <w:p>
      <w:pPr>
        <w:sectPr>
          <w:headerReference r:id="rId5" w:type="default"/>
          <w:pgSz w:w="11907" w:h="16840"/>
          <w:pgMar w:top="1418" w:right="1418" w:bottom="1418" w:left="1418" w:header="851" w:footer="851" w:gutter="0"/>
          <w:cols w:space="720" w:num="1"/>
          <w:docGrid w:linePitch="326" w:charSpace="0"/>
        </w:sectPr>
      </w:pPr>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530" w:name="_Toc29110576"/>
      <w:bookmarkStart w:id="531" w:name="_Toc457480952"/>
      <w:r>
        <w:rPr>
          <w:rFonts w:ascii="Times New Roman" w:hAnsi="Times New Roman" w:eastAsia="黑体" w:cs="Times New Roman"/>
          <w:b w:val="0"/>
          <w:bCs/>
          <w:kern w:val="44"/>
          <w:sz w:val="36"/>
        </w:rPr>
        <w:t>工程分析</w:t>
      </w:r>
      <w:bookmarkEnd w:id="524"/>
      <w:bookmarkEnd w:id="525"/>
      <w:bookmarkEnd w:id="530"/>
      <w:bookmarkEnd w:id="531"/>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532" w:name="_Toc383099538"/>
      <w:bookmarkEnd w:id="532"/>
      <w:bookmarkStart w:id="533" w:name="_Toc383099537"/>
      <w:bookmarkEnd w:id="533"/>
      <w:bookmarkStart w:id="534" w:name="_Toc29110577"/>
      <w:bookmarkStart w:id="535" w:name="_Toc423336681"/>
      <w:r>
        <w:rPr>
          <w:rFonts w:hint="eastAsia" w:ascii="Times New Roman" w:hAnsi="Times New Roman" w:eastAsia="黑体" w:cs="Times New Roman"/>
          <w:b w:val="0"/>
          <w:bCs/>
          <w:spacing w:val="4"/>
          <w:kern w:val="2"/>
          <w:sz w:val="32"/>
          <w:szCs w:val="32"/>
        </w:rPr>
        <w:t>4</w:t>
      </w:r>
      <w:r>
        <w:rPr>
          <w:rFonts w:ascii="Times New Roman" w:hAnsi="Times New Roman" w:eastAsia="黑体" w:cs="Times New Roman"/>
          <w:b w:val="0"/>
          <w:bCs/>
          <w:spacing w:val="4"/>
          <w:kern w:val="2"/>
          <w:sz w:val="32"/>
          <w:szCs w:val="32"/>
        </w:rPr>
        <w:t>.1施工期工程分析</w:t>
      </w:r>
      <w:bookmarkEnd w:id="534"/>
    </w:p>
    <w:p>
      <w:pPr>
        <w:spacing w:before="120" w:after="60"/>
        <w:jc w:val="left"/>
        <w:outlineLvl w:val="2"/>
        <w:rPr>
          <w:rFonts w:eastAsia="黑体"/>
          <w:bCs/>
          <w:sz w:val="28"/>
          <w:szCs w:val="28"/>
        </w:rPr>
      </w:pPr>
      <w:r>
        <w:rPr>
          <w:rFonts w:hint="eastAsia" w:eastAsia="黑体"/>
          <w:bCs/>
          <w:sz w:val="28"/>
          <w:szCs w:val="28"/>
        </w:rPr>
        <w:t>4</w:t>
      </w:r>
      <w:r>
        <w:rPr>
          <w:rFonts w:eastAsia="黑体"/>
          <w:bCs/>
          <w:sz w:val="28"/>
          <w:szCs w:val="28"/>
        </w:rPr>
        <w:t>.1.1 工艺流程</w:t>
      </w:r>
    </w:p>
    <w:p>
      <w:pPr>
        <w:ind w:firstLine="480" w:firstLineChars="200"/>
        <w:rPr>
          <w:szCs w:val="28"/>
        </w:rPr>
      </w:pPr>
      <w:r>
        <w:rPr>
          <w:szCs w:val="28"/>
        </w:rPr>
        <w:t>本项目施工期主要包括基础工程、主体工程、装饰工程、工程验收等，</w:t>
      </w:r>
      <w:r>
        <w:rPr>
          <w:rFonts w:hint="eastAsia"/>
          <w:szCs w:val="28"/>
        </w:rPr>
        <w:t>施工期</w:t>
      </w:r>
      <w:r>
        <w:rPr>
          <w:szCs w:val="28"/>
        </w:rPr>
        <w:t>具体工艺流程及产污环节见图</w:t>
      </w:r>
      <w:r>
        <w:rPr>
          <w:rFonts w:hint="eastAsia"/>
          <w:szCs w:val="28"/>
        </w:rPr>
        <w:t>4</w:t>
      </w:r>
      <w:r>
        <w:rPr>
          <w:szCs w:val="28"/>
        </w:rPr>
        <w:t>.1-1</w:t>
      </w:r>
      <w:r>
        <w:rPr>
          <w:rFonts w:hint="eastAsia"/>
          <w:szCs w:val="28"/>
        </w:rPr>
        <w:t>。</w:t>
      </w:r>
    </w:p>
    <w:p>
      <w:pPr>
        <w:adjustRightInd w:val="0"/>
        <w:snapToGrid w:val="0"/>
        <w:jc w:val="center"/>
        <w:rPr>
          <w:rFonts w:eastAsia="黑体"/>
        </w:rPr>
      </w:pPr>
      <w:r>
        <w:rPr>
          <w:color w:val="FF0000"/>
        </w:rPr>
        <w:object>
          <v:shape id="_x0000_i1026" o:spt="75" type="#_x0000_t75" style="height:144pt;width:426.1pt;" o:ole="t" filled="f" o:preferrelative="t" stroked="f" coordsize="21600,21600">
            <v:path/>
            <v:fill on="f" focussize="0,0"/>
            <v:stroke on="f" joinstyle="miter"/>
            <v:imagedata r:id="rId16" o:title=""/>
            <o:lock v:ext="edit" aspectratio="t"/>
            <w10:wrap type="none"/>
            <w10:anchorlock/>
          </v:shape>
          <o:OLEObject Type="Embed" ProgID="Visio.Drawing.11" ShapeID="_x0000_i1026" DrawAspect="Content" ObjectID="_1468075726" r:id="rId15">
            <o:LockedField>false</o:LockedField>
          </o:OLEObject>
        </w:object>
      </w:r>
      <w:r>
        <w:rPr>
          <w:rFonts w:eastAsia="黑体"/>
        </w:rPr>
        <w:t>图</w:t>
      </w:r>
      <w:r>
        <w:rPr>
          <w:rFonts w:hint="eastAsia" w:eastAsia="黑体"/>
        </w:rPr>
        <w:t>4</w:t>
      </w:r>
      <w:r>
        <w:rPr>
          <w:rFonts w:eastAsia="黑体"/>
        </w:rPr>
        <w:t>.1-1  施工期工艺流程及产污位置示意图</w:t>
      </w:r>
    </w:p>
    <w:p>
      <w:pPr>
        <w:spacing w:before="120" w:after="60"/>
        <w:jc w:val="left"/>
        <w:outlineLvl w:val="2"/>
        <w:rPr>
          <w:rFonts w:eastAsia="黑体"/>
          <w:bCs/>
          <w:sz w:val="28"/>
          <w:szCs w:val="28"/>
        </w:rPr>
      </w:pPr>
      <w:r>
        <w:rPr>
          <w:rFonts w:hint="eastAsia" w:eastAsia="黑体"/>
          <w:bCs/>
          <w:sz w:val="28"/>
          <w:szCs w:val="28"/>
        </w:rPr>
        <w:t>4</w:t>
      </w:r>
      <w:r>
        <w:rPr>
          <w:rFonts w:eastAsia="黑体"/>
          <w:bCs/>
          <w:sz w:val="28"/>
          <w:szCs w:val="28"/>
        </w:rPr>
        <w:t>.1.2主要污染工序</w:t>
      </w:r>
    </w:p>
    <w:p>
      <w:pPr>
        <w:ind w:firstLine="480" w:firstLineChars="200"/>
        <w:rPr>
          <w:szCs w:val="28"/>
        </w:rPr>
      </w:pPr>
      <w:r>
        <w:rPr>
          <w:szCs w:val="28"/>
        </w:rPr>
        <w:t>施工期污染因素主要为厂房的修建产生建筑废渣、建筑噪声、扬尘、施工人员的生活废水。</w:t>
      </w:r>
    </w:p>
    <w:p>
      <w:pPr>
        <w:ind w:firstLine="480" w:firstLineChars="200"/>
        <w:rPr>
          <w:szCs w:val="28"/>
        </w:rPr>
      </w:pPr>
      <w:r>
        <w:rPr>
          <w:rFonts w:hint="eastAsia"/>
          <w:szCs w:val="28"/>
        </w:rPr>
        <w:t>（1）</w:t>
      </w:r>
      <w:r>
        <w:rPr>
          <w:szCs w:val="28"/>
        </w:rPr>
        <w:t>废气：各类燃油动力机械施工作业时会排出各类燃油废气，排放的主要污染物为CO、NO</w:t>
      </w:r>
      <w:r>
        <w:rPr>
          <w:szCs w:val="28"/>
          <w:vertAlign w:val="subscript"/>
        </w:rPr>
        <w:t>X</w:t>
      </w:r>
      <w:r>
        <w:rPr>
          <w:szCs w:val="28"/>
        </w:rPr>
        <w:t>、SO</w:t>
      </w:r>
      <w:r>
        <w:rPr>
          <w:szCs w:val="28"/>
          <w:vertAlign w:val="subscript"/>
        </w:rPr>
        <w:t>2</w:t>
      </w:r>
      <w:r>
        <w:rPr>
          <w:szCs w:val="28"/>
        </w:rPr>
        <w:t>、烟尘。土石方装卸、运输时产生的扬尘，排放的主要污染物为TSP。</w:t>
      </w:r>
    </w:p>
    <w:p>
      <w:pPr>
        <w:ind w:firstLine="480" w:firstLineChars="200"/>
        <w:rPr>
          <w:szCs w:val="28"/>
        </w:rPr>
      </w:pPr>
      <w:r>
        <w:rPr>
          <w:rFonts w:hint="eastAsia"/>
          <w:szCs w:val="28"/>
        </w:rPr>
        <w:t>（2）</w:t>
      </w:r>
      <w:r>
        <w:rPr>
          <w:szCs w:val="28"/>
        </w:rPr>
        <w:t>废水：施工人员产生的生活废水，主要污染物为BOD</w:t>
      </w:r>
      <w:r>
        <w:rPr>
          <w:szCs w:val="28"/>
          <w:vertAlign w:val="subscript"/>
        </w:rPr>
        <w:t>5</w:t>
      </w:r>
      <w:r>
        <w:rPr>
          <w:szCs w:val="28"/>
        </w:rPr>
        <w:t>、COD、SS。运输车辆冲洗水、混凝土工程的灰浆，主要污染物为SS。</w:t>
      </w:r>
    </w:p>
    <w:p>
      <w:pPr>
        <w:ind w:firstLine="480" w:firstLineChars="200"/>
        <w:rPr>
          <w:szCs w:val="28"/>
        </w:rPr>
      </w:pPr>
      <w:r>
        <w:rPr>
          <w:rFonts w:hint="eastAsia"/>
          <w:szCs w:val="28"/>
        </w:rPr>
        <w:t>（3）</w:t>
      </w:r>
      <w:r>
        <w:rPr>
          <w:szCs w:val="28"/>
        </w:rPr>
        <w:t>噪声：各类施工机械和运输车辆等施工作业时产生设备噪声。</w:t>
      </w:r>
    </w:p>
    <w:p>
      <w:pPr>
        <w:ind w:firstLine="480" w:firstLineChars="200"/>
        <w:rPr>
          <w:szCs w:val="28"/>
        </w:rPr>
      </w:pPr>
      <w:r>
        <w:rPr>
          <w:rFonts w:hint="eastAsia"/>
          <w:szCs w:val="28"/>
        </w:rPr>
        <w:t>（4）</w:t>
      </w:r>
      <w:r>
        <w:rPr>
          <w:szCs w:val="28"/>
        </w:rPr>
        <w:t>固废：基础工程施工时产生挖掘的土方和建筑垃圾等。</w:t>
      </w:r>
    </w:p>
    <w:p>
      <w:pPr>
        <w:spacing w:before="120" w:after="60"/>
        <w:jc w:val="left"/>
        <w:outlineLvl w:val="2"/>
        <w:rPr>
          <w:rFonts w:eastAsia="黑体"/>
          <w:bCs/>
          <w:sz w:val="28"/>
          <w:szCs w:val="28"/>
        </w:rPr>
      </w:pPr>
      <w:r>
        <w:rPr>
          <w:rFonts w:hint="eastAsia" w:eastAsia="黑体"/>
          <w:bCs/>
          <w:sz w:val="28"/>
          <w:szCs w:val="28"/>
        </w:rPr>
        <w:t>4</w:t>
      </w:r>
      <w:r>
        <w:rPr>
          <w:rFonts w:eastAsia="黑体"/>
          <w:bCs/>
          <w:sz w:val="28"/>
          <w:szCs w:val="28"/>
        </w:rPr>
        <w:t>.1.3 施工期污染物排放及治理措施</w:t>
      </w:r>
    </w:p>
    <w:p>
      <w:pPr>
        <w:rPr>
          <w:b/>
          <w:bCs/>
          <w:szCs w:val="28"/>
        </w:rPr>
      </w:pPr>
      <w:r>
        <w:rPr>
          <w:rFonts w:hint="eastAsia"/>
          <w:b/>
          <w:bCs/>
          <w:szCs w:val="28"/>
        </w:rPr>
        <w:t>4.1.3.1 废水排放及治理措施</w:t>
      </w:r>
    </w:p>
    <w:p>
      <w:pPr>
        <w:ind w:firstLine="480" w:firstLineChars="200"/>
        <w:rPr>
          <w:szCs w:val="28"/>
        </w:rPr>
      </w:pPr>
      <w:r>
        <w:rPr>
          <w:szCs w:val="28"/>
        </w:rPr>
        <w:t>施工期的废水排放主要来自于建筑施工人员的生活污水和施工废水。</w:t>
      </w:r>
    </w:p>
    <w:p>
      <w:pPr>
        <w:ind w:firstLine="482" w:firstLineChars="200"/>
        <w:rPr>
          <w:szCs w:val="28"/>
        </w:rPr>
      </w:pPr>
      <w:r>
        <w:rPr>
          <w:b/>
          <w:bCs/>
          <w:szCs w:val="28"/>
        </w:rPr>
        <w:t>生活污水：</w:t>
      </w:r>
      <w:r>
        <w:rPr>
          <w:rFonts w:hint="eastAsia"/>
          <w:szCs w:val="28"/>
        </w:rPr>
        <w:t>施工</w:t>
      </w:r>
      <w:r>
        <w:rPr>
          <w:szCs w:val="28"/>
        </w:rPr>
        <w:t>人员就近租用</w:t>
      </w:r>
      <w:r>
        <w:rPr>
          <w:rFonts w:hint="eastAsia"/>
          <w:szCs w:val="28"/>
        </w:rPr>
        <w:t>附近</w:t>
      </w:r>
      <w:r>
        <w:rPr>
          <w:szCs w:val="28"/>
        </w:rPr>
        <w:t>民宅居住</w:t>
      </w:r>
      <w:r>
        <w:rPr>
          <w:rFonts w:hint="eastAsia"/>
          <w:szCs w:val="28"/>
        </w:rPr>
        <w:t>，</w:t>
      </w:r>
      <w:r>
        <w:rPr>
          <w:szCs w:val="28"/>
        </w:rPr>
        <w:t>不在施工现场住宿和</w:t>
      </w:r>
      <w:r>
        <w:rPr>
          <w:rFonts w:hint="eastAsia"/>
          <w:szCs w:val="28"/>
        </w:rPr>
        <w:t>煮饭，因此</w:t>
      </w:r>
      <w:r>
        <w:rPr>
          <w:szCs w:val="28"/>
        </w:rPr>
        <w:t>施工现场的生活污水主要为施工人员入厕废水，</w:t>
      </w:r>
      <w:r>
        <w:rPr>
          <w:rFonts w:hint="eastAsia"/>
          <w:szCs w:val="28"/>
        </w:rPr>
        <w:t>施工</w:t>
      </w:r>
      <w:r>
        <w:rPr>
          <w:szCs w:val="28"/>
        </w:rPr>
        <w:t>单位在施工现场</w:t>
      </w:r>
      <w:r>
        <w:rPr>
          <w:rFonts w:hint="eastAsia"/>
          <w:szCs w:val="28"/>
        </w:rPr>
        <w:t>建设节水</w:t>
      </w:r>
      <w:r>
        <w:rPr>
          <w:szCs w:val="28"/>
        </w:rPr>
        <w:t>式</w:t>
      </w:r>
      <w:r>
        <w:rPr>
          <w:rFonts w:hint="eastAsia"/>
          <w:szCs w:val="28"/>
        </w:rPr>
        <w:t>移动</w:t>
      </w:r>
      <w:r>
        <w:rPr>
          <w:szCs w:val="28"/>
        </w:rPr>
        <w:t>卫生厕所</w:t>
      </w:r>
      <w:r>
        <w:rPr>
          <w:rFonts w:hint="eastAsia"/>
          <w:szCs w:val="28"/>
        </w:rPr>
        <w:t>并依托租用民房的旱厕进行收集后</w:t>
      </w:r>
      <w:r>
        <w:t>用于当地农田施肥。</w:t>
      </w:r>
    </w:p>
    <w:p>
      <w:pPr>
        <w:ind w:firstLine="482" w:firstLineChars="200"/>
        <w:rPr>
          <w:szCs w:val="28"/>
        </w:rPr>
      </w:pPr>
      <w:r>
        <w:rPr>
          <w:b/>
          <w:bCs/>
          <w:szCs w:val="28"/>
        </w:rPr>
        <w:t>施工废水：</w:t>
      </w:r>
      <w:r>
        <w:rPr>
          <w:szCs w:val="28"/>
        </w:rPr>
        <w:t>施工现场进行砂、石冲洗等过程中废水经沉淀池沉淀后循环使用，用于施工现场的洒水降尘等，不外排。</w:t>
      </w:r>
      <w:r>
        <w:rPr>
          <w:rFonts w:hint="eastAsia"/>
          <w:szCs w:val="28"/>
        </w:rPr>
        <w:t>项目场地</w:t>
      </w:r>
      <w:r>
        <w:rPr>
          <w:szCs w:val="28"/>
        </w:rPr>
        <w:t>内不设</w:t>
      </w:r>
      <w:r>
        <w:rPr>
          <w:rFonts w:hint="eastAsia"/>
          <w:szCs w:val="28"/>
        </w:rPr>
        <w:t>机械</w:t>
      </w:r>
      <w:r>
        <w:rPr>
          <w:szCs w:val="28"/>
        </w:rPr>
        <w:t>维修。</w:t>
      </w:r>
    </w:p>
    <w:p>
      <w:pPr>
        <w:rPr>
          <w:b/>
          <w:bCs/>
          <w:szCs w:val="28"/>
        </w:rPr>
      </w:pPr>
      <w:r>
        <w:rPr>
          <w:rFonts w:hint="eastAsia"/>
          <w:b/>
          <w:bCs/>
          <w:szCs w:val="28"/>
        </w:rPr>
        <w:t>4.1.3.2 废气排放及治理措施</w:t>
      </w:r>
    </w:p>
    <w:p>
      <w:pPr>
        <w:ind w:firstLine="480" w:firstLineChars="200"/>
        <w:rPr>
          <w:szCs w:val="28"/>
        </w:rPr>
      </w:pPr>
      <w:r>
        <w:rPr>
          <w:rFonts w:hint="eastAsia"/>
          <w:szCs w:val="28"/>
        </w:rPr>
        <w:t>（1）施工</w:t>
      </w:r>
      <w:r>
        <w:rPr>
          <w:szCs w:val="28"/>
        </w:rPr>
        <w:t>扬尘</w:t>
      </w:r>
    </w:p>
    <w:p>
      <w:pPr>
        <w:ind w:firstLine="480" w:firstLineChars="200"/>
        <w:rPr>
          <w:szCs w:val="28"/>
        </w:rPr>
      </w:pPr>
      <w:r>
        <w:rPr>
          <w:szCs w:val="28"/>
        </w:rPr>
        <w:t>施工期施工车辆产生的扬尘污染比较严重，且影响范围也较大，扬尘属于粒径较小的降尘（10～20μm），未铺装道路表面（泥土）粉尘粒径分布为：小于5μm的占8%，5～30μm的占24%，大于30μm的占68%。因此，施工道路极易起尘，但扬尘与灰土拌和产生的粉尘相比，其危害较小，且其影响周期也较短，可采用洒水措施来降低扬尘污染。</w:t>
      </w:r>
    </w:p>
    <w:p>
      <w:pPr>
        <w:ind w:firstLine="480" w:firstLineChars="200"/>
        <w:rPr>
          <w:szCs w:val="28"/>
        </w:rPr>
      </w:pPr>
      <w:r>
        <w:rPr>
          <w:szCs w:val="28"/>
        </w:rPr>
        <w:t>根据中国环境科学研究院的研究，建筑扬尘排放经验因子为0.292kg/m</w:t>
      </w:r>
      <w:r>
        <w:rPr>
          <w:szCs w:val="28"/>
          <w:vertAlign w:val="superscript"/>
        </w:rPr>
        <w:t>2</w:t>
      </w:r>
      <w:r>
        <w:rPr>
          <w:szCs w:val="28"/>
        </w:rPr>
        <w:t>，</w:t>
      </w:r>
      <w:r>
        <w:rPr>
          <w:rFonts w:hint="eastAsia"/>
          <w:szCs w:val="28"/>
        </w:rPr>
        <w:t>根据</w:t>
      </w:r>
      <w:r>
        <w:rPr>
          <w:szCs w:val="28"/>
        </w:rPr>
        <w:t>类比分析，</w:t>
      </w:r>
      <w:r>
        <w:rPr>
          <w:rFonts w:hint="eastAsia"/>
          <w:szCs w:val="28"/>
        </w:rPr>
        <w:t>建筑</w:t>
      </w:r>
      <w:r>
        <w:rPr>
          <w:szCs w:val="28"/>
        </w:rPr>
        <w:t>施工场地扬尘浓度一般约为3.5mg/m</w:t>
      </w:r>
      <w:r>
        <w:rPr>
          <w:szCs w:val="28"/>
          <w:vertAlign w:val="superscript"/>
        </w:rPr>
        <w:t>3</w:t>
      </w:r>
      <w:r>
        <w:rPr>
          <w:szCs w:val="28"/>
        </w:rPr>
        <w:t>。</w:t>
      </w:r>
    </w:p>
    <w:p>
      <w:pPr>
        <w:ind w:firstLine="480" w:firstLineChars="200"/>
        <w:rPr>
          <w:szCs w:val="28"/>
        </w:rPr>
      </w:pPr>
      <w:r>
        <w:rPr>
          <w:rFonts w:hint="eastAsia"/>
          <w:szCs w:val="28"/>
        </w:rPr>
        <w:t>根据</w:t>
      </w:r>
      <w:r>
        <w:rPr>
          <w:szCs w:val="28"/>
        </w:rPr>
        <w:t>现场调查，</w:t>
      </w:r>
      <w:r>
        <w:rPr>
          <w:rFonts w:hint="eastAsia"/>
          <w:szCs w:val="28"/>
        </w:rPr>
        <w:t>本项目施工</w:t>
      </w:r>
      <w:r>
        <w:rPr>
          <w:szCs w:val="28"/>
        </w:rPr>
        <w:t>量不大，为减少扬尘的产生量及其浓度，在施工过程中，施工单位应采取以下措施：</w:t>
      </w:r>
    </w:p>
    <w:p>
      <w:pPr>
        <w:ind w:firstLine="480" w:firstLineChars="200"/>
        <w:rPr>
          <w:szCs w:val="28"/>
        </w:rPr>
      </w:pPr>
      <w:r>
        <w:rPr>
          <w:rFonts w:hint="eastAsia"/>
          <w:szCs w:val="28"/>
        </w:rPr>
        <w:t>①</w:t>
      </w:r>
      <w:r>
        <w:rPr>
          <w:szCs w:val="28"/>
        </w:rPr>
        <w:t>文明施工，定期对地面洒水，并对撒落在路面的渣土尽快清除。</w:t>
      </w:r>
    </w:p>
    <w:p>
      <w:pPr>
        <w:ind w:firstLine="480" w:firstLineChars="200"/>
        <w:rPr>
          <w:szCs w:val="28"/>
        </w:rPr>
      </w:pPr>
      <w:r>
        <w:rPr>
          <w:rFonts w:hint="eastAsia"/>
          <w:szCs w:val="28"/>
        </w:rPr>
        <w:t>②</w:t>
      </w:r>
      <w:r>
        <w:rPr>
          <w:szCs w:val="28"/>
        </w:rPr>
        <w:t>在施工场地对施工车辆实施限速行驶，同时施工现场主要运输道路尽量采用硬化路面并进行洒水抑尘；在施工场地出口放置防尘垫，对运输车辆现场用水清洗车体和轮胎，清洗用水进行统一收集，</w:t>
      </w:r>
      <w:r>
        <w:rPr>
          <w:rFonts w:hint="eastAsia"/>
          <w:szCs w:val="28"/>
        </w:rPr>
        <w:t>循环利用，</w:t>
      </w:r>
      <w:r>
        <w:rPr>
          <w:szCs w:val="28"/>
        </w:rPr>
        <w:t>不得向水体排放。</w:t>
      </w:r>
    </w:p>
    <w:p>
      <w:pPr>
        <w:ind w:firstLine="480" w:firstLineChars="200"/>
        <w:rPr>
          <w:szCs w:val="28"/>
        </w:rPr>
      </w:pPr>
      <w:r>
        <w:rPr>
          <w:rFonts w:hint="eastAsia"/>
          <w:szCs w:val="28"/>
        </w:rPr>
        <w:t>③</w:t>
      </w:r>
      <w:r>
        <w:rPr>
          <w:szCs w:val="28"/>
        </w:rPr>
        <w:t>禁止在风天进行渣土堆放作业，建材堆放地点相对集中，临时废弃土石堆场及时清运，并对堆场必须以毡布覆盖，不得有裸土，并且裸露地面进行硬化和绿化，减少建材的露天堆放时间；开挖出的土石方应加强围栏，表面用毡布覆盖，并及时将回填开挖土石方。</w:t>
      </w:r>
    </w:p>
    <w:p>
      <w:pPr>
        <w:ind w:firstLine="480" w:firstLineChars="200"/>
        <w:rPr>
          <w:szCs w:val="28"/>
        </w:rPr>
      </w:pPr>
      <w:r>
        <w:rPr>
          <w:rFonts w:hint="eastAsia"/>
          <w:szCs w:val="28"/>
        </w:rPr>
        <w:t>④</w:t>
      </w:r>
      <w:r>
        <w:rPr>
          <w:szCs w:val="28"/>
        </w:rPr>
        <w:t>风速大于3m/s时应停止施工。</w:t>
      </w:r>
    </w:p>
    <w:p>
      <w:pPr>
        <w:ind w:firstLine="480" w:firstLineChars="200"/>
        <w:rPr>
          <w:szCs w:val="28"/>
        </w:rPr>
      </w:pPr>
      <w:r>
        <w:rPr>
          <w:rFonts w:hint="eastAsia"/>
          <w:szCs w:val="28"/>
        </w:rPr>
        <w:t>⑤</w:t>
      </w:r>
      <w:r>
        <w:rPr>
          <w:szCs w:val="28"/>
        </w:rPr>
        <w:t>施工建设应使用商品混凝土。因条件限制确需设置搅拌机或人工搅拌的工地，必须采取防尘措施</w:t>
      </w:r>
      <w:r>
        <w:rPr>
          <w:rFonts w:hint="eastAsia"/>
          <w:szCs w:val="28"/>
        </w:rPr>
        <w:t>。</w:t>
      </w:r>
    </w:p>
    <w:p>
      <w:pPr>
        <w:ind w:firstLine="480" w:firstLineChars="200"/>
        <w:rPr>
          <w:szCs w:val="28"/>
        </w:rPr>
      </w:pPr>
      <w:r>
        <w:rPr>
          <w:rFonts w:hint="eastAsia"/>
          <w:szCs w:val="28"/>
        </w:rPr>
        <w:t>⑥场地内</w:t>
      </w:r>
      <w:r>
        <w:rPr>
          <w:szCs w:val="28"/>
        </w:rPr>
        <w:t>道路进行硬化处理，并对</w:t>
      </w:r>
      <w:r>
        <w:rPr>
          <w:rFonts w:hint="eastAsia"/>
          <w:szCs w:val="28"/>
        </w:rPr>
        <w:t>场地</w:t>
      </w:r>
      <w:r>
        <w:rPr>
          <w:szCs w:val="28"/>
        </w:rPr>
        <w:t>内周边</w:t>
      </w:r>
      <w:r>
        <w:rPr>
          <w:rFonts w:hint="eastAsia"/>
          <w:szCs w:val="28"/>
        </w:rPr>
        <w:t>暂未</w:t>
      </w:r>
      <w:r>
        <w:rPr>
          <w:szCs w:val="28"/>
        </w:rPr>
        <w:t>利用</w:t>
      </w:r>
      <w:r>
        <w:rPr>
          <w:rFonts w:hint="eastAsia"/>
          <w:szCs w:val="28"/>
        </w:rPr>
        <w:t>的</w:t>
      </w:r>
      <w:r>
        <w:rPr>
          <w:szCs w:val="28"/>
        </w:rPr>
        <w:t>裸土区域尽快进行绿化覆盖</w:t>
      </w:r>
      <w:r>
        <w:rPr>
          <w:rFonts w:hint="eastAsia"/>
          <w:szCs w:val="28"/>
        </w:rPr>
        <w:t>。</w:t>
      </w:r>
    </w:p>
    <w:p>
      <w:pPr>
        <w:ind w:firstLine="480" w:firstLineChars="200"/>
        <w:rPr>
          <w:szCs w:val="28"/>
        </w:rPr>
      </w:pPr>
      <w:r>
        <w:rPr>
          <w:rFonts w:hint="eastAsia"/>
          <w:szCs w:val="28"/>
        </w:rPr>
        <w:t>除上述措施外，项目在施工过程中还需采取以下扬尘防治措施：</w:t>
      </w:r>
      <w:r>
        <w:rPr>
          <w:szCs w:val="28"/>
        </w:rPr>
        <w:t xml:space="preserve"> </w:t>
      </w:r>
    </w:p>
    <w:p>
      <w:pPr>
        <w:ind w:firstLine="480" w:firstLineChars="200"/>
        <w:rPr>
          <w:szCs w:val="28"/>
        </w:rPr>
      </w:pPr>
      <w:r>
        <w:rPr>
          <w:rFonts w:hint="eastAsia"/>
          <w:szCs w:val="28"/>
        </w:rPr>
        <w:t>①施工期应严格按照《四川省人民政府办公厅关于印发四川省大气污染防治行动计划实施细则</w:t>
      </w:r>
      <w:r>
        <w:rPr>
          <w:szCs w:val="28"/>
        </w:rPr>
        <w:t>2015年度实施计划的通知》（川办函〔2015〕59 号）、《四川省人民政府关于印发四川省大气污染防治行动计划实施细则的通知》（川府发〔2014〕4 号）和《四川省人民政府办公厅关于加强灰霾污染防治的通知》（川办发[2013]32号）、关于印发《四川省灰霾污染防治实施方案》的通知（川环发〔2013〕78号）及《四川省灰霾污染防治办法》（四川省人民政府令第288号）相关规定做好扬尘防治工作：严格施工工地扬尘环境监管；及时洒水、渣</w:t>
      </w:r>
      <w:r>
        <w:rPr>
          <w:rFonts w:hint="eastAsia"/>
          <w:szCs w:val="28"/>
        </w:rPr>
        <w:t>土车密闭运输等措施。</w:t>
      </w:r>
      <w:r>
        <w:rPr>
          <w:szCs w:val="28"/>
        </w:rPr>
        <w:t xml:space="preserve"> </w:t>
      </w:r>
    </w:p>
    <w:p>
      <w:pPr>
        <w:ind w:firstLine="480" w:firstLineChars="200"/>
        <w:rPr>
          <w:szCs w:val="28"/>
        </w:rPr>
      </w:pPr>
      <w:r>
        <w:rPr>
          <w:rFonts w:hint="eastAsia"/>
          <w:szCs w:val="28"/>
        </w:rPr>
        <w:t>②施工单位必须</w:t>
      </w:r>
      <w:r>
        <w:rPr>
          <w:szCs w:val="28"/>
        </w:rPr>
        <w:t>做好防尘。</w:t>
      </w:r>
      <w:r>
        <w:rPr>
          <w:rFonts w:hint="eastAsia"/>
          <w:szCs w:val="28"/>
        </w:rPr>
        <w:t>施工期间</w:t>
      </w:r>
      <w:r>
        <w:rPr>
          <w:szCs w:val="28"/>
        </w:rPr>
        <w:t>必须打围作业、必须硬化道路、必须设置冲洗设施、必须湿法作业、必须配齐保洁人员、必须定时清扫施工现场；不准露天搅拌混凝土、不准车辆带泥出门，不准运渣车辆超载、冒载，不准高空抛撒建渣、不准场地积水、不准现场焚烧废弃物。在项</w:t>
      </w:r>
      <w:r>
        <w:rPr>
          <w:rFonts w:hint="eastAsia"/>
          <w:szCs w:val="28"/>
        </w:rPr>
        <w:t>目开工前，建设单位与施工单位应向建设、环境等部门分别提交扬尘污染防治方案与具体实施方案，并将扬尘污染防治纳入工程监理范围，扬尘污染防治费用纳入工程预算。本</w:t>
      </w:r>
      <w:r>
        <w:rPr>
          <w:szCs w:val="28"/>
        </w:rPr>
        <w:t>项目位于农村环境</w:t>
      </w:r>
      <w:r>
        <w:rPr>
          <w:rFonts w:hint="eastAsia"/>
          <w:szCs w:val="28"/>
        </w:rPr>
        <w:t>，场地外</w:t>
      </w:r>
      <w:r>
        <w:rPr>
          <w:szCs w:val="28"/>
        </w:rPr>
        <w:t>为泥土路</w:t>
      </w:r>
      <w:r>
        <w:rPr>
          <w:rFonts w:hint="eastAsia"/>
          <w:szCs w:val="28"/>
        </w:rPr>
        <w:t>。同时为减少</w:t>
      </w:r>
      <w:r>
        <w:rPr>
          <w:szCs w:val="28"/>
        </w:rPr>
        <w:t>车辆带泥出门，要求</w:t>
      </w:r>
      <w:r>
        <w:rPr>
          <w:rFonts w:hint="eastAsia"/>
          <w:szCs w:val="28"/>
        </w:rPr>
        <w:t>建设</w:t>
      </w:r>
      <w:r>
        <w:rPr>
          <w:szCs w:val="28"/>
        </w:rPr>
        <w:t>单位</w:t>
      </w:r>
      <w:r>
        <w:rPr>
          <w:rFonts w:hint="eastAsia"/>
          <w:szCs w:val="28"/>
        </w:rPr>
        <w:t>硬化</w:t>
      </w:r>
      <w:r>
        <w:rPr>
          <w:szCs w:val="28"/>
        </w:rPr>
        <w:t>场地主要运输道路</w:t>
      </w:r>
      <w:r>
        <w:rPr>
          <w:rFonts w:hint="eastAsia"/>
          <w:szCs w:val="28"/>
        </w:rPr>
        <w:t>；加强</w:t>
      </w:r>
      <w:r>
        <w:rPr>
          <w:szCs w:val="28"/>
        </w:rPr>
        <w:t>管理，</w:t>
      </w:r>
      <w:r>
        <w:rPr>
          <w:rFonts w:hint="eastAsia"/>
          <w:szCs w:val="28"/>
        </w:rPr>
        <w:t>在厂区</w:t>
      </w:r>
      <w:r>
        <w:rPr>
          <w:szCs w:val="28"/>
        </w:rPr>
        <w:t>出口处设置</w:t>
      </w:r>
      <w:r>
        <w:rPr>
          <w:rFonts w:hint="eastAsia"/>
          <w:szCs w:val="28"/>
        </w:rPr>
        <w:t>约2m</w:t>
      </w:r>
      <w:r>
        <w:rPr>
          <w:rFonts w:hint="eastAsia"/>
          <w:szCs w:val="28"/>
          <w:vertAlign w:val="superscript"/>
        </w:rPr>
        <w:t>3</w:t>
      </w:r>
      <w:r>
        <w:rPr>
          <w:szCs w:val="28"/>
        </w:rPr>
        <w:t>的沉淀池，</w:t>
      </w:r>
      <w:r>
        <w:rPr>
          <w:rFonts w:hint="eastAsia"/>
          <w:szCs w:val="28"/>
        </w:rPr>
        <w:t>对</w:t>
      </w:r>
      <w:r>
        <w:rPr>
          <w:szCs w:val="28"/>
        </w:rPr>
        <w:t>出场车辆轮胎</w:t>
      </w:r>
      <w:r>
        <w:rPr>
          <w:rFonts w:hint="eastAsia"/>
          <w:szCs w:val="28"/>
        </w:rPr>
        <w:t>进行</w:t>
      </w:r>
      <w:r>
        <w:rPr>
          <w:szCs w:val="28"/>
        </w:rPr>
        <w:t>冲洗，严禁带泥出门。</w:t>
      </w:r>
      <w:r>
        <w:rPr>
          <w:rFonts w:hint="eastAsia"/>
          <w:szCs w:val="28"/>
        </w:rPr>
        <w:t>冲洗水经</w:t>
      </w:r>
      <w:r>
        <w:rPr>
          <w:szCs w:val="28"/>
        </w:rPr>
        <w:t>沉淀后循环使用。</w:t>
      </w:r>
    </w:p>
    <w:p>
      <w:pPr>
        <w:ind w:firstLine="480" w:firstLineChars="200"/>
        <w:rPr>
          <w:szCs w:val="28"/>
        </w:rPr>
      </w:pPr>
      <w:r>
        <w:rPr>
          <w:rFonts w:hint="eastAsia"/>
          <w:szCs w:val="28"/>
        </w:rPr>
        <w:t>③严格遵守《乐山市市重污染天气预防和应急预案》</w:t>
      </w:r>
      <w:r>
        <w:rPr>
          <w:szCs w:val="28"/>
        </w:rPr>
        <w:t>相关要求，当</w:t>
      </w:r>
      <w:r>
        <w:rPr>
          <w:rFonts w:hint="eastAsia"/>
          <w:szCs w:val="28"/>
        </w:rPr>
        <w:t>乐山</w:t>
      </w:r>
      <w:r>
        <w:rPr>
          <w:szCs w:val="28"/>
        </w:rPr>
        <w:t>市相关部门发布重污染天气预警时，根据预警级别采取相应的应急措施。应急措施具体包括停止使用易产生挥发性有机物的装修材料、禁止土石方开挖、工地做好洒水降尘工作、材料和渣土运输车辆禁行等。</w:t>
      </w:r>
    </w:p>
    <w:p>
      <w:pPr>
        <w:ind w:firstLine="480" w:firstLineChars="200"/>
        <w:rPr>
          <w:szCs w:val="28"/>
        </w:rPr>
      </w:pPr>
      <w:r>
        <w:rPr>
          <w:rFonts w:hint="eastAsia"/>
          <w:szCs w:val="28"/>
        </w:rPr>
        <w:t>（2）施工机械废气、装修油漆废气</w:t>
      </w:r>
    </w:p>
    <w:p>
      <w:pPr>
        <w:ind w:firstLine="480" w:firstLineChars="200"/>
        <w:rPr>
          <w:szCs w:val="28"/>
        </w:rPr>
      </w:pPr>
      <w:r>
        <w:rPr>
          <w:rFonts w:hint="eastAsia"/>
          <w:szCs w:val="28"/>
        </w:rPr>
        <w:t>施工期间，使用机动车运送原材料、设备和建筑机械设备的运转，均会排放一定量的CO、NOx以及未完全燃烧的THC等，其特点是排放量小，且属间断性无组织排放，由于施工场地开阔，扩散条件良好，因此在采取相应的措施后能够做到达标排放。在施工期内应多加注意施工设备的维护，使其能够正常的运行，提高设备原料的利用率。</w:t>
      </w:r>
    </w:p>
    <w:p>
      <w:pPr>
        <w:ind w:firstLine="480" w:firstLineChars="200"/>
        <w:rPr>
          <w:szCs w:val="28"/>
        </w:rPr>
      </w:pPr>
      <w:r>
        <w:rPr>
          <w:rFonts w:hint="eastAsia"/>
          <w:szCs w:val="28"/>
        </w:rPr>
        <w:t>油漆废气主要来自于办公楼装修阶段，该废气的排放属无组织排放，其主要污染因子为二甲苯和甲苯，此外还有极少量的汽油、丁醇和丙醇等。由于油漆废气的排放时间和部位不能十分明确，并且装修阶段的油漆废气排放周期短，且作业量较小。因此，在装修油漆期间，施工单位在采用环保型油漆、加强室内的通风换气情况下，再加之项目所在场地扩散条件较好，从而，项目装修施工产生的油漆废气可实现达标排放。</w:t>
      </w:r>
    </w:p>
    <w:p>
      <w:pPr>
        <w:rPr>
          <w:b/>
          <w:bCs/>
          <w:szCs w:val="28"/>
        </w:rPr>
      </w:pPr>
      <w:r>
        <w:rPr>
          <w:b/>
          <w:bCs/>
          <w:szCs w:val="28"/>
        </w:rPr>
        <w:t>4</w:t>
      </w:r>
      <w:r>
        <w:rPr>
          <w:rFonts w:hint="eastAsia"/>
          <w:b/>
          <w:bCs/>
          <w:szCs w:val="28"/>
        </w:rPr>
        <w:t>.1.3.3 噪声排放及治理措施</w:t>
      </w:r>
    </w:p>
    <w:p>
      <w:pPr>
        <w:ind w:firstLine="480" w:firstLineChars="200"/>
        <w:rPr>
          <w:szCs w:val="28"/>
        </w:rPr>
      </w:pPr>
      <w:r>
        <w:rPr>
          <w:szCs w:val="28"/>
        </w:rPr>
        <w:t>由于施工作业，工程机械将产生噪声，噪声源强80-95dB，属间断性噪声。同时使用运输车辆，建材的运输及装卸均会产生一定量的噪声。</w:t>
      </w:r>
    </w:p>
    <w:p>
      <w:pPr>
        <w:ind w:firstLine="480" w:firstLineChars="200"/>
        <w:rPr>
          <w:szCs w:val="28"/>
        </w:rPr>
      </w:pPr>
      <w:r>
        <w:rPr>
          <w:rFonts w:hint="eastAsia"/>
          <w:szCs w:val="28"/>
        </w:rPr>
        <w:t>环评</w:t>
      </w:r>
      <w:r>
        <w:rPr>
          <w:szCs w:val="28"/>
        </w:rPr>
        <w:t>建议工程施工尽可能地安排在白天进行，以减少噪声扰民的程度，应该严格按照《建筑施工厂界环境噪声排放标准》（GB12523-2011）施工。</w:t>
      </w:r>
    </w:p>
    <w:p>
      <w:pPr>
        <w:ind w:firstLine="480" w:firstLineChars="200"/>
        <w:rPr>
          <w:szCs w:val="28"/>
        </w:rPr>
      </w:pPr>
      <w:r>
        <w:rPr>
          <w:szCs w:val="28"/>
        </w:rPr>
        <w:t>施工期噪声防治措施：</w:t>
      </w:r>
    </w:p>
    <w:p>
      <w:pPr>
        <w:ind w:firstLine="480" w:firstLineChars="200"/>
        <w:rPr>
          <w:szCs w:val="28"/>
        </w:rPr>
      </w:pPr>
      <w:r>
        <w:rPr>
          <w:rFonts w:hint="eastAsia"/>
          <w:szCs w:val="28"/>
        </w:rPr>
        <w:t>（1）</w:t>
      </w:r>
      <w:r>
        <w:rPr>
          <w:szCs w:val="28"/>
        </w:rPr>
        <w:t>施工现场合理布局，相对集中固定声源，将高噪声设备尽量布置在</w:t>
      </w:r>
      <w:r>
        <w:rPr>
          <w:rFonts w:hint="eastAsia"/>
          <w:szCs w:val="28"/>
        </w:rPr>
        <w:t>项目北</w:t>
      </w:r>
      <w:r>
        <w:rPr>
          <w:szCs w:val="28"/>
        </w:rPr>
        <w:t>面。</w:t>
      </w:r>
    </w:p>
    <w:p>
      <w:pPr>
        <w:ind w:firstLine="480" w:firstLineChars="200"/>
        <w:rPr>
          <w:szCs w:val="28"/>
        </w:rPr>
      </w:pPr>
      <w:r>
        <w:rPr>
          <w:rFonts w:hint="eastAsia"/>
          <w:szCs w:val="28"/>
        </w:rPr>
        <w:t>（2）</w:t>
      </w:r>
      <w:r>
        <w:rPr>
          <w:szCs w:val="28"/>
        </w:rPr>
        <w:t>高噪声固定设备应采用固定式或活动隔声屏进行降噪处理，同时尽可能避免多台高噪声设备同时作业。</w:t>
      </w:r>
    </w:p>
    <w:p>
      <w:pPr>
        <w:ind w:firstLine="480" w:firstLineChars="200"/>
        <w:rPr>
          <w:szCs w:val="28"/>
        </w:rPr>
      </w:pPr>
      <w:r>
        <w:rPr>
          <w:rFonts w:hint="eastAsia"/>
          <w:szCs w:val="28"/>
        </w:rPr>
        <w:t>（3）</w:t>
      </w:r>
      <w:r>
        <w:rPr>
          <w:szCs w:val="28"/>
        </w:rPr>
        <w:t>加强施工管理，严格执行地方环境管理规定，中高考期间禁止施工，合理安排夜间施工以避免夜间高噪声施工作业。</w:t>
      </w:r>
    </w:p>
    <w:p>
      <w:pPr>
        <w:ind w:firstLine="480" w:firstLineChars="200"/>
        <w:rPr>
          <w:szCs w:val="28"/>
        </w:rPr>
      </w:pPr>
      <w:r>
        <w:rPr>
          <w:rFonts w:hint="eastAsia"/>
          <w:szCs w:val="28"/>
        </w:rPr>
        <w:t>（4）</w:t>
      </w:r>
      <w:r>
        <w:rPr>
          <w:szCs w:val="28"/>
        </w:rPr>
        <w:t>施工期不得使用高音喇叭进行宣传或指挥生产。</w:t>
      </w:r>
    </w:p>
    <w:p>
      <w:pPr>
        <w:ind w:firstLine="480" w:firstLineChars="200"/>
        <w:rPr>
          <w:szCs w:val="28"/>
        </w:rPr>
      </w:pPr>
      <w:r>
        <w:rPr>
          <w:rFonts w:hint="eastAsia"/>
          <w:szCs w:val="28"/>
        </w:rPr>
        <w:t>（5）</w:t>
      </w:r>
      <w:r>
        <w:rPr>
          <w:szCs w:val="28"/>
        </w:rPr>
        <w:t>保障施工车辆进出通道畅通并加强交通管理，以避免由于运输作业影响交通秩序而产生的车辆鸣笛噪声污染。</w:t>
      </w:r>
    </w:p>
    <w:p>
      <w:pPr>
        <w:ind w:firstLine="480" w:firstLineChars="200"/>
        <w:rPr>
          <w:szCs w:val="28"/>
        </w:rPr>
      </w:pPr>
      <w:r>
        <w:rPr>
          <w:rFonts w:hint="eastAsia"/>
          <w:szCs w:val="28"/>
        </w:rPr>
        <w:t>（6）</w:t>
      </w:r>
      <w:r>
        <w:rPr>
          <w:szCs w:val="28"/>
        </w:rPr>
        <w:t>夜间（22：00～6：00）禁止高噪声机械施工作业；</w:t>
      </w:r>
      <w:r>
        <w:rPr>
          <w:rFonts w:hint="eastAsia"/>
          <w:szCs w:val="28"/>
        </w:rPr>
        <w:t>同时，</w:t>
      </w:r>
      <w:r>
        <w:rPr>
          <w:szCs w:val="28"/>
        </w:rPr>
        <w:t>严禁</w:t>
      </w:r>
      <w:r>
        <w:rPr>
          <w:rFonts w:hint="eastAsia"/>
          <w:szCs w:val="28"/>
        </w:rPr>
        <w:t>夜间</w:t>
      </w:r>
      <w:r>
        <w:rPr>
          <w:szCs w:val="28"/>
        </w:rPr>
        <w:t>施工。</w:t>
      </w:r>
      <w:r>
        <w:rPr>
          <w:rFonts w:hint="eastAsia"/>
          <w:szCs w:val="28"/>
        </w:rPr>
        <w:t>若</w:t>
      </w:r>
      <w:r>
        <w:rPr>
          <w:szCs w:val="28"/>
        </w:rPr>
        <w:t>必须连续施工作业的工点，施工单位应视具体情况及时与环保部门取得联系，按规定申领夜间施工证，同时发布公告最大限度地争取民众支持。</w:t>
      </w:r>
    </w:p>
    <w:p>
      <w:pPr>
        <w:rPr>
          <w:b/>
          <w:bCs/>
          <w:szCs w:val="28"/>
        </w:rPr>
      </w:pPr>
      <w:r>
        <w:rPr>
          <w:b/>
          <w:bCs/>
          <w:szCs w:val="28"/>
        </w:rPr>
        <w:t>4</w:t>
      </w:r>
      <w:r>
        <w:rPr>
          <w:rFonts w:hint="eastAsia"/>
          <w:b/>
          <w:bCs/>
          <w:szCs w:val="28"/>
        </w:rPr>
        <w:t>.1.3.4 固废排放及治理措施</w:t>
      </w:r>
    </w:p>
    <w:p>
      <w:pPr>
        <w:ind w:firstLine="480" w:firstLineChars="200"/>
        <w:rPr>
          <w:szCs w:val="28"/>
        </w:rPr>
      </w:pPr>
      <w:r>
        <w:rPr>
          <w:szCs w:val="28"/>
        </w:rPr>
        <w:t>施工期间建筑工地将会产生渣土、地表开挖的剩余泥土、施工建筑垃圾和现场施工人员的生活垃圾等，</w:t>
      </w:r>
      <w:r>
        <w:rPr>
          <w:rFonts w:hint="eastAsia"/>
          <w:szCs w:val="28"/>
        </w:rPr>
        <w:t>本项目</w:t>
      </w:r>
      <w:r>
        <w:rPr>
          <w:szCs w:val="28"/>
        </w:rPr>
        <w:t>施工场地不大，开挖方和</w:t>
      </w:r>
      <w:r>
        <w:rPr>
          <w:rFonts w:hint="eastAsia"/>
          <w:szCs w:val="28"/>
        </w:rPr>
        <w:t>回填方</w:t>
      </w:r>
      <w:r>
        <w:rPr>
          <w:szCs w:val="28"/>
        </w:rPr>
        <w:t>基本能保持平衡，</w:t>
      </w:r>
      <w:r>
        <w:rPr>
          <w:rFonts w:hint="eastAsia"/>
          <w:szCs w:val="28"/>
        </w:rPr>
        <w:t>无</w:t>
      </w:r>
      <w:r>
        <w:rPr>
          <w:szCs w:val="28"/>
        </w:rPr>
        <w:t>弃土产生</w:t>
      </w:r>
      <w:r>
        <w:rPr>
          <w:rFonts w:hint="eastAsia"/>
          <w:szCs w:val="28"/>
        </w:rPr>
        <w:t>，</w:t>
      </w:r>
      <w:r>
        <w:rPr>
          <w:szCs w:val="28"/>
        </w:rPr>
        <w:t>无需外借土方。施工人员产生的生活垃圾交由当地环卫部门处理，建筑垃圾送往当地政府部门指定的场地进行处理。</w:t>
      </w:r>
    </w:p>
    <w:p>
      <w:pPr>
        <w:ind w:firstLine="480" w:firstLineChars="200"/>
        <w:rPr>
          <w:szCs w:val="28"/>
        </w:rPr>
      </w:pPr>
      <w:r>
        <w:rPr>
          <w:szCs w:val="28"/>
        </w:rPr>
        <w:t>施工期间施工人员最多人数50人，生活</w:t>
      </w:r>
      <w:r>
        <w:rPr>
          <w:rFonts w:hint="eastAsia"/>
          <w:szCs w:val="28"/>
        </w:rPr>
        <w:t>垃圾以0.5</w:t>
      </w:r>
      <w:r>
        <w:rPr>
          <w:szCs w:val="28"/>
        </w:rPr>
        <w:t>kg/d·人计，则日生活</w:t>
      </w:r>
      <w:r>
        <w:rPr>
          <w:rFonts w:hint="eastAsia"/>
          <w:szCs w:val="28"/>
        </w:rPr>
        <w:t>垃圾产生</w:t>
      </w:r>
      <w:r>
        <w:rPr>
          <w:szCs w:val="28"/>
        </w:rPr>
        <w:t>量为</w:t>
      </w:r>
      <w:r>
        <w:rPr>
          <w:rFonts w:hint="eastAsia"/>
          <w:szCs w:val="28"/>
        </w:rPr>
        <w:t>25</w:t>
      </w:r>
      <w:r>
        <w:rPr>
          <w:szCs w:val="28"/>
        </w:rPr>
        <w:t>kg/d。</w:t>
      </w:r>
      <w:r>
        <w:rPr>
          <w:rFonts w:hint="eastAsia"/>
          <w:szCs w:val="28"/>
        </w:rPr>
        <w:t>建设</w:t>
      </w:r>
      <w:r>
        <w:rPr>
          <w:szCs w:val="28"/>
        </w:rPr>
        <w:t>单位在施工区域设有生活垃圾收集桶，并定期运往环卫部门</w:t>
      </w:r>
      <w:r>
        <w:rPr>
          <w:rFonts w:hint="eastAsia"/>
          <w:szCs w:val="28"/>
        </w:rPr>
        <w:t>统一</w:t>
      </w:r>
      <w:r>
        <w:rPr>
          <w:szCs w:val="28"/>
        </w:rPr>
        <w:t>处理。</w:t>
      </w:r>
    </w:p>
    <w:p>
      <w:pPr>
        <w:ind w:firstLine="480" w:firstLineChars="200"/>
        <w:rPr>
          <w:szCs w:val="28"/>
        </w:rPr>
      </w:pPr>
      <w:r>
        <w:rPr>
          <w:szCs w:val="28"/>
        </w:rPr>
        <w:t>施工期固体废弃物环保措施</w:t>
      </w:r>
      <w:r>
        <w:rPr>
          <w:rFonts w:hint="eastAsia"/>
          <w:szCs w:val="28"/>
        </w:rPr>
        <w:t>：</w:t>
      </w:r>
    </w:p>
    <w:p>
      <w:pPr>
        <w:ind w:firstLine="480" w:firstLineChars="200"/>
        <w:rPr>
          <w:szCs w:val="28"/>
        </w:rPr>
      </w:pPr>
      <w:r>
        <w:rPr>
          <w:szCs w:val="28"/>
        </w:rPr>
        <w:fldChar w:fldCharType="begin"/>
      </w:r>
      <w:r>
        <w:rPr>
          <w:szCs w:val="28"/>
        </w:rPr>
        <w:instrText xml:space="preserve"> = 1 \* GB3 </w:instrText>
      </w:r>
      <w:r>
        <w:rPr>
          <w:szCs w:val="28"/>
        </w:rPr>
        <w:fldChar w:fldCharType="separate"/>
      </w:r>
      <w:r>
        <w:rPr>
          <w:rFonts w:hint="eastAsia"/>
          <w:szCs w:val="28"/>
        </w:rPr>
        <w:t>①</w:t>
      </w:r>
      <w:r>
        <w:rPr>
          <w:szCs w:val="28"/>
        </w:rPr>
        <w:fldChar w:fldCharType="end"/>
      </w:r>
      <w:r>
        <w:rPr>
          <w:rFonts w:hint="eastAsia"/>
          <w:szCs w:val="28"/>
        </w:rPr>
        <w:t>合理</w:t>
      </w:r>
      <w:r>
        <w:rPr>
          <w:szCs w:val="28"/>
        </w:rPr>
        <w:t>安排施工工序</w:t>
      </w:r>
      <w:r>
        <w:rPr>
          <w:rFonts w:hint="eastAsia"/>
          <w:szCs w:val="28"/>
        </w:rPr>
        <w:t>，</w:t>
      </w:r>
      <w:r>
        <w:rPr>
          <w:szCs w:val="28"/>
        </w:rPr>
        <w:t>临时开挖土方应尽快回填，</w:t>
      </w:r>
      <w:r>
        <w:rPr>
          <w:rFonts w:hint="eastAsia"/>
          <w:szCs w:val="28"/>
        </w:rPr>
        <w:t>同时</w:t>
      </w:r>
      <w:r>
        <w:rPr>
          <w:szCs w:val="28"/>
        </w:rPr>
        <w:t>应精心组织施工，先后有序，后序施工点开挖的土方应作为先期施工点的回填土方，既减少了对环境的污染，又可节约工时和资金。</w:t>
      </w:r>
    </w:p>
    <w:p>
      <w:pPr>
        <w:ind w:firstLine="480" w:firstLineChars="200"/>
        <w:rPr>
          <w:szCs w:val="28"/>
        </w:rPr>
      </w:pPr>
      <w:r>
        <w:rPr>
          <w:szCs w:val="28"/>
        </w:rPr>
        <w:fldChar w:fldCharType="begin"/>
      </w:r>
      <w:r>
        <w:rPr>
          <w:szCs w:val="28"/>
        </w:rPr>
        <w:instrText xml:space="preserve"> = 2 \* GB3 </w:instrText>
      </w:r>
      <w:r>
        <w:rPr>
          <w:szCs w:val="28"/>
        </w:rPr>
        <w:fldChar w:fldCharType="separate"/>
      </w:r>
      <w:r>
        <w:rPr>
          <w:rFonts w:hint="eastAsia"/>
          <w:szCs w:val="28"/>
        </w:rPr>
        <w:t>②</w:t>
      </w:r>
      <w:r>
        <w:rPr>
          <w:szCs w:val="28"/>
        </w:rPr>
        <w:fldChar w:fldCharType="end"/>
      </w:r>
      <w:r>
        <w:rPr>
          <w:szCs w:val="28"/>
        </w:rPr>
        <w:t>厂内水土保持，地面硬化处理，同时根据生产工艺等进行厂区绿化。</w:t>
      </w:r>
    </w:p>
    <w:p>
      <w:pPr>
        <w:ind w:firstLine="480" w:firstLineChars="200"/>
        <w:rPr>
          <w:szCs w:val="28"/>
        </w:rPr>
      </w:pPr>
      <w:r>
        <w:rPr>
          <w:szCs w:val="28"/>
        </w:rPr>
        <w:fldChar w:fldCharType="begin"/>
      </w:r>
      <w:r>
        <w:rPr>
          <w:szCs w:val="28"/>
        </w:rPr>
        <w:instrText xml:space="preserve"> = 3 \* GB3 </w:instrText>
      </w:r>
      <w:r>
        <w:rPr>
          <w:szCs w:val="28"/>
        </w:rPr>
        <w:fldChar w:fldCharType="separate"/>
      </w:r>
      <w:r>
        <w:rPr>
          <w:rFonts w:hint="eastAsia"/>
          <w:szCs w:val="28"/>
        </w:rPr>
        <w:t>③</w:t>
      </w:r>
      <w:r>
        <w:rPr>
          <w:szCs w:val="28"/>
        </w:rPr>
        <w:fldChar w:fldCharType="end"/>
      </w:r>
      <w:r>
        <w:rPr>
          <w:szCs w:val="28"/>
        </w:rPr>
        <w:t>运输建筑垃圾的车辆应随车携带《建筑垃圾准运证》和《建筑垃圾处置许可证》，保持箱体完好、有效遮盖，运输过程中不得撒漏。</w:t>
      </w:r>
    </w:p>
    <w:p>
      <w:pPr>
        <w:ind w:firstLine="480" w:firstLineChars="200"/>
        <w:rPr>
          <w:szCs w:val="28"/>
        </w:rPr>
      </w:pPr>
      <w:r>
        <w:rPr>
          <w:szCs w:val="28"/>
        </w:rPr>
        <w:fldChar w:fldCharType="begin"/>
      </w:r>
      <w:r>
        <w:rPr>
          <w:szCs w:val="28"/>
        </w:rPr>
        <w:instrText xml:space="preserve"> = 4 \* GB3 </w:instrText>
      </w:r>
      <w:r>
        <w:rPr>
          <w:szCs w:val="28"/>
        </w:rPr>
        <w:fldChar w:fldCharType="separate"/>
      </w:r>
      <w:r>
        <w:rPr>
          <w:rFonts w:hint="eastAsia"/>
          <w:szCs w:val="28"/>
        </w:rPr>
        <w:t>④</w:t>
      </w:r>
      <w:r>
        <w:rPr>
          <w:szCs w:val="28"/>
        </w:rPr>
        <w:fldChar w:fldCharType="end"/>
      </w:r>
      <w:r>
        <w:rPr>
          <w:rFonts w:hint="eastAsia"/>
          <w:szCs w:val="28"/>
        </w:rPr>
        <w:t>临时开挖</w:t>
      </w:r>
      <w:r>
        <w:rPr>
          <w:szCs w:val="28"/>
        </w:rPr>
        <w:t>待回填土方应表面覆盖，</w:t>
      </w:r>
      <w:r>
        <w:rPr>
          <w:rFonts w:hint="eastAsia"/>
          <w:szCs w:val="28"/>
        </w:rPr>
        <w:t>避免</w:t>
      </w:r>
      <w:r>
        <w:rPr>
          <w:szCs w:val="28"/>
        </w:rPr>
        <w:t>水土流失和扬尘。</w:t>
      </w:r>
    </w:p>
    <w:p>
      <w:pPr>
        <w:pStyle w:val="970"/>
        <w:snapToGrid w:val="0"/>
        <w:ind w:firstLine="480" w:firstLineChars="200"/>
        <w:rPr>
          <w:szCs w:val="24"/>
        </w:rPr>
      </w:pPr>
      <w:r>
        <w:rPr>
          <w:szCs w:val="28"/>
        </w:rPr>
        <w:fldChar w:fldCharType="begin"/>
      </w:r>
      <w:r>
        <w:rPr>
          <w:szCs w:val="28"/>
        </w:rPr>
        <w:instrText xml:space="preserve"> = 5 \* GB3 </w:instrText>
      </w:r>
      <w:r>
        <w:rPr>
          <w:szCs w:val="28"/>
        </w:rPr>
        <w:fldChar w:fldCharType="separate"/>
      </w:r>
      <w:r>
        <w:rPr>
          <w:rFonts w:hint="eastAsia"/>
          <w:szCs w:val="28"/>
        </w:rPr>
        <w:t>⑤</w:t>
      </w:r>
      <w:r>
        <w:rPr>
          <w:szCs w:val="28"/>
        </w:rPr>
        <w:fldChar w:fldCharType="end"/>
      </w:r>
      <w:r>
        <w:rPr>
          <w:szCs w:val="28"/>
        </w:rPr>
        <w:t>施工人员的生活垃圾应集中收集，定期统一处理。</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536" w:name="_Toc457480957"/>
      <w:bookmarkStart w:id="537" w:name="_Toc29110578"/>
      <w:r>
        <w:rPr>
          <w:rFonts w:ascii="Times New Roman" w:hAnsi="Times New Roman" w:eastAsia="黑体" w:cs="Times New Roman"/>
          <w:b w:val="0"/>
          <w:bCs/>
          <w:spacing w:val="4"/>
          <w:kern w:val="2"/>
          <w:sz w:val="32"/>
          <w:szCs w:val="32"/>
        </w:rPr>
        <w:t>4.2 本</w:t>
      </w:r>
      <w:bookmarkEnd w:id="536"/>
      <w:r>
        <w:rPr>
          <w:rFonts w:ascii="Times New Roman" w:hAnsi="Times New Roman" w:eastAsia="黑体" w:cs="Times New Roman"/>
          <w:b w:val="0"/>
          <w:bCs/>
          <w:spacing w:val="4"/>
          <w:kern w:val="2"/>
          <w:sz w:val="32"/>
          <w:szCs w:val="32"/>
        </w:rPr>
        <w:t>项目工艺流程及产排污分析</w:t>
      </w:r>
      <w:bookmarkEnd w:id="537"/>
    </w:p>
    <w:bookmarkEnd w:id="535"/>
    <w:p>
      <w:pPr>
        <w:spacing w:before="120" w:after="60"/>
        <w:jc w:val="left"/>
        <w:outlineLvl w:val="2"/>
        <w:rPr>
          <w:rFonts w:eastAsia="黑体"/>
          <w:bCs/>
          <w:sz w:val="28"/>
          <w:szCs w:val="28"/>
        </w:rPr>
      </w:pPr>
      <w:bookmarkStart w:id="538" w:name="_Toc457480959"/>
      <w:r>
        <w:rPr>
          <w:rFonts w:hint="eastAsia" w:eastAsia="黑体"/>
          <w:bCs/>
          <w:sz w:val="28"/>
          <w:szCs w:val="28"/>
        </w:rPr>
        <w:t>4</w:t>
      </w:r>
      <w:r>
        <w:rPr>
          <w:rFonts w:eastAsia="黑体"/>
          <w:bCs/>
          <w:sz w:val="28"/>
          <w:szCs w:val="28"/>
        </w:rPr>
        <w:t>.2.1生产工艺</w:t>
      </w:r>
    </w:p>
    <w:bookmarkEnd w:id="538"/>
    <w:p>
      <w:pPr>
        <w:pStyle w:val="970"/>
        <w:snapToGrid w:val="0"/>
        <w:ind w:firstLine="0"/>
        <w:outlineLvl w:val="3"/>
        <w:rPr>
          <w:rFonts w:eastAsia="黑体"/>
          <w:bCs/>
          <w:szCs w:val="24"/>
        </w:rPr>
      </w:pPr>
      <w:bookmarkStart w:id="539" w:name="_Toc247443649"/>
      <w:bookmarkEnd w:id="539"/>
      <w:bookmarkStart w:id="540" w:name="_Toc247443727"/>
      <w:bookmarkEnd w:id="540"/>
      <w:bookmarkStart w:id="541" w:name="_Toc247443657"/>
      <w:bookmarkEnd w:id="541"/>
      <w:bookmarkStart w:id="542" w:name="_Toc247443655"/>
      <w:bookmarkEnd w:id="542"/>
      <w:bookmarkStart w:id="543" w:name="_Toc247443494"/>
      <w:bookmarkEnd w:id="543"/>
      <w:bookmarkStart w:id="544" w:name="_Toc247443577"/>
      <w:bookmarkEnd w:id="544"/>
      <w:bookmarkStart w:id="545" w:name="_Toc247443653"/>
      <w:bookmarkEnd w:id="545"/>
      <w:bookmarkStart w:id="546" w:name="_Toc247443737"/>
      <w:bookmarkEnd w:id="546"/>
      <w:bookmarkStart w:id="547" w:name="_Toc247443658"/>
      <w:bookmarkEnd w:id="547"/>
      <w:bookmarkStart w:id="548" w:name="_Toc247443520"/>
      <w:bookmarkEnd w:id="548"/>
      <w:bookmarkStart w:id="549" w:name="_Toc247443493"/>
      <w:bookmarkEnd w:id="549"/>
      <w:bookmarkStart w:id="550" w:name="_Toc247443491"/>
      <w:bookmarkEnd w:id="550"/>
      <w:bookmarkStart w:id="551" w:name="_Toc247443734"/>
      <w:bookmarkEnd w:id="551"/>
      <w:bookmarkStart w:id="552" w:name="_Toc247443550"/>
      <w:bookmarkEnd w:id="552"/>
      <w:bookmarkStart w:id="553" w:name="_Toc247443650"/>
      <w:bookmarkEnd w:id="553"/>
      <w:bookmarkStart w:id="554" w:name="_Toc247443735"/>
      <w:bookmarkEnd w:id="554"/>
      <w:bookmarkStart w:id="555" w:name="_Toc247443492"/>
      <w:bookmarkEnd w:id="555"/>
      <w:bookmarkStart w:id="556" w:name="_Toc247443600"/>
      <w:bookmarkEnd w:id="556"/>
      <w:bookmarkStart w:id="557" w:name="_Toc247443654"/>
      <w:bookmarkEnd w:id="557"/>
      <w:bookmarkStart w:id="558" w:name="_Toc247443598"/>
      <w:bookmarkEnd w:id="558"/>
      <w:bookmarkStart w:id="559" w:name="_Toc246360547"/>
      <w:bookmarkEnd w:id="559"/>
      <w:bookmarkStart w:id="560" w:name="_Toc247443652"/>
      <w:bookmarkEnd w:id="560"/>
      <w:bookmarkStart w:id="561" w:name="_Toc247443519"/>
      <w:bookmarkEnd w:id="561"/>
      <w:bookmarkStart w:id="562" w:name="_Toc247443732"/>
      <w:bookmarkEnd w:id="562"/>
      <w:bookmarkStart w:id="563" w:name="_Toc247443651"/>
      <w:bookmarkEnd w:id="563"/>
      <w:bookmarkStart w:id="564" w:name="_Toc247443729"/>
      <w:bookmarkEnd w:id="564"/>
      <w:bookmarkStart w:id="565" w:name="_Toc247443521"/>
      <w:bookmarkEnd w:id="565"/>
      <w:bookmarkStart w:id="566" w:name="_Toc247443516"/>
      <w:bookmarkEnd w:id="566"/>
      <w:bookmarkStart w:id="567" w:name="_Toc247443730"/>
      <w:bookmarkEnd w:id="567"/>
      <w:bookmarkStart w:id="568" w:name="_Toc247443515"/>
      <w:bookmarkEnd w:id="568"/>
      <w:bookmarkStart w:id="569" w:name="_Toc247443551"/>
      <w:bookmarkEnd w:id="569"/>
      <w:bookmarkStart w:id="570" w:name="_Toc247443736"/>
      <w:bookmarkEnd w:id="570"/>
      <w:bookmarkStart w:id="571" w:name="_Toc247443728"/>
      <w:bookmarkEnd w:id="571"/>
      <w:bookmarkStart w:id="572" w:name="_Toc247443599"/>
      <w:bookmarkEnd w:id="572"/>
      <w:bookmarkStart w:id="573" w:name="_Toc247443733"/>
      <w:bookmarkEnd w:id="573"/>
      <w:bookmarkStart w:id="574" w:name="_Toc247443576"/>
      <w:bookmarkEnd w:id="574"/>
      <w:bookmarkStart w:id="575" w:name="_Toc247443731"/>
      <w:bookmarkEnd w:id="575"/>
      <w:bookmarkStart w:id="576" w:name="_Toc247443656"/>
      <w:bookmarkEnd w:id="576"/>
      <w:bookmarkStart w:id="577" w:name="_Toc423336685"/>
      <w:bookmarkStart w:id="578" w:name="_Toc457480961"/>
      <w:r>
        <w:rPr>
          <w:rFonts w:eastAsia="黑体"/>
          <w:bCs/>
          <w:szCs w:val="24"/>
        </w:rPr>
        <w:t xml:space="preserve">4.2.1.1 </w:t>
      </w:r>
      <w:r>
        <w:rPr>
          <w:rFonts w:hint="eastAsia" w:eastAsia="黑体"/>
          <w:bCs/>
          <w:szCs w:val="24"/>
        </w:rPr>
        <w:t>工艺流程</w:t>
      </w:r>
    </w:p>
    <w:p>
      <w:pPr>
        <w:snapToGrid w:val="0"/>
        <w:ind w:firstLine="480" w:firstLineChars="200"/>
      </w:pPr>
      <w:r>
        <w:t>本项目仅进行种母猪的饲养及繁育，不饲养肥猪且哺乳仔猪断奶后不进行保育接外售到养户处。</w:t>
      </w:r>
    </w:p>
    <w:p>
      <w:pPr>
        <w:snapToGrid w:val="0"/>
        <w:ind w:firstLine="480" w:firstLineChars="200"/>
      </w:pPr>
      <w:r>
        <w:t>养殖流程图及产污位置如图4.2-1所示。</w:t>
      </w:r>
    </w:p>
    <w:p>
      <w:pPr>
        <w:snapToGrid w:val="0"/>
        <w:jc w:val="center"/>
      </w:pPr>
      <w:r>
        <w:object>
          <v:shape id="_x0000_i1027" o:spt="75" type="#_x0000_t75" style="height:359.75pt;width:215.9pt;" o:ole="t" filled="f" o:preferrelative="t" stroked="f" coordsize="21600,21600">
            <v:path/>
            <v:fill on="f" focussize="0,0"/>
            <v:stroke on="f" joinstyle="miter"/>
            <v:imagedata r:id="rId18" o:title=""/>
            <o:lock v:ext="edit" aspectratio="t"/>
            <w10:wrap type="none"/>
            <w10:anchorlock/>
          </v:shape>
          <o:OLEObject Type="Embed" ProgID="Equation.KSEE3" ShapeID="_x0000_i1027" DrawAspect="Content" ObjectID="_1468075727" r:id="rId17">
            <o:LockedField>false</o:LockedField>
          </o:OLEObject>
        </w:object>
      </w:r>
    </w:p>
    <w:p>
      <w:pPr>
        <w:snapToGrid w:val="0"/>
        <w:jc w:val="center"/>
        <w:rPr>
          <w:rFonts w:eastAsia="黑体"/>
          <w:bCs/>
        </w:rPr>
      </w:pPr>
      <w:r>
        <w:rPr>
          <w:rFonts w:hint="eastAsia" w:eastAsia="黑体"/>
          <w:bCs/>
        </w:rPr>
        <w:t>图</w:t>
      </w:r>
      <w:r>
        <w:rPr>
          <w:rFonts w:eastAsia="黑体"/>
          <w:bCs/>
        </w:rPr>
        <w:t>4</w:t>
      </w:r>
      <w:r>
        <w:rPr>
          <w:rFonts w:hint="eastAsia" w:eastAsia="黑体"/>
          <w:bCs/>
        </w:rPr>
        <w:t>.2-1  养殖工艺流程及产污位置图</w:t>
      </w:r>
    </w:p>
    <w:p>
      <w:pPr>
        <w:snapToGrid w:val="0"/>
      </w:pPr>
      <w:r>
        <w:rPr>
          <w:rFonts w:hint="eastAsia"/>
        </w:rPr>
        <w:t>项目产污流程及处置见图</w:t>
      </w:r>
      <w:r>
        <w:t>4</w:t>
      </w:r>
      <w:r>
        <w:rPr>
          <w:rFonts w:hint="eastAsia"/>
        </w:rPr>
        <w:t>.2-2所示。</w:t>
      </w:r>
    </w:p>
    <w:p>
      <w:pPr>
        <w:snapToGrid w:val="0"/>
        <w:jc w:val="center"/>
      </w:pPr>
      <w:r>
        <w:object>
          <v:shape id="_x0000_i1028" o:spt="75" type="#_x0000_t75" style="height:257.95pt;width:318pt;" o:ole="t" filled="f" o:preferrelative="t" stroked="f" coordsize="21600,21600">
            <v:path/>
            <v:fill on="f" focussize="0,0"/>
            <v:stroke on="f" joinstyle="miter"/>
            <v:imagedata r:id="rId20" o:title=""/>
            <o:lock v:ext="edit" aspectratio="t"/>
            <w10:wrap type="none"/>
            <w10:anchorlock/>
          </v:shape>
          <o:OLEObject Type="Embed" ProgID="Equation.KSEE3" ShapeID="_x0000_i1028" DrawAspect="Content" ObjectID="_1468075728" r:id="rId19">
            <o:LockedField>false</o:LockedField>
          </o:OLEObject>
        </w:object>
      </w:r>
    </w:p>
    <w:p>
      <w:pPr>
        <w:snapToGrid w:val="0"/>
        <w:jc w:val="center"/>
        <w:rPr>
          <w:rFonts w:eastAsia="黑体"/>
          <w:bCs/>
        </w:rPr>
      </w:pPr>
      <w:r>
        <w:rPr>
          <w:rFonts w:hint="eastAsia" w:eastAsia="黑体"/>
          <w:bCs/>
        </w:rPr>
        <w:t>图</w:t>
      </w:r>
      <w:r>
        <w:rPr>
          <w:rFonts w:eastAsia="黑体"/>
          <w:bCs/>
        </w:rPr>
        <w:t>4</w:t>
      </w:r>
      <w:r>
        <w:rPr>
          <w:rFonts w:hint="eastAsia" w:eastAsia="黑体"/>
          <w:bCs/>
        </w:rPr>
        <w:t>.2-2  项目产污流程及处置示意图</w:t>
      </w:r>
    </w:p>
    <w:p>
      <w:pPr>
        <w:pStyle w:val="970"/>
        <w:snapToGrid w:val="0"/>
        <w:ind w:firstLine="0"/>
        <w:outlineLvl w:val="3"/>
        <w:rPr>
          <w:rFonts w:eastAsia="黑体"/>
          <w:bCs/>
          <w:szCs w:val="24"/>
        </w:rPr>
      </w:pPr>
      <w:r>
        <w:rPr>
          <w:rFonts w:eastAsia="黑体"/>
          <w:bCs/>
          <w:szCs w:val="24"/>
        </w:rPr>
        <w:t>4.2.1.2工艺流程简述</w:t>
      </w:r>
    </w:p>
    <w:p>
      <w:pPr>
        <w:snapToGrid w:val="0"/>
        <w:ind w:firstLine="480" w:firstLineChars="200"/>
      </w:pPr>
      <w:r>
        <w:t>本项目生产工艺采用全进全出工厂化养猪饲养工艺进行生产，猪群的配种怀孕、分娩生产将使用流水线，生产周期以周为节拍，进行全进全出的转栏饲养，并采用早期（4周）断奶和保温设施，以提高母猪年产仔胎数和产仔成活率。其具体养殖流程如下：</w:t>
      </w:r>
    </w:p>
    <w:p>
      <w:pPr>
        <w:snapToGrid w:val="0"/>
        <w:ind w:firstLine="480" w:firstLineChars="200"/>
      </w:pPr>
      <w:r>
        <w:t>母猪配种阶段→妊娠阶段→母猪产仔阶段→仔猪哺乳阶段→仔猪断奶转出</w:t>
      </w:r>
    </w:p>
    <w:p>
      <w:pPr>
        <w:snapToGrid w:val="0"/>
        <w:ind w:firstLine="482" w:firstLineChars="200"/>
      </w:pPr>
      <w:r>
        <w:rPr>
          <w:b/>
          <w:bCs/>
        </w:rPr>
        <w:t>母猪配种阶段：</w:t>
      </w:r>
      <w:r>
        <w:t>在妊娠舍内饲养空怀、后备、断奶母猪进行人工受精配种方式。</w:t>
      </w:r>
    </w:p>
    <w:p>
      <w:pPr>
        <w:snapToGrid w:val="0"/>
        <w:ind w:firstLine="482" w:firstLineChars="200"/>
      </w:pPr>
      <w:r>
        <w:rPr>
          <w:b/>
          <w:bCs/>
        </w:rPr>
        <w:t>妊娠阶段：</w:t>
      </w:r>
      <w:r>
        <w:t>妊娠母猪放在妊娠母猪舍内定位栏饲养，在临产前一周转入产房。母猪</w:t>
      </w:r>
      <w:r>
        <w:rPr>
          <w:rFonts w:hint="eastAsia"/>
        </w:rPr>
        <w:t>分娩率90</w:t>
      </w:r>
      <w:r>
        <w:t>%，</w:t>
      </w:r>
      <w:r>
        <w:rPr>
          <w:rFonts w:hint="eastAsia"/>
        </w:rPr>
        <w:t>产猪仔</w:t>
      </w:r>
      <w:r>
        <w:t>10头/窝，存活率</w:t>
      </w:r>
      <w:r>
        <w:rPr>
          <w:rFonts w:hint="eastAsia"/>
        </w:rPr>
        <w:t>95</w:t>
      </w:r>
      <w:r>
        <w:t>%</w:t>
      </w:r>
      <w:r>
        <w:rPr>
          <w:rFonts w:hint="eastAsia"/>
        </w:rPr>
        <w:t>计</w:t>
      </w:r>
      <w:r>
        <w:t>。</w:t>
      </w:r>
    </w:p>
    <w:p>
      <w:pPr>
        <w:snapToGrid w:val="0"/>
        <w:ind w:firstLine="482" w:firstLineChars="200"/>
      </w:pPr>
      <w:r>
        <w:rPr>
          <w:b/>
          <w:bCs/>
        </w:rPr>
        <w:t>母猪产仔阶段：</w:t>
      </w:r>
      <w:r>
        <w:t>母猪按预产期进产房产仔，在分娩舍内五周（临产一周，哺乳四周），仔猪平均21天断奶。母猪断奶当天转入妊娠舍（最好先在大圈饲养3天），仔猪断奶后外销。如果有母猪产仔少、哺乳能力差等特殊情况，可将仔猪进行寄养过哺并窝，这样不负担哺乳的母猪可提前转回配种舍等待配种。</w:t>
      </w:r>
    </w:p>
    <w:p>
      <w:pPr>
        <w:pStyle w:val="970"/>
        <w:snapToGrid w:val="0"/>
        <w:ind w:firstLine="0"/>
        <w:outlineLvl w:val="3"/>
        <w:rPr>
          <w:rFonts w:eastAsia="黑体"/>
          <w:bCs/>
          <w:szCs w:val="24"/>
        </w:rPr>
      </w:pPr>
      <w:r>
        <w:rPr>
          <w:rFonts w:eastAsia="黑体"/>
          <w:bCs/>
          <w:szCs w:val="24"/>
        </w:rPr>
        <w:t>4.2.1.3工艺技术方案</w:t>
      </w:r>
    </w:p>
    <w:p>
      <w:pPr>
        <w:snapToGrid w:val="0"/>
        <w:ind w:firstLine="480" w:firstLineChars="200"/>
      </w:pPr>
      <w:r>
        <w:rPr>
          <w:rFonts w:hint="eastAsia"/>
        </w:rPr>
        <w:t>（1）</w:t>
      </w:r>
      <w:r>
        <w:t>种猪选育</w:t>
      </w:r>
    </w:p>
    <w:p>
      <w:pPr>
        <w:snapToGrid w:val="0"/>
        <w:ind w:firstLine="480" w:firstLineChars="20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t>种猪的选育</w:t>
      </w:r>
    </w:p>
    <w:p>
      <w:pPr>
        <w:snapToGrid w:val="0"/>
        <w:ind w:firstLine="480" w:firstLineChars="200"/>
      </w:pPr>
      <w:r>
        <w:t>对引入的种猪要隔离观察40天左右，确保种源的无害性。种猪要求健康、营养状况良好、发育正常、四肢结合合理、强健有力，体形外貌符合品种特征，耳号清晰，纯种猪应打上耳牌，以便标识。种母猪生殖器官要求发育正常，有效乳头应不低于6对，分布均匀对称。</w:t>
      </w:r>
    </w:p>
    <w:p>
      <w:pPr>
        <w:snapToGrid w:val="0"/>
        <w:ind w:firstLine="480" w:firstLineChars="200"/>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t>种猪饲养阶段</w:t>
      </w:r>
    </w:p>
    <w:p>
      <w:pPr>
        <w:snapToGrid w:val="0"/>
        <w:ind w:firstLine="480" w:firstLineChars="200"/>
      </w:pPr>
      <w:r>
        <w:t>结合当地气候和饲料条件及母猪体况，实施分阶段进行集中配种和产仔，以提高产房的利用率，各猪舍实际占栏时间分别为：</w:t>
      </w:r>
    </w:p>
    <w:p>
      <w:pPr>
        <w:snapToGrid w:val="0"/>
        <w:ind w:firstLine="480" w:firstLineChars="200"/>
      </w:pPr>
      <w:r>
        <w:t>配种工段占栏时间为5周；妊娠工段占栏时间为12周；分娩猪舍占栏时间为4周。</w:t>
      </w:r>
    </w:p>
    <w:p>
      <w:pPr>
        <w:snapToGrid w:val="0"/>
        <w:ind w:firstLine="480" w:firstLineChars="200"/>
      </w:pPr>
      <w:r>
        <w:rPr>
          <w:rFonts w:hint="eastAsia"/>
        </w:rPr>
        <w:t>（2）</w:t>
      </w:r>
      <w:r>
        <w:t>饲料选择</w:t>
      </w:r>
    </w:p>
    <w:p>
      <w:pPr>
        <w:snapToGrid w:val="0"/>
        <w:ind w:firstLine="480" w:firstLineChars="200"/>
      </w:pPr>
      <w:r>
        <w:t>使用国家无公害质量标准的妊娠料、哺乳料、后备料、公猪料，在饲料的购进时注意黄曲霉、赤霉素的污染；严格禁止饲料中使用催长剂、荷尔蒙等生长激素，定期对混合饲料成份进行检测分析，为调整饲养技术提供指导，以不断提高生产技术水平，取得最好经济效益。猪饲料的输送全部实现自动化。猪每天的进食量根据不同生长期定时、定量喂养。</w:t>
      </w:r>
    </w:p>
    <w:p>
      <w:pPr>
        <w:snapToGrid w:val="0"/>
        <w:ind w:firstLine="480" w:firstLineChars="200"/>
      </w:pPr>
      <w:r>
        <w:rPr>
          <w:rFonts w:hint="eastAsia"/>
        </w:rPr>
        <w:t>（3）</w:t>
      </w:r>
      <w:r>
        <w:t>饲养管理方案</w:t>
      </w:r>
    </w:p>
    <w:p>
      <w:pPr>
        <w:snapToGrid w:val="0"/>
        <w:ind w:firstLine="480" w:firstLineChars="200"/>
      </w:pPr>
      <w:r>
        <w:t>在猪的不同生长时期和生理阶段，根据营养需求，配制不同的配合饲料。采取不同的饲养管理方法。</w:t>
      </w:r>
    </w:p>
    <w:p>
      <w:pPr>
        <w:snapToGrid w:val="0"/>
        <w:ind w:firstLine="480" w:firstLineChars="20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t>种公猪饲养及管理：根据配种期和非配种期合理调节营养标准。</w:t>
      </w:r>
    </w:p>
    <w:p>
      <w:pPr>
        <w:snapToGrid w:val="0"/>
        <w:ind w:firstLine="480" w:firstLineChars="200"/>
      </w:pPr>
      <w:r>
        <w:t>进行有时间规律活动，包括饲喂、采精、擦拭身体，每天运动；</w:t>
      </w:r>
    </w:p>
    <w:p>
      <w:pPr>
        <w:snapToGrid w:val="0"/>
        <w:ind w:firstLine="480" w:firstLineChars="200"/>
      </w:pPr>
      <w:r>
        <w:t>保持猪舍的最佳温度，特别是夏季，定期检测。</w:t>
      </w:r>
    </w:p>
    <w:p>
      <w:pPr>
        <w:snapToGrid w:val="0"/>
        <w:ind w:firstLine="480" w:firstLineChars="200"/>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t>配种阶段：母猪断奶后，通过短期优饲、相互刺激、人工刺激和猪仔刺激等方法保证空怀母猪能正常发情，并掌握好最佳的配种时期，在母猪排卵前2～3小时采用人工受精方式配种，以提高受精率。配种后经超声波妊娠诊断转入妊娠舍。本阶段的管理在于：根据母猪的发情症状，适时配种以保证较高的受胎率；对返情母猪及时补配。</w:t>
      </w:r>
    </w:p>
    <w:p>
      <w:pPr>
        <w:snapToGrid w:val="0"/>
        <w:ind w:firstLine="480" w:firstLineChars="200"/>
      </w:pPr>
      <w:r>
        <w:fldChar w:fldCharType="begin"/>
      </w:r>
      <w:r>
        <w:instrText xml:space="preserve"> </w:instrText>
      </w:r>
      <w:r>
        <w:rPr>
          <w:rFonts w:hint="eastAsia"/>
        </w:rPr>
        <w:instrText xml:space="preserve">= 3 \* GB3</w:instrText>
      </w:r>
      <w:r>
        <w:instrText xml:space="preserve"> </w:instrText>
      </w:r>
      <w:r>
        <w:fldChar w:fldCharType="separate"/>
      </w:r>
      <w:r>
        <w:rPr>
          <w:rFonts w:hint="eastAsia"/>
        </w:rPr>
        <w:t>③</w:t>
      </w:r>
      <w:r>
        <w:fldChar w:fldCharType="end"/>
      </w:r>
      <w:r>
        <w:t>妊娠阶段：此阶段是指从配种舍转入妊娠舍至分娩前1周的时间。搞好妊娠母猪的饲养管理，使之保持良好的体况，既要有一定的营养保证胎儿发育，储备供将来泌乳之需，又不能过肥，造成繁殖困难；注意观察发情及早期流产的母猪，适时补配。保证猪舍的适宜温度与通风环境。</w:t>
      </w:r>
    </w:p>
    <w:p>
      <w:pPr>
        <w:snapToGrid w:val="0"/>
        <w:ind w:firstLine="480" w:firstLineChars="200"/>
      </w:pPr>
      <w:r>
        <w:fldChar w:fldCharType="begin"/>
      </w:r>
      <w:r>
        <w:instrText xml:space="preserve"> </w:instrText>
      </w:r>
      <w:r>
        <w:rPr>
          <w:rFonts w:hint="eastAsia"/>
        </w:rPr>
        <w:instrText xml:space="preserve">= 4 \* GB3</w:instrText>
      </w:r>
      <w:r>
        <w:instrText xml:space="preserve"> </w:instrText>
      </w:r>
      <w:r>
        <w:fldChar w:fldCharType="separate"/>
      </w:r>
      <w:r>
        <w:rPr>
          <w:rFonts w:hint="eastAsia"/>
        </w:rPr>
        <w:t>④</w:t>
      </w:r>
      <w:r>
        <w:fldChar w:fldCharType="end"/>
      </w:r>
      <w:r>
        <w:t>分娩哺乳阶段：此阶段是从产前1周开始至4周龄仔猪断奶为止。本阶段相对技术含量较高，要求饲养人员责任心强，具有良好的思想文化素质。每头母猪计算好产期，产前l周洗澡，及时转入产房（分娩舍），抓好初生关，做好接产和仔猪处理工作，使母猪顺利分娩，最好能成批白天分娩；及时调整产房温度，让仔猪及时找到热源；通过各种措施让出生仔猪尽快吃到初乳；抓好补饲关，保证母猪的泌乳能力，提高仔猪断奶体重。</w:t>
      </w:r>
    </w:p>
    <w:p>
      <w:pPr>
        <w:snapToGrid w:val="0"/>
        <w:ind w:firstLine="480" w:firstLineChars="200"/>
      </w:pPr>
      <w:r>
        <w:fldChar w:fldCharType="begin"/>
      </w:r>
      <w:r>
        <w:instrText xml:space="preserve"> </w:instrText>
      </w:r>
      <w:r>
        <w:rPr>
          <w:rFonts w:hint="eastAsia"/>
        </w:rPr>
        <w:instrText xml:space="preserve">= 5 \* GB3</w:instrText>
      </w:r>
      <w:r>
        <w:instrText xml:space="preserve"> </w:instrText>
      </w:r>
      <w:r>
        <w:fldChar w:fldCharType="separate"/>
      </w:r>
      <w:r>
        <w:rPr>
          <w:rFonts w:hint="eastAsia"/>
        </w:rPr>
        <w:t>⑤</w:t>
      </w:r>
      <w:r>
        <w:fldChar w:fldCharType="end"/>
      </w:r>
      <w:r>
        <w:t>仔猪销售阶段：此阶段是断奶仔猪从产房直接外售到养户处。</w:t>
      </w:r>
    </w:p>
    <w:p>
      <w:pPr>
        <w:pStyle w:val="970"/>
        <w:snapToGrid w:val="0"/>
        <w:ind w:firstLine="0"/>
        <w:outlineLvl w:val="3"/>
        <w:rPr>
          <w:rFonts w:eastAsia="黑体"/>
          <w:bCs/>
          <w:szCs w:val="24"/>
        </w:rPr>
      </w:pPr>
      <w:r>
        <w:rPr>
          <w:rFonts w:eastAsia="黑体"/>
          <w:bCs/>
          <w:szCs w:val="24"/>
        </w:rPr>
        <w:t>4.2.1.4饲养工艺</w:t>
      </w:r>
    </w:p>
    <w:p>
      <w:pPr>
        <w:snapToGrid w:val="0"/>
        <w:ind w:firstLine="480" w:firstLineChars="200"/>
      </w:pPr>
      <w:r>
        <w:rPr>
          <w:rFonts w:hint="eastAsia"/>
        </w:rPr>
        <w:t>（1）</w:t>
      </w:r>
      <w:r>
        <w:t>饲喂方式：采用饲料塔贮料，猪饲料的输送全部实现自动化。饲养采用干喂方法。</w:t>
      </w:r>
    </w:p>
    <w:p>
      <w:pPr>
        <w:snapToGrid w:val="0"/>
        <w:ind w:firstLine="480" w:firstLineChars="200"/>
      </w:pPr>
      <w:r>
        <w:rPr>
          <w:rFonts w:hint="eastAsia"/>
        </w:rPr>
        <w:t>（2）</w:t>
      </w:r>
      <w:r>
        <w:t>饮水方式：自动饮水器供水。</w:t>
      </w:r>
    </w:p>
    <w:p>
      <w:pPr>
        <w:snapToGrid w:val="0"/>
        <w:ind w:firstLine="480" w:firstLineChars="200"/>
      </w:pPr>
      <w:r>
        <w:rPr>
          <w:rFonts w:hint="eastAsia"/>
        </w:rPr>
        <w:t>（3）</w:t>
      </w:r>
      <w:r>
        <w:t>清粪方式：</w:t>
      </w:r>
      <w:r>
        <w:rPr>
          <w:rFonts w:hint="eastAsia"/>
        </w:rPr>
        <w:t>项目圈舍采用全漏缝地板，粪便连同尿液一并进入圈舍下方的集污沟进入到暂存池。</w:t>
      </w:r>
    </w:p>
    <w:p>
      <w:pPr>
        <w:snapToGrid w:val="0"/>
        <w:ind w:firstLine="480" w:firstLineChars="200"/>
      </w:pPr>
      <w:r>
        <w:rPr>
          <w:rFonts w:hint="eastAsia"/>
        </w:rPr>
        <w:t>（4）</w:t>
      </w:r>
      <w:r>
        <w:t>光照：自然光照与人工光照相结合，以自然光照为主。</w:t>
      </w:r>
    </w:p>
    <w:p>
      <w:pPr>
        <w:snapToGrid w:val="0"/>
        <w:ind w:firstLine="480" w:firstLineChars="200"/>
      </w:pPr>
      <w:r>
        <w:rPr>
          <w:rFonts w:hint="eastAsia"/>
        </w:rPr>
        <w:t>（5）</w:t>
      </w:r>
      <w:r>
        <w:t>采暖与通风：自然通风，辅助机械通风，冬季分娩舍用保温灯取暖、夏季采用湿帘降温。</w:t>
      </w:r>
    </w:p>
    <w:p>
      <w:pPr>
        <w:pStyle w:val="970"/>
        <w:snapToGrid w:val="0"/>
        <w:ind w:firstLine="0"/>
        <w:outlineLvl w:val="3"/>
        <w:rPr>
          <w:rFonts w:eastAsia="黑体"/>
          <w:bCs/>
          <w:szCs w:val="24"/>
        </w:rPr>
      </w:pPr>
      <w:r>
        <w:rPr>
          <w:rFonts w:eastAsia="黑体"/>
          <w:bCs/>
          <w:szCs w:val="24"/>
        </w:rPr>
        <w:t>4.2.1.5清粪方式</w:t>
      </w:r>
    </w:p>
    <w:p>
      <w:pPr>
        <w:snapToGrid w:val="0"/>
        <w:ind w:firstLine="480" w:firstLineChars="200"/>
      </w:pPr>
      <w:r>
        <w:t>本项目清粪工艺采用全漏缝板清粪工艺，原理是猪舍内产生的粪尿依靠重力进入缝隙地板下的</w:t>
      </w:r>
      <w:r>
        <w:rPr>
          <w:rFonts w:hint="eastAsia"/>
        </w:rPr>
        <w:t>收集设施。其中分娩舍底部采用斜沟，分娩舍底部斜沟收集的粪污依靠重力自行汇入项目集污池；妊娠舍底部设置收集池，粪污依靠重力掉入收集池，每日通过泵将粪污抽至集污池，</w:t>
      </w:r>
      <w:r>
        <w:t>储存池内粪尿</w:t>
      </w:r>
      <w:r>
        <w:rPr>
          <w:rFonts w:hint="eastAsia"/>
        </w:rPr>
        <w:t>全部通过</w:t>
      </w:r>
      <w:r>
        <w:t>密闭罐车运往</w:t>
      </w:r>
      <w:r>
        <w:rPr>
          <w:szCs w:val="21"/>
        </w:rPr>
        <w:t>乐山乐高勤力生物质能源综合利用有限公司“大沼”工程</w:t>
      </w:r>
      <w:r>
        <w:rPr>
          <w:rFonts w:hint="eastAsia"/>
        </w:rPr>
        <w:t>进行沼气发电。根据调查，大沼工程配套建设有干湿分离机对粪尿进行分离，最终未混合排出，依据《环境保护部办公厅函》（关于牧原食品股份有限公司部分养殖场清粪工艺问题的）复函（环办函[</w:t>
      </w:r>
      <w:r>
        <w:t>2015]425</w:t>
      </w:r>
      <w:r>
        <w:rPr>
          <w:rFonts w:hint="eastAsia"/>
        </w:rPr>
        <w:t>号），该清粪工艺具备干清粪工艺基本特征，符合相关技术规范的要求。</w:t>
      </w:r>
    </w:p>
    <w:p>
      <w:pPr>
        <w:pStyle w:val="970"/>
        <w:snapToGrid w:val="0"/>
        <w:ind w:firstLine="0"/>
        <w:outlineLvl w:val="3"/>
        <w:rPr>
          <w:rFonts w:eastAsia="黑体"/>
          <w:bCs/>
          <w:szCs w:val="24"/>
        </w:rPr>
      </w:pPr>
      <w:r>
        <w:rPr>
          <w:rFonts w:eastAsia="黑体"/>
          <w:bCs/>
          <w:szCs w:val="24"/>
        </w:rPr>
        <w:t>4.2.1.6消毒防疫</w:t>
      </w:r>
    </w:p>
    <w:p>
      <w:pPr>
        <w:snapToGrid w:val="0"/>
        <w:ind w:firstLine="480" w:firstLineChars="200"/>
      </w:pPr>
      <w:r>
        <w:t>全场外围设围墙，防止外人或外畜进入。场内外保持清洁，道路、环境每月消毒两次，特殊情况下每周消毒一次。猪舍每周使用84消毒液喷雾带猪消毒1次；产房出栏后进行彻底清扫并冲洗后，分别使用安灭杀、卫可等消毒剂喷洒消毒，间隔时间至少12h。养殖区入口处设置参观者须知，凡进入者必须严格遵守。所有人员进入养殖区必须更换场内工作服、工作鞋，严格消毒。严禁饲养其他动物，做好灭蝇、灭蚊、灭鼠工作。运载工具进出要严格消毒。应用选择两种以上经国家GMP认证企业生产的消毒药，并按照规定交替使用。</w:t>
      </w:r>
    </w:p>
    <w:p>
      <w:pPr>
        <w:spacing w:before="120" w:after="60"/>
        <w:jc w:val="left"/>
        <w:outlineLvl w:val="2"/>
        <w:rPr>
          <w:rFonts w:eastAsia="黑体"/>
          <w:bCs/>
          <w:sz w:val="28"/>
          <w:szCs w:val="28"/>
        </w:rPr>
      </w:pPr>
      <w:r>
        <w:rPr>
          <w:rFonts w:eastAsia="黑体"/>
          <w:bCs/>
          <w:sz w:val="28"/>
          <w:szCs w:val="28"/>
        </w:rPr>
        <w:t>4.2.2主要产污工序</w:t>
      </w:r>
    </w:p>
    <w:p>
      <w:pPr>
        <w:snapToGrid w:val="0"/>
        <w:ind w:firstLine="480" w:firstLineChars="200"/>
      </w:pPr>
      <w:r>
        <w:t>根据项目工程概况和工艺特点，其主要污染源及污染因子识别见表4.2-1。</w:t>
      </w:r>
    </w:p>
    <w:p>
      <w:pPr>
        <w:spacing w:line="240" w:lineRule="auto"/>
        <w:contextualSpacing/>
        <w:jc w:val="center"/>
        <w:rPr>
          <w:rFonts w:eastAsia="黑体"/>
        </w:rPr>
      </w:pPr>
      <w:r>
        <w:rPr>
          <w:rFonts w:eastAsia="黑体"/>
        </w:rPr>
        <w:t>表4.2-1  运行期污染源与污染因子识别表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1285"/>
        <w:gridCol w:w="3969"/>
        <w:gridCol w:w="32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8" w:type="pct"/>
            <w:gridSpan w:val="2"/>
            <w:vAlign w:val="center"/>
          </w:tcPr>
          <w:p>
            <w:pPr>
              <w:snapToGrid w:val="0"/>
              <w:spacing w:line="240" w:lineRule="auto"/>
              <w:jc w:val="center"/>
              <w:rPr>
                <w:b/>
                <w:sz w:val="21"/>
                <w:szCs w:val="21"/>
              </w:rPr>
            </w:pPr>
            <w:r>
              <w:rPr>
                <w:b/>
                <w:sz w:val="21"/>
                <w:szCs w:val="21"/>
              </w:rPr>
              <w:t>污染物</w:t>
            </w:r>
          </w:p>
        </w:tc>
        <w:tc>
          <w:tcPr>
            <w:tcW w:w="2218" w:type="pct"/>
            <w:vAlign w:val="center"/>
          </w:tcPr>
          <w:p>
            <w:pPr>
              <w:snapToGrid w:val="0"/>
              <w:spacing w:line="240" w:lineRule="auto"/>
              <w:jc w:val="center"/>
              <w:rPr>
                <w:b/>
                <w:sz w:val="21"/>
                <w:szCs w:val="21"/>
              </w:rPr>
            </w:pPr>
            <w:r>
              <w:rPr>
                <w:b/>
                <w:sz w:val="21"/>
                <w:szCs w:val="21"/>
              </w:rPr>
              <w:t>污染来源</w:t>
            </w:r>
          </w:p>
        </w:tc>
        <w:tc>
          <w:tcPr>
            <w:tcW w:w="1814" w:type="pct"/>
            <w:vAlign w:val="center"/>
          </w:tcPr>
          <w:p>
            <w:pPr>
              <w:snapToGrid w:val="0"/>
              <w:spacing w:line="240" w:lineRule="auto"/>
              <w:jc w:val="center"/>
              <w:rPr>
                <w:b/>
                <w:sz w:val="21"/>
                <w:szCs w:val="21"/>
              </w:rPr>
            </w:pPr>
            <w:r>
              <w:rPr>
                <w:b/>
                <w:sz w:val="21"/>
                <w:szCs w:val="21"/>
              </w:rPr>
              <w:t>污染因子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5" w:hRule="atLeast"/>
          <w:jc w:val="center"/>
        </w:trPr>
        <w:tc>
          <w:tcPr>
            <w:tcW w:w="968" w:type="pct"/>
            <w:gridSpan w:val="2"/>
            <w:vAlign w:val="center"/>
          </w:tcPr>
          <w:p>
            <w:pPr>
              <w:snapToGrid w:val="0"/>
              <w:spacing w:line="240" w:lineRule="auto"/>
              <w:jc w:val="center"/>
              <w:rPr>
                <w:sz w:val="21"/>
                <w:szCs w:val="21"/>
              </w:rPr>
            </w:pPr>
            <w:r>
              <w:rPr>
                <w:sz w:val="21"/>
                <w:szCs w:val="21"/>
              </w:rPr>
              <w:t>废气</w:t>
            </w:r>
          </w:p>
        </w:tc>
        <w:tc>
          <w:tcPr>
            <w:tcW w:w="2218" w:type="pct"/>
            <w:vAlign w:val="center"/>
          </w:tcPr>
          <w:p>
            <w:pPr>
              <w:snapToGrid w:val="0"/>
              <w:spacing w:line="240" w:lineRule="auto"/>
              <w:jc w:val="center"/>
              <w:rPr>
                <w:sz w:val="21"/>
                <w:szCs w:val="21"/>
              </w:rPr>
            </w:pPr>
            <w:r>
              <w:rPr>
                <w:sz w:val="21"/>
                <w:szCs w:val="21"/>
              </w:rPr>
              <w:t>猪舍、粪污处理区、固废（粪便、污泥、病死猪、胎盘）暂存间</w:t>
            </w:r>
          </w:p>
        </w:tc>
        <w:tc>
          <w:tcPr>
            <w:tcW w:w="1814" w:type="pct"/>
            <w:vAlign w:val="center"/>
          </w:tcPr>
          <w:p>
            <w:pPr>
              <w:snapToGrid w:val="0"/>
              <w:spacing w:line="240" w:lineRule="auto"/>
              <w:jc w:val="center"/>
              <w:rPr>
                <w:sz w:val="21"/>
                <w:szCs w:val="21"/>
              </w:rPr>
            </w:pPr>
            <w:r>
              <w:rPr>
                <w:sz w:val="21"/>
                <w:szCs w:val="21"/>
              </w:rPr>
              <w:t>NH</w:t>
            </w:r>
            <w:r>
              <w:rPr>
                <w:sz w:val="21"/>
                <w:szCs w:val="21"/>
                <w:vertAlign w:val="subscript"/>
              </w:rPr>
              <w:t>3</w:t>
            </w:r>
            <w:r>
              <w:rPr>
                <w:sz w:val="21"/>
                <w:szCs w:val="21"/>
              </w:rPr>
              <w:t>、H</w:t>
            </w:r>
            <w:r>
              <w:rPr>
                <w:sz w:val="21"/>
                <w:szCs w:val="21"/>
                <w:vertAlign w:val="subscript"/>
              </w:rPr>
              <w:t>2</w:t>
            </w:r>
            <w:r>
              <w:rPr>
                <w:sz w:val="21"/>
                <w:szCs w:val="21"/>
              </w:rPr>
              <w:t xml:space="preserve">S、恶臭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center"/>
        </w:trPr>
        <w:tc>
          <w:tcPr>
            <w:tcW w:w="250" w:type="pct"/>
            <w:vMerge w:val="restart"/>
            <w:vAlign w:val="center"/>
          </w:tcPr>
          <w:p>
            <w:pPr>
              <w:snapToGrid w:val="0"/>
              <w:spacing w:line="240" w:lineRule="auto"/>
              <w:jc w:val="center"/>
              <w:rPr>
                <w:sz w:val="21"/>
                <w:szCs w:val="21"/>
              </w:rPr>
            </w:pPr>
            <w:r>
              <w:rPr>
                <w:sz w:val="21"/>
                <w:szCs w:val="21"/>
              </w:rPr>
              <w:t>废水</w:t>
            </w:r>
          </w:p>
        </w:tc>
        <w:tc>
          <w:tcPr>
            <w:tcW w:w="718" w:type="pct"/>
            <w:vAlign w:val="center"/>
          </w:tcPr>
          <w:p>
            <w:pPr>
              <w:snapToGrid w:val="0"/>
              <w:spacing w:line="240" w:lineRule="auto"/>
              <w:jc w:val="center"/>
              <w:rPr>
                <w:sz w:val="21"/>
                <w:szCs w:val="21"/>
              </w:rPr>
            </w:pPr>
            <w:r>
              <w:rPr>
                <w:sz w:val="21"/>
                <w:szCs w:val="21"/>
              </w:rPr>
              <w:t>生产废水</w:t>
            </w:r>
          </w:p>
        </w:tc>
        <w:tc>
          <w:tcPr>
            <w:tcW w:w="2218" w:type="pct"/>
            <w:vAlign w:val="center"/>
          </w:tcPr>
          <w:p>
            <w:pPr>
              <w:snapToGrid w:val="0"/>
              <w:spacing w:line="240" w:lineRule="auto"/>
              <w:jc w:val="center"/>
              <w:rPr>
                <w:sz w:val="21"/>
                <w:szCs w:val="21"/>
              </w:rPr>
            </w:pPr>
            <w:r>
              <w:rPr>
                <w:sz w:val="21"/>
                <w:szCs w:val="21"/>
              </w:rPr>
              <w:t>猪舍产生的猪尿、猪舍冲洗水</w:t>
            </w:r>
          </w:p>
        </w:tc>
        <w:tc>
          <w:tcPr>
            <w:tcW w:w="1814" w:type="pct"/>
            <w:vAlign w:val="center"/>
          </w:tcPr>
          <w:p>
            <w:pPr>
              <w:snapToGrid w:val="0"/>
              <w:spacing w:line="240" w:lineRule="auto"/>
              <w:ind w:left="-120" w:right="-120"/>
              <w:jc w:val="center"/>
              <w:rPr>
                <w:sz w:val="21"/>
                <w:szCs w:val="21"/>
              </w:rPr>
            </w:pPr>
            <w:r>
              <w:rPr>
                <w:rFonts w:eastAsiaTheme="minorEastAsia"/>
                <w:sz w:val="21"/>
                <w:szCs w:val="21"/>
              </w:rPr>
              <w:t>COD、SS、NH</w:t>
            </w:r>
            <w:r>
              <w:rPr>
                <w:rFonts w:eastAsiaTheme="minorEastAsia"/>
                <w:sz w:val="21"/>
                <w:szCs w:val="21"/>
                <w:vertAlign w:val="subscript"/>
              </w:rPr>
              <w:t>3</w:t>
            </w:r>
            <w:r>
              <w:rPr>
                <w:rFonts w:eastAsiaTheme="minorEastAsia"/>
                <w:sz w:val="21"/>
                <w:szCs w:val="21"/>
              </w:rPr>
              <w:t>-N、大肠菌群</w:t>
            </w:r>
            <w:r>
              <w:rPr>
                <w:sz w:val="21"/>
                <w:szCs w:val="21"/>
              </w:rPr>
              <w:t>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0" w:type="pct"/>
            <w:vMerge w:val="continue"/>
            <w:vAlign w:val="center"/>
          </w:tcPr>
          <w:p>
            <w:pPr>
              <w:snapToGrid w:val="0"/>
              <w:spacing w:line="240" w:lineRule="auto"/>
              <w:jc w:val="center"/>
              <w:rPr>
                <w:sz w:val="21"/>
                <w:szCs w:val="21"/>
              </w:rPr>
            </w:pPr>
          </w:p>
        </w:tc>
        <w:tc>
          <w:tcPr>
            <w:tcW w:w="718" w:type="pct"/>
            <w:vAlign w:val="center"/>
          </w:tcPr>
          <w:p>
            <w:pPr>
              <w:snapToGrid w:val="0"/>
              <w:spacing w:line="240" w:lineRule="auto"/>
              <w:jc w:val="center"/>
              <w:rPr>
                <w:sz w:val="21"/>
                <w:szCs w:val="21"/>
              </w:rPr>
            </w:pPr>
            <w:r>
              <w:rPr>
                <w:sz w:val="21"/>
                <w:szCs w:val="21"/>
              </w:rPr>
              <w:t>生活污水</w:t>
            </w:r>
          </w:p>
        </w:tc>
        <w:tc>
          <w:tcPr>
            <w:tcW w:w="2218" w:type="pct"/>
            <w:vAlign w:val="center"/>
          </w:tcPr>
          <w:p>
            <w:pPr>
              <w:snapToGrid w:val="0"/>
              <w:spacing w:line="240" w:lineRule="auto"/>
              <w:jc w:val="center"/>
              <w:rPr>
                <w:sz w:val="21"/>
                <w:szCs w:val="21"/>
              </w:rPr>
            </w:pPr>
            <w:r>
              <w:rPr>
                <w:sz w:val="21"/>
                <w:szCs w:val="21"/>
              </w:rPr>
              <w:t>办公楼、食堂等生活污水</w:t>
            </w:r>
          </w:p>
        </w:tc>
        <w:tc>
          <w:tcPr>
            <w:tcW w:w="1814" w:type="pct"/>
            <w:vAlign w:val="center"/>
          </w:tcPr>
          <w:p>
            <w:pPr>
              <w:snapToGrid w:val="0"/>
              <w:spacing w:line="240" w:lineRule="auto"/>
              <w:ind w:left="-120" w:right="-120"/>
              <w:jc w:val="center"/>
              <w:rPr>
                <w:sz w:val="21"/>
                <w:szCs w:val="21"/>
              </w:rPr>
            </w:pPr>
            <w:r>
              <w:rPr>
                <w:sz w:val="21"/>
                <w:szCs w:val="21"/>
              </w:rPr>
              <w:t>动植物油、BOD</w:t>
            </w:r>
            <w:r>
              <w:rPr>
                <w:sz w:val="21"/>
                <w:szCs w:val="21"/>
                <w:vertAlign w:val="subscript"/>
              </w:rPr>
              <w:t>5</w:t>
            </w:r>
            <w:r>
              <w:rPr>
                <w:sz w:val="21"/>
                <w:szCs w:val="21"/>
              </w:rPr>
              <w:t>、COD、SS等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8" w:type="pct"/>
            <w:gridSpan w:val="2"/>
            <w:vAlign w:val="center"/>
          </w:tcPr>
          <w:p>
            <w:pPr>
              <w:snapToGrid w:val="0"/>
              <w:spacing w:line="240" w:lineRule="auto"/>
              <w:jc w:val="center"/>
              <w:rPr>
                <w:sz w:val="21"/>
                <w:szCs w:val="21"/>
              </w:rPr>
            </w:pPr>
            <w:r>
              <w:rPr>
                <w:sz w:val="21"/>
                <w:szCs w:val="21"/>
              </w:rPr>
              <w:t>噪声</w:t>
            </w:r>
          </w:p>
        </w:tc>
        <w:tc>
          <w:tcPr>
            <w:tcW w:w="2218" w:type="pct"/>
            <w:tcMar>
              <w:left w:w="0" w:type="dxa"/>
              <w:right w:w="0" w:type="dxa"/>
            </w:tcMar>
            <w:vAlign w:val="center"/>
          </w:tcPr>
          <w:p>
            <w:pPr>
              <w:snapToGrid w:val="0"/>
              <w:spacing w:line="240" w:lineRule="auto"/>
              <w:jc w:val="center"/>
              <w:rPr>
                <w:sz w:val="21"/>
                <w:szCs w:val="21"/>
              </w:rPr>
            </w:pPr>
            <w:r>
              <w:rPr>
                <w:sz w:val="21"/>
                <w:szCs w:val="21"/>
              </w:rPr>
              <w:t>猪叫声、</w:t>
            </w:r>
            <w:r>
              <w:rPr>
                <w:rFonts w:hint="eastAsia"/>
                <w:sz w:val="21"/>
                <w:szCs w:val="21"/>
              </w:rPr>
              <w:t>风机</w:t>
            </w:r>
            <w:r>
              <w:rPr>
                <w:sz w:val="21"/>
                <w:szCs w:val="21"/>
              </w:rPr>
              <w:t>、泵</w:t>
            </w:r>
          </w:p>
        </w:tc>
        <w:tc>
          <w:tcPr>
            <w:tcW w:w="1814" w:type="pct"/>
            <w:vAlign w:val="center"/>
          </w:tcPr>
          <w:p>
            <w:pPr>
              <w:snapToGrid w:val="0"/>
              <w:spacing w:line="240" w:lineRule="auto"/>
              <w:jc w:val="center"/>
              <w:rPr>
                <w:sz w:val="21"/>
                <w:szCs w:val="21"/>
              </w:rPr>
            </w:pPr>
            <w:r>
              <w:rPr>
                <w:sz w:val="21"/>
                <w:szCs w:val="21"/>
              </w:rPr>
              <w:t>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68" w:type="pct"/>
            <w:gridSpan w:val="2"/>
            <w:vMerge w:val="restart"/>
            <w:vAlign w:val="center"/>
          </w:tcPr>
          <w:p>
            <w:pPr>
              <w:snapToGrid w:val="0"/>
              <w:spacing w:line="240" w:lineRule="auto"/>
              <w:jc w:val="center"/>
              <w:rPr>
                <w:sz w:val="21"/>
                <w:szCs w:val="21"/>
              </w:rPr>
            </w:pPr>
            <w:r>
              <w:rPr>
                <w:sz w:val="21"/>
                <w:szCs w:val="21"/>
              </w:rPr>
              <w:t>固体废物</w:t>
            </w:r>
          </w:p>
        </w:tc>
        <w:tc>
          <w:tcPr>
            <w:tcW w:w="2218" w:type="pct"/>
            <w:vAlign w:val="center"/>
          </w:tcPr>
          <w:p>
            <w:pPr>
              <w:snapToGrid w:val="0"/>
              <w:spacing w:line="240" w:lineRule="auto"/>
              <w:jc w:val="center"/>
              <w:rPr>
                <w:sz w:val="21"/>
                <w:szCs w:val="21"/>
              </w:rPr>
            </w:pPr>
            <w:r>
              <w:rPr>
                <w:sz w:val="21"/>
                <w:szCs w:val="21"/>
              </w:rPr>
              <w:t>生产人员</w:t>
            </w:r>
          </w:p>
        </w:tc>
        <w:tc>
          <w:tcPr>
            <w:tcW w:w="1814" w:type="pct"/>
            <w:vAlign w:val="center"/>
          </w:tcPr>
          <w:p>
            <w:pPr>
              <w:snapToGrid w:val="0"/>
              <w:spacing w:line="240" w:lineRule="auto"/>
              <w:jc w:val="center"/>
              <w:rPr>
                <w:sz w:val="21"/>
                <w:szCs w:val="21"/>
              </w:rPr>
            </w:pPr>
            <w:r>
              <w:rPr>
                <w:sz w:val="21"/>
                <w:szCs w:val="21"/>
              </w:rPr>
              <w:t>生活垃圾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968" w:type="pct"/>
            <w:gridSpan w:val="2"/>
            <w:vMerge w:val="continue"/>
            <w:vAlign w:val="center"/>
          </w:tcPr>
          <w:p>
            <w:pPr>
              <w:snapToGrid w:val="0"/>
              <w:spacing w:line="240" w:lineRule="auto"/>
              <w:jc w:val="center"/>
              <w:rPr>
                <w:sz w:val="21"/>
                <w:szCs w:val="21"/>
              </w:rPr>
            </w:pPr>
          </w:p>
        </w:tc>
        <w:tc>
          <w:tcPr>
            <w:tcW w:w="2218" w:type="pct"/>
            <w:vAlign w:val="center"/>
          </w:tcPr>
          <w:p>
            <w:pPr>
              <w:snapToGrid w:val="0"/>
              <w:spacing w:line="240" w:lineRule="auto"/>
              <w:jc w:val="center"/>
              <w:rPr>
                <w:sz w:val="21"/>
                <w:szCs w:val="21"/>
              </w:rPr>
            </w:pPr>
            <w:r>
              <w:rPr>
                <w:sz w:val="21"/>
                <w:szCs w:val="21"/>
              </w:rPr>
              <w:t>猪舍产生的猪粪、污水处理站产生的沼渣和污泥、病死猪和母猪分娩物、医疗废物和废脱硫剂</w:t>
            </w:r>
          </w:p>
        </w:tc>
        <w:tc>
          <w:tcPr>
            <w:tcW w:w="1814" w:type="pct"/>
            <w:vAlign w:val="center"/>
          </w:tcPr>
          <w:p>
            <w:pPr>
              <w:snapToGrid w:val="0"/>
              <w:spacing w:line="240" w:lineRule="auto"/>
              <w:jc w:val="center"/>
              <w:rPr>
                <w:sz w:val="21"/>
                <w:szCs w:val="21"/>
              </w:rPr>
            </w:pPr>
            <w:r>
              <w:rPr>
                <w:sz w:val="21"/>
                <w:szCs w:val="21"/>
              </w:rPr>
              <w:t>固体废物</w:t>
            </w:r>
          </w:p>
        </w:tc>
      </w:tr>
    </w:tbl>
    <w:p>
      <w:pPr>
        <w:pStyle w:val="2"/>
        <w:ind w:firstLine="0" w:firstLineChars="0"/>
        <w:rPr>
          <w:rFonts w:hint="default"/>
        </w:rPr>
      </w:pPr>
    </w:p>
    <w:bookmarkEnd w:id="577"/>
    <w:bookmarkEnd w:id="578"/>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579" w:name="_Toc29110579"/>
      <w:bookmarkStart w:id="580" w:name="_Toc457480969"/>
      <w:bookmarkStart w:id="581" w:name="_Toc423336691"/>
      <w:r>
        <w:rPr>
          <w:rFonts w:ascii="Times New Roman" w:hAnsi="Times New Roman" w:eastAsia="黑体" w:cs="Times New Roman"/>
          <w:b w:val="0"/>
          <w:bCs/>
          <w:spacing w:val="4"/>
          <w:kern w:val="2"/>
          <w:sz w:val="32"/>
          <w:szCs w:val="32"/>
        </w:rPr>
        <w:t>4.3 营运期污染物排放及治理方案</w:t>
      </w:r>
      <w:bookmarkEnd w:id="579"/>
      <w:bookmarkEnd w:id="580"/>
    </w:p>
    <w:p>
      <w:pPr>
        <w:jc w:val="left"/>
        <w:outlineLvl w:val="2"/>
        <w:rPr>
          <w:rFonts w:eastAsia="黑体"/>
          <w:bCs/>
          <w:sz w:val="28"/>
          <w:szCs w:val="28"/>
        </w:rPr>
      </w:pPr>
      <w:bookmarkStart w:id="582" w:name="_Toc457480970"/>
      <w:r>
        <w:rPr>
          <w:rFonts w:eastAsia="黑体"/>
          <w:bCs/>
          <w:sz w:val="28"/>
          <w:szCs w:val="28"/>
        </w:rPr>
        <w:t>4.3.1 废水排放及治理</w:t>
      </w:r>
      <w:bookmarkEnd w:id="581"/>
      <w:bookmarkEnd w:id="582"/>
    </w:p>
    <w:p>
      <w:pPr>
        <w:pStyle w:val="970"/>
        <w:snapToGrid w:val="0"/>
        <w:ind w:firstLine="0"/>
        <w:outlineLvl w:val="3"/>
        <w:rPr>
          <w:rFonts w:eastAsia="黑体"/>
          <w:bCs/>
          <w:szCs w:val="24"/>
        </w:rPr>
      </w:pPr>
      <w:r>
        <w:rPr>
          <w:rFonts w:eastAsia="黑体"/>
          <w:bCs/>
          <w:szCs w:val="24"/>
        </w:rPr>
        <w:t xml:space="preserve">4.3.1.1 </w:t>
      </w:r>
      <w:r>
        <w:rPr>
          <w:rFonts w:hint="eastAsia" w:eastAsia="黑体"/>
          <w:bCs/>
          <w:szCs w:val="24"/>
        </w:rPr>
        <w:t>用水情况</w:t>
      </w:r>
    </w:p>
    <w:p>
      <w:pPr>
        <w:snapToGrid w:val="0"/>
        <w:ind w:firstLine="480" w:firstLineChars="200"/>
      </w:pPr>
      <w:r>
        <w:t>本项目用水主要包括猪只饮用水、猪舍冲洗水、工作人员生活用水、绿化用水等。</w:t>
      </w:r>
    </w:p>
    <w:p>
      <w:pPr>
        <w:snapToGrid w:val="0"/>
        <w:ind w:left="480"/>
      </w:pPr>
      <w:r>
        <w:t>（1）猪只饮用水</w:t>
      </w:r>
    </w:p>
    <w:p>
      <w:pPr>
        <w:snapToGrid w:val="0"/>
        <w:ind w:firstLine="480" w:firstLineChars="200"/>
      </w:pPr>
      <w:r>
        <w:t>根据《四川省用水定额》</w:t>
      </w:r>
      <w:r>
        <w:rPr>
          <w:rFonts w:hint="eastAsia"/>
        </w:rPr>
        <w:t>（D</w:t>
      </w:r>
      <w:r>
        <w:t>B51T2138</w:t>
      </w:r>
      <w:r>
        <w:rPr>
          <w:rFonts w:hint="eastAsia"/>
        </w:rPr>
        <w:t>-</w:t>
      </w:r>
      <w:r>
        <w:t>2016</w:t>
      </w:r>
      <w:r>
        <w:rPr>
          <w:rFonts w:hint="eastAsia"/>
        </w:rPr>
        <w:t>）</w:t>
      </w:r>
      <w:r>
        <w:t>规定，结合建设单位猪舍饮用水设计规范，本项目养殖场猪只饮用水量见表4.3-1。</w:t>
      </w:r>
    </w:p>
    <w:p>
      <w:pPr>
        <w:spacing w:line="240" w:lineRule="auto"/>
        <w:contextualSpacing/>
        <w:jc w:val="center"/>
        <w:rPr>
          <w:rFonts w:eastAsia="黑体"/>
        </w:rPr>
      </w:pPr>
      <w:r>
        <w:rPr>
          <w:rFonts w:eastAsia="黑体"/>
          <w:b/>
        </w:rPr>
        <w:t xml:space="preserve">     </w:t>
      </w:r>
      <w:r>
        <w:rPr>
          <w:rFonts w:eastAsia="黑体"/>
        </w:rPr>
        <w:t xml:space="preserve">             表4.3-1  养殖场猪只饮用水量表　　        单位：m</w:t>
      </w:r>
      <w:r>
        <w:rPr>
          <w:rFonts w:eastAsia="黑体"/>
          <w:vertAlign w:val="superscript"/>
        </w:rPr>
        <w:t>3</w:t>
      </w:r>
      <w:r>
        <w:rPr>
          <w:rFonts w:eastAsia="黑体"/>
        </w:rPr>
        <w:t>/d</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85"/>
        <w:gridCol w:w="2907"/>
        <w:gridCol w:w="1617"/>
        <w:gridCol w:w="243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85" w:type="dxa"/>
            <w:vAlign w:val="center"/>
          </w:tcPr>
          <w:p>
            <w:pPr>
              <w:snapToGrid w:val="0"/>
              <w:spacing w:line="240" w:lineRule="auto"/>
              <w:jc w:val="center"/>
              <w:rPr>
                <w:sz w:val="21"/>
                <w:szCs w:val="21"/>
              </w:rPr>
            </w:pPr>
            <w:r>
              <w:rPr>
                <w:sz w:val="21"/>
                <w:szCs w:val="21"/>
              </w:rPr>
              <w:t>猪只类型</w:t>
            </w:r>
          </w:p>
        </w:tc>
        <w:tc>
          <w:tcPr>
            <w:tcW w:w="2907" w:type="dxa"/>
            <w:vAlign w:val="center"/>
          </w:tcPr>
          <w:p>
            <w:pPr>
              <w:snapToGrid w:val="0"/>
              <w:spacing w:line="240" w:lineRule="auto"/>
              <w:jc w:val="center"/>
              <w:rPr>
                <w:sz w:val="21"/>
                <w:szCs w:val="21"/>
              </w:rPr>
            </w:pPr>
            <w:r>
              <w:rPr>
                <w:sz w:val="21"/>
                <w:szCs w:val="21"/>
              </w:rPr>
              <w:t>用水系数（L/头•d）</w:t>
            </w:r>
          </w:p>
        </w:tc>
        <w:tc>
          <w:tcPr>
            <w:tcW w:w="1617" w:type="dxa"/>
            <w:vAlign w:val="center"/>
          </w:tcPr>
          <w:p>
            <w:pPr>
              <w:snapToGrid w:val="0"/>
              <w:spacing w:line="240" w:lineRule="auto"/>
              <w:jc w:val="center"/>
              <w:rPr>
                <w:sz w:val="21"/>
                <w:szCs w:val="21"/>
              </w:rPr>
            </w:pPr>
            <w:r>
              <w:rPr>
                <w:sz w:val="21"/>
                <w:szCs w:val="21"/>
              </w:rPr>
              <w:t>数量（头）</w:t>
            </w:r>
          </w:p>
        </w:tc>
        <w:tc>
          <w:tcPr>
            <w:tcW w:w="2438" w:type="dxa"/>
            <w:vAlign w:val="center"/>
          </w:tcPr>
          <w:p>
            <w:pPr>
              <w:snapToGrid w:val="0"/>
              <w:spacing w:line="240" w:lineRule="auto"/>
              <w:jc w:val="center"/>
              <w:rPr>
                <w:sz w:val="21"/>
                <w:szCs w:val="21"/>
              </w:rPr>
            </w:pPr>
            <w:r>
              <w:rPr>
                <w:sz w:val="21"/>
                <w:szCs w:val="21"/>
              </w:rPr>
              <w:t>用水量（m</w:t>
            </w:r>
            <w:r>
              <w:rPr>
                <w:sz w:val="21"/>
                <w:szCs w:val="21"/>
                <w:vertAlign w:val="superscript"/>
              </w:rPr>
              <w:t>3</w:t>
            </w:r>
            <w:r>
              <w:rPr>
                <w:sz w:val="21"/>
                <w:szCs w:val="21"/>
              </w:rPr>
              <w:t>/d）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 w:hRule="atLeast"/>
          <w:jc w:val="center"/>
        </w:trPr>
        <w:tc>
          <w:tcPr>
            <w:tcW w:w="1985" w:type="dxa"/>
            <w:vAlign w:val="center"/>
          </w:tcPr>
          <w:p>
            <w:pPr>
              <w:snapToGrid w:val="0"/>
              <w:spacing w:line="240" w:lineRule="auto"/>
              <w:jc w:val="center"/>
              <w:rPr>
                <w:sz w:val="21"/>
                <w:szCs w:val="21"/>
              </w:rPr>
            </w:pPr>
            <w:r>
              <w:rPr>
                <w:sz w:val="21"/>
                <w:szCs w:val="21"/>
              </w:rPr>
              <w:t>空怀种母猪</w:t>
            </w:r>
          </w:p>
        </w:tc>
        <w:tc>
          <w:tcPr>
            <w:tcW w:w="2907" w:type="dxa"/>
            <w:vAlign w:val="center"/>
          </w:tcPr>
          <w:p>
            <w:pPr>
              <w:snapToGrid w:val="0"/>
              <w:spacing w:line="240" w:lineRule="auto"/>
              <w:jc w:val="center"/>
              <w:rPr>
                <w:sz w:val="21"/>
                <w:szCs w:val="21"/>
              </w:rPr>
            </w:pPr>
            <w:r>
              <w:rPr>
                <w:sz w:val="21"/>
                <w:szCs w:val="21"/>
              </w:rPr>
              <w:t>30</w:t>
            </w:r>
          </w:p>
        </w:tc>
        <w:tc>
          <w:tcPr>
            <w:tcW w:w="1617" w:type="dxa"/>
            <w:vAlign w:val="center"/>
          </w:tcPr>
          <w:p>
            <w:pPr>
              <w:snapToGrid w:val="0"/>
              <w:spacing w:line="240" w:lineRule="auto"/>
              <w:jc w:val="center"/>
              <w:rPr>
                <w:sz w:val="21"/>
                <w:szCs w:val="21"/>
              </w:rPr>
            </w:pPr>
            <w:r>
              <w:rPr>
                <w:sz w:val="21"/>
                <w:szCs w:val="21"/>
              </w:rPr>
              <w:t>3000</w:t>
            </w:r>
          </w:p>
        </w:tc>
        <w:tc>
          <w:tcPr>
            <w:tcW w:w="2438" w:type="dxa"/>
            <w:vAlign w:val="center"/>
          </w:tcPr>
          <w:p>
            <w:pPr>
              <w:snapToGrid w:val="0"/>
              <w:spacing w:line="240" w:lineRule="auto"/>
              <w:jc w:val="center"/>
              <w:rPr>
                <w:sz w:val="21"/>
                <w:szCs w:val="21"/>
              </w:rPr>
            </w:pPr>
            <w:r>
              <w:rPr>
                <w:sz w:val="21"/>
                <w:szCs w:val="21"/>
              </w:rPr>
              <w:t>90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 w:hRule="atLeast"/>
          <w:jc w:val="center"/>
        </w:trPr>
        <w:tc>
          <w:tcPr>
            <w:tcW w:w="1985" w:type="dxa"/>
            <w:vAlign w:val="center"/>
          </w:tcPr>
          <w:p>
            <w:pPr>
              <w:snapToGrid w:val="0"/>
              <w:spacing w:line="240" w:lineRule="auto"/>
              <w:jc w:val="center"/>
              <w:rPr>
                <w:sz w:val="21"/>
                <w:szCs w:val="21"/>
              </w:rPr>
            </w:pPr>
            <w:r>
              <w:rPr>
                <w:rFonts w:hint="eastAsia"/>
                <w:sz w:val="21"/>
                <w:szCs w:val="21"/>
              </w:rPr>
              <w:t>公猪</w:t>
            </w:r>
          </w:p>
        </w:tc>
        <w:tc>
          <w:tcPr>
            <w:tcW w:w="2907" w:type="dxa"/>
            <w:vAlign w:val="center"/>
          </w:tcPr>
          <w:p>
            <w:pPr>
              <w:snapToGrid w:val="0"/>
              <w:spacing w:line="240" w:lineRule="auto"/>
              <w:jc w:val="center"/>
              <w:rPr>
                <w:sz w:val="21"/>
                <w:szCs w:val="21"/>
              </w:rPr>
            </w:pPr>
            <w:r>
              <w:rPr>
                <w:rFonts w:hint="eastAsia"/>
                <w:sz w:val="21"/>
                <w:szCs w:val="21"/>
              </w:rPr>
              <w:t>3</w:t>
            </w:r>
            <w:r>
              <w:rPr>
                <w:sz w:val="21"/>
                <w:szCs w:val="21"/>
              </w:rPr>
              <w:t>0</w:t>
            </w:r>
          </w:p>
        </w:tc>
        <w:tc>
          <w:tcPr>
            <w:tcW w:w="1617" w:type="dxa"/>
            <w:vAlign w:val="center"/>
          </w:tcPr>
          <w:p>
            <w:pPr>
              <w:snapToGrid w:val="0"/>
              <w:spacing w:line="240" w:lineRule="auto"/>
              <w:jc w:val="center"/>
              <w:rPr>
                <w:sz w:val="21"/>
                <w:szCs w:val="21"/>
              </w:rPr>
            </w:pPr>
            <w:r>
              <w:rPr>
                <w:sz w:val="21"/>
                <w:szCs w:val="21"/>
              </w:rPr>
              <w:t>50</w:t>
            </w:r>
          </w:p>
        </w:tc>
        <w:tc>
          <w:tcPr>
            <w:tcW w:w="2438" w:type="dxa"/>
            <w:vAlign w:val="center"/>
          </w:tcPr>
          <w:p>
            <w:pPr>
              <w:snapToGrid w:val="0"/>
              <w:spacing w:line="240" w:lineRule="auto"/>
              <w:jc w:val="center"/>
              <w:rPr>
                <w:sz w:val="21"/>
                <w:szCs w:val="21"/>
              </w:rPr>
            </w:pPr>
            <w:r>
              <w:rPr>
                <w:rFonts w:hint="eastAsia"/>
                <w:sz w:val="21"/>
                <w:szCs w:val="21"/>
              </w:rPr>
              <w:t>1</w:t>
            </w:r>
            <w:r>
              <w:rPr>
                <w:sz w:val="21"/>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85" w:type="dxa"/>
            <w:vAlign w:val="center"/>
          </w:tcPr>
          <w:p>
            <w:pPr>
              <w:snapToGrid w:val="0"/>
              <w:spacing w:line="240" w:lineRule="auto"/>
              <w:jc w:val="center"/>
              <w:rPr>
                <w:sz w:val="21"/>
                <w:szCs w:val="21"/>
              </w:rPr>
            </w:pPr>
            <w:r>
              <w:rPr>
                <w:sz w:val="21"/>
                <w:szCs w:val="21"/>
              </w:rPr>
              <w:t>哺乳仔猪</w:t>
            </w:r>
          </w:p>
        </w:tc>
        <w:tc>
          <w:tcPr>
            <w:tcW w:w="2907" w:type="dxa"/>
            <w:vAlign w:val="center"/>
          </w:tcPr>
          <w:p>
            <w:pPr>
              <w:snapToGrid w:val="0"/>
              <w:spacing w:line="240" w:lineRule="auto"/>
              <w:jc w:val="center"/>
              <w:rPr>
                <w:sz w:val="21"/>
                <w:szCs w:val="21"/>
              </w:rPr>
            </w:pPr>
            <w:r>
              <w:rPr>
                <w:sz w:val="21"/>
                <w:szCs w:val="21"/>
              </w:rPr>
              <w:t>3</w:t>
            </w:r>
          </w:p>
        </w:tc>
        <w:tc>
          <w:tcPr>
            <w:tcW w:w="1617" w:type="dxa"/>
            <w:vAlign w:val="center"/>
          </w:tcPr>
          <w:p>
            <w:pPr>
              <w:snapToGrid w:val="0"/>
              <w:spacing w:line="240" w:lineRule="auto"/>
              <w:jc w:val="center"/>
              <w:rPr>
                <w:sz w:val="21"/>
                <w:szCs w:val="21"/>
              </w:rPr>
            </w:pPr>
            <w:r>
              <w:rPr>
                <w:sz w:val="21"/>
                <w:szCs w:val="21"/>
              </w:rPr>
              <w:t>3018</w:t>
            </w:r>
          </w:p>
        </w:tc>
        <w:tc>
          <w:tcPr>
            <w:tcW w:w="2438" w:type="dxa"/>
            <w:vAlign w:val="center"/>
          </w:tcPr>
          <w:p>
            <w:pPr>
              <w:snapToGrid w:val="0"/>
              <w:spacing w:line="240" w:lineRule="auto"/>
              <w:jc w:val="center"/>
              <w:rPr>
                <w:sz w:val="21"/>
                <w:szCs w:val="21"/>
              </w:rPr>
            </w:pPr>
            <w:r>
              <w:rPr>
                <w:sz w:val="21"/>
                <w:szCs w:val="21"/>
              </w:rPr>
              <w:t>9.05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92" w:type="dxa"/>
            <w:gridSpan w:val="2"/>
            <w:vAlign w:val="center"/>
          </w:tcPr>
          <w:p>
            <w:pPr>
              <w:snapToGrid w:val="0"/>
              <w:spacing w:line="240" w:lineRule="auto"/>
              <w:jc w:val="center"/>
              <w:rPr>
                <w:sz w:val="21"/>
                <w:szCs w:val="21"/>
              </w:rPr>
            </w:pPr>
            <w:r>
              <w:rPr>
                <w:sz w:val="21"/>
                <w:szCs w:val="21"/>
              </w:rPr>
              <w:t>合 计</w:t>
            </w:r>
          </w:p>
        </w:tc>
        <w:tc>
          <w:tcPr>
            <w:tcW w:w="1617" w:type="dxa"/>
            <w:vAlign w:val="center"/>
          </w:tcPr>
          <w:p>
            <w:pPr>
              <w:snapToGrid w:val="0"/>
              <w:spacing w:line="240" w:lineRule="auto"/>
              <w:jc w:val="center"/>
              <w:rPr>
                <w:sz w:val="21"/>
                <w:szCs w:val="21"/>
              </w:rPr>
            </w:pPr>
          </w:p>
        </w:tc>
        <w:tc>
          <w:tcPr>
            <w:tcW w:w="2438" w:type="dxa"/>
            <w:vAlign w:val="center"/>
          </w:tcPr>
          <w:p>
            <w:pPr>
              <w:snapToGrid w:val="0"/>
              <w:spacing w:line="240" w:lineRule="auto"/>
              <w:jc w:val="center"/>
              <w:rPr>
                <w:sz w:val="21"/>
                <w:szCs w:val="21"/>
              </w:rPr>
            </w:pPr>
            <w:r>
              <w:rPr>
                <w:sz w:val="21"/>
                <w:szCs w:val="21"/>
              </w:rPr>
              <w:t>100.55</w:t>
            </w:r>
          </w:p>
        </w:tc>
      </w:tr>
    </w:tbl>
    <w:p>
      <w:pPr>
        <w:snapToGrid w:val="0"/>
        <w:spacing w:line="240" w:lineRule="auto"/>
        <w:ind w:firstLine="420" w:firstLineChars="200"/>
        <w:rPr>
          <w:sz w:val="21"/>
          <w:szCs w:val="21"/>
        </w:rPr>
      </w:pPr>
      <w:r>
        <w:rPr>
          <w:rFonts w:hint="eastAsia"/>
          <w:sz w:val="21"/>
          <w:szCs w:val="21"/>
        </w:rPr>
        <w:t>注：哺乳仔猪用水系数按1</w:t>
      </w:r>
      <w:r>
        <w:rPr>
          <w:sz w:val="21"/>
          <w:szCs w:val="21"/>
        </w:rPr>
        <w:t>0</w:t>
      </w:r>
      <w:r>
        <w:rPr>
          <w:rFonts w:hint="eastAsia"/>
          <w:sz w:val="21"/>
          <w:szCs w:val="21"/>
        </w:rPr>
        <w:t>头小猪折算为1头成年猪计算。</w:t>
      </w:r>
    </w:p>
    <w:p>
      <w:pPr>
        <w:snapToGrid w:val="0"/>
        <w:ind w:firstLine="480" w:firstLineChars="200"/>
      </w:pPr>
      <w:r>
        <w:t>（2）猪舍冲洗用水</w:t>
      </w:r>
    </w:p>
    <w:p>
      <w:pPr>
        <w:snapToGrid w:val="0"/>
        <w:ind w:firstLine="480" w:firstLineChars="200"/>
      </w:pPr>
      <w:r>
        <w:t>本项目猪舍所有圈舍均为全漏缝地板设置。圈舍的冲洗主要是对</w:t>
      </w:r>
      <w:r>
        <w:rPr>
          <w:rFonts w:hint="eastAsia"/>
        </w:rPr>
        <w:t>分娩舍</w:t>
      </w:r>
      <w:r>
        <w:t>进行冲洗</w:t>
      </w:r>
      <w:r>
        <w:rPr>
          <w:rFonts w:hint="eastAsia"/>
        </w:rPr>
        <w:t>，妊娠舍不冲洗</w:t>
      </w:r>
      <w:r>
        <w:t>。</w:t>
      </w:r>
      <w:r>
        <w:rPr>
          <w:rFonts w:hint="eastAsia"/>
        </w:rPr>
        <w:t>分娩舍</w:t>
      </w:r>
      <w:r>
        <w:t>主要冲洗方式为：先用泡沫侵泡使粪污松软，然后用高压水枪进行冲洗。项目</w:t>
      </w:r>
      <w:r>
        <w:rPr>
          <w:rFonts w:hint="eastAsia"/>
        </w:rPr>
        <w:t>车间设置有</w:t>
      </w:r>
      <w:r>
        <w:t>726</w:t>
      </w:r>
      <w:r>
        <w:rPr>
          <w:rFonts w:hint="eastAsia"/>
        </w:rPr>
        <w:t>个分娩栏。项目每批次使用为3</w:t>
      </w:r>
      <w:r>
        <w:t>18</w:t>
      </w:r>
      <w:r>
        <w:rPr>
          <w:rFonts w:hint="eastAsia"/>
        </w:rPr>
        <w:t>个分娩栏，每个分娩栏面积4</w:t>
      </w:r>
      <w:r>
        <w:t>.32m</w:t>
      </w:r>
      <w:r>
        <w:rPr>
          <w:vertAlign w:val="superscript"/>
        </w:rPr>
        <w:t>2</w:t>
      </w:r>
      <w:r>
        <w:rPr>
          <w:rFonts w:hint="eastAsia"/>
        </w:rPr>
        <w:t>，项目冲洗采用高压水枪，流量为30L/min，每个分娩栏冲洗时间为</w:t>
      </w:r>
      <w:r>
        <w:t>2</w:t>
      </w:r>
      <w:r>
        <w:rPr>
          <w:rFonts w:hint="eastAsia"/>
        </w:rPr>
        <w:t>mi</w:t>
      </w:r>
      <w:r>
        <w:t>n~5mi</w:t>
      </w:r>
      <w:r>
        <w:rPr>
          <w:rFonts w:hint="eastAsia"/>
        </w:rPr>
        <w:t>n，评价按照最不利因素考虑，则单个分娩栏冲洗用水为</w:t>
      </w:r>
      <w:r>
        <w:t>150L</w:t>
      </w:r>
      <w:r>
        <w:rPr>
          <w:rFonts w:hint="eastAsia"/>
        </w:rPr>
        <w:t>，则项目单次用水量为4</w:t>
      </w:r>
      <w:r>
        <w:t>7.7m</w:t>
      </w:r>
      <w:r>
        <w:rPr>
          <w:vertAlign w:val="superscript"/>
        </w:rPr>
        <w:t>3</w:t>
      </w:r>
      <w:r>
        <w:rPr>
          <w:rFonts w:hint="eastAsia"/>
        </w:rPr>
        <w:t>，项目年冲洗1</w:t>
      </w:r>
      <w:r>
        <w:t>7</w:t>
      </w:r>
      <w:r>
        <w:rPr>
          <w:rFonts w:hint="eastAsia"/>
        </w:rPr>
        <w:t>次，则本项目年冲洗水用水量为</w:t>
      </w:r>
      <w:r>
        <w:t>810.9m</w:t>
      </w:r>
      <w:r>
        <w:rPr>
          <w:vertAlign w:val="superscript"/>
        </w:rPr>
        <w:t>3</w:t>
      </w:r>
      <w:r>
        <w:t>/</w:t>
      </w:r>
      <w:r>
        <w:rPr>
          <w:rFonts w:hint="eastAsia"/>
        </w:rPr>
        <w:t>a</w:t>
      </w:r>
      <w:r>
        <w:t>（</w:t>
      </w:r>
      <w:r>
        <w:rPr>
          <w:rFonts w:hint="eastAsia"/>
        </w:rPr>
        <w:t>约</w:t>
      </w:r>
      <w:r>
        <w:t>2.22m</w:t>
      </w:r>
      <w:r>
        <w:rPr>
          <w:vertAlign w:val="superscript"/>
        </w:rPr>
        <w:t>3</w:t>
      </w:r>
      <w:r>
        <w:t>/d）</w:t>
      </w:r>
      <w:r>
        <w:rPr>
          <w:rFonts w:hint="eastAsia"/>
        </w:rPr>
        <w:t>。</w:t>
      </w:r>
    </w:p>
    <w:p>
      <w:pPr>
        <w:snapToGrid w:val="0"/>
        <w:ind w:firstLine="480" w:firstLineChars="200"/>
      </w:pPr>
      <w:r>
        <w:t>（3）工作人员生活用水</w:t>
      </w:r>
    </w:p>
    <w:p>
      <w:pPr>
        <w:snapToGrid w:val="0"/>
        <w:ind w:firstLine="480" w:firstLineChars="200"/>
      </w:pPr>
      <w:r>
        <w:t>工作人员用水定额为120L/人·d，厂内工作人员共20人，总用水量2.4m</w:t>
      </w:r>
      <w:r>
        <w:rPr>
          <w:vertAlign w:val="superscript"/>
        </w:rPr>
        <w:t>3</w:t>
      </w:r>
      <w:r>
        <w:t>/d。</w:t>
      </w:r>
    </w:p>
    <w:p>
      <w:pPr>
        <w:snapToGrid w:val="0"/>
        <w:ind w:firstLine="480" w:firstLineChars="200"/>
      </w:pPr>
      <w:r>
        <w:t>（4）未预见用水</w:t>
      </w:r>
    </w:p>
    <w:p>
      <w:pPr>
        <w:snapToGrid w:val="0"/>
        <w:ind w:firstLine="480" w:firstLineChars="200"/>
      </w:pPr>
      <w:r>
        <w:t>不可预见用水为上述用水量的5%，5.5m</w:t>
      </w:r>
      <w:r>
        <w:rPr>
          <w:vertAlign w:val="superscript"/>
        </w:rPr>
        <w:t>3</w:t>
      </w:r>
      <w:r>
        <w:t>/d，合计2007.5m</w:t>
      </w:r>
      <w:r>
        <w:rPr>
          <w:vertAlign w:val="superscript"/>
        </w:rPr>
        <w:t>3</w:t>
      </w:r>
      <w:r>
        <w:t>/a。</w:t>
      </w:r>
    </w:p>
    <w:p>
      <w:pPr>
        <w:pStyle w:val="970"/>
        <w:snapToGrid w:val="0"/>
        <w:ind w:firstLine="0"/>
        <w:outlineLvl w:val="3"/>
        <w:rPr>
          <w:rFonts w:eastAsia="黑体"/>
          <w:bCs/>
          <w:szCs w:val="24"/>
        </w:rPr>
      </w:pPr>
      <w:r>
        <w:rPr>
          <w:rFonts w:eastAsia="黑体"/>
          <w:bCs/>
          <w:szCs w:val="24"/>
        </w:rPr>
        <w:t>4.3.1.2 废水产生量核算</w:t>
      </w:r>
    </w:p>
    <w:p>
      <w:pPr>
        <w:snapToGrid w:val="0"/>
        <w:ind w:firstLine="480" w:firstLineChars="200"/>
      </w:pPr>
      <w:r>
        <w:t>项目废水的产生量因猪的生长阶段不同而异，根据《全国规模化畜禽养殖业污染情况调查及防治对策》（国家环保总局自然生态保护司），猪粪的排泄量见表4.3-2。</w:t>
      </w:r>
    </w:p>
    <w:p>
      <w:pPr>
        <w:spacing w:line="240" w:lineRule="auto"/>
        <w:contextualSpacing/>
        <w:jc w:val="center"/>
        <w:rPr>
          <w:rFonts w:eastAsia="黑体"/>
        </w:rPr>
      </w:pPr>
      <w:r>
        <w:rPr>
          <w:rFonts w:eastAsia="黑体"/>
        </w:rPr>
        <w:t>表4.3-2 猪粪尿的排泄量</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81"/>
        <w:gridCol w:w="3683"/>
        <w:gridCol w:w="36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3" w:hRule="atLeast"/>
          <w:jc w:val="center"/>
        </w:trPr>
        <w:tc>
          <w:tcPr>
            <w:tcW w:w="884" w:type="pct"/>
            <w:vAlign w:val="center"/>
          </w:tcPr>
          <w:p>
            <w:pPr>
              <w:snapToGrid w:val="0"/>
              <w:spacing w:line="240" w:lineRule="auto"/>
              <w:jc w:val="center"/>
              <w:rPr>
                <w:sz w:val="21"/>
                <w:szCs w:val="21"/>
              </w:rPr>
            </w:pPr>
            <w:r>
              <w:rPr>
                <w:sz w:val="21"/>
                <w:szCs w:val="21"/>
              </w:rPr>
              <w:t>项目</w:t>
            </w:r>
          </w:p>
        </w:tc>
        <w:tc>
          <w:tcPr>
            <w:tcW w:w="2058" w:type="pct"/>
            <w:vAlign w:val="center"/>
          </w:tcPr>
          <w:p>
            <w:pPr>
              <w:snapToGrid w:val="0"/>
              <w:spacing w:line="240" w:lineRule="auto"/>
              <w:jc w:val="center"/>
              <w:rPr>
                <w:sz w:val="21"/>
                <w:szCs w:val="21"/>
              </w:rPr>
            </w:pPr>
            <w:r>
              <w:rPr>
                <w:sz w:val="21"/>
                <w:szCs w:val="21"/>
              </w:rPr>
              <w:t>粪排泄量（kg/d·头）</w:t>
            </w:r>
          </w:p>
        </w:tc>
        <w:tc>
          <w:tcPr>
            <w:tcW w:w="2058" w:type="pct"/>
            <w:vAlign w:val="center"/>
          </w:tcPr>
          <w:p>
            <w:pPr>
              <w:snapToGrid w:val="0"/>
              <w:spacing w:line="240" w:lineRule="auto"/>
              <w:jc w:val="center"/>
              <w:rPr>
                <w:sz w:val="21"/>
                <w:szCs w:val="21"/>
              </w:rPr>
            </w:pPr>
            <w:r>
              <w:rPr>
                <w:sz w:val="21"/>
                <w:szCs w:val="21"/>
              </w:rPr>
              <w:t>尿液排泄量（kg/d·头）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3" w:hRule="atLeast"/>
          <w:jc w:val="center"/>
        </w:trPr>
        <w:tc>
          <w:tcPr>
            <w:tcW w:w="884" w:type="pct"/>
            <w:vAlign w:val="center"/>
          </w:tcPr>
          <w:p>
            <w:pPr>
              <w:snapToGrid w:val="0"/>
              <w:spacing w:line="240" w:lineRule="auto"/>
              <w:jc w:val="center"/>
              <w:rPr>
                <w:sz w:val="21"/>
                <w:szCs w:val="21"/>
              </w:rPr>
            </w:pPr>
            <w:r>
              <w:rPr>
                <w:sz w:val="21"/>
                <w:szCs w:val="21"/>
              </w:rPr>
              <w:t>种猪</w:t>
            </w:r>
          </w:p>
        </w:tc>
        <w:tc>
          <w:tcPr>
            <w:tcW w:w="2058" w:type="pct"/>
            <w:vAlign w:val="center"/>
          </w:tcPr>
          <w:p>
            <w:pPr>
              <w:snapToGrid w:val="0"/>
              <w:spacing w:line="240" w:lineRule="auto"/>
              <w:jc w:val="center"/>
              <w:rPr>
                <w:sz w:val="21"/>
                <w:szCs w:val="21"/>
              </w:rPr>
            </w:pPr>
            <w:r>
              <w:rPr>
                <w:sz w:val="21"/>
                <w:szCs w:val="21"/>
              </w:rPr>
              <w:t>2.2</w:t>
            </w:r>
          </w:p>
        </w:tc>
        <w:tc>
          <w:tcPr>
            <w:tcW w:w="2058" w:type="pct"/>
            <w:vAlign w:val="center"/>
          </w:tcPr>
          <w:p>
            <w:pPr>
              <w:snapToGrid w:val="0"/>
              <w:spacing w:line="240" w:lineRule="auto"/>
              <w:jc w:val="center"/>
              <w:rPr>
                <w:sz w:val="21"/>
                <w:szCs w:val="21"/>
              </w:rPr>
            </w:pPr>
            <w:r>
              <w:rPr>
                <w:sz w:val="21"/>
                <w:szCs w:val="21"/>
              </w:rPr>
              <w:t>4.52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3" w:hRule="atLeast"/>
          <w:jc w:val="center"/>
        </w:trPr>
        <w:tc>
          <w:tcPr>
            <w:tcW w:w="884" w:type="pct"/>
            <w:vAlign w:val="center"/>
          </w:tcPr>
          <w:p>
            <w:pPr>
              <w:snapToGrid w:val="0"/>
              <w:spacing w:line="240" w:lineRule="auto"/>
              <w:jc w:val="center"/>
              <w:rPr>
                <w:sz w:val="21"/>
                <w:szCs w:val="21"/>
              </w:rPr>
            </w:pPr>
            <w:r>
              <w:rPr>
                <w:sz w:val="21"/>
                <w:szCs w:val="21"/>
              </w:rPr>
              <w:t>仔猪</w:t>
            </w:r>
          </w:p>
        </w:tc>
        <w:tc>
          <w:tcPr>
            <w:tcW w:w="2058" w:type="pct"/>
            <w:vAlign w:val="center"/>
          </w:tcPr>
          <w:p>
            <w:pPr>
              <w:snapToGrid w:val="0"/>
              <w:spacing w:line="240" w:lineRule="auto"/>
              <w:jc w:val="center"/>
              <w:rPr>
                <w:sz w:val="21"/>
                <w:szCs w:val="21"/>
              </w:rPr>
            </w:pPr>
            <w:r>
              <w:rPr>
                <w:sz w:val="21"/>
                <w:szCs w:val="21"/>
              </w:rPr>
              <w:t>0.69</w:t>
            </w:r>
          </w:p>
        </w:tc>
        <w:tc>
          <w:tcPr>
            <w:tcW w:w="2058" w:type="pct"/>
            <w:vAlign w:val="center"/>
          </w:tcPr>
          <w:p>
            <w:pPr>
              <w:snapToGrid w:val="0"/>
              <w:spacing w:line="240" w:lineRule="auto"/>
              <w:jc w:val="center"/>
              <w:rPr>
                <w:sz w:val="21"/>
                <w:szCs w:val="21"/>
              </w:rPr>
            </w:pPr>
            <w:r>
              <w:rPr>
                <w:sz w:val="21"/>
                <w:szCs w:val="21"/>
              </w:rPr>
              <w:t>2.45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884" w:type="pct"/>
            <w:vAlign w:val="center"/>
          </w:tcPr>
          <w:p>
            <w:pPr>
              <w:snapToGrid w:val="0"/>
              <w:spacing w:line="240" w:lineRule="auto"/>
              <w:jc w:val="center"/>
              <w:rPr>
                <w:sz w:val="21"/>
                <w:szCs w:val="21"/>
              </w:rPr>
            </w:pPr>
            <w:r>
              <w:rPr>
                <w:sz w:val="21"/>
                <w:szCs w:val="21"/>
              </w:rPr>
              <w:t>肥猪</w:t>
            </w:r>
          </w:p>
        </w:tc>
        <w:tc>
          <w:tcPr>
            <w:tcW w:w="2058" w:type="pct"/>
            <w:vAlign w:val="center"/>
          </w:tcPr>
          <w:p>
            <w:pPr>
              <w:snapToGrid w:val="0"/>
              <w:spacing w:line="240" w:lineRule="auto"/>
              <w:jc w:val="center"/>
              <w:rPr>
                <w:sz w:val="21"/>
                <w:szCs w:val="21"/>
              </w:rPr>
            </w:pPr>
            <w:r>
              <w:rPr>
                <w:sz w:val="21"/>
                <w:szCs w:val="21"/>
              </w:rPr>
              <w:t>1.66</w:t>
            </w:r>
          </w:p>
        </w:tc>
        <w:tc>
          <w:tcPr>
            <w:tcW w:w="2058" w:type="pct"/>
            <w:vAlign w:val="center"/>
          </w:tcPr>
          <w:p>
            <w:pPr>
              <w:snapToGrid w:val="0"/>
              <w:spacing w:line="240" w:lineRule="auto"/>
              <w:jc w:val="center"/>
              <w:rPr>
                <w:sz w:val="21"/>
                <w:szCs w:val="21"/>
              </w:rPr>
            </w:pPr>
            <w:r>
              <w:rPr>
                <w:sz w:val="21"/>
                <w:szCs w:val="21"/>
              </w:rPr>
              <w:t>3.26</w:t>
            </w:r>
          </w:p>
        </w:tc>
      </w:tr>
    </w:tbl>
    <w:p>
      <w:pPr>
        <w:adjustRightInd w:val="0"/>
        <w:jc w:val="center"/>
        <w:rPr>
          <w:rFonts w:eastAsia="黑体"/>
          <w:b/>
        </w:rPr>
      </w:pPr>
    </w:p>
    <w:p>
      <w:pPr>
        <w:adjustRightInd w:val="0"/>
        <w:ind w:firstLine="480" w:firstLineChars="200"/>
        <w:rPr>
          <w:rFonts w:eastAsiaTheme="minorEastAsia"/>
        </w:rPr>
      </w:pPr>
      <w:r>
        <w:rPr>
          <w:rFonts w:hint="eastAsia" w:eastAsiaTheme="minorEastAsia"/>
        </w:rPr>
        <w:t>（1）</w:t>
      </w:r>
      <w:r>
        <w:rPr>
          <w:rFonts w:eastAsiaTheme="minorEastAsia"/>
        </w:rPr>
        <w:t>养猪废水的产生量核算：</w:t>
      </w:r>
    </w:p>
    <w:p>
      <w:pPr>
        <w:snapToGrid w:val="0"/>
        <w:ind w:firstLine="480" w:firstLineChars="200"/>
      </w:pPr>
      <w:r>
        <w:t>根据养猪场的日存栏量：种母猪3000头、种公猪50头（以肥猪参数计）、仔猪3018头，猪只废水排泄量计算如下：</w:t>
      </w:r>
    </w:p>
    <w:p>
      <w:pPr>
        <w:snapToGrid w:val="0"/>
        <w:ind w:firstLine="480" w:firstLineChars="200"/>
      </w:pPr>
      <w:r>
        <w:fldChar w:fldCharType="begin"/>
      </w:r>
      <w:r>
        <w:instrText xml:space="preserve"> = 1 \* GB3 </w:instrText>
      </w:r>
      <w:r>
        <w:fldChar w:fldCharType="separate"/>
      </w:r>
      <w:r>
        <w:rPr>
          <w:rFonts w:hint="eastAsia"/>
        </w:rPr>
        <w:t>①</w:t>
      </w:r>
      <w:r>
        <w:fldChar w:fldCharType="end"/>
      </w:r>
      <w:r>
        <w:t>尿的产生量</w:t>
      </w:r>
    </w:p>
    <w:p>
      <w:pPr>
        <w:snapToGrid w:val="0"/>
        <w:ind w:firstLine="480" w:firstLineChars="200"/>
      </w:pPr>
      <w:r>
        <w:t>种母猪：3000头×4.52 kg/d·头＝13.56t/d</w:t>
      </w:r>
    </w:p>
    <w:p>
      <w:pPr>
        <w:snapToGrid w:val="0"/>
        <w:ind w:firstLine="480" w:firstLineChars="200"/>
      </w:pPr>
      <w:r>
        <w:rPr>
          <w:rFonts w:hint="eastAsia"/>
        </w:rPr>
        <w:t>公猪：</w:t>
      </w:r>
      <w:r>
        <w:t>50头×3.26kg/d·头＝0.16t/d</w:t>
      </w:r>
    </w:p>
    <w:p>
      <w:pPr>
        <w:snapToGrid w:val="0"/>
        <w:ind w:firstLine="480" w:firstLineChars="200"/>
      </w:pPr>
      <w:r>
        <w:t>仔猪：3018头×2.45kg/d·头＝7.39t/d</w:t>
      </w:r>
    </w:p>
    <w:p>
      <w:pPr>
        <w:snapToGrid w:val="0"/>
        <w:ind w:firstLine="480" w:firstLineChars="200"/>
      </w:pPr>
      <w:r>
        <w:t>则猪尿的产生量共为21.11t/d。</w:t>
      </w:r>
    </w:p>
    <w:p>
      <w:pPr>
        <w:snapToGrid w:val="0"/>
        <w:ind w:firstLine="480" w:firstLineChars="200"/>
      </w:pPr>
      <w:r>
        <w:rPr>
          <w:rFonts w:hint="eastAsia"/>
        </w:rPr>
        <w:t>②</w:t>
      </w:r>
      <w:r>
        <w:t>冲洗水的产生量</w:t>
      </w:r>
    </w:p>
    <w:p>
      <w:pPr>
        <w:snapToGrid w:val="0"/>
        <w:ind w:firstLine="480" w:firstLineChars="200"/>
      </w:pPr>
      <w:r>
        <w:t>冲洗水产生量按用水量的90%计</w:t>
      </w:r>
    </w:p>
    <w:p>
      <w:pPr>
        <w:snapToGrid w:val="0"/>
        <w:ind w:firstLine="480" w:firstLineChars="200"/>
      </w:pPr>
      <w:r>
        <w:t>2.22t/d×0.9=2.0t/d</w:t>
      </w:r>
    </w:p>
    <w:p>
      <w:pPr>
        <w:snapToGrid w:val="0"/>
        <w:ind w:firstLine="480" w:firstLineChars="200"/>
      </w:pPr>
      <w:r>
        <w:t>则冲洗水的产生量共为2.0t/d。</w:t>
      </w:r>
    </w:p>
    <w:p>
      <w:pPr>
        <w:snapToGrid w:val="0"/>
        <w:ind w:firstLine="480" w:firstLineChars="200"/>
      </w:pPr>
      <w:r>
        <w:rPr>
          <w:rFonts w:hint="eastAsia"/>
        </w:rPr>
        <w:t>③</w:t>
      </w:r>
      <w:r>
        <w:t>猪粪的产生量</w:t>
      </w:r>
    </w:p>
    <w:p>
      <w:pPr>
        <w:snapToGrid w:val="0"/>
        <w:ind w:firstLine="480" w:firstLineChars="200"/>
      </w:pPr>
      <w:r>
        <w:t>种母猪：3000头×2.2 kg/d·头＝6.6t/d</w:t>
      </w:r>
    </w:p>
    <w:p>
      <w:pPr>
        <w:snapToGrid w:val="0"/>
        <w:ind w:firstLine="480" w:firstLineChars="200"/>
      </w:pPr>
      <w:r>
        <w:t>仔猪：3018头×0.69 kg/d·头＝2.08t/d</w:t>
      </w:r>
    </w:p>
    <w:p>
      <w:pPr>
        <w:snapToGrid w:val="0"/>
        <w:ind w:firstLine="480" w:firstLineChars="200"/>
      </w:pPr>
      <w:r>
        <w:rPr>
          <w:rFonts w:hint="eastAsia"/>
        </w:rPr>
        <w:t>公</w:t>
      </w:r>
      <w:r>
        <w:t>猪：50头×1.66kg/d·头＝0.08t/d</w:t>
      </w:r>
    </w:p>
    <w:p>
      <w:pPr>
        <w:snapToGrid w:val="0"/>
        <w:ind w:firstLine="480" w:firstLineChars="200"/>
      </w:pPr>
      <w:r>
        <w:t>则猪粪总的产生量为8.76t/d，</w:t>
      </w:r>
      <w:r>
        <w:rPr>
          <w:rFonts w:hint="eastAsia"/>
        </w:rPr>
        <w:t>猪粪1</w:t>
      </w:r>
      <w:r>
        <w:t>00</w:t>
      </w:r>
      <w:r>
        <w:rPr>
          <w:rFonts w:hint="eastAsia"/>
        </w:rPr>
        <w:t>%的进入到暂存池</w:t>
      </w:r>
      <w:r>
        <w:t>。</w:t>
      </w:r>
    </w:p>
    <w:p>
      <w:pPr>
        <w:snapToGrid w:val="0"/>
        <w:ind w:firstLine="480" w:firstLineChars="200"/>
      </w:pPr>
      <w:r>
        <w:t>则猪粪进入污水的量为8.76t/d</w:t>
      </w:r>
      <w:r>
        <w:rPr>
          <w:rFonts w:hint="eastAsia"/>
        </w:rPr>
        <w:t>，猪粪含水率按9</w:t>
      </w:r>
      <w:r>
        <w:t>0</w:t>
      </w:r>
      <w:r>
        <w:rPr>
          <w:rFonts w:hint="eastAsia"/>
        </w:rPr>
        <w:t>%计，则含水量为7</w:t>
      </w:r>
      <w:r>
        <w:t>.88</w:t>
      </w:r>
      <w:r>
        <w:rPr>
          <w:rFonts w:hint="eastAsia"/>
        </w:rPr>
        <w:t>t</w:t>
      </w:r>
      <w:r>
        <w:t>/d</w:t>
      </w:r>
      <w:r>
        <w:rPr>
          <w:rFonts w:hint="eastAsia"/>
        </w:rPr>
        <w:t>。</w:t>
      </w:r>
    </w:p>
    <w:p>
      <w:pPr>
        <w:snapToGrid w:val="0"/>
        <w:ind w:firstLine="480" w:firstLineChars="200"/>
      </w:pPr>
      <w:r>
        <w:t>综上，养猪废水</w:t>
      </w:r>
      <w:r>
        <w:rPr>
          <w:rFonts w:hint="eastAsia"/>
        </w:rPr>
        <w:t>（不含粪便干粪量）</w:t>
      </w:r>
      <w:r>
        <w:t>产生量为21.11+2.0</w:t>
      </w:r>
      <w:r>
        <w:rPr>
          <w:rFonts w:hint="eastAsia"/>
        </w:rPr>
        <w:t>+</w:t>
      </w:r>
      <w:r>
        <w:t>7.88＝30.99m</w:t>
      </w:r>
      <w:r>
        <w:rPr>
          <w:vertAlign w:val="superscript"/>
        </w:rPr>
        <w:t>3</w:t>
      </w:r>
      <w:r>
        <w:t>/d。</w:t>
      </w:r>
    </w:p>
    <w:p>
      <w:pPr>
        <w:snapToGrid w:val="0"/>
        <w:ind w:firstLine="480" w:firstLineChars="200"/>
      </w:pPr>
      <w:r>
        <w:rPr>
          <w:rFonts w:hint="eastAsia"/>
        </w:rPr>
        <w:t>（2）</w:t>
      </w:r>
      <w:r>
        <w:t>生活废水产生量的计算</w:t>
      </w:r>
    </w:p>
    <w:p>
      <w:pPr>
        <w:snapToGrid w:val="0"/>
        <w:ind w:firstLine="480" w:firstLineChars="200"/>
      </w:pPr>
      <w:r>
        <w:t>该养殖场的工作人员定额为20人，按照日用水量2.4m</w:t>
      </w:r>
      <w:r>
        <w:rPr>
          <w:vertAlign w:val="superscript"/>
        </w:rPr>
        <w:t>3</w:t>
      </w:r>
      <w:r>
        <w:t>/d计，排污系数按85%计，则厂区内员工生活废水产生量为2.04m</w:t>
      </w:r>
      <w:r>
        <w:rPr>
          <w:vertAlign w:val="superscript"/>
        </w:rPr>
        <w:t>3</w:t>
      </w:r>
      <w:r>
        <w:t>/d。</w:t>
      </w:r>
    </w:p>
    <w:p>
      <w:pPr>
        <w:snapToGrid w:val="0"/>
        <w:ind w:firstLine="480" w:firstLineChars="200"/>
      </w:pPr>
      <w:r>
        <w:rPr>
          <w:rFonts w:hint="eastAsia"/>
        </w:rPr>
        <w:t>（3）</w:t>
      </w:r>
      <w:r>
        <w:t>全厂废水总量</w:t>
      </w:r>
    </w:p>
    <w:p>
      <w:pPr>
        <w:snapToGrid w:val="0"/>
        <w:ind w:firstLine="480" w:firstLineChars="200"/>
      </w:pPr>
      <w:r>
        <w:t>按照计算，本项目养殖废水产生量约30.99m</w:t>
      </w:r>
      <w:r>
        <w:rPr>
          <w:vertAlign w:val="superscript"/>
        </w:rPr>
        <w:t>3</w:t>
      </w:r>
      <w:r>
        <w:t>/d（11311.35t/a），生活污水2.04m</w:t>
      </w:r>
      <w:r>
        <w:rPr>
          <w:vertAlign w:val="superscript"/>
        </w:rPr>
        <w:t>3</w:t>
      </w:r>
      <w:r>
        <w:t>/d（744.6t/a），全厂废水总产生量约为33.03m</w:t>
      </w:r>
      <w:r>
        <w:rPr>
          <w:vertAlign w:val="superscript"/>
        </w:rPr>
        <w:t>3</w:t>
      </w:r>
      <w:r>
        <w:t>/d（12055.95m</w:t>
      </w:r>
      <w:r>
        <w:rPr>
          <w:vertAlign w:val="superscript"/>
        </w:rPr>
        <w:t>3</w:t>
      </w:r>
      <w:r>
        <w:t>/a）。</w:t>
      </w:r>
    </w:p>
    <w:p>
      <w:pPr>
        <w:snapToGrid w:val="0"/>
        <w:ind w:firstLine="480" w:firstLineChars="200"/>
      </w:pPr>
      <w:r>
        <w:t>根据《畜禽养殖业污染物排放标准》（GB18596-2001）中表4集约化畜禽养殖业干清粪工艺最高允许排水量中数据（具体见表4.3-4），根据养猪场的日存栏量</w:t>
      </w:r>
      <w:r>
        <w:rPr>
          <w:rFonts w:hint="eastAsia"/>
        </w:rPr>
        <w:t>3</w:t>
      </w:r>
      <w:r>
        <w:t>352头，</w:t>
      </w:r>
      <w:r>
        <w:rPr>
          <w:rFonts w:hint="eastAsia"/>
        </w:rPr>
        <w:t>项目清粪方式符合</w:t>
      </w:r>
      <w:r>
        <w:t>干清粪工艺，</w:t>
      </w:r>
      <w:r>
        <w:rPr>
          <w:rFonts w:hint="eastAsia"/>
        </w:rPr>
        <w:t>因此</w:t>
      </w:r>
      <w:r>
        <w:t>从环保有利角度考虑，按夏季最高允许排水量计算（1.8m</w:t>
      </w:r>
      <w:r>
        <w:rPr>
          <w:vertAlign w:val="superscript"/>
        </w:rPr>
        <w:t>3</w:t>
      </w:r>
      <w:r>
        <w:t>/百头·天），则存栏生猪3962头规模的养殖场养殖废水最高允许排放量为71.34m</w:t>
      </w:r>
      <w:r>
        <w:rPr>
          <w:vertAlign w:val="superscript"/>
        </w:rPr>
        <w:t>3</w:t>
      </w:r>
      <w:r>
        <w:t>/d。本项目养殖废水产生量为34.47m</w:t>
      </w:r>
      <w:r>
        <w:rPr>
          <w:vertAlign w:val="superscript"/>
        </w:rPr>
        <w:t>3</w:t>
      </w:r>
      <w:r>
        <w:t>/d，养殖废水排放量能够满足《畜禽养殖业污染物排放标准》（GB18596-2001）中的相关要求。</w:t>
      </w:r>
    </w:p>
    <w:p>
      <w:pPr>
        <w:spacing w:line="240" w:lineRule="auto"/>
        <w:contextualSpacing/>
        <w:jc w:val="center"/>
        <w:rPr>
          <w:rFonts w:eastAsia="黑体"/>
        </w:rPr>
      </w:pPr>
      <w:r>
        <w:rPr>
          <w:rFonts w:eastAsia="黑体"/>
        </w:rPr>
        <w:t>表4.3-4  集约化畜禽养殖业干清粪工艺最高允许排水量</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220"/>
        <w:gridCol w:w="1287"/>
        <w:gridCol w:w="1288"/>
        <w:gridCol w:w="1287"/>
        <w:gridCol w:w="1288"/>
        <w:gridCol w:w="1287"/>
        <w:gridCol w:w="129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2" w:type="pct"/>
            <w:vAlign w:val="center"/>
          </w:tcPr>
          <w:p>
            <w:pPr>
              <w:spacing w:line="240" w:lineRule="auto"/>
              <w:jc w:val="center"/>
              <w:rPr>
                <w:sz w:val="21"/>
                <w:szCs w:val="21"/>
              </w:rPr>
            </w:pPr>
            <w:r>
              <w:rPr>
                <w:sz w:val="21"/>
                <w:szCs w:val="21"/>
              </w:rPr>
              <w:t>种类</w:t>
            </w:r>
          </w:p>
        </w:tc>
        <w:tc>
          <w:tcPr>
            <w:tcW w:w="1439" w:type="pct"/>
            <w:gridSpan w:val="2"/>
            <w:vAlign w:val="center"/>
          </w:tcPr>
          <w:p>
            <w:pPr>
              <w:spacing w:line="240" w:lineRule="auto"/>
              <w:jc w:val="center"/>
              <w:rPr>
                <w:sz w:val="21"/>
                <w:szCs w:val="21"/>
              </w:rPr>
            </w:pPr>
            <w:r>
              <w:rPr>
                <w:sz w:val="21"/>
                <w:szCs w:val="21"/>
              </w:rPr>
              <w:t>猪（m</w:t>
            </w:r>
            <w:r>
              <w:rPr>
                <w:sz w:val="21"/>
                <w:szCs w:val="21"/>
                <w:vertAlign w:val="superscript"/>
              </w:rPr>
              <w:t>3</w:t>
            </w:r>
            <w:r>
              <w:rPr>
                <w:sz w:val="21"/>
                <w:szCs w:val="21"/>
              </w:rPr>
              <w:t>/百头.天）</w:t>
            </w:r>
          </w:p>
        </w:tc>
        <w:tc>
          <w:tcPr>
            <w:tcW w:w="1439" w:type="pct"/>
            <w:gridSpan w:val="2"/>
            <w:vAlign w:val="center"/>
          </w:tcPr>
          <w:p>
            <w:pPr>
              <w:spacing w:line="240" w:lineRule="auto"/>
              <w:jc w:val="center"/>
              <w:rPr>
                <w:sz w:val="21"/>
                <w:szCs w:val="21"/>
              </w:rPr>
            </w:pPr>
            <w:r>
              <w:rPr>
                <w:sz w:val="21"/>
                <w:szCs w:val="21"/>
              </w:rPr>
              <w:t>鸡（m</w:t>
            </w:r>
            <w:r>
              <w:rPr>
                <w:sz w:val="21"/>
                <w:szCs w:val="21"/>
                <w:vertAlign w:val="superscript"/>
              </w:rPr>
              <w:t>3</w:t>
            </w:r>
            <w:r>
              <w:rPr>
                <w:sz w:val="21"/>
                <w:szCs w:val="21"/>
              </w:rPr>
              <w:t>/千只.天）</w:t>
            </w:r>
          </w:p>
        </w:tc>
        <w:tc>
          <w:tcPr>
            <w:tcW w:w="1439" w:type="pct"/>
            <w:gridSpan w:val="2"/>
            <w:vAlign w:val="center"/>
          </w:tcPr>
          <w:p>
            <w:pPr>
              <w:spacing w:line="240" w:lineRule="auto"/>
              <w:jc w:val="center"/>
              <w:rPr>
                <w:sz w:val="21"/>
                <w:szCs w:val="21"/>
              </w:rPr>
            </w:pPr>
            <w:r>
              <w:rPr>
                <w:sz w:val="21"/>
                <w:szCs w:val="21"/>
              </w:rPr>
              <w:t>牛（m</w:t>
            </w:r>
            <w:r>
              <w:rPr>
                <w:sz w:val="21"/>
                <w:szCs w:val="21"/>
                <w:vertAlign w:val="superscript"/>
              </w:rPr>
              <w:t>3</w:t>
            </w:r>
            <w:r>
              <w:rPr>
                <w:sz w:val="21"/>
                <w:szCs w:val="21"/>
              </w:rPr>
              <w:t>/百头.天）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2" w:type="pct"/>
            <w:vAlign w:val="center"/>
          </w:tcPr>
          <w:p>
            <w:pPr>
              <w:spacing w:line="240" w:lineRule="auto"/>
              <w:jc w:val="center"/>
              <w:rPr>
                <w:sz w:val="21"/>
                <w:szCs w:val="21"/>
              </w:rPr>
            </w:pPr>
            <w:r>
              <w:rPr>
                <w:sz w:val="21"/>
                <w:szCs w:val="21"/>
              </w:rPr>
              <w:t>季节</w:t>
            </w:r>
          </w:p>
        </w:tc>
        <w:tc>
          <w:tcPr>
            <w:tcW w:w="719" w:type="pct"/>
            <w:vAlign w:val="center"/>
          </w:tcPr>
          <w:p>
            <w:pPr>
              <w:spacing w:line="240" w:lineRule="auto"/>
              <w:jc w:val="center"/>
              <w:rPr>
                <w:sz w:val="21"/>
                <w:szCs w:val="21"/>
              </w:rPr>
            </w:pPr>
            <w:r>
              <w:rPr>
                <w:sz w:val="21"/>
                <w:szCs w:val="21"/>
              </w:rPr>
              <w:t>冬季</w:t>
            </w:r>
          </w:p>
        </w:tc>
        <w:tc>
          <w:tcPr>
            <w:tcW w:w="720" w:type="pct"/>
            <w:vAlign w:val="center"/>
          </w:tcPr>
          <w:p>
            <w:pPr>
              <w:spacing w:line="240" w:lineRule="auto"/>
              <w:jc w:val="center"/>
              <w:rPr>
                <w:sz w:val="21"/>
                <w:szCs w:val="21"/>
              </w:rPr>
            </w:pPr>
            <w:r>
              <w:rPr>
                <w:sz w:val="21"/>
                <w:szCs w:val="21"/>
              </w:rPr>
              <w:t>夏季</w:t>
            </w:r>
          </w:p>
        </w:tc>
        <w:tc>
          <w:tcPr>
            <w:tcW w:w="719" w:type="pct"/>
            <w:vAlign w:val="center"/>
          </w:tcPr>
          <w:p>
            <w:pPr>
              <w:spacing w:line="240" w:lineRule="auto"/>
              <w:jc w:val="center"/>
              <w:rPr>
                <w:sz w:val="21"/>
                <w:szCs w:val="21"/>
              </w:rPr>
            </w:pPr>
            <w:r>
              <w:rPr>
                <w:sz w:val="21"/>
                <w:szCs w:val="21"/>
              </w:rPr>
              <w:t>冬季</w:t>
            </w:r>
          </w:p>
        </w:tc>
        <w:tc>
          <w:tcPr>
            <w:tcW w:w="720" w:type="pct"/>
            <w:vAlign w:val="center"/>
          </w:tcPr>
          <w:p>
            <w:pPr>
              <w:spacing w:line="240" w:lineRule="auto"/>
              <w:jc w:val="center"/>
              <w:rPr>
                <w:sz w:val="21"/>
                <w:szCs w:val="21"/>
              </w:rPr>
            </w:pPr>
            <w:r>
              <w:rPr>
                <w:sz w:val="21"/>
                <w:szCs w:val="21"/>
              </w:rPr>
              <w:t>夏季</w:t>
            </w:r>
          </w:p>
        </w:tc>
        <w:tc>
          <w:tcPr>
            <w:tcW w:w="719" w:type="pct"/>
            <w:vAlign w:val="center"/>
          </w:tcPr>
          <w:p>
            <w:pPr>
              <w:spacing w:line="240" w:lineRule="auto"/>
              <w:jc w:val="center"/>
              <w:rPr>
                <w:sz w:val="21"/>
                <w:szCs w:val="21"/>
              </w:rPr>
            </w:pPr>
            <w:r>
              <w:rPr>
                <w:sz w:val="21"/>
                <w:szCs w:val="21"/>
              </w:rPr>
              <w:t>冬季</w:t>
            </w:r>
          </w:p>
        </w:tc>
        <w:tc>
          <w:tcPr>
            <w:tcW w:w="720" w:type="pct"/>
            <w:vAlign w:val="center"/>
          </w:tcPr>
          <w:p>
            <w:pPr>
              <w:spacing w:line="240" w:lineRule="auto"/>
              <w:jc w:val="center"/>
              <w:rPr>
                <w:sz w:val="21"/>
                <w:szCs w:val="21"/>
              </w:rPr>
            </w:pPr>
            <w:r>
              <w:rPr>
                <w:sz w:val="21"/>
                <w:szCs w:val="21"/>
              </w:rPr>
              <w:t>夏季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2" w:type="pct"/>
            <w:vAlign w:val="center"/>
          </w:tcPr>
          <w:p>
            <w:pPr>
              <w:spacing w:line="240" w:lineRule="auto"/>
              <w:jc w:val="center"/>
              <w:rPr>
                <w:sz w:val="21"/>
                <w:szCs w:val="21"/>
              </w:rPr>
            </w:pPr>
            <w:r>
              <w:rPr>
                <w:sz w:val="21"/>
                <w:szCs w:val="21"/>
              </w:rPr>
              <w:t>标准值</w:t>
            </w:r>
          </w:p>
        </w:tc>
        <w:tc>
          <w:tcPr>
            <w:tcW w:w="719" w:type="pct"/>
            <w:vAlign w:val="center"/>
          </w:tcPr>
          <w:p>
            <w:pPr>
              <w:spacing w:line="240" w:lineRule="auto"/>
              <w:jc w:val="center"/>
              <w:rPr>
                <w:sz w:val="21"/>
                <w:szCs w:val="21"/>
              </w:rPr>
            </w:pPr>
            <w:r>
              <w:rPr>
                <w:sz w:val="21"/>
                <w:szCs w:val="21"/>
              </w:rPr>
              <w:t>1.2</w:t>
            </w:r>
          </w:p>
        </w:tc>
        <w:tc>
          <w:tcPr>
            <w:tcW w:w="720" w:type="pct"/>
            <w:vAlign w:val="center"/>
          </w:tcPr>
          <w:p>
            <w:pPr>
              <w:spacing w:line="240" w:lineRule="auto"/>
              <w:jc w:val="center"/>
              <w:rPr>
                <w:sz w:val="21"/>
                <w:szCs w:val="21"/>
              </w:rPr>
            </w:pPr>
            <w:r>
              <w:rPr>
                <w:sz w:val="21"/>
                <w:szCs w:val="21"/>
              </w:rPr>
              <w:t>1.8</w:t>
            </w:r>
          </w:p>
        </w:tc>
        <w:tc>
          <w:tcPr>
            <w:tcW w:w="719" w:type="pct"/>
            <w:vAlign w:val="center"/>
          </w:tcPr>
          <w:p>
            <w:pPr>
              <w:spacing w:line="240" w:lineRule="auto"/>
              <w:jc w:val="center"/>
              <w:rPr>
                <w:sz w:val="21"/>
                <w:szCs w:val="21"/>
              </w:rPr>
            </w:pPr>
            <w:r>
              <w:rPr>
                <w:sz w:val="21"/>
                <w:szCs w:val="21"/>
              </w:rPr>
              <w:t>0.5</w:t>
            </w:r>
          </w:p>
        </w:tc>
        <w:tc>
          <w:tcPr>
            <w:tcW w:w="720" w:type="pct"/>
            <w:vAlign w:val="center"/>
          </w:tcPr>
          <w:p>
            <w:pPr>
              <w:spacing w:line="240" w:lineRule="auto"/>
              <w:jc w:val="center"/>
              <w:rPr>
                <w:sz w:val="21"/>
                <w:szCs w:val="21"/>
              </w:rPr>
            </w:pPr>
            <w:r>
              <w:rPr>
                <w:sz w:val="21"/>
                <w:szCs w:val="21"/>
              </w:rPr>
              <w:t>0.7</w:t>
            </w:r>
          </w:p>
        </w:tc>
        <w:tc>
          <w:tcPr>
            <w:tcW w:w="719" w:type="pct"/>
            <w:vAlign w:val="center"/>
          </w:tcPr>
          <w:p>
            <w:pPr>
              <w:spacing w:line="240" w:lineRule="auto"/>
              <w:jc w:val="center"/>
              <w:rPr>
                <w:sz w:val="21"/>
                <w:szCs w:val="21"/>
              </w:rPr>
            </w:pPr>
            <w:r>
              <w:rPr>
                <w:sz w:val="21"/>
                <w:szCs w:val="21"/>
              </w:rPr>
              <w:t>17</w:t>
            </w:r>
          </w:p>
        </w:tc>
        <w:tc>
          <w:tcPr>
            <w:tcW w:w="720" w:type="pct"/>
            <w:vAlign w:val="center"/>
          </w:tcPr>
          <w:p>
            <w:pPr>
              <w:spacing w:line="240" w:lineRule="auto"/>
              <w:jc w:val="center"/>
              <w:rPr>
                <w:sz w:val="21"/>
                <w:szCs w:val="21"/>
              </w:rPr>
            </w:pPr>
            <w:r>
              <w:rPr>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2" w:type="pct"/>
            <w:vAlign w:val="center"/>
          </w:tcPr>
          <w:p>
            <w:pPr>
              <w:spacing w:line="240" w:lineRule="auto"/>
              <w:jc w:val="center"/>
              <w:rPr>
                <w:sz w:val="21"/>
                <w:szCs w:val="21"/>
              </w:rPr>
            </w:pPr>
            <w:r>
              <w:rPr>
                <w:sz w:val="21"/>
                <w:szCs w:val="21"/>
              </w:rPr>
              <w:t>备注</w:t>
            </w:r>
          </w:p>
        </w:tc>
        <w:tc>
          <w:tcPr>
            <w:tcW w:w="4318" w:type="pct"/>
            <w:gridSpan w:val="6"/>
            <w:vAlign w:val="center"/>
          </w:tcPr>
          <w:p>
            <w:pPr>
              <w:spacing w:line="240" w:lineRule="auto"/>
              <w:jc w:val="center"/>
              <w:rPr>
                <w:sz w:val="21"/>
                <w:szCs w:val="21"/>
              </w:rPr>
            </w:pPr>
            <w:r>
              <w:rPr>
                <w:sz w:val="21"/>
                <w:szCs w:val="21"/>
              </w:rPr>
              <w:t>废水最高允许排放量的单位中，百头、千只均指存栏数。春、秋季度水最高允许排放量按冬、夏两季的平均值计算。</w:t>
            </w:r>
          </w:p>
        </w:tc>
      </w:tr>
    </w:tbl>
    <w:p>
      <w:pPr>
        <w:snapToGrid w:val="0"/>
        <w:ind w:firstLine="482" w:firstLineChars="200"/>
        <w:rPr>
          <w:b/>
        </w:rPr>
      </w:pPr>
    </w:p>
    <w:p>
      <w:pPr>
        <w:pStyle w:val="970"/>
        <w:snapToGrid w:val="0"/>
        <w:ind w:firstLine="0"/>
        <w:outlineLvl w:val="3"/>
        <w:rPr>
          <w:rFonts w:eastAsia="黑体"/>
          <w:bCs/>
          <w:szCs w:val="24"/>
        </w:rPr>
      </w:pPr>
      <w:r>
        <w:rPr>
          <w:rFonts w:eastAsia="黑体"/>
          <w:bCs/>
          <w:szCs w:val="24"/>
        </w:rPr>
        <w:t>4.3.1.3全厂水平衡</w:t>
      </w:r>
    </w:p>
    <w:p>
      <w:pPr>
        <w:snapToGrid w:val="0"/>
        <w:ind w:firstLine="480" w:firstLineChars="200"/>
      </w:pPr>
      <w:r>
        <w:t>全厂需用到新鲜水量112.92m</w:t>
      </w:r>
      <w:r>
        <w:rPr>
          <w:vertAlign w:val="superscript"/>
        </w:rPr>
        <w:t>3</w:t>
      </w:r>
      <w:r>
        <w:t>/d（折合约41216.56t/a），本项目废水经污水处理设施处理达标后，首先考虑回用于厂区绿化，剩余部分送项目周边农田作为灌溉用水。项目水平衡图详见图4.3-1。</w:t>
      </w:r>
    </w:p>
    <w:p>
      <w:pPr>
        <w:snapToGrid w:val="0"/>
      </w:pP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Chars="175"/>
        <w:rPr>
          <w:rFonts w:hint="default"/>
        </w:rPr>
      </w:pPr>
    </w:p>
    <w:p>
      <w:pPr>
        <w:pStyle w:val="2"/>
        <w:ind w:firstLineChars="175"/>
        <w:rPr>
          <w:rFonts w:hint="default"/>
        </w:rPr>
      </w:pPr>
    </w:p>
    <w:p>
      <w:pPr>
        <w:pStyle w:val="2"/>
        <w:ind w:firstLineChars="175"/>
        <w:rPr>
          <w:rFonts w:hint="default"/>
        </w:rPr>
      </w:pPr>
    </w:p>
    <w:p>
      <w:pPr>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636736" behindDoc="0" locked="0" layoutInCell="1" allowOverlap="1">
                <wp:simplePos x="0" y="0"/>
                <wp:positionH relativeFrom="column">
                  <wp:posOffset>2062480</wp:posOffset>
                </wp:positionH>
                <wp:positionV relativeFrom="paragraph">
                  <wp:posOffset>86995</wp:posOffset>
                </wp:positionV>
                <wp:extent cx="2042160" cy="297180"/>
                <wp:effectExtent l="0" t="0" r="0" b="0"/>
                <wp:wrapNone/>
                <wp:docPr id="95" name="矩形 95"/>
                <wp:cNvGraphicFramePr/>
                <a:graphic xmlns:a="http://schemas.openxmlformats.org/drawingml/2006/main">
                  <a:graphicData uri="http://schemas.microsoft.com/office/word/2010/wordprocessingShape">
                    <wps:wsp>
                      <wps:cNvSpPr/>
                      <wps:spPr>
                        <a:xfrm>
                          <a:off x="0" y="0"/>
                          <a:ext cx="204216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rFonts w:hint="eastAsia"/>
                                <w:color w:val="000000"/>
                                <w:sz w:val="21"/>
                                <w:szCs w:val="21"/>
                              </w:rPr>
                              <w:t>汗水蒸发、猪只生长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2.4pt;margin-top:6.85pt;height:23.4pt;width:160.8pt;z-index:251636736;v-text-anchor:middle;mso-width-relative:page;mso-height-relative:page;" filled="f" stroked="f" coordsize="21600,21600" o:gfxdata="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zwzyy&#10;2AAAAAkBAAAPAAAAAAAAAAEAIAAAACIAAABkcnMvZG93bnJldi54bWxQSwECFAAUAAAACACHTuJA&#10;ZI92zFoCAACmBAAADgAAAAAAAAABACAAAAAnAQAAZHJzL2Uyb0RvYy54bWxQSwUGAAAAAAYABgBZ&#10;AQAA8wUAAAAA&#10;">
                <v:fill on="f" focussize="0,0"/>
                <v:stroke on="f" weight="1pt"/>
                <v:imagedata o:title=""/>
                <o:lock v:ext="edit" aspectratio="f"/>
                <v:textbox>
                  <w:txbxContent>
                    <w:p>
                      <w:pPr>
                        <w:spacing w:line="240" w:lineRule="auto"/>
                        <w:jc w:val="center"/>
                        <w:rPr>
                          <w:color w:val="000000"/>
                          <w:sz w:val="21"/>
                          <w:szCs w:val="21"/>
                        </w:rPr>
                      </w:pPr>
                      <w:r>
                        <w:rPr>
                          <w:rFonts w:hint="eastAsia"/>
                          <w:color w:val="000000"/>
                          <w:sz w:val="21"/>
                          <w:szCs w:val="21"/>
                        </w:rPr>
                        <w:t>汗水蒸发、猪只生长</w:t>
                      </w:r>
                    </w:p>
                  </w:txbxContent>
                </v:textbox>
              </v:rect>
            </w:pict>
          </mc:Fallback>
        </mc:AlternateContent>
      </w:r>
      <w:r>
        <w:rPr>
          <w:color w:val="FF0000"/>
          <w:spacing w:val="-1"/>
          <w:szCs w:val="20"/>
        </w:rPr>
        <w:t xml:space="preserve"> </w:t>
      </w:r>
    </w:p>
    <w:p>
      <w:pPr>
        <w:tabs>
          <w:tab w:val="left" w:pos="1056"/>
        </w:tabs>
        <w:adjustRightInd w:val="0"/>
        <w:snapToGrid w:val="0"/>
        <w:jc w:val="left"/>
        <w:rPr>
          <w:color w:val="FF0000"/>
          <w:spacing w:val="-1"/>
          <w:szCs w:val="20"/>
        </w:rPr>
      </w:pPr>
      <w:r>
        <w:rPr>
          <w:color w:val="FF0000"/>
          <w:spacing w:val="-1"/>
          <w:szCs w:val="20"/>
        </w:rPr>
        <mc:AlternateContent>
          <mc:Choice Requires="wps">
            <w:drawing>
              <wp:anchor distT="0" distB="0" distL="114300" distR="114300" simplePos="0" relativeHeight="251711488" behindDoc="0" locked="0" layoutInCell="1" allowOverlap="1">
                <wp:simplePos x="0" y="0"/>
                <wp:positionH relativeFrom="column">
                  <wp:posOffset>4607560</wp:posOffset>
                </wp:positionH>
                <wp:positionV relativeFrom="paragraph">
                  <wp:posOffset>3810</wp:posOffset>
                </wp:positionV>
                <wp:extent cx="609600" cy="472440"/>
                <wp:effectExtent l="0" t="0" r="0" b="3810"/>
                <wp:wrapNone/>
                <wp:docPr id="1" name="矩形 1"/>
                <wp:cNvGraphicFramePr/>
                <a:graphic xmlns:a="http://schemas.openxmlformats.org/drawingml/2006/main">
                  <a:graphicData uri="http://schemas.microsoft.com/office/word/2010/wordprocessingShape">
                    <wps:wsp>
                      <wps:cNvSpPr/>
                      <wps:spPr>
                        <a:xfrm>
                          <a:off x="0" y="0"/>
                          <a:ext cx="609600" cy="47244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33.03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2.8pt;margin-top:0.3pt;height:37.2pt;width:48pt;z-index:251711488;v-text-anchor:middle;mso-width-relative:page;mso-height-relative:page;" filled="f" stroked="f" coordsize="21600,21600" o:gfxdata="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HMH2LHUAAAABwEAAA8A&#10;AAAAAAAAAQAgAAAAIgAAAGRycy9kb3ducmV2LnhtbFBLAQIUABQAAAAIAIdO4kAZh4snVAIAAKME&#10;AAAOAAAAAAAAAAEAIAAAACMBAABkcnMvZTJvRG9jLnhtbFBLBQYAAAAABgAGAFkBAADpBQ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33.03</w:t>
                      </w:r>
                    </w:p>
                  </w:txbxContent>
                </v:textbox>
              </v:rect>
            </w:pict>
          </mc:Fallback>
        </mc:AlternateContent>
      </w:r>
      <w:r>
        <w:rPr>
          <w:color w:val="FF0000"/>
          <w:spacing w:val="-1"/>
          <w:szCs w:val="20"/>
        </w:rPr>
        <mc:AlternateContent>
          <mc:Choice Requires="wps">
            <w:drawing>
              <wp:anchor distT="0" distB="0" distL="114300" distR="114300" simplePos="0" relativeHeight="251676672" behindDoc="0" locked="0" layoutInCell="1" allowOverlap="1">
                <wp:simplePos x="0" y="0"/>
                <wp:positionH relativeFrom="column">
                  <wp:posOffset>5250180</wp:posOffset>
                </wp:positionH>
                <wp:positionV relativeFrom="paragraph">
                  <wp:posOffset>160020</wp:posOffset>
                </wp:positionV>
                <wp:extent cx="678180" cy="297180"/>
                <wp:effectExtent l="0" t="0" r="26670" b="26670"/>
                <wp:wrapNone/>
                <wp:docPr id="270" name="矩形 270"/>
                <wp:cNvGraphicFramePr/>
                <a:graphic xmlns:a="http://schemas.openxmlformats.org/drawingml/2006/main">
                  <a:graphicData uri="http://schemas.microsoft.com/office/word/2010/wordprocessingShape">
                    <wps:wsp>
                      <wps:cNvSpPr/>
                      <wps:spPr>
                        <a:xfrm>
                          <a:off x="0" y="0"/>
                          <a:ext cx="67818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槽罐车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3.4pt;margin-top:12.6pt;height:23.4pt;width:53.4pt;z-index:251676672;v-text-anchor:middle;mso-width-relative:page;mso-height-relative:page;" filled="f" stroked="t" coordsize="21600,21600" o:gfxdata="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kZtoT2AAAAAkBAAAPAAAAAAAAAAEAIAAAACIAAABkcnMvZG93&#10;bnJldi54bWxQSwECFAAUAAAACACHTuJAHLLs7HICAADkBAAADgAAAAAAAAABACAAAAAnAQAAZHJz&#10;L2Uyb0RvYy54bWxQSwUGAAAAAAYABgBZAQAACwY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槽罐车</w:t>
                      </w:r>
                    </w:p>
                  </w:txbxContent>
                </v:textbox>
              </v:rect>
            </w:pict>
          </mc:Fallback>
        </mc:AlternateContent>
      </w:r>
      <w:r>
        <w:rPr>
          <w:color w:val="FF0000"/>
          <w:spacing w:val="-1"/>
          <w:szCs w:val="20"/>
        </w:rPr>
        <mc:AlternateContent>
          <mc:Choice Requires="wps">
            <w:drawing>
              <wp:anchor distT="0" distB="0" distL="114300" distR="114300" simplePos="0" relativeHeight="251670528" behindDoc="0" locked="0" layoutInCell="1" allowOverlap="1">
                <wp:simplePos x="0" y="0"/>
                <wp:positionH relativeFrom="column">
                  <wp:posOffset>4028440</wp:posOffset>
                </wp:positionH>
                <wp:positionV relativeFrom="paragraph">
                  <wp:posOffset>163830</wp:posOffset>
                </wp:positionV>
                <wp:extent cx="678180" cy="297180"/>
                <wp:effectExtent l="0" t="0" r="26670" b="26670"/>
                <wp:wrapNone/>
                <wp:docPr id="266" name="矩形 266"/>
                <wp:cNvGraphicFramePr/>
                <a:graphic xmlns:a="http://schemas.openxmlformats.org/drawingml/2006/main">
                  <a:graphicData uri="http://schemas.microsoft.com/office/word/2010/wordprocessingShape">
                    <wps:wsp>
                      <wps:cNvSpPr/>
                      <wps:spPr>
                        <a:xfrm>
                          <a:off x="0" y="0"/>
                          <a:ext cx="67818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暂存池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7.2pt;margin-top:12.9pt;height:23.4pt;width:53.4pt;z-index:251670528;v-text-anchor:middle;mso-width-relative:page;mso-height-relative:page;" filled="f" stroked="t" coordsize="21600,21600" o:gfxdata="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Cc8B77YAAAACQEAAA8AAAAAAAAAAQAgAAAAIgAAAGRycy9k&#10;b3ducmV2LnhtbFBLAQIUABQAAAAIAIdO4kDCfPS6dAIAAOQEAAAOAAAAAAAAAAEAIAAAACcBAABk&#10;cnMvZTJvRG9jLnhtbFBLBQYAAAAABgAGAFkBAAANBg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暂存池</w:t>
                      </w:r>
                    </w:p>
                  </w:txbxContent>
                </v:textbox>
              </v:rect>
            </w:pict>
          </mc:Fallback>
        </mc:AlternateContent>
      </w:r>
      <w:r>
        <w:rPr>
          <w:color w:val="FF0000"/>
          <w:spacing w:val="-1"/>
          <w:szCs w:val="20"/>
        </w:rPr>
        <mc:AlternateContent>
          <mc:Choice Requires="wps">
            <w:drawing>
              <wp:anchor distT="0" distB="0" distL="114300" distR="114300" simplePos="0" relativeHeight="251656192" behindDoc="0" locked="0" layoutInCell="1" allowOverlap="1">
                <wp:simplePos x="0" y="0"/>
                <wp:positionH relativeFrom="column">
                  <wp:posOffset>2382520</wp:posOffset>
                </wp:positionH>
                <wp:positionV relativeFrom="paragraph">
                  <wp:posOffset>118110</wp:posOffset>
                </wp:positionV>
                <wp:extent cx="624840" cy="297180"/>
                <wp:effectExtent l="0" t="0" r="0" b="0"/>
                <wp:wrapNone/>
                <wp:docPr id="27" name="矩形 27"/>
                <wp:cNvGraphicFramePr/>
                <a:graphic xmlns:a="http://schemas.openxmlformats.org/drawingml/2006/main">
                  <a:graphicData uri="http://schemas.microsoft.com/office/word/2010/wordprocessingShape">
                    <wps:wsp>
                      <wps:cNvSpPr/>
                      <wps:spPr>
                        <a:xfrm>
                          <a:off x="0" y="0"/>
                          <a:ext cx="62484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21.11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7.6pt;margin-top:9.3pt;height:23.4pt;width:49.2pt;z-index:251656192;v-text-anchor:middle;mso-width-relative:page;mso-height-relative:page;" filled="f" stroked="f" coordsize="21600,21600" o:gfxdata="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vKTh81wAA&#10;AAkBAAAPAAAAAAAAAAEAIAAAACIAAABkcnMvZG93bnJldi54bWxQSwECFAAUAAAACACHTuJAOrHQ&#10;71gCAAClBAAADgAAAAAAAAABACAAAAAmAQAAZHJzL2Uyb0RvYy54bWxQSwUGAAAAAAYABgBZAQAA&#10;8AU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21.11</w:t>
                      </w:r>
                    </w:p>
                  </w:txbxContent>
                </v:textbox>
              </v:rect>
            </w:pict>
          </mc:Fallback>
        </mc:AlternateContent>
      </w:r>
      <w:r>
        <w:rPr>
          <w:color w:val="FF0000"/>
          <w:spacing w:val="-1"/>
          <w:szCs w:val="20"/>
        </w:rPr>
        <mc:AlternateContent>
          <mc:Choice Requires="wps">
            <w:drawing>
              <wp:anchor distT="0" distB="0" distL="114300" distR="114300" simplePos="0" relativeHeight="251631616" behindDoc="0" locked="0" layoutInCell="1" allowOverlap="1">
                <wp:simplePos x="0" y="0"/>
                <wp:positionH relativeFrom="column">
                  <wp:posOffset>2946400</wp:posOffset>
                </wp:positionH>
                <wp:positionV relativeFrom="paragraph">
                  <wp:posOffset>186690</wp:posOffset>
                </wp:positionV>
                <wp:extent cx="556260" cy="297180"/>
                <wp:effectExtent l="0" t="0" r="15240" b="26670"/>
                <wp:wrapNone/>
                <wp:docPr id="62" name="矩形 62"/>
                <wp:cNvGraphicFramePr/>
                <a:graphic xmlns:a="http://schemas.openxmlformats.org/drawingml/2006/main">
                  <a:graphicData uri="http://schemas.microsoft.com/office/word/2010/wordprocessingShape">
                    <wps:wsp>
                      <wps:cNvSpPr/>
                      <wps:spPr>
                        <a:xfrm>
                          <a:off x="0" y="0"/>
                          <a:ext cx="55626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尿液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2pt;margin-top:14.7pt;height:23.4pt;width:43.8pt;z-index:251631616;v-text-anchor:middle;mso-width-relative:page;mso-height-relative:page;" filled="f" stroked="t" coordsize="21600,21600" o:gfxdata="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SbjMuNgAAAAJAQAADwAAAAAAAAABACAAAAAiAAAAZHJz&#10;L2Rvd25yZXYueG1sUEsBAhQAFAAAAAgAh07iQMxjLQd2AgAA4gQAAA4AAAAAAAAAAQAgAAAAJwEA&#10;AGRycy9lMm9Eb2MueG1sUEsFBgAAAAAGAAYAWQEAAA8GA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尿液</w:t>
                      </w:r>
                    </w:p>
                  </w:txbxContent>
                </v:textbox>
              </v:rect>
            </w:pict>
          </mc:Fallback>
        </mc:AlternateContent>
      </w:r>
      <w:r>
        <w:rPr>
          <w:color w:val="FF0000"/>
          <w:spacing w:val="-1"/>
          <w:szCs w:val="20"/>
        </w:rPr>
        <mc:AlternateContent>
          <mc:Choice Requires="wps">
            <w:drawing>
              <wp:anchor distT="0" distB="0" distL="114300" distR="114300" simplePos="0" relativeHeight="251654144" behindDoc="0" locked="0" layoutInCell="1" allowOverlap="1">
                <wp:simplePos x="0" y="0"/>
                <wp:positionH relativeFrom="column">
                  <wp:posOffset>2026920</wp:posOffset>
                </wp:positionH>
                <wp:positionV relativeFrom="paragraph">
                  <wp:posOffset>31115</wp:posOffset>
                </wp:positionV>
                <wp:extent cx="464820" cy="133350"/>
                <wp:effectExtent l="0" t="57150" r="30480" b="19050"/>
                <wp:wrapNone/>
                <wp:docPr id="25" name="连接符: 曲线 25"/>
                <wp:cNvGraphicFramePr/>
                <a:graphic xmlns:a="http://schemas.openxmlformats.org/drawingml/2006/main">
                  <a:graphicData uri="http://schemas.microsoft.com/office/word/2010/wordprocessingShape">
                    <wps:wsp>
                      <wps:cNvCnPr/>
                      <wps:spPr>
                        <a:xfrm flipV="1">
                          <a:off x="0" y="0"/>
                          <a:ext cx="464820" cy="133350"/>
                        </a:xfrm>
                        <a:prstGeom prst="curvedConnector3">
                          <a:avLst/>
                        </a:prstGeom>
                        <a:noFill/>
                        <a:ln w="9525" cap="flat" cmpd="sng" algn="ctr">
                          <a:solidFill>
                            <a:sysClr val="windowText" lastClr="000000">
                              <a:shade val="95000"/>
                              <a:satMod val="105000"/>
                            </a:sysClr>
                          </a:solidFill>
                          <a:prstDash val="dash"/>
                          <a:tailEnd type="triangle"/>
                        </a:ln>
                        <a:effectLst/>
                      </wps:spPr>
                      <wps:bodyPr/>
                    </wps:wsp>
                  </a:graphicData>
                </a:graphic>
              </wp:anchor>
            </w:drawing>
          </mc:Choice>
          <mc:Fallback>
            <w:pict>
              <v:shape id="连接符: 曲线 25" o:spid="_x0000_s1026" o:spt="38" type="#_x0000_t38" style="position:absolute;left:0pt;flip:y;margin-left:159.6pt;margin-top:2.45pt;height:10.5pt;width:36.6pt;z-index:251654144;mso-width-relative:page;mso-height-relative:page;" filled="f" stroked="t" coordsize="21600,21600" o:gfxdata="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mOYEfZAAAACAEAAA8AAAAAAAAAAQAgAAAAIgAAAGRycy9kb3ducmV2LnhtbFBL&#10;AQIUABQAAAAIAIdO4kA6Kxa4LgIAAC0EAAAOAAAAAAAAAAEAIAAAACgBAABkcnMvZTJvRG9jLnht&#10;bFBLBQYAAAAABgAGAFkBAADIBQAAAAA=&#10;" adj="10800">
                <v:fill on="f" focussize="0,0"/>
                <v:stroke color="#000000" joinstyle="round" dashstyle="dash"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13184" behindDoc="0" locked="0" layoutInCell="1" allowOverlap="1">
                <wp:simplePos x="0" y="0"/>
                <wp:positionH relativeFrom="column">
                  <wp:posOffset>1414780</wp:posOffset>
                </wp:positionH>
                <wp:positionV relativeFrom="paragraph">
                  <wp:posOffset>194310</wp:posOffset>
                </wp:positionV>
                <wp:extent cx="1036320" cy="297180"/>
                <wp:effectExtent l="0" t="0" r="11430" b="26670"/>
                <wp:wrapNone/>
                <wp:docPr id="16" name="矩形 16"/>
                <wp:cNvGraphicFramePr/>
                <a:graphic xmlns:a="http://schemas.openxmlformats.org/drawingml/2006/main">
                  <a:graphicData uri="http://schemas.microsoft.com/office/word/2010/wordprocessingShape">
                    <wps:wsp>
                      <wps:cNvSpPr/>
                      <wps:spPr>
                        <a:xfrm>
                          <a:off x="0" y="0"/>
                          <a:ext cx="103632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猪只饮水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1.4pt;margin-top:15.3pt;height:23.4pt;width:81.6pt;z-index:251613184;v-text-anchor:middle;mso-width-relative:page;mso-height-relative:page;" filled="f" stroked="t" coordsize="21600,21600" o:gfxdata="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&#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G6XCLbZAAAACQEAAA8AAAAAAAAAAQAgAAAAIgAAAGRy&#10;cy9kb3ducmV2LnhtbFBLAQIUABQAAAAIAIdO4kAPozd0dgIAAOMEAAAOAAAAAAAAAAEAIAAAACgB&#10;AABkcnMvZTJvRG9jLnhtbFBLBQYAAAAABgAGAFkBAAAQBg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猪只饮水</w:t>
                      </w:r>
                    </w:p>
                  </w:txbxContent>
                </v:textbox>
              </v:rect>
            </w:pict>
          </mc:Fallback>
        </mc:AlternateContent>
      </w:r>
      <w:r>
        <w:rPr>
          <w:color w:val="FF0000"/>
          <w:spacing w:val="-1"/>
          <w:szCs w:val="20"/>
        </w:rPr>
        <mc:AlternateContent>
          <mc:Choice Requires="wps">
            <w:drawing>
              <wp:anchor distT="0" distB="0" distL="114300" distR="114300" simplePos="0" relativeHeight="251619328" behindDoc="0" locked="0" layoutInCell="1" allowOverlap="1">
                <wp:simplePos x="0" y="0"/>
                <wp:positionH relativeFrom="column">
                  <wp:posOffset>774700</wp:posOffset>
                </wp:positionH>
                <wp:positionV relativeFrom="paragraph">
                  <wp:posOffset>57150</wp:posOffset>
                </wp:positionV>
                <wp:extent cx="609600" cy="297180"/>
                <wp:effectExtent l="0" t="0" r="0" b="0"/>
                <wp:wrapNone/>
                <wp:docPr id="29" name="矩形 29"/>
                <wp:cNvGraphicFramePr/>
                <a:graphic xmlns:a="http://schemas.openxmlformats.org/drawingml/2006/main">
                  <a:graphicData uri="http://schemas.microsoft.com/office/word/2010/wordprocessingShape">
                    <wps:wsp>
                      <wps:cNvSpPr/>
                      <wps:spPr>
                        <a:xfrm>
                          <a:off x="0" y="0"/>
                          <a:ext cx="60960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100.55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pt;margin-top:4.5pt;height:23.4pt;width:48pt;z-index:251619328;v-text-anchor:middle;mso-width-relative:page;mso-height-relative:page;" filled="f" stroked="f" coordsize="21600,21600" o:gfxdata="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TzelNUAAAAI&#10;AQAADwAAAAAAAAABACAAAAAiAAAAZHJzL2Rvd25yZXYueG1sUEsBAhQAFAAAAAgAh07iQGSVf3NY&#10;AgAApQQAAA4AAAAAAAAAAQAgAAAAJAEAAGRycy9lMm9Eb2MueG1sUEsFBgAAAAAGAAYAWQEAAO4F&#10;A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100.55</w:t>
                      </w:r>
                    </w:p>
                  </w:txbxContent>
                </v:textbox>
              </v:rect>
            </w:pict>
          </mc:Fallback>
        </mc:AlternateContent>
      </w:r>
      <w:r>
        <w:rPr>
          <w:color w:val="FF0000"/>
          <w:spacing w:val="-1"/>
          <w:szCs w:val="20"/>
        </w:rPr>
        <w:tab/>
      </w:r>
    </w:p>
    <w:p>
      <w:pPr>
        <w:adjustRightInd w:val="0"/>
        <w:snapToGrid w:val="0"/>
        <w:jc w:val="left"/>
        <w:rPr>
          <w:color w:val="FF0000"/>
          <w:spacing w:val="-1"/>
          <w:szCs w:val="20"/>
        </w:rPr>
      </w:pPr>
      <w:r>
        <w:rPr>
          <w:color w:val="FF0000"/>
          <w:spacing w:val="-1"/>
          <w:szCs w:val="20"/>
        </w:rPr>
        <mc:AlternateContent>
          <mc:Choice Requires="wps">
            <w:drawing>
              <wp:anchor distT="0" distB="0" distL="114300" distR="114300" simplePos="0" relativeHeight="251652096" behindDoc="0" locked="0" layoutInCell="1" allowOverlap="1">
                <wp:simplePos x="0" y="0"/>
                <wp:positionH relativeFrom="column">
                  <wp:posOffset>690880</wp:posOffset>
                </wp:positionH>
                <wp:positionV relativeFrom="paragraph">
                  <wp:posOffset>53340</wp:posOffset>
                </wp:positionV>
                <wp:extent cx="0" cy="2842260"/>
                <wp:effectExtent l="0" t="0" r="38100" b="34290"/>
                <wp:wrapNone/>
                <wp:docPr id="102" name="直接连接符 102"/>
                <wp:cNvGraphicFramePr/>
                <a:graphic xmlns:a="http://schemas.openxmlformats.org/drawingml/2006/main">
                  <a:graphicData uri="http://schemas.microsoft.com/office/word/2010/wordprocessingShape">
                    <wps:wsp>
                      <wps:cNvCnPr/>
                      <wps:spPr>
                        <a:xfrm flipH="1">
                          <a:off x="0" y="0"/>
                          <a:ext cx="0" cy="284226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id="_x0000_s1026" o:spid="_x0000_s1026" o:spt="20" style="position:absolute;left:0pt;flip:x;margin-left:54.4pt;margin-top:4.2pt;height:223.8pt;width:0pt;z-index:251652096;mso-width-relative:page;mso-height-relative:page;" filled="f" stroked="t" coordsize="21600,21600" o:gfxdata="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1OjKZ1QAAAAkBAAAPAAAAAAAAAAEAIAAAACIA&#10;AABkcnMvZG93bnJldi54bWxQSwECFAAUAAAACACHTuJAEsH40AwCAAACBAAADgAAAAAAAAABACAA&#10;AAAkAQAAZHJzL2Uyb0RvYy54bWxQSwUGAAAAAAYABgBZAQAAogUAAAAA&#10;">
                <v:fill on="f" focussize="0,0"/>
                <v:stroke color="#000000" joinstyle="round"/>
                <v:imagedata o:title=""/>
                <o:lock v:ext="edit" aspectratio="f"/>
              </v:line>
            </w:pict>
          </mc:Fallback>
        </mc:AlternateContent>
      </w:r>
      <w:r>
        <w:rPr>
          <w:color w:val="FF0000"/>
          <w:spacing w:val="-1"/>
          <w:szCs w:val="20"/>
        </w:rPr>
        <mc:AlternateContent>
          <mc:Choice Requires="wps">
            <w:drawing>
              <wp:anchor distT="0" distB="0" distL="114300" distR="114300" simplePos="0" relativeHeight="251646976" behindDoc="0" locked="0" layoutInCell="1" allowOverlap="1">
                <wp:simplePos x="0" y="0"/>
                <wp:positionH relativeFrom="column">
                  <wp:posOffset>4081780</wp:posOffset>
                </wp:positionH>
                <wp:positionV relativeFrom="paragraph">
                  <wp:posOffset>198120</wp:posOffset>
                </wp:positionV>
                <wp:extent cx="7620" cy="1699260"/>
                <wp:effectExtent l="38100" t="38100" r="68580" b="15240"/>
                <wp:wrapNone/>
                <wp:docPr id="46" name="直接箭头连接符 46"/>
                <wp:cNvGraphicFramePr/>
                <a:graphic xmlns:a="http://schemas.openxmlformats.org/drawingml/2006/main">
                  <a:graphicData uri="http://schemas.microsoft.com/office/word/2010/wordprocessingShape">
                    <wps:wsp>
                      <wps:cNvCnPr/>
                      <wps:spPr>
                        <a:xfrm flipV="1">
                          <a:off x="0" y="0"/>
                          <a:ext cx="7620" cy="16992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21.4pt;margin-top:15.6pt;height:133.8pt;width:0.6pt;z-index:251646976;mso-width-relative:page;mso-height-relative:page;" filled="f" stroked="t" coordsize="21600,21600" o:gfxdata="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4cDSB2QAAAAoBAAAPAAAAAAAA&#10;AAEAIAAAACIAAABkcnMvZG93bnJldi54bWxQSwECFAAUAAAACACHTuJAw8mI6xECAADwAwAADgAA&#10;AAAAAAABACAAAAAoAQAAZHJzL2Uyb0RvYy54bWxQSwUGAAAAAAYABgBZAQAAqwU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78720" behindDoc="0" locked="0" layoutInCell="1" allowOverlap="1">
                <wp:simplePos x="0" y="0"/>
                <wp:positionH relativeFrom="column">
                  <wp:posOffset>5781040</wp:posOffset>
                </wp:positionH>
                <wp:positionV relativeFrom="paragraph">
                  <wp:posOffset>205740</wp:posOffset>
                </wp:positionV>
                <wp:extent cx="0" cy="411480"/>
                <wp:effectExtent l="76200" t="0" r="57150" b="64770"/>
                <wp:wrapNone/>
                <wp:docPr id="272" name="直接箭头连接符 272"/>
                <wp:cNvGraphicFramePr/>
                <a:graphic xmlns:a="http://schemas.openxmlformats.org/drawingml/2006/main">
                  <a:graphicData uri="http://schemas.microsoft.com/office/word/2010/wordprocessingShape">
                    <wps:wsp>
                      <wps:cNvCnPr/>
                      <wps:spPr>
                        <a:xfrm>
                          <a:off x="0" y="0"/>
                          <a:ext cx="0" cy="4114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55.2pt;margin-top:16.2pt;height:32.4pt;width:0pt;z-index:251678720;mso-width-relative:page;mso-height-relative:page;" filled="f" stroked="t" coordsize="21600,21600" o:gfxdata="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MJ6N7UAAAACQEAAA8AAAAAAAAAAQAgAAAAIgAAAGRycy9k&#10;b3ducmV2LnhtbFBLAQIUABQAAAAIAIdO4kAil6iIBgIAAOQDAAAOAAAAAAAAAAEAIAAAACMBAABk&#10;cnMvZTJvRG9jLnhtbFBLBQYAAAAABgAGAFkBAACbBQ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74624" behindDoc="0" locked="0" layoutInCell="1" allowOverlap="1">
                <wp:simplePos x="0" y="0"/>
                <wp:positionH relativeFrom="column">
                  <wp:posOffset>4714240</wp:posOffset>
                </wp:positionH>
                <wp:positionV relativeFrom="paragraph">
                  <wp:posOffset>53340</wp:posOffset>
                </wp:positionV>
                <wp:extent cx="541020" cy="0"/>
                <wp:effectExtent l="0" t="76200" r="11430" b="95250"/>
                <wp:wrapNone/>
                <wp:docPr id="269" name="直接箭头连接符 269"/>
                <wp:cNvGraphicFramePr/>
                <a:graphic xmlns:a="http://schemas.openxmlformats.org/drawingml/2006/main">
                  <a:graphicData uri="http://schemas.microsoft.com/office/word/2010/wordprocessingShape">
                    <wps:wsp>
                      <wps:cNvCnPr/>
                      <wps:spPr>
                        <a:xfrm>
                          <a:off x="0" y="0"/>
                          <a:ext cx="54102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71.2pt;margin-top:4.2pt;height:0pt;width:42.6pt;z-index:251674624;mso-width-relative:page;mso-height-relative:page;" filled="f" stroked="t" coordsize="21600,21600" o:gfxdata="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S4WHXUAAAABwEAAA8AAAAAAAAAAQAgAAAAIgAAAGRycy9k&#10;b3ducmV2LnhtbFBLAQIUABQAAAAIAIdO4kB0MivsBgIAAOQDAAAOAAAAAAAAAAEAIAAAACMBAABk&#10;cnMvZTJvRG9jLnhtbFBLBQYAAAAABgAGAFkBAACbBQ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68480" behindDoc="0" locked="0" layoutInCell="1" allowOverlap="1">
                <wp:simplePos x="0" y="0"/>
                <wp:positionH relativeFrom="column">
                  <wp:posOffset>3517900</wp:posOffset>
                </wp:positionH>
                <wp:positionV relativeFrom="paragraph">
                  <wp:posOffset>53340</wp:posOffset>
                </wp:positionV>
                <wp:extent cx="495300" cy="0"/>
                <wp:effectExtent l="0" t="76200" r="19050" b="95250"/>
                <wp:wrapNone/>
                <wp:docPr id="265" name="直接箭头连接符 265"/>
                <wp:cNvGraphicFramePr/>
                <a:graphic xmlns:a="http://schemas.openxmlformats.org/drawingml/2006/main">
                  <a:graphicData uri="http://schemas.microsoft.com/office/word/2010/wordprocessingShape">
                    <wps:wsp>
                      <wps:cNvCnPr/>
                      <wps:spPr>
                        <a:xfrm>
                          <a:off x="0" y="0"/>
                          <a:ext cx="495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77pt;margin-top:4.2pt;height:0pt;width:39pt;z-index:251668480;mso-width-relative:page;mso-height-relative:page;" filled="f" stroked="t" coordsize="21600,21600" o:gfxdata="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LpabdMAAAAHAQAADwAAAAAAAAABACAAAAAiAAAAZHJzL2Rv&#10;d25yZXYueG1sUEsBAhQAFAAAAAgAh07iQClDTAgGAgAA5AMAAA4AAAAAAAAAAQAgAAAAIgEAAGRy&#10;cy9lMm9Eb2MueG1sUEsFBgAAAAAGAAYAWQEAAJoFA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60288" behindDoc="0" locked="0" layoutInCell="1" allowOverlap="1">
                <wp:simplePos x="0" y="0"/>
                <wp:positionH relativeFrom="column">
                  <wp:posOffset>2001520</wp:posOffset>
                </wp:positionH>
                <wp:positionV relativeFrom="paragraph">
                  <wp:posOffset>228600</wp:posOffset>
                </wp:positionV>
                <wp:extent cx="0" cy="365760"/>
                <wp:effectExtent l="0" t="0" r="38100" b="34290"/>
                <wp:wrapNone/>
                <wp:docPr id="260" name="直接箭头连接符 260"/>
                <wp:cNvGraphicFramePr/>
                <a:graphic xmlns:a="http://schemas.openxmlformats.org/drawingml/2006/main">
                  <a:graphicData uri="http://schemas.microsoft.com/office/word/2010/wordprocessingShape">
                    <wps:wsp>
                      <wps:cNvCnPr/>
                      <wps:spPr>
                        <a:xfrm>
                          <a:off x="0" y="0"/>
                          <a:ext cx="0" cy="365760"/>
                        </a:xfrm>
                        <a:prstGeom prst="straightConnector1">
                          <a:avLst/>
                        </a:prstGeom>
                        <a:ln>
                          <a:prstDash val="solid"/>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57.6pt;margin-top:18pt;height:28.8pt;width:0pt;z-index:251660288;mso-width-relative:page;mso-height-relative:page;" filled="f" stroked="t" coordsize="21600,21600" o:gfxdata="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ehSiB1wAAAAkBAAAPAAAAAAAA&#10;AAEAIAAAACIAAABkcnMvZG93bnJldi54bWxQSwECFAAUAAAACACHTuJAHvnMLxMCAAAcBAAADgAA&#10;AAAAAAABACAAAAAmAQAAZHJzL2Uyb0RvYy54bWxQSwUGAAAAAAYABgBZAQAAqwUAAAAA&#10;">
                <v:fill on="f" focussize="0,0"/>
                <v:stroke weight="0.5pt" color="#000000 [3200]" miterlimit="8" joinstyle="miter"/>
                <v:imagedata o:title=""/>
                <o:lock v:ext="edit" aspectratio="f"/>
              </v:shape>
            </w:pict>
          </mc:Fallback>
        </mc:AlternateContent>
      </w:r>
      <w:r>
        <w:rPr>
          <w:color w:val="FF0000"/>
          <w:spacing w:val="-1"/>
          <w:szCs w:val="20"/>
        </w:rPr>
        <mc:AlternateContent>
          <mc:Choice Requires="wps">
            <w:drawing>
              <wp:anchor distT="0" distB="0" distL="114300" distR="114300" simplePos="0" relativeHeight="251658240" behindDoc="0" locked="0" layoutInCell="1" allowOverlap="1">
                <wp:simplePos x="0" y="0"/>
                <wp:positionH relativeFrom="column">
                  <wp:posOffset>2451100</wp:posOffset>
                </wp:positionH>
                <wp:positionV relativeFrom="paragraph">
                  <wp:posOffset>76200</wp:posOffset>
                </wp:positionV>
                <wp:extent cx="487680" cy="0"/>
                <wp:effectExtent l="0" t="76200" r="26670" b="95250"/>
                <wp:wrapNone/>
                <wp:docPr id="259" name="直接箭头连接符 259"/>
                <wp:cNvGraphicFramePr/>
                <a:graphic xmlns:a="http://schemas.openxmlformats.org/drawingml/2006/main">
                  <a:graphicData uri="http://schemas.microsoft.com/office/word/2010/wordprocessingShape">
                    <wps:wsp>
                      <wps:cNvCnPr/>
                      <wps:spPr>
                        <a:xfrm>
                          <a:off x="0" y="0"/>
                          <a:ext cx="4876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93pt;margin-top:6pt;height:0pt;width:38.4pt;z-index:251658240;mso-width-relative:page;mso-height-relative:page;" filled="f" stroked="t" coordsize="21600,21600" o:gfxdata="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DWsY01QAAAAkBAAAPAAAAAAAAAAEAIAAAACIAAABkcnMv&#10;ZG93bnJldi54bWxQSwECFAAUAAAACACHTuJAt4B3sAYCAADkAwAADgAAAAAAAAABACAAAAAkAQAA&#10;ZHJzL2Uyb0RvYy54bWxQSwUGAAAAAAYABgBZAQAAnAU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11136" behindDoc="0" locked="0" layoutInCell="1" allowOverlap="1">
                <wp:simplePos x="0" y="0"/>
                <wp:positionH relativeFrom="column">
                  <wp:posOffset>708660</wp:posOffset>
                </wp:positionH>
                <wp:positionV relativeFrom="paragraph">
                  <wp:posOffset>27940</wp:posOffset>
                </wp:positionV>
                <wp:extent cx="693420" cy="7620"/>
                <wp:effectExtent l="0" t="76200" r="30480" b="87630"/>
                <wp:wrapNone/>
                <wp:docPr id="30" name="直接箭头连接符 30"/>
                <wp:cNvGraphicFramePr/>
                <a:graphic xmlns:a="http://schemas.openxmlformats.org/drawingml/2006/main">
                  <a:graphicData uri="http://schemas.microsoft.com/office/word/2010/wordprocessingShape">
                    <wps:wsp>
                      <wps:cNvCnPr/>
                      <wps:spPr>
                        <a:xfrm flipV="1">
                          <a:off x="0" y="0"/>
                          <a:ext cx="693420" cy="762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_x0000_s1026" o:spid="_x0000_s1026" o:spt="32" type="#_x0000_t32" style="position:absolute;left:0pt;flip:y;margin-left:55.8pt;margin-top:2.2pt;height:0.6pt;width:54.6pt;z-index:251611136;mso-width-relative:page;mso-height-relative:page;" filled="f" stroked="t" coordsize="21600,21600" o:gfxdata="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opGAnWAAAABwEAAA8AAAAAAAAAAQAgAAAAIgAAAGRycy9kb3ducmV2LnhtbFBLAQIU&#10;ABQAAAAIAIdO4kB7+eHkLgIAADIEAAAOAAAAAAAAAAEAIAAAACUBAABkcnMvZTJvRG9jLnhtbFBL&#10;BQYAAAAABgAGAFkBAADFBQAAAAA=&#10;">
                <v:fill on="f" focussize="0,0"/>
                <v:stroke color="#000000" joinstyle="round"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09088" behindDoc="0" locked="0" layoutInCell="1" allowOverlap="1">
                <wp:simplePos x="0" y="0"/>
                <wp:positionH relativeFrom="column">
                  <wp:posOffset>7620</wp:posOffset>
                </wp:positionH>
                <wp:positionV relativeFrom="paragraph">
                  <wp:posOffset>233680</wp:posOffset>
                </wp:positionV>
                <wp:extent cx="274320" cy="922020"/>
                <wp:effectExtent l="0" t="0" r="11430" b="11430"/>
                <wp:wrapNone/>
                <wp:docPr id="19" name="矩形 19"/>
                <wp:cNvGraphicFramePr/>
                <a:graphic xmlns:a="http://schemas.openxmlformats.org/drawingml/2006/main">
                  <a:graphicData uri="http://schemas.microsoft.com/office/word/2010/wordprocessingShape">
                    <wps:wsp>
                      <wps:cNvSpPr/>
                      <wps:spPr>
                        <a:xfrm>
                          <a:off x="0" y="0"/>
                          <a:ext cx="274320" cy="92202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新鲜水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6pt;margin-top:18.4pt;height:72.6pt;width:21.6pt;z-index:251609088;v-text-anchor:middle;mso-width-relative:page;mso-height-relative:page;" filled="f" stroked="t" coordsize="21600,21600" o:gfxdata="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S7NJE1QAAAAcBAAAPAAAAAAAAAAEAIAAAACIAAABkcnMvZG93bnJl&#10;di54bWxQSwECFAAUAAAACACHTuJAOTUC/HICAADiBAAADgAAAAAAAAABACAAAAAkAQAAZHJzL2Uy&#10;b0RvYy54bWxQSwUGAAAAAAYABgBZAQAACAY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新鲜水</w:t>
                      </w:r>
                    </w:p>
                  </w:txbxContent>
                </v:textbox>
              </v:rect>
            </w:pict>
          </mc:Fallback>
        </mc:AlternateContent>
      </w:r>
    </w:p>
    <w:p>
      <w:pPr>
        <w:tabs>
          <w:tab w:val="left" w:pos="7704"/>
        </w:tabs>
        <w:adjustRightInd w:val="0"/>
        <w:snapToGrid w:val="0"/>
        <w:jc w:val="left"/>
        <w:rPr>
          <w:color w:val="FF0000"/>
          <w:spacing w:val="-1"/>
          <w:szCs w:val="20"/>
        </w:rPr>
      </w:pPr>
      <w:r>
        <w:rPr>
          <w:color w:val="FF0000"/>
          <w:spacing w:val="-1"/>
          <w:szCs w:val="20"/>
        </w:rPr>
        <mc:AlternateContent>
          <mc:Choice Requires="wps">
            <w:drawing>
              <wp:anchor distT="0" distB="0" distL="114300" distR="114300" simplePos="0" relativeHeight="251703296" behindDoc="0" locked="0" layoutInCell="1" allowOverlap="1">
                <wp:simplePos x="0" y="0"/>
                <wp:positionH relativeFrom="column">
                  <wp:posOffset>195580</wp:posOffset>
                </wp:positionH>
                <wp:positionV relativeFrom="paragraph">
                  <wp:posOffset>217170</wp:posOffset>
                </wp:positionV>
                <wp:extent cx="579120" cy="297180"/>
                <wp:effectExtent l="0" t="0" r="0" b="0"/>
                <wp:wrapNone/>
                <wp:docPr id="47" name="矩形 47"/>
                <wp:cNvGraphicFramePr/>
                <a:graphic xmlns:a="http://schemas.openxmlformats.org/drawingml/2006/main">
                  <a:graphicData uri="http://schemas.microsoft.com/office/word/2010/wordprocessingShape">
                    <wps:wsp>
                      <wps:cNvSpPr/>
                      <wps:spPr>
                        <a:xfrm>
                          <a:off x="0" y="0"/>
                          <a:ext cx="57912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112.92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4pt;margin-top:17.1pt;height:23.4pt;width:45.6pt;z-index:251703296;v-text-anchor:middle;mso-width-relative:page;mso-height-relative:page;" filled="f" stroked="f" coordsize="21600,21600" o:gfxdata="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f1UBO9UAAAAI&#10;AQAADwAAAAAAAAABACAAAAAiAAAAZHJzL2Rvd25yZXYueG1sUEsBAhQAFAAAAAgAh07iQM70brBY&#10;AgAApQQAAA4AAAAAAAAAAQAgAAAAJAEAAGRycy9lMm9Eb2MueG1sUEsFBgAAAAAGAAYAWQEAAO4F&#10;A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112.92</w:t>
                      </w:r>
                    </w:p>
                  </w:txbxContent>
                </v:textbox>
              </v:rect>
            </w:pict>
          </mc:Fallback>
        </mc:AlternateContent>
      </w:r>
      <w:r>
        <w:rPr>
          <w:color w:val="FF0000"/>
          <w:spacing w:val="-1"/>
          <w:szCs w:val="20"/>
        </w:rPr>
        <mc:AlternateContent>
          <mc:Choice Requires="wps">
            <w:drawing>
              <wp:anchor distT="0" distB="0" distL="114300" distR="114300" simplePos="0" relativeHeight="251666432" behindDoc="0" locked="0" layoutInCell="1" allowOverlap="1">
                <wp:simplePos x="0" y="0"/>
                <wp:positionH relativeFrom="column">
                  <wp:posOffset>1643380</wp:posOffset>
                </wp:positionH>
                <wp:positionV relativeFrom="paragraph">
                  <wp:posOffset>118110</wp:posOffset>
                </wp:positionV>
                <wp:extent cx="1257300" cy="472440"/>
                <wp:effectExtent l="0" t="0" r="0" b="3810"/>
                <wp:wrapNone/>
                <wp:docPr id="264" name="矩形 264"/>
                <wp:cNvGraphicFramePr/>
                <a:graphic xmlns:a="http://schemas.openxmlformats.org/drawingml/2006/main">
                  <a:graphicData uri="http://schemas.microsoft.com/office/word/2010/wordprocessingShape">
                    <wps:wsp>
                      <wps:cNvSpPr/>
                      <wps:spPr>
                        <a:xfrm>
                          <a:off x="0" y="0"/>
                          <a:ext cx="1257300" cy="47244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7.88</w:t>
                            </w:r>
                          </w:p>
                          <w:p>
                            <w:pPr>
                              <w:spacing w:line="240" w:lineRule="auto"/>
                              <w:jc w:val="center"/>
                              <w:rPr>
                                <w:color w:val="000000"/>
                                <w:sz w:val="18"/>
                                <w:szCs w:val="18"/>
                              </w:rPr>
                            </w:pPr>
                            <w:r>
                              <w:rPr>
                                <w:rFonts w:hint="eastAsia"/>
                                <w:color w:val="000000"/>
                                <w:sz w:val="18"/>
                                <w:szCs w:val="18"/>
                              </w:rPr>
                              <w:t>（含水率按9</w:t>
                            </w:r>
                            <w:r>
                              <w:rPr>
                                <w:color w:val="000000"/>
                                <w:sz w:val="18"/>
                                <w:szCs w:val="18"/>
                              </w:rPr>
                              <w:t>0%</w:t>
                            </w:r>
                            <w:r>
                              <w:rPr>
                                <w:rFonts w:hint="eastAsia"/>
                                <w:color w:val="000000"/>
                                <w:sz w:val="18"/>
                                <w:szCs w:val="18"/>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9.4pt;margin-top:9.3pt;height:37.2pt;width:99pt;z-index:251666432;v-text-anchor:middle;mso-width-relative:page;mso-height-relative:page;" filled="f" stroked="f" coordsize="21600,21600" o:gfxdata="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UXeH21wAA&#10;AAkBAAAPAAAAAAAAAAEAIAAAACIAAABkcnMvZG93bnJldi54bWxQSwECFAAUAAAACACHTuJAGyKW&#10;EVgCAACoBAAADgAAAAAAAAABACAAAAAmAQAAZHJzL2Uyb0RvYy54bWxQSwUGAAAAAAYABgBZAQAA&#10;8AU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7.88</w:t>
                      </w:r>
                    </w:p>
                    <w:p>
                      <w:pPr>
                        <w:spacing w:line="240" w:lineRule="auto"/>
                        <w:jc w:val="center"/>
                        <w:rPr>
                          <w:color w:val="000000"/>
                          <w:sz w:val="18"/>
                          <w:szCs w:val="18"/>
                        </w:rPr>
                      </w:pPr>
                      <w:r>
                        <w:rPr>
                          <w:rFonts w:hint="eastAsia"/>
                          <w:color w:val="000000"/>
                          <w:sz w:val="18"/>
                          <w:szCs w:val="18"/>
                        </w:rPr>
                        <w:t>（含水率按9</w:t>
                      </w:r>
                      <w:r>
                        <w:rPr>
                          <w:color w:val="000000"/>
                          <w:sz w:val="18"/>
                          <w:szCs w:val="18"/>
                        </w:rPr>
                        <w:t>0%</w:t>
                      </w:r>
                      <w:r>
                        <w:rPr>
                          <w:rFonts w:hint="eastAsia"/>
                          <w:color w:val="000000"/>
                          <w:sz w:val="18"/>
                          <w:szCs w:val="18"/>
                        </w:rPr>
                        <w:t>）</w:t>
                      </w:r>
                    </w:p>
                  </w:txbxContent>
                </v:textbox>
              </v:rect>
            </w:pict>
          </mc:Fallback>
        </mc:AlternateContent>
      </w:r>
      <w:r>
        <w:rPr>
          <w:color w:val="FF0000"/>
          <w:spacing w:val="-1"/>
          <w:szCs w:val="20"/>
        </w:rPr>
        <mc:AlternateContent>
          <mc:Choice Requires="wps">
            <w:drawing>
              <wp:anchor distT="0" distB="0" distL="114300" distR="114300" simplePos="0" relativeHeight="251662336" behindDoc="0" locked="0" layoutInCell="1" allowOverlap="1">
                <wp:simplePos x="0" y="0"/>
                <wp:positionH relativeFrom="column">
                  <wp:posOffset>2733040</wp:posOffset>
                </wp:positionH>
                <wp:positionV relativeFrom="paragraph">
                  <wp:posOffset>125730</wp:posOffset>
                </wp:positionV>
                <wp:extent cx="784860" cy="297180"/>
                <wp:effectExtent l="0" t="0" r="15240" b="26670"/>
                <wp:wrapNone/>
                <wp:docPr id="262" name="矩形 262"/>
                <wp:cNvGraphicFramePr/>
                <a:graphic xmlns:a="http://schemas.openxmlformats.org/drawingml/2006/main">
                  <a:graphicData uri="http://schemas.microsoft.com/office/word/2010/wordprocessingShape">
                    <wps:wsp>
                      <wps:cNvSpPr/>
                      <wps:spPr>
                        <a:xfrm>
                          <a:off x="0" y="0"/>
                          <a:ext cx="78486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粪便含水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5.2pt;margin-top:9.9pt;height:23.4pt;width:61.8pt;z-index:251662336;v-text-anchor:middle;mso-width-relative:page;mso-height-relative:page;" filled="f" stroked="t" coordsize="21600,21600" o:gfxdata="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gMqhg1gAAAAkBAAAPAAAAAAAAAAEAIAAAACIAAABkcnMv&#10;ZG93bnJldi54bWxQSwECFAAUAAAACACHTuJAYyE2encCAADkBAAADgAAAAAAAAABACAAAAAlAQAA&#10;ZHJzL2Uyb0RvYy54bWxQSwUGAAAAAAYABgBZAQAADgY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粪便含水</w:t>
                      </w:r>
                    </w:p>
                  </w:txbxContent>
                </v:textbox>
              </v:rect>
            </w:pict>
          </mc:Fallback>
        </mc:AlternateContent>
      </w:r>
      <w:r>
        <w:rPr>
          <w:color w:val="FF0000"/>
          <w:spacing w:val="-1"/>
          <w:szCs w:val="20"/>
        </w:rPr>
        <w:tab/>
      </w:r>
    </w:p>
    <w:p>
      <w:pPr>
        <w:adjustRightInd w:val="0"/>
        <w:snapToGrid w:val="0"/>
        <w:jc w:val="left"/>
        <w:rPr>
          <w:color w:val="FF0000"/>
          <w:spacing w:val="-1"/>
          <w:szCs w:val="20"/>
        </w:rPr>
      </w:pPr>
      <w:r>
        <w:rPr>
          <w:color w:val="FF0000"/>
          <w:spacing w:val="-1"/>
          <w:szCs w:val="20"/>
        </w:rPr>
        <mc:AlternateContent>
          <mc:Choice Requires="wps">
            <w:drawing>
              <wp:anchor distT="0" distB="0" distL="114300" distR="114300" simplePos="0" relativeHeight="251680768" behindDoc="0" locked="0" layoutInCell="1" allowOverlap="1">
                <wp:simplePos x="0" y="0"/>
                <wp:positionH relativeFrom="column">
                  <wp:posOffset>5278120</wp:posOffset>
                </wp:positionH>
                <wp:positionV relativeFrom="paragraph">
                  <wp:posOffset>99060</wp:posOffset>
                </wp:positionV>
                <wp:extent cx="792480" cy="434340"/>
                <wp:effectExtent l="0" t="0" r="26670" b="22860"/>
                <wp:wrapNone/>
                <wp:docPr id="274" name="矩形 274"/>
                <wp:cNvGraphicFramePr/>
                <a:graphic xmlns:a="http://schemas.openxmlformats.org/drawingml/2006/main">
                  <a:graphicData uri="http://schemas.microsoft.com/office/word/2010/wordprocessingShape">
                    <wps:wsp>
                      <wps:cNvSpPr/>
                      <wps:spPr>
                        <a:xfrm>
                          <a:off x="0" y="0"/>
                          <a:ext cx="792480" cy="43434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18"/>
                                <w:szCs w:val="18"/>
                              </w:rPr>
                            </w:pPr>
                            <w:r>
                              <w:rPr>
                                <w:rFonts w:hint="eastAsia"/>
                                <w:bCs/>
                                <w:kern w:val="0"/>
                                <w:sz w:val="18"/>
                                <w:szCs w:val="18"/>
                              </w:rPr>
                              <w:t>井研大沼工程沼气发电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5.6pt;margin-top:7.8pt;height:34.2pt;width:62.4pt;z-index:251680768;v-text-anchor:middle;mso-width-relative:page;mso-height-relative:page;" filled="f" stroked="t" coordsize="21600,21600" o:gfxdata="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4U6f51wAAAAkBAAAPAAAAAAAAAAEAIAAAACIAAABkcnMv&#10;ZG93bnJldi54bWxQSwECFAAUAAAACACHTuJA0Qs8j3YCAADkBAAADgAAAAAAAAABACAAAAAmAQAA&#10;ZHJzL2Uyb0RvYy54bWxQSwUGAAAAAAYABgBZAQAADgYAAAAA&#10;">
                <v:fill on="f" focussize="0,0"/>
                <v:stroke weight="1pt" color="#000000" joinstyle="round"/>
                <v:imagedata o:title=""/>
                <o:lock v:ext="edit" aspectratio="f"/>
                <v:textbox>
                  <w:txbxContent>
                    <w:p>
                      <w:pPr>
                        <w:spacing w:line="240" w:lineRule="auto"/>
                        <w:jc w:val="center"/>
                        <w:rPr>
                          <w:color w:val="000000"/>
                          <w:sz w:val="18"/>
                          <w:szCs w:val="18"/>
                        </w:rPr>
                      </w:pPr>
                      <w:r>
                        <w:rPr>
                          <w:rFonts w:hint="eastAsia"/>
                          <w:bCs/>
                          <w:kern w:val="0"/>
                          <w:sz w:val="18"/>
                          <w:szCs w:val="18"/>
                        </w:rPr>
                        <w:t>井研大沼工程沼气发电</w:t>
                      </w:r>
                    </w:p>
                  </w:txbxContent>
                </v:textbox>
              </v:rect>
            </w:pict>
          </mc:Fallback>
        </mc:AlternateContent>
      </w:r>
      <w:r>
        <w:rPr>
          <w:color w:val="FF0000"/>
          <w:spacing w:val="-1"/>
          <w:szCs w:val="20"/>
        </w:rPr>
        <mc:AlternateContent>
          <mc:Choice Requires="wps">
            <w:drawing>
              <wp:anchor distT="0" distB="0" distL="114300" distR="114300" simplePos="0" relativeHeight="251672576" behindDoc="0" locked="0" layoutInCell="1" allowOverlap="1">
                <wp:simplePos x="0" y="0"/>
                <wp:positionH relativeFrom="column">
                  <wp:posOffset>3502660</wp:posOffset>
                </wp:positionH>
                <wp:positionV relativeFrom="paragraph">
                  <wp:posOffset>45720</wp:posOffset>
                </wp:positionV>
                <wp:extent cx="601980" cy="0"/>
                <wp:effectExtent l="0" t="76200" r="26670" b="95250"/>
                <wp:wrapNone/>
                <wp:docPr id="267" name="直接连接符 267"/>
                <wp:cNvGraphicFramePr/>
                <a:graphic xmlns:a="http://schemas.openxmlformats.org/drawingml/2006/main">
                  <a:graphicData uri="http://schemas.microsoft.com/office/word/2010/wordprocessingShape">
                    <wps:wsp>
                      <wps:cNvCnPr/>
                      <wps:spPr>
                        <a:xfrm>
                          <a:off x="0" y="0"/>
                          <a:ext cx="601980" cy="0"/>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75.8pt;margin-top:3.6pt;height:0pt;width:47.4pt;z-index:251672576;mso-width-relative:page;mso-height-relative:page;" filled="f" stroked="t" coordsize="21600,21600" o:gfxdata="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vBfpNUAAAAHAQAADwAAAAAAAAABACAAAAAiAAAA&#10;ZHJzL2Rvd25yZXYueG1sUEsBAhQAFAAAAAgAh07iQDbUkIkKAgAADAQAAA4AAAAAAAAAAQAgAAAA&#10;JAEAAGRycy9lMm9Eb2MueG1sUEsFBgAAAAAGAAYAWQEAAKAFAAAAAA==&#10;">
                <v:fill on="f" focussize="0,0"/>
                <v:stroke weight="0.5pt" color="#000000 [3200]" miterlimit="8" joinstyle="miter" endarrow="block"/>
                <v:imagedata o:title=""/>
                <o:lock v:ext="edit" aspectratio="f"/>
              </v:line>
            </w:pict>
          </mc:Fallback>
        </mc:AlternateContent>
      </w:r>
      <w:r>
        <w:rPr>
          <w:color w:val="FF0000"/>
          <w:spacing w:val="-1"/>
          <w:szCs w:val="20"/>
        </w:rPr>
        <mc:AlternateContent>
          <mc:Choice Requires="wps">
            <w:drawing>
              <wp:anchor distT="0" distB="0" distL="114300" distR="114300" simplePos="0" relativeHeight="251664384" behindDoc="0" locked="0" layoutInCell="1" allowOverlap="1">
                <wp:simplePos x="0" y="0"/>
                <wp:positionH relativeFrom="column">
                  <wp:posOffset>2009140</wp:posOffset>
                </wp:positionH>
                <wp:positionV relativeFrom="paragraph">
                  <wp:posOffset>68580</wp:posOffset>
                </wp:positionV>
                <wp:extent cx="723900" cy="7620"/>
                <wp:effectExtent l="0" t="76200" r="19050" b="87630"/>
                <wp:wrapNone/>
                <wp:docPr id="263" name="直接箭头连接符 263"/>
                <wp:cNvGraphicFramePr/>
                <a:graphic xmlns:a="http://schemas.openxmlformats.org/drawingml/2006/main">
                  <a:graphicData uri="http://schemas.microsoft.com/office/word/2010/wordprocessingShape">
                    <wps:wsp>
                      <wps:cNvCnPr/>
                      <wps:spPr>
                        <a:xfrm flipV="1">
                          <a:off x="0" y="0"/>
                          <a:ext cx="723900" cy="76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8.2pt;margin-top:5.4pt;height:0.6pt;width:57pt;z-index:251664384;mso-width-relative:page;mso-height-relative:page;" filled="f" stroked="t" coordsize="21600,21600" o:gfxdata="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lL3lNYAAAAJAQAADwAAAAAAAAAB&#10;ACAAAAAiAAAAZHJzL2Rvd25yZXYueG1sUEsBAhQAFAAAAAgAh07iQE1KfzUSAgAA8QMAAA4AAAAA&#10;AAAAAQAgAAAAJQEAAGRycy9lMm9Eb2MueG1sUEsFBgAAAAAGAAYAWQEAAKkFA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07040" behindDoc="0" locked="0" layoutInCell="1" allowOverlap="1">
                <wp:simplePos x="0" y="0"/>
                <wp:positionH relativeFrom="column">
                  <wp:posOffset>312420</wp:posOffset>
                </wp:positionH>
                <wp:positionV relativeFrom="paragraph">
                  <wp:posOffset>172720</wp:posOffset>
                </wp:positionV>
                <wp:extent cx="365760" cy="7620"/>
                <wp:effectExtent l="0" t="76200" r="15240" b="87630"/>
                <wp:wrapNone/>
                <wp:docPr id="24" name="直接箭头连接符 24"/>
                <wp:cNvGraphicFramePr/>
                <a:graphic xmlns:a="http://schemas.openxmlformats.org/drawingml/2006/main">
                  <a:graphicData uri="http://schemas.microsoft.com/office/word/2010/wordprocessingShape">
                    <wps:wsp>
                      <wps:cNvCnPr/>
                      <wps:spPr>
                        <a:xfrm flipV="1">
                          <a:off x="0" y="0"/>
                          <a:ext cx="365760" cy="762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_x0000_s1026" o:spid="_x0000_s1026" o:spt="32" type="#_x0000_t32" style="position:absolute;left:0pt;flip:y;margin-left:24.6pt;margin-top:13.6pt;height:0.6pt;width:28.8pt;z-index:251607040;mso-width-relative:page;mso-height-relative:page;" filled="f" stroked="t" coordsize="21600,21600" o:gfxdata="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CtpsLXAAAACAEAAA8AAAAAAAAAAQAgAAAAIgAAAGRycy9kb3ducmV2LnhtbFBL&#10;AQIUABQAAAAIAIdO4kDX5N9PMAIAADIEAAAOAAAAAAAAAAEAIAAAACYBAABkcnMvZTJvRG9jLnht&#10;bFBLBQYAAAAABgAGAFkBAADIBQAAAAA=&#10;">
                <v:fill on="f" focussize="0,0"/>
                <v:stroke color="#000000" joinstyle="round" endarrow="block"/>
                <v:imagedata o:title=""/>
                <o:lock v:ext="edit" aspectratio="f"/>
              </v:shape>
            </w:pict>
          </mc:Fallback>
        </mc:AlternateContent>
      </w:r>
    </w:p>
    <w:p>
      <w:pPr>
        <w:adjustRightInd w:val="0"/>
        <w:snapToGrid w:val="0"/>
        <w:jc w:val="left"/>
        <w:rPr>
          <w:color w:val="FF0000"/>
          <w:spacing w:val="-1"/>
          <w:szCs w:val="20"/>
        </w:rPr>
      </w:pPr>
      <w:r>
        <w:rPr>
          <w:color w:val="FF0000"/>
          <w:spacing w:val="-1"/>
          <w:szCs w:val="20"/>
        </w:rPr>
        <mc:AlternateContent>
          <mc:Choice Requires="wps">
            <w:drawing>
              <wp:anchor distT="0" distB="0" distL="114300" distR="114300" simplePos="0" relativeHeight="251684864" behindDoc="0" locked="0" layoutInCell="1" allowOverlap="1">
                <wp:simplePos x="0" y="0"/>
                <wp:positionH relativeFrom="column">
                  <wp:posOffset>5689600</wp:posOffset>
                </wp:positionH>
                <wp:positionV relativeFrom="paragraph">
                  <wp:posOffset>270510</wp:posOffset>
                </wp:positionV>
                <wp:extent cx="0" cy="182880"/>
                <wp:effectExtent l="76200" t="0" r="57150" b="64770"/>
                <wp:wrapNone/>
                <wp:docPr id="277" name="直接箭头连接符 277"/>
                <wp:cNvGraphicFramePr/>
                <a:graphic xmlns:a="http://schemas.openxmlformats.org/drawingml/2006/main">
                  <a:graphicData uri="http://schemas.microsoft.com/office/word/2010/wordprocessingShape">
                    <wps:wsp>
                      <wps:cNvCnPr/>
                      <wps:spPr>
                        <a:xfrm>
                          <a:off x="0" y="0"/>
                          <a:ext cx="0" cy="1828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48pt;margin-top:21.3pt;height:14.4pt;width:0pt;z-index:251684864;mso-width-relative:page;mso-height-relative:page;" filled="f" stroked="t" coordsize="21600,21600" o:gfxdata="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kWw89YAAAAJAQAADwAAAAAAAAABACAAAAAiAAAAZHJz&#10;L2Rvd25yZXYueG1sUEsBAhQAFAAAAAgAh07iQOzoACEGAgAA5AMAAA4AAAAAAAAAAQAgAAAAJQEA&#10;AGRycy9lMm9Eb2MueG1sUEsFBgAAAAAGAAYAWQEAAJ0FA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29568" behindDoc="0" locked="0" layoutInCell="1" allowOverlap="1">
                <wp:simplePos x="0" y="0"/>
                <wp:positionH relativeFrom="column">
                  <wp:posOffset>2240280</wp:posOffset>
                </wp:positionH>
                <wp:positionV relativeFrom="paragraph">
                  <wp:posOffset>85090</wp:posOffset>
                </wp:positionV>
                <wp:extent cx="944880" cy="297180"/>
                <wp:effectExtent l="0" t="0" r="0" b="0"/>
                <wp:wrapNone/>
                <wp:docPr id="59" name="矩形 59"/>
                <wp:cNvGraphicFramePr/>
                <a:graphic xmlns:a="http://schemas.openxmlformats.org/drawingml/2006/main">
                  <a:graphicData uri="http://schemas.microsoft.com/office/word/2010/wordprocessingShape">
                    <wps:wsp>
                      <wps:cNvSpPr/>
                      <wps:spPr>
                        <a:xfrm>
                          <a:off x="0" y="0"/>
                          <a:ext cx="94488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rFonts w:hint="eastAsia"/>
                                <w:color w:val="000000"/>
                                <w:sz w:val="21"/>
                                <w:szCs w:val="21"/>
                              </w:rPr>
                              <w:t>损耗</w:t>
                            </w:r>
                            <w:r>
                              <w:rPr>
                                <w:color w:val="000000"/>
                                <w:sz w:val="21"/>
                                <w:szCs w:val="21"/>
                              </w:rPr>
                              <w:t>0.36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6.4pt;margin-top:6.7pt;height:23.4pt;width:74.4pt;z-index:251629568;v-text-anchor:middle;mso-width-relative:page;mso-height-relative:page;" filled="f" stroked="f" coordsize="21600,21600" o:gfxdata="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yIp43XAAAA&#10;CQEAAA8AAAAAAAAAAQAgAAAAIgAAAGRycy9kb3ducmV2LnhtbFBLAQIUABQAAAAIAIdO4kBDz0sG&#10;VwIAAKUEAAAOAAAAAAAAAAEAIAAAACYBAABkcnMvZTJvRG9jLnhtbFBLBQYAAAAABgAGAFkBAADv&#10;BQAAAAA=&#10;">
                <v:fill on="f" focussize="0,0"/>
                <v:stroke on="f" weight="1pt"/>
                <v:imagedata o:title=""/>
                <o:lock v:ext="edit" aspectratio="f"/>
                <v:textbox>
                  <w:txbxContent>
                    <w:p>
                      <w:pPr>
                        <w:spacing w:line="240" w:lineRule="auto"/>
                        <w:jc w:val="center"/>
                        <w:rPr>
                          <w:color w:val="000000"/>
                          <w:sz w:val="21"/>
                          <w:szCs w:val="21"/>
                        </w:rPr>
                      </w:pPr>
                      <w:r>
                        <w:rPr>
                          <w:rFonts w:hint="eastAsia"/>
                          <w:color w:val="000000"/>
                          <w:sz w:val="21"/>
                          <w:szCs w:val="21"/>
                        </w:rPr>
                        <w:t>损耗</w:t>
                      </w:r>
                      <w:r>
                        <w:rPr>
                          <w:color w:val="000000"/>
                          <w:sz w:val="21"/>
                          <w:szCs w:val="21"/>
                        </w:rPr>
                        <w:t>0.36</w:t>
                      </w:r>
                    </w:p>
                  </w:txbxContent>
                </v:textbox>
              </v:rect>
            </w:pict>
          </mc:Fallback>
        </mc:AlternateContent>
      </w:r>
      <w:r>
        <w:rPr>
          <w:color w:val="FF0000"/>
          <w:spacing w:val="-1"/>
          <w:szCs w:val="20"/>
        </w:rPr>
        <mc:AlternateContent>
          <mc:Choice Requires="wps">
            <w:drawing>
              <wp:anchor distT="0" distB="0" distL="114300" distR="114300" simplePos="0" relativeHeight="251627520" behindDoc="0" locked="0" layoutInCell="1" allowOverlap="1">
                <wp:simplePos x="0" y="0"/>
                <wp:positionH relativeFrom="column">
                  <wp:posOffset>1910080</wp:posOffset>
                </wp:positionH>
                <wp:positionV relativeFrom="paragraph">
                  <wp:posOffset>236220</wp:posOffset>
                </wp:positionV>
                <wp:extent cx="533400" cy="209550"/>
                <wp:effectExtent l="0" t="57150" r="19050" b="19050"/>
                <wp:wrapNone/>
                <wp:docPr id="41" name="连接符: 曲线 41"/>
                <wp:cNvGraphicFramePr/>
                <a:graphic xmlns:a="http://schemas.openxmlformats.org/drawingml/2006/main">
                  <a:graphicData uri="http://schemas.microsoft.com/office/word/2010/wordprocessingShape">
                    <wps:wsp>
                      <wps:cNvCnPr/>
                      <wps:spPr>
                        <a:xfrm flipV="1">
                          <a:off x="0" y="0"/>
                          <a:ext cx="533400" cy="209550"/>
                        </a:xfrm>
                        <a:prstGeom prst="curvedConnector3">
                          <a:avLst>
                            <a:gd name="adj1" fmla="val 33607"/>
                          </a:avLst>
                        </a:prstGeom>
                        <a:noFill/>
                        <a:ln w="9525" cap="flat" cmpd="sng" algn="ctr">
                          <a:solidFill>
                            <a:sysClr val="windowText" lastClr="000000">
                              <a:shade val="95000"/>
                              <a:satMod val="105000"/>
                            </a:sysClr>
                          </a:solidFill>
                          <a:prstDash val="dash"/>
                          <a:tailEnd type="triangle"/>
                        </a:ln>
                        <a:effectLst/>
                      </wps:spPr>
                      <wps:bodyPr/>
                    </wps:wsp>
                  </a:graphicData>
                </a:graphic>
              </wp:anchor>
            </w:drawing>
          </mc:Choice>
          <mc:Fallback>
            <w:pict>
              <v:shape id="连接符: 曲线 41" o:spid="_x0000_s1026" o:spt="38" type="#_x0000_t38" style="position:absolute;left:0pt;flip:y;margin-left:150.4pt;margin-top:18.6pt;height:16.5pt;width:42pt;z-index:251627520;mso-width-relative:page;mso-height-relative:page;" filled="f" stroked="t" coordsize="21600,21600" o:gfxdata="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zqax3YAAAACQEAAA8AAAAAAAAAAQAg&#10;AAAAIgAAAGRycy9kb3ducmV2LnhtbFBLAQIUABQAAAAIAIdO4kCtH693RwIAAFoEAAAOAAAAAAAA&#10;AAEAIAAAACcBAABkcnMvZTJvRG9jLnhtbFBLBQYAAAAABgAGAFkBAADgBQAAAAA=&#10;" adj="7259">
                <v:fill on="f" focussize="0,0"/>
                <v:stroke color="#000000" joinstyle="round" dashstyle="dash" endarrow="block"/>
                <v:imagedata o:title=""/>
                <o:lock v:ext="edit" aspectratio="f"/>
              </v:shape>
            </w:pict>
          </mc:Fallback>
        </mc:AlternateContent>
      </w:r>
    </w:p>
    <w:p>
      <w:pPr>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682816" behindDoc="0" locked="0" layoutInCell="1" allowOverlap="1">
                <wp:simplePos x="0" y="0"/>
                <wp:positionH relativeFrom="column">
                  <wp:posOffset>5361940</wp:posOffset>
                </wp:positionH>
                <wp:positionV relativeFrom="paragraph">
                  <wp:posOffset>198120</wp:posOffset>
                </wp:positionV>
                <wp:extent cx="739140" cy="297180"/>
                <wp:effectExtent l="0" t="0" r="22860" b="26670"/>
                <wp:wrapNone/>
                <wp:docPr id="276" name="矩形 276"/>
                <wp:cNvGraphicFramePr/>
                <a:graphic xmlns:a="http://schemas.openxmlformats.org/drawingml/2006/main">
                  <a:graphicData uri="http://schemas.microsoft.com/office/word/2010/wordprocessingShape">
                    <wps:wsp>
                      <wps:cNvSpPr/>
                      <wps:spPr>
                        <a:xfrm>
                          <a:off x="0" y="0"/>
                          <a:ext cx="73914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干湿分离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22.2pt;margin-top:15.6pt;height:23.4pt;width:58.2pt;z-index:251682816;v-text-anchor:middle;mso-width-relative:page;mso-height-relative:page;" filled="f" stroked="t" coordsize="21600,21600" o:gfxdata="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c3dxitgAAAAJAQAADwAAAAAAAAABACAAAAAiAAAAZHJz&#10;L2Rvd25yZXYueG1sUEsBAhQAFAAAAAgAh07iQByFJRx2AgAA5AQAAA4AAAAAAAAAAQAgAAAAJwEA&#10;AGRycy9lMm9Eb2MueG1sUEsFBgAAAAAGAAYAWQEAAA8GA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干湿分离</w:t>
                      </w:r>
                    </w:p>
                  </w:txbxContent>
                </v:textbox>
              </v:rect>
            </w:pict>
          </mc:Fallback>
        </mc:AlternateContent>
      </w:r>
      <w:r>
        <w:rPr>
          <w:color w:val="FF0000"/>
          <w:spacing w:val="-1"/>
          <w:szCs w:val="20"/>
        </w:rPr>
        <mc:AlternateContent>
          <mc:Choice Requires="wps">
            <w:drawing>
              <wp:anchor distT="0" distB="0" distL="114300" distR="114300" simplePos="0" relativeHeight="251633664" behindDoc="0" locked="0" layoutInCell="1" allowOverlap="1">
                <wp:simplePos x="0" y="0"/>
                <wp:positionH relativeFrom="column">
                  <wp:posOffset>2828290</wp:posOffset>
                </wp:positionH>
                <wp:positionV relativeFrom="paragraph">
                  <wp:posOffset>92710</wp:posOffset>
                </wp:positionV>
                <wp:extent cx="502920" cy="297180"/>
                <wp:effectExtent l="0" t="0" r="0" b="0"/>
                <wp:wrapNone/>
                <wp:docPr id="63" name="矩形 63"/>
                <wp:cNvGraphicFramePr/>
                <a:graphic xmlns:a="http://schemas.openxmlformats.org/drawingml/2006/main">
                  <a:graphicData uri="http://schemas.microsoft.com/office/word/2010/wordprocessingShape">
                    <wps:wsp>
                      <wps:cNvSpPr/>
                      <wps:spPr>
                        <a:xfrm>
                          <a:off x="0" y="0"/>
                          <a:ext cx="50292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2.04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2.7pt;margin-top:7.3pt;height:23.4pt;width:39.6pt;z-index:251633664;v-text-anchor:middle;mso-width-relative:page;mso-height-relative:page;" filled="f" stroked="f" coordsize="21600,21600" o:gfxdata="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qZlDXWAAAA&#10;CQEAAA8AAAAAAAAAAQAgAAAAIgAAAGRycy9kb3ducmV2LnhtbFBLAQIUABQAAAAIAIdO4kCdPOMU&#10;WAIAAKUEAAAOAAAAAAAAAAEAIAAAACUBAABkcnMvZTJvRG9jLnhtbFBLBQYAAAAABgAGAFkBAADv&#10;BQ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2.04</w:t>
                      </w:r>
                    </w:p>
                  </w:txbxContent>
                </v:textbox>
              </v:rect>
            </w:pict>
          </mc:Fallback>
        </mc:AlternateContent>
      </w:r>
      <w:r>
        <w:rPr>
          <w:color w:val="FF0000"/>
          <w:spacing w:val="-1"/>
          <w:szCs w:val="20"/>
        </w:rPr>
        <mc:AlternateContent>
          <mc:Choice Requires="wps">
            <w:drawing>
              <wp:anchor distT="0" distB="0" distL="114300" distR="114300" simplePos="0" relativeHeight="251621376" behindDoc="0" locked="0" layoutInCell="1" allowOverlap="1">
                <wp:simplePos x="0" y="0"/>
                <wp:positionH relativeFrom="column">
                  <wp:posOffset>793750</wp:posOffset>
                </wp:positionH>
                <wp:positionV relativeFrom="paragraph">
                  <wp:posOffset>153670</wp:posOffset>
                </wp:positionV>
                <wp:extent cx="502920" cy="297180"/>
                <wp:effectExtent l="0" t="0" r="0" b="0"/>
                <wp:wrapNone/>
                <wp:docPr id="32" name="矩形 32"/>
                <wp:cNvGraphicFramePr/>
                <a:graphic xmlns:a="http://schemas.openxmlformats.org/drawingml/2006/main">
                  <a:graphicData uri="http://schemas.microsoft.com/office/word/2010/wordprocessingShape">
                    <wps:wsp>
                      <wps:cNvSpPr/>
                      <wps:spPr>
                        <a:xfrm>
                          <a:off x="0" y="0"/>
                          <a:ext cx="50292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5pt;margin-top:12.1pt;height:23.4pt;width:39.6pt;z-index:251621376;v-text-anchor:middle;mso-width-relative:page;mso-height-relative:page;" filled="f" stroked="f" coordsize="21600,21600" o:gfxdata="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woXpA1gAA&#10;AAkBAAAPAAAAAAAAAAEAIAAAACIAAABkcnMvZG93bnJldi54bWxQSwECFAAUAAAACACHTuJACkkM&#10;h1kCAAClBAAADgAAAAAAAAABACAAAAAlAQAAZHJzL2Uyb0RvYy54bWxQSwUGAAAAAAYABgBZAQAA&#10;8AU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2.4</w:t>
                      </w:r>
                    </w:p>
                  </w:txbxContent>
                </v:textbox>
              </v:rect>
            </w:pict>
          </mc:Fallback>
        </mc:AlternateContent>
      </w:r>
      <w:r>
        <w:rPr>
          <w:color w:val="FF0000"/>
          <w:spacing w:val="-1"/>
          <w:szCs w:val="20"/>
        </w:rPr>
        <mc:AlternateContent>
          <mc:Choice Requires="wps">
            <w:drawing>
              <wp:anchor distT="0" distB="0" distL="114300" distR="114300" simplePos="0" relativeHeight="251623424" behindDoc="0" locked="0" layoutInCell="1" allowOverlap="1">
                <wp:simplePos x="0" y="0"/>
                <wp:positionH relativeFrom="column">
                  <wp:posOffset>1424940</wp:posOffset>
                </wp:positionH>
                <wp:positionV relativeFrom="paragraph">
                  <wp:posOffset>218440</wp:posOffset>
                </wp:positionV>
                <wp:extent cx="815340" cy="297180"/>
                <wp:effectExtent l="0" t="0" r="22860" b="26670"/>
                <wp:wrapNone/>
                <wp:docPr id="21" name="矩形 21"/>
                <wp:cNvGraphicFramePr/>
                <a:graphic xmlns:a="http://schemas.openxmlformats.org/drawingml/2006/main">
                  <a:graphicData uri="http://schemas.microsoft.com/office/word/2010/wordprocessingShape">
                    <wps:wsp>
                      <wps:cNvSpPr/>
                      <wps:spPr>
                        <a:xfrm>
                          <a:off x="0" y="0"/>
                          <a:ext cx="81534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2.2pt;margin-top:17.2pt;height:23.4pt;width:64.2pt;z-index:251623424;v-text-anchor:middle;mso-width-relative:page;mso-height-relative:page;" filled="f" stroked="t" coordsize="21600,21600" o:gfxdata="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I8sd/2AAAAAkBAAAPAAAAAAAAAAEAIAAAACIAAABkcnMv&#10;ZG93bnJldi54bWxQSwECFAAUAAAACACHTuJAnCp6KXUCAADiBAAADgAAAAAAAAABACAAAAAnAQAA&#10;ZHJzL2Uyb0RvYy54bWxQSwUGAAAAAAYABgBZAQAADgY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生活用水</w:t>
                      </w:r>
                    </w:p>
                  </w:txbxContent>
                </v:textbox>
              </v:rect>
            </w:pict>
          </mc:Fallback>
        </mc:AlternateContent>
      </w:r>
    </w:p>
    <w:p>
      <w:pPr>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729920" behindDoc="0" locked="0" layoutInCell="1" allowOverlap="1">
                <wp:simplePos x="0" y="0"/>
                <wp:positionH relativeFrom="column">
                  <wp:posOffset>2252980</wp:posOffset>
                </wp:positionH>
                <wp:positionV relativeFrom="paragraph">
                  <wp:posOffset>95250</wp:posOffset>
                </wp:positionV>
                <wp:extent cx="1851660" cy="0"/>
                <wp:effectExtent l="0" t="76200" r="15240" b="95250"/>
                <wp:wrapNone/>
                <wp:docPr id="261" name="直接箭头连接符 261"/>
                <wp:cNvGraphicFramePr/>
                <a:graphic xmlns:a="http://schemas.openxmlformats.org/drawingml/2006/main">
                  <a:graphicData uri="http://schemas.microsoft.com/office/word/2010/wordprocessingShape">
                    <wps:wsp>
                      <wps:cNvCnPr/>
                      <wps:spPr>
                        <a:xfrm>
                          <a:off x="0" y="0"/>
                          <a:ext cx="185166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7.4pt;margin-top:7.5pt;height:0pt;width:145.8pt;z-index:251729920;mso-width-relative:page;mso-height-relative:page;" filled="f" stroked="t" coordsize="21600,21600" o:gfxdata="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GDf/1QAAAAkBAAAPAAAAAAAAAAEAIAAAACIAAABkcnMv&#10;ZG93bnJldi54bWxQSwECFAAUAAAACACHTuJARQ8s3gYCAADlAwAADgAAAAAAAAABACAAAAAkAQAA&#10;ZHJzL2Uyb0RvYy54bWxQSwUGAAAAAAYABgBZAQAAnAU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707392" behindDoc="0" locked="0" layoutInCell="1" allowOverlap="1">
                <wp:simplePos x="0" y="0"/>
                <wp:positionH relativeFrom="column">
                  <wp:posOffset>5928360</wp:posOffset>
                </wp:positionH>
                <wp:positionV relativeFrom="paragraph">
                  <wp:posOffset>250190</wp:posOffset>
                </wp:positionV>
                <wp:extent cx="0" cy="259080"/>
                <wp:effectExtent l="76200" t="0" r="57150" b="64770"/>
                <wp:wrapNone/>
                <wp:docPr id="49" name="直接箭头连接符 49"/>
                <wp:cNvGraphicFramePr/>
                <a:graphic xmlns:a="http://schemas.openxmlformats.org/drawingml/2006/main">
                  <a:graphicData uri="http://schemas.microsoft.com/office/word/2010/wordprocessingShape">
                    <wps:wsp>
                      <wps:cNvCnPr/>
                      <wps:spPr>
                        <a:xfrm>
                          <a:off x="0" y="0"/>
                          <a:ext cx="0" cy="2590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id="_x0000_s1026" o:spid="_x0000_s1026" o:spt="32" type="#_x0000_t32" style="position:absolute;left:0pt;margin-left:466.8pt;margin-top:19.7pt;height:20.4pt;width:0pt;z-index:251707392;mso-width-relative:page;mso-height-relative:page;" filled="f" stroked="t" coordsize="21600,21600" o:gfxdata="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oEcKvVAAAACQEAAA8AAAAA&#10;AAAAAQAgAAAAIgAAAGRycy9kb3ducmV2LnhtbFBLAQIUABQAAAAIAIdO4kDlkFCbFwIAAAQEAAAO&#10;AAAAAAAAAAEAIAAAACQBAABkcnMvZTJvRG9jLnhtbFBLBQYAAAAABgAGAFkBAACtBQAAAAA=&#10;">
                <v:fill on="f" focussize="0,0"/>
                <v:stroke weight="0.5pt" color="#0000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86912" behindDoc="0" locked="0" layoutInCell="1" allowOverlap="1">
                <wp:simplePos x="0" y="0"/>
                <wp:positionH relativeFrom="column">
                  <wp:posOffset>5433060</wp:posOffset>
                </wp:positionH>
                <wp:positionV relativeFrom="paragraph">
                  <wp:posOffset>243205</wp:posOffset>
                </wp:positionV>
                <wp:extent cx="0" cy="182880"/>
                <wp:effectExtent l="76200" t="0" r="57150" b="64770"/>
                <wp:wrapNone/>
                <wp:docPr id="278" name="直接箭头连接符 278"/>
                <wp:cNvGraphicFramePr/>
                <a:graphic xmlns:a="http://schemas.openxmlformats.org/drawingml/2006/main">
                  <a:graphicData uri="http://schemas.microsoft.com/office/word/2010/wordprocessingShape">
                    <wps:wsp>
                      <wps:cNvCnPr/>
                      <wps:spPr>
                        <a:xfrm>
                          <a:off x="0" y="0"/>
                          <a:ext cx="0" cy="1828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27.8pt;margin-top:19.15pt;height:14.4pt;width:0pt;z-index:251686912;mso-width-relative:page;mso-height-relative:page;" filled="f" stroked="t" coordsize="21600,21600" o:gfxdata="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2Ie4PVAAAACQEAAA8AAAAAAAAAAQAgAAAAIgAAAGRycy9k&#10;b3ducmV2LnhtbFBLAQIUABQAAAAIAIdO4kAY9UgkBQIAAOQDAAAOAAAAAAAAAAEAIAAAACQBAABk&#10;cnMvZTJvRG9jLnhtbFBLBQYAAAAABgAGAFkBAACbBQAAAAA=&#10;">
                <v:fill on="f" focussize="0,0"/>
                <v:stroke weight="0.5pt" color="#000000 [3200]" miterlimit="8" joinstyle="miter"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15232" behindDoc="0" locked="0" layoutInCell="1" allowOverlap="1">
                <wp:simplePos x="0" y="0"/>
                <wp:positionH relativeFrom="column">
                  <wp:posOffset>740410</wp:posOffset>
                </wp:positionH>
                <wp:positionV relativeFrom="paragraph">
                  <wp:posOffset>96520</wp:posOffset>
                </wp:positionV>
                <wp:extent cx="693420" cy="7620"/>
                <wp:effectExtent l="0" t="76200" r="30480" b="87630"/>
                <wp:wrapNone/>
                <wp:docPr id="23" name="直接箭头连接符 23"/>
                <wp:cNvGraphicFramePr/>
                <a:graphic xmlns:a="http://schemas.openxmlformats.org/drawingml/2006/main">
                  <a:graphicData uri="http://schemas.microsoft.com/office/word/2010/wordprocessingShape">
                    <wps:wsp>
                      <wps:cNvCnPr/>
                      <wps:spPr>
                        <a:xfrm flipV="1">
                          <a:off x="0" y="0"/>
                          <a:ext cx="693420" cy="762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_x0000_s1026" o:spid="_x0000_s1026" o:spt="32" type="#_x0000_t32" style="position:absolute;left:0pt;flip:y;margin-left:58.3pt;margin-top:7.6pt;height:0.6pt;width:54.6pt;z-index:251615232;mso-width-relative:page;mso-height-relative:page;" filled="f" stroked="t" coordsize="21600,21600" o:gfxdata="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UXtee1wAAAAkBAAAPAAAAAAAAAAEAIAAAACIAAABkcnMvZG93bnJldi54bWxQSwEC&#10;FAAUAAAACACHTuJAXNCEZS4CAAAyBAAADgAAAAAAAAABACAAAAAmAQAAZHJzL2Uyb0RvYy54bWxQ&#10;SwUGAAAAAAYABgBZAQAAxgUAAAAA&#10;">
                <v:fill on="f" focussize="0,0"/>
                <v:stroke color="#000000" joinstyle="round" endarrow="block"/>
                <v:imagedata o:title=""/>
                <o:lock v:ext="edit" aspectratio="f"/>
              </v:shape>
            </w:pict>
          </mc:Fallback>
        </mc:AlternateContent>
      </w:r>
    </w:p>
    <w:p>
      <w:pPr>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709440" behindDoc="0" locked="0" layoutInCell="1" allowOverlap="1">
                <wp:simplePos x="0" y="0"/>
                <wp:positionH relativeFrom="column">
                  <wp:posOffset>5666740</wp:posOffset>
                </wp:positionH>
                <wp:positionV relativeFrom="paragraph">
                  <wp:posOffset>106680</wp:posOffset>
                </wp:positionV>
                <wp:extent cx="548640" cy="807720"/>
                <wp:effectExtent l="0" t="0" r="0" b="0"/>
                <wp:wrapNone/>
                <wp:docPr id="50" name="矩形 50"/>
                <wp:cNvGraphicFramePr/>
                <a:graphic xmlns:a="http://schemas.openxmlformats.org/drawingml/2006/main">
                  <a:graphicData uri="http://schemas.microsoft.com/office/word/2010/wordprocessingShape">
                    <wps:wsp>
                      <wps:cNvSpPr/>
                      <wps:spPr>
                        <a:xfrm>
                          <a:off x="0" y="0"/>
                          <a:ext cx="548640" cy="807720"/>
                        </a:xfrm>
                        <a:prstGeom prst="rect">
                          <a:avLst/>
                        </a:prstGeom>
                        <a:noFill/>
                        <a:ln w="12700" cap="flat" cmpd="sng" algn="ctr">
                          <a:noFill/>
                          <a:prstDash val="solid"/>
                        </a:ln>
                        <a:effectLst/>
                      </wps:spPr>
                      <wps:txbx>
                        <w:txbxContent>
                          <w:p>
                            <w:pPr>
                              <w:spacing w:line="240" w:lineRule="auto"/>
                              <w:jc w:val="center"/>
                              <w:rPr>
                                <w:color w:val="000000"/>
                                <w:sz w:val="21"/>
                                <w:szCs w:val="21"/>
                              </w:rPr>
                            </w:pPr>
                            <w:r>
                              <w:rPr>
                                <w:rFonts w:hint="eastAsia"/>
                                <w:color w:val="000000"/>
                                <w:sz w:val="21"/>
                                <w:szCs w:val="21"/>
                              </w:rPr>
                              <w:t>液态有机肥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6.2pt;margin-top:8.4pt;height:63.6pt;width:43.2pt;z-index:251709440;v-text-anchor:middle;mso-width-relative:page;mso-height-relative:page;" filled="f" stroked="f" coordsize="21600,21600" o:gfxdata="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0gXrbXAAAA&#10;CgEAAA8AAAAAAAAAAQAgAAAAIgAAAGRycy9kb3ducmV2LnhtbFBLAQIUABQAAAAIAIdO4kCHjsaF&#10;VwIAAKUEAAAOAAAAAAAAAAEAIAAAACYBAABkcnMvZTJvRG9jLnhtbFBLBQYAAAAABgAGAFkBAADv&#10;BQAAAAA=&#10;">
                <v:fill on="f" focussize="0,0"/>
                <v:stroke on="f" weight="1pt"/>
                <v:imagedata o:title=""/>
                <o:lock v:ext="edit" aspectratio="f"/>
                <v:textbox>
                  <w:txbxContent>
                    <w:p>
                      <w:pPr>
                        <w:spacing w:line="240" w:lineRule="auto"/>
                        <w:jc w:val="center"/>
                        <w:rPr>
                          <w:color w:val="000000"/>
                          <w:sz w:val="21"/>
                          <w:szCs w:val="21"/>
                        </w:rPr>
                      </w:pPr>
                      <w:r>
                        <w:rPr>
                          <w:rFonts w:hint="eastAsia"/>
                          <w:color w:val="000000"/>
                          <w:sz w:val="21"/>
                          <w:szCs w:val="21"/>
                        </w:rPr>
                        <w:t>液态有机肥</w:t>
                      </w:r>
                    </w:p>
                  </w:txbxContent>
                </v:textbox>
              </v:rect>
            </w:pict>
          </mc:Fallback>
        </mc:AlternateContent>
      </w:r>
      <w:r>
        <w:rPr>
          <w:color w:val="FF0000"/>
          <w:spacing w:val="-1"/>
          <w:szCs w:val="20"/>
        </w:rPr>
        <mc:AlternateContent>
          <mc:Choice Requires="wps">
            <w:drawing>
              <wp:anchor distT="0" distB="0" distL="114300" distR="114300" simplePos="0" relativeHeight="251705344" behindDoc="0" locked="0" layoutInCell="1" allowOverlap="1">
                <wp:simplePos x="0" y="0"/>
                <wp:positionH relativeFrom="column">
                  <wp:posOffset>5156200</wp:posOffset>
                </wp:positionH>
                <wp:positionV relativeFrom="paragraph">
                  <wp:posOffset>106680</wp:posOffset>
                </wp:positionV>
                <wp:extent cx="548640" cy="800100"/>
                <wp:effectExtent l="0" t="0" r="0" b="0"/>
                <wp:wrapNone/>
                <wp:docPr id="48" name="矩形 48"/>
                <wp:cNvGraphicFramePr/>
                <a:graphic xmlns:a="http://schemas.openxmlformats.org/drawingml/2006/main">
                  <a:graphicData uri="http://schemas.microsoft.com/office/word/2010/wordprocessingShape">
                    <wps:wsp>
                      <wps:cNvSpPr/>
                      <wps:spPr>
                        <a:xfrm>
                          <a:off x="0" y="0"/>
                          <a:ext cx="548640" cy="800100"/>
                        </a:xfrm>
                        <a:prstGeom prst="rect">
                          <a:avLst/>
                        </a:prstGeom>
                        <a:noFill/>
                        <a:ln w="12700" cap="flat" cmpd="sng" algn="ctr">
                          <a:noFill/>
                          <a:prstDash val="solid"/>
                        </a:ln>
                        <a:effectLst/>
                      </wps:spPr>
                      <wps:txbx>
                        <w:txbxContent>
                          <w:p>
                            <w:pPr>
                              <w:spacing w:line="240" w:lineRule="auto"/>
                              <w:jc w:val="center"/>
                              <w:rPr>
                                <w:color w:val="000000"/>
                                <w:sz w:val="21"/>
                                <w:szCs w:val="21"/>
                              </w:rPr>
                            </w:pPr>
                            <w:r>
                              <w:rPr>
                                <w:rFonts w:hint="eastAsia"/>
                                <w:color w:val="000000"/>
                                <w:sz w:val="21"/>
                                <w:szCs w:val="21"/>
                              </w:rPr>
                              <w:t>生产固态有机肥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6pt;margin-top:8.4pt;height:63pt;width:43.2pt;z-index:251705344;v-text-anchor:middle;mso-width-relative:page;mso-height-relative:page;" filled="f" stroked="f" coordsize="21600,21600" o:gfxdata="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KPyWkdYAAAAK&#10;AQAADwAAAAAAAAABACAAAAAiAAAAZHJzL2Rvd25yZXYueG1sUEsBAhQAFAAAAAgAh07iQBvu6rJX&#10;AgAApQQAAA4AAAAAAAAAAQAgAAAAJQEAAGRycy9lMm9Eb2MueG1sUEsFBgAAAAAGAAYAWQEAAO4F&#10;AAAAAA==&#10;">
                <v:fill on="f" focussize="0,0"/>
                <v:stroke on="f" weight="1pt"/>
                <v:imagedata o:title=""/>
                <o:lock v:ext="edit" aspectratio="f"/>
                <v:textbox>
                  <w:txbxContent>
                    <w:p>
                      <w:pPr>
                        <w:spacing w:line="240" w:lineRule="auto"/>
                        <w:jc w:val="center"/>
                        <w:rPr>
                          <w:color w:val="000000"/>
                          <w:sz w:val="21"/>
                          <w:szCs w:val="21"/>
                        </w:rPr>
                      </w:pPr>
                      <w:r>
                        <w:rPr>
                          <w:rFonts w:hint="eastAsia"/>
                          <w:color w:val="000000"/>
                          <w:sz w:val="21"/>
                          <w:szCs w:val="21"/>
                        </w:rPr>
                        <w:t>生产固态有机肥</w:t>
                      </w:r>
                    </w:p>
                  </w:txbxContent>
                </v:textbox>
              </v:rect>
            </w:pict>
          </mc:Fallback>
        </mc:AlternateContent>
      </w:r>
      <w:r>
        <w:rPr>
          <w:color w:val="FF0000"/>
          <w:spacing w:val="-1"/>
          <w:szCs w:val="20"/>
        </w:rPr>
        <mc:AlternateContent>
          <mc:Choice Requires="wps">
            <w:drawing>
              <wp:anchor distT="0" distB="0" distL="114300" distR="114300" simplePos="0" relativeHeight="251697152" behindDoc="0" locked="0" layoutInCell="1" allowOverlap="1">
                <wp:simplePos x="0" y="0"/>
                <wp:positionH relativeFrom="column">
                  <wp:posOffset>2948940</wp:posOffset>
                </wp:positionH>
                <wp:positionV relativeFrom="paragraph">
                  <wp:posOffset>109855</wp:posOffset>
                </wp:positionV>
                <wp:extent cx="502920" cy="297180"/>
                <wp:effectExtent l="0" t="0" r="0" b="0"/>
                <wp:wrapNone/>
                <wp:docPr id="43" name="矩形 43"/>
                <wp:cNvGraphicFramePr/>
                <a:graphic xmlns:a="http://schemas.openxmlformats.org/drawingml/2006/main">
                  <a:graphicData uri="http://schemas.microsoft.com/office/word/2010/wordprocessingShape">
                    <wps:wsp>
                      <wps:cNvSpPr/>
                      <wps:spPr>
                        <a:xfrm>
                          <a:off x="0" y="0"/>
                          <a:ext cx="502920" cy="2971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2.2pt;margin-top:8.65pt;height:23.4pt;width:39.6pt;z-index:251697152;v-text-anchor:middle;mso-width-relative:page;mso-height-relative:page;" filled="f" stroked="f" coordsize="21600,21600" o:gfxdata="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Uu4HtcA&#10;AAAJAQAADwAAAAAAAAABACAAAAAiAAAAZHJzL2Rvd25yZXYueG1sUEsBAhQAFAAAAAgAh07iQDRm&#10;h7VZAgAApQQAAA4AAAAAAAAAAQAgAAAAJgEAAGRycy9lMm9Eb2MueG1sUEsFBgAAAAAGAAYAWQEA&#10;APEFA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2.0</w:t>
                      </w:r>
                    </w:p>
                  </w:txbxContent>
                </v:textbox>
              </v:rect>
            </w:pict>
          </mc:Fallback>
        </mc:AlternateContent>
      </w:r>
      <w:r>
        <w:rPr>
          <w:color w:val="FF0000"/>
          <w:spacing w:val="-1"/>
          <w:szCs w:val="20"/>
        </w:rPr>
        <mc:AlternateContent>
          <mc:Choice Requires="wps">
            <w:drawing>
              <wp:anchor distT="0" distB="0" distL="114300" distR="114300" simplePos="0" relativeHeight="251649024" behindDoc="0" locked="0" layoutInCell="1" allowOverlap="1">
                <wp:simplePos x="0" y="0"/>
                <wp:positionH relativeFrom="column">
                  <wp:posOffset>614680</wp:posOffset>
                </wp:positionH>
                <wp:positionV relativeFrom="paragraph">
                  <wp:posOffset>7620</wp:posOffset>
                </wp:positionV>
                <wp:extent cx="662940" cy="373380"/>
                <wp:effectExtent l="0" t="0" r="0" b="0"/>
                <wp:wrapNone/>
                <wp:docPr id="97" name="矩形 97"/>
                <wp:cNvGraphicFramePr/>
                <a:graphic xmlns:a="http://schemas.openxmlformats.org/drawingml/2006/main">
                  <a:graphicData uri="http://schemas.microsoft.com/office/word/2010/wordprocessingShape">
                    <wps:wsp>
                      <wps:cNvSpPr/>
                      <wps:spPr>
                        <a:xfrm>
                          <a:off x="0" y="0"/>
                          <a:ext cx="662940" cy="3733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2.22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8.4pt;margin-top:0.6pt;height:29.4pt;width:52.2pt;z-index:251649024;v-text-anchor:middle;mso-width-relative:page;mso-height-relative:page;" filled="f" stroked="f" coordsize="21600,21600" o:gfxdata="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MtYvB0wAAAAcB&#10;AAAPAAAAAAAAAAEAIAAAACIAAABkcnMvZG93bnJldi54bWxQSwECFAAUAAAACACHTuJAI0fYzlkC&#10;AAClBAAADgAAAAAAAAABACAAAAAiAQAAZHJzL2Uyb0RvYy54bWxQSwUGAAAAAAYABgBZAQAA7QUA&#10;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2.22</w:t>
                      </w:r>
                    </w:p>
                  </w:txbxContent>
                </v:textbox>
              </v:rect>
            </w:pict>
          </mc:Fallback>
        </mc:AlternateContent>
      </w:r>
      <w:r>
        <w:rPr>
          <w:color w:val="FF0000"/>
          <w:spacing w:val="-1"/>
          <w:szCs w:val="20"/>
        </w:rPr>
        <mc:AlternateContent>
          <mc:Choice Requires="wps">
            <w:drawing>
              <wp:anchor distT="0" distB="0" distL="114300" distR="114300" simplePos="0" relativeHeight="251617280" behindDoc="0" locked="0" layoutInCell="1" allowOverlap="1">
                <wp:simplePos x="0" y="0"/>
                <wp:positionH relativeFrom="column">
                  <wp:posOffset>717550</wp:posOffset>
                </wp:positionH>
                <wp:positionV relativeFrom="paragraph">
                  <wp:posOffset>252730</wp:posOffset>
                </wp:positionV>
                <wp:extent cx="693420" cy="7620"/>
                <wp:effectExtent l="0" t="76200" r="30480" b="87630"/>
                <wp:wrapNone/>
                <wp:docPr id="26" name="直接箭头连接符 26"/>
                <wp:cNvGraphicFramePr/>
                <a:graphic xmlns:a="http://schemas.openxmlformats.org/drawingml/2006/main">
                  <a:graphicData uri="http://schemas.microsoft.com/office/word/2010/wordprocessingShape">
                    <wps:wsp>
                      <wps:cNvCnPr/>
                      <wps:spPr>
                        <a:xfrm flipV="1">
                          <a:off x="0" y="0"/>
                          <a:ext cx="693420" cy="762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_x0000_s1026" o:spid="_x0000_s1026" o:spt="32" type="#_x0000_t32" style="position:absolute;left:0pt;flip:y;margin-left:56.5pt;margin-top:19.9pt;height:0.6pt;width:54.6pt;z-index:251617280;mso-width-relative:page;mso-height-relative:page;" filled="f" stroked="t" coordsize="21600,21600" o:gfxdata="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pa0NP1wAAAAkBAAAPAAAAAAAAAAEAIAAAACIAAABkcnMvZG93bnJldi54bWxQSwEC&#10;FAAUAAAACACHTuJA9R9IWC4CAAAyBAAADgAAAAAAAAABACAAAAAmAQAAZHJzL2Uyb0RvYy54bWxQ&#10;SwUGAAAAAAYABgBZAQAAxgUAAAAA&#10;">
                <v:fill on="f" focussize="0,0"/>
                <v:stroke color="#000000" joinstyle="round" endarrow="block"/>
                <v:imagedata o:title=""/>
                <o:lock v:ext="edit" aspectratio="f"/>
              </v:shape>
            </w:pict>
          </mc:Fallback>
        </mc:AlternateContent>
      </w:r>
      <w:r>
        <w:rPr>
          <w:color w:val="FF0000"/>
          <w:spacing w:val="-1"/>
          <w:szCs w:val="20"/>
        </w:rPr>
        <mc:AlternateContent>
          <mc:Choice Requires="wps">
            <w:drawing>
              <wp:anchor distT="0" distB="0" distL="114300" distR="114300" simplePos="0" relativeHeight="251625472" behindDoc="0" locked="0" layoutInCell="1" allowOverlap="1">
                <wp:simplePos x="0" y="0"/>
                <wp:positionH relativeFrom="column">
                  <wp:posOffset>1424940</wp:posOffset>
                </wp:positionH>
                <wp:positionV relativeFrom="paragraph">
                  <wp:posOffset>172720</wp:posOffset>
                </wp:positionV>
                <wp:extent cx="914400" cy="297180"/>
                <wp:effectExtent l="0" t="0" r="19050" b="26670"/>
                <wp:wrapNone/>
                <wp:docPr id="37" name="矩形 37"/>
                <wp:cNvGraphicFramePr/>
                <a:graphic xmlns:a="http://schemas.openxmlformats.org/drawingml/2006/main">
                  <a:graphicData uri="http://schemas.microsoft.com/office/word/2010/wordprocessingShape">
                    <wps:wsp>
                      <wps:cNvSpPr/>
                      <wps:spPr>
                        <a:xfrm>
                          <a:off x="0" y="0"/>
                          <a:ext cx="91440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分娩室冲洗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2.2pt;margin-top:13.6pt;height:23.4pt;width:72pt;z-index:251625472;v-text-anchor:middle;mso-width-relative:page;mso-height-relative:page;" filled="f" stroked="t" coordsize="21600,21600" o:gfxdata="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daynrYAAAACQEAAA8AAAAAAAAAAQAgAAAAIgAAAGRycy9k&#10;b3ducmV2LnhtbFBLAQIUABQAAAAIAIdO4kAvDWd6dAIAAOIEAAAOAAAAAAAAAAEAIAAAACcBAABk&#10;cnMvZTJvRG9jLnhtbFBLBQYAAAAABgAGAFkBAAANBg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分娩室冲洗</w:t>
                      </w:r>
                    </w:p>
                  </w:txbxContent>
                </v:textbox>
              </v:rect>
            </w:pict>
          </mc:Fallback>
        </mc:AlternateContent>
      </w:r>
    </w:p>
    <w:p>
      <w:pPr>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701248" behindDoc="0" locked="0" layoutInCell="1" allowOverlap="1">
                <wp:simplePos x="0" y="0"/>
                <wp:positionH relativeFrom="column">
                  <wp:posOffset>2352040</wp:posOffset>
                </wp:positionH>
                <wp:positionV relativeFrom="paragraph">
                  <wp:posOffset>49530</wp:posOffset>
                </wp:positionV>
                <wp:extent cx="1722120" cy="0"/>
                <wp:effectExtent l="0" t="76200" r="11430" b="95250"/>
                <wp:wrapNone/>
                <wp:docPr id="45" name="直接箭头连接符 45"/>
                <wp:cNvGraphicFramePr/>
                <a:graphic xmlns:a="http://schemas.openxmlformats.org/drawingml/2006/main">
                  <a:graphicData uri="http://schemas.microsoft.com/office/word/2010/wordprocessingShape">
                    <wps:wsp>
                      <wps:cNvCnPr/>
                      <wps:spPr>
                        <a:xfrm>
                          <a:off x="0" y="0"/>
                          <a:ext cx="172212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85.2pt;margin-top:3.9pt;height:0pt;width:135.6pt;z-index:251701248;mso-width-relative:page;mso-height-relative:page;" filled="f" stroked="t" coordsize="21600,21600" o:gfxdata="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ANEtQAAAAHAQAADwAAAAAAAAABACAAAAAiAAAAZHJzL2Rv&#10;d25yZXYueG1sUEsBAhQAFAAAAAgAh07iQIFa5ngFAgAA4wMAAA4AAAAAAAAAAQAgAAAAIwEAAGRy&#10;cy9lMm9Eb2MueG1sUEsFBgAAAAAGAAYAWQEAAJoFAAAAAA==&#10;">
                <v:fill on="f" focussize="0,0"/>
                <v:stroke weight="0.5pt" color="#000000 [3200]" miterlimit="8" joinstyle="miter" endarrow="block"/>
                <v:imagedata o:title=""/>
                <o:lock v:ext="edit" aspectratio="f"/>
              </v:shape>
            </w:pict>
          </mc:Fallback>
        </mc:AlternateContent>
      </w:r>
    </w:p>
    <w:p>
      <w:pPr>
        <w:tabs>
          <w:tab w:val="left" w:pos="5568"/>
        </w:tabs>
        <w:adjustRightInd w:val="0"/>
        <w:snapToGrid w:val="0"/>
        <w:ind w:firstLine="476" w:firstLineChars="200"/>
        <w:jc w:val="left"/>
        <w:rPr>
          <w:color w:val="FF0000"/>
          <w:spacing w:val="-1"/>
          <w:szCs w:val="20"/>
        </w:rPr>
      </w:pPr>
      <w:r>
        <w:rPr>
          <w:color w:val="FF0000"/>
          <w:spacing w:val="-1"/>
          <w:szCs w:val="20"/>
        </w:rPr>
        <mc:AlternateContent>
          <mc:Choice Requires="wps">
            <w:drawing>
              <wp:anchor distT="0" distB="0" distL="114300" distR="114300" simplePos="0" relativeHeight="251722752" behindDoc="0" locked="0" layoutInCell="1" allowOverlap="1">
                <wp:simplePos x="0" y="0"/>
                <wp:positionH relativeFrom="column">
                  <wp:posOffset>3098800</wp:posOffset>
                </wp:positionH>
                <wp:positionV relativeFrom="paragraph">
                  <wp:posOffset>213360</wp:posOffset>
                </wp:positionV>
                <wp:extent cx="1059180" cy="297180"/>
                <wp:effectExtent l="0" t="0" r="26670" b="26670"/>
                <wp:wrapNone/>
                <wp:docPr id="20" name="矩形 20"/>
                <wp:cNvGraphicFramePr/>
                <a:graphic xmlns:a="http://schemas.openxmlformats.org/drawingml/2006/main">
                  <a:graphicData uri="http://schemas.microsoft.com/office/word/2010/wordprocessingShape">
                    <wps:wsp>
                      <wps:cNvSpPr/>
                      <wps:spPr>
                        <a:xfrm>
                          <a:off x="0" y="0"/>
                          <a:ext cx="1059180" cy="297180"/>
                        </a:xfrm>
                        <a:prstGeom prst="rect">
                          <a:avLst/>
                        </a:prstGeom>
                        <a:noFill/>
                        <a:ln w="12700" cap="flat" cmpd="sng" algn="ctr">
                          <a:solidFill>
                            <a:sysClr val="windowText" lastClr="000000"/>
                          </a:solidFill>
                          <a:prstDash val="dash"/>
                        </a:ln>
                        <a:effectLst/>
                      </wps:spPr>
                      <wps:txbx>
                        <w:txbxContent>
                          <w:p>
                            <w:pPr>
                              <w:spacing w:line="240" w:lineRule="auto"/>
                              <w:rPr>
                                <w:color w:val="000000"/>
                                <w:sz w:val="21"/>
                                <w:szCs w:val="21"/>
                              </w:rPr>
                            </w:pPr>
                            <w:r>
                              <w:rPr>
                                <w:rFonts w:hint="eastAsia"/>
                                <w:color w:val="000000"/>
                                <w:sz w:val="21"/>
                                <w:szCs w:val="21"/>
                              </w:rPr>
                              <w:t>蒸发损失2</w:t>
                            </w:r>
                            <w:r>
                              <w:rPr>
                                <w:color w:val="000000"/>
                                <w:sz w:val="21"/>
                                <w:szCs w:val="21"/>
                              </w:rPr>
                              <w:t>.25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4pt;margin-top:16.8pt;height:23.4pt;width:83.4pt;z-index:251722752;v-text-anchor:middle;mso-width-relative:page;mso-height-relative:page;" filled="f" stroked="t" coordsize="21600,21600" o:gfxdata="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ZhtIq1wAAAAkBAAAPAAAAAAAAAAEAIAAAACIAAABkcnMvZG93&#10;bnJldi54bWxQSwECFAAUAAAACACHTuJAdlKw+nMCAADiBAAADgAAAAAAAAABACAAAAAmAQAAZHJz&#10;L2Uyb0RvYy54bWxQSwUGAAAAAAYABgBZAQAACwYAAAAA&#10;">
                <v:fill on="f" focussize="0,0"/>
                <v:stroke weight="1pt" color="#000000" joinstyle="round" dashstyle="dash"/>
                <v:imagedata o:title=""/>
                <o:lock v:ext="edit" aspectratio="f"/>
                <v:textbox>
                  <w:txbxContent>
                    <w:p>
                      <w:pPr>
                        <w:spacing w:line="240" w:lineRule="auto"/>
                        <w:rPr>
                          <w:color w:val="000000"/>
                          <w:sz w:val="21"/>
                          <w:szCs w:val="21"/>
                        </w:rPr>
                      </w:pPr>
                      <w:r>
                        <w:rPr>
                          <w:rFonts w:hint="eastAsia"/>
                          <w:color w:val="000000"/>
                          <w:sz w:val="21"/>
                          <w:szCs w:val="21"/>
                        </w:rPr>
                        <w:t>蒸发损失2</w:t>
                      </w:r>
                      <w:r>
                        <w:rPr>
                          <w:color w:val="000000"/>
                          <w:sz w:val="21"/>
                          <w:szCs w:val="21"/>
                        </w:rPr>
                        <w:t>.25</w:t>
                      </w:r>
                    </w:p>
                  </w:txbxContent>
                </v:textbox>
              </v:rect>
            </w:pict>
          </mc:Fallback>
        </mc:AlternateContent>
      </w:r>
      <w:r>
        <w:rPr>
          <w:color w:val="FF0000"/>
          <w:spacing w:val="-1"/>
          <w:szCs w:val="20"/>
        </w:rPr>
        <mc:AlternateContent>
          <mc:Choice Requires="wps">
            <w:drawing>
              <wp:anchor distT="0" distB="0" distL="114300" distR="114300" simplePos="0" relativeHeight="251716608" behindDoc="0" locked="0" layoutInCell="1" allowOverlap="1">
                <wp:simplePos x="0" y="0"/>
                <wp:positionH relativeFrom="column">
                  <wp:posOffset>655320</wp:posOffset>
                </wp:positionH>
                <wp:positionV relativeFrom="paragraph">
                  <wp:posOffset>79375</wp:posOffset>
                </wp:positionV>
                <wp:extent cx="662940" cy="373380"/>
                <wp:effectExtent l="0" t="0" r="0" b="0"/>
                <wp:wrapNone/>
                <wp:docPr id="11" name="矩形 11"/>
                <wp:cNvGraphicFramePr/>
                <a:graphic xmlns:a="http://schemas.openxmlformats.org/drawingml/2006/main">
                  <a:graphicData uri="http://schemas.microsoft.com/office/word/2010/wordprocessingShape">
                    <wps:wsp>
                      <wps:cNvSpPr/>
                      <wps:spPr>
                        <a:xfrm>
                          <a:off x="0" y="0"/>
                          <a:ext cx="662940" cy="3733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2.25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6pt;margin-top:6.25pt;height:29.4pt;width:52.2pt;z-index:251716608;v-text-anchor:middle;mso-width-relative:page;mso-height-relative:page;" filled="f" stroked="f" coordsize="21600,21600" o:gfxdata="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ax88dYAAAAJ&#10;AQAADwAAAAAAAAABACAAAAAiAAAAZHJzL2Rvd25yZXYueG1sUEsBAhQAFAAAAAgAh07iQOZZ8SNX&#10;AgAApQQAAA4AAAAAAAAAAQAgAAAAJQEAAGRycy9lMm9Eb2MueG1sUEsFBgAAAAAGAAYAWQEAAO4F&#10;A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2.25</w:t>
                      </w:r>
                    </w:p>
                  </w:txbxContent>
                </v:textbox>
              </v:rect>
            </w:pict>
          </mc:Fallback>
        </mc:AlternateContent>
      </w:r>
      <w:r>
        <w:rPr>
          <w:color w:val="FF0000"/>
          <w:spacing w:val="-1"/>
          <w:szCs w:val="20"/>
        </w:rPr>
        <mc:AlternateContent>
          <mc:Choice Requires="wps">
            <w:drawing>
              <wp:anchor distT="0" distB="0" distL="114300" distR="114300" simplePos="0" relativeHeight="251714560" behindDoc="0" locked="0" layoutInCell="1" allowOverlap="1">
                <wp:simplePos x="0" y="0"/>
                <wp:positionH relativeFrom="column">
                  <wp:posOffset>1391920</wp:posOffset>
                </wp:positionH>
                <wp:positionV relativeFrom="paragraph">
                  <wp:posOffset>198120</wp:posOffset>
                </wp:positionV>
                <wp:extent cx="1021080" cy="297180"/>
                <wp:effectExtent l="0" t="0" r="26670" b="26670"/>
                <wp:wrapNone/>
                <wp:docPr id="4" name="矩形 4"/>
                <wp:cNvGraphicFramePr/>
                <a:graphic xmlns:a="http://schemas.openxmlformats.org/drawingml/2006/main">
                  <a:graphicData uri="http://schemas.microsoft.com/office/word/2010/wordprocessingShape">
                    <wps:wsp>
                      <wps:cNvSpPr/>
                      <wps:spPr>
                        <a:xfrm>
                          <a:off x="0" y="0"/>
                          <a:ext cx="102108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猪舍消毒用水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9.6pt;margin-top:15.6pt;height:23.4pt;width:80.4pt;z-index:251714560;v-text-anchor:middle;mso-width-relative:page;mso-height-relative:page;" filled="f" stroked="t" coordsize="21600,21600" o:gfxdata="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eZ3049gAAAAJAQAADwAAAAAAAAABACAAAAAiAAAAZHJzL2Rv&#10;d25yZXYueG1sUEsBAhQAFAAAAAgAh07iQFL4GKJzAgAA4QQAAA4AAAAAAAAAAQAgAAAAJwEAAGRy&#10;cy9lMm9Eb2MueG1sUEsFBgAAAAAGAAYAWQEAAAwGA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猪舍消毒用水</w:t>
                      </w:r>
                    </w:p>
                  </w:txbxContent>
                </v:textbox>
              </v:rect>
            </w:pict>
          </mc:Fallback>
        </mc:AlternateContent>
      </w:r>
      <w:r>
        <w:rPr>
          <w:color w:val="FF0000"/>
          <w:spacing w:val="-1"/>
          <w:szCs w:val="20"/>
        </w:rPr>
        <w:tab/>
      </w:r>
    </w:p>
    <w:p>
      <w:pPr>
        <w:pStyle w:val="2"/>
        <w:ind w:firstLine="480"/>
        <w:rPr>
          <w:rFonts w:hint="default"/>
        </w:rPr>
      </w:pPr>
      <w:r>
        <w:rPr>
          <w:rFonts w:hint="default"/>
          <w:color w:val="auto"/>
        </w:rPr>
        <mc:AlternateContent>
          <mc:Choice Requires="wps">
            <w:drawing>
              <wp:anchor distT="0" distB="0" distL="114300" distR="114300" simplePos="0" relativeHeight="251717632" behindDoc="0" locked="0" layoutInCell="1" allowOverlap="1">
                <wp:simplePos x="0" y="0"/>
                <wp:positionH relativeFrom="column">
                  <wp:posOffset>2405380</wp:posOffset>
                </wp:positionH>
                <wp:positionV relativeFrom="paragraph">
                  <wp:posOffset>80010</wp:posOffset>
                </wp:positionV>
                <wp:extent cx="701040" cy="0"/>
                <wp:effectExtent l="0" t="76200" r="22860" b="95250"/>
                <wp:wrapNone/>
                <wp:docPr id="13" name="直接箭头连接符 13"/>
                <wp:cNvGraphicFramePr/>
                <a:graphic xmlns:a="http://schemas.openxmlformats.org/drawingml/2006/main">
                  <a:graphicData uri="http://schemas.microsoft.com/office/word/2010/wordprocessingShape">
                    <wps:wsp>
                      <wps:cNvCnPr/>
                      <wps:spPr>
                        <a:xfrm>
                          <a:off x="0" y="0"/>
                          <a:ext cx="701040" cy="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89.4pt;margin-top:6.3pt;height:0pt;width:55.2pt;z-index:251717632;mso-width-relative:page;mso-height-relative:page;" filled="f" stroked="t" coordsize="21600,21600" o:gfxdata="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6/PotYAAAAJAQAADwAAAAAAAAABACAAAAAiAAAAZHJzL2Rv&#10;d25yZXYueG1sUEsBAhQAFAAAAAgAh07iQOP2CIkDAgAA4QMAAA4AAAAAAAAAAQAgAAAAJQEAAGRy&#10;cy9lMm9Eb2MueG1sUEsFBgAAAAAGAAYAWQEAAJoFAAAAAA==&#10;">
                <v:fill on="f" focussize="0,0"/>
                <v:stroke weight="0.5pt" color="#000000 [3200]" miterlimit="8" joinstyle="miter" dashstyle="dash" endarrow="block"/>
                <v:imagedata o:title=""/>
                <o:lock v:ext="edit" aspectratio="f"/>
              </v:shape>
            </w:pict>
          </mc:Fallback>
        </mc:AlternateContent>
      </w:r>
      <w:r>
        <w:rPr>
          <w:rFonts w:hint="default"/>
          <w:color w:val="auto"/>
        </w:rPr>
        <mc:AlternateContent>
          <mc:Choice Requires="wps">
            <w:drawing>
              <wp:anchor distT="0" distB="0" distL="114300" distR="114300" simplePos="0" relativeHeight="251712512" behindDoc="0" locked="0" layoutInCell="1" allowOverlap="1">
                <wp:simplePos x="0" y="0"/>
                <wp:positionH relativeFrom="column">
                  <wp:posOffset>706120</wp:posOffset>
                </wp:positionH>
                <wp:positionV relativeFrom="paragraph">
                  <wp:posOffset>87630</wp:posOffset>
                </wp:positionV>
                <wp:extent cx="662940" cy="0"/>
                <wp:effectExtent l="0" t="76200" r="22860" b="95250"/>
                <wp:wrapNone/>
                <wp:docPr id="3" name="直接箭头连接符 3"/>
                <wp:cNvGraphicFramePr/>
                <a:graphic xmlns:a="http://schemas.openxmlformats.org/drawingml/2006/main">
                  <a:graphicData uri="http://schemas.microsoft.com/office/word/2010/wordprocessingShape">
                    <wps:wsp>
                      <wps:cNvCnPr/>
                      <wps:spPr>
                        <a:xfrm>
                          <a:off x="0" y="0"/>
                          <a:ext cx="66294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55.6pt;margin-top:6.9pt;height:0pt;width:52.2pt;z-index:251712512;mso-width-relative:page;mso-height-relative:page;" filled="f" stroked="t" coordsize="21600,21600" o:gfxdata="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xljxNQAAAAJAQAADwAAAAAAAAABACAAAAAiAAAAZHJzL2Rvd25y&#10;ZXYueG1sUEsBAhQAFAAAAAgAh07iQNybKOYCAgAA4AMAAA4AAAAAAAAAAQAgAAAAIwEAAGRycy9l&#10;Mm9Eb2MueG1sUEsFBgAAAAAGAAYAWQEAAJcFAAAAAA==&#10;">
                <v:fill on="f" focussize="0,0"/>
                <v:stroke weight="0.5pt" color="#000000 [3200]" miterlimit="8" joinstyle="miter" endarrow="block"/>
                <v:imagedata o:title=""/>
                <o:lock v:ext="edit" aspectratio="f"/>
              </v:shape>
            </w:pict>
          </mc:Fallback>
        </mc:AlternateContent>
      </w:r>
    </w:p>
    <w:p>
      <w:pPr>
        <w:pStyle w:val="2"/>
        <w:ind w:firstLine="480"/>
        <w:rPr>
          <w:rFonts w:hint="default"/>
        </w:rPr>
      </w:pPr>
      <w:r>
        <w:rPr>
          <w:color w:val="FF0000"/>
          <w:spacing w:val="-1"/>
        </w:rPr>
        <mc:AlternateContent>
          <mc:Choice Requires="wps">
            <w:drawing>
              <wp:anchor distT="0" distB="0" distL="114300" distR="114300" simplePos="0" relativeHeight="251728896" behindDoc="0" locked="0" layoutInCell="1" allowOverlap="1">
                <wp:simplePos x="0" y="0"/>
                <wp:positionH relativeFrom="column">
                  <wp:posOffset>670560</wp:posOffset>
                </wp:positionH>
                <wp:positionV relativeFrom="paragraph">
                  <wp:posOffset>6985</wp:posOffset>
                </wp:positionV>
                <wp:extent cx="662940" cy="373380"/>
                <wp:effectExtent l="0" t="0" r="0" b="0"/>
                <wp:wrapNone/>
                <wp:docPr id="256" name="矩形 256"/>
                <wp:cNvGraphicFramePr/>
                <a:graphic xmlns:a="http://schemas.openxmlformats.org/drawingml/2006/main">
                  <a:graphicData uri="http://schemas.microsoft.com/office/word/2010/wordprocessingShape">
                    <wps:wsp>
                      <wps:cNvSpPr/>
                      <wps:spPr>
                        <a:xfrm>
                          <a:off x="0" y="0"/>
                          <a:ext cx="662940" cy="373380"/>
                        </a:xfrm>
                        <a:prstGeom prst="rect">
                          <a:avLst/>
                        </a:prstGeom>
                        <a:noFill/>
                        <a:ln w="12700" cap="flat" cmpd="sng" algn="ctr">
                          <a:noFill/>
                          <a:prstDash val="solid"/>
                        </a:ln>
                        <a:effectLst/>
                      </wps:spPr>
                      <wps:txbx>
                        <w:txbxContent>
                          <w:p>
                            <w:pPr>
                              <w:spacing w:line="240" w:lineRule="auto"/>
                              <w:jc w:val="center"/>
                              <w:rPr>
                                <w:color w:val="000000"/>
                                <w:sz w:val="21"/>
                                <w:szCs w:val="21"/>
                              </w:rPr>
                            </w:pPr>
                            <w:r>
                              <w:rPr>
                                <w:color w:val="000000"/>
                                <w:sz w:val="21"/>
                                <w:szCs w:val="21"/>
                              </w:rPr>
                              <w:t>5.5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2.8pt;margin-top:0.55pt;height:29.4pt;width:52.2pt;z-index:251728896;v-text-anchor:middle;mso-width-relative:page;mso-height-relative:page;" filled="f" stroked="f" coordsize="21600,21600" o:gfxdata="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53+/X1QAA&#10;AAgBAAAPAAAAAAAAAAEAIAAAACIAAABkcnMvZG93bnJldi54bWxQSwECFAAUAAAACACHTuJAPpqt&#10;VFoCAACnBAAADgAAAAAAAAABACAAAAAkAQAAZHJzL2Uyb0RvYy54bWxQSwUGAAAAAAYABgBZAQAA&#10;8AUAAAAA&#10;">
                <v:fill on="f" focussize="0,0"/>
                <v:stroke on="f" weight="1pt"/>
                <v:imagedata o:title=""/>
                <o:lock v:ext="edit" aspectratio="f"/>
                <v:textbox>
                  <w:txbxContent>
                    <w:p>
                      <w:pPr>
                        <w:spacing w:line="240" w:lineRule="auto"/>
                        <w:jc w:val="center"/>
                        <w:rPr>
                          <w:color w:val="000000"/>
                          <w:sz w:val="21"/>
                          <w:szCs w:val="21"/>
                        </w:rPr>
                      </w:pPr>
                      <w:r>
                        <w:rPr>
                          <w:color w:val="000000"/>
                          <w:sz w:val="21"/>
                          <w:szCs w:val="21"/>
                        </w:rPr>
                        <w:t>5.5</w:t>
                      </w:r>
                    </w:p>
                  </w:txbxContent>
                </v:textbox>
              </v:rect>
            </w:pict>
          </mc:Fallback>
        </mc:AlternateContent>
      </w:r>
      <w:r>
        <w:rPr>
          <w:color w:val="FF0000"/>
          <w:spacing w:val="-1"/>
        </w:rPr>
        <mc:AlternateContent>
          <mc:Choice Requires="wps">
            <w:drawing>
              <wp:anchor distT="0" distB="0" distL="114300" distR="114300" simplePos="0" relativeHeight="251726848" behindDoc="0" locked="0" layoutInCell="1" allowOverlap="1">
                <wp:simplePos x="0" y="0"/>
                <wp:positionH relativeFrom="column">
                  <wp:posOffset>3159760</wp:posOffset>
                </wp:positionH>
                <wp:positionV relativeFrom="paragraph">
                  <wp:posOffset>121920</wp:posOffset>
                </wp:positionV>
                <wp:extent cx="960120" cy="297180"/>
                <wp:effectExtent l="0" t="0" r="11430" b="26670"/>
                <wp:wrapNone/>
                <wp:docPr id="31" name="矩形 31"/>
                <wp:cNvGraphicFramePr/>
                <a:graphic xmlns:a="http://schemas.openxmlformats.org/drawingml/2006/main">
                  <a:graphicData uri="http://schemas.microsoft.com/office/word/2010/wordprocessingShape">
                    <wps:wsp>
                      <wps:cNvSpPr/>
                      <wps:spPr>
                        <a:xfrm>
                          <a:off x="0" y="0"/>
                          <a:ext cx="960120" cy="297180"/>
                        </a:xfrm>
                        <a:prstGeom prst="rect">
                          <a:avLst/>
                        </a:prstGeom>
                        <a:noFill/>
                        <a:ln w="12700" cap="flat" cmpd="sng" algn="ctr">
                          <a:solidFill>
                            <a:sysClr val="windowText" lastClr="000000"/>
                          </a:solidFill>
                          <a:prstDash val="dash"/>
                        </a:ln>
                        <a:effectLst/>
                      </wps:spPr>
                      <wps:txbx>
                        <w:txbxContent>
                          <w:p>
                            <w:pPr>
                              <w:spacing w:line="240" w:lineRule="auto"/>
                              <w:rPr>
                                <w:color w:val="000000"/>
                                <w:sz w:val="21"/>
                                <w:szCs w:val="21"/>
                              </w:rPr>
                            </w:pPr>
                            <w:r>
                              <w:rPr>
                                <w:rFonts w:hint="eastAsia"/>
                                <w:color w:val="000000"/>
                                <w:sz w:val="21"/>
                                <w:szCs w:val="21"/>
                              </w:rPr>
                              <w:t>蒸发损失5</w:t>
                            </w:r>
                            <w:r>
                              <w:rPr>
                                <w:color w:val="000000"/>
                                <w:sz w:val="21"/>
                                <w:szCs w:val="21"/>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8.8pt;margin-top:9.6pt;height:23.4pt;width:75.6pt;z-index:251726848;v-text-anchor:middle;mso-width-relative:page;mso-height-relative:page;" filled="f" stroked="t" coordsize="21600,21600" o:gfxdata="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a3HxQdYAAAAJAQAADwAAAAAAAAABACAAAAAiAAAAZHJzL2Rv&#10;d25yZXYueG1sUEsBAhQAFAAAAAgAh07iQCDZM0F1AgAA4QQAAA4AAAAAAAAAAQAgAAAAJQEAAGRy&#10;cy9lMm9Eb2MueG1sUEsFBgAAAAAGAAYAWQEAAAwGAAAAAA==&#10;">
                <v:fill on="f" focussize="0,0"/>
                <v:stroke weight="1pt" color="#000000" joinstyle="round" dashstyle="dash"/>
                <v:imagedata o:title=""/>
                <o:lock v:ext="edit" aspectratio="f"/>
                <v:textbox>
                  <w:txbxContent>
                    <w:p>
                      <w:pPr>
                        <w:spacing w:line="240" w:lineRule="auto"/>
                        <w:rPr>
                          <w:color w:val="000000"/>
                          <w:sz w:val="21"/>
                          <w:szCs w:val="21"/>
                        </w:rPr>
                      </w:pPr>
                      <w:r>
                        <w:rPr>
                          <w:rFonts w:hint="eastAsia"/>
                          <w:color w:val="000000"/>
                          <w:sz w:val="21"/>
                          <w:szCs w:val="21"/>
                        </w:rPr>
                        <w:t>蒸发损失5</w:t>
                      </w:r>
                      <w:r>
                        <w:rPr>
                          <w:color w:val="000000"/>
                          <w:sz w:val="21"/>
                          <w:szCs w:val="21"/>
                        </w:rPr>
                        <w:t>.5</w:t>
                      </w:r>
                    </w:p>
                  </w:txbxContent>
                </v:textbox>
              </v:rect>
            </w:pict>
          </mc:Fallback>
        </mc:AlternateContent>
      </w:r>
      <w:r>
        <w:rPr>
          <w:rFonts w:hint="default"/>
          <w:color w:val="auto"/>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262255</wp:posOffset>
                </wp:positionV>
                <wp:extent cx="701040" cy="0"/>
                <wp:effectExtent l="0" t="76200" r="22860" b="95250"/>
                <wp:wrapNone/>
                <wp:docPr id="28" name="直接箭头连接符 28"/>
                <wp:cNvGraphicFramePr/>
                <a:graphic xmlns:a="http://schemas.openxmlformats.org/drawingml/2006/main">
                  <a:graphicData uri="http://schemas.microsoft.com/office/word/2010/wordprocessingShape">
                    <wps:wsp>
                      <wps:cNvCnPr/>
                      <wps:spPr>
                        <a:xfrm>
                          <a:off x="0" y="0"/>
                          <a:ext cx="701040" cy="0"/>
                        </a:xfrm>
                        <a:prstGeom prst="straightConnector1">
                          <a:avLst/>
                        </a:prstGeom>
                        <a:noFill/>
                        <a:ln w="6350" cap="flat" cmpd="sng" algn="ctr">
                          <a:solidFill>
                            <a:sysClr val="windowText" lastClr="000000"/>
                          </a:solidFill>
                          <a:prstDash val="dash"/>
                          <a:miter lim="800000"/>
                          <a:tailEnd type="triangle"/>
                        </a:ln>
                        <a:effectLst/>
                      </wps:spPr>
                      <wps:bodyPr/>
                    </wps:wsp>
                  </a:graphicData>
                </a:graphic>
              </wp:anchor>
            </w:drawing>
          </mc:Choice>
          <mc:Fallback>
            <w:pict>
              <v:shape id="_x0000_s1026" o:spid="_x0000_s1026" o:spt="32" type="#_x0000_t32" style="position:absolute;left:0pt;margin-top:20.65pt;height:0pt;width:55.2pt;mso-position-horizontal:center;mso-position-horizontal-relative:margin;z-index:251724800;mso-width-relative:page;mso-height-relative:page;" filled="f" stroked="t" coordsize="21600,21600" o:gfxdata="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o0D2dMAAAAGAQAADwAAAAAAAAAB&#10;ACAAAAAiAAAAZHJzL2Rvd25yZXYueG1sUEsBAhQAFAAAAAgAh07iQP0iszUVAgAAAwQAAA4AAAAA&#10;AAAAAQAgAAAAIgEAAGRycy9lMm9Eb2MueG1sUEsFBgAAAAAGAAYAWQEAAKkFAAAAAA==&#10;">
                <v:fill on="f" focussize="0,0"/>
                <v:stroke weight="0.5pt" color="#000000" miterlimit="8" joinstyle="miter" dashstyle="dash" endarrow="block"/>
                <v:imagedata o:title=""/>
                <o:lock v:ext="edit" aspectratio="f"/>
              </v:shape>
            </w:pict>
          </mc:Fallback>
        </mc:AlternateContent>
      </w:r>
      <w:r>
        <w:rPr>
          <w:color w:val="FF0000"/>
          <w:spacing w:val="-1"/>
        </w:rPr>
        <mc:AlternateContent>
          <mc:Choice Requires="wps">
            <w:drawing>
              <wp:anchor distT="0" distB="0" distL="114300" distR="114300" simplePos="0" relativeHeight="251720704" behindDoc="0" locked="0" layoutInCell="1" allowOverlap="1">
                <wp:simplePos x="0" y="0"/>
                <wp:positionH relativeFrom="column">
                  <wp:posOffset>1371600</wp:posOffset>
                </wp:positionH>
                <wp:positionV relativeFrom="paragraph">
                  <wp:posOffset>109855</wp:posOffset>
                </wp:positionV>
                <wp:extent cx="1021080" cy="297180"/>
                <wp:effectExtent l="0" t="0" r="26670" b="26670"/>
                <wp:wrapNone/>
                <wp:docPr id="18" name="矩形 18"/>
                <wp:cNvGraphicFramePr/>
                <a:graphic xmlns:a="http://schemas.openxmlformats.org/drawingml/2006/main">
                  <a:graphicData uri="http://schemas.microsoft.com/office/word/2010/wordprocessingShape">
                    <wps:wsp>
                      <wps:cNvSpPr/>
                      <wps:spPr>
                        <a:xfrm>
                          <a:off x="0" y="0"/>
                          <a:ext cx="1021080" cy="297180"/>
                        </a:xfrm>
                        <a:prstGeom prst="rect">
                          <a:avLst/>
                        </a:prstGeom>
                        <a:noFill/>
                        <a:ln w="12700" cap="flat" cmpd="sng" algn="ctr">
                          <a:solidFill>
                            <a:sysClr val="windowText" lastClr="000000"/>
                          </a:solidFill>
                          <a:prstDash val="solid"/>
                        </a:ln>
                        <a:effectLst/>
                      </wps:spPr>
                      <wps:txbx>
                        <w:txbxContent>
                          <w:p>
                            <w:pPr>
                              <w:spacing w:line="240" w:lineRule="auto"/>
                              <w:jc w:val="center"/>
                              <w:rPr>
                                <w:color w:val="000000"/>
                                <w:sz w:val="21"/>
                                <w:szCs w:val="21"/>
                              </w:rPr>
                            </w:pPr>
                            <w:r>
                              <w:rPr>
                                <w:rFonts w:hint="eastAsia"/>
                                <w:color w:val="000000"/>
                                <w:sz w:val="21"/>
                                <w:szCs w:val="21"/>
                              </w:rPr>
                              <w:t>未预见用水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8pt;margin-top:8.65pt;height:23.4pt;width:80.4pt;z-index:251720704;v-text-anchor:middle;mso-width-relative:page;mso-height-relative:page;" filled="f" stroked="t" coordsize="21600,21600" o:gfxdata="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WhQaltgAAAAJAQAADwAAAAAAAAABACAAAAAiAAAAZHJzL2Rv&#10;d25yZXYueG1sUEsBAhQAFAAAAAgAh07iQG47/PFzAgAA4wQAAA4AAAAAAAAAAQAgAAAAJwEAAGRy&#10;cy9lMm9Eb2MueG1sUEsFBgAAAAAGAAYAWQEAAAwGAAAAAA==&#10;">
                <v:fill on="f" focussize="0,0"/>
                <v:stroke weight="1pt" color="#000000" joinstyle="round"/>
                <v:imagedata o:title=""/>
                <o:lock v:ext="edit" aspectratio="f"/>
                <v:textbox>
                  <w:txbxContent>
                    <w:p>
                      <w:pPr>
                        <w:spacing w:line="240" w:lineRule="auto"/>
                        <w:jc w:val="center"/>
                        <w:rPr>
                          <w:color w:val="000000"/>
                          <w:sz w:val="21"/>
                          <w:szCs w:val="21"/>
                        </w:rPr>
                      </w:pPr>
                      <w:r>
                        <w:rPr>
                          <w:rFonts w:hint="eastAsia"/>
                          <w:color w:val="000000"/>
                          <w:sz w:val="21"/>
                          <w:szCs w:val="21"/>
                        </w:rPr>
                        <w:t>未预见用水</w:t>
                      </w:r>
                    </w:p>
                  </w:txbxContent>
                </v:textbox>
              </v:rect>
            </w:pict>
          </mc:Fallback>
        </mc:AlternateContent>
      </w:r>
      <w:r>
        <w:rPr>
          <w:rFonts w:hint="default"/>
        </w:rPr>
        <mc:AlternateContent>
          <mc:Choice Requires="wps">
            <w:drawing>
              <wp:anchor distT="0" distB="0" distL="114300" distR="114300" simplePos="0" relativeHeight="251718656" behindDoc="0" locked="0" layoutInCell="1" allowOverlap="1">
                <wp:simplePos x="0" y="0"/>
                <wp:positionH relativeFrom="column">
                  <wp:posOffset>698500</wp:posOffset>
                </wp:positionH>
                <wp:positionV relativeFrom="paragraph">
                  <wp:posOffset>251460</wp:posOffset>
                </wp:positionV>
                <wp:extent cx="685800" cy="0"/>
                <wp:effectExtent l="0" t="76200" r="19050" b="95250"/>
                <wp:wrapNone/>
                <wp:docPr id="14" name="直接箭头连接符 14"/>
                <wp:cNvGraphicFramePr/>
                <a:graphic xmlns:a="http://schemas.openxmlformats.org/drawingml/2006/main">
                  <a:graphicData uri="http://schemas.microsoft.com/office/word/2010/wordprocessingShape">
                    <wps:wsp>
                      <wps:cNvCnPr/>
                      <wps:spPr>
                        <a:xfrm>
                          <a:off x="0" y="0"/>
                          <a:ext cx="6858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55pt;margin-top:19.8pt;height:0pt;width:54pt;z-index:251718656;mso-width-relative:page;mso-height-relative:page;" filled="f" stroked="t" coordsize="21600,21600" o:gfxdata="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OdKrd1AAAAAkBAAAPAAAAAAAAAAEAIAAAACIAAABkcnMvZG93&#10;bnJldi54bWxQSwECFAAUAAAACACHTuJACcZaEQQCAADiAwAADgAAAAAAAAABACAAAAAjAQAAZHJz&#10;L2Uyb0RvYy54bWxQSwUGAAAAAAYABgBZAQAAmQUAAAAA&#10;">
                <v:fill on="f" focussize="0,0"/>
                <v:stroke weight="0.5pt" color="#000000 [3200]" miterlimit="8" joinstyle="miter" endarrow="block"/>
                <v:imagedata o:title=""/>
                <o:lock v:ext="edit" aspectratio="f"/>
              </v:shape>
            </w:pict>
          </mc:Fallback>
        </mc:AlternateContent>
      </w:r>
    </w:p>
    <w:p>
      <w:pPr>
        <w:pStyle w:val="2"/>
        <w:ind w:firstLine="480"/>
        <w:rPr>
          <w:rFonts w:hint="default"/>
        </w:rPr>
      </w:pPr>
    </w:p>
    <w:p>
      <w:pPr>
        <w:tabs>
          <w:tab w:val="left" w:pos="1956"/>
          <w:tab w:val="right" w:pos="8731"/>
        </w:tabs>
        <w:adjustRightInd w:val="0"/>
        <w:snapToGrid w:val="0"/>
        <w:ind w:firstLine="476" w:firstLineChars="200"/>
        <w:jc w:val="left"/>
        <w:rPr>
          <w:rFonts w:eastAsia="黑体"/>
          <w:szCs w:val="20"/>
        </w:rPr>
      </w:pPr>
      <w:r>
        <w:rPr>
          <w:color w:val="FF0000"/>
          <w:spacing w:val="-1"/>
          <w:szCs w:val="20"/>
        </w:rPr>
        <w:tab/>
      </w:r>
      <w:r>
        <w:rPr>
          <w:rFonts w:hint="eastAsia" w:eastAsia="黑体"/>
          <w:szCs w:val="20"/>
        </w:rPr>
        <w:t>图</w:t>
      </w:r>
      <w:r>
        <w:rPr>
          <w:rFonts w:eastAsia="黑体"/>
          <w:szCs w:val="20"/>
        </w:rPr>
        <w:t>4.3</w:t>
      </w:r>
      <w:r>
        <w:rPr>
          <w:rFonts w:hint="eastAsia" w:eastAsia="黑体"/>
          <w:szCs w:val="20"/>
        </w:rPr>
        <w:t>-</w:t>
      </w:r>
      <w:r>
        <w:rPr>
          <w:rFonts w:eastAsia="黑体"/>
          <w:szCs w:val="20"/>
        </w:rPr>
        <w:t>1</w:t>
      </w:r>
      <w:r>
        <w:rPr>
          <w:rFonts w:hint="eastAsia" w:eastAsia="黑体"/>
          <w:szCs w:val="20"/>
        </w:rPr>
        <w:t xml:space="preserve">   项目水平衡图   单位：m</w:t>
      </w:r>
      <w:r>
        <w:rPr>
          <w:rFonts w:hint="eastAsia" w:eastAsia="黑体"/>
          <w:szCs w:val="20"/>
          <w:vertAlign w:val="superscript"/>
        </w:rPr>
        <w:t>3</w:t>
      </w:r>
      <w:r>
        <w:rPr>
          <w:rFonts w:hint="eastAsia" w:eastAsia="黑体"/>
          <w:szCs w:val="20"/>
        </w:rPr>
        <w:t>/d</w:t>
      </w:r>
    </w:p>
    <w:p>
      <w:pPr>
        <w:pStyle w:val="970"/>
        <w:snapToGrid w:val="0"/>
        <w:ind w:firstLine="0"/>
        <w:outlineLvl w:val="3"/>
        <w:rPr>
          <w:rFonts w:eastAsia="黑体"/>
          <w:bCs/>
          <w:szCs w:val="24"/>
        </w:rPr>
      </w:pPr>
      <w:r>
        <w:rPr>
          <w:rFonts w:eastAsia="黑体"/>
          <w:bCs/>
          <w:szCs w:val="24"/>
        </w:rPr>
        <w:t>4.3.1.4</w:t>
      </w:r>
      <w:r>
        <w:rPr>
          <w:rFonts w:hint="eastAsia" w:eastAsia="黑体"/>
          <w:bCs/>
          <w:szCs w:val="24"/>
        </w:rPr>
        <w:t>废水排放及治理措施</w:t>
      </w:r>
    </w:p>
    <w:p>
      <w:pPr>
        <w:pStyle w:val="2"/>
        <w:ind w:firstLine="480"/>
        <w:rPr>
          <w:rFonts w:hint="default"/>
        </w:rPr>
      </w:pPr>
      <w:r>
        <w:t>（1）生活污水</w:t>
      </w:r>
    </w:p>
    <w:p>
      <w:pPr>
        <w:pStyle w:val="2"/>
        <w:ind w:firstLine="480"/>
        <w:rPr>
          <w:rFonts w:hint="default"/>
        </w:rPr>
      </w:pPr>
      <w:r>
        <w:t>项目生活废水产生量为</w:t>
      </w:r>
      <w:r>
        <w:rPr>
          <w:rFonts w:hint="default"/>
        </w:rPr>
        <w:t>2.04m</w:t>
      </w:r>
      <w:r>
        <w:rPr>
          <w:rFonts w:hint="default"/>
          <w:vertAlign w:val="superscript"/>
        </w:rPr>
        <w:t>3</w:t>
      </w:r>
      <w:r>
        <w:t>/d，生活污水进入化粪池进行处理，经化粪池处理，其中食堂废水先经隔油池（2</w:t>
      </w:r>
      <w:r>
        <w:rPr>
          <w:rFonts w:hint="default"/>
        </w:rPr>
        <w:t>m</w:t>
      </w:r>
      <w:r>
        <w:rPr>
          <w:vertAlign w:val="superscript"/>
        </w:rPr>
        <w:t>3</w:t>
      </w:r>
      <w:r>
        <w:t>）进行处理后再进入化粪池（拟建化粪池规模为</w:t>
      </w:r>
      <w:r>
        <w:rPr>
          <w:rFonts w:hint="default"/>
        </w:rPr>
        <w:t>100m</w:t>
      </w:r>
      <w:r>
        <w:rPr>
          <w:rFonts w:hint="default"/>
          <w:vertAlign w:val="superscript"/>
        </w:rPr>
        <w:t>3</w:t>
      </w:r>
      <w:r>
        <w:t>），经化粪池处理的生活污水连同养殖废水一并运至乐山乐高勤力生物质能源综合利用有限公司“大沼”工程用于发电，不外排。</w:t>
      </w:r>
    </w:p>
    <w:p>
      <w:pPr>
        <w:pStyle w:val="2"/>
        <w:ind w:firstLine="480"/>
        <w:rPr>
          <w:rFonts w:hint="default"/>
        </w:rPr>
      </w:pPr>
      <w:r>
        <w:t>（2）养殖废水</w:t>
      </w:r>
    </w:p>
    <w:p>
      <w:pPr>
        <w:pStyle w:val="2"/>
        <w:ind w:firstLine="480"/>
        <w:rPr>
          <w:rFonts w:hint="default"/>
          <w:vertAlign w:val="superscript"/>
        </w:rPr>
      </w:pPr>
      <w:r>
        <w:t>项目圈舍采用全漏缝地板，猪舍采用全漏缝地，其中分娩舍底部采用斜沟，粪污依靠重力经斜坡自行汇入集污池；妊娠舍底部设置收集池，粪污依靠重力掉入收集池，每日通过泵将尿粪抽至集污池，同时对暂存池进行加盖封闭。</w:t>
      </w:r>
    </w:p>
    <w:p>
      <w:pPr>
        <w:pStyle w:val="2"/>
        <w:ind w:firstLine="480"/>
        <w:rPr>
          <w:rFonts w:hint="default"/>
        </w:rPr>
      </w:pPr>
      <w:r>
        <w:t>每日采用槽罐车将粪污运至乐山乐高勤力生物质能源综合利用有限公司“大沼”工程用于发电，经大沼工程进行沼气发电后进行干湿分离，干粪用于生产固态有机肥，沼液用于农田施肥。</w:t>
      </w:r>
    </w:p>
    <w:p>
      <w:pPr>
        <w:pStyle w:val="2"/>
        <w:ind w:firstLine="480"/>
        <w:rPr>
          <w:rFonts w:hint="default"/>
        </w:rPr>
      </w:pPr>
      <w:r>
        <w:t>（3）“大沼工程”处理工艺</w:t>
      </w:r>
    </w:p>
    <w:p>
      <w:pPr>
        <w:ind w:firstLine="480" w:firstLineChars="200"/>
        <w:contextualSpacing/>
        <w:rPr>
          <w:color w:val="000000"/>
        </w:rPr>
      </w:pPr>
      <w:r>
        <w:rPr>
          <w:rFonts w:hint="eastAsia"/>
          <w:color w:val="000000"/>
        </w:rPr>
        <w:t>“井研县2018年畜禽粪污资源化利用整县推进项目规模化大型沼气工程”简称“大沼工程”，工程</w:t>
      </w:r>
      <w:r>
        <w:rPr>
          <w:color w:val="000000"/>
        </w:rPr>
        <w:t>日处理畜禽粪污761.11t/d（年处理27.40万t），秸秆10t/d（年处理0.36万t），日产沼气16000m³（576万m³/a），日发电量3.2万kWh，产生的沼渣经堆肥后配制成有机肥出厂销售，年产、固体有机肥2.5万t。年产沼液肥24.95万t。</w:t>
      </w:r>
      <w:r>
        <w:rPr>
          <w:rFonts w:hint="eastAsia"/>
          <w:color w:val="000000"/>
        </w:rPr>
        <w:t>项目年上网电量（扣除自用电部分）约966.50万kWh；沼渣堆制成品有机肥约2.5万吨/年。</w:t>
      </w:r>
    </w:p>
    <w:p>
      <w:pPr>
        <w:pStyle w:val="2"/>
        <w:ind w:firstLine="480"/>
        <w:rPr>
          <w:rFonts w:hint="default"/>
        </w:rPr>
      </w:pPr>
      <w:r>
        <w:t>工艺见图</w:t>
      </w:r>
      <w:r>
        <w:rPr>
          <w:rFonts w:hint="default"/>
        </w:rPr>
        <w:t>4.3</w:t>
      </w:r>
      <w:r>
        <w:t>-</w:t>
      </w:r>
      <w:r>
        <w:rPr>
          <w:rFonts w:hint="default"/>
        </w:rPr>
        <w:t>3</w:t>
      </w:r>
      <w:r>
        <w:t>。</w:t>
      </w:r>
    </w:p>
    <w:p>
      <w:pPr>
        <w:ind w:firstLine="240" w:firstLineChars="100"/>
        <w:jc w:val="center"/>
        <w:rPr>
          <w:b/>
          <w:color w:val="000000"/>
          <w:szCs w:val="21"/>
        </w:rPr>
      </w:pPr>
      <w:r>
        <w:rPr>
          <w:color w:val="000000"/>
        </w:rPr>
        <w:object>
          <v:shape id="_x0000_i1029" o:spt="75" type="#_x0000_t75" style="height:317.9pt;width:414pt;" o:ole="t" filled="f" o:preferrelative="t" stroked="f" coordsize="21600,21600">
            <v:path/>
            <v:fill on="f" focussize="0,0"/>
            <v:stroke on="f" joinstyle="miter"/>
            <v:imagedata r:id="rId22" o:title=""/>
            <o:lock v:ext="edit" aspectratio="f"/>
            <w10:wrap type="none"/>
            <w10:anchorlock/>
          </v:shape>
          <o:OLEObject Type="Embed" ProgID="Visio.Drawing.11" ShapeID="_x0000_i1029" DrawAspect="Content" ObjectID="_1468075729" r:id="rId21">
            <o:LockedField>false</o:LockedField>
          </o:OLEObject>
        </w:object>
      </w:r>
      <w:r>
        <w:rPr>
          <w:rFonts w:eastAsia="黑体"/>
          <w:szCs w:val="20"/>
        </w:rPr>
        <w:t>图4.3</w:t>
      </w:r>
      <w:r>
        <w:rPr>
          <w:rFonts w:hint="eastAsia" w:eastAsia="黑体"/>
          <w:szCs w:val="20"/>
        </w:rPr>
        <w:t>-</w:t>
      </w:r>
      <w:r>
        <w:rPr>
          <w:rFonts w:eastAsia="黑体"/>
          <w:szCs w:val="20"/>
        </w:rPr>
        <w:t>3 项目营运期工艺流程和产污环节图</w:t>
      </w:r>
    </w:p>
    <w:p>
      <w:pPr>
        <w:jc w:val="left"/>
        <w:outlineLvl w:val="2"/>
        <w:rPr>
          <w:rFonts w:eastAsia="黑体"/>
          <w:bCs/>
          <w:sz w:val="28"/>
          <w:szCs w:val="28"/>
        </w:rPr>
      </w:pPr>
      <w:r>
        <w:rPr>
          <w:rFonts w:eastAsia="黑体"/>
          <w:bCs/>
          <w:sz w:val="28"/>
          <w:szCs w:val="28"/>
        </w:rPr>
        <w:t>4.3.2 废</w:t>
      </w:r>
      <w:r>
        <w:rPr>
          <w:rFonts w:hint="eastAsia" w:eastAsia="黑体"/>
          <w:bCs/>
          <w:sz w:val="28"/>
          <w:szCs w:val="28"/>
        </w:rPr>
        <w:t>气排放及治理措施</w:t>
      </w:r>
    </w:p>
    <w:p>
      <w:pPr>
        <w:snapToGrid w:val="0"/>
        <w:ind w:firstLine="480" w:firstLineChars="200"/>
      </w:pPr>
      <w:r>
        <w:t>项目废气主要包括工艺废气（恶臭）、食堂油烟、沼气。</w:t>
      </w:r>
    </w:p>
    <w:p>
      <w:pPr>
        <w:pStyle w:val="970"/>
        <w:snapToGrid w:val="0"/>
        <w:ind w:firstLine="0"/>
        <w:outlineLvl w:val="3"/>
        <w:rPr>
          <w:rFonts w:eastAsia="黑体"/>
          <w:bCs/>
          <w:szCs w:val="24"/>
        </w:rPr>
      </w:pPr>
      <w:r>
        <w:rPr>
          <w:rFonts w:eastAsia="黑体"/>
          <w:bCs/>
          <w:szCs w:val="24"/>
        </w:rPr>
        <w:t xml:space="preserve">4.3.2.1 </w:t>
      </w:r>
      <w:r>
        <w:rPr>
          <w:rFonts w:hint="eastAsia" w:eastAsia="黑体"/>
          <w:bCs/>
          <w:szCs w:val="24"/>
        </w:rPr>
        <w:t>恶臭</w:t>
      </w:r>
    </w:p>
    <w:p>
      <w:pPr>
        <w:adjustRightInd w:val="0"/>
        <w:snapToGrid w:val="0"/>
        <w:ind w:firstLine="482" w:firstLineChars="200"/>
        <w:rPr>
          <w:b/>
        </w:rPr>
      </w:pPr>
      <w:r>
        <w:rPr>
          <w:b/>
        </w:rPr>
        <w:t>（1）恶臭来源及源强</w:t>
      </w:r>
    </w:p>
    <w:p>
      <w:pPr>
        <w:snapToGrid w:val="0"/>
        <w:ind w:firstLine="480" w:firstLineChars="200"/>
      </w:pPr>
      <w:r>
        <w:t>恶臭气体主要来自猪粪尿排放及其分解过程，成分较复杂，主要包括NH</w:t>
      </w:r>
      <w:r>
        <w:rPr>
          <w:vertAlign w:val="subscript"/>
        </w:rPr>
        <w:t>3</w:t>
      </w:r>
      <w:r>
        <w:t>、H</w:t>
      </w:r>
      <w:r>
        <w:rPr>
          <w:vertAlign w:val="subscript"/>
        </w:rPr>
        <w:t>2</w:t>
      </w:r>
      <w:r>
        <w:t>S、硫醇、胺、吲哚等挥发性有机酸和其他有机气体，几种主要恶臭物质的理化性质见表4.3-5。</w:t>
      </w:r>
    </w:p>
    <w:p>
      <w:pPr>
        <w:spacing w:line="240" w:lineRule="auto"/>
        <w:contextualSpacing/>
        <w:jc w:val="center"/>
        <w:rPr>
          <w:rFonts w:eastAsia="黑体"/>
        </w:rPr>
      </w:pPr>
    </w:p>
    <w:p>
      <w:pPr>
        <w:spacing w:line="240" w:lineRule="auto"/>
        <w:contextualSpacing/>
        <w:jc w:val="center"/>
        <w:rPr>
          <w:rFonts w:eastAsia="黑体"/>
        </w:rPr>
      </w:pPr>
    </w:p>
    <w:p>
      <w:pPr>
        <w:spacing w:line="240" w:lineRule="auto"/>
        <w:contextualSpacing/>
        <w:jc w:val="center"/>
        <w:rPr>
          <w:rFonts w:eastAsia="黑体"/>
        </w:rPr>
      </w:pPr>
    </w:p>
    <w:p>
      <w:pPr>
        <w:spacing w:line="240" w:lineRule="auto"/>
        <w:contextualSpacing/>
        <w:jc w:val="center"/>
        <w:rPr>
          <w:rFonts w:eastAsia="黑体"/>
        </w:rPr>
      </w:pPr>
    </w:p>
    <w:p>
      <w:pPr>
        <w:spacing w:line="240" w:lineRule="auto"/>
        <w:contextualSpacing/>
        <w:jc w:val="center"/>
        <w:rPr>
          <w:rFonts w:eastAsia="黑体"/>
        </w:rPr>
      </w:pPr>
    </w:p>
    <w:p>
      <w:pPr>
        <w:spacing w:line="240" w:lineRule="auto"/>
        <w:contextualSpacing/>
        <w:jc w:val="center"/>
        <w:rPr>
          <w:rFonts w:eastAsia="黑体"/>
        </w:rPr>
      </w:pPr>
      <w:r>
        <w:rPr>
          <w:rFonts w:eastAsia="黑体"/>
        </w:rPr>
        <w:t>表4.3-5  恶臭物质理化特征</w:t>
      </w:r>
    </w:p>
    <w:tbl>
      <w:tblPr>
        <w:tblStyle w:val="8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133"/>
        <w:gridCol w:w="2339"/>
        <w:gridCol w:w="2253"/>
        <w:gridCol w:w="222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8" w:hRule="atLeast"/>
        </w:trPr>
        <w:tc>
          <w:tcPr>
            <w:tcW w:w="1192" w:type="pct"/>
            <w:vAlign w:val="center"/>
          </w:tcPr>
          <w:p>
            <w:pPr>
              <w:snapToGrid w:val="0"/>
              <w:spacing w:line="240" w:lineRule="auto"/>
              <w:jc w:val="center"/>
              <w:rPr>
                <w:sz w:val="21"/>
                <w:szCs w:val="21"/>
              </w:rPr>
            </w:pPr>
            <w:r>
              <w:rPr>
                <w:sz w:val="21"/>
                <w:szCs w:val="21"/>
              </w:rPr>
              <w:t>恶臭物质</w:t>
            </w:r>
          </w:p>
        </w:tc>
        <w:tc>
          <w:tcPr>
            <w:tcW w:w="1307" w:type="pct"/>
            <w:vAlign w:val="center"/>
          </w:tcPr>
          <w:p>
            <w:pPr>
              <w:snapToGrid w:val="0"/>
              <w:spacing w:line="240" w:lineRule="auto"/>
              <w:jc w:val="center"/>
              <w:rPr>
                <w:sz w:val="21"/>
                <w:szCs w:val="21"/>
              </w:rPr>
            </w:pPr>
            <w:r>
              <w:rPr>
                <w:sz w:val="21"/>
                <w:szCs w:val="21"/>
              </w:rPr>
              <w:t>分子式</w:t>
            </w:r>
          </w:p>
        </w:tc>
        <w:tc>
          <w:tcPr>
            <w:tcW w:w="1259" w:type="pct"/>
            <w:vAlign w:val="center"/>
          </w:tcPr>
          <w:p>
            <w:pPr>
              <w:snapToGrid w:val="0"/>
              <w:spacing w:line="240" w:lineRule="auto"/>
              <w:jc w:val="center"/>
              <w:rPr>
                <w:sz w:val="21"/>
                <w:szCs w:val="21"/>
              </w:rPr>
            </w:pPr>
            <w:r>
              <w:rPr>
                <w:sz w:val="21"/>
                <w:szCs w:val="21"/>
              </w:rPr>
              <w:t>嗅阈值(ppm)</w:t>
            </w:r>
          </w:p>
        </w:tc>
        <w:tc>
          <w:tcPr>
            <w:tcW w:w="1242" w:type="pct"/>
            <w:vAlign w:val="center"/>
          </w:tcPr>
          <w:p>
            <w:pPr>
              <w:snapToGrid w:val="0"/>
              <w:spacing w:line="240" w:lineRule="auto"/>
              <w:jc w:val="center"/>
              <w:rPr>
                <w:sz w:val="21"/>
                <w:szCs w:val="21"/>
              </w:rPr>
            </w:pPr>
            <w:r>
              <w:rPr>
                <w:sz w:val="21"/>
                <w:szCs w:val="21"/>
              </w:rPr>
              <w:t>臭气特征</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192" w:type="pct"/>
            <w:vAlign w:val="center"/>
          </w:tcPr>
          <w:p>
            <w:pPr>
              <w:snapToGrid w:val="0"/>
              <w:spacing w:line="240" w:lineRule="auto"/>
              <w:jc w:val="center"/>
              <w:rPr>
                <w:sz w:val="21"/>
                <w:szCs w:val="21"/>
              </w:rPr>
            </w:pPr>
            <w:r>
              <w:rPr>
                <w:sz w:val="21"/>
                <w:szCs w:val="21"/>
              </w:rPr>
              <w:t>三甲基胺</w:t>
            </w:r>
          </w:p>
        </w:tc>
        <w:tc>
          <w:tcPr>
            <w:tcW w:w="1307" w:type="pct"/>
            <w:vAlign w:val="center"/>
          </w:tcPr>
          <w:p>
            <w:pPr>
              <w:snapToGrid w:val="0"/>
              <w:spacing w:line="240" w:lineRule="auto"/>
              <w:jc w:val="center"/>
              <w:rPr>
                <w:sz w:val="21"/>
                <w:szCs w:val="21"/>
              </w:rPr>
            </w:pPr>
            <w:r>
              <w:rPr>
                <w:rFonts w:hint="eastAsia"/>
                <w:sz w:val="21"/>
                <w:szCs w:val="21"/>
              </w:rPr>
              <w:t>（</w:t>
            </w:r>
            <w:r>
              <w:rPr>
                <w:sz w:val="21"/>
                <w:szCs w:val="21"/>
              </w:rPr>
              <w:t>COH</w:t>
            </w:r>
            <w:r>
              <w:rPr>
                <w:sz w:val="21"/>
                <w:szCs w:val="21"/>
                <w:vertAlign w:val="subscript"/>
              </w:rPr>
              <w:t>3</w:t>
            </w:r>
            <w:r>
              <w:rPr>
                <w:rFonts w:hint="eastAsia"/>
                <w:sz w:val="21"/>
                <w:szCs w:val="21"/>
              </w:rPr>
              <w:t>）</w:t>
            </w:r>
            <w:r>
              <w:rPr>
                <w:sz w:val="21"/>
                <w:szCs w:val="21"/>
              </w:rPr>
              <w:t>N</w:t>
            </w:r>
          </w:p>
        </w:tc>
        <w:tc>
          <w:tcPr>
            <w:tcW w:w="1259" w:type="pct"/>
            <w:vAlign w:val="center"/>
          </w:tcPr>
          <w:p>
            <w:pPr>
              <w:snapToGrid w:val="0"/>
              <w:spacing w:line="240" w:lineRule="auto"/>
              <w:jc w:val="center"/>
              <w:rPr>
                <w:sz w:val="21"/>
                <w:szCs w:val="21"/>
              </w:rPr>
            </w:pPr>
            <w:r>
              <w:rPr>
                <w:sz w:val="21"/>
                <w:szCs w:val="21"/>
              </w:rPr>
              <w:t>0.000027</w:t>
            </w:r>
          </w:p>
        </w:tc>
        <w:tc>
          <w:tcPr>
            <w:tcW w:w="1242" w:type="pct"/>
            <w:vAlign w:val="center"/>
          </w:tcPr>
          <w:p>
            <w:pPr>
              <w:snapToGrid w:val="0"/>
              <w:spacing w:line="240" w:lineRule="auto"/>
              <w:jc w:val="center"/>
              <w:rPr>
                <w:sz w:val="21"/>
                <w:szCs w:val="21"/>
              </w:rPr>
            </w:pPr>
            <w:r>
              <w:rPr>
                <w:sz w:val="21"/>
                <w:szCs w:val="21"/>
              </w:rPr>
              <w:t>臭鱼味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192" w:type="pct"/>
            <w:vAlign w:val="center"/>
          </w:tcPr>
          <w:p>
            <w:pPr>
              <w:snapToGrid w:val="0"/>
              <w:spacing w:line="240" w:lineRule="auto"/>
              <w:jc w:val="center"/>
              <w:rPr>
                <w:sz w:val="21"/>
                <w:szCs w:val="21"/>
              </w:rPr>
            </w:pPr>
            <w:r>
              <w:rPr>
                <w:sz w:val="21"/>
                <w:szCs w:val="21"/>
              </w:rPr>
              <w:t>氨</w:t>
            </w:r>
          </w:p>
        </w:tc>
        <w:tc>
          <w:tcPr>
            <w:tcW w:w="1307" w:type="pct"/>
            <w:vAlign w:val="center"/>
          </w:tcPr>
          <w:p>
            <w:pPr>
              <w:snapToGrid w:val="0"/>
              <w:spacing w:line="240" w:lineRule="auto"/>
              <w:jc w:val="center"/>
              <w:rPr>
                <w:sz w:val="21"/>
                <w:szCs w:val="21"/>
              </w:rPr>
            </w:pPr>
            <w:r>
              <w:rPr>
                <w:sz w:val="21"/>
                <w:szCs w:val="21"/>
              </w:rPr>
              <w:t>NH</w:t>
            </w:r>
            <w:r>
              <w:rPr>
                <w:sz w:val="21"/>
                <w:szCs w:val="21"/>
                <w:vertAlign w:val="subscript"/>
              </w:rPr>
              <w:t>3</w:t>
            </w:r>
          </w:p>
        </w:tc>
        <w:tc>
          <w:tcPr>
            <w:tcW w:w="1259" w:type="pct"/>
            <w:vAlign w:val="center"/>
          </w:tcPr>
          <w:p>
            <w:pPr>
              <w:snapToGrid w:val="0"/>
              <w:spacing w:line="240" w:lineRule="auto"/>
              <w:jc w:val="center"/>
              <w:rPr>
                <w:sz w:val="21"/>
                <w:szCs w:val="21"/>
              </w:rPr>
            </w:pPr>
            <w:r>
              <w:rPr>
                <w:sz w:val="21"/>
                <w:szCs w:val="21"/>
              </w:rPr>
              <w:t>1.54</w:t>
            </w:r>
          </w:p>
        </w:tc>
        <w:tc>
          <w:tcPr>
            <w:tcW w:w="1242" w:type="pct"/>
            <w:vAlign w:val="center"/>
          </w:tcPr>
          <w:p>
            <w:pPr>
              <w:snapToGrid w:val="0"/>
              <w:spacing w:line="240" w:lineRule="auto"/>
              <w:jc w:val="center"/>
              <w:rPr>
                <w:sz w:val="21"/>
                <w:szCs w:val="21"/>
              </w:rPr>
            </w:pPr>
            <w:r>
              <w:rPr>
                <w:sz w:val="21"/>
                <w:szCs w:val="21"/>
              </w:rPr>
              <w:t>刺激味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192" w:type="pct"/>
            <w:vAlign w:val="center"/>
          </w:tcPr>
          <w:p>
            <w:pPr>
              <w:snapToGrid w:val="0"/>
              <w:spacing w:line="240" w:lineRule="auto"/>
              <w:jc w:val="center"/>
              <w:rPr>
                <w:sz w:val="21"/>
                <w:szCs w:val="21"/>
              </w:rPr>
            </w:pPr>
            <w:r>
              <w:rPr>
                <w:sz w:val="21"/>
                <w:szCs w:val="21"/>
              </w:rPr>
              <w:t>硫化氢</w:t>
            </w:r>
          </w:p>
        </w:tc>
        <w:tc>
          <w:tcPr>
            <w:tcW w:w="1307" w:type="pct"/>
            <w:vAlign w:val="center"/>
          </w:tcPr>
          <w:p>
            <w:pPr>
              <w:snapToGrid w:val="0"/>
              <w:spacing w:line="240" w:lineRule="auto"/>
              <w:jc w:val="center"/>
              <w:rPr>
                <w:sz w:val="21"/>
                <w:szCs w:val="21"/>
              </w:rPr>
            </w:pPr>
            <w:r>
              <w:rPr>
                <w:sz w:val="21"/>
                <w:szCs w:val="21"/>
              </w:rPr>
              <w:t>H</w:t>
            </w:r>
            <w:r>
              <w:rPr>
                <w:sz w:val="21"/>
                <w:szCs w:val="21"/>
                <w:vertAlign w:val="subscript"/>
              </w:rPr>
              <w:t>2</w:t>
            </w:r>
            <w:r>
              <w:rPr>
                <w:sz w:val="21"/>
                <w:szCs w:val="21"/>
              </w:rPr>
              <w:t>S</w:t>
            </w:r>
          </w:p>
        </w:tc>
        <w:tc>
          <w:tcPr>
            <w:tcW w:w="1259" w:type="pct"/>
            <w:vAlign w:val="center"/>
          </w:tcPr>
          <w:p>
            <w:pPr>
              <w:snapToGrid w:val="0"/>
              <w:spacing w:line="240" w:lineRule="auto"/>
              <w:jc w:val="center"/>
              <w:rPr>
                <w:sz w:val="21"/>
                <w:szCs w:val="21"/>
              </w:rPr>
            </w:pPr>
            <w:r>
              <w:rPr>
                <w:sz w:val="21"/>
                <w:szCs w:val="21"/>
              </w:rPr>
              <w:t>0.0041</w:t>
            </w:r>
          </w:p>
        </w:tc>
        <w:tc>
          <w:tcPr>
            <w:tcW w:w="1242" w:type="pct"/>
            <w:vAlign w:val="center"/>
          </w:tcPr>
          <w:p>
            <w:pPr>
              <w:snapToGrid w:val="0"/>
              <w:spacing w:line="240" w:lineRule="auto"/>
              <w:jc w:val="center"/>
              <w:rPr>
                <w:sz w:val="21"/>
                <w:szCs w:val="21"/>
              </w:rPr>
            </w:pPr>
            <w:r>
              <w:rPr>
                <w:sz w:val="21"/>
                <w:szCs w:val="21"/>
              </w:rPr>
              <w:t>臭蛋味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192" w:type="pct"/>
            <w:vAlign w:val="center"/>
          </w:tcPr>
          <w:p>
            <w:pPr>
              <w:snapToGrid w:val="0"/>
              <w:spacing w:line="240" w:lineRule="auto"/>
              <w:jc w:val="center"/>
              <w:rPr>
                <w:sz w:val="21"/>
                <w:szCs w:val="21"/>
              </w:rPr>
            </w:pPr>
            <w:r>
              <w:rPr>
                <w:sz w:val="21"/>
                <w:szCs w:val="21"/>
              </w:rPr>
              <w:t>粪臭基硫酸</w:t>
            </w:r>
          </w:p>
        </w:tc>
        <w:tc>
          <w:tcPr>
            <w:tcW w:w="1307" w:type="pct"/>
            <w:vAlign w:val="center"/>
          </w:tcPr>
          <w:p>
            <w:pPr>
              <w:snapToGrid w:val="0"/>
              <w:spacing w:line="240" w:lineRule="auto"/>
              <w:jc w:val="center"/>
              <w:rPr>
                <w:sz w:val="21"/>
                <w:szCs w:val="21"/>
              </w:rPr>
            </w:pPr>
            <w:r>
              <w:rPr>
                <w:sz w:val="21"/>
                <w:szCs w:val="21"/>
              </w:rPr>
              <w:t>--</w:t>
            </w:r>
          </w:p>
        </w:tc>
        <w:tc>
          <w:tcPr>
            <w:tcW w:w="1259" w:type="pct"/>
            <w:vAlign w:val="center"/>
          </w:tcPr>
          <w:p>
            <w:pPr>
              <w:snapToGrid w:val="0"/>
              <w:spacing w:line="240" w:lineRule="auto"/>
              <w:jc w:val="center"/>
              <w:rPr>
                <w:sz w:val="21"/>
                <w:szCs w:val="21"/>
              </w:rPr>
            </w:pPr>
            <w:r>
              <w:rPr>
                <w:sz w:val="21"/>
                <w:szCs w:val="21"/>
              </w:rPr>
              <w:t>0.0000056</w:t>
            </w:r>
          </w:p>
        </w:tc>
        <w:tc>
          <w:tcPr>
            <w:tcW w:w="1242" w:type="pct"/>
            <w:vAlign w:val="center"/>
          </w:tcPr>
          <w:p>
            <w:pPr>
              <w:snapToGrid w:val="0"/>
              <w:spacing w:line="240" w:lineRule="auto"/>
              <w:jc w:val="center"/>
              <w:rPr>
                <w:sz w:val="21"/>
                <w:szCs w:val="21"/>
              </w:rPr>
            </w:pPr>
            <w:r>
              <w:rPr>
                <w:sz w:val="21"/>
                <w:szCs w:val="21"/>
              </w:rPr>
              <w:t>粪便臭</w:t>
            </w:r>
          </w:p>
        </w:tc>
      </w:tr>
    </w:tbl>
    <w:p>
      <w:pPr>
        <w:snapToGrid w:val="0"/>
        <w:ind w:firstLine="480" w:firstLineChars="200"/>
        <w:rPr>
          <w:bCs/>
        </w:rPr>
      </w:pPr>
    </w:p>
    <w:p>
      <w:pPr>
        <w:snapToGrid w:val="0"/>
        <w:ind w:firstLine="480" w:firstLineChars="200"/>
        <w:rPr>
          <w:rFonts w:eastAsiaTheme="minorEastAsia"/>
          <w:bCs/>
        </w:rPr>
      </w:pPr>
      <w:r>
        <w:rPr>
          <w:bCs/>
        </w:rPr>
        <w:t>本项目</w:t>
      </w:r>
      <w:r>
        <w:rPr>
          <w:rFonts w:eastAsiaTheme="minorEastAsia"/>
          <w:bCs/>
        </w:rPr>
        <w:t>臭气</w:t>
      </w:r>
      <w:r>
        <w:rPr>
          <w:rFonts w:eastAsiaTheme="minorEastAsia"/>
        </w:rPr>
        <w:t>污染源</w:t>
      </w:r>
      <w:r>
        <w:rPr>
          <w:rFonts w:eastAsiaTheme="minorEastAsia"/>
          <w:bCs/>
        </w:rPr>
        <w:t>主要有猪舍、</w:t>
      </w:r>
      <w:r>
        <w:rPr>
          <w:rFonts w:hint="eastAsia" w:eastAsiaTheme="minorEastAsia"/>
          <w:bCs/>
        </w:rPr>
        <w:t>暂存池</w:t>
      </w:r>
      <w:r>
        <w:rPr>
          <w:rFonts w:eastAsiaTheme="minorEastAsia"/>
          <w:bCs/>
        </w:rPr>
        <w:t>，产生源主要为粪尿。</w:t>
      </w:r>
    </w:p>
    <w:p>
      <w:pPr>
        <w:snapToGrid w:val="0"/>
        <w:ind w:firstLine="480" w:firstLineChars="200"/>
        <w:rPr>
          <w:rFonts w:eastAsiaTheme="minorEastAsia"/>
        </w:rPr>
      </w:pPr>
      <w:r>
        <w:rPr>
          <w:rFonts w:eastAsiaTheme="minorEastAsia"/>
        </w:rPr>
        <w:t>本环评引用中国环境科学学会学术年会论文集（2010）中的《养猪场恶臭影响量化分析及控制对策研究》（天津市环境影响评价中心，孙艳青、张潞、李万庆）资料，对本项目</w:t>
      </w:r>
      <w:r>
        <w:rPr>
          <w:rFonts w:hint="eastAsia" w:eastAsiaTheme="minorEastAsia"/>
        </w:rPr>
        <w:t>各车间</w:t>
      </w:r>
      <w:r>
        <w:rPr>
          <w:rFonts w:eastAsiaTheme="minorEastAsia"/>
        </w:rPr>
        <w:t>NH</w:t>
      </w:r>
      <w:r>
        <w:rPr>
          <w:rFonts w:eastAsiaTheme="minorEastAsia"/>
          <w:vertAlign w:val="subscript"/>
        </w:rPr>
        <w:t>3</w:t>
      </w:r>
      <w:r>
        <w:rPr>
          <w:rFonts w:eastAsiaTheme="minorEastAsia"/>
        </w:rPr>
        <w:t>、H</w:t>
      </w:r>
      <w:r>
        <w:rPr>
          <w:rFonts w:eastAsiaTheme="minorEastAsia"/>
          <w:vertAlign w:val="subscript"/>
        </w:rPr>
        <w:t>2</w:t>
      </w:r>
      <w:r>
        <w:rPr>
          <w:rFonts w:eastAsiaTheme="minorEastAsia"/>
        </w:rPr>
        <w:t>S的产生量进行预测</w:t>
      </w:r>
      <w:r>
        <w:rPr>
          <w:rFonts w:eastAsiaTheme="minorEastAsia"/>
          <w:bCs/>
        </w:rPr>
        <w:t>，</w:t>
      </w:r>
      <w:r>
        <w:rPr>
          <w:rFonts w:eastAsiaTheme="minorEastAsia"/>
        </w:rPr>
        <w:t>源强见表4.3-6。</w:t>
      </w:r>
    </w:p>
    <w:p>
      <w:pPr>
        <w:spacing w:line="240" w:lineRule="auto"/>
        <w:contextualSpacing/>
        <w:jc w:val="center"/>
        <w:rPr>
          <w:rFonts w:eastAsia="黑体"/>
        </w:rPr>
      </w:pPr>
      <w:r>
        <w:rPr>
          <w:rFonts w:eastAsia="黑体"/>
        </w:rPr>
        <w:t>表4.3-6  氨、硫化氢</w:t>
      </w:r>
      <w:r>
        <w:rPr>
          <w:rFonts w:hint="eastAsia" w:eastAsia="黑体"/>
        </w:rPr>
        <w:t>产生</w:t>
      </w:r>
      <w:r>
        <w:rPr>
          <w:rFonts w:eastAsia="黑体"/>
        </w:rPr>
        <w:t>强度统计</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136"/>
        <w:gridCol w:w="851"/>
        <w:gridCol w:w="1184"/>
        <w:gridCol w:w="1809"/>
        <w:gridCol w:w="1673"/>
        <w:gridCol w:w="12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2017" w:type="dxa"/>
            <w:gridSpan w:val="2"/>
            <w:vMerge w:val="restart"/>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猪舍</w:t>
            </w:r>
          </w:p>
        </w:tc>
        <w:tc>
          <w:tcPr>
            <w:tcW w:w="840" w:type="dxa"/>
            <w:vMerge w:val="restart"/>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存栏量</w:t>
            </w:r>
          </w:p>
        </w:tc>
        <w:tc>
          <w:tcPr>
            <w:tcW w:w="2955" w:type="dxa"/>
            <w:gridSpan w:val="2"/>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氨</w:t>
            </w:r>
          </w:p>
        </w:tc>
        <w:tc>
          <w:tcPr>
            <w:tcW w:w="2919" w:type="dxa"/>
            <w:gridSpan w:val="2"/>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硫化氢</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7" w:hRule="atLeast"/>
          <w:jc w:val="center"/>
        </w:trPr>
        <w:tc>
          <w:tcPr>
            <w:tcW w:w="2017" w:type="dxa"/>
            <w:gridSpan w:val="2"/>
            <w:vMerge w:val="continue"/>
            <w:tcMar>
              <w:left w:w="57" w:type="dxa"/>
              <w:right w:w="57" w:type="dxa"/>
            </w:tcMar>
            <w:vAlign w:val="center"/>
          </w:tcPr>
          <w:p>
            <w:pPr>
              <w:snapToGrid w:val="0"/>
              <w:spacing w:line="240" w:lineRule="auto"/>
              <w:jc w:val="center"/>
              <w:rPr>
                <w:rFonts w:eastAsiaTheme="minorEastAsia"/>
                <w:sz w:val="21"/>
                <w:szCs w:val="21"/>
              </w:rPr>
            </w:pPr>
          </w:p>
        </w:tc>
        <w:tc>
          <w:tcPr>
            <w:tcW w:w="840" w:type="dxa"/>
            <w:vMerge w:val="continue"/>
            <w:tcMar>
              <w:left w:w="57" w:type="dxa"/>
              <w:right w:w="57" w:type="dxa"/>
            </w:tcMar>
            <w:vAlign w:val="center"/>
          </w:tcPr>
          <w:p>
            <w:pPr>
              <w:snapToGrid w:val="0"/>
              <w:spacing w:line="240" w:lineRule="auto"/>
              <w:jc w:val="center"/>
              <w:rPr>
                <w:rFonts w:eastAsiaTheme="minorEastAsia"/>
                <w:sz w:val="21"/>
                <w:szCs w:val="21"/>
              </w:rPr>
            </w:pPr>
          </w:p>
        </w:tc>
        <w:tc>
          <w:tcPr>
            <w:tcW w:w="1169"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排放强度（g/头·d）</w:t>
            </w:r>
          </w:p>
        </w:tc>
        <w:tc>
          <w:tcPr>
            <w:tcW w:w="1786"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产生量（</w:t>
            </w:r>
          </w:p>
          <w:p>
            <w:pPr>
              <w:snapToGrid w:val="0"/>
              <w:spacing w:line="240" w:lineRule="auto"/>
              <w:jc w:val="center"/>
              <w:rPr>
                <w:rFonts w:eastAsiaTheme="minorEastAsia"/>
                <w:sz w:val="21"/>
                <w:szCs w:val="21"/>
              </w:rPr>
            </w:pPr>
            <w:r>
              <w:rPr>
                <w:rFonts w:eastAsiaTheme="minorEastAsia"/>
                <w:sz w:val="21"/>
                <w:szCs w:val="21"/>
              </w:rPr>
              <w:t>g/h）</w:t>
            </w:r>
          </w:p>
        </w:tc>
        <w:tc>
          <w:tcPr>
            <w:tcW w:w="1651"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排放强度</w:t>
            </w:r>
          </w:p>
          <w:p>
            <w:pPr>
              <w:snapToGrid w:val="0"/>
              <w:spacing w:line="240" w:lineRule="auto"/>
              <w:jc w:val="center"/>
              <w:rPr>
                <w:rFonts w:eastAsiaTheme="minorEastAsia"/>
                <w:sz w:val="21"/>
                <w:szCs w:val="21"/>
              </w:rPr>
            </w:pPr>
            <w:r>
              <w:rPr>
                <w:rFonts w:eastAsiaTheme="minorEastAsia"/>
                <w:sz w:val="21"/>
                <w:szCs w:val="21"/>
              </w:rPr>
              <w:t>（g/头·d）</w:t>
            </w:r>
          </w:p>
        </w:tc>
        <w:tc>
          <w:tcPr>
            <w:tcW w:w="1268"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产生量（g/h）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6" w:type="dxa"/>
            <w:vMerge w:val="restart"/>
            <w:tcMar>
              <w:left w:w="57" w:type="dxa"/>
              <w:right w:w="57" w:type="dxa"/>
            </w:tcMar>
            <w:vAlign w:val="center"/>
          </w:tcPr>
          <w:p>
            <w:pPr>
              <w:snapToGrid w:val="0"/>
              <w:spacing w:line="240" w:lineRule="auto"/>
              <w:jc w:val="center"/>
              <w:rPr>
                <w:sz w:val="21"/>
                <w:szCs w:val="21"/>
              </w:rPr>
            </w:pPr>
            <w:r>
              <w:rPr>
                <w:sz w:val="21"/>
                <w:szCs w:val="21"/>
              </w:rPr>
              <w:t>妊娠舍</w:t>
            </w:r>
          </w:p>
        </w:tc>
        <w:tc>
          <w:tcPr>
            <w:tcW w:w="1121" w:type="dxa"/>
            <w:vAlign w:val="center"/>
          </w:tcPr>
          <w:p>
            <w:pPr>
              <w:snapToGrid w:val="0"/>
              <w:spacing w:line="240" w:lineRule="auto"/>
              <w:jc w:val="center"/>
              <w:rPr>
                <w:sz w:val="21"/>
                <w:szCs w:val="21"/>
              </w:rPr>
            </w:pPr>
            <w:r>
              <w:rPr>
                <w:sz w:val="21"/>
                <w:szCs w:val="21"/>
              </w:rPr>
              <w:t>种猪</w:t>
            </w:r>
          </w:p>
        </w:tc>
        <w:tc>
          <w:tcPr>
            <w:tcW w:w="840" w:type="dxa"/>
            <w:tcMar>
              <w:left w:w="57" w:type="dxa"/>
              <w:right w:w="57" w:type="dxa"/>
            </w:tcMar>
            <w:vAlign w:val="center"/>
          </w:tcPr>
          <w:p>
            <w:pPr>
              <w:snapToGrid w:val="0"/>
              <w:spacing w:line="240" w:lineRule="auto"/>
              <w:jc w:val="center"/>
              <w:rPr>
                <w:sz w:val="21"/>
                <w:szCs w:val="21"/>
              </w:rPr>
            </w:pPr>
            <w:r>
              <w:rPr>
                <w:sz w:val="21"/>
                <w:szCs w:val="21"/>
              </w:rPr>
              <w:t>2682</w:t>
            </w:r>
          </w:p>
        </w:tc>
        <w:tc>
          <w:tcPr>
            <w:tcW w:w="1169"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5.3</w:t>
            </w:r>
          </w:p>
        </w:tc>
        <w:tc>
          <w:tcPr>
            <w:tcW w:w="1786" w:type="dxa"/>
            <w:tcMar>
              <w:left w:w="57" w:type="dxa"/>
              <w:right w:w="57" w:type="dxa"/>
            </w:tcMar>
            <w:vAlign w:val="center"/>
          </w:tcPr>
          <w:p>
            <w:pPr>
              <w:snapToGrid w:val="0"/>
              <w:spacing w:line="240" w:lineRule="auto"/>
              <w:jc w:val="center"/>
              <w:rPr>
                <w:sz w:val="21"/>
                <w:szCs w:val="21"/>
              </w:rPr>
            </w:pPr>
            <w:r>
              <w:rPr>
                <w:sz w:val="21"/>
                <w:szCs w:val="21"/>
              </w:rPr>
              <w:t>592.28</w:t>
            </w:r>
          </w:p>
        </w:tc>
        <w:tc>
          <w:tcPr>
            <w:tcW w:w="1651"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0.5</w:t>
            </w:r>
          </w:p>
        </w:tc>
        <w:tc>
          <w:tcPr>
            <w:tcW w:w="1268" w:type="dxa"/>
            <w:tcMar>
              <w:left w:w="57" w:type="dxa"/>
              <w:right w:w="57" w:type="dxa"/>
            </w:tcMar>
            <w:vAlign w:val="center"/>
          </w:tcPr>
          <w:p>
            <w:pPr>
              <w:snapToGrid w:val="0"/>
              <w:spacing w:line="240" w:lineRule="auto"/>
              <w:jc w:val="center"/>
              <w:rPr>
                <w:sz w:val="21"/>
                <w:szCs w:val="21"/>
              </w:rPr>
            </w:pPr>
            <w:r>
              <w:rPr>
                <w:sz w:val="21"/>
                <w:szCs w:val="21"/>
              </w:rPr>
              <w:t>55.88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6" w:type="dxa"/>
            <w:vMerge w:val="continue"/>
            <w:tcMar>
              <w:left w:w="57" w:type="dxa"/>
              <w:right w:w="57" w:type="dxa"/>
            </w:tcMar>
            <w:vAlign w:val="center"/>
          </w:tcPr>
          <w:p>
            <w:pPr>
              <w:snapToGrid w:val="0"/>
              <w:spacing w:line="240" w:lineRule="auto"/>
              <w:jc w:val="center"/>
              <w:rPr>
                <w:sz w:val="21"/>
                <w:szCs w:val="21"/>
              </w:rPr>
            </w:pPr>
          </w:p>
        </w:tc>
        <w:tc>
          <w:tcPr>
            <w:tcW w:w="1121" w:type="dxa"/>
            <w:vAlign w:val="center"/>
          </w:tcPr>
          <w:p>
            <w:pPr>
              <w:snapToGrid w:val="0"/>
              <w:spacing w:line="240" w:lineRule="auto"/>
              <w:jc w:val="center"/>
              <w:rPr>
                <w:sz w:val="21"/>
                <w:szCs w:val="21"/>
              </w:rPr>
            </w:pPr>
            <w:r>
              <w:rPr>
                <w:rFonts w:hint="eastAsia"/>
                <w:sz w:val="21"/>
                <w:szCs w:val="21"/>
              </w:rPr>
              <w:t>公猪</w:t>
            </w:r>
          </w:p>
        </w:tc>
        <w:tc>
          <w:tcPr>
            <w:tcW w:w="840" w:type="dxa"/>
            <w:tcMar>
              <w:left w:w="57" w:type="dxa"/>
              <w:right w:w="57" w:type="dxa"/>
            </w:tcMar>
            <w:vAlign w:val="center"/>
          </w:tcPr>
          <w:p>
            <w:pPr>
              <w:snapToGrid w:val="0"/>
              <w:spacing w:line="240" w:lineRule="auto"/>
              <w:jc w:val="center"/>
              <w:rPr>
                <w:sz w:val="21"/>
                <w:szCs w:val="21"/>
              </w:rPr>
            </w:pPr>
            <w:r>
              <w:rPr>
                <w:sz w:val="21"/>
                <w:szCs w:val="21"/>
              </w:rPr>
              <w:t>50</w:t>
            </w:r>
          </w:p>
        </w:tc>
        <w:tc>
          <w:tcPr>
            <w:tcW w:w="1169"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5.3</w:t>
            </w:r>
          </w:p>
        </w:tc>
        <w:tc>
          <w:tcPr>
            <w:tcW w:w="1786" w:type="dxa"/>
            <w:tcMar>
              <w:left w:w="57" w:type="dxa"/>
              <w:right w:w="57" w:type="dxa"/>
            </w:tcMar>
            <w:vAlign w:val="center"/>
          </w:tcPr>
          <w:p>
            <w:pPr>
              <w:snapToGrid w:val="0"/>
              <w:spacing w:line="240" w:lineRule="auto"/>
              <w:jc w:val="center"/>
              <w:rPr>
                <w:sz w:val="21"/>
                <w:szCs w:val="21"/>
              </w:rPr>
            </w:pPr>
            <w:r>
              <w:rPr>
                <w:sz w:val="21"/>
                <w:szCs w:val="21"/>
              </w:rPr>
              <w:t>11.04</w:t>
            </w:r>
          </w:p>
        </w:tc>
        <w:tc>
          <w:tcPr>
            <w:tcW w:w="1651"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0</w:t>
            </w:r>
            <w:r>
              <w:rPr>
                <w:rFonts w:eastAsiaTheme="minorEastAsia"/>
                <w:sz w:val="21"/>
                <w:szCs w:val="21"/>
              </w:rPr>
              <w:t>.5</w:t>
            </w:r>
          </w:p>
        </w:tc>
        <w:tc>
          <w:tcPr>
            <w:tcW w:w="1268" w:type="dxa"/>
            <w:tcMar>
              <w:left w:w="57" w:type="dxa"/>
              <w:right w:w="57" w:type="dxa"/>
            </w:tcMar>
            <w:vAlign w:val="center"/>
          </w:tcPr>
          <w:p>
            <w:pPr>
              <w:snapToGrid w:val="0"/>
              <w:spacing w:line="240" w:lineRule="auto"/>
              <w:jc w:val="center"/>
              <w:rPr>
                <w:sz w:val="21"/>
                <w:szCs w:val="21"/>
              </w:rPr>
            </w:pPr>
            <w:r>
              <w:rPr>
                <w:sz w:val="21"/>
                <w:szCs w:val="21"/>
              </w:rPr>
              <w:t>1.04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6" w:type="dxa"/>
            <w:vMerge w:val="continue"/>
            <w:tcMar>
              <w:left w:w="57" w:type="dxa"/>
              <w:right w:w="57" w:type="dxa"/>
            </w:tcMar>
            <w:vAlign w:val="center"/>
          </w:tcPr>
          <w:p>
            <w:pPr>
              <w:snapToGrid w:val="0"/>
              <w:spacing w:line="240" w:lineRule="auto"/>
              <w:jc w:val="center"/>
              <w:rPr>
                <w:sz w:val="21"/>
                <w:szCs w:val="21"/>
              </w:rPr>
            </w:pPr>
          </w:p>
        </w:tc>
        <w:tc>
          <w:tcPr>
            <w:tcW w:w="1121" w:type="dxa"/>
            <w:vAlign w:val="center"/>
          </w:tcPr>
          <w:p>
            <w:pPr>
              <w:snapToGrid w:val="0"/>
              <w:spacing w:line="240" w:lineRule="auto"/>
              <w:jc w:val="center"/>
              <w:rPr>
                <w:sz w:val="21"/>
                <w:szCs w:val="21"/>
              </w:rPr>
            </w:pPr>
            <w:r>
              <w:rPr>
                <w:rFonts w:hint="eastAsia"/>
                <w:sz w:val="21"/>
                <w:szCs w:val="21"/>
              </w:rPr>
              <w:t>小计</w:t>
            </w:r>
          </w:p>
        </w:tc>
        <w:tc>
          <w:tcPr>
            <w:tcW w:w="840" w:type="dxa"/>
            <w:tcMar>
              <w:left w:w="57" w:type="dxa"/>
              <w:right w:w="57" w:type="dxa"/>
            </w:tcMar>
            <w:vAlign w:val="center"/>
          </w:tcPr>
          <w:p>
            <w:pPr>
              <w:snapToGrid w:val="0"/>
              <w:spacing w:line="240" w:lineRule="auto"/>
              <w:jc w:val="center"/>
              <w:rPr>
                <w:sz w:val="21"/>
                <w:szCs w:val="21"/>
              </w:rPr>
            </w:pPr>
          </w:p>
        </w:tc>
        <w:tc>
          <w:tcPr>
            <w:tcW w:w="1169" w:type="dxa"/>
            <w:tcMar>
              <w:left w:w="57" w:type="dxa"/>
              <w:right w:w="57" w:type="dxa"/>
            </w:tcMar>
            <w:vAlign w:val="center"/>
          </w:tcPr>
          <w:p>
            <w:pPr>
              <w:snapToGrid w:val="0"/>
              <w:spacing w:line="240" w:lineRule="auto"/>
              <w:jc w:val="center"/>
              <w:rPr>
                <w:rFonts w:eastAsiaTheme="minorEastAsia"/>
                <w:sz w:val="21"/>
                <w:szCs w:val="21"/>
              </w:rPr>
            </w:pPr>
          </w:p>
        </w:tc>
        <w:tc>
          <w:tcPr>
            <w:tcW w:w="1786" w:type="dxa"/>
            <w:tcMar>
              <w:left w:w="57" w:type="dxa"/>
              <w:right w:w="57" w:type="dxa"/>
            </w:tcMar>
            <w:vAlign w:val="center"/>
          </w:tcPr>
          <w:p>
            <w:pPr>
              <w:snapToGrid w:val="0"/>
              <w:spacing w:line="240" w:lineRule="auto"/>
              <w:jc w:val="center"/>
              <w:rPr>
                <w:sz w:val="21"/>
                <w:szCs w:val="21"/>
              </w:rPr>
            </w:pPr>
            <w:r>
              <w:rPr>
                <w:sz w:val="21"/>
                <w:szCs w:val="21"/>
              </w:rPr>
              <w:t>603.32</w:t>
            </w:r>
          </w:p>
        </w:tc>
        <w:tc>
          <w:tcPr>
            <w:tcW w:w="1651" w:type="dxa"/>
            <w:tcMar>
              <w:left w:w="57" w:type="dxa"/>
              <w:right w:w="57" w:type="dxa"/>
            </w:tcMar>
            <w:vAlign w:val="center"/>
          </w:tcPr>
          <w:p>
            <w:pPr>
              <w:snapToGrid w:val="0"/>
              <w:spacing w:line="240" w:lineRule="auto"/>
              <w:jc w:val="center"/>
              <w:rPr>
                <w:rFonts w:eastAsiaTheme="minorEastAsia"/>
                <w:sz w:val="21"/>
                <w:szCs w:val="21"/>
              </w:rPr>
            </w:pPr>
          </w:p>
        </w:tc>
        <w:tc>
          <w:tcPr>
            <w:tcW w:w="1268" w:type="dxa"/>
            <w:tcMar>
              <w:left w:w="57" w:type="dxa"/>
              <w:right w:w="57" w:type="dxa"/>
            </w:tcMar>
            <w:vAlign w:val="center"/>
          </w:tcPr>
          <w:p>
            <w:pPr>
              <w:snapToGrid w:val="0"/>
              <w:spacing w:line="240" w:lineRule="auto"/>
              <w:jc w:val="center"/>
              <w:rPr>
                <w:sz w:val="21"/>
                <w:szCs w:val="21"/>
              </w:rPr>
            </w:pPr>
            <w:r>
              <w:rPr>
                <w:sz w:val="21"/>
                <w:szCs w:val="21"/>
              </w:rPr>
              <w:t>56.92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6" w:type="dxa"/>
            <w:vMerge w:val="restart"/>
            <w:tcMar>
              <w:left w:w="57" w:type="dxa"/>
              <w:right w:w="57" w:type="dxa"/>
            </w:tcMar>
            <w:vAlign w:val="center"/>
          </w:tcPr>
          <w:p>
            <w:pPr>
              <w:snapToGrid w:val="0"/>
              <w:spacing w:line="240" w:lineRule="auto"/>
              <w:jc w:val="center"/>
              <w:rPr>
                <w:sz w:val="21"/>
                <w:szCs w:val="21"/>
              </w:rPr>
            </w:pPr>
            <w:r>
              <w:rPr>
                <w:rFonts w:hint="eastAsia"/>
                <w:sz w:val="21"/>
                <w:szCs w:val="21"/>
              </w:rPr>
              <w:t>分娩舍</w:t>
            </w:r>
          </w:p>
        </w:tc>
        <w:tc>
          <w:tcPr>
            <w:tcW w:w="1121" w:type="dxa"/>
            <w:vAlign w:val="center"/>
          </w:tcPr>
          <w:p>
            <w:pPr>
              <w:snapToGrid w:val="0"/>
              <w:spacing w:line="240" w:lineRule="auto"/>
              <w:jc w:val="center"/>
              <w:rPr>
                <w:sz w:val="21"/>
                <w:szCs w:val="21"/>
              </w:rPr>
            </w:pPr>
            <w:r>
              <w:rPr>
                <w:rFonts w:hint="eastAsia"/>
                <w:sz w:val="21"/>
                <w:szCs w:val="21"/>
              </w:rPr>
              <w:t>种猪</w:t>
            </w:r>
          </w:p>
        </w:tc>
        <w:tc>
          <w:tcPr>
            <w:tcW w:w="840" w:type="dxa"/>
            <w:tcMar>
              <w:left w:w="57" w:type="dxa"/>
              <w:right w:w="57" w:type="dxa"/>
            </w:tcMar>
            <w:vAlign w:val="center"/>
          </w:tcPr>
          <w:p>
            <w:pPr>
              <w:snapToGrid w:val="0"/>
              <w:spacing w:line="240" w:lineRule="auto"/>
              <w:jc w:val="center"/>
              <w:rPr>
                <w:sz w:val="21"/>
                <w:szCs w:val="21"/>
              </w:rPr>
            </w:pPr>
            <w:r>
              <w:rPr>
                <w:sz w:val="21"/>
                <w:szCs w:val="21"/>
              </w:rPr>
              <w:t>318</w:t>
            </w:r>
          </w:p>
        </w:tc>
        <w:tc>
          <w:tcPr>
            <w:tcW w:w="1169"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5.3</w:t>
            </w:r>
          </w:p>
        </w:tc>
        <w:tc>
          <w:tcPr>
            <w:tcW w:w="1786" w:type="dxa"/>
            <w:tcMar>
              <w:left w:w="57" w:type="dxa"/>
              <w:right w:w="57" w:type="dxa"/>
            </w:tcMar>
            <w:vAlign w:val="center"/>
          </w:tcPr>
          <w:p>
            <w:pPr>
              <w:snapToGrid w:val="0"/>
              <w:spacing w:line="240" w:lineRule="auto"/>
              <w:jc w:val="center"/>
              <w:rPr>
                <w:sz w:val="21"/>
                <w:szCs w:val="21"/>
              </w:rPr>
            </w:pPr>
            <w:r>
              <w:rPr>
                <w:sz w:val="21"/>
                <w:szCs w:val="21"/>
              </w:rPr>
              <w:t>70.23</w:t>
            </w:r>
          </w:p>
        </w:tc>
        <w:tc>
          <w:tcPr>
            <w:tcW w:w="1651"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0</w:t>
            </w:r>
            <w:r>
              <w:rPr>
                <w:rFonts w:eastAsiaTheme="minorEastAsia"/>
                <w:sz w:val="21"/>
                <w:szCs w:val="21"/>
              </w:rPr>
              <w:t>.5</w:t>
            </w:r>
          </w:p>
        </w:tc>
        <w:tc>
          <w:tcPr>
            <w:tcW w:w="1268" w:type="dxa"/>
            <w:tcMar>
              <w:left w:w="57" w:type="dxa"/>
              <w:right w:w="57" w:type="dxa"/>
            </w:tcMar>
            <w:vAlign w:val="center"/>
          </w:tcPr>
          <w:p>
            <w:pPr>
              <w:snapToGrid w:val="0"/>
              <w:spacing w:line="240" w:lineRule="auto"/>
              <w:jc w:val="center"/>
              <w:rPr>
                <w:sz w:val="21"/>
                <w:szCs w:val="21"/>
              </w:rPr>
            </w:pPr>
            <w:r>
              <w:rPr>
                <w:sz w:val="21"/>
                <w:szCs w:val="21"/>
              </w:rPr>
              <w:t>6.63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6" w:type="dxa"/>
            <w:vMerge w:val="continue"/>
            <w:tcMar>
              <w:left w:w="57" w:type="dxa"/>
              <w:right w:w="57" w:type="dxa"/>
            </w:tcMar>
            <w:vAlign w:val="center"/>
          </w:tcPr>
          <w:p>
            <w:pPr>
              <w:snapToGrid w:val="0"/>
              <w:spacing w:line="240" w:lineRule="auto"/>
              <w:jc w:val="center"/>
              <w:rPr>
                <w:sz w:val="21"/>
                <w:szCs w:val="21"/>
              </w:rPr>
            </w:pPr>
          </w:p>
        </w:tc>
        <w:tc>
          <w:tcPr>
            <w:tcW w:w="1121" w:type="dxa"/>
            <w:vAlign w:val="center"/>
          </w:tcPr>
          <w:p>
            <w:pPr>
              <w:snapToGrid w:val="0"/>
              <w:spacing w:line="240" w:lineRule="auto"/>
              <w:jc w:val="center"/>
              <w:rPr>
                <w:sz w:val="21"/>
                <w:szCs w:val="21"/>
              </w:rPr>
            </w:pPr>
            <w:r>
              <w:rPr>
                <w:sz w:val="21"/>
                <w:szCs w:val="21"/>
              </w:rPr>
              <w:t>哺乳仔猪</w:t>
            </w:r>
          </w:p>
        </w:tc>
        <w:tc>
          <w:tcPr>
            <w:tcW w:w="840" w:type="dxa"/>
            <w:tcMar>
              <w:left w:w="57" w:type="dxa"/>
              <w:right w:w="57" w:type="dxa"/>
            </w:tcMar>
            <w:vAlign w:val="center"/>
          </w:tcPr>
          <w:p>
            <w:pPr>
              <w:snapToGrid w:val="0"/>
              <w:spacing w:line="240" w:lineRule="auto"/>
              <w:jc w:val="center"/>
              <w:rPr>
                <w:sz w:val="21"/>
                <w:szCs w:val="21"/>
              </w:rPr>
            </w:pPr>
            <w:r>
              <w:rPr>
                <w:sz w:val="21"/>
                <w:szCs w:val="21"/>
              </w:rPr>
              <w:t>3018</w:t>
            </w:r>
          </w:p>
        </w:tc>
        <w:tc>
          <w:tcPr>
            <w:tcW w:w="1169"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0.7</w:t>
            </w:r>
          </w:p>
        </w:tc>
        <w:tc>
          <w:tcPr>
            <w:tcW w:w="1786" w:type="dxa"/>
            <w:tcMar>
              <w:left w:w="57" w:type="dxa"/>
              <w:right w:w="57" w:type="dxa"/>
            </w:tcMar>
            <w:vAlign w:val="center"/>
          </w:tcPr>
          <w:p>
            <w:pPr>
              <w:snapToGrid w:val="0"/>
              <w:spacing w:line="240" w:lineRule="auto"/>
              <w:jc w:val="center"/>
              <w:rPr>
                <w:sz w:val="21"/>
                <w:szCs w:val="21"/>
              </w:rPr>
            </w:pPr>
            <w:r>
              <w:rPr>
                <w:sz w:val="21"/>
                <w:szCs w:val="21"/>
              </w:rPr>
              <w:t>88.03</w:t>
            </w:r>
          </w:p>
        </w:tc>
        <w:tc>
          <w:tcPr>
            <w:tcW w:w="1651"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0.2</w:t>
            </w:r>
          </w:p>
        </w:tc>
        <w:tc>
          <w:tcPr>
            <w:tcW w:w="1268" w:type="dxa"/>
            <w:tcMar>
              <w:left w:w="57" w:type="dxa"/>
              <w:right w:w="57" w:type="dxa"/>
            </w:tcMar>
            <w:vAlign w:val="center"/>
          </w:tcPr>
          <w:p>
            <w:pPr>
              <w:snapToGrid w:val="0"/>
              <w:spacing w:line="240" w:lineRule="auto"/>
              <w:jc w:val="center"/>
              <w:rPr>
                <w:sz w:val="21"/>
                <w:szCs w:val="21"/>
              </w:rPr>
            </w:pPr>
            <w:r>
              <w:rPr>
                <w:sz w:val="21"/>
                <w:szCs w:val="21"/>
              </w:rPr>
              <w:t>25.15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57" w:type="dxa"/>
            <w:gridSpan w:val="3"/>
            <w:tcMar>
              <w:left w:w="57" w:type="dxa"/>
              <w:right w:w="57" w:type="dxa"/>
            </w:tcMar>
            <w:vAlign w:val="center"/>
          </w:tcPr>
          <w:p>
            <w:pPr>
              <w:snapToGrid w:val="0"/>
              <w:spacing w:line="240" w:lineRule="auto"/>
              <w:jc w:val="center"/>
              <w:rPr>
                <w:sz w:val="21"/>
                <w:szCs w:val="21"/>
              </w:rPr>
            </w:pPr>
            <w:r>
              <w:rPr>
                <w:rFonts w:hint="eastAsia"/>
                <w:sz w:val="21"/>
                <w:szCs w:val="21"/>
              </w:rPr>
              <w:t>小计</w:t>
            </w:r>
          </w:p>
        </w:tc>
        <w:tc>
          <w:tcPr>
            <w:tcW w:w="1169" w:type="dxa"/>
            <w:tcMar>
              <w:left w:w="57" w:type="dxa"/>
              <w:right w:w="57" w:type="dxa"/>
            </w:tcMar>
            <w:vAlign w:val="center"/>
          </w:tcPr>
          <w:p>
            <w:pPr>
              <w:snapToGrid w:val="0"/>
              <w:spacing w:line="240" w:lineRule="auto"/>
              <w:jc w:val="center"/>
              <w:rPr>
                <w:rFonts w:eastAsiaTheme="minorEastAsia"/>
                <w:sz w:val="21"/>
                <w:szCs w:val="21"/>
              </w:rPr>
            </w:pPr>
          </w:p>
        </w:tc>
        <w:tc>
          <w:tcPr>
            <w:tcW w:w="1786" w:type="dxa"/>
            <w:tcMar>
              <w:left w:w="57" w:type="dxa"/>
              <w:right w:w="57" w:type="dxa"/>
            </w:tcMar>
            <w:vAlign w:val="center"/>
          </w:tcPr>
          <w:p>
            <w:pPr>
              <w:snapToGrid w:val="0"/>
              <w:spacing w:line="240" w:lineRule="auto"/>
              <w:jc w:val="center"/>
              <w:rPr>
                <w:sz w:val="21"/>
                <w:szCs w:val="21"/>
              </w:rPr>
            </w:pPr>
            <w:r>
              <w:rPr>
                <w:sz w:val="21"/>
                <w:szCs w:val="21"/>
              </w:rPr>
              <w:t>158.26</w:t>
            </w:r>
          </w:p>
        </w:tc>
        <w:tc>
          <w:tcPr>
            <w:tcW w:w="1651" w:type="dxa"/>
            <w:tcMar>
              <w:left w:w="57" w:type="dxa"/>
              <w:right w:w="57" w:type="dxa"/>
            </w:tcMar>
            <w:vAlign w:val="center"/>
          </w:tcPr>
          <w:p>
            <w:pPr>
              <w:snapToGrid w:val="0"/>
              <w:spacing w:line="240" w:lineRule="auto"/>
              <w:jc w:val="center"/>
              <w:rPr>
                <w:rFonts w:eastAsiaTheme="minorEastAsia"/>
                <w:sz w:val="21"/>
                <w:szCs w:val="21"/>
              </w:rPr>
            </w:pPr>
          </w:p>
        </w:tc>
        <w:tc>
          <w:tcPr>
            <w:tcW w:w="1268" w:type="dxa"/>
            <w:tcMar>
              <w:left w:w="57" w:type="dxa"/>
              <w:right w:w="57" w:type="dxa"/>
            </w:tcMar>
            <w:vAlign w:val="center"/>
          </w:tcPr>
          <w:p>
            <w:pPr>
              <w:snapToGrid w:val="0"/>
              <w:spacing w:line="240" w:lineRule="auto"/>
              <w:jc w:val="center"/>
              <w:rPr>
                <w:sz w:val="21"/>
                <w:szCs w:val="21"/>
              </w:rPr>
            </w:pPr>
            <w:r>
              <w:rPr>
                <w:sz w:val="21"/>
                <w:szCs w:val="21"/>
              </w:rPr>
              <w:t>31.78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57" w:type="dxa"/>
            <w:gridSpan w:val="3"/>
            <w:tcMar>
              <w:left w:w="57" w:type="dxa"/>
              <w:right w:w="57" w:type="dxa"/>
            </w:tcMar>
            <w:vAlign w:val="center"/>
          </w:tcPr>
          <w:p>
            <w:pPr>
              <w:snapToGrid w:val="0"/>
              <w:spacing w:line="240" w:lineRule="auto"/>
              <w:jc w:val="center"/>
              <w:rPr>
                <w:sz w:val="21"/>
                <w:szCs w:val="21"/>
              </w:rPr>
            </w:pPr>
            <w:r>
              <w:rPr>
                <w:sz w:val="21"/>
                <w:szCs w:val="21"/>
              </w:rPr>
              <w:t>合计</w:t>
            </w:r>
          </w:p>
        </w:tc>
        <w:tc>
          <w:tcPr>
            <w:tcW w:w="1169" w:type="dxa"/>
            <w:tcMar>
              <w:left w:w="57" w:type="dxa"/>
              <w:right w:w="57" w:type="dxa"/>
            </w:tcMar>
            <w:vAlign w:val="center"/>
          </w:tcPr>
          <w:p>
            <w:pPr>
              <w:snapToGrid w:val="0"/>
              <w:spacing w:line="240" w:lineRule="auto"/>
              <w:jc w:val="center"/>
              <w:rPr>
                <w:sz w:val="21"/>
                <w:szCs w:val="21"/>
              </w:rPr>
            </w:pPr>
            <w:r>
              <w:rPr>
                <w:sz w:val="21"/>
                <w:szCs w:val="21"/>
              </w:rPr>
              <w:t>/</w:t>
            </w:r>
          </w:p>
        </w:tc>
        <w:tc>
          <w:tcPr>
            <w:tcW w:w="1786" w:type="dxa"/>
            <w:tcMar>
              <w:left w:w="57" w:type="dxa"/>
              <w:right w:w="57" w:type="dxa"/>
            </w:tcMar>
            <w:vAlign w:val="center"/>
          </w:tcPr>
          <w:p>
            <w:pPr>
              <w:snapToGrid w:val="0"/>
              <w:spacing w:line="240" w:lineRule="auto"/>
              <w:jc w:val="center"/>
              <w:rPr>
                <w:sz w:val="21"/>
                <w:szCs w:val="21"/>
              </w:rPr>
            </w:pPr>
            <w:r>
              <w:rPr>
                <w:sz w:val="21"/>
                <w:szCs w:val="21"/>
              </w:rPr>
              <w:t>761.58</w:t>
            </w:r>
          </w:p>
        </w:tc>
        <w:tc>
          <w:tcPr>
            <w:tcW w:w="1651" w:type="dxa"/>
            <w:tcMar>
              <w:left w:w="57" w:type="dxa"/>
              <w:right w:w="57" w:type="dxa"/>
            </w:tcMar>
            <w:vAlign w:val="center"/>
          </w:tcPr>
          <w:p>
            <w:pPr>
              <w:snapToGrid w:val="0"/>
              <w:spacing w:line="240" w:lineRule="auto"/>
              <w:jc w:val="center"/>
              <w:rPr>
                <w:sz w:val="21"/>
                <w:szCs w:val="21"/>
              </w:rPr>
            </w:pPr>
            <w:r>
              <w:rPr>
                <w:sz w:val="21"/>
                <w:szCs w:val="21"/>
              </w:rPr>
              <w:t>/</w:t>
            </w:r>
          </w:p>
        </w:tc>
        <w:tc>
          <w:tcPr>
            <w:tcW w:w="1268" w:type="dxa"/>
            <w:tcMar>
              <w:left w:w="57" w:type="dxa"/>
              <w:right w:w="57" w:type="dxa"/>
            </w:tcMar>
            <w:vAlign w:val="center"/>
          </w:tcPr>
          <w:p>
            <w:pPr>
              <w:snapToGrid w:val="0"/>
              <w:spacing w:line="240" w:lineRule="auto"/>
              <w:jc w:val="center"/>
              <w:rPr>
                <w:sz w:val="21"/>
                <w:szCs w:val="21"/>
              </w:rPr>
            </w:pPr>
            <w:r>
              <w:rPr>
                <w:sz w:val="21"/>
                <w:szCs w:val="21"/>
              </w:rPr>
              <w:t>88.7</w:t>
            </w:r>
          </w:p>
        </w:tc>
      </w:tr>
    </w:tbl>
    <w:p>
      <w:pPr>
        <w:pStyle w:val="2"/>
        <w:ind w:firstLine="480"/>
        <w:rPr>
          <w:rFonts w:hint="default"/>
        </w:rPr>
      </w:pPr>
    </w:p>
    <w:p>
      <w:pPr>
        <w:snapToGrid w:val="0"/>
        <w:ind w:firstLine="480" w:firstLineChars="200"/>
      </w:pPr>
      <w:r>
        <w:rPr>
          <w:rFonts w:eastAsiaTheme="minorEastAsia"/>
        </w:rPr>
        <w:t>由上表可知，项目氨气产生量为761.58g/h，合计6.67t/a；硫化氢产生量为88.7g/h，计0.78t/a。属于无组织面源。</w:t>
      </w:r>
    </w:p>
    <w:p>
      <w:pPr>
        <w:adjustRightInd w:val="0"/>
        <w:snapToGrid w:val="0"/>
        <w:ind w:firstLine="482" w:firstLineChars="200"/>
        <w:rPr>
          <w:b/>
        </w:rPr>
      </w:pPr>
      <w:r>
        <w:rPr>
          <w:b/>
        </w:rPr>
        <w:t>（2）恶臭防护措施</w:t>
      </w:r>
    </w:p>
    <w:p>
      <w:pPr>
        <w:snapToGrid w:val="0"/>
        <w:ind w:firstLine="480" w:firstLineChars="200"/>
        <w:rPr>
          <w:rFonts w:eastAsiaTheme="minorEastAsia"/>
        </w:rPr>
      </w:pPr>
      <w:r>
        <w:rPr>
          <w:rFonts w:hint="eastAsia" w:eastAsiaTheme="minorEastAsia"/>
        </w:rPr>
        <w:t>本项目主体设计中将采取如下几种措施减少恶臭的产生与传播：</w:t>
      </w:r>
    </w:p>
    <w:p>
      <w:pPr>
        <w:snapToGrid w:val="0"/>
        <w:ind w:firstLine="480" w:firstLineChars="200"/>
        <w:rPr>
          <w:rFonts w:eastAsiaTheme="minorEastAsia"/>
        </w:rPr>
      </w:pPr>
      <w:r>
        <w:rPr>
          <w:rFonts w:hint="eastAsia" w:eastAsiaTheme="minorEastAsia"/>
        </w:rPr>
        <w:t>①猪舍封闭性较好。本项目的猪舍采用水帘风机通风降温，封闭性较好，水帘风机安装会使整个猪舍形成微负压，猪舍外的空气穿过水帘后被吸入猪舍风，带着猪舍内的气体经风机排出室外，故本项目恶臭亦随气流由风机排出，不会呈无组织向四周扩散。</w:t>
      </w:r>
    </w:p>
    <w:p>
      <w:pPr>
        <w:snapToGrid w:val="0"/>
        <w:ind w:firstLine="480" w:firstLineChars="200"/>
        <w:rPr>
          <w:rFonts w:eastAsiaTheme="minorEastAsia"/>
        </w:rPr>
      </w:pPr>
      <w:r>
        <w:rPr>
          <w:rFonts w:hint="eastAsia" w:eastAsiaTheme="minorEastAsia"/>
        </w:rPr>
        <w:t>②向猪舍投放吸附剂和喷洒除臭剂。本项目会定时向猪舍内投放吸附剂（如沸石、膨润土以及秸秆等含纤维素和木质素较多的材料），以减少恶臭的散发，并且每天多次喷洒除臭剂，以减少恶臭的产生，且使用高锰酸钾等氧化剂及一些杀菌剂，可杀死厌氧发酵的细菌，达到除臭目的。</w:t>
      </w:r>
    </w:p>
    <w:p>
      <w:pPr>
        <w:snapToGrid w:val="0"/>
        <w:ind w:firstLine="480" w:firstLineChars="200"/>
        <w:rPr>
          <w:rFonts w:eastAsiaTheme="minorEastAsia"/>
        </w:rPr>
      </w:pPr>
      <w:r>
        <w:rPr>
          <w:rFonts w:eastAsiaTheme="minorEastAsia"/>
        </w:rPr>
        <w:fldChar w:fldCharType="begin"/>
      </w:r>
      <w:r>
        <w:rPr>
          <w:rFonts w:eastAsiaTheme="minorEastAsia"/>
        </w:rPr>
        <w:instrText xml:space="preserve"> </w:instrText>
      </w:r>
      <w:r>
        <w:rPr>
          <w:rFonts w:hint="eastAsia" w:eastAsiaTheme="minorEastAsia"/>
        </w:rPr>
        <w:instrText xml:space="preserve">= 3 \* GB3</w:instrText>
      </w:r>
      <w:r>
        <w:rPr>
          <w:rFonts w:eastAsiaTheme="minorEastAsia"/>
        </w:rPr>
        <w:instrText xml:space="preserve"> </w:instrText>
      </w:r>
      <w:r>
        <w:rPr>
          <w:rFonts w:eastAsiaTheme="minorEastAsia"/>
        </w:rPr>
        <w:fldChar w:fldCharType="separate"/>
      </w:r>
      <w:r>
        <w:rPr>
          <w:rFonts w:hint="eastAsia" w:eastAsiaTheme="minorEastAsia"/>
        </w:rPr>
        <w:t>③</w:t>
      </w:r>
      <w:r>
        <w:rPr>
          <w:rFonts w:eastAsiaTheme="minorEastAsia"/>
        </w:rPr>
        <w:fldChar w:fldCharType="end"/>
      </w:r>
      <w:r>
        <w:rPr>
          <w:rFonts w:hint="eastAsia" w:eastAsiaTheme="minorEastAsia"/>
        </w:rPr>
        <w:t>改善饲料质量，本项目猪饲料以五谷杂粮为主，并添加EM制剂等，以减少恶臭的产生。根据畜牧业2001年第2期发布的《规模化养猪场中的恶臭及其控制措施》（黄 雪泉、黄锦华）可知，EM 制剂是一种新型的复合微生物制剂，其可增加猪消化道内有益微生物的数量，调节体内的微生物生态平衡</w:t>
      </w:r>
      <w:r>
        <w:rPr>
          <w:rFonts w:hint="eastAsia" w:ascii="微软雅黑" w:hAnsi="微软雅黑" w:eastAsia="微软雅黑" w:cs="微软雅黑"/>
        </w:rPr>
        <w:t>､</w:t>
      </w:r>
      <w:r>
        <w:rPr>
          <w:rFonts w:hint="eastAsia" w:ascii="宋体" w:hAnsi="宋体" w:cs="宋体"/>
        </w:rPr>
        <w:t>防治</w:t>
      </w:r>
      <w:r>
        <w:rPr>
          <w:rFonts w:hint="eastAsia" w:eastAsiaTheme="minorEastAsia"/>
        </w:rPr>
        <w:t>猪只下痢，促进生长发育，提高猪的饲料转化率，减少肠道内氨</w:t>
      </w:r>
      <w:r>
        <w:rPr>
          <w:rFonts w:hint="eastAsia" w:ascii="微软雅黑" w:hAnsi="微软雅黑" w:eastAsia="微软雅黑" w:cs="微软雅黑"/>
        </w:rPr>
        <w:t>､</w:t>
      </w:r>
      <w:r>
        <w:rPr>
          <w:rFonts w:hint="eastAsia" w:ascii="宋体" w:hAnsi="宋体" w:cs="宋体"/>
        </w:rPr>
        <w:t>吲哚等恶臭物质的产生</w:t>
      </w:r>
      <w:r>
        <w:rPr>
          <w:rFonts w:hint="eastAsia" w:ascii="微软雅黑" w:hAnsi="微软雅黑" w:eastAsia="微软雅黑" w:cs="微软雅黑"/>
        </w:rPr>
        <w:t>｡</w:t>
      </w:r>
      <w:r>
        <w:rPr>
          <w:rFonts w:hint="eastAsia" w:ascii="宋体" w:hAnsi="宋体" w:cs="宋体"/>
        </w:rPr>
        <w:t>据北京市环境保护监测</w:t>
      </w:r>
      <w:r>
        <w:rPr>
          <w:rFonts w:hint="eastAsia" w:eastAsiaTheme="minorEastAsia"/>
        </w:rPr>
        <w:t>中心对</w:t>
      </w:r>
      <w:r>
        <w:rPr>
          <w:rFonts w:eastAsiaTheme="minorEastAsia"/>
        </w:rPr>
        <w:t>EM</w:t>
      </w:r>
      <w:r>
        <w:rPr>
          <w:rFonts w:hint="eastAsia" w:eastAsiaTheme="minorEastAsia"/>
        </w:rPr>
        <w:t>除臭效果进行测试的结果表明使用</w:t>
      </w:r>
      <w:r>
        <w:rPr>
          <w:rFonts w:eastAsiaTheme="minorEastAsia"/>
        </w:rPr>
        <w:t>EM</w:t>
      </w:r>
      <w:r>
        <w:rPr>
          <w:rFonts w:hint="eastAsia" w:eastAsiaTheme="minorEastAsia"/>
        </w:rPr>
        <w:t>一个月后，恶臭浓度下降了</w:t>
      </w:r>
      <w:r>
        <w:rPr>
          <w:rFonts w:eastAsiaTheme="minorEastAsia"/>
        </w:rPr>
        <w:t>97.7%</w:t>
      </w:r>
      <w:r>
        <w:rPr>
          <w:rFonts w:hint="eastAsia" w:eastAsiaTheme="minorEastAsia"/>
        </w:rPr>
        <w:t>。</w:t>
      </w:r>
      <w:r>
        <w:rPr>
          <w:rFonts w:eastAsiaTheme="minorEastAsia"/>
        </w:rPr>
        <w:t xml:space="preserve"> </w:t>
      </w:r>
      <w:r>
        <w:rPr>
          <w:rFonts w:hint="eastAsia" w:eastAsiaTheme="minorEastAsia"/>
        </w:rPr>
        <w:t>为了验证本项目的饲料结构（五谷杂粮</w:t>
      </w:r>
      <w:r>
        <w:rPr>
          <w:rFonts w:eastAsiaTheme="minorEastAsia"/>
        </w:rPr>
        <w:t xml:space="preserve">+EM </w:t>
      </w:r>
      <w:r>
        <w:rPr>
          <w:rFonts w:hint="eastAsia" w:eastAsiaTheme="minorEastAsia"/>
        </w:rPr>
        <w:t>制剂）可以减少恶臭的产生，本次评价对成都市百欧森农牧发展有限公司的恶臭源进行监测。成都市百欧森农牧发展有 限公司成立于2010年，位于邛崃市冉义镇，目前该厂的养殖规模为年出栏商品猪4800头，项目所在地建设有 5 栋猪舍，每栋猪舍存栏量为 400 头，成都市百欧森农牧发展有限公司与本项目的饲养猪只的饲料结构一致。四川衡测检测技术股份有限公司于 2018 年8月27 日对成都市百欧森 农牧发展有限公司的 1 号猪舍和 2号猪舍（两个猪舍为平行样，最后取浓度最大值的2#猪舍）的排风口进行监测恶臭浓度，并了解到成都市百欧森农牧发展有限公司的排风扇的设置及其排风规律：每个猪舍均有 12 个大排风扇和 12 个小排风扇，当进入夏季时，运行 12 个大排风扇，每 15min 运行 1min，当进入冬季时，运行 12个小排风扇，每30min 运行1min。经调查后可知，监测时成都市百欧森农牧发展有限公司的风量按运行时间折算后为 17000m</w:t>
      </w:r>
      <w:r>
        <w:rPr>
          <w:rFonts w:hint="eastAsia" w:eastAsiaTheme="minorEastAsia"/>
          <w:vertAlign w:val="superscript"/>
        </w:rPr>
        <w:t>3</w:t>
      </w:r>
      <w:r>
        <w:rPr>
          <w:rFonts w:hint="eastAsia" w:eastAsiaTheme="minorEastAsia"/>
        </w:rPr>
        <w:t>/h。通过计算，成都市百欧森农牧发展有限公司的 2#猪舍产生的氨气源强为 0.0253kg/h，H</w:t>
      </w:r>
      <w:r>
        <w:rPr>
          <w:rFonts w:hint="eastAsia" w:eastAsiaTheme="minorEastAsia"/>
          <w:vertAlign w:val="subscript"/>
        </w:rPr>
        <w:t>2</w:t>
      </w:r>
      <w:r>
        <w:rPr>
          <w:rFonts w:hint="eastAsia" w:eastAsiaTheme="minorEastAsia"/>
        </w:rPr>
        <w:t>S 源强为 1.02×10</w:t>
      </w:r>
      <w:r>
        <w:rPr>
          <w:rFonts w:hint="eastAsia" w:eastAsiaTheme="minorEastAsia"/>
          <w:vertAlign w:val="superscript"/>
        </w:rPr>
        <w:t>-4</w:t>
      </w:r>
      <w:r>
        <w:rPr>
          <w:rFonts w:hint="eastAsia" w:eastAsiaTheme="minorEastAsia"/>
        </w:rPr>
        <w:t>kg/h。同时，成都市百欧森农牧发展有限公司2#猪舍的恶臭源强按照中国环境科学学 会学术年会论文集（2010）中的《养猪场恶臭影响量化分析及控制对策研究》（天津市环境影响评价中心，孙艳青、张潞、李万庆）的恶臭源强计算可知，成都市百 欧森农牧发展有限公司 2#猪舍产生的氨气源强为 0.09416kg/h，H</w:t>
      </w:r>
      <w:r>
        <w:rPr>
          <w:rFonts w:hint="eastAsia" w:eastAsiaTheme="minorEastAsia"/>
          <w:vertAlign w:val="subscript"/>
        </w:rPr>
        <w:t>2</w:t>
      </w:r>
      <w:r>
        <w:rPr>
          <w:rFonts w:hint="eastAsia" w:eastAsiaTheme="minorEastAsia"/>
        </w:rPr>
        <w:t>S 源强为 8.3×10</w:t>
      </w:r>
      <w:r>
        <w:rPr>
          <w:rFonts w:hint="eastAsia" w:eastAsiaTheme="minorEastAsia"/>
          <w:vertAlign w:val="superscript"/>
        </w:rPr>
        <w:t>-3</w:t>
      </w:r>
      <w:r>
        <w:rPr>
          <w:rFonts w:hint="eastAsia" w:eastAsiaTheme="minorEastAsia"/>
        </w:rPr>
        <w:t>kg/h。</w:t>
      </w:r>
    </w:p>
    <w:p>
      <w:pPr>
        <w:pStyle w:val="2"/>
        <w:snapToGrid w:val="0"/>
        <w:spacing w:line="240" w:lineRule="auto"/>
        <w:ind w:firstLine="960" w:firstLineChars="400"/>
        <w:rPr>
          <w:rFonts w:hint="default"/>
        </w:rPr>
      </w:pPr>
      <w:r>
        <w:t>表</w:t>
      </w:r>
      <w:r>
        <w:rPr>
          <w:rFonts w:hint="default"/>
        </w:rPr>
        <w:t>4</w:t>
      </w:r>
      <w:r>
        <w:t>.</w:t>
      </w:r>
      <w:r>
        <w:rPr>
          <w:rFonts w:hint="default"/>
        </w:rPr>
        <w:t>3</w:t>
      </w:r>
      <w:r>
        <w:t>-7 成都市百欧森农牧发展有限公司 2#猪舍恶臭源强统计</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493"/>
        <w:gridCol w:w="1875"/>
        <w:gridCol w:w="1418"/>
        <w:gridCol w:w="1578"/>
        <w:gridCol w:w="15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2433" w:type="dxa"/>
            <w:vAlign w:val="center"/>
          </w:tcPr>
          <w:p>
            <w:pPr>
              <w:pStyle w:val="2"/>
              <w:spacing w:line="240" w:lineRule="auto"/>
              <w:ind w:firstLine="1260" w:firstLineChars="600"/>
              <w:jc w:val="center"/>
              <w:rPr>
                <w:rFonts w:hint="default"/>
                <w:kern w:val="0"/>
                <w:sz w:val="21"/>
                <w:szCs w:val="21"/>
              </w:rPr>
            </w:pPr>
            <w:r>
              <w:rPr>
                <w:kern w:val="0"/>
                <w:sz w:val="21"/>
                <w:szCs w:val="21"/>
              </w:rPr>
              <w:t>指标</w:t>
            </w:r>
          </w:p>
          <w:p>
            <w:pPr>
              <w:pStyle w:val="2"/>
              <w:spacing w:line="240" w:lineRule="auto"/>
              <w:ind w:firstLine="0" w:firstLineChars="0"/>
              <w:jc w:val="center"/>
              <w:rPr>
                <w:rFonts w:hint="default"/>
                <w:kern w:val="0"/>
                <w:sz w:val="21"/>
                <w:szCs w:val="21"/>
              </w:rPr>
            </w:pPr>
            <w:r>
              <w:rPr>
                <w:kern w:val="0"/>
                <w:sz w:val="21"/>
                <w:szCs w:val="21"/>
              </w:rPr>
              <w:t>计算</w:t>
            </w:r>
          </w:p>
        </w:tc>
        <w:tc>
          <w:tcPr>
            <w:tcW w:w="3214" w:type="dxa"/>
            <w:gridSpan w:val="2"/>
            <w:vAlign w:val="center"/>
          </w:tcPr>
          <w:p>
            <w:pPr>
              <w:pStyle w:val="2"/>
              <w:spacing w:line="240" w:lineRule="auto"/>
              <w:ind w:firstLine="0" w:firstLineChars="0"/>
              <w:jc w:val="center"/>
              <w:rPr>
                <w:rFonts w:hint="default"/>
                <w:kern w:val="0"/>
                <w:sz w:val="21"/>
                <w:szCs w:val="21"/>
              </w:rPr>
            </w:pPr>
            <w:r>
              <w:rPr>
                <w:kern w:val="0"/>
                <w:sz w:val="21"/>
                <w:szCs w:val="21"/>
              </w:rPr>
              <w:t>氨</w:t>
            </w:r>
          </w:p>
        </w:tc>
        <w:tc>
          <w:tcPr>
            <w:tcW w:w="3084" w:type="dxa"/>
            <w:gridSpan w:val="2"/>
            <w:vAlign w:val="center"/>
          </w:tcPr>
          <w:p>
            <w:pPr>
              <w:pStyle w:val="2"/>
              <w:spacing w:line="240" w:lineRule="auto"/>
              <w:ind w:firstLine="0" w:firstLineChars="0"/>
              <w:jc w:val="center"/>
              <w:rPr>
                <w:rFonts w:hint="default"/>
                <w:kern w:val="0"/>
                <w:sz w:val="21"/>
                <w:szCs w:val="21"/>
              </w:rPr>
            </w:pPr>
            <w:r>
              <w:rPr>
                <w:kern w:val="0"/>
                <w:sz w:val="21"/>
                <w:szCs w:val="21"/>
              </w:rPr>
              <w:t>硫化氢</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3" w:type="dxa"/>
            <w:vMerge w:val="restart"/>
            <w:vAlign w:val="center"/>
          </w:tcPr>
          <w:p>
            <w:pPr>
              <w:pStyle w:val="2"/>
              <w:spacing w:line="240" w:lineRule="auto"/>
              <w:ind w:firstLine="0" w:firstLineChars="0"/>
              <w:jc w:val="center"/>
              <w:rPr>
                <w:rFonts w:hint="default"/>
                <w:kern w:val="0"/>
                <w:sz w:val="21"/>
                <w:szCs w:val="21"/>
              </w:rPr>
            </w:pPr>
            <w:r>
              <w:rPr>
                <w:kern w:val="0"/>
                <w:sz w:val="21"/>
                <w:szCs w:val="21"/>
              </w:rPr>
              <w:t>根据监测所得源强</w:t>
            </w:r>
          </w:p>
        </w:tc>
        <w:tc>
          <w:tcPr>
            <w:tcW w:w="1830" w:type="dxa"/>
            <w:vAlign w:val="center"/>
          </w:tcPr>
          <w:p>
            <w:pPr>
              <w:pStyle w:val="2"/>
              <w:spacing w:line="240" w:lineRule="auto"/>
              <w:ind w:firstLine="0" w:firstLineChars="0"/>
              <w:jc w:val="center"/>
              <w:rPr>
                <w:rFonts w:hint="default"/>
                <w:kern w:val="0"/>
                <w:sz w:val="21"/>
                <w:szCs w:val="21"/>
              </w:rPr>
            </w:pPr>
            <w:r>
              <w:rPr>
                <w:kern w:val="0"/>
                <w:sz w:val="21"/>
                <w:szCs w:val="21"/>
              </w:rPr>
              <w:t>排放浓度</w:t>
            </w:r>
          </w:p>
        </w:tc>
        <w:tc>
          <w:tcPr>
            <w:tcW w:w="1384" w:type="dxa"/>
            <w:vAlign w:val="center"/>
          </w:tcPr>
          <w:p>
            <w:pPr>
              <w:pStyle w:val="2"/>
              <w:spacing w:line="240" w:lineRule="auto"/>
              <w:ind w:firstLine="0" w:firstLineChars="0"/>
              <w:jc w:val="center"/>
              <w:rPr>
                <w:rFonts w:hint="default"/>
                <w:kern w:val="0"/>
                <w:sz w:val="21"/>
                <w:szCs w:val="21"/>
              </w:rPr>
            </w:pPr>
            <w:r>
              <w:rPr>
                <w:kern w:val="0"/>
                <w:sz w:val="21"/>
                <w:szCs w:val="21"/>
              </w:rPr>
              <w:t>产生量k</w:t>
            </w:r>
            <w:r>
              <w:rPr>
                <w:rFonts w:hint="default"/>
                <w:kern w:val="0"/>
                <w:sz w:val="21"/>
                <w:szCs w:val="21"/>
              </w:rPr>
              <w:t>g/h</w:t>
            </w:r>
          </w:p>
        </w:tc>
        <w:tc>
          <w:tcPr>
            <w:tcW w:w="1540" w:type="dxa"/>
            <w:vAlign w:val="center"/>
          </w:tcPr>
          <w:p>
            <w:pPr>
              <w:pStyle w:val="2"/>
              <w:spacing w:line="240" w:lineRule="auto"/>
              <w:ind w:firstLine="0" w:firstLineChars="0"/>
              <w:jc w:val="center"/>
              <w:rPr>
                <w:rFonts w:hint="default"/>
                <w:kern w:val="0"/>
                <w:sz w:val="21"/>
                <w:szCs w:val="21"/>
              </w:rPr>
            </w:pPr>
            <w:r>
              <w:rPr>
                <w:kern w:val="0"/>
                <w:sz w:val="21"/>
                <w:szCs w:val="21"/>
              </w:rPr>
              <w:t>排放浓度</w:t>
            </w:r>
          </w:p>
        </w:tc>
        <w:tc>
          <w:tcPr>
            <w:tcW w:w="1544" w:type="dxa"/>
            <w:vAlign w:val="center"/>
          </w:tcPr>
          <w:p>
            <w:pPr>
              <w:pStyle w:val="2"/>
              <w:spacing w:line="240" w:lineRule="auto"/>
              <w:ind w:firstLine="0" w:firstLineChars="0"/>
              <w:jc w:val="center"/>
              <w:rPr>
                <w:rFonts w:hint="default"/>
                <w:kern w:val="0"/>
                <w:sz w:val="21"/>
                <w:szCs w:val="21"/>
              </w:rPr>
            </w:pPr>
            <w:r>
              <w:rPr>
                <w:kern w:val="0"/>
                <w:sz w:val="21"/>
                <w:szCs w:val="21"/>
              </w:rPr>
              <w:t>产生量k</w:t>
            </w:r>
            <w:r>
              <w:rPr>
                <w:rFonts w:hint="default"/>
                <w:kern w:val="0"/>
                <w:sz w:val="21"/>
                <w:szCs w:val="21"/>
              </w:rPr>
              <w:t>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3" w:type="dxa"/>
            <w:vMerge w:val="continue"/>
            <w:vAlign w:val="center"/>
          </w:tcPr>
          <w:p>
            <w:pPr>
              <w:pStyle w:val="2"/>
              <w:spacing w:line="240" w:lineRule="auto"/>
              <w:ind w:firstLine="0" w:firstLineChars="0"/>
              <w:jc w:val="center"/>
              <w:rPr>
                <w:rFonts w:hint="default"/>
                <w:kern w:val="0"/>
                <w:sz w:val="21"/>
                <w:szCs w:val="21"/>
              </w:rPr>
            </w:pPr>
          </w:p>
        </w:tc>
        <w:tc>
          <w:tcPr>
            <w:tcW w:w="1830" w:type="dxa"/>
            <w:vAlign w:val="center"/>
          </w:tcPr>
          <w:p>
            <w:pPr>
              <w:pStyle w:val="2"/>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.49mg/</w:t>
            </w:r>
            <w:r>
              <w:rPr>
                <w:kern w:val="0"/>
                <w:sz w:val="21"/>
                <w:szCs w:val="21"/>
              </w:rPr>
              <w:t>m</w:t>
            </w:r>
            <w:r>
              <w:rPr>
                <w:rFonts w:hint="default"/>
                <w:kern w:val="0"/>
                <w:sz w:val="21"/>
                <w:szCs w:val="21"/>
                <w:vertAlign w:val="superscript"/>
              </w:rPr>
              <w:t>3</w:t>
            </w:r>
          </w:p>
        </w:tc>
        <w:tc>
          <w:tcPr>
            <w:tcW w:w="1384" w:type="dxa"/>
            <w:vAlign w:val="center"/>
          </w:tcPr>
          <w:p>
            <w:pPr>
              <w:pStyle w:val="2"/>
              <w:spacing w:line="240" w:lineRule="auto"/>
              <w:ind w:firstLine="0" w:firstLineChars="0"/>
              <w:jc w:val="center"/>
              <w:rPr>
                <w:rFonts w:hint="default"/>
                <w:kern w:val="0"/>
                <w:sz w:val="21"/>
                <w:szCs w:val="21"/>
              </w:rPr>
            </w:pPr>
            <w:r>
              <w:rPr>
                <w:kern w:val="0"/>
                <w:sz w:val="21"/>
                <w:szCs w:val="21"/>
              </w:rPr>
              <w:t>0</w:t>
            </w:r>
            <w:r>
              <w:rPr>
                <w:rFonts w:hint="default"/>
                <w:kern w:val="0"/>
                <w:sz w:val="21"/>
                <w:szCs w:val="21"/>
              </w:rPr>
              <w:t>.0253</w:t>
            </w:r>
          </w:p>
        </w:tc>
        <w:tc>
          <w:tcPr>
            <w:tcW w:w="1540" w:type="dxa"/>
            <w:vAlign w:val="center"/>
          </w:tcPr>
          <w:p>
            <w:pPr>
              <w:pStyle w:val="2"/>
              <w:spacing w:line="240" w:lineRule="auto"/>
              <w:ind w:firstLine="0" w:firstLineChars="0"/>
              <w:jc w:val="center"/>
              <w:rPr>
                <w:rFonts w:hint="default"/>
                <w:kern w:val="0"/>
                <w:sz w:val="21"/>
                <w:szCs w:val="21"/>
              </w:rPr>
            </w:pPr>
            <w:r>
              <w:rPr>
                <w:kern w:val="0"/>
                <w:sz w:val="21"/>
                <w:szCs w:val="21"/>
              </w:rPr>
              <w:t>0</w:t>
            </w:r>
            <w:r>
              <w:rPr>
                <w:rFonts w:hint="default"/>
                <w:kern w:val="0"/>
                <w:sz w:val="21"/>
                <w:szCs w:val="21"/>
              </w:rPr>
              <w:t>.006mg</w:t>
            </w:r>
            <w:r>
              <w:rPr>
                <w:kern w:val="0"/>
                <w:sz w:val="21"/>
                <w:szCs w:val="21"/>
              </w:rPr>
              <w:t>/m</w:t>
            </w:r>
            <w:r>
              <w:rPr>
                <w:rFonts w:hint="default"/>
                <w:kern w:val="0"/>
                <w:sz w:val="21"/>
                <w:szCs w:val="21"/>
                <w:vertAlign w:val="superscript"/>
              </w:rPr>
              <w:t>3</w:t>
            </w:r>
          </w:p>
        </w:tc>
        <w:tc>
          <w:tcPr>
            <w:tcW w:w="1544" w:type="dxa"/>
            <w:vAlign w:val="center"/>
          </w:tcPr>
          <w:p>
            <w:pPr>
              <w:pStyle w:val="2"/>
              <w:spacing w:line="240" w:lineRule="auto"/>
              <w:ind w:firstLine="0" w:firstLineChars="0"/>
              <w:jc w:val="center"/>
              <w:rPr>
                <w:rFonts w:hint="default"/>
                <w:kern w:val="0"/>
                <w:sz w:val="21"/>
                <w:szCs w:val="21"/>
                <w:vertAlign w:val="superscript"/>
              </w:rPr>
            </w:pPr>
            <w:r>
              <w:rPr>
                <w:kern w:val="0"/>
                <w:sz w:val="21"/>
                <w:szCs w:val="21"/>
              </w:rPr>
              <w:t>1</w:t>
            </w:r>
            <w:r>
              <w:rPr>
                <w:rFonts w:hint="default"/>
                <w:kern w:val="0"/>
                <w:sz w:val="21"/>
                <w:szCs w:val="21"/>
              </w:rPr>
              <w:t>.02</w:t>
            </w:r>
            <w:r>
              <w:rPr>
                <w:kern w:val="0"/>
                <w:sz w:val="21"/>
                <w:szCs w:val="21"/>
              </w:rPr>
              <w:t>×1</w:t>
            </w:r>
            <w:r>
              <w:rPr>
                <w:rFonts w:hint="default"/>
                <w:kern w:val="0"/>
                <w:sz w:val="21"/>
                <w:szCs w:val="21"/>
              </w:rPr>
              <w:t>0</w:t>
            </w:r>
            <w:r>
              <w:rPr>
                <w:rFonts w:hint="default"/>
                <w:kern w:val="0"/>
                <w:sz w:val="21"/>
                <w:szCs w:val="21"/>
                <w:vertAlign w:val="superscript"/>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3" w:type="dxa"/>
            <w:vAlign w:val="center"/>
          </w:tcPr>
          <w:p>
            <w:pPr>
              <w:pStyle w:val="2"/>
              <w:spacing w:line="240" w:lineRule="auto"/>
              <w:ind w:firstLine="0" w:firstLineChars="0"/>
              <w:jc w:val="center"/>
              <w:rPr>
                <w:rFonts w:hint="default"/>
                <w:kern w:val="0"/>
                <w:sz w:val="21"/>
                <w:szCs w:val="21"/>
              </w:rPr>
            </w:pPr>
            <w:r>
              <w:rPr>
                <w:kern w:val="0"/>
                <w:sz w:val="21"/>
                <w:szCs w:val="21"/>
              </w:rPr>
              <w:t>根据《养猪场恶臭影响量化分析及控制对策研究计算所得源强》</w:t>
            </w:r>
          </w:p>
        </w:tc>
        <w:tc>
          <w:tcPr>
            <w:tcW w:w="1830" w:type="dxa"/>
            <w:vAlign w:val="center"/>
          </w:tcPr>
          <w:p>
            <w:pPr>
              <w:pStyle w:val="2"/>
              <w:spacing w:line="240" w:lineRule="auto"/>
              <w:ind w:firstLine="0" w:firstLineChars="0"/>
              <w:jc w:val="center"/>
              <w:rPr>
                <w:rFonts w:hint="default"/>
                <w:kern w:val="0"/>
                <w:sz w:val="21"/>
                <w:szCs w:val="21"/>
              </w:rPr>
            </w:pPr>
            <w:r>
              <w:rPr>
                <w:kern w:val="0"/>
                <w:sz w:val="21"/>
                <w:szCs w:val="21"/>
              </w:rPr>
              <w:t>/</w:t>
            </w:r>
          </w:p>
        </w:tc>
        <w:tc>
          <w:tcPr>
            <w:tcW w:w="1384" w:type="dxa"/>
            <w:vAlign w:val="center"/>
          </w:tcPr>
          <w:p>
            <w:pPr>
              <w:pStyle w:val="2"/>
              <w:spacing w:line="240" w:lineRule="auto"/>
              <w:ind w:firstLine="0" w:firstLineChars="0"/>
              <w:jc w:val="center"/>
              <w:rPr>
                <w:rFonts w:hint="default"/>
                <w:kern w:val="0"/>
                <w:sz w:val="21"/>
                <w:szCs w:val="21"/>
              </w:rPr>
            </w:pPr>
            <w:r>
              <w:rPr>
                <w:kern w:val="0"/>
                <w:sz w:val="21"/>
                <w:szCs w:val="21"/>
              </w:rPr>
              <w:t>0.09416</w:t>
            </w:r>
          </w:p>
        </w:tc>
        <w:tc>
          <w:tcPr>
            <w:tcW w:w="1540" w:type="dxa"/>
            <w:vAlign w:val="center"/>
          </w:tcPr>
          <w:p>
            <w:pPr>
              <w:pStyle w:val="2"/>
              <w:spacing w:line="240" w:lineRule="auto"/>
              <w:ind w:firstLine="0" w:firstLineChars="0"/>
              <w:jc w:val="center"/>
              <w:rPr>
                <w:rFonts w:hint="default"/>
                <w:kern w:val="0"/>
                <w:sz w:val="21"/>
                <w:szCs w:val="21"/>
              </w:rPr>
            </w:pPr>
            <w:r>
              <w:rPr>
                <w:kern w:val="0"/>
                <w:sz w:val="21"/>
                <w:szCs w:val="21"/>
              </w:rPr>
              <w:t>/</w:t>
            </w:r>
          </w:p>
        </w:tc>
        <w:tc>
          <w:tcPr>
            <w:tcW w:w="1544" w:type="dxa"/>
            <w:vAlign w:val="center"/>
          </w:tcPr>
          <w:p>
            <w:pPr>
              <w:pStyle w:val="2"/>
              <w:spacing w:line="240" w:lineRule="auto"/>
              <w:ind w:firstLine="0" w:firstLineChars="0"/>
              <w:jc w:val="center"/>
              <w:rPr>
                <w:rFonts w:hint="default"/>
                <w:kern w:val="0"/>
                <w:sz w:val="21"/>
                <w:szCs w:val="21"/>
              </w:rPr>
            </w:pPr>
            <w:r>
              <w:rPr>
                <w:kern w:val="0"/>
                <w:sz w:val="21"/>
                <w:szCs w:val="21"/>
              </w:rPr>
              <w:t>8.3×1</w:t>
            </w:r>
            <w:r>
              <w:rPr>
                <w:rFonts w:hint="default"/>
                <w:kern w:val="0"/>
                <w:sz w:val="21"/>
                <w:szCs w:val="21"/>
              </w:rPr>
              <w:t>0</w:t>
            </w:r>
            <w:r>
              <w:rPr>
                <w:rFonts w:hint="default"/>
                <w:kern w:val="0"/>
                <w:sz w:val="21"/>
                <w:szCs w:val="21"/>
                <w:vertAlign w:val="superscript"/>
              </w:rPr>
              <w:t>-</w:t>
            </w:r>
            <w:r>
              <w:rPr>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3" w:type="dxa"/>
            <w:vAlign w:val="center"/>
          </w:tcPr>
          <w:p>
            <w:pPr>
              <w:pStyle w:val="2"/>
              <w:spacing w:line="240" w:lineRule="auto"/>
              <w:ind w:firstLine="0" w:firstLineChars="0"/>
              <w:jc w:val="center"/>
              <w:rPr>
                <w:rFonts w:hint="default"/>
                <w:kern w:val="0"/>
                <w:sz w:val="21"/>
                <w:szCs w:val="21"/>
              </w:rPr>
            </w:pPr>
            <w:r>
              <w:rPr>
                <w:kern w:val="0"/>
                <w:sz w:val="21"/>
                <w:szCs w:val="21"/>
              </w:rPr>
              <w:t>通过改变饲料结构后，恶臭源强的降低效率</w:t>
            </w:r>
          </w:p>
        </w:tc>
        <w:tc>
          <w:tcPr>
            <w:tcW w:w="1830" w:type="dxa"/>
            <w:vAlign w:val="center"/>
          </w:tcPr>
          <w:p>
            <w:pPr>
              <w:pStyle w:val="2"/>
              <w:spacing w:line="240" w:lineRule="auto"/>
              <w:ind w:firstLine="0" w:firstLineChars="0"/>
              <w:jc w:val="center"/>
              <w:rPr>
                <w:rFonts w:hint="default"/>
                <w:kern w:val="0"/>
                <w:sz w:val="21"/>
                <w:szCs w:val="21"/>
              </w:rPr>
            </w:pPr>
          </w:p>
        </w:tc>
        <w:tc>
          <w:tcPr>
            <w:tcW w:w="1384" w:type="dxa"/>
            <w:vAlign w:val="center"/>
          </w:tcPr>
          <w:p>
            <w:pPr>
              <w:pStyle w:val="2"/>
              <w:spacing w:line="240" w:lineRule="auto"/>
              <w:ind w:firstLine="0" w:firstLineChars="0"/>
              <w:jc w:val="center"/>
              <w:rPr>
                <w:rFonts w:hint="default"/>
                <w:kern w:val="0"/>
                <w:sz w:val="21"/>
                <w:szCs w:val="21"/>
              </w:rPr>
            </w:pPr>
            <w:r>
              <w:rPr>
                <w:kern w:val="0"/>
                <w:sz w:val="21"/>
                <w:szCs w:val="21"/>
              </w:rPr>
              <w:t>74%</w:t>
            </w:r>
          </w:p>
        </w:tc>
        <w:tc>
          <w:tcPr>
            <w:tcW w:w="1540" w:type="dxa"/>
            <w:vAlign w:val="center"/>
          </w:tcPr>
          <w:p>
            <w:pPr>
              <w:pStyle w:val="2"/>
              <w:spacing w:line="240" w:lineRule="auto"/>
              <w:ind w:firstLine="0" w:firstLineChars="0"/>
              <w:jc w:val="center"/>
              <w:rPr>
                <w:rFonts w:hint="default"/>
                <w:kern w:val="0"/>
                <w:sz w:val="21"/>
                <w:szCs w:val="21"/>
              </w:rPr>
            </w:pPr>
          </w:p>
        </w:tc>
        <w:tc>
          <w:tcPr>
            <w:tcW w:w="1544" w:type="dxa"/>
            <w:vAlign w:val="center"/>
          </w:tcPr>
          <w:p>
            <w:pPr>
              <w:pStyle w:val="2"/>
              <w:spacing w:line="240" w:lineRule="auto"/>
              <w:ind w:firstLine="0" w:firstLineChars="0"/>
              <w:jc w:val="center"/>
              <w:rPr>
                <w:rFonts w:hint="default"/>
                <w:kern w:val="0"/>
                <w:sz w:val="21"/>
                <w:szCs w:val="21"/>
              </w:rPr>
            </w:pPr>
            <w:r>
              <w:rPr>
                <w:kern w:val="0"/>
                <w:sz w:val="21"/>
                <w:szCs w:val="21"/>
              </w:rPr>
              <w:t>98%</w:t>
            </w:r>
          </w:p>
        </w:tc>
      </w:tr>
    </w:tbl>
    <w:p>
      <w:pPr>
        <w:snapToGrid w:val="0"/>
        <w:ind w:firstLine="480" w:firstLineChars="200"/>
        <w:rPr>
          <w:rFonts w:eastAsiaTheme="minorEastAsia"/>
        </w:rPr>
      </w:pPr>
      <w:r>
        <w:rPr>
          <w:rFonts w:hint="eastAsia" w:eastAsiaTheme="minorEastAsia"/>
        </w:rPr>
        <w:t>通过本次监测可知，成都市百欧森农牧发展有限公司 2#猪舍经过改变饲料结构 后，NH</w:t>
      </w:r>
      <w:r>
        <w:rPr>
          <w:rFonts w:hint="eastAsia" w:eastAsiaTheme="minorEastAsia"/>
          <w:vertAlign w:val="subscript"/>
        </w:rPr>
        <w:t>3</w:t>
      </w:r>
      <w:r>
        <w:rPr>
          <w:rFonts w:hint="eastAsia" w:eastAsiaTheme="minorEastAsia"/>
        </w:rPr>
        <w:t>产生量减少了 74%，H</w:t>
      </w:r>
      <w:r>
        <w:rPr>
          <w:rFonts w:hint="eastAsia" w:eastAsiaTheme="minorEastAsia"/>
          <w:vertAlign w:val="subscript"/>
        </w:rPr>
        <w:t>2</w:t>
      </w:r>
      <w:r>
        <w:rPr>
          <w:rFonts w:hint="eastAsia" w:eastAsiaTheme="minorEastAsia"/>
        </w:rPr>
        <w:t>S 产生量减少了 98%。</w:t>
      </w:r>
    </w:p>
    <w:p>
      <w:pPr>
        <w:snapToGrid w:val="0"/>
        <w:ind w:firstLine="480" w:firstLineChars="200"/>
        <w:rPr>
          <w:rFonts w:eastAsiaTheme="minorEastAsia"/>
        </w:rPr>
      </w:pPr>
      <w:r>
        <w:rPr>
          <w:rFonts w:eastAsiaTheme="minorEastAsia"/>
        </w:rPr>
        <w:fldChar w:fldCharType="begin"/>
      </w:r>
      <w:r>
        <w:rPr>
          <w:rFonts w:eastAsiaTheme="minorEastAsia"/>
        </w:rPr>
        <w:instrText xml:space="preserve"> </w:instrText>
      </w:r>
      <w:r>
        <w:rPr>
          <w:rFonts w:hint="eastAsia" w:eastAsiaTheme="minorEastAsia"/>
        </w:rPr>
        <w:instrText xml:space="preserve">= 4 \* GB3</w:instrText>
      </w:r>
      <w:r>
        <w:rPr>
          <w:rFonts w:eastAsiaTheme="minorEastAsia"/>
        </w:rPr>
        <w:instrText xml:space="preserve"> </w:instrText>
      </w:r>
      <w:r>
        <w:rPr>
          <w:rFonts w:eastAsiaTheme="minorEastAsia"/>
        </w:rPr>
        <w:fldChar w:fldCharType="separate"/>
      </w:r>
      <w:r>
        <w:rPr>
          <w:rFonts w:hint="eastAsia" w:eastAsiaTheme="minorEastAsia"/>
        </w:rPr>
        <w:t>④</w:t>
      </w:r>
      <w:r>
        <w:rPr>
          <w:rFonts w:eastAsiaTheme="minorEastAsia"/>
        </w:rPr>
        <w:fldChar w:fldCharType="end"/>
      </w:r>
      <w:r>
        <w:rPr>
          <w:rFonts w:hint="eastAsia" w:eastAsiaTheme="minorEastAsia"/>
        </w:rPr>
        <w:t>加强项目场区及四周绿化。在项目场区内部及周围进行绿化和种植防护林，特别是加强场区四周的绿化，强化绿化林对恶臭的阻隔效果，均能阻挡猪舍臭气向周边扩散；场区绿化以完全消灭裸露地面为原则，广种花草树木。场区道路两边种植乔灌木、夹竹桃、松柏等，场界边缘地带种植杨、槐等高大树种形成多层防护林带，以降低恶臭污染的影响程度。</w:t>
      </w:r>
    </w:p>
    <w:p>
      <w:pPr>
        <w:snapToGrid w:val="0"/>
        <w:ind w:firstLine="480" w:firstLineChars="200"/>
        <w:rPr>
          <w:rFonts w:eastAsiaTheme="minorEastAsia"/>
        </w:rPr>
      </w:pPr>
      <w:r>
        <w:rPr>
          <w:rFonts w:eastAsiaTheme="minorEastAsia"/>
        </w:rPr>
        <w:fldChar w:fldCharType="begin"/>
      </w:r>
      <w:r>
        <w:rPr>
          <w:rFonts w:eastAsiaTheme="minorEastAsia"/>
        </w:rPr>
        <w:instrText xml:space="preserve"> </w:instrText>
      </w:r>
      <w:r>
        <w:rPr>
          <w:rFonts w:hint="eastAsia" w:eastAsiaTheme="minorEastAsia"/>
        </w:rPr>
        <w:instrText xml:space="preserve">= 5 \* GB3</w:instrText>
      </w:r>
      <w:r>
        <w:rPr>
          <w:rFonts w:eastAsiaTheme="minorEastAsia"/>
        </w:rPr>
        <w:instrText xml:space="preserve"> </w:instrText>
      </w:r>
      <w:r>
        <w:rPr>
          <w:rFonts w:eastAsiaTheme="minorEastAsia"/>
        </w:rPr>
        <w:fldChar w:fldCharType="separate"/>
      </w:r>
      <w:r>
        <w:rPr>
          <w:rFonts w:hint="eastAsia" w:eastAsiaTheme="minorEastAsia"/>
        </w:rPr>
        <w:t>⑤</w:t>
      </w:r>
      <w:r>
        <w:rPr>
          <w:rFonts w:eastAsiaTheme="minorEastAsia"/>
        </w:rPr>
        <w:fldChar w:fldCharType="end"/>
      </w:r>
      <w:r>
        <w:rPr>
          <w:rFonts w:hint="eastAsia" w:eastAsiaTheme="minorEastAsia"/>
        </w:rPr>
        <w:t>加强消毒措施。本项目消毒间均设置紫外线灯照射消毒。主入口车行道设置 消毒池，每周更换两次消毒液；猪舍每周使用84消毒液喷雾带猪消毒1次；出栏后猪</w:t>
      </w:r>
    </w:p>
    <w:p>
      <w:pPr>
        <w:snapToGrid w:val="0"/>
        <w:ind w:firstLine="480" w:firstLineChars="200"/>
        <w:rPr>
          <w:rFonts w:eastAsiaTheme="minorEastAsia"/>
        </w:rPr>
      </w:pPr>
      <w:r>
        <w:rPr>
          <w:rFonts w:hint="eastAsia" w:eastAsiaTheme="minorEastAsia"/>
        </w:rPr>
        <w:t xml:space="preserve">舍彻底清扫并冲洗后，使用过氧乙酸、戊二醛苯扎溴铵溶液等消毒液喷洒消毒，间 隔1天后重复进行一次；春秋两季各进行一次大消毒，用消毒溶液喷洒地面。 </w:t>
      </w:r>
    </w:p>
    <w:p>
      <w:pPr>
        <w:adjustRightInd w:val="0"/>
        <w:snapToGrid w:val="0"/>
        <w:ind w:firstLine="482" w:firstLineChars="200"/>
        <w:rPr>
          <w:rFonts w:eastAsiaTheme="minorEastAsia"/>
          <w:b/>
        </w:rPr>
      </w:pPr>
      <w:r>
        <w:rPr>
          <w:rFonts w:eastAsiaTheme="minorEastAsia"/>
          <w:b/>
        </w:rPr>
        <w:t>（3）恶臭气体排放量</w:t>
      </w:r>
    </w:p>
    <w:p>
      <w:pPr>
        <w:snapToGrid w:val="0"/>
        <w:ind w:firstLine="480" w:firstLineChars="200"/>
        <w:rPr>
          <w:rFonts w:eastAsiaTheme="minorEastAsia"/>
        </w:rPr>
      </w:pPr>
      <w:r>
        <w:rPr>
          <w:rFonts w:eastAsiaTheme="minorEastAsia"/>
        </w:rPr>
        <w:t>经采取了上述综合防治措施后，</w:t>
      </w:r>
      <w:r>
        <w:rPr>
          <w:rFonts w:hint="eastAsia" w:eastAsiaTheme="minorEastAsia"/>
        </w:rPr>
        <w:t>氨的</w:t>
      </w:r>
      <w:r>
        <w:rPr>
          <w:rFonts w:eastAsiaTheme="minorEastAsia"/>
        </w:rPr>
        <w:t>净化效率按74%</w:t>
      </w:r>
      <w:r>
        <w:rPr>
          <w:rFonts w:hint="eastAsia" w:eastAsiaTheme="minorEastAsia"/>
        </w:rPr>
        <w:t>，硫化氢去除效率按照9</w:t>
      </w:r>
      <w:r>
        <w:rPr>
          <w:rFonts w:eastAsiaTheme="minorEastAsia"/>
        </w:rPr>
        <w:t>8</w:t>
      </w:r>
      <w:r>
        <w:rPr>
          <w:rFonts w:hint="eastAsia" w:eastAsiaTheme="minorEastAsia"/>
        </w:rPr>
        <w:t>%计，则项目恶臭气体排放量见表4</w:t>
      </w:r>
      <w:r>
        <w:rPr>
          <w:rFonts w:eastAsiaTheme="minorEastAsia"/>
        </w:rPr>
        <w:t>.3</w:t>
      </w:r>
      <w:r>
        <w:rPr>
          <w:rFonts w:hint="eastAsia" w:eastAsiaTheme="minorEastAsia"/>
        </w:rPr>
        <w:t>-</w:t>
      </w:r>
      <w:r>
        <w:rPr>
          <w:rFonts w:eastAsiaTheme="minorEastAsia"/>
        </w:rPr>
        <w:t>9</w:t>
      </w:r>
      <w:r>
        <w:rPr>
          <w:rFonts w:hint="eastAsia" w:eastAsiaTheme="minorEastAsia"/>
        </w:rPr>
        <w:t>。</w:t>
      </w:r>
    </w:p>
    <w:p>
      <w:pPr>
        <w:spacing w:line="240" w:lineRule="auto"/>
        <w:contextualSpacing/>
        <w:jc w:val="center"/>
        <w:rPr>
          <w:rFonts w:eastAsia="黑体"/>
        </w:rPr>
      </w:pPr>
      <w:r>
        <w:rPr>
          <w:rFonts w:eastAsia="黑体"/>
        </w:rPr>
        <w:t>表4.3-9 氨、硫化氢</w:t>
      </w:r>
      <w:r>
        <w:rPr>
          <w:rFonts w:hint="eastAsia" w:eastAsia="黑体"/>
        </w:rPr>
        <w:t>排放情况</w:t>
      </w:r>
      <w:r>
        <w:rPr>
          <w:rFonts w:eastAsia="黑体"/>
        </w:rPr>
        <w:t>统计</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18"/>
        <w:gridCol w:w="2065"/>
        <w:gridCol w:w="1721"/>
        <w:gridCol w:w="1457"/>
        <w:gridCol w:w="198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598" w:type="dxa"/>
            <w:vMerge w:val="restart"/>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猪舍</w:t>
            </w:r>
          </w:p>
        </w:tc>
        <w:tc>
          <w:tcPr>
            <w:tcW w:w="3737" w:type="dxa"/>
            <w:gridSpan w:val="2"/>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氨</w:t>
            </w:r>
          </w:p>
        </w:tc>
        <w:tc>
          <w:tcPr>
            <w:tcW w:w="3396" w:type="dxa"/>
            <w:gridSpan w:val="2"/>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硫化氢</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7" w:hRule="atLeast"/>
          <w:jc w:val="center"/>
        </w:trPr>
        <w:tc>
          <w:tcPr>
            <w:tcW w:w="1598" w:type="dxa"/>
            <w:vMerge w:val="continue"/>
            <w:tcMar>
              <w:left w:w="57" w:type="dxa"/>
              <w:right w:w="57" w:type="dxa"/>
            </w:tcMar>
            <w:vAlign w:val="center"/>
          </w:tcPr>
          <w:p>
            <w:pPr>
              <w:snapToGrid w:val="0"/>
              <w:spacing w:line="240" w:lineRule="auto"/>
              <w:jc w:val="center"/>
              <w:rPr>
                <w:rFonts w:eastAsiaTheme="minorEastAsia"/>
                <w:sz w:val="21"/>
                <w:szCs w:val="21"/>
              </w:rPr>
            </w:pPr>
          </w:p>
        </w:tc>
        <w:tc>
          <w:tcPr>
            <w:tcW w:w="2038"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产生量</w:t>
            </w:r>
            <w:r>
              <w:rPr>
                <w:rFonts w:eastAsiaTheme="minorEastAsia"/>
                <w:sz w:val="21"/>
                <w:szCs w:val="21"/>
              </w:rPr>
              <w:t>（g/</w:t>
            </w:r>
            <w:r>
              <w:rPr>
                <w:rFonts w:hint="eastAsia" w:eastAsiaTheme="minorEastAsia"/>
                <w:sz w:val="21"/>
                <w:szCs w:val="21"/>
              </w:rPr>
              <w:t>h</w:t>
            </w:r>
            <w:r>
              <w:rPr>
                <w:rFonts w:eastAsiaTheme="minorEastAsia"/>
                <w:sz w:val="21"/>
                <w:szCs w:val="21"/>
              </w:rPr>
              <w:t>）</w:t>
            </w:r>
          </w:p>
        </w:tc>
        <w:tc>
          <w:tcPr>
            <w:tcW w:w="1699"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排放</w:t>
            </w:r>
            <w:r>
              <w:rPr>
                <w:rFonts w:eastAsiaTheme="minorEastAsia"/>
                <w:sz w:val="21"/>
                <w:szCs w:val="21"/>
              </w:rPr>
              <w:t>量（g/h）</w:t>
            </w:r>
          </w:p>
        </w:tc>
        <w:tc>
          <w:tcPr>
            <w:tcW w:w="1438"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产生量</w:t>
            </w:r>
            <w:r>
              <w:rPr>
                <w:rFonts w:eastAsiaTheme="minorEastAsia"/>
                <w:sz w:val="21"/>
                <w:szCs w:val="21"/>
              </w:rPr>
              <w:t>（g/</w:t>
            </w:r>
            <w:r>
              <w:rPr>
                <w:rFonts w:hint="eastAsia" w:eastAsiaTheme="minorEastAsia"/>
                <w:sz w:val="21"/>
                <w:szCs w:val="21"/>
              </w:rPr>
              <w:t>h</w:t>
            </w:r>
            <w:r>
              <w:rPr>
                <w:rFonts w:eastAsiaTheme="minorEastAsia"/>
                <w:sz w:val="21"/>
                <w:szCs w:val="21"/>
              </w:rPr>
              <w:t>）</w:t>
            </w:r>
          </w:p>
        </w:tc>
        <w:tc>
          <w:tcPr>
            <w:tcW w:w="1958"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排放</w:t>
            </w:r>
            <w:r>
              <w:rPr>
                <w:rFonts w:eastAsiaTheme="minorEastAsia"/>
                <w:sz w:val="21"/>
                <w:szCs w:val="21"/>
              </w:rPr>
              <w:t>量（g/h）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98" w:type="dxa"/>
            <w:tcMar>
              <w:left w:w="57" w:type="dxa"/>
              <w:right w:w="57" w:type="dxa"/>
            </w:tcMar>
            <w:vAlign w:val="center"/>
          </w:tcPr>
          <w:p>
            <w:pPr>
              <w:snapToGrid w:val="0"/>
              <w:spacing w:line="240" w:lineRule="auto"/>
              <w:jc w:val="center"/>
              <w:rPr>
                <w:sz w:val="21"/>
                <w:szCs w:val="21"/>
              </w:rPr>
            </w:pPr>
            <w:r>
              <w:rPr>
                <w:rFonts w:hint="eastAsia"/>
                <w:sz w:val="21"/>
                <w:szCs w:val="21"/>
              </w:rPr>
              <w:t>车间妊娠舍</w:t>
            </w:r>
          </w:p>
        </w:tc>
        <w:tc>
          <w:tcPr>
            <w:tcW w:w="2038" w:type="dxa"/>
            <w:tcMar>
              <w:left w:w="57" w:type="dxa"/>
              <w:right w:w="57" w:type="dxa"/>
            </w:tcMar>
            <w:vAlign w:val="center"/>
          </w:tcPr>
          <w:p>
            <w:pPr>
              <w:snapToGrid w:val="0"/>
              <w:spacing w:line="240" w:lineRule="auto"/>
              <w:jc w:val="center"/>
              <w:rPr>
                <w:rFonts w:eastAsiaTheme="minorEastAsia"/>
                <w:sz w:val="21"/>
                <w:szCs w:val="21"/>
              </w:rPr>
            </w:pPr>
            <w:r>
              <w:rPr>
                <w:sz w:val="21"/>
                <w:szCs w:val="21"/>
              </w:rPr>
              <w:t>603.32</w:t>
            </w:r>
          </w:p>
        </w:tc>
        <w:tc>
          <w:tcPr>
            <w:tcW w:w="1699" w:type="dxa"/>
            <w:tcMar>
              <w:left w:w="57" w:type="dxa"/>
              <w:right w:w="57" w:type="dxa"/>
            </w:tcMar>
            <w:vAlign w:val="center"/>
          </w:tcPr>
          <w:p>
            <w:pPr>
              <w:snapToGrid w:val="0"/>
              <w:spacing w:line="240" w:lineRule="auto"/>
              <w:jc w:val="center"/>
              <w:rPr>
                <w:sz w:val="21"/>
                <w:szCs w:val="21"/>
              </w:rPr>
            </w:pPr>
            <w:r>
              <w:rPr>
                <w:sz w:val="21"/>
                <w:szCs w:val="21"/>
              </w:rPr>
              <w:t>156.86</w:t>
            </w:r>
          </w:p>
        </w:tc>
        <w:tc>
          <w:tcPr>
            <w:tcW w:w="1438" w:type="dxa"/>
            <w:tcMar>
              <w:left w:w="57" w:type="dxa"/>
              <w:right w:w="57" w:type="dxa"/>
            </w:tcMar>
            <w:vAlign w:val="center"/>
          </w:tcPr>
          <w:p>
            <w:pPr>
              <w:snapToGrid w:val="0"/>
              <w:spacing w:line="240" w:lineRule="auto"/>
              <w:jc w:val="center"/>
              <w:rPr>
                <w:rFonts w:eastAsiaTheme="minorEastAsia"/>
                <w:sz w:val="21"/>
                <w:szCs w:val="21"/>
              </w:rPr>
            </w:pPr>
            <w:r>
              <w:rPr>
                <w:rFonts w:hint="eastAsia" w:eastAsiaTheme="minorEastAsia"/>
                <w:sz w:val="21"/>
                <w:szCs w:val="21"/>
              </w:rPr>
              <w:t>5</w:t>
            </w:r>
            <w:r>
              <w:rPr>
                <w:rFonts w:eastAsiaTheme="minorEastAsia"/>
                <w:sz w:val="21"/>
                <w:szCs w:val="21"/>
              </w:rPr>
              <w:t>6.92</w:t>
            </w:r>
          </w:p>
        </w:tc>
        <w:tc>
          <w:tcPr>
            <w:tcW w:w="1958" w:type="dxa"/>
            <w:tcMar>
              <w:left w:w="57" w:type="dxa"/>
              <w:right w:w="57" w:type="dxa"/>
            </w:tcMar>
            <w:vAlign w:val="center"/>
          </w:tcPr>
          <w:p>
            <w:pPr>
              <w:snapToGrid w:val="0"/>
              <w:spacing w:line="240" w:lineRule="auto"/>
              <w:jc w:val="center"/>
              <w:rPr>
                <w:sz w:val="21"/>
                <w:szCs w:val="21"/>
              </w:rPr>
            </w:pPr>
            <w:r>
              <w:rPr>
                <w:sz w:val="21"/>
                <w:szCs w:val="21"/>
              </w:rPr>
              <w:t>1.14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98" w:type="dxa"/>
            <w:tcMar>
              <w:left w:w="57" w:type="dxa"/>
              <w:right w:w="57" w:type="dxa"/>
            </w:tcMar>
            <w:vAlign w:val="center"/>
          </w:tcPr>
          <w:p>
            <w:pPr>
              <w:snapToGrid w:val="0"/>
              <w:spacing w:line="240" w:lineRule="auto"/>
              <w:jc w:val="center"/>
              <w:rPr>
                <w:sz w:val="21"/>
                <w:szCs w:val="21"/>
              </w:rPr>
            </w:pPr>
            <w:r>
              <w:rPr>
                <w:rFonts w:hint="eastAsia"/>
                <w:sz w:val="21"/>
                <w:szCs w:val="21"/>
              </w:rPr>
              <w:t>车间分娩舍</w:t>
            </w:r>
          </w:p>
        </w:tc>
        <w:tc>
          <w:tcPr>
            <w:tcW w:w="2038" w:type="dxa"/>
            <w:tcMar>
              <w:left w:w="57" w:type="dxa"/>
              <w:right w:w="57" w:type="dxa"/>
            </w:tcMar>
            <w:vAlign w:val="center"/>
          </w:tcPr>
          <w:p>
            <w:pPr>
              <w:snapToGrid w:val="0"/>
              <w:spacing w:line="240" w:lineRule="auto"/>
              <w:jc w:val="center"/>
              <w:rPr>
                <w:sz w:val="21"/>
                <w:szCs w:val="21"/>
              </w:rPr>
            </w:pPr>
            <w:r>
              <w:rPr>
                <w:sz w:val="21"/>
                <w:szCs w:val="21"/>
              </w:rPr>
              <w:t>158.26</w:t>
            </w:r>
          </w:p>
        </w:tc>
        <w:tc>
          <w:tcPr>
            <w:tcW w:w="1699" w:type="dxa"/>
            <w:tcMar>
              <w:left w:w="57" w:type="dxa"/>
              <w:right w:w="57" w:type="dxa"/>
            </w:tcMar>
            <w:vAlign w:val="center"/>
          </w:tcPr>
          <w:p>
            <w:pPr>
              <w:snapToGrid w:val="0"/>
              <w:spacing w:line="240" w:lineRule="auto"/>
              <w:jc w:val="center"/>
              <w:rPr>
                <w:sz w:val="21"/>
                <w:szCs w:val="21"/>
              </w:rPr>
            </w:pPr>
            <w:r>
              <w:rPr>
                <w:sz w:val="21"/>
                <w:szCs w:val="21"/>
              </w:rPr>
              <w:t>41.15</w:t>
            </w:r>
          </w:p>
        </w:tc>
        <w:tc>
          <w:tcPr>
            <w:tcW w:w="1438" w:type="dxa"/>
            <w:tcMar>
              <w:left w:w="57" w:type="dxa"/>
              <w:right w:w="57" w:type="dxa"/>
            </w:tcMar>
            <w:vAlign w:val="center"/>
          </w:tcPr>
          <w:p>
            <w:pPr>
              <w:snapToGrid w:val="0"/>
              <w:spacing w:line="240" w:lineRule="auto"/>
              <w:jc w:val="center"/>
              <w:rPr>
                <w:rFonts w:eastAsiaTheme="minorEastAsia"/>
                <w:sz w:val="21"/>
                <w:szCs w:val="21"/>
              </w:rPr>
            </w:pPr>
            <w:r>
              <w:rPr>
                <w:rFonts w:eastAsiaTheme="minorEastAsia"/>
                <w:sz w:val="21"/>
                <w:szCs w:val="21"/>
              </w:rPr>
              <w:t>31.78</w:t>
            </w:r>
          </w:p>
        </w:tc>
        <w:tc>
          <w:tcPr>
            <w:tcW w:w="1958" w:type="dxa"/>
            <w:tcMar>
              <w:left w:w="57" w:type="dxa"/>
              <w:right w:w="57" w:type="dxa"/>
            </w:tcMar>
            <w:vAlign w:val="center"/>
          </w:tcPr>
          <w:p>
            <w:pPr>
              <w:snapToGrid w:val="0"/>
              <w:spacing w:line="240" w:lineRule="auto"/>
              <w:jc w:val="center"/>
              <w:rPr>
                <w:sz w:val="21"/>
                <w:szCs w:val="21"/>
              </w:rPr>
            </w:pPr>
            <w:r>
              <w:rPr>
                <w:sz w:val="21"/>
                <w:szCs w:val="21"/>
              </w:rPr>
              <w:t>0.64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98" w:type="dxa"/>
            <w:tcMar>
              <w:left w:w="57" w:type="dxa"/>
              <w:right w:w="57" w:type="dxa"/>
            </w:tcMar>
            <w:vAlign w:val="center"/>
          </w:tcPr>
          <w:p>
            <w:pPr>
              <w:snapToGrid w:val="0"/>
              <w:spacing w:line="240" w:lineRule="auto"/>
              <w:jc w:val="center"/>
              <w:rPr>
                <w:sz w:val="21"/>
                <w:szCs w:val="21"/>
              </w:rPr>
            </w:pPr>
            <w:r>
              <w:rPr>
                <w:sz w:val="21"/>
                <w:szCs w:val="21"/>
              </w:rPr>
              <w:t>合计</w:t>
            </w:r>
          </w:p>
        </w:tc>
        <w:tc>
          <w:tcPr>
            <w:tcW w:w="2038" w:type="dxa"/>
            <w:tcMar>
              <w:left w:w="57" w:type="dxa"/>
              <w:right w:w="57" w:type="dxa"/>
            </w:tcMar>
            <w:vAlign w:val="center"/>
          </w:tcPr>
          <w:p>
            <w:pPr>
              <w:snapToGrid w:val="0"/>
              <w:spacing w:line="240" w:lineRule="auto"/>
              <w:jc w:val="center"/>
              <w:rPr>
                <w:sz w:val="21"/>
                <w:szCs w:val="21"/>
              </w:rPr>
            </w:pPr>
            <w:r>
              <w:rPr>
                <w:sz w:val="21"/>
                <w:szCs w:val="21"/>
              </w:rPr>
              <w:t>761.58</w:t>
            </w:r>
          </w:p>
        </w:tc>
        <w:tc>
          <w:tcPr>
            <w:tcW w:w="1699" w:type="dxa"/>
            <w:tcMar>
              <w:left w:w="57" w:type="dxa"/>
              <w:right w:w="57" w:type="dxa"/>
            </w:tcMar>
            <w:vAlign w:val="center"/>
          </w:tcPr>
          <w:p>
            <w:pPr>
              <w:snapToGrid w:val="0"/>
              <w:spacing w:line="240" w:lineRule="auto"/>
              <w:jc w:val="center"/>
              <w:rPr>
                <w:sz w:val="21"/>
                <w:szCs w:val="21"/>
              </w:rPr>
            </w:pPr>
            <w:r>
              <w:rPr>
                <w:sz w:val="21"/>
                <w:szCs w:val="21"/>
              </w:rPr>
              <w:t>198.01</w:t>
            </w:r>
          </w:p>
        </w:tc>
        <w:tc>
          <w:tcPr>
            <w:tcW w:w="1438" w:type="dxa"/>
            <w:tcMar>
              <w:left w:w="57" w:type="dxa"/>
              <w:right w:w="57" w:type="dxa"/>
            </w:tcMar>
            <w:vAlign w:val="center"/>
          </w:tcPr>
          <w:p>
            <w:pPr>
              <w:snapToGrid w:val="0"/>
              <w:spacing w:line="240" w:lineRule="auto"/>
              <w:jc w:val="center"/>
              <w:rPr>
                <w:sz w:val="21"/>
                <w:szCs w:val="21"/>
              </w:rPr>
            </w:pPr>
            <w:r>
              <w:rPr>
                <w:sz w:val="21"/>
                <w:szCs w:val="21"/>
              </w:rPr>
              <w:t>88.7</w:t>
            </w:r>
          </w:p>
        </w:tc>
        <w:tc>
          <w:tcPr>
            <w:tcW w:w="1958" w:type="dxa"/>
            <w:tcMar>
              <w:left w:w="57" w:type="dxa"/>
              <w:right w:w="57" w:type="dxa"/>
            </w:tcMar>
            <w:vAlign w:val="center"/>
          </w:tcPr>
          <w:p>
            <w:pPr>
              <w:snapToGrid w:val="0"/>
              <w:spacing w:line="240" w:lineRule="auto"/>
              <w:jc w:val="center"/>
              <w:rPr>
                <w:sz w:val="21"/>
                <w:szCs w:val="21"/>
              </w:rPr>
            </w:pPr>
            <w:r>
              <w:rPr>
                <w:sz w:val="21"/>
                <w:szCs w:val="21"/>
              </w:rPr>
              <w:t>1.78</w:t>
            </w:r>
          </w:p>
        </w:tc>
      </w:tr>
    </w:tbl>
    <w:p>
      <w:pPr>
        <w:pStyle w:val="2"/>
        <w:ind w:firstLine="480"/>
        <w:rPr>
          <w:rFonts w:hint="default"/>
        </w:rPr>
      </w:pPr>
    </w:p>
    <w:p>
      <w:pPr>
        <w:snapToGrid w:val="0"/>
        <w:ind w:firstLine="480" w:firstLineChars="200"/>
      </w:pPr>
      <w:r>
        <w:rPr>
          <w:rFonts w:eastAsiaTheme="minorEastAsia"/>
        </w:rPr>
        <w:t>由上表可知，项目氨气</w:t>
      </w:r>
      <w:r>
        <w:rPr>
          <w:rFonts w:hint="eastAsia" w:eastAsiaTheme="minorEastAsia"/>
        </w:rPr>
        <w:t>排放</w:t>
      </w:r>
      <w:r>
        <w:rPr>
          <w:rFonts w:eastAsiaTheme="minorEastAsia"/>
        </w:rPr>
        <w:t>量为198.01g/h，合计1.73t/a；硫化氢</w:t>
      </w:r>
      <w:r>
        <w:rPr>
          <w:rFonts w:hint="eastAsia" w:eastAsiaTheme="minorEastAsia"/>
        </w:rPr>
        <w:t>排放</w:t>
      </w:r>
      <w:r>
        <w:rPr>
          <w:rFonts w:eastAsiaTheme="minorEastAsia"/>
        </w:rPr>
        <w:t>量为1.78g/h，计0.016t/a</w:t>
      </w:r>
      <w:r>
        <w:rPr>
          <w:rFonts w:hint="eastAsia" w:eastAsiaTheme="minorEastAsia"/>
        </w:rPr>
        <w:t>，呈</w:t>
      </w:r>
      <w:r>
        <w:rPr>
          <w:rFonts w:eastAsiaTheme="minorEastAsia"/>
        </w:rPr>
        <w:t>无组织面源</w:t>
      </w:r>
      <w:r>
        <w:rPr>
          <w:rFonts w:hint="eastAsia" w:eastAsiaTheme="minorEastAsia"/>
        </w:rPr>
        <w:t>排放</w:t>
      </w:r>
      <w:r>
        <w:rPr>
          <w:rFonts w:eastAsiaTheme="minorEastAsia"/>
        </w:rPr>
        <w:t>。</w:t>
      </w:r>
    </w:p>
    <w:p>
      <w:pPr>
        <w:pStyle w:val="970"/>
        <w:snapToGrid w:val="0"/>
        <w:ind w:firstLine="0"/>
        <w:outlineLvl w:val="3"/>
        <w:rPr>
          <w:rFonts w:eastAsia="黑体"/>
          <w:bCs/>
          <w:szCs w:val="24"/>
        </w:rPr>
      </w:pPr>
      <w:r>
        <w:rPr>
          <w:rFonts w:eastAsia="黑体"/>
          <w:bCs/>
          <w:szCs w:val="24"/>
        </w:rPr>
        <w:t>4.3.2.2食堂油烟</w:t>
      </w:r>
    </w:p>
    <w:p>
      <w:pPr>
        <w:snapToGrid w:val="0"/>
        <w:ind w:firstLine="480" w:firstLineChars="200"/>
      </w:pPr>
      <w:r>
        <w:t>（1）油烟产生情况</w:t>
      </w:r>
    </w:p>
    <w:p>
      <w:pPr>
        <w:snapToGrid w:val="0"/>
        <w:ind w:firstLine="480" w:firstLineChars="200"/>
      </w:pPr>
      <w:r>
        <w:t>食堂油烟废气主要是指动植物油过热裂解、挥发与水蒸汽一起挥发出来的烟气，其废气中的主要成分是动植物油遇热挥发、裂解的产物、气味、水蒸汽等。</w:t>
      </w:r>
    </w:p>
    <w:p>
      <w:pPr>
        <w:snapToGrid w:val="0"/>
        <w:ind w:firstLine="480" w:firstLineChars="200"/>
      </w:pPr>
      <w:r>
        <w:t>人均食用油消耗量以0.035kg/人·d，炒制时油烟挥发量一般占耗油量的2.83%，本项目食堂就餐人数按员工人数20人计，则本项目油烟废气总产生量为0.02kg/d，即0.0072t/a。单个基准灶头排风量为1000m</w:t>
      </w:r>
      <w:r>
        <w:rPr>
          <w:vertAlign w:val="superscript"/>
        </w:rPr>
        <w:t>3</w:t>
      </w:r>
      <w:r>
        <w:t>/h，按日进行烧炸工况4小时计，油烟产生浓度为1.8mg/m</w:t>
      </w:r>
      <w:r>
        <w:rPr>
          <w:vertAlign w:val="superscript"/>
        </w:rPr>
        <w:t>3</w:t>
      </w:r>
      <w:r>
        <w:t>。</w:t>
      </w:r>
    </w:p>
    <w:p>
      <w:pPr>
        <w:tabs>
          <w:tab w:val="left" w:pos="6180"/>
        </w:tabs>
        <w:snapToGrid w:val="0"/>
        <w:ind w:firstLine="480" w:firstLineChars="200"/>
      </w:pPr>
      <w:r>
        <w:t>（2）拟采取的措施</w:t>
      </w:r>
      <w:r>
        <w:tab/>
      </w:r>
    </w:p>
    <w:p>
      <w:pPr>
        <w:snapToGrid w:val="0"/>
        <w:ind w:firstLine="480" w:firstLineChars="200"/>
      </w:pPr>
      <w:r>
        <w:rPr>
          <w:rFonts w:hint="eastAsia"/>
        </w:rPr>
        <w:t>本项目食堂拟建设1个灶头，</w:t>
      </w:r>
      <w:r>
        <w:t>食堂严格按《饮食业油烟排放标准（试行）》（GB18483-2001）的要求对油烟进行控制，安装油烟净化效率为60%的抽油烟机处理后，油烟产生量降为0.008kg/d，油烟浓度为0.72mg/m</w:t>
      </w:r>
      <w:r>
        <w:rPr>
          <w:vertAlign w:val="superscript"/>
        </w:rPr>
        <w:t>3</w:t>
      </w:r>
      <w:r>
        <w:t>，做到达标排放。</w:t>
      </w:r>
    </w:p>
    <w:p>
      <w:pPr>
        <w:snapToGrid w:val="0"/>
        <w:ind w:firstLine="480" w:firstLineChars="200"/>
      </w:pPr>
      <w:r>
        <w:t>油烟通过抽油烟机进行处理后能够做到达标排放，油烟排放量能够满足《饮食业油烟排放标准》（GB18438-2001）标准要求（2.0mg/m</w:t>
      </w:r>
      <w:r>
        <w:rPr>
          <w:vertAlign w:val="superscript"/>
        </w:rPr>
        <w:t>3</w:t>
      </w:r>
      <w:r>
        <w:t>）。</w:t>
      </w:r>
    </w:p>
    <w:p>
      <w:pPr>
        <w:pStyle w:val="970"/>
        <w:snapToGrid w:val="0"/>
        <w:ind w:firstLine="0"/>
        <w:outlineLvl w:val="3"/>
        <w:rPr>
          <w:rFonts w:eastAsia="黑体"/>
          <w:bCs/>
          <w:szCs w:val="24"/>
        </w:rPr>
      </w:pPr>
      <w:r>
        <w:rPr>
          <w:rFonts w:eastAsia="黑体"/>
          <w:bCs/>
          <w:szCs w:val="24"/>
        </w:rPr>
        <w:t>4</w:t>
      </w:r>
      <w:r>
        <w:rPr>
          <w:rFonts w:hint="eastAsia" w:eastAsia="黑体"/>
          <w:bCs/>
          <w:szCs w:val="24"/>
        </w:rPr>
        <w:t>.</w:t>
      </w:r>
      <w:r>
        <w:rPr>
          <w:rFonts w:eastAsia="黑体"/>
          <w:bCs/>
          <w:szCs w:val="24"/>
        </w:rPr>
        <w:t>3</w:t>
      </w:r>
      <w:r>
        <w:rPr>
          <w:rFonts w:hint="eastAsia" w:eastAsia="黑体"/>
          <w:bCs/>
          <w:szCs w:val="24"/>
        </w:rPr>
        <w:t>.2.</w:t>
      </w:r>
      <w:r>
        <w:rPr>
          <w:rFonts w:eastAsia="黑体"/>
          <w:bCs/>
          <w:szCs w:val="24"/>
        </w:rPr>
        <w:t>3</w:t>
      </w:r>
      <w:r>
        <w:rPr>
          <w:rFonts w:hint="eastAsia" w:eastAsia="黑体"/>
          <w:bCs/>
          <w:szCs w:val="24"/>
        </w:rPr>
        <w:t xml:space="preserve"> 柴油发电机尾气 </w:t>
      </w:r>
    </w:p>
    <w:p>
      <w:pPr>
        <w:pStyle w:val="2"/>
        <w:ind w:firstLine="480"/>
        <w:rPr>
          <w:rFonts w:hint="default"/>
        </w:rPr>
      </w:pPr>
      <w:r>
        <w:t>本项目备有一台 150kw 的柴油发电机，在停电时使用。建设单位在柴油发电机选型的时候，选取设备自带尾气净化的设备，发电机尾气经自带尾气净化设备处理后由屋顶排放。</w:t>
      </w:r>
    </w:p>
    <w:p>
      <w:pPr>
        <w:jc w:val="left"/>
        <w:outlineLvl w:val="2"/>
        <w:rPr>
          <w:rFonts w:eastAsia="黑体"/>
          <w:bCs/>
          <w:sz w:val="28"/>
          <w:szCs w:val="28"/>
        </w:rPr>
      </w:pPr>
      <w:r>
        <w:rPr>
          <w:rFonts w:eastAsia="黑体"/>
          <w:bCs/>
          <w:sz w:val="28"/>
          <w:szCs w:val="28"/>
        </w:rPr>
        <w:t>4.3.3 噪声排放及治理措施</w:t>
      </w:r>
    </w:p>
    <w:p>
      <w:pPr>
        <w:pStyle w:val="970"/>
        <w:snapToGrid w:val="0"/>
        <w:ind w:firstLine="0"/>
        <w:outlineLvl w:val="3"/>
        <w:rPr>
          <w:rFonts w:eastAsia="黑体"/>
          <w:bCs/>
          <w:szCs w:val="24"/>
        </w:rPr>
      </w:pPr>
      <w:r>
        <w:rPr>
          <w:rFonts w:eastAsia="黑体"/>
          <w:bCs/>
          <w:szCs w:val="24"/>
        </w:rPr>
        <w:t xml:space="preserve">4.3.3.1 </w:t>
      </w:r>
      <w:r>
        <w:rPr>
          <w:rFonts w:hint="eastAsia" w:eastAsia="黑体"/>
          <w:bCs/>
          <w:szCs w:val="24"/>
        </w:rPr>
        <w:t>噪声源强</w:t>
      </w:r>
    </w:p>
    <w:p>
      <w:pPr>
        <w:snapToGrid w:val="0"/>
        <w:ind w:firstLine="480" w:firstLineChars="200"/>
      </w:pPr>
      <w:r>
        <w:t>本工程噪声主要为猪群叫声、猪舍排气扇、水泵和风机，噪声源值约70～85dB（A）。</w:t>
      </w:r>
    </w:p>
    <w:p>
      <w:pPr>
        <w:snapToGrid w:val="0"/>
        <w:ind w:firstLine="480" w:firstLineChars="200"/>
      </w:pPr>
      <w:r>
        <w:t>主要噪声源排放情况见表4.3-8。</w:t>
      </w:r>
    </w:p>
    <w:p>
      <w:pPr>
        <w:spacing w:line="240" w:lineRule="auto"/>
        <w:contextualSpacing/>
        <w:jc w:val="center"/>
        <w:rPr>
          <w:rFonts w:eastAsia="黑体"/>
        </w:rPr>
      </w:pPr>
      <w:r>
        <w:rPr>
          <w:rFonts w:eastAsia="黑体"/>
        </w:rPr>
        <w:t>表4.3-8  项目主要噪声源强表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57" w:type="dxa"/>
          <w:bottom w:w="0" w:type="dxa"/>
          <w:right w:w="57" w:type="dxa"/>
        </w:tblCellMar>
      </w:tblPr>
      <w:tblGrid>
        <w:gridCol w:w="684"/>
        <w:gridCol w:w="870"/>
        <w:gridCol w:w="1487"/>
        <w:gridCol w:w="1784"/>
        <w:gridCol w:w="1497"/>
        <w:gridCol w:w="252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shd w:val="clear" w:color="auto" w:fill="auto"/>
            <w:vAlign w:val="center"/>
          </w:tcPr>
          <w:p>
            <w:pPr>
              <w:snapToGrid w:val="0"/>
              <w:spacing w:line="240" w:lineRule="auto"/>
              <w:jc w:val="center"/>
              <w:rPr>
                <w:sz w:val="21"/>
                <w:szCs w:val="21"/>
              </w:rPr>
            </w:pPr>
            <w:r>
              <w:rPr>
                <w:sz w:val="21"/>
                <w:szCs w:val="21"/>
              </w:rPr>
              <w:t>项目</w:t>
            </w:r>
          </w:p>
        </w:tc>
        <w:tc>
          <w:tcPr>
            <w:tcW w:w="870" w:type="dxa"/>
            <w:shd w:val="clear" w:color="auto" w:fill="auto"/>
            <w:vAlign w:val="center"/>
          </w:tcPr>
          <w:p>
            <w:pPr>
              <w:snapToGrid w:val="0"/>
              <w:spacing w:line="240" w:lineRule="auto"/>
              <w:jc w:val="center"/>
              <w:rPr>
                <w:sz w:val="21"/>
                <w:szCs w:val="21"/>
              </w:rPr>
            </w:pPr>
            <w:r>
              <w:rPr>
                <w:sz w:val="21"/>
                <w:szCs w:val="21"/>
              </w:rPr>
              <w:t>种类</w:t>
            </w:r>
          </w:p>
        </w:tc>
        <w:tc>
          <w:tcPr>
            <w:tcW w:w="1487" w:type="dxa"/>
            <w:shd w:val="clear" w:color="auto" w:fill="auto"/>
            <w:vAlign w:val="center"/>
          </w:tcPr>
          <w:p>
            <w:pPr>
              <w:snapToGrid w:val="0"/>
              <w:spacing w:line="240" w:lineRule="auto"/>
              <w:jc w:val="center"/>
              <w:rPr>
                <w:sz w:val="21"/>
                <w:szCs w:val="21"/>
              </w:rPr>
            </w:pPr>
            <w:r>
              <w:rPr>
                <w:sz w:val="21"/>
                <w:szCs w:val="21"/>
              </w:rPr>
              <w:t>噪声源</w:t>
            </w:r>
          </w:p>
        </w:tc>
        <w:tc>
          <w:tcPr>
            <w:tcW w:w="1784" w:type="dxa"/>
            <w:shd w:val="clear" w:color="auto" w:fill="auto"/>
            <w:vAlign w:val="center"/>
          </w:tcPr>
          <w:p>
            <w:pPr>
              <w:snapToGrid w:val="0"/>
              <w:spacing w:line="240" w:lineRule="auto"/>
              <w:jc w:val="center"/>
              <w:rPr>
                <w:sz w:val="21"/>
                <w:szCs w:val="21"/>
              </w:rPr>
            </w:pPr>
            <w:r>
              <w:rPr>
                <w:sz w:val="21"/>
                <w:szCs w:val="21"/>
              </w:rPr>
              <w:t>产生方式</w:t>
            </w:r>
          </w:p>
        </w:tc>
        <w:tc>
          <w:tcPr>
            <w:tcW w:w="1497" w:type="dxa"/>
            <w:shd w:val="clear" w:color="auto" w:fill="auto"/>
            <w:vAlign w:val="center"/>
          </w:tcPr>
          <w:p>
            <w:pPr>
              <w:snapToGrid w:val="0"/>
              <w:spacing w:line="240" w:lineRule="auto"/>
              <w:jc w:val="center"/>
              <w:rPr>
                <w:sz w:val="21"/>
                <w:szCs w:val="21"/>
              </w:rPr>
            </w:pPr>
            <w:r>
              <w:rPr>
                <w:sz w:val="21"/>
                <w:szCs w:val="21"/>
              </w:rPr>
              <w:t>产生量</w:t>
            </w:r>
          </w:p>
        </w:tc>
        <w:tc>
          <w:tcPr>
            <w:tcW w:w="2523" w:type="dxa"/>
            <w:shd w:val="clear" w:color="auto" w:fill="auto"/>
            <w:vAlign w:val="center"/>
          </w:tcPr>
          <w:p>
            <w:pPr>
              <w:snapToGrid w:val="0"/>
              <w:spacing w:line="240" w:lineRule="auto"/>
              <w:jc w:val="center"/>
              <w:rPr>
                <w:sz w:val="21"/>
                <w:szCs w:val="21"/>
              </w:rPr>
            </w:pPr>
            <w:r>
              <w:rPr>
                <w:sz w:val="21"/>
                <w:szCs w:val="21"/>
              </w:rPr>
              <w:t>治理措施</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vMerge w:val="restart"/>
            <w:shd w:val="clear" w:color="auto" w:fill="auto"/>
            <w:vAlign w:val="center"/>
          </w:tcPr>
          <w:p>
            <w:pPr>
              <w:snapToGrid w:val="0"/>
              <w:spacing w:line="240" w:lineRule="auto"/>
              <w:jc w:val="center"/>
              <w:rPr>
                <w:sz w:val="21"/>
                <w:szCs w:val="21"/>
              </w:rPr>
            </w:pPr>
            <w:r>
              <w:rPr>
                <w:sz w:val="21"/>
                <w:szCs w:val="21"/>
              </w:rPr>
              <w:t>噪声</w:t>
            </w:r>
          </w:p>
        </w:tc>
        <w:tc>
          <w:tcPr>
            <w:tcW w:w="870" w:type="dxa"/>
            <w:shd w:val="clear" w:color="auto" w:fill="auto"/>
            <w:vAlign w:val="center"/>
          </w:tcPr>
          <w:p>
            <w:pPr>
              <w:snapToGrid w:val="0"/>
              <w:spacing w:line="240" w:lineRule="auto"/>
              <w:jc w:val="center"/>
              <w:rPr>
                <w:sz w:val="21"/>
                <w:szCs w:val="21"/>
              </w:rPr>
            </w:pPr>
            <w:r>
              <w:rPr>
                <w:sz w:val="21"/>
                <w:szCs w:val="21"/>
              </w:rPr>
              <w:t>猪叫</w:t>
            </w:r>
          </w:p>
        </w:tc>
        <w:tc>
          <w:tcPr>
            <w:tcW w:w="1487" w:type="dxa"/>
            <w:shd w:val="clear" w:color="auto" w:fill="auto"/>
            <w:vAlign w:val="center"/>
          </w:tcPr>
          <w:p>
            <w:pPr>
              <w:snapToGrid w:val="0"/>
              <w:spacing w:line="240" w:lineRule="auto"/>
              <w:jc w:val="center"/>
              <w:rPr>
                <w:sz w:val="21"/>
                <w:szCs w:val="21"/>
              </w:rPr>
            </w:pPr>
            <w:r>
              <w:rPr>
                <w:sz w:val="21"/>
                <w:szCs w:val="21"/>
              </w:rPr>
              <w:t>全部猪舍</w:t>
            </w:r>
          </w:p>
        </w:tc>
        <w:tc>
          <w:tcPr>
            <w:tcW w:w="1784" w:type="dxa"/>
            <w:shd w:val="clear" w:color="auto" w:fill="auto"/>
            <w:vAlign w:val="center"/>
          </w:tcPr>
          <w:p>
            <w:pPr>
              <w:snapToGrid w:val="0"/>
              <w:spacing w:line="240" w:lineRule="auto"/>
              <w:jc w:val="center"/>
              <w:rPr>
                <w:sz w:val="21"/>
                <w:szCs w:val="21"/>
              </w:rPr>
            </w:pPr>
            <w:r>
              <w:rPr>
                <w:sz w:val="21"/>
                <w:szCs w:val="21"/>
              </w:rPr>
              <w:t>昼间间断</w:t>
            </w:r>
          </w:p>
        </w:tc>
        <w:tc>
          <w:tcPr>
            <w:tcW w:w="1497" w:type="dxa"/>
            <w:shd w:val="clear" w:color="auto" w:fill="auto"/>
            <w:vAlign w:val="center"/>
          </w:tcPr>
          <w:p>
            <w:pPr>
              <w:snapToGrid w:val="0"/>
              <w:spacing w:line="240" w:lineRule="auto"/>
              <w:jc w:val="center"/>
              <w:rPr>
                <w:sz w:val="21"/>
                <w:szCs w:val="21"/>
              </w:rPr>
            </w:pPr>
            <w:r>
              <w:rPr>
                <w:sz w:val="21"/>
                <w:szCs w:val="21"/>
              </w:rPr>
              <w:t>70～80dB（A）</w:t>
            </w:r>
          </w:p>
        </w:tc>
        <w:tc>
          <w:tcPr>
            <w:tcW w:w="2523" w:type="dxa"/>
            <w:shd w:val="clear" w:color="auto" w:fill="auto"/>
            <w:vAlign w:val="center"/>
          </w:tcPr>
          <w:p>
            <w:pPr>
              <w:snapToGrid w:val="0"/>
              <w:spacing w:line="240" w:lineRule="auto"/>
              <w:jc w:val="center"/>
              <w:rPr>
                <w:sz w:val="21"/>
                <w:szCs w:val="21"/>
              </w:rPr>
            </w:pPr>
            <w:r>
              <w:rPr>
                <w:sz w:val="21"/>
                <w:szCs w:val="21"/>
              </w:rPr>
              <w:t>喂足饲料和水</w:t>
            </w:r>
          </w:p>
          <w:p>
            <w:pPr>
              <w:snapToGrid w:val="0"/>
              <w:spacing w:line="240" w:lineRule="auto"/>
              <w:jc w:val="center"/>
              <w:rPr>
                <w:sz w:val="21"/>
                <w:szCs w:val="21"/>
              </w:rPr>
            </w:pPr>
            <w:r>
              <w:rPr>
                <w:sz w:val="21"/>
                <w:szCs w:val="21"/>
              </w:rPr>
              <w:t>避免饥渴及突发性噪声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vMerge w:val="continue"/>
            <w:shd w:val="clear" w:color="auto" w:fill="auto"/>
            <w:vAlign w:val="center"/>
          </w:tcPr>
          <w:p>
            <w:pPr>
              <w:snapToGrid w:val="0"/>
              <w:spacing w:line="240" w:lineRule="auto"/>
              <w:jc w:val="center"/>
              <w:rPr>
                <w:sz w:val="21"/>
                <w:szCs w:val="21"/>
              </w:rPr>
            </w:pPr>
          </w:p>
        </w:tc>
        <w:tc>
          <w:tcPr>
            <w:tcW w:w="870" w:type="dxa"/>
            <w:shd w:val="clear" w:color="auto" w:fill="auto"/>
            <w:vAlign w:val="center"/>
          </w:tcPr>
          <w:p>
            <w:pPr>
              <w:snapToGrid w:val="0"/>
              <w:spacing w:line="240" w:lineRule="auto"/>
              <w:jc w:val="center"/>
              <w:rPr>
                <w:sz w:val="21"/>
                <w:szCs w:val="21"/>
              </w:rPr>
            </w:pPr>
            <w:r>
              <w:rPr>
                <w:sz w:val="21"/>
                <w:szCs w:val="21"/>
              </w:rPr>
              <w:t>排气扇</w:t>
            </w:r>
          </w:p>
        </w:tc>
        <w:tc>
          <w:tcPr>
            <w:tcW w:w="1487" w:type="dxa"/>
            <w:shd w:val="clear" w:color="auto" w:fill="auto"/>
            <w:vAlign w:val="center"/>
          </w:tcPr>
          <w:p>
            <w:pPr>
              <w:snapToGrid w:val="0"/>
              <w:spacing w:line="240" w:lineRule="auto"/>
              <w:jc w:val="center"/>
              <w:rPr>
                <w:sz w:val="21"/>
                <w:szCs w:val="21"/>
              </w:rPr>
            </w:pPr>
            <w:r>
              <w:rPr>
                <w:sz w:val="21"/>
                <w:szCs w:val="21"/>
              </w:rPr>
              <w:t>全部猪舍</w:t>
            </w:r>
          </w:p>
        </w:tc>
        <w:tc>
          <w:tcPr>
            <w:tcW w:w="1784" w:type="dxa"/>
            <w:shd w:val="clear" w:color="auto" w:fill="auto"/>
            <w:vAlign w:val="center"/>
          </w:tcPr>
          <w:p>
            <w:pPr>
              <w:snapToGrid w:val="0"/>
              <w:spacing w:line="240" w:lineRule="auto"/>
              <w:jc w:val="center"/>
              <w:rPr>
                <w:sz w:val="21"/>
                <w:szCs w:val="21"/>
              </w:rPr>
            </w:pPr>
            <w:r>
              <w:rPr>
                <w:sz w:val="21"/>
                <w:szCs w:val="21"/>
              </w:rPr>
              <w:t>昼间及夜间连续</w:t>
            </w:r>
          </w:p>
        </w:tc>
        <w:tc>
          <w:tcPr>
            <w:tcW w:w="1497" w:type="dxa"/>
            <w:shd w:val="clear" w:color="auto" w:fill="auto"/>
            <w:vAlign w:val="center"/>
          </w:tcPr>
          <w:p>
            <w:pPr>
              <w:snapToGrid w:val="0"/>
              <w:spacing w:line="240" w:lineRule="auto"/>
              <w:jc w:val="center"/>
              <w:rPr>
                <w:sz w:val="21"/>
                <w:szCs w:val="21"/>
              </w:rPr>
            </w:pPr>
            <w:r>
              <w:rPr>
                <w:sz w:val="21"/>
                <w:szCs w:val="21"/>
              </w:rPr>
              <w:t>70dB（A）</w:t>
            </w:r>
          </w:p>
        </w:tc>
        <w:tc>
          <w:tcPr>
            <w:tcW w:w="2523" w:type="dxa"/>
            <w:shd w:val="clear" w:color="auto" w:fill="auto"/>
            <w:vAlign w:val="center"/>
          </w:tcPr>
          <w:p>
            <w:pPr>
              <w:snapToGrid w:val="0"/>
              <w:spacing w:line="240" w:lineRule="auto"/>
              <w:jc w:val="center"/>
              <w:rPr>
                <w:sz w:val="21"/>
                <w:szCs w:val="21"/>
              </w:rPr>
            </w:pPr>
            <w:r>
              <w:rPr>
                <w:sz w:val="21"/>
                <w:szCs w:val="21"/>
              </w:rPr>
              <w:t>选低噪声设备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vMerge w:val="continue"/>
            <w:shd w:val="clear" w:color="auto" w:fill="auto"/>
            <w:vAlign w:val="center"/>
          </w:tcPr>
          <w:p>
            <w:pPr>
              <w:snapToGrid w:val="0"/>
              <w:spacing w:line="240" w:lineRule="auto"/>
              <w:jc w:val="center"/>
              <w:rPr>
                <w:sz w:val="21"/>
                <w:szCs w:val="21"/>
              </w:rPr>
            </w:pPr>
          </w:p>
        </w:tc>
        <w:tc>
          <w:tcPr>
            <w:tcW w:w="870" w:type="dxa"/>
            <w:shd w:val="clear" w:color="auto" w:fill="auto"/>
            <w:vAlign w:val="center"/>
          </w:tcPr>
          <w:p>
            <w:pPr>
              <w:snapToGrid w:val="0"/>
              <w:spacing w:line="240" w:lineRule="auto"/>
              <w:jc w:val="center"/>
              <w:rPr>
                <w:sz w:val="21"/>
                <w:szCs w:val="21"/>
              </w:rPr>
            </w:pPr>
            <w:r>
              <w:rPr>
                <w:sz w:val="21"/>
                <w:szCs w:val="21"/>
              </w:rPr>
              <w:t>水泵</w:t>
            </w:r>
          </w:p>
        </w:tc>
        <w:tc>
          <w:tcPr>
            <w:tcW w:w="1487" w:type="dxa"/>
            <w:shd w:val="clear" w:color="auto" w:fill="auto"/>
            <w:vAlign w:val="center"/>
          </w:tcPr>
          <w:p>
            <w:pPr>
              <w:snapToGrid w:val="0"/>
              <w:spacing w:line="240" w:lineRule="auto"/>
              <w:jc w:val="center"/>
              <w:rPr>
                <w:sz w:val="21"/>
                <w:szCs w:val="21"/>
              </w:rPr>
            </w:pPr>
            <w:r>
              <w:rPr>
                <w:sz w:val="21"/>
                <w:szCs w:val="21"/>
              </w:rPr>
              <w:t>污水处理系统</w:t>
            </w:r>
          </w:p>
        </w:tc>
        <w:tc>
          <w:tcPr>
            <w:tcW w:w="1784" w:type="dxa"/>
            <w:shd w:val="clear" w:color="auto" w:fill="auto"/>
            <w:vAlign w:val="center"/>
          </w:tcPr>
          <w:p>
            <w:pPr>
              <w:snapToGrid w:val="0"/>
              <w:spacing w:line="240" w:lineRule="auto"/>
              <w:jc w:val="center"/>
              <w:rPr>
                <w:sz w:val="21"/>
                <w:szCs w:val="21"/>
              </w:rPr>
            </w:pPr>
            <w:r>
              <w:rPr>
                <w:sz w:val="21"/>
                <w:szCs w:val="21"/>
              </w:rPr>
              <w:t>昼间连续</w:t>
            </w:r>
          </w:p>
        </w:tc>
        <w:tc>
          <w:tcPr>
            <w:tcW w:w="1497" w:type="dxa"/>
            <w:shd w:val="clear" w:color="auto" w:fill="auto"/>
            <w:vAlign w:val="center"/>
          </w:tcPr>
          <w:p>
            <w:pPr>
              <w:snapToGrid w:val="0"/>
              <w:spacing w:line="240" w:lineRule="auto"/>
              <w:jc w:val="center"/>
              <w:rPr>
                <w:sz w:val="21"/>
                <w:szCs w:val="21"/>
              </w:rPr>
            </w:pPr>
            <w:r>
              <w:rPr>
                <w:sz w:val="21"/>
                <w:szCs w:val="21"/>
              </w:rPr>
              <w:t>85dB（A）</w:t>
            </w:r>
          </w:p>
        </w:tc>
        <w:tc>
          <w:tcPr>
            <w:tcW w:w="2523" w:type="dxa"/>
            <w:shd w:val="clear" w:color="auto" w:fill="auto"/>
            <w:vAlign w:val="center"/>
          </w:tcPr>
          <w:p>
            <w:pPr>
              <w:snapToGrid w:val="0"/>
              <w:spacing w:line="240" w:lineRule="auto"/>
              <w:jc w:val="center"/>
              <w:rPr>
                <w:sz w:val="21"/>
                <w:szCs w:val="21"/>
              </w:rPr>
            </w:pPr>
            <w:r>
              <w:rPr>
                <w:sz w:val="21"/>
                <w:szCs w:val="21"/>
              </w:rPr>
              <w:t>选低噪声设备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vMerge w:val="continue"/>
            <w:shd w:val="clear" w:color="auto" w:fill="auto"/>
            <w:vAlign w:val="center"/>
          </w:tcPr>
          <w:p>
            <w:pPr>
              <w:snapToGrid w:val="0"/>
              <w:spacing w:line="240" w:lineRule="auto"/>
              <w:jc w:val="center"/>
              <w:rPr>
                <w:sz w:val="21"/>
                <w:szCs w:val="21"/>
              </w:rPr>
            </w:pPr>
          </w:p>
        </w:tc>
        <w:tc>
          <w:tcPr>
            <w:tcW w:w="870" w:type="dxa"/>
            <w:shd w:val="clear" w:color="auto" w:fill="auto"/>
            <w:vAlign w:val="center"/>
          </w:tcPr>
          <w:p>
            <w:pPr>
              <w:snapToGrid w:val="0"/>
              <w:spacing w:line="240" w:lineRule="auto"/>
              <w:jc w:val="center"/>
              <w:rPr>
                <w:sz w:val="21"/>
                <w:szCs w:val="21"/>
              </w:rPr>
            </w:pPr>
            <w:r>
              <w:rPr>
                <w:sz w:val="21"/>
                <w:szCs w:val="21"/>
              </w:rPr>
              <w:t>风机</w:t>
            </w:r>
          </w:p>
        </w:tc>
        <w:tc>
          <w:tcPr>
            <w:tcW w:w="1487" w:type="dxa"/>
            <w:shd w:val="clear" w:color="auto" w:fill="auto"/>
            <w:vAlign w:val="center"/>
          </w:tcPr>
          <w:p>
            <w:pPr>
              <w:snapToGrid w:val="0"/>
              <w:spacing w:line="240" w:lineRule="auto"/>
              <w:jc w:val="center"/>
              <w:rPr>
                <w:sz w:val="21"/>
                <w:szCs w:val="21"/>
              </w:rPr>
            </w:pPr>
            <w:r>
              <w:rPr>
                <w:sz w:val="21"/>
                <w:szCs w:val="21"/>
              </w:rPr>
              <w:t>全部猪舍</w:t>
            </w:r>
          </w:p>
        </w:tc>
        <w:tc>
          <w:tcPr>
            <w:tcW w:w="1784" w:type="dxa"/>
            <w:shd w:val="clear" w:color="auto" w:fill="auto"/>
            <w:vAlign w:val="center"/>
          </w:tcPr>
          <w:p>
            <w:pPr>
              <w:snapToGrid w:val="0"/>
              <w:spacing w:line="240" w:lineRule="auto"/>
              <w:jc w:val="center"/>
              <w:rPr>
                <w:sz w:val="21"/>
                <w:szCs w:val="21"/>
              </w:rPr>
            </w:pPr>
            <w:r>
              <w:rPr>
                <w:sz w:val="21"/>
                <w:szCs w:val="21"/>
              </w:rPr>
              <w:t>昼间连续</w:t>
            </w:r>
          </w:p>
        </w:tc>
        <w:tc>
          <w:tcPr>
            <w:tcW w:w="1497" w:type="dxa"/>
            <w:shd w:val="clear" w:color="auto" w:fill="auto"/>
            <w:vAlign w:val="center"/>
          </w:tcPr>
          <w:p>
            <w:pPr>
              <w:snapToGrid w:val="0"/>
              <w:spacing w:line="240" w:lineRule="auto"/>
              <w:jc w:val="center"/>
              <w:rPr>
                <w:sz w:val="21"/>
                <w:szCs w:val="21"/>
              </w:rPr>
            </w:pPr>
            <w:r>
              <w:rPr>
                <w:sz w:val="21"/>
                <w:szCs w:val="21"/>
              </w:rPr>
              <w:t>90 dB（A）</w:t>
            </w:r>
          </w:p>
        </w:tc>
        <w:tc>
          <w:tcPr>
            <w:tcW w:w="2523" w:type="dxa"/>
            <w:shd w:val="clear" w:color="auto" w:fill="auto"/>
            <w:vAlign w:val="center"/>
          </w:tcPr>
          <w:p>
            <w:pPr>
              <w:snapToGrid w:val="0"/>
              <w:spacing w:line="240" w:lineRule="auto"/>
              <w:jc w:val="center"/>
              <w:rPr>
                <w:sz w:val="21"/>
                <w:szCs w:val="21"/>
              </w:rPr>
            </w:pPr>
            <w:r>
              <w:rPr>
                <w:sz w:val="21"/>
                <w:szCs w:val="21"/>
              </w:rPr>
              <w:t>选低噪声设备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cantSplit/>
          <w:trHeight w:val="369" w:hRule="atLeast"/>
          <w:jc w:val="center"/>
        </w:trPr>
        <w:tc>
          <w:tcPr>
            <w:tcW w:w="684" w:type="dxa"/>
            <w:vMerge w:val="continue"/>
            <w:shd w:val="clear" w:color="auto" w:fill="auto"/>
            <w:vAlign w:val="center"/>
          </w:tcPr>
          <w:p>
            <w:pPr>
              <w:snapToGrid w:val="0"/>
              <w:spacing w:line="240" w:lineRule="auto"/>
              <w:jc w:val="center"/>
              <w:rPr>
                <w:sz w:val="21"/>
                <w:szCs w:val="21"/>
              </w:rPr>
            </w:pPr>
          </w:p>
        </w:tc>
        <w:tc>
          <w:tcPr>
            <w:tcW w:w="870" w:type="dxa"/>
            <w:shd w:val="clear" w:color="auto" w:fill="auto"/>
            <w:vAlign w:val="center"/>
          </w:tcPr>
          <w:p>
            <w:pPr>
              <w:snapToGrid w:val="0"/>
              <w:spacing w:line="240" w:lineRule="auto"/>
              <w:jc w:val="center"/>
              <w:rPr>
                <w:sz w:val="21"/>
                <w:szCs w:val="21"/>
              </w:rPr>
            </w:pPr>
            <w:r>
              <w:rPr>
                <w:rFonts w:hint="eastAsia"/>
                <w:sz w:val="21"/>
                <w:szCs w:val="21"/>
              </w:rPr>
              <w:t>发电机</w:t>
            </w:r>
          </w:p>
        </w:tc>
        <w:tc>
          <w:tcPr>
            <w:tcW w:w="1487" w:type="dxa"/>
            <w:shd w:val="clear" w:color="auto" w:fill="auto"/>
            <w:vAlign w:val="center"/>
          </w:tcPr>
          <w:p>
            <w:pPr>
              <w:snapToGrid w:val="0"/>
              <w:spacing w:line="240" w:lineRule="auto"/>
              <w:jc w:val="center"/>
              <w:rPr>
                <w:sz w:val="21"/>
                <w:szCs w:val="21"/>
              </w:rPr>
            </w:pPr>
            <w:r>
              <w:rPr>
                <w:rFonts w:hint="eastAsia"/>
                <w:sz w:val="21"/>
                <w:szCs w:val="21"/>
              </w:rPr>
              <w:t>配电房</w:t>
            </w:r>
          </w:p>
        </w:tc>
        <w:tc>
          <w:tcPr>
            <w:tcW w:w="1784" w:type="dxa"/>
            <w:shd w:val="clear" w:color="auto" w:fill="auto"/>
            <w:vAlign w:val="center"/>
          </w:tcPr>
          <w:p>
            <w:pPr>
              <w:snapToGrid w:val="0"/>
              <w:spacing w:line="240" w:lineRule="auto"/>
              <w:jc w:val="center"/>
              <w:rPr>
                <w:sz w:val="21"/>
                <w:szCs w:val="21"/>
              </w:rPr>
            </w:pPr>
            <w:r>
              <w:rPr>
                <w:rFonts w:hint="eastAsia"/>
                <w:sz w:val="21"/>
                <w:szCs w:val="21"/>
              </w:rPr>
              <w:t>偶发</w:t>
            </w:r>
          </w:p>
        </w:tc>
        <w:tc>
          <w:tcPr>
            <w:tcW w:w="1497" w:type="dxa"/>
            <w:shd w:val="clear" w:color="auto" w:fill="auto"/>
            <w:vAlign w:val="center"/>
          </w:tcPr>
          <w:p>
            <w:pPr>
              <w:snapToGrid w:val="0"/>
              <w:spacing w:line="240" w:lineRule="auto"/>
              <w:jc w:val="center"/>
              <w:rPr>
                <w:sz w:val="21"/>
                <w:szCs w:val="21"/>
              </w:rPr>
            </w:pPr>
            <w:r>
              <w:rPr>
                <w:sz w:val="21"/>
                <w:szCs w:val="21"/>
              </w:rPr>
              <w:t>90dB（A）</w:t>
            </w:r>
          </w:p>
        </w:tc>
        <w:tc>
          <w:tcPr>
            <w:tcW w:w="2523" w:type="dxa"/>
            <w:shd w:val="clear" w:color="auto" w:fill="auto"/>
            <w:vAlign w:val="center"/>
          </w:tcPr>
          <w:p>
            <w:pPr>
              <w:snapToGrid w:val="0"/>
              <w:spacing w:line="240" w:lineRule="auto"/>
              <w:jc w:val="center"/>
              <w:rPr>
                <w:sz w:val="21"/>
                <w:szCs w:val="21"/>
              </w:rPr>
            </w:pPr>
            <w:r>
              <w:rPr>
                <w:sz w:val="21"/>
                <w:szCs w:val="21"/>
              </w:rPr>
              <w:t>选低噪声设备、墙体隔声</w:t>
            </w:r>
          </w:p>
        </w:tc>
      </w:tr>
    </w:tbl>
    <w:p>
      <w:pPr>
        <w:adjustRightInd w:val="0"/>
        <w:snapToGrid w:val="0"/>
        <w:ind w:firstLine="482" w:firstLineChars="200"/>
        <w:rPr>
          <w:b/>
        </w:rPr>
      </w:pPr>
    </w:p>
    <w:p>
      <w:pPr>
        <w:pStyle w:val="970"/>
        <w:snapToGrid w:val="0"/>
        <w:ind w:firstLine="0"/>
        <w:outlineLvl w:val="3"/>
        <w:rPr>
          <w:rFonts w:eastAsia="黑体"/>
          <w:bCs/>
          <w:szCs w:val="24"/>
        </w:rPr>
      </w:pPr>
      <w:r>
        <w:rPr>
          <w:rFonts w:eastAsia="黑体"/>
          <w:bCs/>
          <w:szCs w:val="24"/>
        </w:rPr>
        <w:t>4.3.3.2 拟采取的处理措施</w:t>
      </w:r>
    </w:p>
    <w:p>
      <w:pPr>
        <w:snapToGrid w:val="0"/>
        <w:ind w:firstLine="480" w:firstLineChars="200"/>
      </w:pPr>
      <w:r>
        <w:t>圈舍噪声：为了减少猪只叫声对操作工人及周围环境的影响，尽可能的满足猪只饮食需要，避免因饥饿或口渴而发出叫声；播放轻音乐，同时应减少外界噪声等对猪舍的干扰，避免因惊吓而产生不安，使猪只保持安定平和的气氛，以缓解猪只的不安情绪。猪的叫声通过采取猪舍、绿化林的隔声、吸声等措施处理。</w:t>
      </w:r>
    </w:p>
    <w:p>
      <w:pPr>
        <w:snapToGrid w:val="0"/>
        <w:ind w:firstLine="480" w:firstLineChars="200"/>
      </w:pPr>
      <w:r>
        <w:t>设备噪声：水泵、排气扇、风机</w:t>
      </w:r>
      <w:r>
        <w:rPr>
          <w:rFonts w:hint="eastAsia"/>
        </w:rPr>
        <w:t>和发电机</w:t>
      </w:r>
      <w:r>
        <w:t>通过选用低噪声设备和建筑隔声、距离衰减后，可基本实现</w:t>
      </w:r>
      <w:r>
        <w:rPr>
          <w:rFonts w:hint="eastAsia"/>
        </w:rPr>
        <w:t>厂界噪声</w:t>
      </w:r>
      <w:r>
        <w:t>达标。潜污泵被置于水面下，环境相对封闭，经隔声后，</w:t>
      </w:r>
      <w:r>
        <w:rPr>
          <w:rFonts w:hint="eastAsia"/>
        </w:rPr>
        <w:t>可实现厂界噪声</w:t>
      </w:r>
      <w:r>
        <w:t>达标。</w:t>
      </w:r>
    </w:p>
    <w:p>
      <w:pPr>
        <w:jc w:val="left"/>
        <w:outlineLvl w:val="2"/>
        <w:rPr>
          <w:rFonts w:eastAsia="黑体"/>
          <w:bCs/>
          <w:sz w:val="28"/>
          <w:szCs w:val="28"/>
        </w:rPr>
      </w:pPr>
      <w:r>
        <w:rPr>
          <w:rFonts w:eastAsia="黑体"/>
          <w:bCs/>
          <w:sz w:val="28"/>
          <w:szCs w:val="28"/>
        </w:rPr>
        <w:t xml:space="preserve">4.3.4 </w:t>
      </w:r>
      <w:r>
        <w:rPr>
          <w:rFonts w:hint="eastAsia" w:eastAsia="黑体"/>
          <w:bCs/>
          <w:sz w:val="28"/>
          <w:szCs w:val="28"/>
        </w:rPr>
        <w:t>固体废物产生及治理措施</w:t>
      </w:r>
    </w:p>
    <w:p>
      <w:pPr>
        <w:adjustRightInd w:val="0"/>
        <w:snapToGrid w:val="0"/>
        <w:ind w:firstLine="480" w:firstLineChars="200"/>
      </w:pPr>
      <w:r>
        <w:t>养殖场固体废物主要为猪粪、污泥、病死猪、胎盘、办公区生活垃圾、少量医疗废物、少量废脱硫剂。</w:t>
      </w:r>
    </w:p>
    <w:p>
      <w:pPr>
        <w:adjustRightInd w:val="0"/>
        <w:snapToGrid w:val="0"/>
        <w:ind w:firstLine="482" w:firstLineChars="200"/>
        <w:rPr>
          <w:b/>
        </w:rPr>
      </w:pPr>
      <w:r>
        <w:rPr>
          <w:b/>
        </w:rPr>
        <w:t>（1）猪粪</w:t>
      </w:r>
    </w:p>
    <w:p>
      <w:pPr>
        <w:snapToGrid w:val="0"/>
        <w:ind w:firstLine="480" w:firstLineChars="200"/>
      </w:pPr>
      <w:r>
        <w:rPr>
          <w:rFonts w:hint="eastAsia"/>
        </w:rPr>
        <w:t>根据前述分析，项目猪粪产生量为</w:t>
      </w:r>
      <w:r>
        <w:t>8.76t/a</w:t>
      </w:r>
      <w:r>
        <w:rPr>
          <w:rFonts w:hint="eastAsia"/>
        </w:rPr>
        <w:t>，</w:t>
      </w:r>
      <w:r>
        <w:t>项目圈舍采用全漏缝地板，猪舍内产生的粪尿依靠重力进入缝隙地板下的</w:t>
      </w:r>
      <w:r>
        <w:rPr>
          <w:rFonts w:hint="eastAsia"/>
        </w:rPr>
        <w:t>收集池/收集沟</w:t>
      </w:r>
      <w:r>
        <w:t>，本项目养殖场</w:t>
      </w:r>
      <w:r>
        <w:rPr>
          <w:rFonts w:hint="eastAsia"/>
        </w:rPr>
        <w:t>产生的猪粪连同养殖废水一并进入到集污池，每日由槽罐车运至</w:t>
      </w:r>
      <w:r>
        <w:t>乐山乐高勤力生物质能源综合利用有限公司“大沼”工程用于发电，</w:t>
      </w:r>
      <w:r>
        <w:rPr>
          <w:rFonts w:hint="eastAsia"/>
        </w:rPr>
        <w:t>根据</w:t>
      </w:r>
      <w:r>
        <w:t>乐山乐高勤力生物质能源综合利用有限公司</w:t>
      </w:r>
      <w:r>
        <w:rPr>
          <w:rFonts w:hint="eastAsia"/>
        </w:rPr>
        <w:t>流程可知，待产生沼气后，进行干湿分离，干粪生产为固态有机肥。</w:t>
      </w:r>
    </w:p>
    <w:p>
      <w:pPr>
        <w:adjustRightInd w:val="0"/>
        <w:snapToGrid w:val="0"/>
        <w:ind w:firstLine="482" w:firstLineChars="200"/>
        <w:rPr>
          <w:b/>
        </w:rPr>
      </w:pPr>
      <w:r>
        <w:rPr>
          <w:b/>
        </w:rPr>
        <w:t>（2）</w:t>
      </w:r>
      <w:r>
        <w:rPr>
          <w:b/>
          <w:lang w:val="zh-CN"/>
        </w:rPr>
        <w:t>病死猪和母猪分娩物</w:t>
      </w:r>
    </w:p>
    <w:p>
      <w:pPr>
        <w:snapToGrid w:val="0"/>
        <w:ind w:firstLine="480" w:firstLineChars="200"/>
      </w:pPr>
      <w:r>
        <w:t>本项目母猪分娩率90%，每年产2胎，平均每胎产10只小猪，存活率95%，主要为刚出生和出生不久的小猪，平均重量以2kg/头计，则本项目死猪产生量约2700只/年，死猪重量共计</w:t>
      </w:r>
      <w:r>
        <w:rPr>
          <w:rFonts w:hint="eastAsia"/>
        </w:rPr>
        <w:t>5</w:t>
      </w:r>
      <w:r>
        <w:t>.4t/a。母猪发病率按1%计，则本项目病猪产生量约30</w:t>
      </w:r>
      <w:r>
        <w:rPr>
          <w:rFonts w:hint="eastAsia"/>
        </w:rPr>
        <w:t>头</w:t>
      </w:r>
      <w:r>
        <w:t>/年，种猪重量以200kg/头计，死猪重量共计6.0t/a。养殖场年产仔猪54000头</w:t>
      </w:r>
      <w:r>
        <w:rPr>
          <w:rFonts w:hint="eastAsia"/>
        </w:rPr>
        <w:t>（含死亡小猪）</w:t>
      </w:r>
      <w:r>
        <w:t>，按每个胎盘1.5kg计，则产生胎盘量81t/a。</w:t>
      </w:r>
    </w:p>
    <w:p>
      <w:pPr>
        <w:pStyle w:val="2"/>
        <w:ind w:firstLine="480"/>
        <w:rPr>
          <w:rFonts w:hint="default"/>
        </w:rPr>
      </w:pPr>
      <w:r>
        <w:rPr>
          <w:color w:val="auto"/>
        </w:rPr>
        <w:t>项目产生的病死猪及严格按照《乐山市人民政府办公室关于建立病死畜禽无害化处理机制的通知》（乐府办函[2016]24号）处置，交由乐山市无害化处理中心处置。</w:t>
      </w:r>
    </w:p>
    <w:p>
      <w:pPr>
        <w:pStyle w:val="2"/>
        <w:ind w:firstLine="480"/>
        <w:rPr>
          <w:rFonts w:hint="default"/>
        </w:rPr>
      </w:pPr>
      <w:r>
        <w:t>发现病死猪时，建设单位向当地的畜牧兽医站(以下简称兽医站)无害化监管人员报案，并妥善临时看管畜禽尸体（放置于冰柜内），兽医站无害化监管人员、无害化处理公司在接到报案24小时内共同到场对病死畜禽进行收集。 无害化处理公司在进行病死畜禽收集时,由兽医站无害化处理监督员现场监督,收集完成后由无害化处理公司收集人员做好现场场地和工具的消毒灭源工作。病死畜禽采用专用车辆运送至无害化处理公司处置基地后，严格按照《病死及病害动物无害化处理技术规范》(农医发〔2017〕25号)、《病死及死因不明动物处置办法(试行)》等法律法规，进行无害化处理。</w:t>
      </w:r>
    </w:p>
    <w:p>
      <w:pPr>
        <w:snapToGrid w:val="0"/>
        <w:ind w:firstLine="482" w:firstLineChars="200"/>
        <w:rPr>
          <w:b/>
          <w:bCs/>
        </w:rPr>
      </w:pPr>
      <w:r>
        <w:rPr>
          <w:rFonts w:hint="eastAsia"/>
          <w:b/>
          <w:bCs/>
        </w:rPr>
        <w:t>（3）淘汰种猪</w:t>
      </w:r>
    </w:p>
    <w:p>
      <w:pPr>
        <w:snapToGrid w:val="0"/>
        <w:ind w:firstLine="480" w:firstLineChars="200"/>
      </w:pPr>
      <w:r>
        <w:t>项目种猪为3000头，种猪淘汰按每四年淘汰一次计，则淘汰种猪量为750头/a</w:t>
      </w:r>
      <w:r>
        <w:rPr>
          <w:rFonts w:hint="eastAsia"/>
        </w:rPr>
        <w:t>，淘汰种猪交由当地农户进行饲养。</w:t>
      </w:r>
    </w:p>
    <w:p>
      <w:pPr>
        <w:adjustRightInd w:val="0"/>
        <w:snapToGrid w:val="0"/>
        <w:ind w:firstLine="482" w:firstLineChars="200"/>
        <w:rPr>
          <w:b/>
        </w:rPr>
      </w:pPr>
      <w:r>
        <w:rPr>
          <w:b/>
        </w:rPr>
        <w:t>（4）生活垃圾</w:t>
      </w:r>
    </w:p>
    <w:p>
      <w:pPr>
        <w:snapToGrid w:val="0"/>
        <w:ind w:firstLine="480" w:firstLineChars="200"/>
      </w:pPr>
      <w:r>
        <w:t>项目劳动定员为20人，年工作365天，按1kg/人·d计算，生活垃圾产生量为20kg/d（合计7.3t/a）。</w:t>
      </w:r>
    </w:p>
    <w:p>
      <w:pPr>
        <w:snapToGrid w:val="0"/>
        <w:ind w:firstLine="480" w:firstLineChars="200"/>
      </w:pPr>
      <w:r>
        <w:t>项目内产生的生活垃圾实行袋装化，集中收集后，交由环卫部门送至当地生活垃圾处理场集中处理。</w:t>
      </w:r>
    </w:p>
    <w:p>
      <w:pPr>
        <w:adjustRightInd w:val="0"/>
        <w:snapToGrid w:val="0"/>
        <w:ind w:firstLine="482" w:firstLineChars="200"/>
        <w:rPr>
          <w:b/>
        </w:rPr>
      </w:pPr>
      <w:r>
        <w:rPr>
          <w:b/>
        </w:rPr>
        <w:t>（4）医疗废物</w:t>
      </w:r>
    </w:p>
    <w:p>
      <w:pPr>
        <w:snapToGrid w:val="0"/>
        <w:ind w:firstLine="480" w:firstLineChars="200"/>
        <w:rPr>
          <w:rFonts w:eastAsiaTheme="minorEastAsia"/>
        </w:rPr>
      </w:pPr>
      <w:r>
        <w:fldChar w:fldCharType="begin"/>
      </w:r>
      <w:r>
        <w:instrText xml:space="preserve"> = 1 \* GB3 </w:instrText>
      </w:r>
      <w:r>
        <w:fldChar w:fldCharType="separate"/>
      </w:r>
      <w:r>
        <w:rPr>
          <w:rFonts w:hint="eastAsia"/>
        </w:rPr>
        <w:t>①</w:t>
      </w:r>
      <w:r>
        <w:fldChar w:fldCharType="end"/>
      </w:r>
      <w:r>
        <w:rPr>
          <w:rFonts w:eastAsiaTheme="minorEastAsia"/>
        </w:rPr>
        <w:t>产生情况</w:t>
      </w:r>
    </w:p>
    <w:p>
      <w:pPr>
        <w:snapToGrid w:val="0"/>
        <w:ind w:firstLine="480" w:firstLineChars="200"/>
        <w:rPr>
          <w:rFonts w:eastAsiaTheme="minorEastAsia"/>
        </w:rPr>
      </w:pPr>
      <w:r>
        <w:rPr>
          <w:rFonts w:eastAsiaTheme="minorEastAsia"/>
        </w:rPr>
        <w:t>本项目为规模化养猪场的建设，运营期间会产生医疗废弃物，主要包括损伤性废弃物（针头、手术刀、玻璃器皿、玻璃药剂瓶等）、药物性废弃物（过期药品、疫苗等）、感染性废弃物（一次性注射器、一次性输液管、棉球、棉签、纱布、病畜污染物等）、化学性废弃物（消毒剂、化学试剂等）。</w:t>
      </w:r>
    </w:p>
    <w:p>
      <w:pPr>
        <w:snapToGrid w:val="0"/>
        <w:ind w:firstLine="480" w:firstLineChars="200"/>
        <w:rPr>
          <w:rFonts w:eastAsiaTheme="minorEastAsia"/>
        </w:rPr>
      </w:pPr>
      <w:r>
        <w:rPr>
          <w:rFonts w:eastAsiaTheme="minorEastAsia"/>
        </w:rPr>
        <w:t>根据中国动物检疫，2014年06期中《</w:t>
      </w:r>
      <w:r>
        <w:rPr>
          <w:rFonts w:eastAsiaTheme="minorEastAsia"/>
          <w:bCs/>
        </w:rPr>
        <w:t>规模养殖场动物医疗废弃物产生量的统计试验》（安定区畜牧兽医局唐春华；定西市安定区动物疫病预防控制中心田华）资料，养猪场医疗废弃物产生量为1854g/500头·d。本项目猪只日存栏量为3352头（其中种猪3000头</w:t>
      </w:r>
      <w:r>
        <w:rPr>
          <w:rFonts w:hint="eastAsia" w:eastAsiaTheme="minorEastAsia"/>
          <w:bCs/>
        </w:rPr>
        <w:t>，公猪5</w:t>
      </w:r>
      <w:r>
        <w:rPr>
          <w:rFonts w:eastAsiaTheme="minorEastAsia"/>
          <w:bCs/>
        </w:rPr>
        <w:t>0</w:t>
      </w:r>
      <w:r>
        <w:rPr>
          <w:rFonts w:hint="eastAsia" w:eastAsiaTheme="minorEastAsia"/>
          <w:bCs/>
        </w:rPr>
        <w:t>头</w:t>
      </w:r>
      <w:r>
        <w:rPr>
          <w:rFonts w:eastAsiaTheme="minorEastAsia"/>
          <w:bCs/>
        </w:rPr>
        <w:t>，仔猪3018头折合成成年猪约302头），则本项目医疗废弃物产生量为12.43kg/d，计4.54t/a。环评要求，项目内应设置医疗废物</w:t>
      </w:r>
      <w:r>
        <w:rPr>
          <w:rFonts w:eastAsiaTheme="minorEastAsia"/>
        </w:rPr>
        <w:t>暂存间，运营期间产生的废弃药品、废弃兽药包装袋、过期兽药等医疗废物由暂存间进行暂时存放，定期交由有资质的单位进行处理。</w:t>
      </w:r>
    </w:p>
    <w:p>
      <w:pPr>
        <w:snapToGrid w:val="0"/>
        <w:ind w:firstLine="480" w:firstLineChars="200"/>
        <w:rPr>
          <w:rFonts w:eastAsiaTheme="minorEastAsia"/>
        </w:rPr>
      </w:pPr>
      <w:r>
        <w:fldChar w:fldCharType="begin"/>
      </w:r>
      <w:r>
        <w:instrText xml:space="preserve"> = 2 \* GB3 </w:instrText>
      </w:r>
      <w:r>
        <w:fldChar w:fldCharType="separate"/>
      </w:r>
      <w:r>
        <w:rPr>
          <w:rFonts w:hint="eastAsia"/>
        </w:rPr>
        <w:t>②</w:t>
      </w:r>
      <w:r>
        <w:fldChar w:fldCharType="end"/>
      </w:r>
      <w:r>
        <w:rPr>
          <w:rFonts w:eastAsiaTheme="minorEastAsia"/>
        </w:rPr>
        <w:t>拟采取的处理措施</w:t>
      </w:r>
    </w:p>
    <w:p>
      <w:pPr>
        <w:snapToGrid w:val="0"/>
        <w:ind w:firstLine="480" w:firstLineChars="200"/>
        <w:rPr>
          <w:rFonts w:eastAsiaTheme="minorEastAsia"/>
        </w:rPr>
      </w:pPr>
      <w:r>
        <w:rPr>
          <w:rFonts w:eastAsiaTheme="minorEastAsia"/>
        </w:rPr>
        <w:t>设置暂存间，运营期间产生的废弃药品、废弃兽药包装袋、过期兽药等医疗废物由暂存间进行暂时存放，定期交由有资质的单位进行处理。</w:t>
      </w:r>
    </w:p>
    <w:p>
      <w:pPr>
        <w:snapToGrid w:val="0"/>
        <w:ind w:firstLine="480" w:firstLineChars="200"/>
      </w:pPr>
      <w:r>
        <w:fldChar w:fldCharType="begin"/>
      </w:r>
      <w:r>
        <w:instrText xml:space="preserve"> = 3 \* GB3 </w:instrText>
      </w:r>
      <w:r>
        <w:fldChar w:fldCharType="separate"/>
      </w:r>
      <w:r>
        <w:rPr>
          <w:rFonts w:hint="eastAsia"/>
        </w:rPr>
        <w:t>③</w:t>
      </w:r>
      <w:r>
        <w:fldChar w:fldCharType="end"/>
      </w:r>
      <w:r>
        <w:rPr>
          <w:rFonts w:eastAsiaTheme="minorEastAsia"/>
        </w:rPr>
        <w:t>医疗废弃物暂存、管理要求</w:t>
      </w:r>
    </w:p>
    <w:p>
      <w:pPr>
        <w:snapToGrid w:val="0"/>
        <w:ind w:firstLine="480" w:firstLineChars="200"/>
      </w:pPr>
      <w:r>
        <w:t>按照《医疗废物管理条例》（国务院第380号令）、《医疗废物集中处置技术规范（试行）》、《医疗废物专用包装袋、容器和警示标志标准》（HJ421-2008）、《医疗卫生机构医疗废物管理办法》（中华人民共和国卫生部令第36号）、《关于印发《医疗废物分类目录》的通知》（卫医发[2003]287号）的相关要求，医疗废物应采取以下管理措施；</w:t>
      </w:r>
    </w:p>
    <w:p>
      <w:pPr>
        <w:snapToGrid w:val="0"/>
        <w:ind w:firstLine="480" w:firstLineChars="200"/>
      </w:pPr>
      <w:r>
        <w:t>A、医疗废物的收集和管理</w:t>
      </w:r>
    </w:p>
    <w:p>
      <w:pPr>
        <w:snapToGrid w:val="0"/>
        <w:ind w:firstLine="480" w:firstLineChars="200"/>
      </w:pPr>
      <w:r>
        <w:t>医疗卫生机构应当根据《医疗废物分类目录》，对医疗废物实施分类管理。医疗废物必须由指定的专人定时收集，收集人应有必要的防护措施。医疗机构的负责人应按照相关的法规及办法进行监督和管理。</w:t>
      </w:r>
    </w:p>
    <w:p>
      <w:pPr>
        <w:snapToGrid w:val="0"/>
        <w:ind w:firstLine="480" w:firstLineChars="200"/>
      </w:pPr>
      <w:r>
        <w:t>B、医疗卫生机构应当按照以下要求，及时分类收集医疗废物：</w:t>
      </w:r>
    </w:p>
    <w:p>
      <w:pPr>
        <w:snapToGrid w:val="0"/>
        <w:ind w:firstLine="480" w:firstLineChars="200"/>
      </w:pPr>
      <w:r>
        <w:fldChar w:fldCharType="begin"/>
      </w:r>
      <w:r>
        <w:instrText xml:space="preserve"> = 1 \* alphabetic </w:instrText>
      </w:r>
      <w:r>
        <w:fldChar w:fldCharType="separate"/>
      </w:r>
      <w:r>
        <w:t>a</w:t>
      </w:r>
      <w:r>
        <w:fldChar w:fldCharType="end"/>
      </w:r>
      <w:r>
        <w:t>根据医疗废物的类别，将医疗废物分置于符合《医疗废物专用包装物、容器的标准和警示标识的规定》的包装物或者容器内；</w:t>
      </w:r>
    </w:p>
    <w:p>
      <w:pPr>
        <w:snapToGrid w:val="0"/>
        <w:ind w:firstLine="480" w:firstLineChars="200"/>
      </w:pPr>
      <w:r>
        <w:fldChar w:fldCharType="begin"/>
      </w:r>
      <w:r>
        <w:instrText xml:space="preserve"> = 2 \* alphabetic </w:instrText>
      </w:r>
      <w:r>
        <w:fldChar w:fldCharType="separate"/>
      </w:r>
      <w:r>
        <w:t>b</w:t>
      </w:r>
      <w:r>
        <w:fldChar w:fldCharType="end"/>
      </w:r>
      <w:r>
        <w:t>在盛装医疗废物前，应当对医疗废物包装物或者容器进行认真检查，确保无破损、渗漏和其它缺陷；</w:t>
      </w:r>
    </w:p>
    <w:p>
      <w:pPr>
        <w:snapToGrid w:val="0"/>
        <w:ind w:firstLine="480" w:firstLineChars="200"/>
      </w:pPr>
      <w:r>
        <w:fldChar w:fldCharType="begin"/>
      </w:r>
      <w:r>
        <w:instrText xml:space="preserve"> = 3 \* alphabetic </w:instrText>
      </w:r>
      <w:r>
        <w:fldChar w:fldCharType="separate"/>
      </w:r>
      <w:r>
        <w:t>c</w:t>
      </w:r>
      <w:r>
        <w:fldChar w:fldCharType="end"/>
      </w:r>
      <w:r>
        <w:t>感染性废物、损伤性废物、药物性废物及化学性废物不能混合收集。少量的药物性废物可以混入感染性废物，但应当在标签上注明；</w:t>
      </w:r>
    </w:p>
    <w:p>
      <w:pPr>
        <w:snapToGrid w:val="0"/>
        <w:ind w:firstLine="480" w:firstLineChars="200"/>
      </w:pPr>
      <w:r>
        <w:fldChar w:fldCharType="begin"/>
      </w:r>
      <w:r>
        <w:instrText xml:space="preserve"> = 4 \* alphabetic </w:instrText>
      </w:r>
      <w:r>
        <w:fldChar w:fldCharType="separate"/>
      </w:r>
      <w:r>
        <w:t>d</w:t>
      </w:r>
      <w:r>
        <w:fldChar w:fldCharType="end"/>
      </w:r>
      <w:r>
        <w:t>批量的含有汞的体温计、血压计等医疗器具报废时，交由有资质的单位处置；</w:t>
      </w:r>
    </w:p>
    <w:p>
      <w:pPr>
        <w:snapToGrid w:val="0"/>
        <w:ind w:firstLine="480" w:firstLineChars="200"/>
      </w:pPr>
      <w:r>
        <w:fldChar w:fldCharType="begin"/>
      </w:r>
      <w:r>
        <w:instrText xml:space="preserve"> = 5 \* alphabetic </w:instrText>
      </w:r>
      <w:r>
        <w:fldChar w:fldCharType="separate"/>
      </w:r>
      <w:r>
        <w:t>e</w:t>
      </w:r>
      <w:r>
        <w:fldChar w:fldCharType="end"/>
      </w:r>
      <w:r>
        <w:t>放入包装物或者容器内的感染性废物、损伤性废物不得取出。</w:t>
      </w:r>
    </w:p>
    <w:p>
      <w:pPr>
        <w:snapToGrid w:val="0"/>
        <w:ind w:firstLine="480" w:firstLineChars="200"/>
      </w:pPr>
      <w:r>
        <w:t>C、盛装的医疗废物达到包装物或者容器的3/4时，应当使用有效的封口方式，使包装物或者容器的封口紧实、严密。</w:t>
      </w:r>
    </w:p>
    <w:p>
      <w:pPr>
        <w:snapToGrid w:val="0"/>
        <w:ind w:firstLine="480" w:firstLineChars="200"/>
      </w:pPr>
      <w:r>
        <w:t xml:space="preserve">D、包装物或者容器的外表面被感染性废物污染时，应当对被污染处进行消毒处理或者增加一层包装。 </w:t>
      </w:r>
    </w:p>
    <w:p>
      <w:pPr>
        <w:snapToGrid w:val="0"/>
        <w:ind w:firstLine="480" w:firstLineChars="200"/>
      </w:pPr>
      <w:r>
        <w:t>E、盛装医疗废物的每个包装物、容器外表面应当有警示标识，在每个包装物、容器上应当系中文标签，中文标签的内容应当包括：医疗废物产生单位、产生日期、类别及需要的特别说明等。</w:t>
      </w:r>
    </w:p>
    <w:p>
      <w:pPr>
        <w:snapToGrid w:val="0"/>
        <w:ind w:firstLine="480" w:firstLineChars="200"/>
      </w:pPr>
      <w:r>
        <w:t>F、医疗废物的暂时贮存和管理</w:t>
      </w:r>
    </w:p>
    <w:p>
      <w:pPr>
        <w:snapToGrid w:val="0"/>
        <w:ind w:firstLine="480" w:firstLineChars="200"/>
      </w:pPr>
      <w:r>
        <w:fldChar w:fldCharType="begin"/>
      </w:r>
      <w:r>
        <w:instrText xml:space="preserve"> = 1 \* alphabetic </w:instrText>
      </w:r>
      <w:r>
        <w:fldChar w:fldCharType="separate"/>
      </w:r>
      <w:r>
        <w:t>a</w:t>
      </w:r>
      <w:r>
        <w:fldChar w:fldCharType="end"/>
      </w:r>
      <w:r>
        <w:t>本项目医疗废物暂存间设置在兽医站旁。</w:t>
      </w:r>
    </w:p>
    <w:p>
      <w:pPr>
        <w:snapToGrid w:val="0"/>
        <w:ind w:firstLine="480" w:firstLineChars="200"/>
      </w:pPr>
      <w:r>
        <w:fldChar w:fldCharType="begin"/>
      </w:r>
      <w:r>
        <w:instrText xml:space="preserve"> = 2 \* alphabetic </w:instrText>
      </w:r>
      <w:r>
        <w:fldChar w:fldCharType="separate"/>
      </w:r>
      <w:r>
        <w:t>b</w:t>
      </w:r>
      <w:r>
        <w:fldChar w:fldCharType="end"/>
      </w:r>
      <w:r>
        <w:t>医疗废物暂时贮存设施、设备应当达到以下要求：</w:t>
      </w:r>
    </w:p>
    <w:p>
      <w:pPr>
        <w:snapToGrid w:val="0"/>
        <w:ind w:firstLine="480" w:firstLineChars="200"/>
        <w:rPr>
          <w:rFonts w:eastAsiaTheme="minorEastAsia"/>
        </w:rPr>
      </w:pPr>
      <w:r>
        <w:t>远离养殖区、食品加工区、人员活动区和生活垃圾存放场所，方便医疗废物运送人员及运送工具、车辆的出入；有严密的封闭措施，设专人管理，避免非工作人员进出，以及防鼠、防蚊蝇、防蟑螂、防盗以及预防儿童接触等安全措施；必须与生活垃圾存放地分开，有防雨淋的装置，地基高度应确保设施内不受雨洪冲击或浸泡；地面和1.0 米高的墙裙须进行防渗处理，易于清洁和消毒；避免阳光直射，应有良好的照明设备和通风条件；在库房外的明显处同时设置危险废物和医疗废物的警示标识，库房内应张贴“禁止吸烟、饮食”的警示标识。</w:t>
      </w:r>
    </w:p>
    <w:p>
      <w:pPr>
        <w:snapToGrid w:val="0"/>
        <w:ind w:firstLine="480" w:firstLineChars="200"/>
      </w:pPr>
      <w:r>
        <w:t>项目运营期固体废物的产生情况汇总见表4.3-9。</w:t>
      </w:r>
    </w:p>
    <w:p>
      <w:pPr>
        <w:spacing w:line="240" w:lineRule="auto"/>
        <w:contextualSpacing/>
        <w:jc w:val="center"/>
        <w:rPr>
          <w:rFonts w:eastAsia="黑体"/>
        </w:rPr>
      </w:pPr>
      <w:r>
        <w:rPr>
          <w:rFonts w:eastAsia="黑体"/>
        </w:rPr>
        <w:t>表4.3-9 固体废物产生情况一览表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283"/>
        <w:gridCol w:w="1351"/>
        <w:gridCol w:w="1507"/>
        <w:gridCol w:w="380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项目</w:t>
            </w:r>
          </w:p>
        </w:tc>
        <w:tc>
          <w:tcPr>
            <w:tcW w:w="755" w:type="pct"/>
            <w:vAlign w:val="center"/>
          </w:tcPr>
          <w:p>
            <w:pPr>
              <w:snapToGrid w:val="0"/>
              <w:spacing w:line="240" w:lineRule="auto"/>
              <w:jc w:val="center"/>
              <w:rPr>
                <w:sz w:val="21"/>
                <w:szCs w:val="21"/>
              </w:rPr>
            </w:pPr>
            <w:r>
              <w:rPr>
                <w:sz w:val="21"/>
                <w:szCs w:val="21"/>
              </w:rPr>
              <w:t>日产生量</w:t>
            </w:r>
          </w:p>
        </w:tc>
        <w:tc>
          <w:tcPr>
            <w:tcW w:w="842" w:type="pct"/>
            <w:vAlign w:val="center"/>
          </w:tcPr>
          <w:p>
            <w:pPr>
              <w:snapToGrid w:val="0"/>
              <w:spacing w:line="240" w:lineRule="auto"/>
              <w:jc w:val="center"/>
              <w:rPr>
                <w:sz w:val="21"/>
                <w:szCs w:val="21"/>
              </w:rPr>
            </w:pPr>
            <w:r>
              <w:rPr>
                <w:sz w:val="21"/>
                <w:szCs w:val="21"/>
              </w:rPr>
              <w:t>年产生量</w:t>
            </w:r>
          </w:p>
        </w:tc>
        <w:tc>
          <w:tcPr>
            <w:tcW w:w="2127" w:type="pct"/>
            <w:vAlign w:val="center"/>
          </w:tcPr>
          <w:p>
            <w:pPr>
              <w:snapToGrid w:val="0"/>
              <w:spacing w:line="240" w:lineRule="auto"/>
              <w:jc w:val="center"/>
              <w:rPr>
                <w:sz w:val="21"/>
                <w:szCs w:val="21"/>
              </w:rPr>
            </w:pPr>
            <w:r>
              <w:rPr>
                <w:sz w:val="21"/>
                <w:szCs w:val="21"/>
              </w:rPr>
              <w:t>处置措施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猪粪便</w:t>
            </w:r>
          </w:p>
        </w:tc>
        <w:tc>
          <w:tcPr>
            <w:tcW w:w="755" w:type="pct"/>
            <w:vAlign w:val="center"/>
          </w:tcPr>
          <w:p>
            <w:pPr>
              <w:snapToGrid w:val="0"/>
              <w:spacing w:line="240" w:lineRule="auto"/>
              <w:jc w:val="center"/>
              <w:rPr>
                <w:sz w:val="21"/>
                <w:szCs w:val="21"/>
              </w:rPr>
            </w:pPr>
            <w:r>
              <w:rPr>
                <w:sz w:val="21"/>
                <w:szCs w:val="21"/>
              </w:rPr>
              <w:t>8.76</w:t>
            </w:r>
            <w:r>
              <w:rPr>
                <w:rFonts w:hint="eastAsia"/>
                <w:sz w:val="21"/>
                <w:szCs w:val="21"/>
              </w:rPr>
              <w:t>t/d</w:t>
            </w:r>
          </w:p>
        </w:tc>
        <w:tc>
          <w:tcPr>
            <w:tcW w:w="842" w:type="pct"/>
            <w:vAlign w:val="center"/>
          </w:tcPr>
          <w:p>
            <w:pPr>
              <w:snapToGrid w:val="0"/>
              <w:spacing w:line="240" w:lineRule="auto"/>
              <w:jc w:val="center"/>
              <w:rPr>
                <w:sz w:val="21"/>
                <w:szCs w:val="21"/>
              </w:rPr>
            </w:pPr>
            <w:r>
              <w:rPr>
                <w:sz w:val="21"/>
                <w:szCs w:val="21"/>
              </w:rPr>
              <w:t>3197.4t/a</w:t>
            </w:r>
          </w:p>
        </w:tc>
        <w:tc>
          <w:tcPr>
            <w:tcW w:w="2127" w:type="pct"/>
            <w:vAlign w:val="center"/>
          </w:tcPr>
          <w:p>
            <w:pPr>
              <w:snapToGrid w:val="0"/>
              <w:spacing w:line="240" w:lineRule="auto"/>
              <w:jc w:val="center"/>
              <w:rPr>
                <w:sz w:val="21"/>
                <w:szCs w:val="21"/>
                <w:highlight w:val="yellow"/>
              </w:rPr>
            </w:pPr>
            <w:r>
              <w:rPr>
                <w:rFonts w:hint="eastAsia"/>
                <w:sz w:val="21"/>
                <w:szCs w:val="21"/>
              </w:rPr>
              <w:t>连同废水一并运至乐山乐高勤力生物质能源综合利用有限公司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病死猪</w:t>
            </w:r>
          </w:p>
        </w:tc>
        <w:tc>
          <w:tcPr>
            <w:tcW w:w="755" w:type="pct"/>
            <w:vAlign w:val="center"/>
          </w:tcPr>
          <w:p>
            <w:pPr>
              <w:snapToGrid w:val="0"/>
              <w:spacing w:line="240" w:lineRule="auto"/>
              <w:jc w:val="center"/>
              <w:rPr>
                <w:sz w:val="21"/>
                <w:szCs w:val="21"/>
              </w:rPr>
            </w:pPr>
            <w:r>
              <w:rPr>
                <w:sz w:val="21"/>
                <w:szCs w:val="21"/>
              </w:rPr>
              <w:t>/</w:t>
            </w:r>
          </w:p>
        </w:tc>
        <w:tc>
          <w:tcPr>
            <w:tcW w:w="842" w:type="pct"/>
            <w:vAlign w:val="center"/>
          </w:tcPr>
          <w:p>
            <w:pPr>
              <w:snapToGrid w:val="0"/>
              <w:spacing w:line="240" w:lineRule="auto"/>
              <w:jc w:val="center"/>
              <w:rPr>
                <w:sz w:val="21"/>
                <w:szCs w:val="21"/>
              </w:rPr>
            </w:pPr>
            <w:r>
              <w:rPr>
                <w:sz w:val="21"/>
                <w:szCs w:val="21"/>
              </w:rPr>
              <w:t>11.4</w:t>
            </w:r>
            <w:r>
              <w:rPr>
                <w:rFonts w:hint="eastAsia"/>
                <w:sz w:val="21"/>
                <w:szCs w:val="21"/>
              </w:rPr>
              <w:t>t</w:t>
            </w:r>
            <w:r>
              <w:rPr>
                <w:sz w:val="21"/>
                <w:szCs w:val="21"/>
              </w:rPr>
              <w:t>/a</w:t>
            </w:r>
          </w:p>
        </w:tc>
        <w:tc>
          <w:tcPr>
            <w:tcW w:w="2127" w:type="pct"/>
            <w:vMerge w:val="restart"/>
            <w:vAlign w:val="center"/>
          </w:tcPr>
          <w:p>
            <w:pPr>
              <w:snapToGrid w:val="0"/>
              <w:spacing w:line="240" w:lineRule="auto"/>
              <w:jc w:val="center"/>
              <w:rPr>
                <w:sz w:val="21"/>
                <w:szCs w:val="21"/>
              </w:rPr>
            </w:pPr>
            <w:r>
              <w:rPr>
                <w:sz w:val="21"/>
                <w:szCs w:val="21"/>
              </w:rPr>
              <w:t>交由乐山市无害化处理中心处置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母猪分娩物</w:t>
            </w:r>
          </w:p>
        </w:tc>
        <w:tc>
          <w:tcPr>
            <w:tcW w:w="755" w:type="pct"/>
            <w:vAlign w:val="center"/>
          </w:tcPr>
          <w:p>
            <w:pPr>
              <w:snapToGrid w:val="0"/>
              <w:spacing w:line="240" w:lineRule="auto"/>
              <w:jc w:val="center"/>
              <w:rPr>
                <w:sz w:val="21"/>
                <w:szCs w:val="21"/>
              </w:rPr>
            </w:pPr>
            <w:r>
              <w:rPr>
                <w:sz w:val="21"/>
                <w:szCs w:val="21"/>
              </w:rPr>
              <w:t>/</w:t>
            </w:r>
          </w:p>
        </w:tc>
        <w:tc>
          <w:tcPr>
            <w:tcW w:w="842" w:type="pct"/>
            <w:vAlign w:val="center"/>
          </w:tcPr>
          <w:p>
            <w:pPr>
              <w:snapToGrid w:val="0"/>
              <w:spacing w:line="240" w:lineRule="auto"/>
              <w:jc w:val="center"/>
              <w:rPr>
                <w:sz w:val="21"/>
                <w:szCs w:val="21"/>
                <w:highlight w:val="yellow"/>
              </w:rPr>
            </w:pPr>
            <w:r>
              <w:rPr>
                <w:sz w:val="21"/>
                <w:szCs w:val="21"/>
              </w:rPr>
              <w:t>81</w:t>
            </w:r>
            <w:r>
              <w:rPr>
                <w:rFonts w:hint="eastAsia"/>
                <w:sz w:val="21"/>
                <w:szCs w:val="21"/>
              </w:rPr>
              <w:t>t/a</w:t>
            </w:r>
          </w:p>
        </w:tc>
        <w:tc>
          <w:tcPr>
            <w:tcW w:w="2127" w:type="pct"/>
            <w:vMerge w:val="continue"/>
            <w:vAlign w:val="center"/>
          </w:tcPr>
          <w:p>
            <w:pPr>
              <w:snapToGrid w:val="0"/>
              <w:spacing w:line="240" w:lineRule="auto"/>
              <w:jc w:val="center"/>
              <w:rPr>
                <w:sz w:val="21"/>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淘汰种猪</w:t>
            </w:r>
          </w:p>
        </w:tc>
        <w:tc>
          <w:tcPr>
            <w:tcW w:w="755" w:type="pct"/>
            <w:vAlign w:val="center"/>
          </w:tcPr>
          <w:p>
            <w:pPr>
              <w:snapToGrid w:val="0"/>
              <w:spacing w:line="240" w:lineRule="auto"/>
              <w:jc w:val="center"/>
              <w:rPr>
                <w:sz w:val="21"/>
                <w:szCs w:val="21"/>
              </w:rPr>
            </w:pPr>
            <w:r>
              <w:rPr>
                <w:sz w:val="21"/>
                <w:szCs w:val="21"/>
              </w:rPr>
              <w:t>/</w:t>
            </w:r>
          </w:p>
        </w:tc>
        <w:tc>
          <w:tcPr>
            <w:tcW w:w="842" w:type="pct"/>
            <w:vAlign w:val="center"/>
          </w:tcPr>
          <w:p>
            <w:pPr>
              <w:snapToGrid w:val="0"/>
              <w:spacing w:line="240" w:lineRule="auto"/>
              <w:jc w:val="center"/>
              <w:rPr>
                <w:sz w:val="21"/>
                <w:szCs w:val="21"/>
              </w:rPr>
            </w:pPr>
            <w:r>
              <w:rPr>
                <w:sz w:val="21"/>
                <w:szCs w:val="21"/>
              </w:rPr>
              <w:t>750头/a</w:t>
            </w:r>
          </w:p>
        </w:tc>
        <w:tc>
          <w:tcPr>
            <w:tcW w:w="2127" w:type="pct"/>
            <w:vAlign w:val="center"/>
          </w:tcPr>
          <w:p>
            <w:pPr>
              <w:snapToGrid w:val="0"/>
              <w:spacing w:line="240" w:lineRule="auto"/>
              <w:jc w:val="center"/>
              <w:rPr>
                <w:sz w:val="21"/>
                <w:szCs w:val="21"/>
              </w:rPr>
            </w:pPr>
            <w:r>
              <w:rPr>
                <w:sz w:val="21"/>
                <w:szCs w:val="21"/>
              </w:rPr>
              <w:t>交由当地农户饲养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生活垃圾</w:t>
            </w:r>
          </w:p>
        </w:tc>
        <w:tc>
          <w:tcPr>
            <w:tcW w:w="755" w:type="pct"/>
            <w:vAlign w:val="center"/>
          </w:tcPr>
          <w:p>
            <w:pPr>
              <w:snapToGrid w:val="0"/>
              <w:spacing w:line="240" w:lineRule="auto"/>
              <w:jc w:val="center"/>
              <w:rPr>
                <w:sz w:val="21"/>
                <w:szCs w:val="21"/>
              </w:rPr>
            </w:pPr>
            <w:r>
              <w:rPr>
                <w:sz w:val="21"/>
                <w:szCs w:val="21"/>
              </w:rPr>
              <w:t>20kg</w:t>
            </w:r>
            <w:r>
              <w:rPr>
                <w:rFonts w:hint="eastAsia"/>
                <w:sz w:val="21"/>
                <w:szCs w:val="21"/>
              </w:rPr>
              <w:t>/</w:t>
            </w:r>
            <w:r>
              <w:rPr>
                <w:sz w:val="21"/>
                <w:szCs w:val="21"/>
              </w:rPr>
              <w:t>d</w:t>
            </w:r>
          </w:p>
        </w:tc>
        <w:tc>
          <w:tcPr>
            <w:tcW w:w="842" w:type="pct"/>
            <w:vAlign w:val="center"/>
          </w:tcPr>
          <w:p>
            <w:pPr>
              <w:snapToGrid w:val="0"/>
              <w:spacing w:line="240" w:lineRule="auto"/>
              <w:jc w:val="center"/>
              <w:rPr>
                <w:sz w:val="21"/>
                <w:szCs w:val="21"/>
              </w:rPr>
            </w:pPr>
            <w:r>
              <w:rPr>
                <w:sz w:val="21"/>
                <w:szCs w:val="21"/>
              </w:rPr>
              <w:t>7.3t/a</w:t>
            </w:r>
          </w:p>
        </w:tc>
        <w:tc>
          <w:tcPr>
            <w:tcW w:w="2127" w:type="pct"/>
            <w:vAlign w:val="center"/>
          </w:tcPr>
          <w:p>
            <w:pPr>
              <w:snapToGrid w:val="0"/>
              <w:spacing w:line="240" w:lineRule="auto"/>
              <w:jc w:val="center"/>
              <w:rPr>
                <w:sz w:val="21"/>
                <w:szCs w:val="21"/>
              </w:rPr>
            </w:pPr>
            <w:r>
              <w:rPr>
                <w:sz w:val="21"/>
                <w:szCs w:val="21"/>
              </w:rPr>
              <w:t>送至当地生活垃圾处理场集中处理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医疗废物</w:t>
            </w:r>
          </w:p>
        </w:tc>
        <w:tc>
          <w:tcPr>
            <w:tcW w:w="755" w:type="pct"/>
            <w:vAlign w:val="center"/>
          </w:tcPr>
          <w:p>
            <w:pPr>
              <w:snapToGrid w:val="0"/>
              <w:spacing w:line="240" w:lineRule="auto"/>
              <w:jc w:val="center"/>
              <w:rPr>
                <w:sz w:val="21"/>
                <w:szCs w:val="21"/>
              </w:rPr>
            </w:pPr>
            <w:r>
              <w:rPr>
                <w:sz w:val="21"/>
                <w:szCs w:val="21"/>
              </w:rPr>
              <w:t>12.43kg/d</w:t>
            </w:r>
          </w:p>
        </w:tc>
        <w:tc>
          <w:tcPr>
            <w:tcW w:w="842" w:type="pct"/>
            <w:vAlign w:val="center"/>
          </w:tcPr>
          <w:p>
            <w:pPr>
              <w:snapToGrid w:val="0"/>
              <w:spacing w:line="240" w:lineRule="auto"/>
              <w:jc w:val="center"/>
              <w:rPr>
                <w:sz w:val="21"/>
                <w:szCs w:val="21"/>
              </w:rPr>
            </w:pPr>
            <w:r>
              <w:rPr>
                <w:sz w:val="21"/>
                <w:szCs w:val="21"/>
              </w:rPr>
              <w:t>4.54t/a</w:t>
            </w:r>
          </w:p>
        </w:tc>
        <w:tc>
          <w:tcPr>
            <w:tcW w:w="2127" w:type="pct"/>
            <w:vAlign w:val="center"/>
          </w:tcPr>
          <w:p>
            <w:pPr>
              <w:snapToGrid w:val="0"/>
              <w:spacing w:line="240" w:lineRule="auto"/>
              <w:jc w:val="center"/>
              <w:rPr>
                <w:sz w:val="21"/>
                <w:szCs w:val="21"/>
              </w:rPr>
            </w:pPr>
            <w:r>
              <w:rPr>
                <w:sz w:val="21"/>
                <w:szCs w:val="21"/>
              </w:rPr>
              <w:t>交由资质单位处理</w:t>
            </w:r>
          </w:p>
        </w:tc>
      </w:tr>
    </w:tbl>
    <w:p>
      <w:pPr>
        <w:snapToGrid w:val="0"/>
        <w:ind w:firstLine="482" w:firstLineChars="200"/>
        <w:rPr>
          <w:b/>
          <w:color w:val="FF0000"/>
        </w:rPr>
      </w:pPr>
    </w:p>
    <w:p>
      <w:pPr>
        <w:jc w:val="left"/>
        <w:outlineLvl w:val="2"/>
        <w:rPr>
          <w:rFonts w:eastAsia="黑体"/>
          <w:bCs/>
          <w:sz w:val="28"/>
          <w:szCs w:val="28"/>
        </w:rPr>
      </w:pPr>
      <w:bookmarkStart w:id="583" w:name="_Toc427571490"/>
      <w:bookmarkStart w:id="584" w:name="_Toc457480975"/>
      <w:r>
        <w:rPr>
          <w:rFonts w:hint="eastAsia" w:eastAsia="黑体"/>
          <w:bCs/>
          <w:sz w:val="28"/>
          <w:szCs w:val="28"/>
        </w:rPr>
        <w:t>4</w:t>
      </w:r>
      <w:r>
        <w:rPr>
          <w:rFonts w:eastAsia="黑体"/>
          <w:bCs/>
          <w:sz w:val="28"/>
          <w:szCs w:val="28"/>
        </w:rPr>
        <w:t>.3.5  地下水防治措施</w:t>
      </w:r>
    </w:p>
    <w:p>
      <w:pPr>
        <w:pStyle w:val="970"/>
        <w:snapToGrid w:val="0"/>
        <w:ind w:firstLine="0"/>
        <w:outlineLvl w:val="3"/>
        <w:rPr>
          <w:rFonts w:eastAsia="黑体"/>
          <w:bCs/>
          <w:szCs w:val="24"/>
        </w:rPr>
      </w:pPr>
      <w:r>
        <w:rPr>
          <w:rFonts w:eastAsia="黑体"/>
          <w:bCs/>
          <w:szCs w:val="24"/>
        </w:rPr>
        <w:t>4</w:t>
      </w:r>
      <w:r>
        <w:rPr>
          <w:rFonts w:hint="eastAsia" w:eastAsia="黑体"/>
          <w:bCs/>
          <w:szCs w:val="24"/>
        </w:rPr>
        <w:t>.</w:t>
      </w:r>
      <w:r>
        <w:rPr>
          <w:rFonts w:eastAsia="黑体"/>
          <w:bCs/>
          <w:szCs w:val="24"/>
        </w:rPr>
        <w:t>3.5</w:t>
      </w:r>
      <w:r>
        <w:rPr>
          <w:rFonts w:hint="eastAsia" w:eastAsia="黑体"/>
          <w:bCs/>
          <w:szCs w:val="24"/>
        </w:rPr>
        <w:t>.1</w:t>
      </w:r>
      <w:r>
        <w:rPr>
          <w:rFonts w:eastAsia="黑体"/>
          <w:bCs/>
          <w:szCs w:val="24"/>
        </w:rPr>
        <w:t>防止地下水污染的总体防控原则</w:t>
      </w:r>
    </w:p>
    <w:p>
      <w:pPr>
        <w:snapToGrid w:val="0"/>
        <w:ind w:firstLine="482"/>
        <w:jc w:val="left"/>
        <w:rPr>
          <w:kern w:val="0"/>
        </w:rPr>
      </w:pPr>
      <w:r>
        <w:rPr>
          <w:kern w:val="0"/>
        </w:rPr>
        <w:t>防止地下水污染应坚持预防与控制相符合的全过程防控原则。</w:t>
      </w:r>
    </w:p>
    <w:p>
      <w:pPr>
        <w:snapToGrid w:val="0"/>
        <w:ind w:firstLine="482"/>
        <w:jc w:val="left"/>
        <w:rPr>
          <w:kern w:val="0"/>
        </w:rPr>
      </w:pPr>
      <w:r>
        <w:rPr>
          <w:kern w:val="0"/>
        </w:rPr>
        <w:t>（1）全过程控制原则</w:t>
      </w:r>
    </w:p>
    <w:p>
      <w:pPr>
        <w:snapToGrid w:val="0"/>
        <w:ind w:firstLine="482"/>
        <w:jc w:val="left"/>
        <w:rPr>
          <w:kern w:val="0"/>
        </w:rPr>
      </w:pPr>
      <w:r>
        <w:rPr>
          <w:kern w:val="0"/>
        </w:rPr>
        <w:t>针对工程可能发生的地下水污染，地下水污染防治按照“源头预防、末端控制、污染监控、应急处理”，从污染物的产生、入渗、扩散、应急处理全过程进行防控。</w:t>
      </w:r>
    </w:p>
    <w:p>
      <w:pPr>
        <w:snapToGrid w:val="0"/>
        <w:ind w:firstLine="482"/>
        <w:jc w:val="left"/>
        <w:rPr>
          <w:kern w:val="0"/>
        </w:rPr>
      </w:pPr>
      <w:r>
        <w:rPr>
          <w:kern w:val="0"/>
        </w:rPr>
        <w:t>（2）分区防治原则</w:t>
      </w:r>
    </w:p>
    <w:p>
      <w:pPr>
        <w:snapToGrid w:val="0"/>
        <w:ind w:firstLine="482"/>
        <w:jc w:val="left"/>
        <w:rPr>
          <w:kern w:val="0"/>
        </w:rPr>
      </w:pPr>
      <w:r>
        <w:rPr>
          <w:kern w:val="0"/>
        </w:rPr>
        <w:t>根据工艺、设备、管线设计方案及操作工况、所涉及的物料及其可能泄露的途径等，进行地下水污染分区划分，不同分区采取与之相适应的防止地下水污染设计。污染区划分应结合项目实际情况确定。</w:t>
      </w:r>
    </w:p>
    <w:p>
      <w:pPr>
        <w:snapToGrid w:val="0"/>
        <w:ind w:firstLine="482"/>
        <w:jc w:val="left"/>
        <w:rPr>
          <w:kern w:val="0"/>
        </w:rPr>
      </w:pPr>
      <w:r>
        <w:rPr>
          <w:kern w:val="0"/>
        </w:rPr>
        <w:t>（3）“可视化”原则</w:t>
      </w:r>
    </w:p>
    <w:p>
      <w:pPr>
        <w:snapToGrid w:val="0"/>
        <w:ind w:firstLine="482"/>
        <w:jc w:val="left"/>
        <w:rPr>
          <w:kern w:val="0"/>
        </w:rPr>
      </w:pPr>
      <w:r>
        <w:rPr>
          <w:kern w:val="0"/>
        </w:rPr>
        <w:t>加工、储存、输送可能污染地下水物质的设备、管线应尽量布置在地上，便于物料泄漏情况下的及时发现和及时处理。</w:t>
      </w:r>
    </w:p>
    <w:p>
      <w:pPr>
        <w:snapToGrid w:val="0"/>
        <w:ind w:firstLine="482"/>
        <w:jc w:val="left"/>
        <w:rPr>
          <w:kern w:val="0"/>
        </w:rPr>
      </w:pPr>
      <w:r>
        <w:rPr>
          <w:kern w:val="0"/>
        </w:rPr>
        <w:t>（4）可实施性原则</w:t>
      </w:r>
    </w:p>
    <w:p>
      <w:pPr>
        <w:snapToGrid w:val="0"/>
        <w:ind w:firstLine="482"/>
        <w:jc w:val="left"/>
        <w:rPr>
          <w:kern w:val="0"/>
        </w:rPr>
      </w:pPr>
      <w:r>
        <w:rPr>
          <w:kern w:val="0"/>
        </w:rPr>
        <w:t>采用可靠的防止地下水污染材料、技术和实施手段，在不对地下水污染的前提下，又能满足项目建设整体的进度和费用要求。</w:t>
      </w:r>
    </w:p>
    <w:p>
      <w:pPr>
        <w:pStyle w:val="970"/>
        <w:snapToGrid w:val="0"/>
        <w:ind w:firstLine="0"/>
        <w:outlineLvl w:val="3"/>
        <w:rPr>
          <w:rFonts w:eastAsia="黑体"/>
          <w:bCs/>
          <w:szCs w:val="24"/>
        </w:rPr>
      </w:pPr>
      <w:bookmarkStart w:id="585" w:name="_Toc359600885"/>
      <w:bookmarkEnd w:id="585"/>
      <w:bookmarkStart w:id="586" w:name="_Toc354493105"/>
      <w:bookmarkEnd w:id="586"/>
      <w:bookmarkStart w:id="587" w:name="_Toc388901097"/>
      <w:r>
        <w:rPr>
          <w:rFonts w:eastAsia="黑体"/>
          <w:bCs/>
          <w:szCs w:val="24"/>
        </w:rPr>
        <w:t>4</w:t>
      </w:r>
      <w:r>
        <w:rPr>
          <w:rFonts w:hint="eastAsia" w:eastAsia="黑体"/>
          <w:bCs/>
          <w:szCs w:val="24"/>
        </w:rPr>
        <w:t>.</w:t>
      </w:r>
      <w:r>
        <w:rPr>
          <w:rFonts w:eastAsia="黑体"/>
          <w:bCs/>
          <w:szCs w:val="24"/>
        </w:rPr>
        <w:t>3.5</w:t>
      </w:r>
      <w:r>
        <w:rPr>
          <w:rFonts w:hint="eastAsia" w:eastAsia="黑体"/>
          <w:bCs/>
          <w:szCs w:val="24"/>
        </w:rPr>
        <w:t xml:space="preserve">.2 </w:t>
      </w:r>
      <w:r>
        <w:rPr>
          <w:rFonts w:eastAsia="黑体"/>
          <w:bCs/>
          <w:szCs w:val="24"/>
        </w:rPr>
        <w:t>防渗区域的合理划分</w:t>
      </w:r>
      <w:bookmarkEnd w:id="587"/>
    </w:p>
    <w:p>
      <w:pPr>
        <w:snapToGrid w:val="0"/>
        <w:ind w:firstLine="482"/>
        <w:jc w:val="left"/>
        <w:rPr>
          <w:kern w:val="0"/>
        </w:rPr>
      </w:pPr>
      <w:r>
        <w:rPr>
          <w:kern w:val="0"/>
        </w:rPr>
        <w:t>（1）防渗区域的划分原则</w:t>
      </w:r>
    </w:p>
    <w:p>
      <w:pPr>
        <w:snapToGrid w:val="0"/>
        <w:ind w:firstLine="482"/>
        <w:jc w:val="left"/>
        <w:rPr>
          <w:kern w:val="0"/>
        </w:rPr>
      </w:pPr>
      <w:r>
        <w:rPr>
          <w:kern w:val="0"/>
        </w:rPr>
        <w:t>根据不同区域或部位可能泄露物对地下水可能污染的程度，制定客观与科学合理的防渗分区方案，在保护地下水环境的前提下，尽可能降低工程投资。将项目厂区是否为隐蔽工程、发生物料泄漏是否容易发现和能否及时得到处理作为污染防治分区的划分原则。据此划分为重点污染防治区、一般污染防治区和简单防治区 三大区域。</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1 \* GB3</w:instrText>
      </w:r>
      <w:r>
        <w:rPr>
          <w:kern w:val="0"/>
        </w:rPr>
        <w:instrText xml:space="preserve"> </w:instrText>
      </w:r>
      <w:r>
        <w:rPr>
          <w:kern w:val="0"/>
        </w:rPr>
        <w:fldChar w:fldCharType="separate"/>
      </w:r>
      <w:r>
        <w:rPr>
          <w:rFonts w:hint="eastAsia"/>
          <w:kern w:val="0"/>
        </w:rPr>
        <w:t>①</w:t>
      </w:r>
      <w:r>
        <w:rPr>
          <w:kern w:val="0"/>
        </w:rPr>
        <w:fldChar w:fldCharType="end"/>
      </w:r>
      <w:r>
        <w:rPr>
          <w:kern w:val="0"/>
        </w:rPr>
        <w:t>重点污染防治区</w:t>
      </w:r>
    </w:p>
    <w:p>
      <w:pPr>
        <w:snapToGrid w:val="0"/>
        <w:ind w:firstLine="482"/>
        <w:jc w:val="left"/>
        <w:rPr>
          <w:kern w:val="0"/>
        </w:rPr>
      </w:pPr>
      <w:r>
        <w:rPr>
          <w:kern w:val="0"/>
        </w:rPr>
        <w:t>指对地下水环境有污染的物料或污染物泄漏后，不能发现和处理的区域或部位。</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2 \* GB3</w:instrText>
      </w:r>
      <w:r>
        <w:rPr>
          <w:kern w:val="0"/>
        </w:rPr>
        <w:instrText xml:space="preserve"> </w:instrText>
      </w:r>
      <w:r>
        <w:rPr>
          <w:kern w:val="0"/>
        </w:rPr>
        <w:fldChar w:fldCharType="separate"/>
      </w:r>
      <w:r>
        <w:rPr>
          <w:rFonts w:hint="eastAsia"/>
          <w:kern w:val="0"/>
        </w:rPr>
        <w:t>②</w:t>
      </w:r>
      <w:r>
        <w:rPr>
          <w:kern w:val="0"/>
        </w:rPr>
        <w:fldChar w:fldCharType="end"/>
      </w:r>
      <w:r>
        <w:rPr>
          <w:kern w:val="0"/>
        </w:rPr>
        <w:t>一般污染防治区</w:t>
      </w:r>
    </w:p>
    <w:p>
      <w:pPr>
        <w:snapToGrid w:val="0"/>
        <w:ind w:firstLine="482"/>
        <w:jc w:val="left"/>
        <w:rPr>
          <w:kern w:val="0"/>
        </w:rPr>
      </w:pPr>
      <w:r>
        <w:rPr>
          <w:kern w:val="0"/>
        </w:rPr>
        <w:t>指对地下水环境有污染的物料或污染物泄漏后，容易发现和可及时处理的区域或部位。主要包括架空设备、容器、管道、地面、明沟等。</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3 \* GB3</w:instrText>
      </w:r>
      <w:r>
        <w:rPr>
          <w:kern w:val="0"/>
        </w:rPr>
        <w:instrText xml:space="preserve"> </w:instrText>
      </w:r>
      <w:r>
        <w:rPr>
          <w:kern w:val="0"/>
        </w:rPr>
        <w:fldChar w:fldCharType="separate"/>
      </w:r>
      <w:r>
        <w:rPr>
          <w:rFonts w:hint="eastAsia"/>
          <w:kern w:val="0"/>
        </w:rPr>
        <w:t>③</w:t>
      </w:r>
      <w:r>
        <w:rPr>
          <w:kern w:val="0"/>
        </w:rPr>
        <w:fldChar w:fldCharType="end"/>
      </w:r>
      <w:r>
        <w:rPr>
          <w:kern w:val="0"/>
        </w:rPr>
        <w:t xml:space="preserve">简单防治区 </w:t>
      </w:r>
    </w:p>
    <w:p>
      <w:pPr>
        <w:snapToGrid w:val="0"/>
        <w:ind w:firstLine="482"/>
        <w:jc w:val="left"/>
        <w:rPr>
          <w:kern w:val="0"/>
        </w:rPr>
      </w:pPr>
      <w:r>
        <w:rPr>
          <w:kern w:val="0"/>
        </w:rPr>
        <w:t>指没有污染物泄漏或泄漏物不会对地下水环境造成污染的区域或部位。主要包括办公生活区、集中控制区等辅助区域、雨水明沟等。</w:t>
      </w:r>
    </w:p>
    <w:p>
      <w:pPr>
        <w:snapToGrid w:val="0"/>
        <w:ind w:firstLine="482"/>
        <w:jc w:val="left"/>
        <w:rPr>
          <w:kern w:val="0"/>
        </w:rPr>
      </w:pPr>
      <w:r>
        <w:rPr>
          <w:kern w:val="0"/>
        </w:rPr>
        <w:t>（2）本项目污染防治区的划分</w:t>
      </w:r>
    </w:p>
    <w:p>
      <w:pPr>
        <w:snapToGrid w:val="0"/>
        <w:ind w:firstLine="482"/>
        <w:jc w:val="left"/>
        <w:rPr>
          <w:kern w:val="0"/>
        </w:rPr>
      </w:pPr>
      <w:r>
        <w:rPr>
          <w:kern w:val="0"/>
        </w:rPr>
        <w:t>地面防渗采取分区防渗原则，划分为重点污染防治区、一般污染防治区和简单防治区。分区情况见下表4.3-10。</w:t>
      </w:r>
    </w:p>
    <w:p>
      <w:pPr>
        <w:widowControl/>
        <w:spacing w:line="240" w:lineRule="auto"/>
        <w:ind w:firstLine="480" w:firstLineChars="200"/>
        <w:jc w:val="center"/>
        <w:rPr>
          <w:b/>
          <w:bCs/>
        </w:rPr>
      </w:pPr>
      <w:r>
        <w:rPr>
          <w:rFonts w:eastAsia="黑体"/>
        </w:rPr>
        <w:t>表4.3-10 项目厂区污染防治分区情况一览表</w:t>
      </w:r>
    </w:p>
    <w:tbl>
      <w:tblPr>
        <w:tblStyle w:val="88"/>
        <w:tblW w:w="852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50"/>
        <w:gridCol w:w="4252"/>
        <w:gridCol w:w="1701"/>
        <w:gridCol w:w="182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50" w:type="dxa"/>
            <w:vAlign w:val="center"/>
          </w:tcPr>
          <w:p>
            <w:pPr>
              <w:autoSpaceDE w:val="0"/>
              <w:autoSpaceDN w:val="0"/>
              <w:adjustRightInd w:val="0"/>
              <w:snapToGrid w:val="0"/>
              <w:spacing w:line="240" w:lineRule="auto"/>
              <w:jc w:val="center"/>
              <w:rPr>
                <w:b/>
                <w:sz w:val="21"/>
                <w:szCs w:val="21"/>
              </w:rPr>
            </w:pPr>
            <w:r>
              <w:rPr>
                <w:b/>
                <w:sz w:val="21"/>
                <w:szCs w:val="21"/>
              </w:rPr>
              <w:t>序号</w:t>
            </w:r>
          </w:p>
        </w:tc>
        <w:tc>
          <w:tcPr>
            <w:tcW w:w="4252" w:type="dxa"/>
            <w:vAlign w:val="center"/>
          </w:tcPr>
          <w:p>
            <w:pPr>
              <w:autoSpaceDE w:val="0"/>
              <w:autoSpaceDN w:val="0"/>
              <w:adjustRightInd w:val="0"/>
              <w:snapToGrid w:val="0"/>
              <w:spacing w:line="240" w:lineRule="auto"/>
              <w:jc w:val="center"/>
              <w:rPr>
                <w:b/>
                <w:sz w:val="21"/>
                <w:szCs w:val="21"/>
              </w:rPr>
            </w:pPr>
            <w:r>
              <w:rPr>
                <w:b/>
                <w:sz w:val="21"/>
                <w:szCs w:val="21"/>
              </w:rPr>
              <w:t>构筑物</w:t>
            </w:r>
          </w:p>
        </w:tc>
        <w:tc>
          <w:tcPr>
            <w:tcW w:w="1701" w:type="dxa"/>
            <w:vAlign w:val="center"/>
          </w:tcPr>
          <w:p>
            <w:pPr>
              <w:autoSpaceDE w:val="0"/>
              <w:autoSpaceDN w:val="0"/>
              <w:adjustRightInd w:val="0"/>
              <w:snapToGrid w:val="0"/>
              <w:spacing w:line="240" w:lineRule="auto"/>
              <w:jc w:val="center"/>
              <w:rPr>
                <w:b/>
                <w:sz w:val="21"/>
                <w:szCs w:val="21"/>
              </w:rPr>
            </w:pPr>
            <w:r>
              <w:rPr>
                <w:b/>
                <w:sz w:val="21"/>
                <w:szCs w:val="21"/>
              </w:rPr>
              <w:t>主要污染介质</w:t>
            </w:r>
          </w:p>
        </w:tc>
        <w:tc>
          <w:tcPr>
            <w:tcW w:w="1826" w:type="dxa"/>
            <w:vAlign w:val="center"/>
          </w:tcPr>
          <w:p>
            <w:pPr>
              <w:autoSpaceDE w:val="0"/>
              <w:autoSpaceDN w:val="0"/>
              <w:adjustRightInd w:val="0"/>
              <w:snapToGrid w:val="0"/>
              <w:spacing w:line="240" w:lineRule="auto"/>
              <w:jc w:val="center"/>
              <w:rPr>
                <w:b/>
                <w:sz w:val="21"/>
                <w:szCs w:val="21"/>
              </w:rPr>
            </w:pPr>
            <w:r>
              <w:rPr>
                <w:b/>
                <w:sz w:val="21"/>
                <w:szCs w:val="21"/>
              </w:rPr>
              <w:t>分区类别</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50" w:type="dxa"/>
            <w:vAlign w:val="center"/>
          </w:tcPr>
          <w:p>
            <w:pPr>
              <w:autoSpaceDE w:val="0"/>
              <w:autoSpaceDN w:val="0"/>
              <w:adjustRightInd w:val="0"/>
              <w:snapToGrid w:val="0"/>
              <w:spacing w:line="240" w:lineRule="auto"/>
              <w:jc w:val="center"/>
              <w:rPr>
                <w:sz w:val="21"/>
                <w:szCs w:val="21"/>
              </w:rPr>
            </w:pPr>
            <w:r>
              <w:rPr>
                <w:sz w:val="21"/>
                <w:szCs w:val="21"/>
              </w:rPr>
              <w:t>1</w:t>
            </w:r>
          </w:p>
        </w:tc>
        <w:tc>
          <w:tcPr>
            <w:tcW w:w="4252" w:type="dxa"/>
            <w:vAlign w:val="center"/>
          </w:tcPr>
          <w:p>
            <w:pPr>
              <w:autoSpaceDE w:val="0"/>
              <w:autoSpaceDN w:val="0"/>
              <w:adjustRightInd w:val="0"/>
              <w:snapToGrid w:val="0"/>
              <w:spacing w:line="240" w:lineRule="auto"/>
              <w:jc w:val="left"/>
              <w:rPr>
                <w:sz w:val="21"/>
                <w:szCs w:val="21"/>
              </w:rPr>
            </w:pPr>
            <w:r>
              <w:rPr>
                <w:rFonts w:hint="eastAsia"/>
                <w:sz w:val="21"/>
                <w:szCs w:val="21"/>
              </w:rPr>
              <w:t>医疗</w:t>
            </w:r>
            <w:r>
              <w:rPr>
                <w:sz w:val="21"/>
                <w:szCs w:val="21"/>
              </w:rPr>
              <w:t>暂存间</w:t>
            </w:r>
            <w:r>
              <w:rPr>
                <w:rFonts w:hint="eastAsia"/>
                <w:sz w:val="21"/>
                <w:szCs w:val="21"/>
              </w:rPr>
              <w:t>、病死猪暂存间、分娩物暂存间、粪污集污池、圈舍底部的收集池、柴油发电机房、化粪池、备用沼气池、沼液暂存池、田间池</w:t>
            </w:r>
          </w:p>
        </w:tc>
        <w:tc>
          <w:tcPr>
            <w:tcW w:w="1701" w:type="dxa"/>
            <w:vAlign w:val="center"/>
          </w:tcPr>
          <w:p>
            <w:pPr>
              <w:autoSpaceDE w:val="0"/>
              <w:autoSpaceDN w:val="0"/>
              <w:adjustRightInd w:val="0"/>
              <w:snapToGrid w:val="0"/>
              <w:spacing w:line="240" w:lineRule="auto"/>
              <w:jc w:val="center"/>
              <w:rPr>
                <w:sz w:val="21"/>
                <w:szCs w:val="21"/>
              </w:rPr>
            </w:pPr>
            <w:r>
              <w:rPr>
                <w:sz w:val="21"/>
                <w:szCs w:val="21"/>
              </w:rPr>
              <w:t>/</w:t>
            </w:r>
          </w:p>
        </w:tc>
        <w:tc>
          <w:tcPr>
            <w:tcW w:w="1826" w:type="dxa"/>
            <w:vAlign w:val="center"/>
          </w:tcPr>
          <w:p>
            <w:pPr>
              <w:autoSpaceDE w:val="0"/>
              <w:autoSpaceDN w:val="0"/>
              <w:adjustRightInd w:val="0"/>
              <w:snapToGrid w:val="0"/>
              <w:spacing w:line="240" w:lineRule="auto"/>
              <w:jc w:val="center"/>
              <w:rPr>
                <w:sz w:val="21"/>
                <w:szCs w:val="21"/>
              </w:rPr>
            </w:pPr>
            <w:r>
              <w:rPr>
                <w:sz w:val="21"/>
                <w:szCs w:val="21"/>
              </w:rPr>
              <w:t>重点污染防治区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50" w:type="dxa"/>
            <w:vAlign w:val="center"/>
          </w:tcPr>
          <w:p>
            <w:pPr>
              <w:autoSpaceDE w:val="0"/>
              <w:autoSpaceDN w:val="0"/>
              <w:adjustRightInd w:val="0"/>
              <w:snapToGrid w:val="0"/>
              <w:spacing w:line="240" w:lineRule="auto"/>
              <w:jc w:val="center"/>
              <w:rPr>
                <w:sz w:val="21"/>
                <w:szCs w:val="21"/>
              </w:rPr>
            </w:pPr>
            <w:r>
              <w:rPr>
                <w:sz w:val="21"/>
                <w:szCs w:val="21"/>
              </w:rPr>
              <w:t>2</w:t>
            </w:r>
          </w:p>
        </w:tc>
        <w:tc>
          <w:tcPr>
            <w:tcW w:w="4252" w:type="dxa"/>
            <w:vAlign w:val="center"/>
          </w:tcPr>
          <w:p>
            <w:pPr>
              <w:autoSpaceDE w:val="0"/>
              <w:autoSpaceDN w:val="0"/>
              <w:adjustRightInd w:val="0"/>
              <w:snapToGrid w:val="0"/>
              <w:spacing w:line="240" w:lineRule="auto"/>
              <w:jc w:val="center"/>
              <w:rPr>
                <w:sz w:val="21"/>
                <w:szCs w:val="21"/>
              </w:rPr>
            </w:pPr>
            <w:r>
              <w:rPr>
                <w:rFonts w:hint="eastAsia"/>
                <w:sz w:val="21"/>
                <w:szCs w:val="21"/>
              </w:rPr>
              <w:t>生产车间、生活垃圾收集点</w:t>
            </w:r>
          </w:p>
        </w:tc>
        <w:tc>
          <w:tcPr>
            <w:tcW w:w="1701" w:type="dxa"/>
            <w:vAlign w:val="center"/>
          </w:tcPr>
          <w:p>
            <w:pPr>
              <w:autoSpaceDE w:val="0"/>
              <w:autoSpaceDN w:val="0"/>
              <w:adjustRightInd w:val="0"/>
              <w:snapToGrid w:val="0"/>
              <w:spacing w:line="240" w:lineRule="auto"/>
              <w:jc w:val="center"/>
              <w:rPr>
                <w:sz w:val="21"/>
                <w:szCs w:val="21"/>
              </w:rPr>
            </w:pPr>
            <w:r>
              <w:rPr>
                <w:sz w:val="21"/>
                <w:szCs w:val="21"/>
              </w:rPr>
              <w:t>少量原辅材料、产品等</w:t>
            </w:r>
          </w:p>
        </w:tc>
        <w:tc>
          <w:tcPr>
            <w:tcW w:w="1826" w:type="dxa"/>
            <w:vAlign w:val="center"/>
          </w:tcPr>
          <w:p>
            <w:pPr>
              <w:autoSpaceDE w:val="0"/>
              <w:autoSpaceDN w:val="0"/>
              <w:adjustRightInd w:val="0"/>
              <w:snapToGrid w:val="0"/>
              <w:spacing w:line="240" w:lineRule="auto"/>
              <w:jc w:val="center"/>
              <w:rPr>
                <w:sz w:val="21"/>
                <w:szCs w:val="21"/>
              </w:rPr>
            </w:pPr>
            <w:r>
              <w:rPr>
                <w:sz w:val="21"/>
                <w:szCs w:val="21"/>
              </w:rPr>
              <w:t>一般污染防治区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50" w:type="dxa"/>
            <w:vAlign w:val="center"/>
          </w:tcPr>
          <w:p>
            <w:pPr>
              <w:autoSpaceDE w:val="0"/>
              <w:autoSpaceDN w:val="0"/>
              <w:adjustRightInd w:val="0"/>
              <w:snapToGrid w:val="0"/>
              <w:spacing w:line="240" w:lineRule="auto"/>
              <w:jc w:val="center"/>
              <w:rPr>
                <w:sz w:val="21"/>
                <w:szCs w:val="21"/>
              </w:rPr>
            </w:pPr>
            <w:r>
              <w:rPr>
                <w:sz w:val="21"/>
                <w:szCs w:val="21"/>
              </w:rPr>
              <w:t>3</w:t>
            </w:r>
          </w:p>
        </w:tc>
        <w:tc>
          <w:tcPr>
            <w:tcW w:w="4252" w:type="dxa"/>
            <w:vAlign w:val="center"/>
          </w:tcPr>
          <w:p>
            <w:pPr>
              <w:autoSpaceDE w:val="0"/>
              <w:autoSpaceDN w:val="0"/>
              <w:adjustRightInd w:val="0"/>
              <w:snapToGrid w:val="0"/>
              <w:spacing w:line="240" w:lineRule="auto"/>
              <w:jc w:val="center"/>
              <w:rPr>
                <w:sz w:val="21"/>
                <w:szCs w:val="21"/>
              </w:rPr>
            </w:pPr>
            <w:r>
              <w:rPr>
                <w:sz w:val="21"/>
                <w:szCs w:val="21"/>
              </w:rPr>
              <w:t>道路区、办公生活区</w:t>
            </w:r>
            <w:r>
              <w:rPr>
                <w:rFonts w:hint="eastAsia"/>
                <w:sz w:val="21"/>
                <w:szCs w:val="21"/>
              </w:rPr>
              <w:t>、倒班宿舍、食堂</w:t>
            </w:r>
          </w:p>
        </w:tc>
        <w:tc>
          <w:tcPr>
            <w:tcW w:w="1701" w:type="dxa"/>
            <w:vAlign w:val="center"/>
          </w:tcPr>
          <w:p>
            <w:pPr>
              <w:autoSpaceDE w:val="0"/>
              <w:autoSpaceDN w:val="0"/>
              <w:adjustRightInd w:val="0"/>
              <w:snapToGrid w:val="0"/>
              <w:spacing w:line="240" w:lineRule="auto"/>
              <w:jc w:val="center"/>
              <w:rPr>
                <w:sz w:val="21"/>
                <w:szCs w:val="21"/>
              </w:rPr>
            </w:pPr>
            <w:r>
              <w:rPr>
                <w:sz w:val="21"/>
                <w:szCs w:val="21"/>
              </w:rPr>
              <w:t>/</w:t>
            </w:r>
          </w:p>
        </w:tc>
        <w:tc>
          <w:tcPr>
            <w:tcW w:w="1826" w:type="dxa"/>
            <w:vAlign w:val="center"/>
          </w:tcPr>
          <w:p>
            <w:pPr>
              <w:autoSpaceDE w:val="0"/>
              <w:autoSpaceDN w:val="0"/>
              <w:adjustRightInd w:val="0"/>
              <w:snapToGrid w:val="0"/>
              <w:spacing w:line="240" w:lineRule="auto"/>
              <w:jc w:val="center"/>
              <w:rPr>
                <w:sz w:val="21"/>
                <w:szCs w:val="21"/>
              </w:rPr>
            </w:pPr>
            <w:r>
              <w:rPr>
                <w:sz w:val="21"/>
                <w:szCs w:val="21"/>
              </w:rPr>
              <w:t xml:space="preserve">简单防治区 </w:t>
            </w:r>
          </w:p>
        </w:tc>
      </w:tr>
    </w:tbl>
    <w:p>
      <w:pPr>
        <w:snapToGrid w:val="0"/>
        <w:ind w:firstLine="482"/>
        <w:jc w:val="left"/>
        <w:rPr>
          <w:color w:val="FF0000"/>
        </w:rPr>
      </w:pPr>
      <w:r>
        <w:rPr>
          <w:color w:val="FF0000"/>
        </w:rPr>
        <w:t xml:space="preserve">  </w:t>
      </w:r>
    </w:p>
    <w:p>
      <w:pPr>
        <w:snapToGrid w:val="0"/>
        <w:ind w:firstLine="482"/>
        <w:jc w:val="left"/>
      </w:pPr>
      <w:r>
        <w:rPr>
          <w:kern w:val="0"/>
        </w:rPr>
        <w:t>本项目厂区地下水污染防渗措施设计情况如下表4.3-11。</w:t>
      </w:r>
    </w:p>
    <w:p>
      <w:pPr>
        <w:widowControl/>
        <w:spacing w:line="240" w:lineRule="auto"/>
        <w:ind w:firstLine="480" w:firstLineChars="200"/>
        <w:jc w:val="center"/>
        <w:rPr>
          <w:rFonts w:eastAsia="黑体"/>
        </w:rPr>
      </w:pPr>
      <w:r>
        <w:rPr>
          <w:rFonts w:eastAsia="黑体"/>
        </w:rPr>
        <w:t>表4.3-11 项目地下水污染防治区防渗结构型式建议</w:t>
      </w:r>
    </w:p>
    <w:tbl>
      <w:tblPr>
        <w:tblStyle w:val="88"/>
        <w:tblW w:w="852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822"/>
        <w:gridCol w:w="3094"/>
        <w:gridCol w:w="361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22" w:type="dxa"/>
            <w:vAlign w:val="center"/>
          </w:tcPr>
          <w:p>
            <w:pPr>
              <w:autoSpaceDE w:val="0"/>
              <w:autoSpaceDN w:val="0"/>
              <w:adjustRightInd w:val="0"/>
              <w:snapToGrid w:val="0"/>
              <w:spacing w:line="240" w:lineRule="auto"/>
              <w:jc w:val="center"/>
              <w:rPr>
                <w:b/>
                <w:sz w:val="21"/>
                <w:szCs w:val="21"/>
              </w:rPr>
            </w:pPr>
            <w:r>
              <w:rPr>
                <w:b/>
                <w:sz w:val="21"/>
                <w:szCs w:val="21"/>
              </w:rPr>
              <w:t>区域名称</w:t>
            </w:r>
          </w:p>
        </w:tc>
        <w:tc>
          <w:tcPr>
            <w:tcW w:w="3094" w:type="dxa"/>
            <w:vAlign w:val="center"/>
          </w:tcPr>
          <w:p>
            <w:pPr>
              <w:autoSpaceDE w:val="0"/>
              <w:autoSpaceDN w:val="0"/>
              <w:adjustRightInd w:val="0"/>
              <w:snapToGrid w:val="0"/>
              <w:spacing w:line="240" w:lineRule="auto"/>
              <w:jc w:val="center"/>
              <w:rPr>
                <w:b/>
                <w:sz w:val="21"/>
                <w:szCs w:val="21"/>
              </w:rPr>
            </w:pPr>
            <w:r>
              <w:rPr>
                <w:b/>
                <w:sz w:val="21"/>
                <w:szCs w:val="21"/>
              </w:rPr>
              <w:t>主要</w:t>
            </w:r>
            <w:r>
              <w:rPr>
                <w:rFonts w:hint="eastAsia"/>
                <w:b/>
                <w:sz w:val="21"/>
                <w:szCs w:val="21"/>
              </w:rPr>
              <w:t>区域</w:t>
            </w:r>
          </w:p>
        </w:tc>
        <w:tc>
          <w:tcPr>
            <w:tcW w:w="3613" w:type="dxa"/>
            <w:vAlign w:val="center"/>
          </w:tcPr>
          <w:p>
            <w:pPr>
              <w:autoSpaceDE w:val="0"/>
              <w:autoSpaceDN w:val="0"/>
              <w:adjustRightInd w:val="0"/>
              <w:snapToGrid w:val="0"/>
              <w:spacing w:line="240" w:lineRule="auto"/>
              <w:jc w:val="center"/>
              <w:rPr>
                <w:b/>
                <w:sz w:val="21"/>
                <w:szCs w:val="21"/>
              </w:rPr>
            </w:pPr>
            <w:r>
              <w:rPr>
                <w:b/>
                <w:sz w:val="21"/>
                <w:szCs w:val="21"/>
              </w:rPr>
              <w:t>分区类别</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22" w:type="dxa"/>
            <w:vAlign w:val="center"/>
          </w:tcPr>
          <w:p>
            <w:pPr>
              <w:autoSpaceDE w:val="0"/>
              <w:autoSpaceDN w:val="0"/>
              <w:adjustRightInd w:val="0"/>
              <w:snapToGrid w:val="0"/>
              <w:spacing w:line="240" w:lineRule="auto"/>
              <w:jc w:val="center"/>
              <w:rPr>
                <w:sz w:val="21"/>
                <w:szCs w:val="21"/>
              </w:rPr>
            </w:pPr>
            <w:r>
              <w:rPr>
                <w:sz w:val="21"/>
                <w:szCs w:val="21"/>
              </w:rPr>
              <w:t>重点污染防治区</w:t>
            </w:r>
          </w:p>
        </w:tc>
        <w:tc>
          <w:tcPr>
            <w:tcW w:w="3094" w:type="dxa"/>
            <w:vAlign w:val="center"/>
          </w:tcPr>
          <w:p>
            <w:pPr>
              <w:autoSpaceDE w:val="0"/>
              <w:autoSpaceDN w:val="0"/>
              <w:adjustRightInd w:val="0"/>
              <w:snapToGrid w:val="0"/>
              <w:spacing w:line="240" w:lineRule="auto"/>
              <w:jc w:val="center"/>
              <w:rPr>
                <w:sz w:val="21"/>
                <w:szCs w:val="21"/>
              </w:rPr>
            </w:pPr>
            <w:r>
              <w:rPr>
                <w:rFonts w:hint="eastAsia"/>
                <w:sz w:val="21"/>
                <w:szCs w:val="21"/>
              </w:rPr>
              <w:t>医疗</w:t>
            </w:r>
            <w:r>
              <w:rPr>
                <w:sz w:val="21"/>
                <w:szCs w:val="21"/>
              </w:rPr>
              <w:t>暂存间</w:t>
            </w:r>
            <w:r>
              <w:rPr>
                <w:rFonts w:hint="eastAsia"/>
                <w:sz w:val="21"/>
                <w:szCs w:val="21"/>
              </w:rPr>
              <w:t>、病死猪暂存间、分娩物暂存间、粪污集污池、圈舍底部的收集池、柴油发电机房、化粪池、备用沼气池、沼液暂存池、田间池</w:t>
            </w:r>
          </w:p>
        </w:tc>
        <w:tc>
          <w:tcPr>
            <w:tcW w:w="3613" w:type="dxa"/>
            <w:vAlign w:val="center"/>
          </w:tcPr>
          <w:p>
            <w:pPr>
              <w:autoSpaceDE w:val="0"/>
              <w:autoSpaceDN w:val="0"/>
              <w:adjustRightInd w:val="0"/>
              <w:snapToGrid w:val="0"/>
              <w:spacing w:line="240" w:lineRule="auto"/>
              <w:jc w:val="center"/>
              <w:rPr>
                <w:sz w:val="21"/>
                <w:szCs w:val="21"/>
              </w:rPr>
            </w:pPr>
            <w:r>
              <w:rPr>
                <w:sz w:val="21"/>
                <w:szCs w:val="21"/>
              </w:rPr>
              <w:t>2mmHDPE土工膜+水泥防渗，防渗结构层渗透系数≤1.0×10</w:t>
            </w:r>
            <w:r>
              <w:rPr>
                <w:sz w:val="21"/>
                <w:szCs w:val="21"/>
                <w:vertAlign w:val="superscript"/>
              </w:rPr>
              <w:t>-10</w:t>
            </w:r>
            <w:r>
              <w:rPr>
                <w:sz w:val="21"/>
                <w:szCs w:val="21"/>
              </w:rPr>
              <w:t>cm/s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22" w:type="dxa"/>
            <w:vAlign w:val="center"/>
          </w:tcPr>
          <w:p>
            <w:pPr>
              <w:autoSpaceDE w:val="0"/>
              <w:autoSpaceDN w:val="0"/>
              <w:adjustRightInd w:val="0"/>
              <w:snapToGrid w:val="0"/>
              <w:spacing w:line="240" w:lineRule="auto"/>
              <w:jc w:val="center"/>
              <w:rPr>
                <w:sz w:val="21"/>
                <w:szCs w:val="21"/>
              </w:rPr>
            </w:pPr>
            <w:r>
              <w:rPr>
                <w:sz w:val="21"/>
                <w:szCs w:val="21"/>
              </w:rPr>
              <w:t>一般污染防治区</w:t>
            </w:r>
          </w:p>
        </w:tc>
        <w:tc>
          <w:tcPr>
            <w:tcW w:w="3094" w:type="dxa"/>
            <w:vAlign w:val="center"/>
          </w:tcPr>
          <w:p>
            <w:pPr>
              <w:autoSpaceDE w:val="0"/>
              <w:autoSpaceDN w:val="0"/>
              <w:adjustRightInd w:val="0"/>
              <w:snapToGrid w:val="0"/>
              <w:spacing w:line="240" w:lineRule="auto"/>
              <w:jc w:val="center"/>
              <w:rPr>
                <w:sz w:val="21"/>
                <w:szCs w:val="21"/>
              </w:rPr>
            </w:pPr>
            <w:r>
              <w:rPr>
                <w:rFonts w:hint="eastAsia"/>
                <w:sz w:val="21"/>
                <w:szCs w:val="21"/>
              </w:rPr>
              <w:t>生产</w:t>
            </w:r>
            <w:r>
              <w:rPr>
                <w:sz w:val="21"/>
                <w:szCs w:val="21"/>
              </w:rPr>
              <w:t>车间</w:t>
            </w:r>
            <w:r>
              <w:rPr>
                <w:rFonts w:hint="eastAsia"/>
                <w:sz w:val="21"/>
                <w:szCs w:val="21"/>
              </w:rPr>
              <w:t>（圈舍非全漏地缝区域）</w:t>
            </w:r>
            <w:r>
              <w:rPr>
                <w:sz w:val="21"/>
                <w:szCs w:val="21"/>
              </w:rPr>
              <w:t>、</w:t>
            </w:r>
            <w:r>
              <w:rPr>
                <w:rFonts w:hint="eastAsia"/>
                <w:sz w:val="21"/>
                <w:szCs w:val="21"/>
              </w:rPr>
              <w:t>生活垃圾收集点</w:t>
            </w:r>
            <w:r>
              <w:rPr>
                <w:sz w:val="21"/>
                <w:szCs w:val="21"/>
              </w:rPr>
              <w:t>等</w:t>
            </w:r>
          </w:p>
        </w:tc>
        <w:tc>
          <w:tcPr>
            <w:tcW w:w="3613" w:type="dxa"/>
            <w:vAlign w:val="center"/>
          </w:tcPr>
          <w:p>
            <w:pPr>
              <w:autoSpaceDE w:val="0"/>
              <w:autoSpaceDN w:val="0"/>
              <w:adjustRightInd w:val="0"/>
              <w:snapToGrid w:val="0"/>
              <w:spacing w:line="240" w:lineRule="auto"/>
              <w:jc w:val="center"/>
              <w:rPr>
                <w:sz w:val="21"/>
                <w:szCs w:val="21"/>
              </w:rPr>
            </w:pPr>
            <w:r>
              <w:rPr>
                <w:sz w:val="21"/>
                <w:szCs w:val="21"/>
              </w:rPr>
              <w:t>水泥防渗，防渗结构层渗透系数≤1.0×10</w:t>
            </w:r>
            <w:r>
              <w:rPr>
                <w:sz w:val="21"/>
                <w:szCs w:val="21"/>
                <w:vertAlign w:val="superscript"/>
              </w:rPr>
              <w:t>-7</w:t>
            </w:r>
            <w:r>
              <w:rPr>
                <w:sz w:val="21"/>
                <w:szCs w:val="21"/>
              </w:rPr>
              <w:t>cm/s</w:t>
            </w:r>
          </w:p>
        </w:tc>
      </w:tr>
    </w:tbl>
    <w:p>
      <w:pPr>
        <w:jc w:val="center"/>
        <w:rPr>
          <w:rFonts w:eastAsia="黑体"/>
          <w:color w:val="FF0000"/>
        </w:rPr>
      </w:pPr>
    </w:p>
    <w:p>
      <w:pPr>
        <w:pStyle w:val="970"/>
        <w:snapToGrid w:val="0"/>
        <w:ind w:firstLine="0"/>
        <w:outlineLvl w:val="3"/>
        <w:rPr>
          <w:rFonts w:eastAsia="黑体"/>
          <w:bCs/>
          <w:szCs w:val="24"/>
        </w:rPr>
      </w:pPr>
      <w:bookmarkStart w:id="588" w:name="_Toc359600886"/>
      <w:bookmarkEnd w:id="588"/>
      <w:bookmarkStart w:id="589" w:name="_Toc354493106"/>
      <w:bookmarkEnd w:id="589"/>
      <w:bookmarkStart w:id="590" w:name="_Toc388901098"/>
      <w:r>
        <w:rPr>
          <w:rFonts w:eastAsia="黑体"/>
          <w:bCs/>
          <w:szCs w:val="24"/>
        </w:rPr>
        <w:t>4.</w:t>
      </w:r>
      <w:r>
        <w:rPr>
          <w:rFonts w:hint="eastAsia" w:eastAsia="黑体"/>
          <w:bCs/>
          <w:szCs w:val="24"/>
        </w:rPr>
        <w:t>4.</w:t>
      </w:r>
      <w:r>
        <w:rPr>
          <w:rFonts w:eastAsia="黑体"/>
          <w:bCs/>
          <w:szCs w:val="24"/>
        </w:rPr>
        <w:t>5</w:t>
      </w:r>
      <w:r>
        <w:rPr>
          <w:rFonts w:hint="eastAsia" w:eastAsia="黑体"/>
          <w:bCs/>
          <w:szCs w:val="24"/>
        </w:rPr>
        <w:t xml:space="preserve">.3 </w:t>
      </w:r>
      <w:r>
        <w:rPr>
          <w:rFonts w:eastAsia="黑体"/>
          <w:bCs/>
          <w:szCs w:val="24"/>
        </w:rPr>
        <w:t>防渗技术要求</w:t>
      </w:r>
      <w:bookmarkEnd w:id="590"/>
    </w:p>
    <w:p>
      <w:pPr>
        <w:snapToGrid w:val="0"/>
        <w:ind w:firstLine="482"/>
        <w:jc w:val="left"/>
        <w:rPr>
          <w:kern w:val="0"/>
        </w:rPr>
      </w:pPr>
      <w:r>
        <w:rPr>
          <w:kern w:val="0"/>
        </w:rPr>
        <w:t>（1）防渗层的性能要求</w:t>
      </w:r>
    </w:p>
    <w:p>
      <w:pPr>
        <w:snapToGrid w:val="0"/>
        <w:ind w:firstLine="482"/>
        <w:jc w:val="left"/>
        <w:rPr>
          <w:kern w:val="0"/>
        </w:rPr>
      </w:pPr>
      <w:r>
        <w:rPr>
          <w:kern w:val="0"/>
        </w:rPr>
        <w:t>根据不同污染防治分区的防渗要求，采用相应的防渗设计方案。</w:t>
      </w:r>
    </w:p>
    <w:p>
      <w:pPr>
        <w:snapToGrid w:val="0"/>
        <w:ind w:firstLine="482"/>
        <w:jc w:val="left"/>
        <w:rPr>
          <w:kern w:val="0"/>
        </w:rPr>
      </w:pPr>
      <w:r>
        <w:rPr>
          <w:kern w:val="0"/>
        </w:rPr>
        <w:t>一般污染防治区防渗层的防渗性能应不低于1.5m厚、渗透系数为1.0×10</w:t>
      </w:r>
      <w:r>
        <w:rPr>
          <w:kern w:val="0"/>
          <w:vertAlign w:val="superscript"/>
        </w:rPr>
        <w:t>-7</w:t>
      </w:r>
      <w:r>
        <w:rPr>
          <w:kern w:val="0"/>
        </w:rPr>
        <w:t>cm/s的粘土层的防渗性能；重点污染防治区防渗层的防渗性能应不低于6.0m厚、渗透系数为1.0×10</w:t>
      </w:r>
      <w:r>
        <w:rPr>
          <w:kern w:val="0"/>
          <w:vertAlign w:val="superscript"/>
        </w:rPr>
        <w:t>-10</w:t>
      </w:r>
      <w:r>
        <w:rPr>
          <w:kern w:val="0"/>
        </w:rPr>
        <w:t>cm/s的粘土层的防渗性能。</w:t>
      </w:r>
    </w:p>
    <w:p>
      <w:pPr>
        <w:snapToGrid w:val="0"/>
        <w:ind w:firstLine="482"/>
        <w:jc w:val="left"/>
        <w:rPr>
          <w:kern w:val="0"/>
        </w:rPr>
      </w:pPr>
      <w:r>
        <w:rPr>
          <w:kern w:val="0"/>
        </w:rPr>
        <w:t>（2）防渗层的寿命要求</w:t>
      </w:r>
    </w:p>
    <w:p>
      <w:pPr>
        <w:snapToGrid w:val="0"/>
        <w:ind w:firstLine="482"/>
        <w:jc w:val="left"/>
        <w:rPr>
          <w:kern w:val="0"/>
        </w:rPr>
      </w:pPr>
      <w:r>
        <w:rPr>
          <w:kern w:val="0"/>
        </w:rPr>
        <w:t>项目防渗工程的设计使用年限应不低于其防护主体（如设备、管道及建、构筑物）的设计使用年限；正常条件下，设计年限内的防渗工程不应对地下水环境造成污染。根据调研，企业内各生产功能单元的设计寿命是不同的，如地下管道约20年，建、构筑物的设计使用年限为50年。</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591" w:name="_Toc29110580"/>
      <w:r>
        <w:rPr>
          <w:rFonts w:hint="eastAsia" w:ascii="Times New Roman" w:hAnsi="Times New Roman" w:eastAsia="黑体" w:cs="Times New Roman"/>
          <w:b w:val="0"/>
          <w:bCs/>
          <w:spacing w:val="4"/>
          <w:kern w:val="2"/>
          <w:sz w:val="32"/>
          <w:szCs w:val="32"/>
        </w:rPr>
        <w:t>4.</w:t>
      </w:r>
      <w:r>
        <w:rPr>
          <w:rFonts w:ascii="Times New Roman" w:hAnsi="Times New Roman" w:eastAsia="黑体" w:cs="Times New Roman"/>
          <w:b w:val="0"/>
          <w:bCs/>
          <w:spacing w:val="4"/>
          <w:kern w:val="2"/>
          <w:sz w:val="32"/>
          <w:szCs w:val="32"/>
        </w:rPr>
        <w:t>4 本项目</w:t>
      </w:r>
      <w:bookmarkEnd w:id="583"/>
      <w:r>
        <w:rPr>
          <w:rFonts w:ascii="Times New Roman" w:hAnsi="Times New Roman" w:eastAsia="黑体" w:cs="Times New Roman"/>
          <w:b w:val="0"/>
          <w:bCs/>
          <w:spacing w:val="4"/>
          <w:kern w:val="2"/>
          <w:sz w:val="32"/>
          <w:szCs w:val="32"/>
        </w:rPr>
        <w:t>污染物排放情况</w:t>
      </w:r>
      <w:bookmarkEnd w:id="584"/>
      <w:bookmarkEnd w:id="591"/>
    </w:p>
    <w:p>
      <w:pPr>
        <w:adjustRightInd w:val="0"/>
        <w:snapToGrid w:val="0"/>
        <w:ind w:firstLine="480" w:firstLineChars="200"/>
        <w:rPr>
          <w:kern w:val="0"/>
          <w:szCs w:val="20"/>
        </w:rPr>
        <w:sectPr>
          <w:pgSz w:w="11907" w:h="16840"/>
          <w:pgMar w:top="1440" w:right="1588" w:bottom="1440" w:left="1588" w:header="851" w:footer="851" w:gutter="0"/>
          <w:cols w:space="720" w:num="1"/>
          <w:docGrid w:linePitch="326" w:charSpace="0"/>
        </w:sectPr>
      </w:pPr>
      <w:r>
        <w:rPr>
          <w:kern w:val="0"/>
          <w:szCs w:val="20"/>
        </w:rPr>
        <w:t>本项目污染物排放汇总见表</w:t>
      </w:r>
      <w:r>
        <w:rPr>
          <w:rFonts w:hint="eastAsia"/>
          <w:kern w:val="0"/>
          <w:szCs w:val="20"/>
        </w:rPr>
        <w:t>4</w:t>
      </w:r>
      <w:r>
        <w:rPr>
          <w:kern w:val="0"/>
          <w:szCs w:val="20"/>
        </w:rPr>
        <w:t>.4-1。</w:t>
      </w:r>
    </w:p>
    <w:p>
      <w:pPr>
        <w:adjustRightInd w:val="0"/>
        <w:snapToGrid w:val="0"/>
        <w:spacing w:line="240" w:lineRule="auto"/>
        <w:ind w:firstLine="480" w:firstLineChars="200"/>
        <w:jc w:val="center"/>
        <w:rPr>
          <w:rFonts w:eastAsia="黑体"/>
        </w:rPr>
      </w:pPr>
      <w:r>
        <w:rPr>
          <w:rFonts w:eastAsia="黑体"/>
        </w:rPr>
        <w:t>表</w:t>
      </w:r>
      <w:r>
        <w:rPr>
          <w:rFonts w:hint="eastAsia" w:eastAsia="黑体"/>
        </w:rPr>
        <w:t>4</w:t>
      </w:r>
      <w:r>
        <w:rPr>
          <w:rFonts w:eastAsia="黑体"/>
        </w:rPr>
        <w:t>.4-1  项目污染物产生及排放汇总表       单位t/a</w:t>
      </w:r>
    </w:p>
    <w:tbl>
      <w:tblPr>
        <w:tblStyle w:val="88"/>
        <w:tblW w:w="1417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733"/>
        <w:gridCol w:w="1252"/>
        <w:gridCol w:w="850"/>
        <w:gridCol w:w="1453"/>
        <w:gridCol w:w="1173"/>
        <w:gridCol w:w="5278"/>
        <w:gridCol w:w="1559"/>
        <w:gridCol w:w="1875"/>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70" w:hRule="atLeast"/>
          <w:jc w:val="center"/>
        </w:trPr>
        <w:tc>
          <w:tcPr>
            <w:tcW w:w="2835" w:type="dxa"/>
            <w:gridSpan w:val="3"/>
            <w:vMerge w:val="restart"/>
            <w:tcBorders>
              <w:tl2br w:val="nil"/>
              <w:tr2bl w:val="nil"/>
            </w:tcBorders>
            <w:shd w:val="clear" w:color="auto" w:fill="auto"/>
            <w:vAlign w:val="center"/>
          </w:tcPr>
          <w:p>
            <w:pPr>
              <w:spacing w:line="240" w:lineRule="auto"/>
              <w:jc w:val="center"/>
              <w:rPr>
                <w:b/>
                <w:sz w:val="21"/>
                <w:szCs w:val="21"/>
              </w:rPr>
            </w:pPr>
            <w:r>
              <w:rPr>
                <w:b/>
                <w:sz w:val="21"/>
                <w:szCs w:val="21"/>
              </w:rPr>
              <w:t>污染物</w:t>
            </w:r>
          </w:p>
        </w:tc>
        <w:tc>
          <w:tcPr>
            <w:tcW w:w="2626" w:type="dxa"/>
            <w:gridSpan w:val="2"/>
            <w:tcBorders>
              <w:tl2br w:val="nil"/>
              <w:tr2bl w:val="nil"/>
            </w:tcBorders>
            <w:shd w:val="clear" w:color="auto" w:fill="auto"/>
            <w:vAlign w:val="center"/>
          </w:tcPr>
          <w:p>
            <w:pPr>
              <w:spacing w:line="240" w:lineRule="auto"/>
              <w:jc w:val="center"/>
              <w:rPr>
                <w:b/>
                <w:sz w:val="21"/>
                <w:szCs w:val="21"/>
              </w:rPr>
            </w:pPr>
            <w:r>
              <w:rPr>
                <w:b/>
                <w:sz w:val="21"/>
                <w:szCs w:val="21"/>
              </w:rPr>
              <w:t>处理前</w:t>
            </w:r>
          </w:p>
        </w:tc>
        <w:tc>
          <w:tcPr>
            <w:tcW w:w="5278" w:type="dxa"/>
            <w:vMerge w:val="restart"/>
            <w:tcBorders>
              <w:tl2br w:val="nil"/>
              <w:tr2bl w:val="nil"/>
            </w:tcBorders>
            <w:shd w:val="clear" w:color="auto" w:fill="auto"/>
            <w:vAlign w:val="center"/>
          </w:tcPr>
          <w:p>
            <w:pPr>
              <w:spacing w:line="240" w:lineRule="auto"/>
              <w:jc w:val="center"/>
              <w:rPr>
                <w:b/>
                <w:sz w:val="21"/>
                <w:szCs w:val="21"/>
              </w:rPr>
            </w:pPr>
            <w:r>
              <w:rPr>
                <w:b/>
                <w:sz w:val="21"/>
                <w:szCs w:val="21"/>
              </w:rPr>
              <w:t>处理方式</w:t>
            </w:r>
          </w:p>
        </w:tc>
        <w:tc>
          <w:tcPr>
            <w:tcW w:w="3434" w:type="dxa"/>
            <w:gridSpan w:val="2"/>
            <w:tcBorders>
              <w:tl2br w:val="nil"/>
              <w:tr2bl w:val="nil"/>
            </w:tcBorders>
            <w:shd w:val="clear" w:color="auto" w:fill="auto"/>
            <w:vAlign w:val="center"/>
          </w:tcPr>
          <w:p>
            <w:pPr>
              <w:spacing w:line="240" w:lineRule="auto"/>
              <w:jc w:val="center"/>
              <w:rPr>
                <w:b/>
                <w:sz w:val="21"/>
                <w:szCs w:val="21"/>
              </w:rPr>
            </w:pPr>
            <w:r>
              <w:rPr>
                <w:b/>
                <w:sz w:val="21"/>
                <w:szCs w:val="21"/>
              </w:rPr>
              <w:t>处理后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85" w:hRule="atLeast"/>
          <w:jc w:val="center"/>
        </w:trPr>
        <w:tc>
          <w:tcPr>
            <w:tcW w:w="2835" w:type="dxa"/>
            <w:gridSpan w:val="3"/>
            <w:vMerge w:val="continue"/>
            <w:tcBorders>
              <w:tl2br w:val="nil"/>
              <w:tr2bl w:val="nil"/>
            </w:tcBorders>
            <w:shd w:val="clear" w:color="auto" w:fill="auto"/>
            <w:vAlign w:val="center"/>
          </w:tcPr>
          <w:p>
            <w:pPr>
              <w:spacing w:line="240" w:lineRule="auto"/>
              <w:jc w:val="center"/>
              <w:rPr>
                <w:sz w:val="21"/>
                <w:szCs w:val="21"/>
              </w:rPr>
            </w:pPr>
          </w:p>
        </w:tc>
        <w:tc>
          <w:tcPr>
            <w:tcW w:w="1453" w:type="dxa"/>
            <w:tcBorders>
              <w:tl2br w:val="nil"/>
              <w:tr2bl w:val="nil"/>
            </w:tcBorders>
            <w:shd w:val="clear" w:color="auto" w:fill="auto"/>
            <w:vAlign w:val="center"/>
          </w:tcPr>
          <w:p>
            <w:pPr>
              <w:spacing w:line="240" w:lineRule="auto"/>
              <w:jc w:val="center"/>
              <w:rPr>
                <w:b/>
                <w:sz w:val="21"/>
                <w:szCs w:val="21"/>
              </w:rPr>
            </w:pPr>
            <w:r>
              <w:rPr>
                <w:b/>
                <w:sz w:val="21"/>
                <w:szCs w:val="21"/>
              </w:rPr>
              <w:t>浓度(mg/l)</w:t>
            </w:r>
          </w:p>
        </w:tc>
        <w:tc>
          <w:tcPr>
            <w:tcW w:w="1173" w:type="dxa"/>
            <w:tcBorders>
              <w:tl2br w:val="nil"/>
              <w:tr2bl w:val="nil"/>
            </w:tcBorders>
            <w:shd w:val="clear" w:color="auto" w:fill="auto"/>
            <w:vAlign w:val="center"/>
          </w:tcPr>
          <w:p>
            <w:pPr>
              <w:spacing w:line="240" w:lineRule="auto"/>
              <w:jc w:val="center"/>
              <w:rPr>
                <w:b/>
                <w:sz w:val="21"/>
                <w:szCs w:val="21"/>
              </w:rPr>
            </w:pPr>
            <w:r>
              <w:rPr>
                <w:b/>
                <w:sz w:val="21"/>
                <w:szCs w:val="21"/>
              </w:rPr>
              <w:t>产生量t/a</w:t>
            </w:r>
          </w:p>
        </w:tc>
        <w:tc>
          <w:tcPr>
            <w:tcW w:w="5278" w:type="dxa"/>
            <w:vMerge w:val="continue"/>
            <w:tcBorders>
              <w:tl2br w:val="nil"/>
              <w:tr2bl w:val="nil"/>
            </w:tcBorders>
            <w:vAlign w:val="center"/>
          </w:tcPr>
          <w:p>
            <w:pPr>
              <w:spacing w:line="240" w:lineRule="auto"/>
              <w:jc w:val="center"/>
              <w:rPr>
                <w:b/>
                <w:sz w:val="21"/>
                <w:szCs w:val="21"/>
              </w:rPr>
            </w:pPr>
          </w:p>
        </w:tc>
        <w:tc>
          <w:tcPr>
            <w:tcW w:w="1559" w:type="dxa"/>
            <w:tcBorders>
              <w:tl2br w:val="nil"/>
              <w:tr2bl w:val="nil"/>
            </w:tcBorders>
            <w:shd w:val="clear" w:color="auto" w:fill="auto"/>
            <w:vAlign w:val="center"/>
          </w:tcPr>
          <w:p>
            <w:pPr>
              <w:spacing w:line="240" w:lineRule="auto"/>
              <w:jc w:val="center"/>
              <w:rPr>
                <w:b/>
                <w:sz w:val="21"/>
                <w:szCs w:val="21"/>
              </w:rPr>
            </w:pPr>
            <w:r>
              <w:rPr>
                <w:b/>
                <w:sz w:val="21"/>
                <w:szCs w:val="21"/>
              </w:rPr>
              <w:t>浓度(mg/l)</w:t>
            </w:r>
          </w:p>
        </w:tc>
        <w:tc>
          <w:tcPr>
            <w:tcW w:w="1875" w:type="dxa"/>
            <w:tcBorders>
              <w:tl2br w:val="nil"/>
              <w:tr2bl w:val="nil"/>
            </w:tcBorders>
            <w:shd w:val="clear" w:color="auto" w:fill="auto"/>
            <w:vAlign w:val="center"/>
          </w:tcPr>
          <w:p>
            <w:pPr>
              <w:spacing w:line="240" w:lineRule="auto"/>
              <w:jc w:val="center"/>
              <w:rPr>
                <w:sz w:val="21"/>
                <w:szCs w:val="21"/>
              </w:rPr>
            </w:pPr>
            <w:r>
              <w:rPr>
                <w:b/>
                <w:sz w:val="21"/>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1" w:hRule="atLeast"/>
          <w:jc w:val="center"/>
        </w:trPr>
        <w:tc>
          <w:tcPr>
            <w:tcW w:w="733" w:type="dxa"/>
            <w:vMerge w:val="restart"/>
            <w:tcBorders>
              <w:tl2br w:val="nil"/>
              <w:tr2bl w:val="nil"/>
            </w:tcBorders>
            <w:shd w:val="clear" w:color="auto" w:fill="auto"/>
            <w:vAlign w:val="center"/>
          </w:tcPr>
          <w:p>
            <w:pPr>
              <w:spacing w:line="240" w:lineRule="auto"/>
              <w:jc w:val="center"/>
              <w:rPr>
                <w:sz w:val="21"/>
                <w:szCs w:val="21"/>
              </w:rPr>
            </w:pPr>
            <w:r>
              <w:rPr>
                <w:sz w:val="21"/>
                <w:szCs w:val="21"/>
              </w:rPr>
              <w:t>废水</w:t>
            </w: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水量</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12055.95</w:t>
            </w:r>
          </w:p>
        </w:tc>
        <w:tc>
          <w:tcPr>
            <w:tcW w:w="5278"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通过集污池收集</w:t>
            </w:r>
            <w:r>
              <w:rPr>
                <w:sz w:val="21"/>
                <w:szCs w:val="21"/>
              </w:rPr>
              <w:t>后</w:t>
            </w:r>
            <w:r>
              <w:rPr>
                <w:rFonts w:hint="eastAsia"/>
                <w:sz w:val="21"/>
                <w:szCs w:val="21"/>
              </w:rPr>
              <w:t>再</w:t>
            </w:r>
            <w:r>
              <w:rPr>
                <w:sz w:val="21"/>
                <w:szCs w:val="21"/>
              </w:rPr>
              <w:t>进入专用车辆运输至井研县大沼工程。</w:t>
            </w:r>
          </w:p>
        </w:tc>
        <w:tc>
          <w:tcPr>
            <w:tcW w:w="3434" w:type="dxa"/>
            <w:gridSpan w:val="2"/>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经大沼工程进行沼气发电后，进行干湿分离，干粪用于有机肥生产，沼液用于农田施肥，全部实现零排放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30"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COD</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2640</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31.83</w:t>
            </w:r>
          </w:p>
        </w:tc>
        <w:tc>
          <w:tcPr>
            <w:tcW w:w="5278" w:type="dxa"/>
            <w:vMerge w:val="continue"/>
            <w:tcBorders>
              <w:tl2br w:val="nil"/>
              <w:tr2bl w:val="nil"/>
            </w:tcBorders>
            <w:vAlign w:val="center"/>
          </w:tcPr>
          <w:p>
            <w:pPr>
              <w:spacing w:line="240" w:lineRule="auto"/>
              <w:jc w:val="center"/>
              <w:rPr>
                <w:sz w:val="21"/>
                <w:szCs w:val="21"/>
              </w:rPr>
            </w:pPr>
          </w:p>
        </w:tc>
        <w:tc>
          <w:tcPr>
            <w:tcW w:w="3434" w:type="dxa"/>
            <w:gridSpan w:val="2"/>
            <w:vMerge w:val="continue"/>
            <w:tcBorders>
              <w:tl2br w:val="nil"/>
              <w:tr2bl w:val="nil"/>
            </w:tcBorders>
            <w:shd w:val="clear" w:color="auto" w:fill="auto"/>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5"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BOD</w:t>
            </w:r>
            <w:r>
              <w:rPr>
                <w:sz w:val="21"/>
                <w:szCs w:val="21"/>
                <w:vertAlign w:val="subscript"/>
              </w:rPr>
              <w:t>5</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1348</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16.25</w:t>
            </w:r>
          </w:p>
        </w:tc>
        <w:tc>
          <w:tcPr>
            <w:tcW w:w="5278" w:type="dxa"/>
            <w:vMerge w:val="continue"/>
            <w:tcBorders>
              <w:tl2br w:val="nil"/>
              <w:tr2bl w:val="nil"/>
            </w:tcBorders>
            <w:vAlign w:val="center"/>
          </w:tcPr>
          <w:p>
            <w:pPr>
              <w:spacing w:line="240" w:lineRule="auto"/>
              <w:jc w:val="center"/>
              <w:rPr>
                <w:sz w:val="21"/>
                <w:szCs w:val="21"/>
              </w:rPr>
            </w:pPr>
          </w:p>
        </w:tc>
        <w:tc>
          <w:tcPr>
            <w:tcW w:w="3434" w:type="dxa"/>
            <w:gridSpan w:val="2"/>
            <w:vMerge w:val="continue"/>
            <w:tcBorders>
              <w:tl2br w:val="nil"/>
              <w:tr2bl w:val="nil"/>
            </w:tcBorders>
            <w:shd w:val="clear" w:color="auto" w:fill="auto"/>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30"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SS</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5000</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60.28</w:t>
            </w:r>
          </w:p>
        </w:tc>
        <w:tc>
          <w:tcPr>
            <w:tcW w:w="5278" w:type="dxa"/>
            <w:vMerge w:val="continue"/>
            <w:tcBorders>
              <w:tl2br w:val="nil"/>
              <w:tr2bl w:val="nil"/>
            </w:tcBorders>
            <w:vAlign w:val="center"/>
          </w:tcPr>
          <w:p>
            <w:pPr>
              <w:spacing w:line="240" w:lineRule="auto"/>
              <w:jc w:val="center"/>
              <w:rPr>
                <w:sz w:val="21"/>
                <w:szCs w:val="21"/>
              </w:rPr>
            </w:pPr>
          </w:p>
        </w:tc>
        <w:tc>
          <w:tcPr>
            <w:tcW w:w="3434" w:type="dxa"/>
            <w:gridSpan w:val="2"/>
            <w:vMerge w:val="continue"/>
            <w:tcBorders>
              <w:tl2br w:val="nil"/>
              <w:tr2bl w:val="nil"/>
            </w:tcBorders>
            <w:shd w:val="clear" w:color="auto" w:fill="auto"/>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30"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氨氮</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261</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3.15</w:t>
            </w:r>
          </w:p>
        </w:tc>
        <w:tc>
          <w:tcPr>
            <w:tcW w:w="5278" w:type="dxa"/>
            <w:vMerge w:val="continue"/>
            <w:tcBorders>
              <w:tl2br w:val="nil"/>
              <w:tr2bl w:val="nil"/>
            </w:tcBorders>
            <w:vAlign w:val="center"/>
          </w:tcPr>
          <w:p>
            <w:pPr>
              <w:spacing w:line="240" w:lineRule="auto"/>
              <w:jc w:val="center"/>
              <w:rPr>
                <w:sz w:val="21"/>
                <w:szCs w:val="21"/>
              </w:rPr>
            </w:pPr>
          </w:p>
        </w:tc>
        <w:tc>
          <w:tcPr>
            <w:tcW w:w="3434" w:type="dxa"/>
            <w:gridSpan w:val="2"/>
            <w:vMerge w:val="continue"/>
            <w:tcBorders>
              <w:tl2br w:val="nil"/>
              <w:tr2bl w:val="nil"/>
            </w:tcBorders>
            <w:shd w:val="clear" w:color="auto" w:fill="auto"/>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30"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TP</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43.5</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0.52</w:t>
            </w:r>
          </w:p>
        </w:tc>
        <w:tc>
          <w:tcPr>
            <w:tcW w:w="5278" w:type="dxa"/>
            <w:vMerge w:val="continue"/>
            <w:tcBorders>
              <w:tl2br w:val="nil"/>
              <w:tr2bl w:val="nil"/>
            </w:tcBorders>
            <w:vAlign w:val="center"/>
          </w:tcPr>
          <w:p>
            <w:pPr>
              <w:spacing w:line="240" w:lineRule="auto"/>
              <w:jc w:val="center"/>
              <w:rPr>
                <w:sz w:val="21"/>
                <w:szCs w:val="21"/>
              </w:rPr>
            </w:pPr>
          </w:p>
        </w:tc>
        <w:tc>
          <w:tcPr>
            <w:tcW w:w="3434" w:type="dxa"/>
            <w:gridSpan w:val="2"/>
            <w:vMerge w:val="continue"/>
            <w:tcBorders>
              <w:tl2br w:val="nil"/>
              <w:tr2bl w:val="nil"/>
            </w:tcBorders>
            <w:shd w:val="clear" w:color="auto" w:fill="auto"/>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30"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rFonts w:hint="eastAsia"/>
                <w:sz w:val="21"/>
                <w:szCs w:val="21"/>
              </w:rPr>
              <w:t>T</w:t>
            </w:r>
            <w:r>
              <w:rPr>
                <w:sz w:val="21"/>
                <w:szCs w:val="21"/>
              </w:rPr>
              <w:t>N</w:t>
            </w:r>
          </w:p>
        </w:tc>
        <w:tc>
          <w:tcPr>
            <w:tcW w:w="1453" w:type="dxa"/>
            <w:tcBorders>
              <w:tl2br w:val="nil"/>
              <w:tr2bl w:val="nil"/>
            </w:tcBorders>
            <w:shd w:val="clear" w:color="auto" w:fill="auto"/>
            <w:vAlign w:val="center"/>
          </w:tcPr>
          <w:p>
            <w:pPr>
              <w:spacing w:line="240" w:lineRule="auto"/>
              <w:jc w:val="center"/>
              <w:rPr>
                <w:sz w:val="21"/>
                <w:szCs w:val="21"/>
              </w:rPr>
            </w:pPr>
            <w:r>
              <w:rPr>
                <w:rFonts w:hint="eastAsia"/>
                <w:sz w:val="21"/>
                <w:szCs w:val="21"/>
              </w:rPr>
              <w:t>3</w:t>
            </w:r>
            <w:r>
              <w:rPr>
                <w:sz w:val="21"/>
                <w:szCs w:val="21"/>
              </w:rPr>
              <w:t>70</w:t>
            </w:r>
          </w:p>
        </w:tc>
        <w:tc>
          <w:tcPr>
            <w:tcW w:w="1173" w:type="dxa"/>
            <w:tcBorders>
              <w:tl2br w:val="nil"/>
              <w:tr2bl w:val="nil"/>
            </w:tcBorders>
            <w:shd w:val="clear" w:color="auto" w:fill="auto"/>
            <w:vAlign w:val="center"/>
          </w:tcPr>
          <w:p>
            <w:pPr>
              <w:spacing w:line="240" w:lineRule="auto"/>
              <w:jc w:val="center"/>
              <w:rPr>
                <w:sz w:val="21"/>
                <w:szCs w:val="21"/>
              </w:rPr>
            </w:pPr>
            <w:r>
              <w:rPr>
                <w:rFonts w:hint="eastAsia"/>
                <w:sz w:val="21"/>
                <w:szCs w:val="21"/>
              </w:rPr>
              <w:t>4</w:t>
            </w:r>
            <w:r>
              <w:rPr>
                <w:sz w:val="21"/>
                <w:szCs w:val="21"/>
              </w:rPr>
              <w:t>.46</w:t>
            </w:r>
          </w:p>
        </w:tc>
        <w:tc>
          <w:tcPr>
            <w:tcW w:w="5278" w:type="dxa"/>
            <w:tcBorders>
              <w:tl2br w:val="nil"/>
              <w:tr2bl w:val="nil"/>
            </w:tcBorders>
            <w:vAlign w:val="center"/>
          </w:tcPr>
          <w:p>
            <w:pPr>
              <w:spacing w:line="240" w:lineRule="auto"/>
              <w:jc w:val="center"/>
              <w:rPr>
                <w:sz w:val="21"/>
                <w:szCs w:val="21"/>
              </w:rPr>
            </w:pPr>
          </w:p>
        </w:tc>
        <w:tc>
          <w:tcPr>
            <w:tcW w:w="3434" w:type="dxa"/>
            <w:gridSpan w:val="2"/>
            <w:tcBorders>
              <w:tl2br w:val="nil"/>
              <w:tr2bl w:val="nil"/>
            </w:tcBorders>
            <w:shd w:val="clear" w:color="auto" w:fill="auto"/>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044" w:hRule="atLeast"/>
          <w:jc w:val="center"/>
        </w:trPr>
        <w:tc>
          <w:tcPr>
            <w:tcW w:w="733" w:type="dxa"/>
            <w:vMerge w:val="restart"/>
            <w:tcBorders>
              <w:tl2br w:val="nil"/>
              <w:tr2bl w:val="nil"/>
            </w:tcBorders>
            <w:shd w:val="clear" w:color="auto" w:fill="auto"/>
            <w:vAlign w:val="center"/>
          </w:tcPr>
          <w:p>
            <w:pPr>
              <w:spacing w:line="240" w:lineRule="auto"/>
              <w:jc w:val="center"/>
              <w:rPr>
                <w:sz w:val="21"/>
                <w:szCs w:val="21"/>
              </w:rPr>
            </w:pPr>
            <w:r>
              <w:rPr>
                <w:sz w:val="21"/>
                <w:szCs w:val="21"/>
              </w:rPr>
              <w:t>废气</w:t>
            </w:r>
          </w:p>
        </w:tc>
        <w:tc>
          <w:tcPr>
            <w:tcW w:w="1252" w:type="dxa"/>
            <w:vMerge w:val="restart"/>
            <w:tcBorders>
              <w:tl2br w:val="nil"/>
              <w:tr2bl w:val="nil"/>
            </w:tcBorders>
            <w:shd w:val="clear" w:color="auto" w:fill="auto"/>
            <w:vAlign w:val="center"/>
          </w:tcPr>
          <w:p>
            <w:pPr>
              <w:pStyle w:val="320"/>
              <w:snapToGrid w:val="0"/>
              <w:spacing w:line="276" w:lineRule="auto"/>
              <w:ind w:firstLine="0" w:firstLineChars="0"/>
              <w:jc w:val="center"/>
              <w:rPr>
                <w:rFonts w:ascii="Times New Roman" w:hAnsi="Times New Roman"/>
                <w:sz w:val="21"/>
                <w:szCs w:val="21"/>
              </w:rPr>
            </w:pPr>
            <w:r>
              <w:rPr>
                <w:rFonts w:hint="eastAsia" w:ascii="Times New Roman" w:hAnsi="Times New Roman"/>
                <w:sz w:val="21"/>
                <w:szCs w:val="21"/>
              </w:rPr>
              <w:t>猪舍</w:t>
            </w:r>
          </w:p>
        </w:tc>
        <w:tc>
          <w:tcPr>
            <w:tcW w:w="850" w:type="dxa"/>
            <w:tcBorders>
              <w:tl2br w:val="nil"/>
              <w:tr2bl w:val="nil"/>
            </w:tcBorders>
            <w:shd w:val="clear" w:color="auto" w:fill="auto"/>
            <w:vAlign w:val="center"/>
          </w:tcPr>
          <w:p>
            <w:pPr>
              <w:spacing w:line="240" w:lineRule="auto"/>
              <w:jc w:val="center"/>
              <w:rPr>
                <w:sz w:val="21"/>
                <w:szCs w:val="21"/>
              </w:rPr>
            </w:pPr>
            <w:r>
              <w:rPr>
                <w:sz w:val="21"/>
                <w:szCs w:val="21"/>
              </w:rPr>
              <w:t>NH</w:t>
            </w:r>
            <w:r>
              <w:rPr>
                <w:sz w:val="21"/>
                <w:szCs w:val="21"/>
                <w:vertAlign w:val="subscript"/>
              </w:rPr>
              <w:t>3</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6.67</w:t>
            </w:r>
          </w:p>
        </w:tc>
        <w:tc>
          <w:tcPr>
            <w:tcW w:w="5278" w:type="dxa"/>
            <w:vMerge w:val="restart"/>
            <w:tcBorders>
              <w:tl2br w:val="nil"/>
              <w:tr2bl w:val="nil"/>
            </w:tcBorders>
            <w:shd w:val="clear" w:color="auto" w:fill="auto"/>
            <w:vAlign w:val="center"/>
          </w:tcPr>
          <w:p>
            <w:pPr>
              <w:spacing w:line="240" w:lineRule="auto"/>
              <w:jc w:val="center"/>
              <w:rPr>
                <w:sz w:val="21"/>
                <w:szCs w:val="21"/>
              </w:rPr>
            </w:pPr>
            <w:r>
              <w:rPr>
                <w:rFonts w:hint="eastAsia"/>
                <w:sz w:val="21"/>
                <w:szCs w:val="21"/>
              </w:rPr>
              <w:t>饲料添加活菌剂、及时清粪、加强通风、喷洒生物除臭剂、种植绿化隔离带等</w:t>
            </w:r>
            <w:r>
              <w:rPr>
                <w:sz w:val="21"/>
                <w:szCs w:val="21"/>
              </w:rPr>
              <w:t>，同时</w:t>
            </w:r>
            <w:r>
              <w:rPr>
                <w:rFonts w:hint="eastAsia"/>
                <w:sz w:val="21"/>
                <w:szCs w:val="21"/>
              </w:rPr>
              <w:t>针对车间妊娠舍及分娩舍分别</w:t>
            </w:r>
            <w:r>
              <w:rPr>
                <w:sz w:val="21"/>
                <w:szCs w:val="21"/>
              </w:rPr>
              <w:t>设置卫生防护距离100m，最终排入大气。</w:t>
            </w:r>
          </w:p>
        </w:tc>
        <w:tc>
          <w:tcPr>
            <w:tcW w:w="1559" w:type="dxa"/>
            <w:tcBorders>
              <w:tl2br w:val="nil"/>
              <w:tr2bl w:val="nil"/>
            </w:tcBorders>
            <w:shd w:val="clear" w:color="auto" w:fill="auto"/>
            <w:vAlign w:val="center"/>
          </w:tcPr>
          <w:p>
            <w:pPr>
              <w:spacing w:line="240" w:lineRule="auto"/>
              <w:jc w:val="center"/>
              <w:rPr>
                <w:sz w:val="21"/>
                <w:szCs w:val="21"/>
              </w:rPr>
            </w:pPr>
            <w:r>
              <w:rPr>
                <w:sz w:val="21"/>
                <w:szCs w:val="21"/>
              </w:rPr>
              <w:t>/</w:t>
            </w:r>
          </w:p>
        </w:tc>
        <w:tc>
          <w:tcPr>
            <w:tcW w:w="1875" w:type="dxa"/>
            <w:tcBorders>
              <w:tl2br w:val="nil"/>
              <w:tr2bl w:val="nil"/>
            </w:tcBorders>
            <w:shd w:val="clear" w:color="auto" w:fill="auto"/>
            <w:vAlign w:val="center"/>
          </w:tcPr>
          <w:p>
            <w:pPr>
              <w:spacing w:line="240" w:lineRule="auto"/>
              <w:jc w:val="center"/>
              <w:rPr>
                <w:sz w:val="21"/>
                <w:szCs w:val="21"/>
              </w:rPr>
            </w:pPr>
            <w:r>
              <w:rPr>
                <w:sz w:val="21"/>
                <w:szCs w:val="21"/>
              </w:rPr>
              <w:t>1.73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5"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1252" w:type="dxa"/>
            <w:vMerge w:val="continue"/>
            <w:tcBorders>
              <w:tl2br w:val="nil"/>
              <w:tr2bl w:val="nil"/>
            </w:tcBorders>
            <w:shd w:val="clear" w:color="auto" w:fill="auto"/>
            <w:vAlign w:val="center"/>
          </w:tcPr>
          <w:p>
            <w:pPr>
              <w:spacing w:line="240" w:lineRule="auto"/>
              <w:jc w:val="center"/>
              <w:rPr>
                <w:sz w:val="21"/>
                <w:szCs w:val="21"/>
              </w:rPr>
            </w:pPr>
          </w:p>
        </w:tc>
        <w:tc>
          <w:tcPr>
            <w:tcW w:w="850" w:type="dxa"/>
            <w:tcBorders>
              <w:tl2br w:val="nil"/>
              <w:tr2bl w:val="nil"/>
            </w:tcBorders>
            <w:shd w:val="clear" w:color="auto" w:fill="auto"/>
            <w:vAlign w:val="center"/>
          </w:tcPr>
          <w:p>
            <w:pPr>
              <w:spacing w:line="240" w:lineRule="auto"/>
              <w:jc w:val="center"/>
              <w:rPr>
                <w:sz w:val="21"/>
                <w:szCs w:val="21"/>
              </w:rPr>
            </w:pPr>
            <w:r>
              <w:rPr>
                <w:sz w:val="21"/>
                <w:szCs w:val="21"/>
              </w:rPr>
              <w:t>H</w:t>
            </w:r>
            <w:r>
              <w:rPr>
                <w:sz w:val="21"/>
                <w:szCs w:val="21"/>
                <w:vertAlign w:val="subscript"/>
              </w:rPr>
              <w:t>2</w:t>
            </w:r>
            <w:r>
              <w:rPr>
                <w:sz w:val="21"/>
                <w:szCs w:val="21"/>
              </w:rPr>
              <w:t>S</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0.78</w:t>
            </w:r>
          </w:p>
        </w:tc>
        <w:tc>
          <w:tcPr>
            <w:tcW w:w="5278" w:type="dxa"/>
            <w:vMerge w:val="continue"/>
            <w:tcBorders>
              <w:tl2br w:val="nil"/>
              <w:tr2bl w:val="nil"/>
            </w:tcBorders>
            <w:vAlign w:val="center"/>
          </w:tcPr>
          <w:p>
            <w:pPr>
              <w:spacing w:line="240" w:lineRule="auto"/>
              <w:jc w:val="center"/>
              <w:rPr>
                <w:sz w:val="21"/>
                <w:szCs w:val="21"/>
              </w:rPr>
            </w:pPr>
          </w:p>
        </w:tc>
        <w:tc>
          <w:tcPr>
            <w:tcW w:w="1559" w:type="dxa"/>
            <w:tcBorders>
              <w:tl2br w:val="nil"/>
              <w:tr2bl w:val="nil"/>
            </w:tcBorders>
            <w:shd w:val="clear" w:color="auto" w:fill="auto"/>
            <w:vAlign w:val="center"/>
          </w:tcPr>
          <w:p>
            <w:pPr>
              <w:spacing w:line="240" w:lineRule="auto"/>
              <w:jc w:val="center"/>
              <w:rPr>
                <w:sz w:val="21"/>
                <w:szCs w:val="21"/>
              </w:rPr>
            </w:pPr>
            <w:r>
              <w:rPr>
                <w:sz w:val="21"/>
                <w:szCs w:val="21"/>
              </w:rPr>
              <w:t>/</w:t>
            </w:r>
          </w:p>
        </w:tc>
        <w:tc>
          <w:tcPr>
            <w:tcW w:w="1875" w:type="dxa"/>
            <w:tcBorders>
              <w:tl2br w:val="nil"/>
              <w:tr2bl w:val="nil"/>
            </w:tcBorders>
            <w:shd w:val="clear" w:color="auto" w:fill="auto"/>
            <w:vAlign w:val="center"/>
          </w:tcPr>
          <w:p>
            <w:pPr>
              <w:spacing w:line="240" w:lineRule="auto"/>
              <w:jc w:val="center"/>
              <w:rPr>
                <w:sz w:val="21"/>
                <w:szCs w:val="21"/>
              </w:rPr>
            </w:pPr>
            <w:r>
              <w:rPr>
                <w:sz w:val="21"/>
                <w:szCs w:val="21"/>
              </w:rPr>
              <w:t>0.016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27"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油烟</w:t>
            </w:r>
          </w:p>
        </w:tc>
        <w:tc>
          <w:tcPr>
            <w:tcW w:w="1453" w:type="dxa"/>
            <w:tcBorders>
              <w:tl2br w:val="nil"/>
              <w:tr2bl w:val="nil"/>
            </w:tcBorders>
            <w:shd w:val="clear" w:color="auto" w:fill="auto"/>
            <w:vAlign w:val="center"/>
          </w:tcPr>
          <w:p>
            <w:pPr>
              <w:spacing w:line="240" w:lineRule="auto"/>
              <w:jc w:val="center"/>
              <w:rPr>
                <w:sz w:val="21"/>
                <w:szCs w:val="21"/>
              </w:rPr>
            </w:pPr>
            <w:r>
              <w:rPr>
                <w:sz w:val="21"/>
                <w:szCs w:val="21"/>
              </w:rPr>
              <w:t>1.8mg</w:t>
            </w:r>
            <w:r>
              <w:rPr>
                <w:rFonts w:hint="eastAsia"/>
                <w:sz w:val="21"/>
                <w:szCs w:val="21"/>
              </w:rPr>
              <w:t>/m</w:t>
            </w:r>
            <w:r>
              <w:rPr>
                <w:sz w:val="21"/>
                <w:szCs w:val="21"/>
                <w:vertAlign w:val="superscript"/>
              </w:rPr>
              <w:t>3</w:t>
            </w:r>
          </w:p>
        </w:tc>
        <w:tc>
          <w:tcPr>
            <w:tcW w:w="1173" w:type="dxa"/>
            <w:tcBorders>
              <w:tl2br w:val="nil"/>
              <w:tr2bl w:val="nil"/>
            </w:tcBorders>
            <w:shd w:val="clear" w:color="auto" w:fill="auto"/>
            <w:vAlign w:val="center"/>
          </w:tcPr>
          <w:p>
            <w:pPr>
              <w:spacing w:line="240" w:lineRule="auto"/>
              <w:jc w:val="center"/>
              <w:rPr>
                <w:sz w:val="21"/>
                <w:szCs w:val="21"/>
              </w:rPr>
            </w:pPr>
            <w:r>
              <w:rPr>
                <w:sz w:val="21"/>
                <w:szCs w:val="21"/>
              </w:rPr>
              <w:t>0.02kg/d</w:t>
            </w:r>
          </w:p>
        </w:tc>
        <w:tc>
          <w:tcPr>
            <w:tcW w:w="5278" w:type="dxa"/>
            <w:tcBorders>
              <w:tl2br w:val="nil"/>
              <w:tr2bl w:val="nil"/>
            </w:tcBorders>
            <w:vAlign w:val="center"/>
          </w:tcPr>
          <w:p>
            <w:pPr>
              <w:spacing w:line="240" w:lineRule="auto"/>
              <w:jc w:val="center"/>
              <w:rPr>
                <w:sz w:val="21"/>
                <w:szCs w:val="21"/>
              </w:rPr>
            </w:pPr>
            <w:r>
              <w:rPr>
                <w:rFonts w:hint="eastAsia"/>
                <w:sz w:val="21"/>
                <w:szCs w:val="21"/>
              </w:rPr>
              <w:t>油烟净化装置+专用烟道排放</w:t>
            </w:r>
          </w:p>
        </w:tc>
        <w:tc>
          <w:tcPr>
            <w:tcW w:w="1559" w:type="dxa"/>
            <w:tcBorders>
              <w:tl2br w:val="nil"/>
              <w:tr2bl w:val="nil"/>
            </w:tcBorders>
            <w:shd w:val="clear" w:color="auto" w:fill="auto"/>
            <w:vAlign w:val="center"/>
          </w:tcPr>
          <w:p>
            <w:pPr>
              <w:spacing w:line="240" w:lineRule="auto"/>
              <w:jc w:val="center"/>
              <w:rPr>
                <w:sz w:val="21"/>
                <w:szCs w:val="21"/>
              </w:rPr>
            </w:pPr>
            <w:r>
              <w:rPr>
                <w:sz w:val="21"/>
                <w:szCs w:val="21"/>
              </w:rPr>
              <w:t>0.72</w:t>
            </w:r>
          </w:p>
        </w:tc>
        <w:tc>
          <w:tcPr>
            <w:tcW w:w="1875" w:type="dxa"/>
            <w:tcBorders>
              <w:tl2br w:val="nil"/>
              <w:tr2bl w:val="nil"/>
            </w:tcBorders>
            <w:shd w:val="clear" w:color="auto" w:fill="auto"/>
            <w:vAlign w:val="center"/>
          </w:tcPr>
          <w:p>
            <w:pPr>
              <w:spacing w:line="240" w:lineRule="auto"/>
              <w:jc w:val="center"/>
              <w:rPr>
                <w:sz w:val="21"/>
                <w:szCs w:val="21"/>
              </w:rPr>
            </w:pPr>
            <w:r>
              <w:rPr>
                <w:sz w:val="21"/>
                <w:szCs w:val="21"/>
              </w:rPr>
              <w:t>0.008kg/d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restart"/>
            <w:tcBorders>
              <w:tl2br w:val="nil"/>
              <w:tr2bl w:val="nil"/>
            </w:tcBorders>
            <w:shd w:val="clear" w:color="auto" w:fill="auto"/>
            <w:vAlign w:val="center"/>
          </w:tcPr>
          <w:p>
            <w:pPr>
              <w:spacing w:line="240" w:lineRule="auto"/>
              <w:jc w:val="center"/>
              <w:rPr>
                <w:sz w:val="21"/>
                <w:szCs w:val="21"/>
              </w:rPr>
            </w:pPr>
            <w:r>
              <w:rPr>
                <w:sz w:val="21"/>
                <w:szCs w:val="21"/>
              </w:rPr>
              <w:t>固废</w:t>
            </w: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猪粪便</w:t>
            </w:r>
          </w:p>
        </w:tc>
        <w:tc>
          <w:tcPr>
            <w:tcW w:w="1453" w:type="dxa"/>
            <w:vAlign w:val="center"/>
          </w:tcPr>
          <w:p>
            <w:pPr>
              <w:spacing w:line="240" w:lineRule="auto"/>
              <w:jc w:val="center"/>
              <w:rPr>
                <w:sz w:val="21"/>
                <w:szCs w:val="21"/>
              </w:rPr>
            </w:pPr>
            <w:r>
              <w:rPr>
                <w:sz w:val="21"/>
                <w:szCs w:val="21"/>
              </w:rPr>
              <w:t>8.76</w:t>
            </w:r>
            <w:r>
              <w:rPr>
                <w:rFonts w:hint="eastAsia"/>
                <w:sz w:val="21"/>
                <w:szCs w:val="21"/>
              </w:rPr>
              <w:t>t/d</w:t>
            </w:r>
          </w:p>
        </w:tc>
        <w:tc>
          <w:tcPr>
            <w:tcW w:w="1173" w:type="dxa"/>
            <w:vAlign w:val="center"/>
          </w:tcPr>
          <w:p>
            <w:pPr>
              <w:spacing w:line="240" w:lineRule="auto"/>
              <w:jc w:val="center"/>
              <w:rPr>
                <w:sz w:val="21"/>
                <w:szCs w:val="21"/>
              </w:rPr>
            </w:pPr>
            <w:r>
              <w:rPr>
                <w:sz w:val="21"/>
                <w:szCs w:val="21"/>
              </w:rPr>
              <w:t>3197.4t/a</w:t>
            </w:r>
          </w:p>
        </w:tc>
        <w:tc>
          <w:tcPr>
            <w:tcW w:w="5278" w:type="dxa"/>
            <w:vAlign w:val="center"/>
          </w:tcPr>
          <w:p>
            <w:pPr>
              <w:spacing w:line="240" w:lineRule="auto"/>
              <w:jc w:val="center"/>
              <w:rPr>
                <w:sz w:val="21"/>
                <w:szCs w:val="21"/>
              </w:rPr>
            </w:pPr>
            <w:r>
              <w:rPr>
                <w:rFonts w:hint="eastAsia"/>
                <w:sz w:val="21"/>
                <w:szCs w:val="21"/>
              </w:rPr>
              <w:t>连同废水一并运至乐山乐高勤力生物质能源综合利用有限公司</w:t>
            </w:r>
          </w:p>
        </w:tc>
        <w:tc>
          <w:tcPr>
            <w:tcW w:w="3434" w:type="dxa"/>
            <w:gridSpan w:val="2"/>
            <w:tcBorders>
              <w:tl2br w:val="nil"/>
              <w:tr2bl w:val="nil"/>
            </w:tcBorders>
            <w:shd w:val="clear" w:color="auto" w:fill="auto"/>
            <w:vAlign w:val="center"/>
          </w:tcPr>
          <w:p>
            <w:pPr>
              <w:spacing w:line="240" w:lineRule="auto"/>
              <w:jc w:val="center"/>
              <w:rPr>
                <w:sz w:val="21"/>
                <w:szCs w:val="21"/>
              </w:rPr>
            </w:pPr>
            <w:r>
              <w:rPr>
                <w:sz w:val="21"/>
                <w:szCs w:val="21"/>
              </w:rPr>
              <w:t>0t/a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病死猪</w:t>
            </w:r>
          </w:p>
        </w:tc>
        <w:tc>
          <w:tcPr>
            <w:tcW w:w="1453" w:type="dxa"/>
            <w:vAlign w:val="center"/>
          </w:tcPr>
          <w:p>
            <w:pPr>
              <w:spacing w:line="240" w:lineRule="auto"/>
              <w:jc w:val="center"/>
              <w:rPr>
                <w:sz w:val="21"/>
                <w:szCs w:val="21"/>
              </w:rPr>
            </w:pPr>
            <w:r>
              <w:rPr>
                <w:sz w:val="21"/>
                <w:szCs w:val="21"/>
              </w:rPr>
              <w:t>/</w:t>
            </w:r>
          </w:p>
        </w:tc>
        <w:tc>
          <w:tcPr>
            <w:tcW w:w="1173" w:type="dxa"/>
            <w:vAlign w:val="center"/>
          </w:tcPr>
          <w:p>
            <w:pPr>
              <w:spacing w:line="240" w:lineRule="auto"/>
              <w:jc w:val="center"/>
              <w:rPr>
                <w:sz w:val="21"/>
                <w:szCs w:val="21"/>
              </w:rPr>
            </w:pPr>
            <w:r>
              <w:rPr>
                <w:sz w:val="21"/>
                <w:szCs w:val="21"/>
              </w:rPr>
              <w:t>11.4</w:t>
            </w:r>
            <w:r>
              <w:rPr>
                <w:rFonts w:hint="eastAsia"/>
                <w:sz w:val="21"/>
                <w:szCs w:val="21"/>
              </w:rPr>
              <w:t>t</w:t>
            </w:r>
            <w:r>
              <w:rPr>
                <w:sz w:val="21"/>
                <w:szCs w:val="21"/>
              </w:rPr>
              <w:t>/a</w:t>
            </w:r>
          </w:p>
        </w:tc>
        <w:tc>
          <w:tcPr>
            <w:tcW w:w="5278" w:type="dxa"/>
            <w:vMerge w:val="restart"/>
            <w:vAlign w:val="center"/>
          </w:tcPr>
          <w:p>
            <w:pPr>
              <w:spacing w:line="240" w:lineRule="auto"/>
              <w:jc w:val="center"/>
              <w:rPr>
                <w:sz w:val="21"/>
                <w:szCs w:val="21"/>
              </w:rPr>
            </w:pPr>
            <w:r>
              <w:rPr>
                <w:sz w:val="21"/>
                <w:szCs w:val="21"/>
              </w:rPr>
              <w:t>交由乐山市无害化处理中心处置</w:t>
            </w:r>
          </w:p>
        </w:tc>
        <w:tc>
          <w:tcPr>
            <w:tcW w:w="3434" w:type="dxa"/>
            <w:gridSpan w:val="2"/>
            <w:tcBorders>
              <w:tl2br w:val="nil"/>
              <w:tr2bl w:val="nil"/>
            </w:tcBorders>
            <w:shd w:val="clear" w:color="auto" w:fill="auto"/>
            <w:vAlign w:val="center"/>
          </w:tcPr>
          <w:p>
            <w:pPr>
              <w:spacing w:line="240" w:lineRule="auto"/>
              <w:jc w:val="center"/>
              <w:rPr>
                <w:sz w:val="21"/>
                <w:szCs w:val="21"/>
              </w:rPr>
            </w:pPr>
            <w:r>
              <w:rPr>
                <w:rFonts w:hint="eastAsia"/>
                <w:sz w:val="21"/>
                <w:szCs w:val="21"/>
              </w:rPr>
              <w:t>1</w:t>
            </w:r>
            <w:r>
              <w:rPr>
                <w:sz w:val="21"/>
                <w:szCs w:val="21"/>
              </w:rPr>
              <w:t>3.68</w:t>
            </w:r>
            <w:r>
              <w:rPr>
                <w:rFonts w:hint="eastAsia"/>
                <w:sz w:val="21"/>
                <w:szCs w:val="21"/>
              </w:rPr>
              <w:t>t</w:t>
            </w:r>
            <w:r>
              <w:rPr>
                <w:sz w:val="21"/>
                <w:szCs w:val="21"/>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母猪分娩物</w:t>
            </w:r>
          </w:p>
        </w:tc>
        <w:tc>
          <w:tcPr>
            <w:tcW w:w="1453" w:type="dxa"/>
            <w:vAlign w:val="center"/>
          </w:tcPr>
          <w:p>
            <w:pPr>
              <w:spacing w:line="240" w:lineRule="auto"/>
              <w:jc w:val="center"/>
              <w:rPr>
                <w:sz w:val="21"/>
                <w:szCs w:val="21"/>
              </w:rPr>
            </w:pPr>
            <w:r>
              <w:rPr>
                <w:rFonts w:hint="eastAsia"/>
                <w:sz w:val="21"/>
                <w:szCs w:val="21"/>
              </w:rPr>
              <w:t>/</w:t>
            </w:r>
          </w:p>
        </w:tc>
        <w:tc>
          <w:tcPr>
            <w:tcW w:w="1173" w:type="dxa"/>
            <w:vAlign w:val="center"/>
          </w:tcPr>
          <w:p>
            <w:pPr>
              <w:spacing w:line="240" w:lineRule="auto"/>
              <w:jc w:val="center"/>
              <w:rPr>
                <w:sz w:val="21"/>
                <w:szCs w:val="21"/>
              </w:rPr>
            </w:pPr>
            <w:r>
              <w:rPr>
                <w:sz w:val="21"/>
                <w:szCs w:val="21"/>
              </w:rPr>
              <w:t>81</w:t>
            </w:r>
            <w:r>
              <w:rPr>
                <w:rFonts w:hint="eastAsia"/>
                <w:sz w:val="21"/>
                <w:szCs w:val="21"/>
              </w:rPr>
              <w:t>t/a</w:t>
            </w:r>
          </w:p>
        </w:tc>
        <w:tc>
          <w:tcPr>
            <w:tcW w:w="5278" w:type="dxa"/>
            <w:vMerge w:val="continue"/>
            <w:vAlign w:val="center"/>
          </w:tcPr>
          <w:p>
            <w:pPr>
              <w:spacing w:line="240" w:lineRule="auto"/>
              <w:jc w:val="center"/>
              <w:rPr>
                <w:sz w:val="21"/>
                <w:szCs w:val="21"/>
              </w:rPr>
            </w:pPr>
          </w:p>
        </w:tc>
        <w:tc>
          <w:tcPr>
            <w:tcW w:w="3434" w:type="dxa"/>
            <w:gridSpan w:val="2"/>
            <w:tcBorders>
              <w:tl2br w:val="nil"/>
              <w:tr2bl w:val="nil"/>
            </w:tcBorders>
            <w:shd w:val="clear" w:color="auto" w:fill="auto"/>
            <w:vAlign w:val="center"/>
          </w:tcPr>
          <w:p>
            <w:pPr>
              <w:spacing w:line="240" w:lineRule="auto"/>
              <w:jc w:val="center"/>
              <w:rPr>
                <w:sz w:val="21"/>
                <w:szCs w:val="21"/>
              </w:rPr>
            </w:pPr>
            <w:r>
              <w:rPr>
                <w:sz w:val="21"/>
                <w:szCs w:val="21"/>
              </w:rPr>
              <w:t>97.2</w:t>
            </w:r>
            <w:r>
              <w:rPr>
                <w:rFonts w:hint="eastAsia"/>
                <w:sz w:val="21"/>
                <w:szCs w:val="21"/>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淘汰种猪</w:t>
            </w:r>
          </w:p>
        </w:tc>
        <w:tc>
          <w:tcPr>
            <w:tcW w:w="1453" w:type="dxa"/>
            <w:vAlign w:val="center"/>
          </w:tcPr>
          <w:p>
            <w:pPr>
              <w:spacing w:line="240" w:lineRule="auto"/>
              <w:jc w:val="center"/>
              <w:rPr>
                <w:sz w:val="21"/>
                <w:szCs w:val="21"/>
              </w:rPr>
            </w:pPr>
            <w:r>
              <w:rPr>
                <w:sz w:val="21"/>
                <w:szCs w:val="21"/>
              </w:rPr>
              <w:t>/</w:t>
            </w:r>
          </w:p>
        </w:tc>
        <w:tc>
          <w:tcPr>
            <w:tcW w:w="1173" w:type="dxa"/>
            <w:vAlign w:val="center"/>
          </w:tcPr>
          <w:p>
            <w:pPr>
              <w:spacing w:line="240" w:lineRule="auto"/>
              <w:jc w:val="center"/>
              <w:rPr>
                <w:sz w:val="21"/>
                <w:szCs w:val="21"/>
              </w:rPr>
            </w:pPr>
            <w:r>
              <w:rPr>
                <w:sz w:val="21"/>
                <w:szCs w:val="21"/>
              </w:rPr>
              <w:t>750头/a</w:t>
            </w:r>
          </w:p>
        </w:tc>
        <w:tc>
          <w:tcPr>
            <w:tcW w:w="5278" w:type="dxa"/>
            <w:vAlign w:val="center"/>
          </w:tcPr>
          <w:p>
            <w:pPr>
              <w:spacing w:line="240" w:lineRule="auto"/>
              <w:jc w:val="center"/>
              <w:rPr>
                <w:sz w:val="21"/>
                <w:szCs w:val="21"/>
              </w:rPr>
            </w:pPr>
            <w:r>
              <w:rPr>
                <w:sz w:val="21"/>
                <w:szCs w:val="21"/>
              </w:rPr>
              <w:t>交由当地农户饲养</w:t>
            </w:r>
          </w:p>
        </w:tc>
        <w:tc>
          <w:tcPr>
            <w:tcW w:w="3434" w:type="dxa"/>
            <w:gridSpan w:val="2"/>
            <w:tcBorders>
              <w:tl2br w:val="nil"/>
              <w:tr2bl w:val="nil"/>
            </w:tcBorders>
            <w:shd w:val="clear" w:color="auto" w:fill="auto"/>
            <w:vAlign w:val="center"/>
          </w:tcPr>
          <w:p>
            <w:pPr>
              <w:spacing w:line="240" w:lineRule="auto"/>
              <w:jc w:val="center"/>
              <w:rPr>
                <w:sz w:val="21"/>
                <w:szCs w:val="21"/>
              </w:rPr>
            </w:pPr>
            <w:r>
              <w:rPr>
                <w:sz w:val="21"/>
                <w:szCs w:val="21"/>
              </w:rPr>
              <w:t>0头/a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生活垃圾</w:t>
            </w:r>
          </w:p>
        </w:tc>
        <w:tc>
          <w:tcPr>
            <w:tcW w:w="1453" w:type="dxa"/>
            <w:vAlign w:val="center"/>
          </w:tcPr>
          <w:p>
            <w:pPr>
              <w:spacing w:line="240" w:lineRule="auto"/>
              <w:jc w:val="center"/>
              <w:rPr>
                <w:sz w:val="21"/>
                <w:szCs w:val="21"/>
              </w:rPr>
            </w:pPr>
            <w:r>
              <w:rPr>
                <w:sz w:val="21"/>
                <w:szCs w:val="21"/>
              </w:rPr>
              <w:t>20</w:t>
            </w:r>
            <w:r>
              <w:rPr>
                <w:rFonts w:hint="eastAsia"/>
                <w:sz w:val="21"/>
                <w:szCs w:val="21"/>
              </w:rPr>
              <w:t>kg/d</w:t>
            </w:r>
          </w:p>
        </w:tc>
        <w:tc>
          <w:tcPr>
            <w:tcW w:w="1173" w:type="dxa"/>
            <w:vAlign w:val="center"/>
          </w:tcPr>
          <w:p>
            <w:pPr>
              <w:spacing w:line="240" w:lineRule="auto"/>
              <w:jc w:val="center"/>
              <w:rPr>
                <w:sz w:val="21"/>
                <w:szCs w:val="21"/>
              </w:rPr>
            </w:pPr>
            <w:r>
              <w:rPr>
                <w:sz w:val="21"/>
                <w:szCs w:val="21"/>
              </w:rPr>
              <w:t>7.3t/a</w:t>
            </w:r>
          </w:p>
        </w:tc>
        <w:tc>
          <w:tcPr>
            <w:tcW w:w="5278" w:type="dxa"/>
            <w:vAlign w:val="center"/>
          </w:tcPr>
          <w:p>
            <w:pPr>
              <w:spacing w:line="240" w:lineRule="auto"/>
              <w:jc w:val="center"/>
              <w:rPr>
                <w:sz w:val="21"/>
                <w:szCs w:val="21"/>
              </w:rPr>
            </w:pPr>
            <w:r>
              <w:rPr>
                <w:sz w:val="21"/>
                <w:szCs w:val="21"/>
              </w:rPr>
              <w:t>送至当地生活垃圾处理场集中处理</w:t>
            </w:r>
          </w:p>
        </w:tc>
        <w:tc>
          <w:tcPr>
            <w:tcW w:w="3434" w:type="dxa"/>
            <w:gridSpan w:val="2"/>
            <w:tcBorders>
              <w:tl2br w:val="nil"/>
              <w:tr2bl w:val="nil"/>
            </w:tcBorders>
            <w:shd w:val="clear" w:color="auto" w:fill="auto"/>
            <w:vAlign w:val="center"/>
          </w:tcPr>
          <w:p>
            <w:pPr>
              <w:spacing w:line="240" w:lineRule="auto"/>
              <w:jc w:val="center"/>
              <w:rPr>
                <w:sz w:val="21"/>
                <w:szCs w:val="21"/>
              </w:rPr>
            </w:pPr>
            <w:r>
              <w:rPr>
                <w:sz w:val="21"/>
                <w:szCs w:val="21"/>
              </w:rPr>
              <w:t>12.05t/a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3" w:hRule="atLeast"/>
          <w:jc w:val="center"/>
        </w:trPr>
        <w:tc>
          <w:tcPr>
            <w:tcW w:w="733" w:type="dxa"/>
            <w:vMerge w:val="continue"/>
            <w:tcBorders>
              <w:tl2br w:val="nil"/>
              <w:tr2bl w:val="nil"/>
            </w:tcBorders>
            <w:shd w:val="clear" w:color="auto" w:fill="auto"/>
            <w:vAlign w:val="center"/>
          </w:tcPr>
          <w:p>
            <w:pPr>
              <w:spacing w:line="240" w:lineRule="auto"/>
              <w:jc w:val="center"/>
              <w:rPr>
                <w:sz w:val="21"/>
                <w:szCs w:val="21"/>
              </w:rPr>
            </w:pPr>
          </w:p>
        </w:tc>
        <w:tc>
          <w:tcPr>
            <w:tcW w:w="2102" w:type="dxa"/>
            <w:gridSpan w:val="2"/>
            <w:tcBorders>
              <w:tl2br w:val="nil"/>
              <w:tr2bl w:val="nil"/>
            </w:tcBorders>
            <w:shd w:val="clear" w:color="auto" w:fill="auto"/>
            <w:vAlign w:val="center"/>
          </w:tcPr>
          <w:p>
            <w:pPr>
              <w:spacing w:line="240" w:lineRule="auto"/>
              <w:jc w:val="center"/>
              <w:rPr>
                <w:sz w:val="21"/>
                <w:szCs w:val="21"/>
              </w:rPr>
            </w:pPr>
            <w:r>
              <w:rPr>
                <w:sz w:val="21"/>
                <w:szCs w:val="21"/>
              </w:rPr>
              <w:t>医疗废物</w:t>
            </w:r>
          </w:p>
        </w:tc>
        <w:tc>
          <w:tcPr>
            <w:tcW w:w="1453" w:type="dxa"/>
            <w:vAlign w:val="center"/>
          </w:tcPr>
          <w:p>
            <w:pPr>
              <w:spacing w:line="240" w:lineRule="auto"/>
              <w:jc w:val="center"/>
              <w:rPr>
                <w:sz w:val="21"/>
                <w:szCs w:val="21"/>
              </w:rPr>
            </w:pPr>
            <w:r>
              <w:rPr>
                <w:sz w:val="21"/>
                <w:szCs w:val="21"/>
              </w:rPr>
              <w:t>12.43kg/d</w:t>
            </w:r>
          </w:p>
        </w:tc>
        <w:tc>
          <w:tcPr>
            <w:tcW w:w="1173" w:type="dxa"/>
            <w:vAlign w:val="center"/>
          </w:tcPr>
          <w:p>
            <w:pPr>
              <w:spacing w:line="240" w:lineRule="auto"/>
              <w:jc w:val="center"/>
              <w:rPr>
                <w:sz w:val="21"/>
                <w:szCs w:val="21"/>
              </w:rPr>
            </w:pPr>
            <w:r>
              <w:rPr>
                <w:sz w:val="21"/>
                <w:szCs w:val="21"/>
              </w:rPr>
              <w:t>4.54t/a</w:t>
            </w:r>
          </w:p>
        </w:tc>
        <w:tc>
          <w:tcPr>
            <w:tcW w:w="5278" w:type="dxa"/>
            <w:vAlign w:val="center"/>
          </w:tcPr>
          <w:p>
            <w:pPr>
              <w:spacing w:line="240" w:lineRule="auto"/>
              <w:jc w:val="center"/>
              <w:rPr>
                <w:sz w:val="21"/>
                <w:szCs w:val="21"/>
              </w:rPr>
            </w:pPr>
            <w:r>
              <w:rPr>
                <w:sz w:val="21"/>
                <w:szCs w:val="21"/>
              </w:rPr>
              <w:t>交由资质单位处理</w:t>
            </w:r>
          </w:p>
        </w:tc>
        <w:tc>
          <w:tcPr>
            <w:tcW w:w="3434" w:type="dxa"/>
            <w:gridSpan w:val="2"/>
            <w:tcBorders>
              <w:tl2br w:val="nil"/>
              <w:tr2bl w:val="nil"/>
            </w:tcBorders>
            <w:shd w:val="clear" w:color="auto" w:fill="auto"/>
            <w:vAlign w:val="center"/>
          </w:tcPr>
          <w:p>
            <w:pPr>
              <w:spacing w:line="240" w:lineRule="auto"/>
              <w:jc w:val="center"/>
              <w:rPr>
                <w:sz w:val="21"/>
                <w:szCs w:val="21"/>
              </w:rPr>
            </w:pPr>
            <w:r>
              <w:rPr>
                <w:sz w:val="21"/>
                <w:szCs w:val="21"/>
              </w:rPr>
              <w:t>5.44t/a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65" w:hRule="atLeast"/>
          <w:jc w:val="center"/>
        </w:trPr>
        <w:tc>
          <w:tcPr>
            <w:tcW w:w="733" w:type="dxa"/>
            <w:tcBorders>
              <w:tl2br w:val="nil"/>
              <w:tr2bl w:val="nil"/>
            </w:tcBorders>
            <w:shd w:val="clear" w:color="auto" w:fill="auto"/>
            <w:vAlign w:val="center"/>
          </w:tcPr>
          <w:p>
            <w:pPr>
              <w:spacing w:line="240" w:lineRule="auto"/>
              <w:jc w:val="center"/>
              <w:rPr>
                <w:sz w:val="21"/>
                <w:szCs w:val="21"/>
              </w:rPr>
            </w:pPr>
            <w:r>
              <w:rPr>
                <w:sz w:val="21"/>
                <w:szCs w:val="21"/>
              </w:rPr>
              <w:t>噪声</w:t>
            </w:r>
          </w:p>
        </w:tc>
        <w:tc>
          <w:tcPr>
            <w:tcW w:w="2102" w:type="dxa"/>
            <w:gridSpan w:val="2"/>
            <w:tcBorders>
              <w:tl2br w:val="nil"/>
              <w:tr2bl w:val="nil"/>
            </w:tcBorders>
            <w:shd w:val="clear" w:color="auto" w:fill="auto"/>
            <w:vAlign w:val="center"/>
          </w:tcPr>
          <w:p>
            <w:pPr>
              <w:spacing w:line="240" w:lineRule="auto"/>
              <w:jc w:val="center"/>
              <w:rPr>
                <w:sz w:val="21"/>
                <w:szCs w:val="21"/>
              </w:rPr>
            </w:pPr>
            <w:bookmarkStart w:id="592" w:name="RANGE!O55"/>
            <w:r>
              <w:rPr>
                <w:sz w:val="21"/>
                <w:szCs w:val="21"/>
              </w:rPr>
              <w:t>猪只叫声、</w:t>
            </w:r>
            <w:bookmarkEnd w:id="592"/>
            <w:r>
              <w:rPr>
                <w:rFonts w:hint="eastAsia"/>
                <w:sz w:val="21"/>
                <w:szCs w:val="21"/>
              </w:rPr>
              <w:t>设备噪声</w:t>
            </w:r>
            <w:r>
              <w:rPr>
                <w:sz w:val="21"/>
                <w:szCs w:val="21"/>
              </w:rPr>
              <w:t>等</w:t>
            </w:r>
          </w:p>
        </w:tc>
        <w:tc>
          <w:tcPr>
            <w:tcW w:w="2626" w:type="dxa"/>
            <w:gridSpan w:val="2"/>
            <w:tcBorders>
              <w:tl2br w:val="nil"/>
              <w:tr2bl w:val="nil"/>
            </w:tcBorders>
            <w:shd w:val="clear" w:color="auto" w:fill="auto"/>
            <w:vAlign w:val="center"/>
          </w:tcPr>
          <w:p>
            <w:pPr>
              <w:spacing w:line="240" w:lineRule="auto"/>
              <w:jc w:val="center"/>
              <w:rPr>
                <w:sz w:val="21"/>
                <w:szCs w:val="21"/>
              </w:rPr>
            </w:pPr>
            <w:r>
              <w:rPr>
                <w:sz w:val="21"/>
                <w:szCs w:val="21"/>
              </w:rPr>
              <w:t>70-90dB（A）</w:t>
            </w:r>
          </w:p>
        </w:tc>
        <w:tc>
          <w:tcPr>
            <w:tcW w:w="8712" w:type="dxa"/>
            <w:gridSpan w:val="3"/>
            <w:tcBorders>
              <w:tl2br w:val="nil"/>
              <w:tr2bl w:val="nil"/>
            </w:tcBorders>
            <w:shd w:val="clear" w:color="auto" w:fill="auto"/>
            <w:vAlign w:val="center"/>
          </w:tcPr>
          <w:p>
            <w:pPr>
              <w:spacing w:line="240" w:lineRule="auto"/>
              <w:jc w:val="center"/>
              <w:rPr>
                <w:sz w:val="21"/>
                <w:szCs w:val="21"/>
              </w:rPr>
            </w:pPr>
            <w:r>
              <w:rPr>
                <w:sz w:val="21"/>
                <w:szCs w:val="21"/>
              </w:rPr>
              <w:t>修建围墙、加强绿化</w:t>
            </w:r>
          </w:p>
        </w:tc>
      </w:tr>
    </w:tbl>
    <w:p>
      <w:pPr>
        <w:rPr>
          <w:rFonts w:eastAsia="黑体"/>
          <w:sz w:val="21"/>
          <w:szCs w:val="21"/>
        </w:rPr>
      </w:pPr>
      <w:r>
        <w:rPr>
          <w:rFonts w:eastAsia="黑体"/>
          <w:sz w:val="21"/>
          <w:szCs w:val="21"/>
        </w:rPr>
        <w:t>注：括号中为生活污水浓度；*处单位为m</w:t>
      </w:r>
      <w:r>
        <w:rPr>
          <w:rFonts w:eastAsia="黑体"/>
          <w:sz w:val="21"/>
          <w:szCs w:val="21"/>
          <w:vertAlign w:val="superscript"/>
        </w:rPr>
        <w:t>3</w:t>
      </w:r>
      <w:r>
        <w:rPr>
          <w:rFonts w:eastAsia="黑体"/>
          <w:sz w:val="21"/>
          <w:szCs w:val="21"/>
        </w:rPr>
        <w:t>/a。</w:t>
      </w:r>
    </w:p>
    <w:p>
      <w:pPr>
        <w:pStyle w:val="588"/>
        <w:keepNext/>
        <w:keepLines/>
        <w:widowControl w:val="0"/>
        <w:numPr>
          <w:ilvl w:val="0"/>
          <w:numId w:val="80"/>
        </w:numPr>
        <w:adjustRightInd w:val="0"/>
        <w:spacing w:before="120" w:after="60" w:line="360" w:lineRule="auto"/>
        <w:textAlignment w:val="baseline"/>
        <w:rPr>
          <w:rFonts w:eastAsia="黑体"/>
          <w:sz w:val="21"/>
          <w:szCs w:val="21"/>
        </w:rPr>
        <w:sectPr>
          <w:pgSz w:w="16840" w:h="11907" w:orient="landscape"/>
          <w:pgMar w:top="1588" w:right="1440" w:bottom="1588" w:left="1440" w:header="851" w:footer="851" w:gutter="0"/>
          <w:cols w:space="720" w:num="1"/>
          <w:docGrid w:linePitch="286" w:charSpace="0"/>
        </w:sectPr>
      </w:pPr>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593" w:name="_Toc423336697"/>
      <w:bookmarkStart w:id="594" w:name="_Toc457480976"/>
      <w:bookmarkStart w:id="595" w:name="_Toc29110581"/>
      <w:r>
        <w:rPr>
          <w:rFonts w:ascii="Times New Roman" w:hAnsi="Times New Roman" w:eastAsia="黑体" w:cs="Times New Roman"/>
          <w:b w:val="0"/>
          <w:bCs/>
          <w:kern w:val="44"/>
          <w:sz w:val="36"/>
        </w:rPr>
        <w:t>建设项目环境概况</w:t>
      </w:r>
      <w:bookmarkEnd w:id="593"/>
      <w:bookmarkEnd w:id="594"/>
      <w:bookmarkEnd w:id="595"/>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596" w:name="_Toc29110582"/>
      <w:bookmarkStart w:id="597" w:name="_Toc457480977"/>
      <w:bookmarkStart w:id="598" w:name="_Toc218996238"/>
      <w:bookmarkStart w:id="599" w:name="_Toc423336698"/>
      <w:r>
        <w:rPr>
          <w:rFonts w:ascii="Times New Roman" w:hAnsi="Times New Roman" w:eastAsia="黑体" w:cs="Times New Roman"/>
          <w:b w:val="0"/>
          <w:bCs/>
          <w:spacing w:val="4"/>
          <w:kern w:val="2"/>
          <w:sz w:val="32"/>
          <w:szCs w:val="32"/>
        </w:rPr>
        <w:t>5.1 自然环境</w:t>
      </w:r>
      <w:bookmarkEnd w:id="596"/>
      <w:bookmarkEnd w:id="597"/>
      <w:bookmarkEnd w:id="598"/>
      <w:bookmarkEnd w:id="599"/>
    </w:p>
    <w:p>
      <w:pPr>
        <w:spacing w:before="240" w:after="60"/>
        <w:jc w:val="left"/>
        <w:outlineLvl w:val="2"/>
        <w:rPr>
          <w:rFonts w:eastAsia="黑体"/>
          <w:bCs/>
          <w:sz w:val="28"/>
          <w:szCs w:val="28"/>
        </w:rPr>
      </w:pPr>
      <w:bookmarkStart w:id="600" w:name="_Toc423336699"/>
      <w:bookmarkStart w:id="601" w:name="_Toc457480978"/>
      <w:bookmarkStart w:id="602" w:name="_Toc218996239"/>
      <w:r>
        <w:rPr>
          <w:rFonts w:hint="eastAsia" w:eastAsia="黑体"/>
          <w:bCs/>
          <w:sz w:val="28"/>
          <w:szCs w:val="28"/>
        </w:rPr>
        <w:t>5</w:t>
      </w:r>
      <w:r>
        <w:rPr>
          <w:rFonts w:eastAsia="黑体"/>
          <w:bCs/>
          <w:sz w:val="28"/>
          <w:szCs w:val="28"/>
        </w:rPr>
        <w:t>.1.1地理位置</w:t>
      </w:r>
      <w:bookmarkEnd w:id="600"/>
      <w:bookmarkEnd w:id="601"/>
      <w:bookmarkEnd w:id="602"/>
    </w:p>
    <w:p>
      <w:pPr>
        <w:pStyle w:val="320"/>
        <w:snapToGrid w:val="0"/>
        <w:spacing w:line="360" w:lineRule="auto"/>
        <w:ind w:firstLine="480"/>
        <w:rPr>
          <w:rFonts w:ascii="Times New Roman" w:hAnsi="Times New Roman"/>
        </w:rPr>
      </w:pPr>
      <w:bookmarkStart w:id="603" w:name="_Toc423336700"/>
      <w:bookmarkStart w:id="604" w:name="_Toc218996240"/>
      <w:bookmarkStart w:id="605" w:name="_Toc457480979"/>
      <w:r>
        <w:rPr>
          <w:rFonts w:hint="eastAsia" w:ascii="Times New Roman" w:hAnsi="Times New Roman"/>
        </w:rPr>
        <w:t>井研县</w:t>
      </w:r>
      <w:r>
        <w:rPr>
          <w:rFonts w:ascii="Times New Roman" w:hAnsi="Times New Roman"/>
        </w:rPr>
        <w:t>隶属四川省乐山市，位于四川</w:t>
      </w:r>
      <w:r>
        <w:rPr>
          <w:rFonts w:hint="eastAsia" w:ascii="Times New Roman" w:hAnsi="Times New Roman"/>
        </w:rPr>
        <w:t>盆地</w:t>
      </w:r>
      <w:r>
        <w:rPr>
          <w:rFonts w:ascii="Times New Roman" w:hAnsi="Times New Roman"/>
        </w:rPr>
        <w:t>西南部，是乐山市东部门户，与仁寿、青</w:t>
      </w:r>
      <w:r>
        <w:rPr>
          <w:rFonts w:hint="eastAsia" w:ascii="Times New Roman" w:hAnsi="Times New Roman"/>
        </w:rPr>
        <w:t>神</w:t>
      </w:r>
      <w:r>
        <w:rPr>
          <w:rFonts w:ascii="Times New Roman" w:hAnsi="Times New Roman"/>
        </w:rPr>
        <w:t>、荣县、犍为、五通桥、市中区等地接壤，</w:t>
      </w:r>
      <w:r>
        <w:rPr>
          <w:rFonts w:hint="eastAsia" w:ascii="Times New Roman" w:hAnsi="Times New Roman"/>
        </w:rPr>
        <w:t>辖27个</w:t>
      </w:r>
      <w:r>
        <w:rPr>
          <w:rFonts w:ascii="Times New Roman" w:hAnsi="Times New Roman"/>
        </w:rPr>
        <w:t>乡镇</w:t>
      </w:r>
      <w:r>
        <w:rPr>
          <w:rFonts w:hint="eastAsia" w:ascii="Times New Roman" w:hAnsi="Times New Roman"/>
        </w:rPr>
        <w:t>。</w:t>
      </w:r>
      <w:r>
        <w:rPr>
          <w:rFonts w:ascii="Times New Roman" w:hAnsi="Times New Roman"/>
        </w:rPr>
        <w:t>全县幅员面积</w:t>
      </w:r>
      <w:r>
        <w:rPr>
          <w:rFonts w:hint="eastAsia" w:ascii="Times New Roman" w:hAnsi="Times New Roman"/>
        </w:rPr>
        <w:t>840.53平方</w:t>
      </w:r>
      <w:r>
        <w:rPr>
          <w:rFonts w:ascii="Times New Roman" w:hAnsi="Times New Roman"/>
        </w:rPr>
        <w:t>公里，自公元</w:t>
      </w:r>
      <w:r>
        <w:rPr>
          <w:rFonts w:hint="eastAsia" w:ascii="Times New Roman" w:hAnsi="Times New Roman"/>
        </w:rPr>
        <w:t>553年</w:t>
      </w:r>
      <w:r>
        <w:rPr>
          <w:rFonts w:ascii="Times New Roman" w:hAnsi="Times New Roman"/>
        </w:rPr>
        <w:t>置县。</w:t>
      </w:r>
    </w:p>
    <w:p>
      <w:pPr>
        <w:pStyle w:val="320"/>
        <w:snapToGrid w:val="0"/>
        <w:spacing w:line="360" w:lineRule="auto"/>
        <w:ind w:firstLine="480"/>
        <w:rPr>
          <w:rFonts w:ascii="Times New Roman" w:hAnsi="Times New Roman"/>
        </w:rPr>
      </w:pPr>
      <w:r>
        <w:rPr>
          <w:rFonts w:hint="eastAsia" w:ascii="Times New Roman" w:hAnsi="Times New Roman"/>
        </w:rPr>
        <w:t>井研县</w:t>
      </w:r>
      <w:r>
        <w:rPr>
          <w:rFonts w:ascii="Times New Roman" w:hAnsi="Times New Roman"/>
        </w:rPr>
        <w:t>境位于</w:t>
      </w:r>
      <w:r>
        <w:rPr>
          <w:rFonts w:hint="eastAsia" w:ascii="Times New Roman" w:hAnsi="Times New Roman"/>
        </w:rPr>
        <w:t>东经102°55′至104°00′，北纬28°25′至29°55′之间。县城北距成都市142千米，西至乐山市37千米，东南至自贡市118千米。</w:t>
      </w:r>
    </w:p>
    <w:p>
      <w:pPr>
        <w:pStyle w:val="320"/>
        <w:snapToGrid w:val="0"/>
        <w:spacing w:line="360" w:lineRule="auto"/>
        <w:ind w:firstLine="480"/>
        <w:rPr>
          <w:rFonts w:ascii="Times New Roman" w:hAnsi="Times New Roman"/>
        </w:rPr>
      </w:pPr>
      <w:r>
        <w:rPr>
          <w:rFonts w:hint="eastAsia" w:ascii="Times New Roman" w:hAnsi="Times New Roman"/>
        </w:rPr>
        <w:t>本项目</w:t>
      </w:r>
      <w:r>
        <w:rPr>
          <w:rFonts w:ascii="Times New Roman" w:hAnsi="Times New Roman"/>
        </w:rPr>
        <w:t>位于四川省乐山市井研县高凤乡星星亮村3</w:t>
      </w:r>
      <w:r>
        <w:rPr>
          <w:rFonts w:hint="eastAsia" w:ascii="Times New Roman" w:hAnsi="Times New Roman"/>
        </w:rPr>
        <w:t>、6、9组</w:t>
      </w:r>
      <w:r>
        <w:rPr>
          <w:rFonts w:ascii="Times New Roman" w:hAnsi="Times New Roman"/>
        </w:rPr>
        <w:t>，中心地理坐标为</w:t>
      </w:r>
      <w:r>
        <w:rPr>
          <w:rFonts w:hint="eastAsia" w:ascii="Times New Roman" w:hAnsi="Times New Roman"/>
        </w:rPr>
        <w:t>东经104.</w:t>
      </w:r>
      <w:r>
        <w:rPr>
          <w:rFonts w:ascii="Times New Roman" w:hAnsi="Times New Roman"/>
        </w:rPr>
        <w:t>2146</w:t>
      </w:r>
      <w:r>
        <w:rPr>
          <w:rFonts w:hint="eastAsia" w:ascii="Times New Roman" w:hAnsi="Times New Roman"/>
        </w:rPr>
        <w:t>°，北纬29.</w:t>
      </w:r>
      <w:r>
        <w:rPr>
          <w:rFonts w:ascii="Times New Roman" w:hAnsi="Times New Roman"/>
        </w:rPr>
        <w:t>6491</w:t>
      </w:r>
      <w:r>
        <w:rPr>
          <w:rFonts w:hint="eastAsia" w:ascii="Times New Roman" w:hAnsi="Times New Roman"/>
        </w:rPr>
        <w:t>°，地理位置详见附图1。</w:t>
      </w:r>
    </w:p>
    <w:p>
      <w:pPr>
        <w:spacing w:before="240" w:after="60"/>
        <w:jc w:val="left"/>
        <w:outlineLvl w:val="2"/>
        <w:rPr>
          <w:rFonts w:eastAsia="黑体"/>
          <w:bCs/>
          <w:sz w:val="28"/>
          <w:szCs w:val="28"/>
        </w:rPr>
      </w:pPr>
      <w:r>
        <w:rPr>
          <w:rFonts w:hint="eastAsia" w:eastAsia="黑体"/>
          <w:bCs/>
          <w:sz w:val="28"/>
          <w:szCs w:val="28"/>
        </w:rPr>
        <w:t>5</w:t>
      </w:r>
      <w:r>
        <w:rPr>
          <w:rFonts w:eastAsia="黑体"/>
          <w:bCs/>
          <w:sz w:val="28"/>
          <w:szCs w:val="28"/>
        </w:rPr>
        <w:t>.1.2地形、地质、地貌</w:t>
      </w:r>
      <w:bookmarkEnd w:id="603"/>
      <w:bookmarkEnd w:id="604"/>
      <w:bookmarkEnd w:id="605"/>
      <w:bookmarkStart w:id="606" w:name="_Toc218996241"/>
    </w:p>
    <w:bookmarkEnd w:id="606"/>
    <w:p>
      <w:pPr>
        <w:pStyle w:val="320"/>
        <w:snapToGrid w:val="0"/>
        <w:ind w:firstLine="480"/>
        <w:rPr>
          <w:rFonts w:ascii="Times New Roman" w:hAnsi="Times New Roman"/>
        </w:rPr>
      </w:pPr>
      <w:r>
        <w:rPr>
          <w:rFonts w:hint="eastAsia" w:ascii="Times New Roman" w:hAnsi="Times New Roman"/>
        </w:rPr>
        <w:t>井研县地势低矮，海拔高程在380m－450m之间；丘陵广布，溪沟纵横。茫溪河流域多浅丘，西北部和东部边缘多深丘，丘陵地表组成物质较单一，主要是中生代红层，软硬相间的紫红色砂泥岩，另有少量石灰岩。按形态分为4类：</w:t>
      </w:r>
    </w:p>
    <w:p>
      <w:pPr>
        <w:pStyle w:val="320"/>
        <w:snapToGrid w:val="0"/>
        <w:ind w:firstLine="480"/>
        <w:rPr>
          <w:rFonts w:ascii="Times New Roman" w:hAnsi="Times New Roman"/>
        </w:rPr>
      </w:pPr>
      <w:r>
        <w:rPr>
          <w:rFonts w:hint="eastAsia" w:ascii="Times New Roman" w:hAnsi="Times New Roman"/>
        </w:rPr>
        <w:t>深丘和低山：境内西北部，包括天云、镇阳、乌抛全部和石马、周坡、分全乡的一部分，面积135km2，占井研县幅员面积15.7%，一般海拔450－650m。境内有龙泉山余脉，铁山支脉。</w:t>
      </w:r>
    </w:p>
    <w:p>
      <w:pPr>
        <w:pStyle w:val="320"/>
        <w:snapToGrid w:val="0"/>
        <w:ind w:firstLine="480"/>
        <w:rPr>
          <w:rFonts w:ascii="Times New Roman" w:hAnsi="Times New Roman"/>
        </w:rPr>
      </w:pPr>
      <w:r>
        <w:rPr>
          <w:rFonts w:hint="eastAsia" w:ascii="Times New Roman" w:hAnsi="Times New Roman"/>
        </w:rPr>
        <w:t>中丘：范围有黄钵、胜泉、门坎、东林乡全部和金峰、集益等，面积338km2，占幅员面积39.3%。</w:t>
      </w:r>
    </w:p>
    <w:p>
      <w:pPr>
        <w:pStyle w:val="320"/>
        <w:snapToGrid w:val="0"/>
        <w:ind w:firstLine="480"/>
        <w:rPr>
          <w:rFonts w:ascii="Times New Roman" w:hAnsi="Times New Roman"/>
        </w:rPr>
      </w:pPr>
      <w:r>
        <w:rPr>
          <w:rFonts w:hint="eastAsia" w:ascii="Times New Roman" w:hAnsi="Times New Roman"/>
        </w:rPr>
        <w:t>浅丘：分布在研城、马踏、竹园、研经等靠近茫溪河两岸的大部分乡村，面积371.15km</w:t>
      </w:r>
      <w:r>
        <w:rPr>
          <w:rFonts w:hint="eastAsia" w:ascii="Times New Roman" w:hAnsi="Times New Roman"/>
          <w:vertAlign w:val="superscript"/>
        </w:rPr>
        <w:t>2</w:t>
      </w:r>
      <w:r>
        <w:rPr>
          <w:rFonts w:hint="eastAsia" w:ascii="Times New Roman" w:hAnsi="Times New Roman"/>
        </w:rPr>
        <w:t>，占幅员面积43.1%。</w:t>
      </w:r>
    </w:p>
    <w:p>
      <w:pPr>
        <w:pStyle w:val="320"/>
        <w:snapToGrid w:val="0"/>
        <w:ind w:firstLine="480"/>
        <w:rPr>
          <w:rFonts w:ascii="Times New Roman" w:hAnsi="Times New Roman"/>
        </w:rPr>
      </w:pPr>
      <w:r>
        <w:rPr>
          <w:rFonts w:hint="eastAsia" w:ascii="Times New Roman" w:hAnsi="Times New Roman"/>
        </w:rPr>
        <w:t>平坝：主要分布在茫溪河及其支流的两岸，面积约15km2，占幅员面积1.78%；海拔在365m以下；相对高程7－10m；坝宽100－300m。</w:t>
      </w:r>
    </w:p>
    <w:p>
      <w:pPr>
        <w:pStyle w:val="320"/>
        <w:snapToGrid w:val="0"/>
        <w:spacing w:line="360" w:lineRule="auto"/>
        <w:ind w:firstLine="480"/>
        <w:rPr>
          <w:rFonts w:ascii="Times New Roman" w:hAnsi="Times New Roman"/>
        </w:rPr>
      </w:pPr>
      <w:r>
        <w:rPr>
          <w:rFonts w:hint="eastAsia" w:ascii="Times New Roman" w:hAnsi="Times New Roman"/>
        </w:rPr>
        <w:t>井研县境区域地质构造属于杨子准地台西部之四川台坳，次一级构造为威远穹隆构造和龙 泉山褶皱断裂。出露的主要地层为中生界侏罗系、白垩系和新生界的第四系。侏罗系以砂 岩、长石石英砂岩与粘土岩互层出现，白垩系以砖红色砂岩为主，第四系以粘土和砂质粘 土为主。全区除少量含水岩层灰岩分布于东部外，余皆属于隔水岩层，地下水主要分布于 断裂带、破碎带岩石裂隙之中。</w:t>
      </w:r>
    </w:p>
    <w:p>
      <w:pPr>
        <w:spacing w:before="240" w:after="60"/>
        <w:jc w:val="left"/>
        <w:outlineLvl w:val="2"/>
        <w:rPr>
          <w:rFonts w:eastAsia="黑体"/>
          <w:bCs/>
          <w:sz w:val="28"/>
          <w:szCs w:val="28"/>
        </w:rPr>
      </w:pPr>
      <w:r>
        <w:rPr>
          <w:rFonts w:hint="eastAsia" w:eastAsia="黑体"/>
          <w:bCs/>
          <w:sz w:val="28"/>
          <w:szCs w:val="28"/>
        </w:rPr>
        <w:t>5</w:t>
      </w:r>
      <w:r>
        <w:rPr>
          <w:rFonts w:eastAsia="黑体"/>
          <w:bCs/>
          <w:sz w:val="28"/>
          <w:szCs w:val="28"/>
        </w:rPr>
        <w:t>.1.3气候特征</w:t>
      </w:r>
    </w:p>
    <w:p>
      <w:pPr>
        <w:pStyle w:val="320"/>
        <w:snapToGrid w:val="0"/>
        <w:ind w:firstLine="480"/>
        <w:rPr>
          <w:rFonts w:ascii="Times New Roman" w:hAnsi="Times New Roman"/>
        </w:rPr>
      </w:pPr>
      <w:bookmarkStart w:id="607" w:name="_Toc423336713"/>
      <w:bookmarkStart w:id="608" w:name="_Toc181979204"/>
      <w:bookmarkStart w:id="609" w:name="_Toc457480990"/>
      <w:bookmarkStart w:id="610" w:name="_Toc219718673"/>
      <w:bookmarkStart w:id="611" w:name="_Toc181979211"/>
      <w:r>
        <w:rPr>
          <w:rFonts w:hint="eastAsia" w:ascii="Times New Roman" w:hAnsi="Times New Roman"/>
        </w:rPr>
        <w:t>井研属四川盆地中亚热带湿润气候区，气候温暖湿润，雨势同季，雨量充沛，但分布不均，冬无严寒，夏无酷暑，日照稍缺，冷热四季分明，干湿两季分明。多年平均气温17.2℃，1月平均气温6.5℃，7月平均气温25.4℃，极端最高38.4℃（1972年），最低气温-4℃（1961年），年平均日照总数1134.6h，年平均降雨量1025.8mm，全年无霜期334d，深丘和浅丘地貌之间平均气温相差0.5℃。多年平均风速3.0m/s，最多风向为 NNE/NNW，最多风向风频8%，全年静风频率38%。</w:t>
      </w:r>
    </w:p>
    <w:p>
      <w:pPr>
        <w:pStyle w:val="320"/>
        <w:snapToGrid w:val="0"/>
        <w:ind w:firstLine="480"/>
        <w:rPr>
          <w:rFonts w:ascii="Times New Roman" w:hAnsi="Times New Roman"/>
        </w:rPr>
      </w:pPr>
      <w:r>
        <w:rPr>
          <w:rFonts w:hint="eastAsia" w:ascii="Times New Roman" w:hAnsi="Times New Roman"/>
        </w:rPr>
        <w:t>四季特征是：春季回暖早、冷空气活动频繁，气候多变；夏季气温高，光照多，雨量集中；秋季气温下降快，多阴雨；冬季多阴天、少雨雪，常发生冬旱，年主导风向西北风。</w:t>
      </w:r>
    </w:p>
    <w:p>
      <w:pPr>
        <w:pStyle w:val="320"/>
        <w:snapToGrid w:val="0"/>
        <w:spacing w:line="360" w:lineRule="auto"/>
        <w:ind w:firstLine="480"/>
        <w:rPr>
          <w:rFonts w:ascii="Times New Roman" w:hAnsi="Times New Roman"/>
        </w:rPr>
      </w:pPr>
      <w:r>
        <w:rPr>
          <w:rFonts w:hint="eastAsia" w:ascii="Times New Roman" w:hAnsi="Times New Roman"/>
        </w:rPr>
        <w:t>井研县的自然灾害是干旱，十年九旱，常有冬干、春旱、夏旱、伏旱发生。冬干频率100%，春旱频率56.7%，夏旱频率80%，伏旱出现频率46.67%。</w:t>
      </w:r>
    </w:p>
    <w:p>
      <w:pPr>
        <w:spacing w:before="240" w:after="60"/>
        <w:jc w:val="left"/>
        <w:outlineLvl w:val="2"/>
        <w:rPr>
          <w:rFonts w:eastAsia="黑体"/>
          <w:bCs/>
          <w:sz w:val="28"/>
          <w:szCs w:val="28"/>
        </w:rPr>
      </w:pPr>
      <w:r>
        <w:rPr>
          <w:rFonts w:hint="eastAsia" w:eastAsia="黑体"/>
          <w:bCs/>
          <w:sz w:val="28"/>
          <w:szCs w:val="28"/>
        </w:rPr>
        <w:t>5</w:t>
      </w:r>
      <w:r>
        <w:rPr>
          <w:rFonts w:eastAsia="黑体"/>
          <w:bCs/>
          <w:sz w:val="28"/>
          <w:szCs w:val="28"/>
        </w:rPr>
        <w:t>.1.4水文</w:t>
      </w:r>
    </w:p>
    <w:p>
      <w:pPr>
        <w:pStyle w:val="320"/>
        <w:snapToGrid w:val="0"/>
        <w:ind w:firstLine="480"/>
        <w:rPr>
          <w:rFonts w:ascii="Times New Roman" w:hAnsi="Times New Roman"/>
        </w:rPr>
      </w:pPr>
      <w:r>
        <w:rPr>
          <w:rFonts w:hint="eastAsia" w:ascii="Times New Roman" w:hAnsi="Times New Roman"/>
        </w:rPr>
        <w:t>井研县内共有小河溪沟143条，其中流域面积在10平方公里以上的33条，县内河流总长633公里。属岷江水系的有茫溪河、泥溪河、沙溪河，由北、西、东三面流向西南，县内流域面积795.4平方公里，占井研县总面积的92.6%；属沱江水系的卫家河，由县东北出境，县内流域面积63.7平方公里，占井研县总面积的7.4%。多年平均径流量34420万立方米，编丰年为46460万立方米，枯水年为13770万立方米。</w:t>
      </w:r>
    </w:p>
    <w:p>
      <w:pPr>
        <w:pStyle w:val="320"/>
        <w:snapToGrid w:val="0"/>
        <w:ind w:firstLine="480"/>
        <w:rPr>
          <w:rFonts w:ascii="Times New Roman" w:hAnsi="Times New Roman"/>
        </w:rPr>
      </w:pPr>
      <w:r>
        <w:rPr>
          <w:rFonts w:hint="eastAsia" w:ascii="Times New Roman" w:hAnsi="Times New Roman"/>
        </w:rPr>
        <w:t>茫溪河：是井研的主要水系，上游叫研溪河，发源于原分全乡源流村宋家坡。经大佛、金峰至研城镇白塔村两河口，长31公里，流域面积133平方公里。从两河口经千佛、三江、马踏、石泉、五农、王村、梅旺进入五通桥区，在四望关汇入岷江。全长65公里，其中县内47公里，流域面积1250平方公里，其中县内681.8平方公里，占流域面积54.5%，占井研县总面积79.4%，河床宽度30－50米。平均径流量为1.57每秒立方米，年径流总量4951万立方米，年流沙量为1.87万吨至3.12万吨。起源地海拔540米，出境处海拔344米，相对高差196米。</w:t>
      </w:r>
    </w:p>
    <w:p>
      <w:pPr>
        <w:spacing w:before="240" w:after="60"/>
        <w:jc w:val="left"/>
        <w:outlineLvl w:val="2"/>
        <w:rPr>
          <w:rFonts w:eastAsia="黑体"/>
          <w:bCs/>
          <w:sz w:val="28"/>
          <w:szCs w:val="28"/>
        </w:rPr>
      </w:pPr>
      <w:r>
        <w:rPr>
          <w:rFonts w:hint="eastAsia" w:eastAsia="黑体"/>
          <w:bCs/>
          <w:sz w:val="28"/>
          <w:szCs w:val="28"/>
        </w:rPr>
        <w:t>5</w:t>
      </w:r>
      <w:r>
        <w:rPr>
          <w:rFonts w:eastAsia="黑体"/>
          <w:bCs/>
          <w:sz w:val="28"/>
          <w:szCs w:val="28"/>
        </w:rPr>
        <w:t>.1.5</w:t>
      </w:r>
      <w:r>
        <w:rPr>
          <w:rFonts w:hint="eastAsia" w:eastAsia="黑体"/>
          <w:bCs/>
          <w:sz w:val="28"/>
          <w:szCs w:val="28"/>
        </w:rPr>
        <w:t>矿产资源</w:t>
      </w:r>
    </w:p>
    <w:p>
      <w:pPr>
        <w:pStyle w:val="320"/>
        <w:snapToGrid w:val="0"/>
        <w:spacing w:line="360" w:lineRule="auto"/>
        <w:ind w:firstLine="480"/>
        <w:rPr>
          <w:rFonts w:ascii="Times New Roman" w:hAnsi="Times New Roman"/>
        </w:rPr>
      </w:pPr>
      <w:r>
        <w:rPr>
          <w:rFonts w:hint="eastAsia" w:ascii="Times New Roman" w:hAnsi="Times New Roman"/>
        </w:rPr>
        <w:t>井研县矿产资源主要有岩盐、天然气、石灰岩、砂岩、粘土岩等。其中岩盐蕴藏量99亿吨，分布面积439平方公里，一般厚度3～9m，最高厚度17m，氯化钠含量大于95%以上，属优质巨型矿床。</w:t>
      </w:r>
    </w:p>
    <w:p>
      <w:pPr>
        <w:spacing w:before="240" w:after="60"/>
        <w:jc w:val="left"/>
        <w:outlineLvl w:val="2"/>
        <w:rPr>
          <w:rFonts w:eastAsia="黑体"/>
          <w:bCs/>
          <w:sz w:val="28"/>
          <w:szCs w:val="28"/>
        </w:rPr>
      </w:pPr>
      <w:r>
        <w:rPr>
          <w:rFonts w:hint="eastAsia" w:eastAsia="黑体"/>
          <w:bCs/>
          <w:sz w:val="28"/>
          <w:szCs w:val="28"/>
        </w:rPr>
        <w:t>5</w:t>
      </w:r>
      <w:r>
        <w:rPr>
          <w:rFonts w:eastAsia="黑体"/>
          <w:bCs/>
          <w:sz w:val="28"/>
          <w:szCs w:val="28"/>
        </w:rPr>
        <w:t>.1.6生态环境现状</w:t>
      </w:r>
    </w:p>
    <w:p>
      <w:pPr>
        <w:pStyle w:val="320"/>
        <w:snapToGrid w:val="0"/>
        <w:ind w:firstLine="480"/>
        <w:rPr>
          <w:rFonts w:ascii="Times New Roman" w:hAnsi="Times New Roman"/>
        </w:rPr>
      </w:pPr>
      <w:r>
        <w:rPr>
          <w:rFonts w:hint="eastAsia" w:ascii="Times New Roman" w:hAnsi="Times New Roman"/>
        </w:rPr>
        <w:t>井研县因地质结构复杂以及受多种因素综合影响，形成多种多样的土壤类型。土壤类型有水稻上、潮上、紫色土、黄壤上、黄棕壤土、石灰岩土共6个大土类。各类土占耕地面积的比重是：水稻土面积73047亩，占42.58％；潮土面积7838亩，占40.57％；紫色土20281亩，占11．82％；黄壤土42413亩，占24.72％；黄棕壤土15682亩，占9.14％；石灰岩土12302亩，占7.17％。</w:t>
      </w:r>
    </w:p>
    <w:p>
      <w:pPr>
        <w:pStyle w:val="320"/>
        <w:snapToGrid w:val="0"/>
        <w:ind w:firstLine="480"/>
        <w:rPr>
          <w:rFonts w:ascii="Times New Roman" w:hAnsi="Times New Roman"/>
        </w:rPr>
      </w:pPr>
      <w:r>
        <w:rPr>
          <w:rFonts w:hint="eastAsia" w:ascii="Times New Roman" w:hAnsi="Times New Roman"/>
        </w:rPr>
        <w:t>动物资源：井研县饲养动物有牛、猪、羊、兔、鸡、鸭、鹅、猫、犬等。野生动物有100多种。</w:t>
      </w:r>
    </w:p>
    <w:p>
      <w:pPr>
        <w:pStyle w:val="320"/>
        <w:snapToGrid w:val="0"/>
        <w:ind w:firstLine="480"/>
        <w:rPr>
          <w:rFonts w:ascii="Times New Roman" w:hAnsi="Times New Roman"/>
        </w:rPr>
      </w:pPr>
      <w:r>
        <w:rPr>
          <w:rFonts w:hint="eastAsia" w:ascii="Times New Roman" w:hAnsi="Times New Roman"/>
        </w:rPr>
        <w:t>植物资源：井研县粮食作物有水稻、玉米、红薯、蕉藕、高梁、小麦、豌豆、胡豆、绿豆等。经济作物有棉花、油菜、甘蔗、花生、土烟、席草、药材、蔬菜、蚕桑、麻类等。森林用材林有柏树、马尾松、桤木树等。速生树有川楝、千丈、桉树、香梓、栾树、刺槐、香椿等。经济林有桔柑、桑树及紫胶寄生树夜合、山槐、黄檀、麻柳等。</w:t>
      </w:r>
    </w:p>
    <w:p>
      <w:pPr>
        <w:pStyle w:val="320"/>
        <w:snapToGrid w:val="0"/>
        <w:spacing w:line="360" w:lineRule="auto"/>
        <w:ind w:firstLine="480"/>
        <w:rPr>
          <w:rFonts w:ascii="Times New Roman" w:hAnsi="Times New Roman"/>
        </w:rPr>
      </w:pPr>
      <w:r>
        <w:rPr>
          <w:rFonts w:hint="eastAsia" w:ascii="Times New Roman" w:hAnsi="Times New Roman"/>
        </w:rPr>
        <w:t>据调查，项目评价范围内无珍稀、涉危动、植物，无生态保护物种和自然保护区等生态敏感点。</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12" w:name="_Toc29110583"/>
      <w:r>
        <w:rPr>
          <w:rFonts w:ascii="Times New Roman" w:hAnsi="Times New Roman" w:eastAsia="黑体" w:cs="Times New Roman"/>
          <w:b w:val="0"/>
          <w:bCs/>
          <w:spacing w:val="4"/>
          <w:kern w:val="2"/>
          <w:sz w:val="32"/>
          <w:szCs w:val="32"/>
        </w:rPr>
        <w:t xml:space="preserve">5.2 </w:t>
      </w:r>
      <w:r>
        <w:rPr>
          <w:rFonts w:hint="eastAsia" w:ascii="Times New Roman" w:hAnsi="Times New Roman" w:eastAsia="黑体" w:cs="Times New Roman"/>
          <w:b w:val="0"/>
          <w:bCs/>
          <w:spacing w:val="4"/>
          <w:kern w:val="2"/>
          <w:sz w:val="32"/>
          <w:szCs w:val="32"/>
        </w:rPr>
        <w:t>乐山</w:t>
      </w:r>
      <w:r>
        <w:rPr>
          <w:rFonts w:ascii="Times New Roman" w:hAnsi="Times New Roman" w:eastAsia="黑体" w:cs="Times New Roman"/>
          <w:b w:val="0"/>
          <w:bCs/>
          <w:spacing w:val="4"/>
          <w:kern w:val="2"/>
          <w:sz w:val="32"/>
          <w:szCs w:val="32"/>
        </w:rPr>
        <w:t>乐高勤力生物</w:t>
      </w:r>
      <w:r>
        <w:rPr>
          <w:rFonts w:hint="eastAsia" w:ascii="Times New Roman" w:hAnsi="Times New Roman" w:eastAsia="黑体" w:cs="Times New Roman"/>
          <w:b w:val="0"/>
          <w:bCs/>
          <w:spacing w:val="4"/>
          <w:kern w:val="2"/>
          <w:sz w:val="32"/>
          <w:szCs w:val="32"/>
        </w:rPr>
        <w:t>质</w:t>
      </w:r>
      <w:r>
        <w:rPr>
          <w:rFonts w:ascii="Times New Roman" w:hAnsi="Times New Roman" w:eastAsia="黑体" w:cs="Times New Roman"/>
          <w:b w:val="0"/>
          <w:bCs/>
          <w:spacing w:val="4"/>
          <w:kern w:val="2"/>
          <w:sz w:val="32"/>
          <w:szCs w:val="32"/>
        </w:rPr>
        <w:t>能源综合利用有限公司</w:t>
      </w:r>
      <w:bookmarkEnd w:id="612"/>
    </w:p>
    <w:p>
      <w:pPr>
        <w:pStyle w:val="192"/>
        <w:rPr>
          <w:color w:val="000000"/>
        </w:rPr>
      </w:pPr>
      <w:r>
        <w:rPr>
          <w:rFonts w:hint="eastAsia"/>
          <w:szCs w:val="21"/>
        </w:rPr>
        <w:t>乐山乐高勤力生物质能源</w:t>
      </w:r>
      <w:r>
        <w:rPr>
          <w:szCs w:val="21"/>
        </w:rPr>
        <w:t>综合利用有限公司井研县2018年畜禽粪污资源化利用整县推进项目规模化大型沼气工程（下称</w:t>
      </w:r>
      <w:r>
        <w:rPr>
          <w:rFonts w:hint="eastAsia"/>
          <w:szCs w:val="21"/>
        </w:rPr>
        <w:t>井研县</w:t>
      </w:r>
      <w:r>
        <w:rPr>
          <w:szCs w:val="21"/>
        </w:rPr>
        <w:t>“大沼”项目），</w:t>
      </w:r>
      <w:r>
        <w:rPr>
          <w:rFonts w:hint="eastAsia"/>
          <w:szCs w:val="21"/>
        </w:rPr>
        <w:t>项目于2</w:t>
      </w:r>
      <w:r>
        <w:rPr>
          <w:szCs w:val="21"/>
        </w:rPr>
        <w:t>018</w:t>
      </w:r>
      <w:r>
        <w:rPr>
          <w:rFonts w:hint="eastAsia"/>
          <w:szCs w:val="21"/>
        </w:rPr>
        <w:t>年开始动工建设，于2</w:t>
      </w:r>
      <w:r>
        <w:rPr>
          <w:szCs w:val="21"/>
        </w:rPr>
        <w:t>019</w:t>
      </w:r>
      <w:r>
        <w:rPr>
          <w:rFonts w:hint="eastAsia"/>
          <w:szCs w:val="21"/>
        </w:rPr>
        <w:t>年建成并投产，项目</w:t>
      </w:r>
      <w:r>
        <w:rPr>
          <w:color w:val="000000"/>
        </w:rPr>
        <w:t>日</w:t>
      </w:r>
      <w:r>
        <w:rPr>
          <w:rFonts w:hint="eastAsia"/>
          <w:color w:val="000000"/>
        </w:rPr>
        <w:t>处理</w:t>
      </w:r>
      <w:r>
        <w:rPr>
          <w:color w:val="000000"/>
        </w:rPr>
        <w:t>畜禽粪污761.11t/d（年处理27.40万t），秸秆10t/d（年处理0.36万t），日产沼气16000m³（576万m³/a），日发电量3.2万kWh，产生的沼渣经堆肥后配制成有机肥出厂销售，年产、固体有机肥2.5万t。年产沼液肥24.95万t。</w:t>
      </w:r>
      <w:r>
        <w:rPr>
          <w:rFonts w:hint="eastAsia"/>
          <w:color w:val="000000"/>
        </w:rPr>
        <w:t>项目年上网电量（扣除自用电部分）约966.50万kWh；沼渣堆制成品有机肥约2.5万吨/年。</w:t>
      </w:r>
    </w:p>
    <w:p>
      <w:pPr>
        <w:pStyle w:val="192"/>
        <w:rPr>
          <w:color w:val="000000"/>
        </w:rPr>
      </w:pPr>
      <w:r>
        <w:rPr>
          <w:rFonts w:hint="eastAsia"/>
          <w:color w:val="000000"/>
        </w:rPr>
        <w:t>“大沼工程”主要内容如下：</w:t>
      </w:r>
    </w:p>
    <w:p>
      <w:pPr>
        <w:ind w:firstLine="480"/>
        <w:rPr>
          <w:color w:val="000000"/>
        </w:rPr>
      </w:pPr>
      <w:r>
        <w:rPr>
          <w:rFonts w:hint="eastAsia"/>
          <w:b/>
          <w:bCs/>
          <w:color w:val="000000"/>
        </w:rPr>
        <w:t>原料准备</w:t>
      </w:r>
      <w:r>
        <w:rPr>
          <w:b/>
          <w:bCs/>
          <w:color w:val="000000"/>
        </w:rPr>
        <w:t>：</w:t>
      </w:r>
      <w:r>
        <w:rPr>
          <w:color w:val="000000"/>
        </w:rPr>
        <w:t>集料池1座96m</w:t>
      </w:r>
      <w:r>
        <w:rPr>
          <w:color w:val="000000"/>
          <w:vertAlign w:val="superscript"/>
        </w:rPr>
        <w:t>3</w:t>
      </w:r>
      <w:r>
        <w:rPr>
          <w:color w:val="000000"/>
        </w:rPr>
        <w:t>；格栅渠7.5m；预处理池1座400m</w:t>
      </w:r>
      <w:r>
        <w:rPr>
          <w:color w:val="000000"/>
          <w:vertAlign w:val="superscript"/>
        </w:rPr>
        <w:t>3</w:t>
      </w:r>
      <w:r>
        <w:rPr>
          <w:color w:val="000000"/>
        </w:rPr>
        <w:t>；旋流除砂池1座（φ1.8m）；进料池1座400m³；东门卫室及磅房建筑面积48㎡；西门卫室建筑面积31.7㎡；进料泵房1间建筑面积42㎡；秸秆青储槽3间共1350m³；青储槽顶盖建筑面积380㎡；车辆消毒区建筑面积125㎡。</w:t>
      </w:r>
    </w:p>
    <w:p>
      <w:pPr>
        <w:ind w:firstLine="480"/>
        <w:rPr>
          <w:color w:val="000000"/>
        </w:rPr>
      </w:pPr>
      <w:r>
        <w:rPr>
          <w:b/>
          <w:bCs/>
          <w:color w:val="000000"/>
        </w:rPr>
        <w:t>沼气生产系统：</w:t>
      </w:r>
      <w:r>
        <w:rPr>
          <w:color w:val="000000"/>
        </w:rPr>
        <w:t>4000m³中温厌氧发酵罐4套；顶搅拌机（DJ6300）4套；-300～4000pa正负压保护装置（ZQYA-30-400）4套；工艺管道及阀门（DN125～DN350）1套；钢制操作平台及斜梯1 套；管架1套长度为104m。</w:t>
      </w:r>
    </w:p>
    <w:p>
      <w:pPr>
        <w:ind w:firstLine="480"/>
        <w:rPr>
          <w:color w:val="000000"/>
        </w:rPr>
      </w:pPr>
      <w:r>
        <w:rPr>
          <w:b/>
          <w:bCs/>
          <w:color w:val="000000"/>
        </w:rPr>
        <w:t>沼气提纯、利用系统设备工程：</w:t>
      </w:r>
      <w:r>
        <w:rPr>
          <w:color w:val="000000"/>
        </w:rPr>
        <w:t>沼气发电机组（800kw/台）2台，（含发电机余热回收系统1套），热水循环泵4台，沼气输配管道及阀门1套，变送电系统设备1套</w:t>
      </w:r>
      <w:r>
        <w:rPr>
          <w:rFonts w:hint="eastAsia"/>
          <w:color w:val="000000"/>
        </w:rPr>
        <w:t>。</w:t>
      </w:r>
      <w:r>
        <w:rPr>
          <w:color w:val="000000"/>
        </w:rPr>
        <w:t>沼气提纯装置（膜分离工艺）1套（含CNG压缩机及加压柱）天然气流量计（LWQ-100）1台，天然气成分检测仪1套，凝水器3个。</w:t>
      </w:r>
    </w:p>
    <w:p>
      <w:pPr>
        <w:ind w:firstLine="480"/>
        <w:rPr>
          <w:color w:val="000000"/>
        </w:rPr>
      </w:pPr>
      <w:r>
        <w:rPr>
          <w:b/>
          <w:bCs/>
          <w:color w:val="000000"/>
        </w:rPr>
        <w:t>沼液存储利用系统：</w:t>
      </w:r>
      <w:r>
        <w:rPr>
          <w:color w:val="000000"/>
        </w:rPr>
        <w:t>沼渣液暂存池1座530m³;站内沼液储存池1座8200m³；沼液储存池顶盖2900㎡；浓污水池、清水池700m³；液态有机肥包装车间600㎡，站内提灌泵房96㎡，固液分离棚145㎡。</w:t>
      </w:r>
    </w:p>
    <w:p>
      <w:pPr>
        <w:ind w:firstLine="480"/>
        <w:rPr>
          <w:color w:val="000000"/>
        </w:rPr>
      </w:pPr>
      <w:r>
        <w:rPr>
          <w:b/>
          <w:bCs/>
          <w:color w:val="000000"/>
        </w:rPr>
        <w:t>沼液储存利用工程：</w:t>
      </w:r>
      <w:r>
        <w:rPr>
          <w:color w:val="000000"/>
        </w:rPr>
        <w:t>固液分离机（LW530×1800）3套；提升泵（WQG30-10）3台；桨式搅拌机（JBJ-3000）1台；液肥加工设备1套；站内工艺管道及阀门1套。</w:t>
      </w:r>
    </w:p>
    <w:p>
      <w:pPr>
        <w:ind w:firstLine="480"/>
        <w:rPr>
          <w:color w:val="000000"/>
        </w:rPr>
      </w:pPr>
      <w:r>
        <w:rPr>
          <w:b/>
          <w:bCs/>
          <w:color w:val="000000"/>
        </w:rPr>
        <w:t>沼渣制肥系统</w:t>
      </w:r>
      <w:r>
        <w:rPr>
          <w:rFonts w:hint="eastAsia"/>
          <w:b/>
          <w:bCs/>
          <w:color w:val="000000"/>
        </w:rPr>
        <w:t>：</w:t>
      </w:r>
      <w:r>
        <w:rPr>
          <w:color w:val="000000"/>
        </w:rPr>
        <w:t>建设面积2400㎡。</w:t>
      </w:r>
      <w:r>
        <w:rPr>
          <w:rFonts w:hint="eastAsia"/>
          <w:color w:val="000000"/>
        </w:rPr>
        <w:t>内设</w:t>
      </w:r>
      <w:r>
        <w:rPr>
          <w:color w:val="000000"/>
        </w:rPr>
        <w:t>固态肥加工设备1套。</w:t>
      </w:r>
    </w:p>
    <w:p>
      <w:pPr>
        <w:pStyle w:val="320"/>
        <w:snapToGrid w:val="0"/>
        <w:spacing w:line="360" w:lineRule="auto"/>
        <w:ind w:firstLine="480"/>
        <w:rPr>
          <w:rFonts w:ascii="Times New Roman" w:hAnsi="Times New Roman"/>
        </w:rPr>
      </w:pPr>
    </w:p>
    <w:p>
      <w:pPr>
        <w:pStyle w:val="320"/>
        <w:snapToGrid w:val="0"/>
        <w:spacing w:line="360" w:lineRule="auto"/>
        <w:ind w:firstLine="480"/>
        <w:rPr>
          <w:rFonts w:ascii="Times New Roman" w:hAnsi="Times New Roman"/>
        </w:rPr>
      </w:pPr>
    </w:p>
    <w:p>
      <w:pPr>
        <w:pStyle w:val="320"/>
        <w:snapToGrid w:val="0"/>
        <w:spacing w:line="360" w:lineRule="auto"/>
        <w:ind w:firstLine="480"/>
        <w:rPr>
          <w:rFonts w:ascii="Times New Roman" w:hAnsi="Times New Roman"/>
        </w:rPr>
      </w:pPr>
    </w:p>
    <w:p>
      <w:pPr>
        <w:pStyle w:val="347"/>
        <w:keepNext/>
        <w:keepLines/>
        <w:pageBreakBefore/>
        <w:widowControl w:val="0"/>
        <w:numPr>
          <w:ilvl w:val="0"/>
          <w:numId w:val="1"/>
        </w:numPr>
        <w:tabs>
          <w:tab w:val="left" w:pos="0"/>
        </w:tabs>
        <w:spacing w:after="60" w:line="360" w:lineRule="auto"/>
        <w:ind w:left="0" w:firstLine="0"/>
        <w:textAlignment w:val="baseline"/>
        <w:rPr>
          <w:rFonts w:ascii="Times New Roman" w:hAnsi="Times New Roman" w:eastAsia="黑体" w:cs="Times New Roman"/>
          <w:b w:val="0"/>
          <w:kern w:val="44"/>
          <w:sz w:val="36"/>
        </w:rPr>
      </w:pPr>
      <w:bookmarkStart w:id="613" w:name="_Toc29110584"/>
      <w:r>
        <w:rPr>
          <w:rFonts w:ascii="Times New Roman" w:hAnsi="Times New Roman" w:eastAsia="黑体" w:cs="Times New Roman"/>
          <w:b w:val="0"/>
          <w:kern w:val="44"/>
          <w:sz w:val="36"/>
        </w:rPr>
        <w:t>环境质量现状监测与评价</w:t>
      </w:r>
      <w:bookmarkEnd w:id="607"/>
      <w:bookmarkEnd w:id="608"/>
      <w:bookmarkEnd w:id="609"/>
      <w:bookmarkEnd w:id="613"/>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14" w:name="_Toc29110585"/>
      <w:bookmarkStart w:id="615" w:name="_Toc440541298"/>
      <w:bookmarkStart w:id="616" w:name="_Toc411411835"/>
      <w:bookmarkStart w:id="617" w:name="_Toc423336714"/>
      <w:bookmarkStart w:id="618" w:name="_Toc219718668"/>
      <w:bookmarkStart w:id="619" w:name="_Toc181979206"/>
      <w:bookmarkStart w:id="620" w:name="_Toc457480991"/>
      <w:r>
        <w:rPr>
          <w:rFonts w:hint="eastAsia" w:ascii="Times New Roman" w:hAnsi="Times New Roman" w:eastAsia="黑体" w:cs="Times New Roman"/>
          <w:b w:val="0"/>
          <w:bCs/>
          <w:spacing w:val="4"/>
          <w:kern w:val="2"/>
          <w:sz w:val="32"/>
          <w:szCs w:val="32"/>
        </w:rPr>
        <w:t>6</w:t>
      </w:r>
      <w:r>
        <w:rPr>
          <w:rFonts w:ascii="Times New Roman" w:hAnsi="Times New Roman" w:eastAsia="黑体" w:cs="Times New Roman"/>
          <w:b w:val="0"/>
          <w:bCs/>
          <w:spacing w:val="4"/>
          <w:kern w:val="2"/>
          <w:sz w:val="32"/>
          <w:szCs w:val="32"/>
        </w:rPr>
        <w:t>.1环境空气质量现状监测与评价</w:t>
      </w:r>
      <w:bookmarkEnd w:id="614"/>
      <w:bookmarkEnd w:id="615"/>
      <w:bookmarkEnd w:id="616"/>
    </w:p>
    <w:p>
      <w:pPr>
        <w:pStyle w:val="2500"/>
        <w:spacing w:before="120" w:after="60" w:line="360" w:lineRule="auto"/>
        <w:ind w:firstLine="0" w:firstLineChars="0"/>
        <w:jc w:val="left"/>
        <w:outlineLvl w:val="2"/>
        <w:rPr>
          <w:rFonts w:ascii="Times New Roman" w:hAnsi="Times New Roman" w:eastAsia="黑体"/>
          <w:bCs/>
          <w:sz w:val="28"/>
          <w:szCs w:val="28"/>
        </w:rPr>
      </w:pPr>
      <w:r>
        <w:rPr>
          <w:rFonts w:ascii="Times New Roman" w:hAnsi="Times New Roman" w:eastAsia="黑体"/>
          <w:bCs/>
          <w:sz w:val="28"/>
          <w:szCs w:val="28"/>
        </w:rPr>
        <w:t>6.1.1 环境空气质量达标区判定</w:t>
      </w:r>
    </w:p>
    <w:p>
      <w:pPr>
        <w:pStyle w:val="970"/>
        <w:snapToGrid w:val="0"/>
        <w:rPr>
          <w:rFonts w:eastAsiaTheme="minorEastAsia"/>
          <w:szCs w:val="24"/>
        </w:rPr>
      </w:pPr>
      <w:r>
        <w:rPr>
          <w:szCs w:val="24"/>
        </w:rPr>
        <w:t>根据</w:t>
      </w:r>
      <w:r>
        <w:rPr>
          <w:rFonts w:hint="eastAsia"/>
          <w:szCs w:val="24"/>
        </w:rPr>
        <w:t>《环境影响评价技术导则》（HJ2.2-2018）的相关要求，需对本项目大气环境评价范围内的区域进行达标判定。本项目的大气环境影响评价范围为没有涉及跨越县级行政区，本项目位于井研县高凤乡</w:t>
      </w:r>
      <w:r>
        <w:rPr>
          <w:szCs w:val="24"/>
        </w:rPr>
        <w:t>星星亮村</w:t>
      </w:r>
      <w:r>
        <w:rPr>
          <w:rFonts w:hint="eastAsia"/>
          <w:szCs w:val="24"/>
        </w:rPr>
        <w:t>，故本项目采用乐山市环保局提供的评价基准年</w:t>
      </w:r>
      <w:r>
        <w:rPr>
          <w:szCs w:val="24"/>
        </w:rPr>
        <w:t>2018</w:t>
      </w:r>
      <w:r>
        <w:rPr>
          <w:rFonts w:hint="eastAsia"/>
          <w:szCs w:val="24"/>
        </w:rPr>
        <w:t>年的环境质量公报中的数据和结论作为空气质量达标区的判定依据是符合要求的。</w:t>
      </w:r>
      <w:r>
        <w:rPr>
          <w:rFonts w:hint="eastAsia" w:eastAsiaTheme="minorEastAsia"/>
          <w:szCs w:val="24"/>
        </w:rPr>
        <w:t>空气质量达标区判定情况见表</w:t>
      </w:r>
      <w:r>
        <w:rPr>
          <w:rFonts w:eastAsiaTheme="minorEastAsia"/>
          <w:szCs w:val="24"/>
        </w:rPr>
        <w:t>6.1</w:t>
      </w:r>
      <w:r>
        <w:rPr>
          <w:rFonts w:hint="eastAsia" w:eastAsiaTheme="minorEastAsia"/>
          <w:szCs w:val="24"/>
        </w:rPr>
        <w:t>-</w:t>
      </w:r>
      <w:r>
        <w:rPr>
          <w:rFonts w:eastAsiaTheme="minorEastAsia"/>
          <w:szCs w:val="24"/>
        </w:rPr>
        <w:t>1</w:t>
      </w:r>
      <w:r>
        <w:rPr>
          <w:rFonts w:hint="eastAsia" w:eastAsiaTheme="minorEastAsia"/>
          <w:szCs w:val="24"/>
        </w:rPr>
        <w:t>。</w:t>
      </w:r>
    </w:p>
    <w:p>
      <w:pPr>
        <w:spacing w:line="240" w:lineRule="auto"/>
        <w:jc w:val="center"/>
        <w:rPr>
          <w:rFonts w:eastAsia="黑体"/>
        </w:rPr>
      </w:pPr>
      <w:r>
        <w:rPr>
          <w:rFonts w:eastAsia="黑体"/>
        </w:rPr>
        <w:t>表6.1-1  2018</w:t>
      </w:r>
      <w:r>
        <w:rPr>
          <w:rFonts w:hint="eastAsia" w:eastAsia="黑体"/>
        </w:rPr>
        <w:t>年度乐山市环境空气质量状况</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61"/>
        <w:gridCol w:w="1882"/>
        <w:gridCol w:w="1517"/>
        <w:gridCol w:w="1325"/>
        <w:gridCol w:w="1422"/>
        <w:gridCol w:w="142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污染物</w:t>
            </w:r>
          </w:p>
        </w:tc>
        <w:tc>
          <w:tcPr>
            <w:tcW w:w="1834" w:type="dxa"/>
            <w:vAlign w:val="center"/>
          </w:tcPr>
          <w:p>
            <w:pPr>
              <w:pStyle w:val="592"/>
              <w:snapToGrid w:val="0"/>
              <w:spacing w:before="0" w:after="0" w:line="240" w:lineRule="auto"/>
              <w:rPr>
                <w:sz w:val="21"/>
                <w:szCs w:val="21"/>
              </w:rPr>
            </w:pPr>
            <w:r>
              <w:rPr>
                <w:rFonts w:hint="eastAsia"/>
                <w:sz w:val="21"/>
                <w:szCs w:val="21"/>
              </w:rPr>
              <w:t>年评价指标</w:t>
            </w:r>
          </w:p>
        </w:tc>
        <w:tc>
          <w:tcPr>
            <w:tcW w:w="1479" w:type="dxa"/>
            <w:vAlign w:val="center"/>
          </w:tcPr>
          <w:p>
            <w:pPr>
              <w:pStyle w:val="592"/>
              <w:snapToGrid w:val="0"/>
              <w:spacing w:before="0" w:after="0" w:line="240" w:lineRule="auto"/>
              <w:rPr>
                <w:sz w:val="21"/>
                <w:szCs w:val="21"/>
              </w:rPr>
            </w:pPr>
            <w:r>
              <w:rPr>
                <w:rFonts w:hint="eastAsia"/>
                <w:sz w:val="21"/>
                <w:szCs w:val="21"/>
              </w:rPr>
              <w:t>现状浓度</w:t>
            </w:r>
          </w:p>
        </w:tc>
        <w:tc>
          <w:tcPr>
            <w:tcW w:w="1291" w:type="dxa"/>
            <w:vAlign w:val="center"/>
          </w:tcPr>
          <w:p>
            <w:pPr>
              <w:pStyle w:val="592"/>
              <w:snapToGrid w:val="0"/>
              <w:spacing w:before="0" w:after="0" w:line="240" w:lineRule="auto"/>
              <w:rPr>
                <w:sz w:val="21"/>
                <w:szCs w:val="21"/>
              </w:rPr>
            </w:pPr>
            <w:r>
              <w:rPr>
                <w:rFonts w:hint="eastAsia"/>
                <w:sz w:val="21"/>
                <w:szCs w:val="21"/>
              </w:rPr>
              <w:t>标准值</w:t>
            </w:r>
          </w:p>
        </w:tc>
        <w:tc>
          <w:tcPr>
            <w:tcW w:w="1386" w:type="dxa"/>
            <w:vAlign w:val="center"/>
          </w:tcPr>
          <w:p>
            <w:pPr>
              <w:pStyle w:val="592"/>
              <w:snapToGrid w:val="0"/>
              <w:spacing w:before="0" w:after="0" w:line="240" w:lineRule="auto"/>
              <w:rPr>
                <w:sz w:val="21"/>
                <w:szCs w:val="21"/>
              </w:rPr>
            </w:pPr>
            <w:r>
              <w:rPr>
                <w:rFonts w:hint="eastAsia"/>
                <w:sz w:val="21"/>
                <w:szCs w:val="21"/>
              </w:rPr>
              <w:t>占标率</w:t>
            </w:r>
          </w:p>
        </w:tc>
        <w:tc>
          <w:tcPr>
            <w:tcW w:w="1386" w:type="dxa"/>
            <w:vAlign w:val="center"/>
          </w:tcPr>
          <w:p>
            <w:pPr>
              <w:pStyle w:val="592"/>
              <w:snapToGrid w:val="0"/>
              <w:spacing w:before="0" w:after="0" w:line="240" w:lineRule="auto"/>
              <w:rPr>
                <w:sz w:val="21"/>
                <w:szCs w:val="21"/>
              </w:rPr>
            </w:pPr>
            <w:r>
              <w:rPr>
                <w:rFonts w:hint="eastAsia"/>
                <w:sz w:val="21"/>
                <w:szCs w:val="21"/>
              </w:rPr>
              <w:t>达标情况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S</w:t>
            </w:r>
            <w:r>
              <w:rPr>
                <w:sz w:val="21"/>
                <w:szCs w:val="21"/>
              </w:rPr>
              <w:t>O</w:t>
            </w:r>
            <w:r>
              <w:rPr>
                <w:sz w:val="21"/>
                <w:szCs w:val="21"/>
                <w:vertAlign w:val="subscript"/>
              </w:rPr>
              <w:t>2</w:t>
            </w:r>
          </w:p>
        </w:tc>
        <w:tc>
          <w:tcPr>
            <w:tcW w:w="1834" w:type="dxa"/>
            <w:vAlign w:val="center"/>
          </w:tcPr>
          <w:p>
            <w:pPr>
              <w:pStyle w:val="592"/>
              <w:snapToGrid w:val="0"/>
              <w:spacing w:before="0" w:after="0" w:line="240" w:lineRule="auto"/>
              <w:rPr>
                <w:sz w:val="21"/>
                <w:szCs w:val="21"/>
              </w:rPr>
            </w:pPr>
            <w:r>
              <w:rPr>
                <w:rFonts w:hint="eastAsia"/>
                <w:sz w:val="21"/>
                <w:szCs w:val="21"/>
              </w:rPr>
              <w:t>年均值</w:t>
            </w:r>
          </w:p>
        </w:tc>
        <w:tc>
          <w:tcPr>
            <w:tcW w:w="1479" w:type="dxa"/>
            <w:vAlign w:val="center"/>
          </w:tcPr>
          <w:p>
            <w:pPr>
              <w:pStyle w:val="592"/>
              <w:snapToGrid w:val="0"/>
              <w:spacing w:before="0" w:after="0" w:line="240" w:lineRule="auto"/>
              <w:rPr>
                <w:sz w:val="21"/>
                <w:szCs w:val="21"/>
              </w:rPr>
            </w:pPr>
            <w:r>
              <w:rPr>
                <w:sz w:val="21"/>
                <w:szCs w:val="21"/>
              </w:rPr>
              <w:t>17.0</w:t>
            </w:r>
            <w:r>
              <w:rPr>
                <w:rFonts w:eastAsiaTheme="minorEastAsia"/>
                <w:szCs w:val="24"/>
              </w:rPr>
              <w:t>μg/m</w:t>
            </w:r>
            <w:r>
              <w:rPr>
                <w:rFonts w:eastAsiaTheme="minorEastAsia"/>
                <w:szCs w:val="24"/>
                <w:vertAlign w:val="superscript"/>
              </w:rPr>
              <w:t>3</w:t>
            </w:r>
          </w:p>
        </w:tc>
        <w:tc>
          <w:tcPr>
            <w:tcW w:w="1291" w:type="dxa"/>
            <w:vAlign w:val="center"/>
          </w:tcPr>
          <w:p>
            <w:pPr>
              <w:pStyle w:val="592"/>
              <w:snapToGrid w:val="0"/>
              <w:spacing w:before="0" w:after="0" w:line="240" w:lineRule="auto"/>
              <w:rPr>
                <w:sz w:val="21"/>
                <w:szCs w:val="21"/>
              </w:rPr>
            </w:pPr>
            <w:r>
              <w:rPr>
                <w:sz w:val="21"/>
                <w:szCs w:val="21"/>
              </w:rPr>
              <w:t>60</w:t>
            </w:r>
            <w:r>
              <w:rPr>
                <w:rFonts w:eastAsiaTheme="minorEastAsia"/>
                <w:szCs w:val="24"/>
              </w:rPr>
              <w:t>μg/m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28.3</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N</w:t>
            </w:r>
            <w:r>
              <w:rPr>
                <w:sz w:val="21"/>
                <w:szCs w:val="21"/>
              </w:rPr>
              <w:t>O</w:t>
            </w:r>
            <w:r>
              <w:rPr>
                <w:sz w:val="21"/>
                <w:szCs w:val="21"/>
                <w:vertAlign w:val="subscript"/>
              </w:rPr>
              <w:t>2</w:t>
            </w:r>
          </w:p>
        </w:tc>
        <w:tc>
          <w:tcPr>
            <w:tcW w:w="1834" w:type="dxa"/>
            <w:vAlign w:val="center"/>
          </w:tcPr>
          <w:p>
            <w:pPr>
              <w:pStyle w:val="592"/>
              <w:snapToGrid w:val="0"/>
              <w:spacing w:before="0" w:after="0" w:line="240" w:lineRule="auto"/>
              <w:rPr>
                <w:sz w:val="21"/>
                <w:szCs w:val="21"/>
              </w:rPr>
            </w:pPr>
            <w:r>
              <w:rPr>
                <w:rFonts w:hint="eastAsia"/>
                <w:sz w:val="21"/>
                <w:szCs w:val="21"/>
              </w:rPr>
              <w:t>年均值</w:t>
            </w:r>
          </w:p>
        </w:tc>
        <w:tc>
          <w:tcPr>
            <w:tcW w:w="1479" w:type="dxa"/>
            <w:vAlign w:val="center"/>
          </w:tcPr>
          <w:p>
            <w:pPr>
              <w:pStyle w:val="592"/>
              <w:snapToGrid w:val="0"/>
              <w:spacing w:before="0" w:after="0" w:line="240" w:lineRule="auto"/>
              <w:rPr>
                <w:sz w:val="21"/>
                <w:szCs w:val="21"/>
              </w:rPr>
            </w:pPr>
            <w:r>
              <w:rPr>
                <w:sz w:val="21"/>
                <w:szCs w:val="21"/>
              </w:rPr>
              <w:t>25.7</w:t>
            </w:r>
            <w:r>
              <w:rPr>
                <w:rFonts w:eastAsiaTheme="minorEastAsia"/>
                <w:szCs w:val="24"/>
              </w:rPr>
              <w:t>μg/m</w:t>
            </w:r>
            <w:r>
              <w:rPr>
                <w:rFonts w:eastAsiaTheme="minorEastAsia"/>
                <w:szCs w:val="24"/>
                <w:vertAlign w:val="superscript"/>
              </w:rPr>
              <w:t>3</w:t>
            </w:r>
          </w:p>
        </w:tc>
        <w:tc>
          <w:tcPr>
            <w:tcW w:w="1291" w:type="dxa"/>
            <w:vAlign w:val="center"/>
          </w:tcPr>
          <w:p>
            <w:pPr>
              <w:pStyle w:val="592"/>
              <w:snapToGrid w:val="0"/>
              <w:spacing w:before="0" w:after="0" w:line="240" w:lineRule="auto"/>
              <w:rPr>
                <w:sz w:val="21"/>
                <w:szCs w:val="21"/>
              </w:rPr>
            </w:pPr>
            <w:r>
              <w:rPr>
                <w:rFonts w:hint="eastAsia"/>
                <w:sz w:val="21"/>
                <w:szCs w:val="21"/>
              </w:rPr>
              <w:t>4</w:t>
            </w:r>
            <w:r>
              <w:rPr>
                <w:sz w:val="21"/>
                <w:szCs w:val="21"/>
              </w:rPr>
              <w:t>0</w:t>
            </w:r>
            <w:r>
              <w:rPr>
                <w:rFonts w:eastAsiaTheme="minorEastAsia"/>
                <w:szCs w:val="24"/>
              </w:rPr>
              <w:t>μg/m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64.3</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vertAlign w:val="subscript"/>
              </w:rPr>
            </w:pPr>
            <w:r>
              <w:rPr>
                <w:rFonts w:hint="eastAsia"/>
                <w:sz w:val="21"/>
                <w:szCs w:val="21"/>
              </w:rPr>
              <w:t>P</w:t>
            </w:r>
            <w:r>
              <w:rPr>
                <w:sz w:val="21"/>
                <w:szCs w:val="21"/>
              </w:rPr>
              <w:t>M</w:t>
            </w:r>
            <w:r>
              <w:rPr>
                <w:sz w:val="21"/>
                <w:szCs w:val="21"/>
                <w:vertAlign w:val="subscript"/>
              </w:rPr>
              <w:t>10</w:t>
            </w:r>
          </w:p>
        </w:tc>
        <w:tc>
          <w:tcPr>
            <w:tcW w:w="1834" w:type="dxa"/>
            <w:vAlign w:val="center"/>
          </w:tcPr>
          <w:p>
            <w:pPr>
              <w:pStyle w:val="592"/>
              <w:snapToGrid w:val="0"/>
              <w:spacing w:before="0" w:after="0" w:line="240" w:lineRule="auto"/>
              <w:rPr>
                <w:sz w:val="21"/>
                <w:szCs w:val="21"/>
              </w:rPr>
            </w:pPr>
            <w:r>
              <w:rPr>
                <w:rFonts w:hint="eastAsia"/>
                <w:sz w:val="21"/>
                <w:szCs w:val="21"/>
              </w:rPr>
              <w:t>年均值</w:t>
            </w:r>
          </w:p>
        </w:tc>
        <w:tc>
          <w:tcPr>
            <w:tcW w:w="1479" w:type="dxa"/>
            <w:vAlign w:val="center"/>
          </w:tcPr>
          <w:p>
            <w:pPr>
              <w:pStyle w:val="592"/>
              <w:snapToGrid w:val="0"/>
              <w:spacing w:before="0" w:after="0" w:line="240" w:lineRule="auto"/>
              <w:rPr>
                <w:sz w:val="21"/>
                <w:szCs w:val="21"/>
              </w:rPr>
            </w:pPr>
            <w:r>
              <w:rPr>
                <w:sz w:val="21"/>
                <w:szCs w:val="21"/>
              </w:rPr>
              <w:t>73.8</w:t>
            </w:r>
            <w:r>
              <w:rPr>
                <w:rFonts w:eastAsiaTheme="minorEastAsia"/>
                <w:szCs w:val="24"/>
              </w:rPr>
              <w:t>μg/m</w:t>
            </w:r>
            <w:r>
              <w:rPr>
                <w:rFonts w:eastAsiaTheme="minorEastAsia"/>
                <w:szCs w:val="24"/>
                <w:vertAlign w:val="superscript"/>
              </w:rPr>
              <w:t>3</w:t>
            </w:r>
          </w:p>
        </w:tc>
        <w:tc>
          <w:tcPr>
            <w:tcW w:w="1291" w:type="dxa"/>
            <w:vAlign w:val="center"/>
          </w:tcPr>
          <w:p>
            <w:pPr>
              <w:pStyle w:val="592"/>
              <w:snapToGrid w:val="0"/>
              <w:spacing w:before="0" w:after="0" w:line="240" w:lineRule="auto"/>
              <w:rPr>
                <w:sz w:val="21"/>
                <w:szCs w:val="21"/>
              </w:rPr>
            </w:pPr>
            <w:r>
              <w:rPr>
                <w:rFonts w:hint="eastAsia"/>
                <w:sz w:val="21"/>
                <w:szCs w:val="21"/>
              </w:rPr>
              <w:t>7</w:t>
            </w:r>
            <w:r>
              <w:rPr>
                <w:sz w:val="21"/>
                <w:szCs w:val="21"/>
              </w:rPr>
              <w:t>0</w:t>
            </w:r>
            <w:r>
              <w:rPr>
                <w:rFonts w:eastAsiaTheme="minorEastAsia"/>
                <w:szCs w:val="24"/>
              </w:rPr>
              <w:t>μg/m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105.4</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超标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P</w:t>
            </w:r>
            <w:r>
              <w:rPr>
                <w:sz w:val="21"/>
                <w:szCs w:val="21"/>
              </w:rPr>
              <w:t>M</w:t>
            </w:r>
            <w:r>
              <w:rPr>
                <w:sz w:val="21"/>
                <w:szCs w:val="21"/>
                <w:vertAlign w:val="subscript"/>
              </w:rPr>
              <w:t>2.5</w:t>
            </w:r>
          </w:p>
        </w:tc>
        <w:tc>
          <w:tcPr>
            <w:tcW w:w="1834" w:type="dxa"/>
            <w:vAlign w:val="center"/>
          </w:tcPr>
          <w:p>
            <w:pPr>
              <w:pStyle w:val="592"/>
              <w:snapToGrid w:val="0"/>
              <w:spacing w:before="0" w:after="0" w:line="240" w:lineRule="auto"/>
              <w:rPr>
                <w:sz w:val="21"/>
                <w:szCs w:val="21"/>
              </w:rPr>
            </w:pPr>
            <w:r>
              <w:rPr>
                <w:rFonts w:hint="eastAsia"/>
                <w:sz w:val="21"/>
                <w:szCs w:val="21"/>
              </w:rPr>
              <w:t>年均值</w:t>
            </w:r>
          </w:p>
        </w:tc>
        <w:tc>
          <w:tcPr>
            <w:tcW w:w="1479" w:type="dxa"/>
            <w:vAlign w:val="center"/>
          </w:tcPr>
          <w:p>
            <w:pPr>
              <w:pStyle w:val="592"/>
              <w:snapToGrid w:val="0"/>
              <w:spacing w:before="0" w:after="0" w:line="240" w:lineRule="auto"/>
              <w:rPr>
                <w:sz w:val="21"/>
                <w:szCs w:val="21"/>
              </w:rPr>
            </w:pPr>
            <w:r>
              <w:rPr>
                <w:sz w:val="21"/>
                <w:szCs w:val="21"/>
              </w:rPr>
              <w:t>46.7</w:t>
            </w:r>
            <w:r>
              <w:rPr>
                <w:rFonts w:eastAsiaTheme="minorEastAsia"/>
                <w:szCs w:val="24"/>
              </w:rPr>
              <w:t>μg/m</w:t>
            </w:r>
            <w:r>
              <w:rPr>
                <w:rFonts w:eastAsiaTheme="minorEastAsia"/>
                <w:szCs w:val="24"/>
                <w:vertAlign w:val="superscript"/>
              </w:rPr>
              <w:t>3</w:t>
            </w:r>
          </w:p>
        </w:tc>
        <w:tc>
          <w:tcPr>
            <w:tcW w:w="1291" w:type="dxa"/>
            <w:vAlign w:val="center"/>
          </w:tcPr>
          <w:p>
            <w:pPr>
              <w:pStyle w:val="592"/>
              <w:snapToGrid w:val="0"/>
              <w:spacing w:before="0" w:after="0" w:line="240" w:lineRule="auto"/>
              <w:rPr>
                <w:sz w:val="21"/>
                <w:szCs w:val="21"/>
              </w:rPr>
            </w:pPr>
            <w:r>
              <w:rPr>
                <w:rFonts w:hint="eastAsia"/>
                <w:sz w:val="21"/>
                <w:szCs w:val="21"/>
              </w:rPr>
              <w:t>3</w:t>
            </w:r>
            <w:r>
              <w:rPr>
                <w:sz w:val="21"/>
                <w:szCs w:val="21"/>
              </w:rPr>
              <w:t>5</w:t>
            </w:r>
            <w:r>
              <w:rPr>
                <w:rFonts w:eastAsiaTheme="minorEastAsia"/>
                <w:szCs w:val="24"/>
              </w:rPr>
              <w:t>μg/m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133.4</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超标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C</w:t>
            </w:r>
            <w:r>
              <w:rPr>
                <w:sz w:val="21"/>
                <w:szCs w:val="21"/>
              </w:rPr>
              <w:t>O</w:t>
            </w:r>
          </w:p>
        </w:tc>
        <w:tc>
          <w:tcPr>
            <w:tcW w:w="1834" w:type="dxa"/>
            <w:vAlign w:val="center"/>
          </w:tcPr>
          <w:p>
            <w:pPr>
              <w:pStyle w:val="592"/>
              <w:snapToGrid w:val="0"/>
              <w:spacing w:before="0" w:after="0" w:line="240" w:lineRule="auto"/>
              <w:rPr>
                <w:sz w:val="21"/>
                <w:szCs w:val="21"/>
              </w:rPr>
            </w:pPr>
            <w:r>
              <w:rPr>
                <w:rFonts w:hint="eastAsia"/>
                <w:sz w:val="21"/>
                <w:szCs w:val="21"/>
              </w:rPr>
              <w:t>2</w:t>
            </w:r>
            <w:r>
              <w:rPr>
                <w:sz w:val="21"/>
                <w:szCs w:val="21"/>
              </w:rPr>
              <w:t>4</w:t>
            </w:r>
            <w:r>
              <w:rPr>
                <w:rFonts w:hint="eastAsia"/>
                <w:sz w:val="21"/>
                <w:szCs w:val="21"/>
              </w:rPr>
              <w:t>小时均值</w:t>
            </w:r>
          </w:p>
        </w:tc>
        <w:tc>
          <w:tcPr>
            <w:tcW w:w="1479" w:type="dxa"/>
            <w:vAlign w:val="center"/>
          </w:tcPr>
          <w:p>
            <w:pPr>
              <w:pStyle w:val="592"/>
              <w:snapToGrid w:val="0"/>
              <w:spacing w:before="0" w:after="0" w:line="240" w:lineRule="auto"/>
              <w:rPr>
                <w:sz w:val="21"/>
                <w:szCs w:val="21"/>
              </w:rPr>
            </w:pPr>
            <w:r>
              <w:rPr>
                <w:rFonts w:eastAsiaTheme="minorEastAsia"/>
                <w:sz w:val="21"/>
                <w:szCs w:val="21"/>
              </w:rPr>
              <w:t>1.5m</w:t>
            </w:r>
            <w:r>
              <w:rPr>
                <w:sz w:val="21"/>
                <w:szCs w:val="21"/>
              </w:rPr>
              <w:t>g</w:t>
            </w:r>
            <w:r>
              <w:rPr>
                <w:rFonts w:hint="eastAsia"/>
                <w:sz w:val="21"/>
                <w:szCs w:val="21"/>
              </w:rPr>
              <w:t>/</w:t>
            </w:r>
            <w:r>
              <w:rPr>
                <w:sz w:val="21"/>
                <w:szCs w:val="21"/>
              </w:rPr>
              <w:t>m</w:t>
            </w:r>
            <w:r>
              <w:rPr>
                <w:sz w:val="21"/>
                <w:szCs w:val="21"/>
                <w:vertAlign w:val="superscript"/>
              </w:rPr>
              <w:t>3</w:t>
            </w:r>
          </w:p>
        </w:tc>
        <w:tc>
          <w:tcPr>
            <w:tcW w:w="1291" w:type="dxa"/>
            <w:vAlign w:val="center"/>
          </w:tcPr>
          <w:p>
            <w:pPr>
              <w:pStyle w:val="592"/>
              <w:snapToGrid w:val="0"/>
              <w:spacing w:before="0" w:after="0" w:line="240" w:lineRule="auto"/>
              <w:rPr>
                <w:sz w:val="21"/>
                <w:szCs w:val="21"/>
              </w:rPr>
            </w:pPr>
            <w:r>
              <w:rPr>
                <w:sz w:val="21"/>
                <w:szCs w:val="21"/>
              </w:rPr>
              <w:t>4</w:t>
            </w:r>
            <w:r>
              <w:rPr>
                <w:rFonts w:hint="eastAsia"/>
                <w:sz w:val="21"/>
                <w:szCs w:val="21"/>
              </w:rPr>
              <w:t>m</w:t>
            </w:r>
            <w:r>
              <w:rPr>
                <w:rFonts w:eastAsiaTheme="minorEastAsia"/>
                <w:szCs w:val="24"/>
              </w:rPr>
              <w:t>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37.5</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37" w:type="dxa"/>
            <w:vAlign w:val="center"/>
          </w:tcPr>
          <w:p>
            <w:pPr>
              <w:pStyle w:val="592"/>
              <w:snapToGrid w:val="0"/>
              <w:spacing w:before="0" w:after="0" w:line="240" w:lineRule="auto"/>
              <w:rPr>
                <w:sz w:val="21"/>
                <w:szCs w:val="21"/>
              </w:rPr>
            </w:pPr>
            <w:r>
              <w:rPr>
                <w:rFonts w:hint="eastAsia"/>
                <w:sz w:val="21"/>
                <w:szCs w:val="21"/>
              </w:rPr>
              <w:t>O</w:t>
            </w:r>
            <w:r>
              <w:rPr>
                <w:sz w:val="21"/>
                <w:szCs w:val="21"/>
                <w:vertAlign w:val="subscript"/>
              </w:rPr>
              <w:t>3</w:t>
            </w:r>
          </w:p>
        </w:tc>
        <w:tc>
          <w:tcPr>
            <w:tcW w:w="1834" w:type="dxa"/>
            <w:vAlign w:val="center"/>
          </w:tcPr>
          <w:p>
            <w:pPr>
              <w:pStyle w:val="592"/>
              <w:snapToGrid w:val="0"/>
              <w:spacing w:before="0" w:after="0" w:line="240" w:lineRule="auto"/>
              <w:rPr>
                <w:sz w:val="21"/>
                <w:szCs w:val="21"/>
              </w:rPr>
            </w:pPr>
            <w:r>
              <w:rPr>
                <w:rFonts w:hint="eastAsia"/>
                <w:sz w:val="21"/>
                <w:szCs w:val="21"/>
              </w:rPr>
              <w:t>日最大8</w:t>
            </w:r>
            <w:r>
              <w:rPr>
                <w:sz w:val="21"/>
                <w:szCs w:val="21"/>
              </w:rPr>
              <w:t>h</w:t>
            </w:r>
            <w:r>
              <w:rPr>
                <w:rFonts w:hint="eastAsia"/>
                <w:sz w:val="21"/>
                <w:szCs w:val="21"/>
              </w:rPr>
              <w:t>平均值</w:t>
            </w:r>
          </w:p>
        </w:tc>
        <w:tc>
          <w:tcPr>
            <w:tcW w:w="1479" w:type="dxa"/>
            <w:vAlign w:val="center"/>
          </w:tcPr>
          <w:p>
            <w:pPr>
              <w:pStyle w:val="592"/>
              <w:snapToGrid w:val="0"/>
              <w:spacing w:before="0" w:after="0" w:line="240" w:lineRule="auto"/>
              <w:rPr>
                <w:sz w:val="21"/>
                <w:szCs w:val="21"/>
              </w:rPr>
            </w:pPr>
            <w:r>
              <w:rPr>
                <w:sz w:val="21"/>
                <w:szCs w:val="21"/>
              </w:rPr>
              <w:t>135.5</w:t>
            </w:r>
            <w:r>
              <w:rPr>
                <w:rFonts w:eastAsiaTheme="minorEastAsia"/>
                <w:szCs w:val="24"/>
              </w:rPr>
              <w:t>μg/m</w:t>
            </w:r>
            <w:r>
              <w:rPr>
                <w:rFonts w:eastAsiaTheme="minorEastAsia"/>
                <w:szCs w:val="24"/>
                <w:vertAlign w:val="superscript"/>
              </w:rPr>
              <w:t>3</w:t>
            </w:r>
          </w:p>
        </w:tc>
        <w:tc>
          <w:tcPr>
            <w:tcW w:w="1291" w:type="dxa"/>
            <w:vAlign w:val="center"/>
          </w:tcPr>
          <w:p>
            <w:pPr>
              <w:pStyle w:val="592"/>
              <w:snapToGrid w:val="0"/>
              <w:spacing w:before="0" w:after="0" w:line="240" w:lineRule="auto"/>
              <w:rPr>
                <w:sz w:val="21"/>
                <w:szCs w:val="21"/>
              </w:rPr>
            </w:pPr>
            <w:r>
              <w:rPr>
                <w:rFonts w:hint="eastAsia"/>
                <w:sz w:val="21"/>
                <w:szCs w:val="21"/>
              </w:rPr>
              <w:t>1</w:t>
            </w:r>
            <w:r>
              <w:rPr>
                <w:sz w:val="21"/>
                <w:szCs w:val="21"/>
              </w:rPr>
              <w:t>60</w:t>
            </w:r>
            <w:r>
              <w:rPr>
                <w:rFonts w:eastAsiaTheme="minorEastAsia"/>
                <w:szCs w:val="24"/>
              </w:rPr>
              <w:t>μg/m</w:t>
            </w:r>
            <w:r>
              <w:rPr>
                <w:rFonts w:eastAsiaTheme="minorEastAsia"/>
                <w:szCs w:val="24"/>
                <w:vertAlign w:val="superscript"/>
              </w:rPr>
              <w:t>3</w:t>
            </w:r>
          </w:p>
        </w:tc>
        <w:tc>
          <w:tcPr>
            <w:tcW w:w="1386" w:type="dxa"/>
            <w:vAlign w:val="center"/>
          </w:tcPr>
          <w:p>
            <w:pPr>
              <w:pStyle w:val="592"/>
              <w:snapToGrid w:val="0"/>
              <w:spacing w:before="0" w:after="0" w:line="240" w:lineRule="auto"/>
              <w:rPr>
                <w:sz w:val="21"/>
                <w:szCs w:val="21"/>
              </w:rPr>
            </w:pPr>
            <w:r>
              <w:rPr>
                <w:sz w:val="21"/>
                <w:szCs w:val="21"/>
              </w:rPr>
              <w:t>84.7</w:t>
            </w:r>
            <w:r>
              <w:rPr>
                <w:rFonts w:hint="eastAsia"/>
                <w:sz w:val="21"/>
                <w:szCs w:val="21"/>
              </w:rPr>
              <w:t>%</w:t>
            </w:r>
          </w:p>
        </w:tc>
        <w:tc>
          <w:tcPr>
            <w:tcW w:w="1386" w:type="dxa"/>
            <w:vAlign w:val="center"/>
          </w:tcPr>
          <w:p>
            <w:pPr>
              <w:pStyle w:val="592"/>
              <w:snapToGrid w:val="0"/>
              <w:spacing w:before="0" w:after="0" w:line="240" w:lineRule="auto"/>
              <w:rPr>
                <w:sz w:val="21"/>
                <w:szCs w:val="21"/>
              </w:rPr>
            </w:pPr>
            <w:r>
              <w:rPr>
                <w:rFonts w:hint="eastAsia"/>
                <w:sz w:val="21"/>
                <w:szCs w:val="21"/>
              </w:rPr>
              <w:t>达标</w:t>
            </w:r>
          </w:p>
        </w:tc>
      </w:tr>
    </w:tbl>
    <w:p>
      <w:pPr>
        <w:ind w:firstLine="480" w:firstLineChars="200"/>
      </w:pPr>
      <w:r>
        <w:rPr>
          <w:rFonts w:hint="eastAsia"/>
        </w:rPr>
        <w:t>由上表可知，项目所在乐山市环境空气中除 PM</w:t>
      </w:r>
      <w:r>
        <w:rPr>
          <w:rFonts w:hint="eastAsia"/>
          <w:vertAlign w:val="subscript"/>
        </w:rPr>
        <w:t>2.5</w:t>
      </w:r>
      <w:r>
        <w:rPr>
          <w:rFonts w:hint="eastAsia"/>
        </w:rPr>
        <w:t>、P</w:t>
      </w:r>
      <w:r>
        <w:t>M</w:t>
      </w:r>
      <w:r>
        <w:rPr>
          <w:vertAlign w:val="subscript"/>
        </w:rPr>
        <w:t>10</w:t>
      </w:r>
      <w:r>
        <w:rPr>
          <w:rFonts w:hint="eastAsia"/>
        </w:rPr>
        <w:t>外，其他常规因子均达《环境空气质量标准》（GB3095-2012）二级标准，因此乐山市环境空气质量不达标，为不达标区。</w:t>
      </w:r>
    </w:p>
    <w:p>
      <w:pPr>
        <w:pStyle w:val="2500"/>
        <w:spacing w:before="120" w:after="60" w:line="360" w:lineRule="auto"/>
        <w:ind w:firstLine="0" w:firstLineChars="0"/>
        <w:jc w:val="left"/>
        <w:outlineLvl w:val="2"/>
        <w:rPr>
          <w:rFonts w:ascii="Times New Roman" w:hAnsi="Times New Roman" w:eastAsia="黑体"/>
          <w:bCs/>
          <w:sz w:val="28"/>
          <w:szCs w:val="28"/>
        </w:rPr>
      </w:pPr>
      <w:r>
        <w:rPr>
          <w:rFonts w:ascii="Times New Roman" w:hAnsi="Times New Roman" w:eastAsia="黑体"/>
          <w:bCs/>
          <w:sz w:val="28"/>
          <w:szCs w:val="28"/>
        </w:rPr>
        <w:t>6.1.2 环境空气质量达标</w:t>
      </w:r>
      <w:r>
        <w:rPr>
          <w:rFonts w:hint="eastAsia" w:ascii="Times New Roman" w:hAnsi="Times New Roman" w:eastAsia="黑体"/>
          <w:bCs/>
          <w:sz w:val="28"/>
          <w:szCs w:val="28"/>
        </w:rPr>
        <w:t>规划</w:t>
      </w:r>
    </w:p>
    <w:p>
      <w:pPr>
        <w:ind w:firstLine="480" w:firstLineChars="200"/>
      </w:pPr>
      <w:r>
        <w:t>根据</w:t>
      </w:r>
      <w:r>
        <w:rPr>
          <w:rFonts w:hint="eastAsia"/>
        </w:rPr>
        <w:t>《井研县空气质量达标规划</w:t>
      </w:r>
      <w:bookmarkStart w:id="621" w:name="_Toc14077176"/>
      <w:bookmarkStart w:id="622" w:name="_Toc15895230"/>
      <w:bookmarkStart w:id="623" w:name="_Toc8114786"/>
      <w:bookmarkStart w:id="624" w:name="_Toc531602105"/>
      <w:bookmarkStart w:id="625" w:name="_Toc15895117"/>
      <w:bookmarkStart w:id="626" w:name="_Toc531602190"/>
      <w:bookmarkStart w:id="627" w:name="_Toc15895186"/>
      <w:r>
        <w:t>（201</w:t>
      </w:r>
      <w:r>
        <w:rPr>
          <w:rFonts w:hint="eastAsia"/>
        </w:rPr>
        <w:t>7</w:t>
      </w:r>
      <w:r>
        <w:t>~2025）</w:t>
      </w:r>
      <w:bookmarkEnd w:id="621"/>
      <w:bookmarkEnd w:id="622"/>
      <w:bookmarkEnd w:id="623"/>
      <w:bookmarkEnd w:id="624"/>
      <w:bookmarkEnd w:id="625"/>
      <w:bookmarkEnd w:id="626"/>
      <w:bookmarkEnd w:id="627"/>
      <w:r>
        <w:rPr>
          <w:rFonts w:hint="eastAsia"/>
        </w:rPr>
        <w:t>》</w:t>
      </w:r>
      <w:r>
        <w:t>中大气环境质量达标总体战略</w:t>
      </w:r>
      <w:r>
        <w:rPr>
          <w:rFonts w:hint="eastAsia"/>
        </w:rPr>
        <w:t>：以环境空气质量达标为核心，以细颗粒物作为重点控制对象，实施空气质量达标战略。优化产业结构和布局，推进能源结构调整，深化工业锅炉、建材行业整治，有效控制城市扬尘、机动车、秸秆焚烧等污染物排放，推进多源协同控制，落实各部门防控责任，提升区域大气污染总体防控能力。</w:t>
      </w:r>
    </w:p>
    <w:p>
      <w:pPr>
        <w:ind w:firstLine="480" w:firstLineChars="200"/>
      </w:pPr>
      <w:r>
        <w:rPr>
          <w:rFonts w:hint="eastAsia"/>
        </w:rPr>
        <w:t>分阶段战略：</w:t>
      </w:r>
    </w:p>
    <w:p>
      <w:pPr>
        <w:ind w:firstLine="480" w:firstLineChars="200"/>
      </w:pPr>
      <w:r>
        <w:rPr>
          <w:rFonts w:hint="eastAsia"/>
        </w:rPr>
        <w:t>近期（2018~2020）：“十三五期间”，主要通过控车、控尘及调整工业布局、调整产业结构、能源结构，和各区县、市级部门建立“三控三调三联动”，集中攻坚消减大气污染物排放总量。严格执行大气污染物排放标准限值，强化产业和能源结构调整、工业污染源治理、餐饮油烟整治、建筑和道路扬尘整治、机动车污染整治、秸秆露天焚烧整治等六大专项行动，着力解决灰霾问题。</w:t>
      </w:r>
    </w:p>
    <w:p>
      <w:pPr>
        <w:ind w:firstLine="480" w:firstLineChars="200"/>
      </w:pPr>
      <w:r>
        <w:rPr>
          <w:rFonts w:hint="eastAsia"/>
        </w:rPr>
        <w:t>加强“散乱污”企业管控；大力实施煤改电、煤改气；以区域重点企业末端治理为抓手，提升化工、印染等重点行业污染物治理效率；通过淘汰黄标车、油品升级、机动车排放标准升级等综合管理措施，提升机动车综合管理水平；通过控制扬尘污染、控制秸秆露天焚烧、控制餐饮污染等手段深化面源治理。</w:t>
      </w:r>
    </w:p>
    <w:p>
      <w:pPr>
        <w:ind w:firstLine="480" w:firstLineChars="200"/>
      </w:pPr>
      <w:r>
        <w:rPr>
          <w:rFonts w:hint="eastAsia"/>
        </w:rPr>
        <w:t>通过上述措施，切实有效减少多种污染物排放量，初步实现环境空气质量改善。</w:t>
      </w:r>
    </w:p>
    <w:p>
      <w:pPr>
        <w:ind w:firstLine="480" w:firstLineChars="200"/>
      </w:pPr>
      <w:r>
        <w:rPr>
          <w:rFonts w:hint="eastAsia"/>
        </w:rPr>
        <w:t>中长期（2021~2025）：强化工业源治理，逐步调整产业结构，以大气环境达标倒逼产业转型升级，逐步实现大气污染控制从末端治理到源头控制过渡，加快区域绿色工业发展进程。强化大气污染物排放源头控制，以空间格局及产业布局优化为切入点，通过严格环境准入、企业搬迁、产能淘汰等差异化的地域空间管理要求，引导产业发展格局优化升级；通过提高环境准入门槛、淘汰落后产能等方式倒逼能源结构和产业机构优化升级。综合通过资源能源消费总量控制、调整产业结构、空气布局优化等手段，从源头控制大气污染物排放。</w:t>
      </w:r>
    </w:p>
    <w:p>
      <w:pPr>
        <w:pStyle w:val="2500"/>
        <w:spacing w:before="120" w:after="60" w:line="360" w:lineRule="auto"/>
        <w:ind w:firstLine="0" w:firstLineChars="0"/>
        <w:jc w:val="left"/>
        <w:outlineLvl w:val="2"/>
        <w:rPr>
          <w:rFonts w:ascii="Times New Roman" w:hAnsi="Times New Roman" w:eastAsia="黑体"/>
          <w:bCs/>
          <w:sz w:val="28"/>
          <w:szCs w:val="28"/>
        </w:rPr>
      </w:pPr>
      <w:r>
        <w:rPr>
          <w:rFonts w:ascii="Times New Roman" w:hAnsi="Times New Roman" w:eastAsia="黑体"/>
          <w:bCs/>
          <w:sz w:val="28"/>
          <w:szCs w:val="28"/>
        </w:rPr>
        <w:t>6</w:t>
      </w:r>
      <w:r>
        <w:rPr>
          <w:rFonts w:hint="eastAsia" w:ascii="Times New Roman" w:hAnsi="Times New Roman" w:eastAsia="黑体"/>
          <w:bCs/>
          <w:sz w:val="28"/>
          <w:szCs w:val="28"/>
        </w:rPr>
        <w:t>.1.</w:t>
      </w:r>
      <w:r>
        <w:rPr>
          <w:rFonts w:ascii="Times New Roman" w:hAnsi="Times New Roman" w:eastAsia="黑体"/>
          <w:bCs/>
          <w:sz w:val="28"/>
          <w:szCs w:val="28"/>
        </w:rPr>
        <w:t xml:space="preserve">3 </w:t>
      </w:r>
      <w:r>
        <w:rPr>
          <w:rFonts w:hint="eastAsia" w:ascii="Times New Roman" w:hAnsi="Times New Roman" w:eastAsia="黑体"/>
          <w:bCs/>
          <w:sz w:val="28"/>
          <w:szCs w:val="28"/>
        </w:rPr>
        <w:t>其他污染物</w:t>
      </w:r>
      <w:r>
        <w:rPr>
          <w:rFonts w:ascii="Times New Roman" w:hAnsi="Times New Roman" w:eastAsia="黑体"/>
          <w:bCs/>
          <w:sz w:val="28"/>
          <w:szCs w:val="28"/>
        </w:rPr>
        <w:t>环境质量现状</w:t>
      </w:r>
      <w:r>
        <w:rPr>
          <w:rFonts w:hint="eastAsia" w:ascii="Times New Roman" w:hAnsi="Times New Roman" w:eastAsia="黑体"/>
          <w:bCs/>
          <w:sz w:val="28"/>
          <w:szCs w:val="28"/>
        </w:rPr>
        <w:t>补充</w:t>
      </w:r>
      <w:r>
        <w:rPr>
          <w:rFonts w:ascii="Times New Roman" w:hAnsi="Times New Roman" w:eastAsia="黑体"/>
          <w:bCs/>
          <w:sz w:val="28"/>
          <w:szCs w:val="28"/>
        </w:rPr>
        <w:t>监测</w:t>
      </w:r>
    </w:p>
    <w:p>
      <w:pPr>
        <w:ind w:firstLine="480" w:firstLineChars="200"/>
      </w:pPr>
      <w:r>
        <w:rPr>
          <w:rFonts w:hint="eastAsia"/>
        </w:rPr>
        <w:t>（1）监测点设置</w:t>
      </w:r>
    </w:p>
    <w:p>
      <w:pPr>
        <w:ind w:firstLine="480" w:firstLineChars="200"/>
      </w:pPr>
      <w:r>
        <w:rPr>
          <w:rFonts w:hint="eastAsia"/>
        </w:rPr>
        <w:t>本次评价补充监测的点位布设具体情况见表6</w:t>
      </w:r>
      <w:r>
        <w:t>.1-2</w:t>
      </w:r>
      <w:r>
        <w:rPr>
          <w:rFonts w:hint="eastAsia"/>
        </w:rPr>
        <w:t>所示。</w:t>
      </w:r>
    </w:p>
    <w:p>
      <w:pPr>
        <w:spacing w:line="240" w:lineRule="auto"/>
        <w:jc w:val="center"/>
        <w:rPr>
          <w:rFonts w:eastAsia="黑体"/>
        </w:rPr>
      </w:pPr>
      <w:r>
        <w:rPr>
          <w:rFonts w:hint="eastAsia" w:eastAsia="黑体"/>
        </w:rPr>
        <w:t>表</w:t>
      </w:r>
      <w:r>
        <w:rPr>
          <w:rFonts w:eastAsia="黑体"/>
        </w:rPr>
        <w:t>6</w:t>
      </w:r>
      <w:r>
        <w:rPr>
          <w:rFonts w:hint="eastAsia" w:eastAsia="黑体"/>
        </w:rPr>
        <w:t>.</w:t>
      </w:r>
      <w:r>
        <w:rPr>
          <w:rFonts w:eastAsia="黑体"/>
        </w:rPr>
        <w:t>1-2  其他</w:t>
      </w:r>
      <w:r>
        <w:rPr>
          <w:rFonts w:hint="eastAsia" w:eastAsia="黑体"/>
        </w:rPr>
        <w:t>污染物补充监测点位基本信息</w:t>
      </w:r>
    </w:p>
    <w:tbl>
      <w:tblPr>
        <w:tblStyle w:val="8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84"/>
        <w:gridCol w:w="1564"/>
        <w:gridCol w:w="1449"/>
        <w:gridCol w:w="951"/>
        <w:gridCol w:w="1134"/>
        <w:gridCol w:w="1128"/>
        <w:gridCol w:w="141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916" w:type="dxa"/>
            <w:vMerge w:val="restart"/>
            <w:shd w:val="clear" w:color="auto" w:fill="auto"/>
            <w:vAlign w:val="center"/>
          </w:tcPr>
          <w:p>
            <w:pPr>
              <w:snapToGrid w:val="0"/>
              <w:spacing w:line="240" w:lineRule="auto"/>
              <w:jc w:val="center"/>
              <w:rPr>
                <w:sz w:val="18"/>
                <w:szCs w:val="18"/>
              </w:rPr>
            </w:pPr>
            <w:r>
              <w:rPr>
                <w:rFonts w:hint="eastAsia"/>
                <w:sz w:val="18"/>
                <w:szCs w:val="18"/>
              </w:rPr>
              <w:t>监测点名称</w:t>
            </w:r>
          </w:p>
        </w:tc>
        <w:tc>
          <w:tcPr>
            <w:tcW w:w="3051" w:type="dxa"/>
            <w:gridSpan w:val="2"/>
            <w:shd w:val="clear" w:color="auto" w:fill="auto"/>
            <w:vAlign w:val="center"/>
          </w:tcPr>
          <w:p>
            <w:pPr>
              <w:snapToGrid w:val="0"/>
              <w:spacing w:line="240" w:lineRule="auto"/>
              <w:jc w:val="center"/>
              <w:rPr>
                <w:sz w:val="18"/>
                <w:szCs w:val="18"/>
              </w:rPr>
            </w:pPr>
            <w:r>
              <w:rPr>
                <w:rFonts w:hint="eastAsia"/>
                <w:sz w:val="18"/>
                <w:szCs w:val="18"/>
              </w:rPr>
              <w:t>监测点坐标</w:t>
            </w:r>
            <w:r>
              <w:rPr>
                <w:sz w:val="18"/>
                <w:szCs w:val="18"/>
              </w:rPr>
              <w:t>/m</w:t>
            </w:r>
          </w:p>
        </w:tc>
        <w:tc>
          <w:tcPr>
            <w:tcW w:w="978" w:type="dxa"/>
            <w:vMerge w:val="restart"/>
            <w:shd w:val="clear" w:color="auto" w:fill="auto"/>
            <w:vAlign w:val="center"/>
          </w:tcPr>
          <w:p>
            <w:pPr>
              <w:snapToGrid w:val="0"/>
              <w:spacing w:line="240" w:lineRule="auto"/>
              <w:jc w:val="center"/>
              <w:rPr>
                <w:sz w:val="18"/>
                <w:szCs w:val="18"/>
              </w:rPr>
            </w:pPr>
            <w:r>
              <w:rPr>
                <w:rFonts w:hint="eastAsia"/>
                <w:sz w:val="18"/>
                <w:szCs w:val="18"/>
              </w:rPr>
              <w:t>监测因子</w:t>
            </w:r>
          </w:p>
        </w:tc>
        <w:tc>
          <w:tcPr>
            <w:tcW w:w="1134" w:type="dxa"/>
            <w:vMerge w:val="restart"/>
            <w:vAlign w:val="center"/>
          </w:tcPr>
          <w:p>
            <w:pPr>
              <w:snapToGrid w:val="0"/>
              <w:spacing w:line="240" w:lineRule="auto"/>
              <w:jc w:val="center"/>
              <w:rPr>
                <w:sz w:val="18"/>
                <w:szCs w:val="18"/>
              </w:rPr>
            </w:pPr>
            <w:r>
              <w:rPr>
                <w:rFonts w:hint="eastAsia"/>
                <w:sz w:val="18"/>
                <w:szCs w:val="18"/>
              </w:rPr>
              <w:t>监测时段</w:t>
            </w:r>
          </w:p>
        </w:tc>
        <w:tc>
          <w:tcPr>
            <w:tcW w:w="1175" w:type="dxa"/>
            <w:vMerge w:val="restart"/>
            <w:shd w:val="clear" w:color="auto" w:fill="auto"/>
            <w:vAlign w:val="center"/>
          </w:tcPr>
          <w:p>
            <w:pPr>
              <w:snapToGrid w:val="0"/>
              <w:spacing w:line="240" w:lineRule="auto"/>
              <w:jc w:val="center"/>
              <w:rPr>
                <w:sz w:val="18"/>
                <w:szCs w:val="18"/>
              </w:rPr>
            </w:pPr>
            <w:r>
              <w:rPr>
                <w:rFonts w:hint="eastAsia"/>
                <w:sz w:val="18"/>
                <w:szCs w:val="18"/>
              </w:rPr>
              <w:t>相对厂址方位</w:t>
            </w:r>
          </w:p>
        </w:tc>
        <w:tc>
          <w:tcPr>
            <w:tcW w:w="1467" w:type="dxa"/>
            <w:vMerge w:val="restart"/>
            <w:shd w:val="clear" w:color="auto" w:fill="auto"/>
            <w:vAlign w:val="center"/>
          </w:tcPr>
          <w:p>
            <w:pPr>
              <w:snapToGrid w:val="0"/>
              <w:spacing w:line="240" w:lineRule="auto"/>
              <w:jc w:val="center"/>
              <w:rPr>
                <w:sz w:val="18"/>
                <w:szCs w:val="18"/>
              </w:rPr>
            </w:pPr>
            <w:r>
              <w:rPr>
                <w:rFonts w:hint="eastAsia"/>
                <w:sz w:val="18"/>
                <w:szCs w:val="18"/>
              </w:rPr>
              <w:t>相对厂界距离</w:t>
            </w:r>
            <w:r>
              <w:rPr>
                <w:sz w:val="18"/>
                <w:szCs w:val="18"/>
              </w:rPr>
              <w:t>/m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916" w:type="dxa"/>
            <w:vMerge w:val="continue"/>
            <w:vAlign w:val="center"/>
          </w:tcPr>
          <w:p>
            <w:pPr>
              <w:snapToGrid w:val="0"/>
              <w:spacing w:line="240" w:lineRule="auto"/>
              <w:jc w:val="center"/>
              <w:rPr>
                <w:sz w:val="18"/>
                <w:szCs w:val="18"/>
              </w:rPr>
            </w:pPr>
          </w:p>
        </w:tc>
        <w:tc>
          <w:tcPr>
            <w:tcW w:w="1584" w:type="dxa"/>
            <w:shd w:val="clear" w:color="auto" w:fill="auto"/>
            <w:vAlign w:val="center"/>
          </w:tcPr>
          <w:p>
            <w:pPr>
              <w:snapToGrid w:val="0"/>
              <w:spacing w:line="240" w:lineRule="auto"/>
              <w:jc w:val="center"/>
              <w:rPr>
                <w:sz w:val="18"/>
                <w:szCs w:val="18"/>
              </w:rPr>
            </w:pPr>
            <w:r>
              <w:rPr>
                <w:sz w:val="18"/>
                <w:szCs w:val="18"/>
              </w:rPr>
              <w:t>X</w:t>
            </w:r>
            <w:r>
              <w:rPr>
                <w:rFonts w:hint="eastAsia"/>
                <w:sz w:val="18"/>
                <w:szCs w:val="18"/>
              </w:rPr>
              <w:t>（经度）</w:t>
            </w:r>
          </w:p>
        </w:tc>
        <w:tc>
          <w:tcPr>
            <w:tcW w:w="1467" w:type="dxa"/>
            <w:shd w:val="clear" w:color="auto" w:fill="auto"/>
            <w:vAlign w:val="center"/>
          </w:tcPr>
          <w:p>
            <w:pPr>
              <w:snapToGrid w:val="0"/>
              <w:spacing w:line="240" w:lineRule="auto"/>
              <w:jc w:val="center"/>
              <w:rPr>
                <w:sz w:val="18"/>
                <w:szCs w:val="18"/>
              </w:rPr>
            </w:pPr>
            <w:r>
              <w:rPr>
                <w:sz w:val="18"/>
                <w:szCs w:val="18"/>
              </w:rPr>
              <w:t>Y</w:t>
            </w:r>
            <w:r>
              <w:rPr>
                <w:rFonts w:hint="eastAsia"/>
                <w:sz w:val="18"/>
                <w:szCs w:val="18"/>
              </w:rPr>
              <w:t>（纬度））</w:t>
            </w:r>
          </w:p>
        </w:tc>
        <w:tc>
          <w:tcPr>
            <w:tcW w:w="978" w:type="dxa"/>
            <w:vMerge w:val="continue"/>
            <w:vAlign w:val="center"/>
          </w:tcPr>
          <w:p>
            <w:pPr>
              <w:snapToGrid w:val="0"/>
              <w:spacing w:line="240" w:lineRule="auto"/>
              <w:jc w:val="center"/>
              <w:rPr>
                <w:sz w:val="18"/>
                <w:szCs w:val="18"/>
              </w:rPr>
            </w:pPr>
          </w:p>
        </w:tc>
        <w:tc>
          <w:tcPr>
            <w:tcW w:w="1134" w:type="dxa"/>
            <w:vMerge w:val="continue"/>
            <w:vAlign w:val="center"/>
          </w:tcPr>
          <w:p>
            <w:pPr>
              <w:snapToGrid w:val="0"/>
              <w:spacing w:line="240" w:lineRule="auto"/>
              <w:jc w:val="center"/>
              <w:rPr>
                <w:sz w:val="18"/>
                <w:szCs w:val="18"/>
              </w:rPr>
            </w:pPr>
          </w:p>
        </w:tc>
        <w:tc>
          <w:tcPr>
            <w:tcW w:w="1175" w:type="dxa"/>
            <w:vMerge w:val="continue"/>
            <w:vAlign w:val="center"/>
          </w:tcPr>
          <w:p>
            <w:pPr>
              <w:snapToGrid w:val="0"/>
              <w:spacing w:line="240" w:lineRule="auto"/>
              <w:jc w:val="center"/>
              <w:rPr>
                <w:sz w:val="18"/>
                <w:szCs w:val="18"/>
              </w:rPr>
            </w:pPr>
          </w:p>
        </w:tc>
        <w:tc>
          <w:tcPr>
            <w:tcW w:w="1467" w:type="dxa"/>
            <w:vMerge w:val="continue"/>
            <w:vAlign w:val="center"/>
          </w:tcPr>
          <w:p>
            <w:pPr>
              <w:snapToGrid w:val="0"/>
              <w:spacing w:line="240" w:lineRule="auto"/>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916" w:type="dxa"/>
            <w:vMerge w:val="restart"/>
            <w:vAlign w:val="center"/>
          </w:tcPr>
          <w:p>
            <w:pPr>
              <w:snapToGrid w:val="0"/>
              <w:spacing w:line="240" w:lineRule="auto"/>
              <w:jc w:val="center"/>
              <w:rPr>
                <w:sz w:val="18"/>
                <w:szCs w:val="18"/>
              </w:rPr>
            </w:pPr>
            <w:r>
              <w:rPr>
                <w:sz w:val="18"/>
                <w:szCs w:val="18"/>
              </w:rPr>
              <w:t xml:space="preserve">1# </w:t>
            </w:r>
            <w:r>
              <w:rPr>
                <w:rFonts w:hint="eastAsia"/>
                <w:sz w:val="18"/>
                <w:szCs w:val="18"/>
              </w:rPr>
              <w:t>项目拟建厂址</w:t>
            </w:r>
          </w:p>
        </w:tc>
        <w:tc>
          <w:tcPr>
            <w:tcW w:w="1584" w:type="dxa"/>
            <w:vMerge w:val="restart"/>
            <w:shd w:val="clear" w:color="auto" w:fill="auto"/>
            <w:vAlign w:val="center"/>
          </w:tcPr>
          <w:p>
            <w:pPr>
              <w:snapToGrid w:val="0"/>
              <w:spacing w:line="240" w:lineRule="auto"/>
              <w:jc w:val="center"/>
              <w:rPr>
                <w:sz w:val="18"/>
                <w:szCs w:val="18"/>
              </w:rPr>
            </w:pPr>
            <w:r>
              <w:rPr>
                <w:sz w:val="18"/>
                <w:szCs w:val="18"/>
              </w:rPr>
              <w:t>104°12′47.93″</w:t>
            </w:r>
          </w:p>
        </w:tc>
        <w:tc>
          <w:tcPr>
            <w:tcW w:w="1467" w:type="dxa"/>
            <w:vMerge w:val="restart"/>
            <w:shd w:val="clear" w:color="auto" w:fill="auto"/>
            <w:vAlign w:val="center"/>
          </w:tcPr>
          <w:p>
            <w:pPr>
              <w:snapToGrid w:val="0"/>
              <w:spacing w:line="240" w:lineRule="auto"/>
              <w:jc w:val="center"/>
              <w:rPr>
                <w:sz w:val="18"/>
                <w:szCs w:val="18"/>
              </w:rPr>
            </w:pPr>
            <w:r>
              <w:rPr>
                <w:sz w:val="18"/>
                <w:szCs w:val="18"/>
              </w:rPr>
              <w:t>29°39′01.14″</w:t>
            </w:r>
          </w:p>
        </w:tc>
        <w:tc>
          <w:tcPr>
            <w:tcW w:w="978" w:type="dxa"/>
            <w:vAlign w:val="center"/>
          </w:tcPr>
          <w:p>
            <w:pPr>
              <w:snapToGrid w:val="0"/>
              <w:spacing w:line="240" w:lineRule="auto"/>
              <w:jc w:val="center"/>
              <w:rPr>
                <w:sz w:val="18"/>
                <w:szCs w:val="18"/>
              </w:rPr>
            </w:pPr>
            <w:r>
              <w:rPr>
                <w:sz w:val="18"/>
                <w:szCs w:val="18"/>
              </w:rPr>
              <w:t>NH</w:t>
            </w:r>
            <w:r>
              <w:rPr>
                <w:sz w:val="18"/>
                <w:szCs w:val="18"/>
                <w:vertAlign w:val="subscript"/>
              </w:rPr>
              <w:t>3</w:t>
            </w:r>
          </w:p>
        </w:tc>
        <w:tc>
          <w:tcPr>
            <w:tcW w:w="1134" w:type="dxa"/>
            <w:vMerge w:val="restart"/>
            <w:vAlign w:val="center"/>
          </w:tcPr>
          <w:p>
            <w:pPr>
              <w:snapToGrid w:val="0"/>
              <w:spacing w:line="240" w:lineRule="auto"/>
              <w:jc w:val="center"/>
              <w:rPr>
                <w:sz w:val="18"/>
                <w:szCs w:val="18"/>
              </w:rPr>
            </w:pPr>
            <w:r>
              <w:rPr>
                <w:sz w:val="18"/>
                <w:szCs w:val="18"/>
              </w:rPr>
              <w:t>2</w:t>
            </w:r>
            <w:r>
              <w:rPr>
                <w:rFonts w:hint="eastAsia"/>
                <w:sz w:val="18"/>
                <w:szCs w:val="18"/>
              </w:rPr>
              <w:t>:</w:t>
            </w:r>
            <w:r>
              <w:rPr>
                <w:sz w:val="18"/>
                <w:szCs w:val="18"/>
              </w:rPr>
              <w:t>00~3:00</w:t>
            </w:r>
          </w:p>
          <w:p>
            <w:pPr>
              <w:snapToGrid w:val="0"/>
              <w:spacing w:line="240" w:lineRule="auto"/>
              <w:jc w:val="center"/>
              <w:rPr>
                <w:sz w:val="18"/>
                <w:szCs w:val="18"/>
              </w:rPr>
            </w:pPr>
            <w:r>
              <w:rPr>
                <w:sz w:val="18"/>
                <w:szCs w:val="18"/>
              </w:rPr>
              <w:t>8:00~9:00</w:t>
            </w:r>
          </w:p>
          <w:p>
            <w:pPr>
              <w:snapToGrid w:val="0"/>
              <w:spacing w:line="240" w:lineRule="auto"/>
              <w:jc w:val="center"/>
              <w:rPr>
                <w:sz w:val="18"/>
                <w:szCs w:val="18"/>
              </w:rPr>
            </w:pPr>
            <w:r>
              <w:rPr>
                <w:sz w:val="18"/>
                <w:szCs w:val="18"/>
              </w:rPr>
              <w:t>14:00~15:00</w:t>
            </w:r>
          </w:p>
          <w:p>
            <w:pPr>
              <w:snapToGrid w:val="0"/>
              <w:spacing w:line="240" w:lineRule="auto"/>
              <w:jc w:val="center"/>
              <w:rPr>
                <w:sz w:val="18"/>
                <w:szCs w:val="18"/>
              </w:rPr>
            </w:pPr>
            <w:r>
              <w:rPr>
                <w:sz w:val="18"/>
                <w:szCs w:val="18"/>
              </w:rPr>
              <w:t>20:00~21:00</w:t>
            </w:r>
          </w:p>
        </w:tc>
        <w:tc>
          <w:tcPr>
            <w:tcW w:w="1175" w:type="dxa"/>
            <w:vMerge w:val="restart"/>
            <w:vAlign w:val="center"/>
          </w:tcPr>
          <w:p>
            <w:pPr>
              <w:snapToGrid w:val="0"/>
              <w:spacing w:line="240" w:lineRule="auto"/>
              <w:jc w:val="center"/>
              <w:rPr>
                <w:sz w:val="18"/>
                <w:szCs w:val="18"/>
              </w:rPr>
            </w:pPr>
            <w:r>
              <w:rPr>
                <w:rFonts w:hint="eastAsia"/>
                <w:sz w:val="18"/>
                <w:szCs w:val="18"/>
              </w:rPr>
              <w:t>/</w:t>
            </w:r>
          </w:p>
        </w:tc>
        <w:tc>
          <w:tcPr>
            <w:tcW w:w="1467" w:type="dxa"/>
            <w:vMerge w:val="restart"/>
            <w:vAlign w:val="center"/>
          </w:tcPr>
          <w:p>
            <w:pPr>
              <w:snapToGrid w:val="0"/>
              <w:spacing w:line="240" w:lineRule="auto"/>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916" w:type="dxa"/>
            <w:vMerge w:val="continue"/>
            <w:vAlign w:val="center"/>
          </w:tcPr>
          <w:p>
            <w:pPr>
              <w:snapToGrid w:val="0"/>
              <w:spacing w:line="240" w:lineRule="auto"/>
              <w:jc w:val="center"/>
              <w:rPr>
                <w:sz w:val="18"/>
                <w:szCs w:val="18"/>
              </w:rPr>
            </w:pPr>
          </w:p>
        </w:tc>
        <w:tc>
          <w:tcPr>
            <w:tcW w:w="1584" w:type="dxa"/>
            <w:vMerge w:val="continue"/>
            <w:shd w:val="clear" w:color="auto" w:fill="auto"/>
            <w:vAlign w:val="center"/>
          </w:tcPr>
          <w:p>
            <w:pPr>
              <w:snapToGrid w:val="0"/>
              <w:spacing w:line="240" w:lineRule="auto"/>
              <w:jc w:val="center"/>
              <w:rPr>
                <w:sz w:val="18"/>
                <w:szCs w:val="18"/>
              </w:rPr>
            </w:pPr>
          </w:p>
        </w:tc>
        <w:tc>
          <w:tcPr>
            <w:tcW w:w="1467" w:type="dxa"/>
            <w:vMerge w:val="continue"/>
            <w:shd w:val="clear" w:color="auto" w:fill="auto"/>
            <w:vAlign w:val="center"/>
          </w:tcPr>
          <w:p>
            <w:pPr>
              <w:snapToGrid w:val="0"/>
              <w:spacing w:line="240" w:lineRule="auto"/>
              <w:jc w:val="center"/>
              <w:rPr>
                <w:sz w:val="18"/>
                <w:szCs w:val="18"/>
              </w:rPr>
            </w:pPr>
          </w:p>
        </w:tc>
        <w:tc>
          <w:tcPr>
            <w:tcW w:w="978" w:type="dxa"/>
            <w:vAlign w:val="center"/>
          </w:tcPr>
          <w:p>
            <w:pPr>
              <w:snapToGrid w:val="0"/>
              <w:spacing w:line="240" w:lineRule="auto"/>
              <w:jc w:val="center"/>
              <w:rPr>
                <w:sz w:val="18"/>
                <w:szCs w:val="18"/>
              </w:rPr>
            </w:pPr>
            <w:r>
              <w:rPr>
                <w:sz w:val="18"/>
                <w:szCs w:val="18"/>
              </w:rPr>
              <w:t>H</w:t>
            </w:r>
            <w:r>
              <w:rPr>
                <w:sz w:val="18"/>
                <w:szCs w:val="18"/>
                <w:vertAlign w:val="subscript"/>
              </w:rPr>
              <w:t>2</w:t>
            </w:r>
            <w:r>
              <w:rPr>
                <w:sz w:val="18"/>
                <w:szCs w:val="18"/>
              </w:rPr>
              <w:t>S</w:t>
            </w:r>
          </w:p>
        </w:tc>
        <w:tc>
          <w:tcPr>
            <w:tcW w:w="1134" w:type="dxa"/>
            <w:vMerge w:val="continue"/>
            <w:vAlign w:val="center"/>
          </w:tcPr>
          <w:p>
            <w:pPr>
              <w:snapToGrid w:val="0"/>
              <w:spacing w:line="240" w:lineRule="auto"/>
              <w:jc w:val="center"/>
              <w:rPr>
                <w:sz w:val="18"/>
                <w:szCs w:val="18"/>
              </w:rPr>
            </w:pPr>
          </w:p>
        </w:tc>
        <w:tc>
          <w:tcPr>
            <w:tcW w:w="1175" w:type="dxa"/>
            <w:vMerge w:val="continue"/>
            <w:vAlign w:val="center"/>
          </w:tcPr>
          <w:p>
            <w:pPr>
              <w:snapToGrid w:val="0"/>
              <w:spacing w:line="240" w:lineRule="auto"/>
              <w:jc w:val="center"/>
              <w:rPr>
                <w:sz w:val="18"/>
                <w:szCs w:val="18"/>
              </w:rPr>
            </w:pPr>
          </w:p>
        </w:tc>
        <w:tc>
          <w:tcPr>
            <w:tcW w:w="1467" w:type="dxa"/>
            <w:vMerge w:val="continue"/>
            <w:vAlign w:val="center"/>
          </w:tcPr>
          <w:p>
            <w:pPr>
              <w:snapToGrid w:val="0"/>
              <w:spacing w:line="240" w:lineRule="auto"/>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916" w:type="dxa"/>
            <w:vAlign w:val="center"/>
          </w:tcPr>
          <w:p>
            <w:pPr>
              <w:snapToGrid w:val="0"/>
              <w:spacing w:line="240" w:lineRule="auto"/>
              <w:jc w:val="center"/>
              <w:rPr>
                <w:sz w:val="18"/>
                <w:szCs w:val="18"/>
              </w:rPr>
            </w:pPr>
            <w:r>
              <w:rPr>
                <w:rFonts w:hint="eastAsia"/>
                <w:sz w:val="18"/>
                <w:szCs w:val="18"/>
              </w:rPr>
              <w:t>2</w:t>
            </w:r>
            <w:r>
              <w:rPr>
                <w:sz w:val="18"/>
                <w:szCs w:val="18"/>
              </w:rPr>
              <w:t># 下风向</w:t>
            </w:r>
            <w:r>
              <w:rPr>
                <w:rFonts w:hint="eastAsia"/>
                <w:sz w:val="18"/>
                <w:szCs w:val="18"/>
              </w:rPr>
              <w:t>居民</w:t>
            </w:r>
          </w:p>
        </w:tc>
        <w:tc>
          <w:tcPr>
            <w:tcW w:w="1584" w:type="dxa"/>
            <w:shd w:val="clear" w:color="auto" w:fill="auto"/>
            <w:vAlign w:val="center"/>
          </w:tcPr>
          <w:p>
            <w:pPr>
              <w:snapToGrid w:val="0"/>
              <w:spacing w:line="240" w:lineRule="auto"/>
              <w:jc w:val="center"/>
              <w:rPr>
                <w:sz w:val="18"/>
                <w:szCs w:val="18"/>
              </w:rPr>
            </w:pPr>
            <w:r>
              <w:rPr>
                <w:rFonts w:hint="eastAsia"/>
                <w:sz w:val="18"/>
                <w:szCs w:val="18"/>
              </w:rPr>
              <w:t>10</w:t>
            </w:r>
            <w:r>
              <w:rPr>
                <w:sz w:val="18"/>
                <w:szCs w:val="18"/>
              </w:rPr>
              <w:t>4°12′50.21″</w:t>
            </w:r>
          </w:p>
        </w:tc>
        <w:tc>
          <w:tcPr>
            <w:tcW w:w="1467" w:type="dxa"/>
            <w:shd w:val="clear" w:color="auto" w:fill="auto"/>
            <w:vAlign w:val="center"/>
          </w:tcPr>
          <w:p>
            <w:pPr>
              <w:snapToGrid w:val="0"/>
              <w:spacing w:line="240" w:lineRule="auto"/>
              <w:jc w:val="center"/>
              <w:rPr>
                <w:sz w:val="18"/>
                <w:szCs w:val="18"/>
              </w:rPr>
            </w:pPr>
            <w:r>
              <w:rPr>
                <w:sz w:val="18"/>
                <w:szCs w:val="18"/>
              </w:rPr>
              <w:t>29°38′33.18″</w:t>
            </w:r>
          </w:p>
        </w:tc>
        <w:tc>
          <w:tcPr>
            <w:tcW w:w="978" w:type="dxa"/>
            <w:vAlign w:val="center"/>
          </w:tcPr>
          <w:p>
            <w:pPr>
              <w:snapToGrid w:val="0"/>
              <w:spacing w:line="240" w:lineRule="auto"/>
              <w:jc w:val="center"/>
              <w:rPr>
                <w:sz w:val="18"/>
                <w:szCs w:val="18"/>
              </w:rPr>
            </w:pPr>
            <w:r>
              <w:rPr>
                <w:sz w:val="18"/>
                <w:szCs w:val="18"/>
              </w:rPr>
              <w:t>NH</w:t>
            </w:r>
            <w:r>
              <w:rPr>
                <w:sz w:val="18"/>
                <w:szCs w:val="18"/>
                <w:vertAlign w:val="subscript"/>
              </w:rPr>
              <w:t>3</w:t>
            </w:r>
          </w:p>
        </w:tc>
        <w:tc>
          <w:tcPr>
            <w:tcW w:w="1134" w:type="dxa"/>
            <w:vAlign w:val="center"/>
          </w:tcPr>
          <w:p>
            <w:pPr>
              <w:snapToGrid w:val="0"/>
              <w:spacing w:line="240" w:lineRule="auto"/>
              <w:jc w:val="center"/>
              <w:rPr>
                <w:sz w:val="18"/>
                <w:szCs w:val="18"/>
              </w:rPr>
            </w:pPr>
            <w:r>
              <w:rPr>
                <w:sz w:val="18"/>
                <w:szCs w:val="18"/>
              </w:rPr>
              <w:t>2</w:t>
            </w:r>
            <w:r>
              <w:rPr>
                <w:rFonts w:hint="eastAsia"/>
                <w:sz w:val="18"/>
                <w:szCs w:val="18"/>
              </w:rPr>
              <w:t>:</w:t>
            </w:r>
            <w:r>
              <w:rPr>
                <w:sz w:val="18"/>
                <w:szCs w:val="18"/>
              </w:rPr>
              <w:t>00~3:00</w:t>
            </w:r>
          </w:p>
          <w:p>
            <w:pPr>
              <w:snapToGrid w:val="0"/>
              <w:spacing w:line="240" w:lineRule="auto"/>
              <w:jc w:val="center"/>
              <w:rPr>
                <w:sz w:val="18"/>
                <w:szCs w:val="18"/>
              </w:rPr>
            </w:pPr>
            <w:r>
              <w:rPr>
                <w:sz w:val="18"/>
                <w:szCs w:val="18"/>
              </w:rPr>
              <w:t>8:00~9:00</w:t>
            </w:r>
          </w:p>
          <w:p>
            <w:pPr>
              <w:snapToGrid w:val="0"/>
              <w:spacing w:line="240" w:lineRule="auto"/>
              <w:jc w:val="center"/>
              <w:rPr>
                <w:sz w:val="18"/>
                <w:szCs w:val="18"/>
              </w:rPr>
            </w:pPr>
            <w:r>
              <w:rPr>
                <w:sz w:val="18"/>
                <w:szCs w:val="18"/>
              </w:rPr>
              <w:t>14:00~15:00</w:t>
            </w:r>
          </w:p>
          <w:p>
            <w:pPr>
              <w:snapToGrid w:val="0"/>
              <w:spacing w:line="240" w:lineRule="auto"/>
              <w:jc w:val="center"/>
              <w:rPr>
                <w:sz w:val="18"/>
                <w:szCs w:val="18"/>
              </w:rPr>
            </w:pPr>
            <w:r>
              <w:rPr>
                <w:sz w:val="18"/>
                <w:szCs w:val="18"/>
              </w:rPr>
              <w:t>20:00~21:00</w:t>
            </w:r>
          </w:p>
        </w:tc>
        <w:tc>
          <w:tcPr>
            <w:tcW w:w="1175" w:type="dxa"/>
            <w:vAlign w:val="center"/>
          </w:tcPr>
          <w:p>
            <w:pPr>
              <w:snapToGrid w:val="0"/>
              <w:spacing w:line="240" w:lineRule="auto"/>
              <w:jc w:val="center"/>
              <w:rPr>
                <w:sz w:val="18"/>
                <w:szCs w:val="18"/>
              </w:rPr>
            </w:pPr>
            <w:r>
              <w:rPr>
                <w:rFonts w:hint="eastAsia"/>
                <w:sz w:val="18"/>
                <w:szCs w:val="18"/>
              </w:rPr>
              <w:t>西南面</w:t>
            </w:r>
          </w:p>
        </w:tc>
        <w:tc>
          <w:tcPr>
            <w:tcW w:w="1467" w:type="dxa"/>
            <w:vAlign w:val="center"/>
          </w:tcPr>
          <w:p>
            <w:pPr>
              <w:snapToGrid w:val="0"/>
              <w:spacing w:line="240" w:lineRule="auto"/>
              <w:jc w:val="center"/>
              <w:rPr>
                <w:sz w:val="18"/>
                <w:szCs w:val="18"/>
              </w:rPr>
            </w:pPr>
            <w:r>
              <w:rPr>
                <w:sz w:val="18"/>
                <w:szCs w:val="18"/>
              </w:rPr>
              <w:t>0.5</w:t>
            </w:r>
            <w:r>
              <w:rPr>
                <w:rFonts w:hint="eastAsia"/>
                <w:sz w:val="18"/>
                <w:szCs w:val="18"/>
              </w:rPr>
              <w:t>km</w:t>
            </w:r>
          </w:p>
        </w:tc>
      </w:tr>
    </w:tbl>
    <w:p>
      <w:pPr>
        <w:pStyle w:val="2"/>
        <w:ind w:firstLine="480"/>
        <w:rPr>
          <w:rFonts w:hint="default"/>
        </w:rPr>
      </w:pPr>
    </w:p>
    <w:p>
      <w:pPr>
        <w:ind w:firstLine="480" w:firstLineChars="200"/>
      </w:pPr>
      <w:r>
        <w:rPr>
          <w:rFonts w:hint="eastAsia"/>
        </w:rPr>
        <w:t>（</w:t>
      </w:r>
      <w:r>
        <w:t>2</w:t>
      </w:r>
      <w:r>
        <w:rPr>
          <w:rFonts w:hint="eastAsia"/>
        </w:rPr>
        <w:t>）监测结果</w:t>
      </w:r>
    </w:p>
    <w:p>
      <w:pPr>
        <w:ind w:firstLine="480" w:firstLineChars="200"/>
      </w:pPr>
      <w:r>
        <w:rPr>
          <w:rFonts w:hint="eastAsia"/>
        </w:rPr>
        <w:t>本次评价其他污染物环境质量现状（监测结果）见表6</w:t>
      </w:r>
      <w:r>
        <w:t>.1-3</w:t>
      </w:r>
      <w:r>
        <w:rPr>
          <w:rFonts w:hint="eastAsia"/>
        </w:rPr>
        <w:t>所示：</w:t>
      </w:r>
    </w:p>
    <w:p>
      <w:pPr>
        <w:spacing w:line="240" w:lineRule="auto"/>
        <w:jc w:val="center"/>
        <w:rPr>
          <w:rFonts w:eastAsia="黑体"/>
        </w:rPr>
      </w:pPr>
    </w:p>
    <w:p>
      <w:pPr>
        <w:spacing w:line="240" w:lineRule="auto"/>
        <w:jc w:val="center"/>
        <w:rPr>
          <w:rFonts w:eastAsia="黑体"/>
        </w:rPr>
      </w:pPr>
    </w:p>
    <w:p>
      <w:pPr>
        <w:spacing w:line="240" w:lineRule="auto"/>
        <w:jc w:val="center"/>
        <w:rPr>
          <w:rFonts w:eastAsia="黑体"/>
        </w:rPr>
      </w:pPr>
    </w:p>
    <w:p>
      <w:pPr>
        <w:spacing w:line="240" w:lineRule="auto"/>
        <w:jc w:val="center"/>
        <w:rPr>
          <w:rFonts w:eastAsia="黑体"/>
        </w:rPr>
      </w:pPr>
    </w:p>
    <w:p>
      <w:pPr>
        <w:spacing w:line="240" w:lineRule="auto"/>
        <w:jc w:val="center"/>
        <w:rPr>
          <w:rFonts w:eastAsia="黑体"/>
        </w:rPr>
      </w:pPr>
      <w:r>
        <w:rPr>
          <w:rFonts w:hint="eastAsia" w:eastAsia="黑体"/>
        </w:rPr>
        <w:t>表</w:t>
      </w:r>
      <w:r>
        <w:rPr>
          <w:rFonts w:eastAsia="黑体"/>
        </w:rPr>
        <w:t>6</w:t>
      </w:r>
      <w:r>
        <w:rPr>
          <w:rFonts w:hint="eastAsia" w:eastAsia="黑体"/>
        </w:rPr>
        <w:t>.</w:t>
      </w:r>
      <w:r>
        <w:rPr>
          <w:rFonts w:eastAsia="黑体"/>
        </w:rPr>
        <w:t>1-3</w:t>
      </w:r>
      <w:r>
        <w:rPr>
          <w:rFonts w:hint="eastAsia" w:eastAsia="黑体"/>
        </w:rPr>
        <w:t xml:space="preserve"> </w:t>
      </w:r>
      <w:r>
        <w:rPr>
          <w:rFonts w:eastAsia="黑体"/>
        </w:rPr>
        <w:t xml:space="preserve">  </w:t>
      </w:r>
      <w:r>
        <w:rPr>
          <w:rFonts w:hint="eastAsia" w:eastAsia="黑体"/>
        </w:rPr>
        <w:t>其他污染物环境质量现状（监测结果）表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31"/>
        <w:gridCol w:w="1401"/>
        <w:gridCol w:w="1285"/>
        <w:gridCol w:w="755"/>
        <w:gridCol w:w="547"/>
        <w:gridCol w:w="1087"/>
        <w:gridCol w:w="1271"/>
        <w:gridCol w:w="699"/>
        <w:gridCol w:w="436"/>
        <w:gridCol w:w="41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631" w:type="dxa"/>
            <w:vMerge w:val="restart"/>
            <w:shd w:val="clear" w:color="auto" w:fill="auto"/>
            <w:vAlign w:val="center"/>
          </w:tcPr>
          <w:p>
            <w:pPr>
              <w:snapToGrid w:val="0"/>
              <w:spacing w:line="240" w:lineRule="auto"/>
              <w:jc w:val="center"/>
              <w:rPr>
                <w:sz w:val="18"/>
                <w:szCs w:val="18"/>
              </w:rPr>
            </w:pPr>
            <w:r>
              <w:rPr>
                <w:sz w:val="18"/>
                <w:szCs w:val="18"/>
              </w:rPr>
              <w:t>监测点位</w:t>
            </w:r>
          </w:p>
        </w:tc>
        <w:tc>
          <w:tcPr>
            <w:tcW w:w="2686" w:type="dxa"/>
            <w:gridSpan w:val="2"/>
            <w:shd w:val="clear" w:color="auto" w:fill="auto"/>
            <w:vAlign w:val="center"/>
          </w:tcPr>
          <w:p>
            <w:pPr>
              <w:snapToGrid w:val="0"/>
              <w:spacing w:line="240" w:lineRule="auto"/>
              <w:jc w:val="center"/>
              <w:rPr>
                <w:sz w:val="18"/>
                <w:szCs w:val="18"/>
              </w:rPr>
            </w:pPr>
            <w:r>
              <w:rPr>
                <w:sz w:val="18"/>
                <w:szCs w:val="18"/>
              </w:rPr>
              <w:t>监测点坐标/m</w:t>
            </w:r>
          </w:p>
        </w:tc>
        <w:tc>
          <w:tcPr>
            <w:tcW w:w="755" w:type="dxa"/>
            <w:vMerge w:val="restart"/>
            <w:shd w:val="clear" w:color="auto" w:fill="auto"/>
            <w:vAlign w:val="center"/>
          </w:tcPr>
          <w:p>
            <w:pPr>
              <w:snapToGrid w:val="0"/>
              <w:spacing w:line="240" w:lineRule="auto"/>
              <w:jc w:val="center"/>
              <w:rPr>
                <w:sz w:val="18"/>
                <w:szCs w:val="18"/>
              </w:rPr>
            </w:pPr>
            <w:r>
              <w:rPr>
                <w:sz w:val="18"/>
                <w:szCs w:val="18"/>
              </w:rPr>
              <w:t>污染物</w:t>
            </w:r>
          </w:p>
        </w:tc>
        <w:tc>
          <w:tcPr>
            <w:tcW w:w="547" w:type="dxa"/>
            <w:vMerge w:val="restart"/>
            <w:shd w:val="clear" w:color="auto" w:fill="auto"/>
            <w:vAlign w:val="center"/>
          </w:tcPr>
          <w:p>
            <w:pPr>
              <w:snapToGrid w:val="0"/>
              <w:spacing w:line="240" w:lineRule="auto"/>
              <w:jc w:val="center"/>
              <w:rPr>
                <w:sz w:val="18"/>
                <w:szCs w:val="18"/>
              </w:rPr>
            </w:pPr>
            <w:r>
              <w:rPr>
                <w:sz w:val="18"/>
                <w:szCs w:val="18"/>
              </w:rPr>
              <w:t>平均时间</w:t>
            </w:r>
          </w:p>
        </w:tc>
        <w:tc>
          <w:tcPr>
            <w:tcW w:w="1087" w:type="dxa"/>
            <w:vMerge w:val="restart"/>
            <w:shd w:val="clear" w:color="auto" w:fill="auto"/>
            <w:vAlign w:val="center"/>
          </w:tcPr>
          <w:p>
            <w:pPr>
              <w:snapToGrid w:val="0"/>
              <w:spacing w:line="240" w:lineRule="auto"/>
              <w:jc w:val="center"/>
              <w:rPr>
                <w:sz w:val="18"/>
                <w:szCs w:val="18"/>
              </w:rPr>
            </w:pPr>
            <w:r>
              <w:rPr>
                <w:sz w:val="18"/>
                <w:szCs w:val="18"/>
              </w:rPr>
              <w:t>评价标准/（mg/m3）</w:t>
            </w:r>
          </w:p>
        </w:tc>
        <w:tc>
          <w:tcPr>
            <w:tcW w:w="1271" w:type="dxa"/>
            <w:vMerge w:val="restart"/>
            <w:shd w:val="clear" w:color="auto" w:fill="auto"/>
            <w:vAlign w:val="center"/>
          </w:tcPr>
          <w:p>
            <w:pPr>
              <w:snapToGrid w:val="0"/>
              <w:spacing w:line="240" w:lineRule="auto"/>
              <w:jc w:val="center"/>
              <w:rPr>
                <w:sz w:val="18"/>
                <w:szCs w:val="18"/>
              </w:rPr>
            </w:pPr>
            <w:r>
              <w:rPr>
                <w:sz w:val="18"/>
                <w:szCs w:val="18"/>
              </w:rPr>
              <w:t>监测浓度范围/（ug/m3）</w:t>
            </w:r>
          </w:p>
        </w:tc>
        <w:tc>
          <w:tcPr>
            <w:tcW w:w="699" w:type="dxa"/>
            <w:vMerge w:val="restart"/>
            <w:shd w:val="clear" w:color="auto" w:fill="auto"/>
            <w:vAlign w:val="center"/>
          </w:tcPr>
          <w:p>
            <w:pPr>
              <w:snapToGrid w:val="0"/>
              <w:spacing w:line="240" w:lineRule="auto"/>
              <w:jc w:val="center"/>
              <w:rPr>
                <w:sz w:val="18"/>
                <w:szCs w:val="18"/>
              </w:rPr>
            </w:pPr>
            <w:r>
              <w:rPr>
                <w:sz w:val="18"/>
                <w:szCs w:val="18"/>
              </w:rPr>
              <w:t>最大浓度</w:t>
            </w:r>
          </w:p>
          <w:p>
            <w:pPr>
              <w:snapToGrid w:val="0"/>
              <w:spacing w:line="240" w:lineRule="auto"/>
              <w:jc w:val="center"/>
              <w:rPr>
                <w:sz w:val="18"/>
                <w:szCs w:val="18"/>
              </w:rPr>
            </w:pPr>
            <w:r>
              <w:rPr>
                <w:sz w:val="18"/>
                <w:szCs w:val="18"/>
              </w:rPr>
              <w:t>占标率/%</w:t>
            </w:r>
          </w:p>
        </w:tc>
        <w:tc>
          <w:tcPr>
            <w:tcW w:w="436" w:type="dxa"/>
            <w:vMerge w:val="restart"/>
            <w:shd w:val="clear" w:color="auto" w:fill="auto"/>
            <w:vAlign w:val="center"/>
          </w:tcPr>
          <w:p>
            <w:pPr>
              <w:snapToGrid w:val="0"/>
              <w:spacing w:line="240" w:lineRule="auto"/>
              <w:jc w:val="center"/>
              <w:rPr>
                <w:sz w:val="18"/>
                <w:szCs w:val="18"/>
              </w:rPr>
            </w:pPr>
            <w:r>
              <w:rPr>
                <w:sz w:val="18"/>
                <w:szCs w:val="18"/>
              </w:rPr>
              <w:t>超标率/%</w:t>
            </w:r>
          </w:p>
        </w:tc>
        <w:tc>
          <w:tcPr>
            <w:tcW w:w="417" w:type="dxa"/>
            <w:vMerge w:val="restart"/>
            <w:shd w:val="clear" w:color="auto" w:fill="auto"/>
            <w:vAlign w:val="center"/>
          </w:tcPr>
          <w:p>
            <w:pPr>
              <w:snapToGrid w:val="0"/>
              <w:spacing w:line="240" w:lineRule="auto"/>
              <w:jc w:val="center"/>
              <w:rPr>
                <w:sz w:val="18"/>
                <w:szCs w:val="18"/>
              </w:rPr>
            </w:pPr>
            <w:r>
              <w:rPr>
                <w:sz w:val="18"/>
                <w:szCs w:val="18"/>
              </w:rPr>
              <w:t>达标</w:t>
            </w:r>
          </w:p>
          <w:p>
            <w:pPr>
              <w:snapToGrid w:val="0"/>
              <w:spacing w:line="240" w:lineRule="auto"/>
              <w:jc w:val="center"/>
              <w:rPr>
                <w:sz w:val="18"/>
                <w:szCs w:val="18"/>
              </w:rPr>
            </w:pPr>
            <w:r>
              <w:rPr>
                <w:sz w:val="18"/>
                <w:szCs w:val="18"/>
              </w:rPr>
              <w:t>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631" w:type="dxa"/>
            <w:vMerge w:val="continue"/>
            <w:vAlign w:val="center"/>
          </w:tcPr>
          <w:p>
            <w:pPr>
              <w:snapToGrid w:val="0"/>
              <w:spacing w:line="240" w:lineRule="auto"/>
              <w:jc w:val="center"/>
              <w:rPr>
                <w:sz w:val="18"/>
                <w:szCs w:val="18"/>
              </w:rPr>
            </w:pPr>
          </w:p>
        </w:tc>
        <w:tc>
          <w:tcPr>
            <w:tcW w:w="1401" w:type="dxa"/>
            <w:shd w:val="clear" w:color="auto" w:fill="auto"/>
            <w:vAlign w:val="center"/>
          </w:tcPr>
          <w:p>
            <w:pPr>
              <w:snapToGrid w:val="0"/>
              <w:spacing w:line="240" w:lineRule="auto"/>
              <w:jc w:val="center"/>
              <w:rPr>
                <w:sz w:val="18"/>
                <w:szCs w:val="18"/>
              </w:rPr>
            </w:pPr>
            <w:r>
              <w:rPr>
                <w:sz w:val="18"/>
                <w:szCs w:val="18"/>
              </w:rPr>
              <w:t>X</w:t>
            </w:r>
          </w:p>
        </w:tc>
        <w:tc>
          <w:tcPr>
            <w:tcW w:w="1285" w:type="dxa"/>
            <w:shd w:val="clear" w:color="auto" w:fill="auto"/>
            <w:vAlign w:val="center"/>
          </w:tcPr>
          <w:p>
            <w:pPr>
              <w:snapToGrid w:val="0"/>
              <w:spacing w:line="240" w:lineRule="auto"/>
              <w:jc w:val="center"/>
              <w:rPr>
                <w:sz w:val="18"/>
                <w:szCs w:val="18"/>
              </w:rPr>
            </w:pPr>
            <w:r>
              <w:rPr>
                <w:sz w:val="18"/>
                <w:szCs w:val="18"/>
              </w:rPr>
              <w:t>Y</w:t>
            </w:r>
          </w:p>
        </w:tc>
        <w:tc>
          <w:tcPr>
            <w:tcW w:w="755" w:type="dxa"/>
            <w:vMerge w:val="continue"/>
            <w:vAlign w:val="center"/>
          </w:tcPr>
          <w:p>
            <w:pPr>
              <w:snapToGrid w:val="0"/>
              <w:spacing w:line="240" w:lineRule="auto"/>
              <w:jc w:val="center"/>
              <w:rPr>
                <w:sz w:val="18"/>
                <w:szCs w:val="18"/>
              </w:rPr>
            </w:pPr>
          </w:p>
        </w:tc>
        <w:tc>
          <w:tcPr>
            <w:tcW w:w="547" w:type="dxa"/>
            <w:vMerge w:val="continue"/>
            <w:vAlign w:val="center"/>
          </w:tcPr>
          <w:p>
            <w:pPr>
              <w:snapToGrid w:val="0"/>
              <w:spacing w:line="240" w:lineRule="auto"/>
              <w:jc w:val="center"/>
              <w:rPr>
                <w:sz w:val="18"/>
                <w:szCs w:val="18"/>
              </w:rPr>
            </w:pPr>
          </w:p>
        </w:tc>
        <w:tc>
          <w:tcPr>
            <w:tcW w:w="1087" w:type="dxa"/>
            <w:vMerge w:val="continue"/>
            <w:vAlign w:val="center"/>
          </w:tcPr>
          <w:p>
            <w:pPr>
              <w:snapToGrid w:val="0"/>
              <w:spacing w:line="240" w:lineRule="auto"/>
              <w:jc w:val="center"/>
              <w:rPr>
                <w:sz w:val="18"/>
                <w:szCs w:val="18"/>
              </w:rPr>
            </w:pPr>
          </w:p>
        </w:tc>
        <w:tc>
          <w:tcPr>
            <w:tcW w:w="1271" w:type="dxa"/>
            <w:vMerge w:val="continue"/>
            <w:vAlign w:val="center"/>
          </w:tcPr>
          <w:p>
            <w:pPr>
              <w:snapToGrid w:val="0"/>
              <w:spacing w:line="240" w:lineRule="auto"/>
              <w:jc w:val="center"/>
              <w:rPr>
                <w:sz w:val="18"/>
                <w:szCs w:val="18"/>
              </w:rPr>
            </w:pPr>
          </w:p>
        </w:tc>
        <w:tc>
          <w:tcPr>
            <w:tcW w:w="699" w:type="dxa"/>
            <w:vMerge w:val="continue"/>
            <w:vAlign w:val="center"/>
          </w:tcPr>
          <w:p>
            <w:pPr>
              <w:snapToGrid w:val="0"/>
              <w:spacing w:line="240" w:lineRule="auto"/>
              <w:jc w:val="center"/>
              <w:rPr>
                <w:sz w:val="18"/>
                <w:szCs w:val="18"/>
              </w:rPr>
            </w:pPr>
          </w:p>
        </w:tc>
        <w:tc>
          <w:tcPr>
            <w:tcW w:w="436" w:type="dxa"/>
            <w:vMerge w:val="continue"/>
            <w:vAlign w:val="center"/>
          </w:tcPr>
          <w:p>
            <w:pPr>
              <w:snapToGrid w:val="0"/>
              <w:spacing w:line="240" w:lineRule="auto"/>
              <w:jc w:val="center"/>
              <w:rPr>
                <w:sz w:val="18"/>
                <w:szCs w:val="18"/>
              </w:rPr>
            </w:pPr>
          </w:p>
        </w:tc>
        <w:tc>
          <w:tcPr>
            <w:tcW w:w="417" w:type="dxa"/>
            <w:vMerge w:val="continue"/>
            <w:vAlign w:val="center"/>
          </w:tcPr>
          <w:p>
            <w:pPr>
              <w:snapToGrid w:val="0"/>
              <w:spacing w:line="240" w:lineRule="auto"/>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31" w:type="dxa"/>
            <w:vMerge w:val="restart"/>
            <w:vAlign w:val="center"/>
          </w:tcPr>
          <w:p>
            <w:pPr>
              <w:snapToGrid w:val="0"/>
              <w:spacing w:line="240" w:lineRule="auto"/>
              <w:jc w:val="center"/>
              <w:rPr>
                <w:sz w:val="18"/>
                <w:szCs w:val="18"/>
              </w:rPr>
            </w:pPr>
            <w:r>
              <w:rPr>
                <w:sz w:val="18"/>
                <w:szCs w:val="18"/>
              </w:rPr>
              <w:t xml:space="preserve">1# </w:t>
            </w:r>
            <w:r>
              <w:rPr>
                <w:rFonts w:hint="eastAsia"/>
                <w:sz w:val="18"/>
                <w:szCs w:val="18"/>
              </w:rPr>
              <w:t>项目拟建厂址</w:t>
            </w:r>
          </w:p>
        </w:tc>
        <w:tc>
          <w:tcPr>
            <w:tcW w:w="1401" w:type="dxa"/>
            <w:vMerge w:val="restart"/>
            <w:shd w:val="clear" w:color="auto" w:fill="auto"/>
            <w:vAlign w:val="center"/>
          </w:tcPr>
          <w:p>
            <w:pPr>
              <w:snapToGrid w:val="0"/>
              <w:spacing w:line="240" w:lineRule="auto"/>
              <w:jc w:val="center"/>
              <w:rPr>
                <w:sz w:val="18"/>
                <w:szCs w:val="18"/>
              </w:rPr>
            </w:pPr>
            <w:r>
              <w:rPr>
                <w:sz w:val="18"/>
                <w:szCs w:val="18"/>
              </w:rPr>
              <w:t>104°21′57.59″</w:t>
            </w:r>
          </w:p>
        </w:tc>
        <w:tc>
          <w:tcPr>
            <w:tcW w:w="1285" w:type="dxa"/>
            <w:vMerge w:val="restart"/>
            <w:shd w:val="clear" w:color="auto" w:fill="auto"/>
            <w:vAlign w:val="center"/>
          </w:tcPr>
          <w:p>
            <w:pPr>
              <w:snapToGrid w:val="0"/>
              <w:spacing w:line="240" w:lineRule="auto"/>
              <w:jc w:val="center"/>
              <w:rPr>
                <w:sz w:val="18"/>
                <w:szCs w:val="18"/>
              </w:rPr>
            </w:pPr>
            <w:r>
              <w:rPr>
                <w:sz w:val="18"/>
                <w:szCs w:val="18"/>
              </w:rPr>
              <w:t>30°</w:t>
            </w:r>
            <w:r>
              <w:rPr>
                <w:rFonts w:hint="eastAsia"/>
                <w:sz w:val="18"/>
                <w:szCs w:val="18"/>
              </w:rPr>
              <w:t>2</w:t>
            </w:r>
            <w:r>
              <w:rPr>
                <w:sz w:val="18"/>
                <w:szCs w:val="18"/>
              </w:rPr>
              <w:t>5′15.62″</w:t>
            </w:r>
          </w:p>
        </w:tc>
        <w:tc>
          <w:tcPr>
            <w:tcW w:w="755" w:type="dxa"/>
            <w:vAlign w:val="center"/>
          </w:tcPr>
          <w:p>
            <w:pPr>
              <w:snapToGrid w:val="0"/>
              <w:spacing w:line="240" w:lineRule="auto"/>
              <w:jc w:val="center"/>
              <w:rPr>
                <w:sz w:val="18"/>
                <w:szCs w:val="18"/>
              </w:rPr>
            </w:pPr>
            <w:r>
              <w:rPr>
                <w:sz w:val="18"/>
                <w:szCs w:val="18"/>
              </w:rPr>
              <w:t>NH</w:t>
            </w:r>
            <w:r>
              <w:rPr>
                <w:sz w:val="18"/>
                <w:szCs w:val="18"/>
                <w:vertAlign w:val="subscript"/>
              </w:rPr>
              <w:t>3</w:t>
            </w:r>
          </w:p>
        </w:tc>
        <w:tc>
          <w:tcPr>
            <w:tcW w:w="547" w:type="dxa"/>
            <w:vMerge w:val="restart"/>
            <w:vAlign w:val="center"/>
          </w:tcPr>
          <w:p>
            <w:pPr>
              <w:snapToGrid w:val="0"/>
              <w:spacing w:line="240" w:lineRule="auto"/>
              <w:jc w:val="center"/>
              <w:rPr>
                <w:sz w:val="18"/>
                <w:szCs w:val="18"/>
              </w:rPr>
            </w:pPr>
            <w:r>
              <w:rPr>
                <w:rFonts w:hint="eastAsia"/>
                <w:sz w:val="18"/>
                <w:szCs w:val="18"/>
              </w:rPr>
              <w:t>小时</w:t>
            </w:r>
            <w:r>
              <w:rPr>
                <w:sz w:val="18"/>
                <w:szCs w:val="18"/>
              </w:rPr>
              <w:t>平均</w:t>
            </w:r>
          </w:p>
        </w:tc>
        <w:tc>
          <w:tcPr>
            <w:tcW w:w="1087" w:type="dxa"/>
            <w:vAlign w:val="center"/>
          </w:tcPr>
          <w:p>
            <w:pPr>
              <w:snapToGrid w:val="0"/>
              <w:spacing w:line="240" w:lineRule="auto"/>
              <w:jc w:val="center"/>
              <w:rPr>
                <w:sz w:val="18"/>
                <w:szCs w:val="18"/>
              </w:rPr>
            </w:pPr>
            <w:r>
              <w:rPr>
                <w:sz w:val="18"/>
                <w:szCs w:val="18"/>
              </w:rPr>
              <w:t>0.2</w:t>
            </w:r>
          </w:p>
        </w:tc>
        <w:tc>
          <w:tcPr>
            <w:tcW w:w="1271" w:type="dxa"/>
            <w:vAlign w:val="center"/>
          </w:tcPr>
          <w:p>
            <w:pPr>
              <w:snapToGrid w:val="0"/>
              <w:spacing w:line="240" w:lineRule="auto"/>
              <w:jc w:val="center"/>
              <w:rPr>
                <w:sz w:val="18"/>
                <w:szCs w:val="18"/>
              </w:rPr>
            </w:pPr>
            <w:r>
              <w:rPr>
                <w:sz w:val="18"/>
                <w:szCs w:val="18"/>
              </w:rPr>
              <w:t>0.052~0.091</w:t>
            </w:r>
          </w:p>
        </w:tc>
        <w:tc>
          <w:tcPr>
            <w:tcW w:w="699" w:type="dxa"/>
            <w:vAlign w:val="center"/>
          </w:tcPr>
          <w:p>
            <w:pPr>
              <w:snapToGrid w:val="0"/>
              <w:spacing w:line="240" w:lineRule="auto"/>
              <w:jc w:val="center"/>
              <w:rPr>
                <w:sz w:val="18"/>
                <w:szCs w:val="18"/>
              </w:rPr>
            </w:pPr>
            <w:r>
              <w:rPr>
                <w:sz w:val="18"/>
                <w:szCs w:val="18"/>
              </w:rPr>
              <w:t>45.5</w:t>
            </w:r>
          </w:p>
        </w:tc>
        <w:tc>
          <w:tcPr>
            <w:tcW w:w="436" w:type="dxa"/>
            <w:vAlign w:val="center"/>
          </w:tcPr>
          <w:p>
            <w:pPr>
              <w:snapToGrid w:val="0"/>
              <w:spacing w:line="240" w:lineRule="auto"/>
              <w:jc w:val="center"/>
              <w:rPr>
                <w:sz w:val="18"/>
                <w:szCs w:val="18"/>
              </w:rPr>
            </w:pPr>
            <w:r>
              <w:rPr>
                <w:sz w:val="18"/>
                <w:szCs w:val="18"/>
              </w:rPr>
              <w:t>0</w:t>
            </w:r>
          </w:p>
        </w:tc>
        <w:tc>
          <w:tcPr>
            <w:tcW w:w="417" w:type="dxa"/>
            <w:vAlign w:val="center"/>
          </w:tcPr>
          <w:p>
            <w:pPr>
              <w:snapToGrid w:val="0"/>
              <w:spacing w:line="240" w:lineRule="auto"/>
              <w:jc w:val="center"/>
              <w:rPr>
                <w:sz w:val="18"/>
                <w:szCs w:val="18"/>
              </w:rPr>
            </w:pPr>
            <w:r>
              <w:rPr>
                <w:sz w:val="18"/>
                <w:szCs w:val="18"/>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31" w:type="dxa"/>
            <w:vMerge w:val="continue"/>
            <w:vAlign w:val="center"/>
          </w:tcPr>
          <w:p>
            <w:pPr>
              <w:snapToGrid w:val="0"/>
              <w:spacing w:line="240" w:lineRule="auto"/>
              <w:jc w:val="center"/>
              <w:rPr>
                <w:sz w:val="18"/>
                <w:szCs w:val="18"/>
              </w:rPr>
            </w:pPr>
          </w:p>
        </w:tc>
        <w:tc>
          <w:tcPr>
            <w:tcW w:w="1401" w:type="dxa"/>
            <w:vMerge w:val="continue"/>
            <w:shd w:val="clear" w:color="auto" w:fill="auto"/>
            <w:vAlign w:val="center"/>
          </w:tcPr>
          <w:p>
            <w:pPr>
              <w:snapToGrid w:val="0"/>
              <w:spacing w:line="240" w:lineRule="auto"/>
              <w:jc w:val="center"/>
              <w:rPr>
                <w:sz w:val="18"/>
                <w:szCs w:val="18"/>
              </w:rPr>
            </w:pPr>
          </w:p>
        </w:tc>
        <w:tc>
          <w:tcPr>
            <w:tcW w:w="1285" w:type="dxa"/>
            <w:vMerge w:val="continue"/>
            <w:shd w:val="clear" w:color="auto" w:fill="auto"/>
            <w:vAlign w:val="center"/>
          </w:tcPr>
          <w:p>
            <w:pPr>
              <w:snapToGrid w:val="0"/>
              <w:spacing w:line="240" w:lineRule="auto"/>
              <w:jc w:val="center"/>
              <w:rPr>
                <w:sz w:val="18"/>
                <w:szCs w:val="18"/>
              </w:rPr>
            </w:pPr>
          </w:p>
        </w:tc>
        <w:tc>
          <w:tcPr>
            <w:tcW w:w="755" w:type="dxa"/>
            <w:vAlign w:val="center"/>
          </w:tcPr>
          <w:p>
            <w:pPr>
              <w:snapToGrid w:val="0"/>
              <w:spacing w:line="240" w:lineRule="auto"/>
              <w:jc w:val="center"/>
              <w:rPr>
                <w:sz w:val="18"/>
                <w:szCs w:val="18"/>
              </w:rPr>
            </w:pPr>
            <w:r>
              <w:rPr>
                <w:sz w:val="18"/>
                <w:szCs w:val="18"/>
              </w:rPr>
              <w:t>H</w:t>
            </w:r>
            <w:r>
              <w:rPr>
                <w:sz w:val="18"/>
                <w:szCs w:val="18"/>
                <w:vertAlign w:val="subscript"/>
              </w:rPr>
              <w:t>2</w:t>
            </w:r>
            <w:r>
              <w:rPr>
                <w:sz w:val="18"/>
                <w:szCs w:val="18"/>
              </w:rPr>
              <w:t>S</w:t>
            </w:r>
          </w:p>
        </w:tc>
        <w:tc>
          <w:tcPr>
            <w:tcW w:w="547" w:type="dxa"/>
            <w:vMerge w:val="continue"/>
            <w:vAlign w:val="center"/>
          </w:tcPr>
          <w:p>
            <w:pPr>
              <w:snapToGrid w:val="0"/>
              <w:spacing w:line="240" w:lineRule="auto"/>
              <w:jc w:val="center"/>
              <w:rPr>
                <w:sz w:val="18"/>
                <w:szCs w:val="18"/>
              </w:rPr>
            </w:pPr>
          </w:p>
        </w:tc>
        <w:tc>
          <w:tcPr>
            <w:tcW w:w="1087" w:type="dxa"/>
            <w:vAlign w:val="center"/>
          </w:tcPr>
          <w:p>
            <w:pPr>
              <w:snapToGrid w:val="0"/>
              <w:spacing w:line="240" w:lineRule="auto"/>
              <w:jc w:val="center"/>
              <w:rPr>
                <w:sz w:val="18"/>
                <w:szCs w:val="18"/>
              </w:rPr>
            </w:pPr>
            <w:r>
              <w:rPr>
                <w:rFonts w:hint="eastAsia"/>
                <w:sz w:val="18"/>
                <w:szCs w:val="18"/>
              </w:rPr>
              <w:t>0</w:t>
            </w:r>
            <w:r>
              <w:rPr>
                <w:sz w:val="18"/>
                <w:szCs w:val="18"/>
              </w:rPr>
              <w:t>.01</w:t>
            </w:r>
          </w:p>
        </w:tc>
        <w:tc>
          <w:tcPr>
            <w:tcW w:w="1271" w:type="dxa"/>
            <w:vAlign w:val="center"/>
          </w:tcPr>
          <w:p>
            <w:pPr>
              <w:snapToGrid w:val="0"/>
              <w:spacing w:line="240" w:lineRule="auto"/>
              <w:jc w:val="center"/>
              <w:rPr>
                <w:sz w:val="18"/>
                <w:szCs w:val="18"/>
              </w:rPr>
            </w:pPr>
            <w:r>
              <w:rPr>
                <w:sz w:val="18"/>
                <w:szCs w:val="18"/>
              </w:rPr>
              <w:t>0.007~0.008</w:t>
            </w:r>
          </w:p>
        </w:tc>
        <w:tc>
          <w:tcPr>
            <w:tcW w:w="699" w:type="dxa"/>
            <w:vAlign w:val="center"/>
          </w:tcPr>
          <w:p>
            <w:pPr>
              <w:snapToGrid w:val="0"/>
              <w:spacing w:line="240" w:lineRule="auto"/>
              <w:jc w:val="center"/>
              <w:rPr>
                <w:sz w:val="18"/>
                <w:szCs w:val="18"/>
              </w:rPr>
            </w:pPr>
            <w:r>
              <w:rPr>
                <w:sz w:val="18"/>
                <w:szCs w:val="18"/>
              </w:rPr>
              <w:t>80</w:t>
            </w:r>
          </w:p>
        </w:tc>
        <w:tc>
          <w:tcPr>
            <w:tcW w:w="436" w:type="dxa"/>
            <w:vAlign w:val="center"/>
          </w:tcPr>
          <w:p>
            <w:pPr>
              <w:snapToGrid w:val="0"/>
              <w:spacing w:line="240" w:lineRule="auto"/>
              <w:jc w:val="center"/>
              <w:rPr>
                <w:sz w:val="18"/>
                <w:szCs w:val="18"/>
              </w:rPr>
            </w:pPr>
            <w:r>
              <w:rPr>
                <w:sz w:val="18"/>
                <w:szCs w:val="18"/>
              </w:rPr>
              <w:t>0</w:t>
            </w:r>
          </w:p>
        </w:tc>
        <w:tc>
          <w:tcPr>
            <w:tcW w:w="417" w:type="dxa"/>
            <w:vAlign w:val="center"/>
          </w:tcPr>
          <w:p>
            <w:pPr>
              <w:snapToGrid w:val="0"/>
              <w:spacing w:line="240" w:lineRule="auto"/>
              <w:jc w:val="center"/>
              <w:rPr>
                <w:sz w:val="18"/>
                <w:szCs w:val="18"/>
              </w:rPr>
            </w:pPr>
            <w:r>
              <w:rPr>
                <w:sz w:val="18"/>
                <w:szCs w:val="18"/>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31" w:type="dxa"/>
            <w:vMerge w:val="restart"/>
            <w:vAlign w:val="center"/>
          </w:tcPr>
          <w:p>
            <w:pPr>
              <w:snapToGrid w:val="0"/>
              <w:spacing w:line="240" w:lineRule="auto"/>
              <w:jc w:val="center"/>
              <w:rPr>
                <w:sz w:val="18"/>
                <w:szCs w:val="18"/>
              </w:rPr>
            </w:pPr>
            <w:r>
              <w:rPr>
                <w:rFonts w:hint="eastAsia"/>
                <w:sz w:val="18"/>
                <w:szCs w:val="18"/>
              </w:rPr>
              <w:t>2</w:t>
            </w:r>
            <w:r>
              <w:rPr>
                <w:sz w:val="18"/>
                <w:szCs w:val="18"/>
              </w:rPr>
              <w:t># 下风向</w:t>
            </w:r>
            <w:r>
              <w:rPr>
                <w:rFonts w:hint="eastAsia"/>
                <w:sz w:val="18"/>
                <w:szCs w:val="18"/>
              </w:rPr>
              <w:t>居民</w:t>
            </w:r>
          </w:p>
        </w:tc>
        <w:tc>
          <w:tcPr>
            <w:tcW w:w="1401" w:type="dxa"/>
            <w:vMerge w:val="restart"/>
            <w:shd w:val="clear" w:color="auto" w:fill="auto"/>
            <w:vAlign w:val="center"/>
          </w:tcPr>
          <w:p>
            <w:pPr>
              <w:snapToGrid w:val="0"/>
              <w:spacing w:line="240" w:lineRule="auto"/>
              <w:jc w:val="center"/>
              <w:rPr>
                <w:sz w:val="18"/>
                <w:szCs w:val="18"/>
              </w:rPr>
            </w:pPr>
            <w:r>
              <w:rPr>
                <w:sz w:val="18"/>
                <w:szCs w:val="18"/>
              </w:rPr>
              <w:t>31°8′35.24″</w:t>
            </w:r>
          </w:p>
        </w:tc>
        <w:tc>
          <w:tcPr>
            <w:tcW w:w="1285" w:type="dxa"/>
            <w:vMerge w:val="restart"/>
            <w:shd w:val="clear" w:color="auto" w:fill="auto"/>
            <w:vAlign w:val="center"/>
          </w:tcPr>
          <w:p>
            <w:pPr>
              <w:snapToGrid w:val="0"/>
              <w:spacing w:line="240" w:lineRule="auto"/>
              <w:jc w:val="center"/>
              <w:rPr>
                <w:sz w:val="18"/>
                <w:szCs w:val="18"/>
              </w:rPr>
            </w:pPr>
            <w:r>
              <w:rPr>
                <w:sz w:val="18"/>
                <w:szCs w:val="18"/>
              </w:rPr>
              <w:t>105°23′46.89″</w:t>
            </w:r>
          </w:p>
        </w:tc>
        <w:tc>
          <w:tcPr>
            <w:tcW w:w="755" w:type="dxa"/>
            <w:vAlign w:val="center"/>
          </w:tcPr>
          <w:p>
            <w:pPr>
              <w:snapToGrid w:val="0"/>
              <w:spacing w:line="240" w:lineRule="auto"/>
              <w:jc w:val="center"/>
              <w:rPr>
                <w:sz w:val="18"/>
                <w:szCs w:val="18"/>
              </w:rPr>
            </w:pPr>
            <w:r>
              <w:rPr>
                <w:sz w:val="18"/>
                <w:szCs w:val="18"/>
              </w:rPr>
              <w:t>NH</w:t>
            </w:r>
            <w:r>
              <w:rPr>
                <w:sz w:val="18"/>
                <w:szCs w:val="18"/>
                <w:vertAlign w:val="subscript"/>
              </w:rPr>
              <w:t>3</w:t>
            </w:r>
          </w:p>
        </w:tc>
        <w:tc>
          <w:tcPr>
            <w:tcW w:w="547" w:type="dxa"/>
            <w:vMerge w:val="restart"/>
            <w:vAlign w:val="center"/>
          </w:tcPr>
          <w:p>
            <w:pPr>
              <w:snapToGrid w:val="0"/>
              <w:spacing w:line="240" w:lineRule="auto"/>
              <w:jc w:val="center"/>
              <w:rPr>
                <w:sz w:val="18"/>
                <w:szCs w:val="18"/>
              </w:rPr>
            </w:pPr>
            <w:r>
              <w:rPr>
                <w:rFonts w:hint="eastAsia"/>
                <w:sz w:val="18"/>
                <w:szCs w:val="18"/>
              </w:rPr>
              <w:t>小时</w:t>
            </w:r>
            <w:r>
              <w:rPr>
                <w:sz w:val="18"/>
                <w:szCs w:val="18"/>
              </w:rPr>
              <w:t>平均</w:t>
            </w:r>
          </w:p>
        </w:tc>
        <w:tc>
          <w:tcPr>
            <w:tcW w:w="1087" w:type="dxa"/>
            <w:vAlign w:val="center"/>
          </w:tcPr>
          <w:p>
            <w:pPr>
              <w:snapToGrid w:val="0"/>
              <w:spacing w:line="240" w:lineRule="auto"/>
              <w:jc w:val="center"/>
              <w:rPr>
                <w:sz w:val="18"/>
                <w:szCs w:val="18"/>
              </w:rPr>
            </w:pPr>
            <w:r>
              <w:rPr>
                <w:sz w:val="18"/>
                <w:szCs w:val="18"/>
              </w:rPr>
              <w:t>0.2</w:t>
            </w:r>
          </w:p>
        </w:tc>
        <w:tc>
          <w:tcPr>
            <w:tcW w:w="1271" w:type="dxa"/>
            <w:vAlign w:val="center"/>
          </w:tcPr>
          <w:p>
            <w:pPr>
              <w:snapToGrid w:val="0"/>
              <w:spacing w:line="240" w:lineRule="auto"/>
              <w:jc w:val="center"/>
              <w:rPr>
                <w:sz w:val="18"/>
                <w:szCs w:val="18"/>
              </w:rPr>
            </w:pPr>
            <w:r>
              <w:rPr>
                <w:sz w:val="18"/>
                <w:szCs w:val="18"/>
              </w:rPr>
              <w:t>0.176~0.194</w:t>
            </w:r>
          </w:p>
        </w:tc>
        <w:tc>
          <w:tcPr>
            <w:tcW w:w="699" w:type="dxa"/>
            <w:vAlign w:val="center"/>
          </w:tcPr>
          <w:p>
            <w:pPr>
              <w:snapToGrid w:val="0"/>
              <w:spacing w:line="240" w:lineRule="auto"/>
              <w:jc w:val="center"/>
              <w:rPr>
                <w:sz w:val="18"/>
                <w:szCs w:val="18"/>
              </w:rPr>
            </w:pPr>
            <w:r>
              <w:rPr>
                <w:sz w:val="18"/>
                <w:szCs w:val="18"/>
              </w:rPr>
              <w:t>97</w:t>
            </w:r>
          </w:p>
        </w:tc>
        <w:tc>
          <w:tcPr>
            <w:tcW w:w="436" w:type="dxa"/>
            <w:vAlign w:val="center"/>
          </w:tcPr>
          <w:p>
            <w:pPr>
              <w:snapToGrid w:val="0"/>
              <w:spacing w:line="240" w:lineRule="auto"/>
              <w:jc w:val="center"/>
              <w:rPr>
                <w:sz w:val="18"/>
                <w:szCs w:val="18"/>
              </w:rPr>
            </w:pPr>
            <w:r>
              <w:rPr>
                <w:sz w:val="18"/>
                <w:szCs w:val="18"/>
              </w:rPr>
              <w:t>0</w:t>
            </w:r>
          </w:p>
        </w:tc>
        <w:tc>
          <w:tcPr>
            <w:tcW w:w="417" w:type="dxa"/>
            <w:vAlign w:val="center"/>
          </w:tcPr>
          <w:p>
            <w:pPr>
              <w:snapToGrid w:val="0"/>
              <w:spacing w:line="240" w:lineRule="auto"/>
              <w:jc w:val="center"/>
              <w:rPr>
                <w:sz w:val="18"/>
                <w:szCs w:val="18"/>
              </w:rPr>
            </w:pPr>
            <w:r>
              <w:rPr>
                <w:sz w:val="18"/>
                <w:szCs w:val="18"/>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31" w:type="dxa"/>
            <w:vMerge w:val="continue"/>
            <w:vAlign w:val="center"/>
          </w:tcPr>
          <w:p>
            <w:pPr>
              <w:snapToGrid w:val="0"/>
              <w:spacing w:line="240" w:lineRule="auto"/>
              <w:jc w:val="center"/>
              <w:rPr>
                <w:sz w:val="18"/>
                <w:szCs w:val="18"/>
              </w:rPr>
            </w:pPr>
          </w:p>
        </w:tc>
        <w:tc>
          <w:tcPr>
            <w:tcW w:w="1401" w:type="dxa"/>
            <w:vMerge w:val="continue"/>
            <w:shd w:val="clear" w:color="auto" w:fill="auto"/>
            <w:vAlign w:val="center"/>
          </w:tcPr>
          <w:p>
            <w:pPr>
              <w:snapToGrid w:val="0"/>
              <w:spacing w:line="240" w:lineRule="auto"/>
              <w:jc w:val="center"/>
              <w:rPr>
                <w:sz w:val="18"/>
                <w:szCs w:val="18"/>
              </w:rPr>
            </w:pPr>
          </w:p>
        </w:tc>
        <w:tc>
          <w:tcPr>
            <w:tcW w:w="1285" w:type="dxa"/>
            <w:vMerge w:val="continue"/>
            <w:shd w:val="clear" w:color="auto" w:fill="auto"/>
            <w:vAlign w:val="center"/>
          </w:tcPr>
          <w:p>
            <w:pPr>
              <w:snapToGrid w:val="0"/>
              <w:spacing w:line="240" w:lineRule="auto"/>
              <w:jc w:val="center"/>
              <w:rPr>
                <w:sz w:val="18"/>
                <w:szCs w:val="18"/>
              </w:rPr>
            </w:pPr>
          </w:p>
        </w:tc>
        <w:tc>
          <w:tcPr>
            <w:tcW w:w="755" w:type="dxa"/>
            <w:vAlign w:val="center"/>
          </w:tcPr>
          <w:p>
            <w:pPr>
              <w:snapToGrid w:val="0"/>
              <w:spacing w:line="240" w:lineRule="auto"/>
              <w:jc w:val="center"/>
              <w:rPr>
                <w:sz w:val="18"/>
                <w:szCs w:val="18"/>
              </w:rPr>
            </w:pPr>
            <w:r>
              <w:rPr>
                <w:sz w:val="18"/>
                <w:szCs w:val="18"/>
              </w:rPr>
              <w:t>H</w:t>
            </w:r>
            <w:r>
              <w:rPr>
                <w:sz w:val="18"/>
                <w:szCs w:val="18"/>
                <w:vertAlign w:val="subscript"/>
              </w:rPr>
              <w:t>2</w:t>
            </w:r>
            <w:r>
              <w:rPr>
                <w:sz w:val="18"/>
                <w:szCs w:val="18"/>
              </w:rPr>
              <w:t>S</w:t>
            </w:r>
          </w:p>
        </w:tc>
        <w:tc>
          <w:tcPr>
            <w:tcW w:w="547" w:type="dxa"/>
            <w:vMerge w:val="continue"/>
            <w:vAlign w:val="center"/>
          </w:tcPr>
          <w:p>
            <w:pPr>
              <w:snapToGrid w:val="0"/>
              <w:spacing w:line="240" w:lineRule="auto"/>
              <w:jc w:val="center"/>
              <w:rPr>
                <w:sz w:val="18"/>
                <w:szCs w:val="18"/>
              </w:rPr>
            </w:pPr>
          </w:p>
        </w:tc>
        <w:tc>
          <w:tcPr>
            <w:tcW w:w="1087" w:type="dxa"/>
            <w:vAlign w:val="center"/>
          </w:tcPr>
          <w:p>
            <w:pPr>
              <w:snapToGrid w:val="0"/>
              <w:spacing w:line="240" w:lineRule="auto"/>
              <w:jc w:val="center"/>
              <w:rPr>
                <w:sz w:val="18"/>
                <w:szCs w:val="18"/>
              </w:rPr>
            </w:pPr>
            <w:r>
              <w:rPr>
                <w:rFonts w:hint="eastAsia"/>
                <w:sz w:val="18"/>
                <w:szCs w:val="18"/>
              </w:rPr>
              <w:t>0</w:t>
            </w:r>
            <w:r>
              <w:rPr>
                <w:sz w:val="18"/>
                <w:szCs w:val="18"/>
              </w:rPr>
              <w:t>.01</w:t>
            </w:r>
          </w:p>
        </w:tc>
        <w:tc>
          <w:tcPr>
            <w:tcW w:w="1271" w:type="dxa"/>
            <w:vAlign w:val="center"/>
          </w:tcPr>
          <w:p>
            <w:pPr>
              <w:snapToGrid w:val="0"/>
              <w:spacing w:line="240" w:lineRule="auto"/>
              <w:jc w:val="center"/>
              <w:rPr>
                <w:sz w:val="18"/>
                <w:szCs w:val="18"/>
              </w:rPr>
            </w:pPr>
            <w:r>
              <w:rPr>
                <w:sz w:val="18"/>
                <w:szCs w:val="18"/>
              </w:rPr>
              <w:t>0.008~0.009</w:t>
            </w:r>
          </w:p>
        </w:tc>
        <w:tc>
          <w:tcPr>
            <w:tcW w:w="699" w:type="dxa"/>
            <w:vAlign w:val="center"/>
          </w:tcPr>
          <w:p>
            <w:pPr>
              <w:snapToGrid w:val="0"/>
              <w:spacing w:line="240" w:lineRule="auto"/>
              <w:jc w:val="center"/>
              <w:rPr>
                <w:sz w:val="18"/>
                <w:szCs w:val="18"/>
              </w:rPr>
            </w:pPr>
            <w:r>
              <w:rPr>
                <w:rFonts w:hint="eastAsia"/>
                <w:sz w:val="18"/>
                <w:szCs w:val="18"/>
              </w:rPr>
              <w:t>9</w:t>
            </w:r>
            <w:r>
              <w:rPr>
                <w:sz w:val="18"/>
                <w:szCs w:val="18"/>
              </w:rPr>
              <w:t>0</w:t>
            </w:r>
          </w:p>
        </w:tc>
        <w:tc>
          <w:tcPr>
            <w:tcW w:w="436" w:type="dxa"/>
            <w:vAlign w:val="center"/>
          </w:tcPr>
          <w:p>
            <w:pPr>
              <w:snapToGrid w:val="0"/>
              <w:spacing w:line="240" w:lineRule="auto"/>
              <w:jc w:val="center"/>
              <w:rPr>
                <w:sz w:val="18"/>
                <w:szCs w:val="18"/>
              </w:rPr>
            </w:pPr>
            <w:r>
              <w:rPr>
                <w:sz w:val="18"/>
                <w:szCs w:val="18"/>
              </w:rPr>
              <w:t>0</w:t>
            </w:r>
          </w:p>
        </w:tc>
        <w:tc>
          <w:tcPr>
            <w:tcW w:w="417" w:type="dxa"/>
            <w:vAlign w:val="center"/>
          </w:tcPr>
          <w:p>
            <w:pPr>
              <w:snapToGrid w:val="0"/>
              <w:spacing w:line="240" w:lineRule="auto"/>
              <w:jc w:val="center"/>
              <w:rPr>
                <w:sz w:val="18"/>
                <w:szCs w:val="18"/>
              </w:rPr>
            </w:pPr>
            <w:r>
              <w:rPr>
                <w:sz w:val="18"/>
                <w:szCs w:val="18"/>
              </w:rPr>
              <w:t>达标</w:t>
            </w:r>
          </w:p>
        </w:tc>
      </w:tr>
    </w:tbl>
    <w:p>
      <w:pPr>
        <w:ind w:firstLine="480" w:firstLineChars="200"/>
      </w:pPr>
    </w:p>
    <w:p>
      <w:pPr>
        <w:ind w:firstLine="480" w:firstLineChars="200"/>
      </w:pPr>
      <w:r>
        <w:rPr>
          <w:rFonts w:hint="eastAsia"/>
        </w:rPr>
        <w:t>根据上表的监测结果可看出，本项目所在区域各监测点的其他污染物均满足</w:t>
      </w:r>
      <w:r>
        <w:rPr>
          <w:rFonts w:hint="eastAsia"/>
          <w:color w:val="000000" w:themeColor="text1"/>
          <w14:textFill>
            <w14:solidFill>
              <w14:schemeClr w14:val="tx1"/>
            </w14:solidFill>
          </w14:textFill>
        </w:rPr>
        <w:t>《环境影响评价技术导则 大气环境》（HJ2.2-2018）附录D参考浓度限值要求。</w:t>
      </w:r>
    </w:p>
    <w:p>
      <w:pPr>
        <w:pStyle w:val="588"/>
        <w:keepNext/>
        <w:keepLines/>
        <w:widowControl w:val="0"/>
        <w:adjustRightInd w:val="0"/>
        <w:spacing w:line="360" w:lineRule="auto"/>
        <w:textAlignment w:val="baseline"/>
        <w:rPr>
          <w:rFonts w:ascii="Times New Roman" w:hAnsi="Times New Roman" w:eastAsia="黑体" w:cs="Times New Roman"/>
          <w:b w:val="0"/>
          <w:bCs/>
          <w:spacing w:val="4"/>
          <w:kern w:val="2"/>
          <w:sz w:val="32"/>
          <w:szCs w:val="32"/>
        </w:rPr>
      </w:pPr>
      <w:bookmarkStart w:id="628" w:name="_Toc440541299"/>
      <w:bookmarkStart w:id="629" w:name="_Toc411411836"/>
      <w:bookmarkStart w:id="630" w:name="_Toc29110586"/>
      <w:r>
        <w:rPr>
          <w:rFonts w:hint="eastAsia" w:ascii="Times New Roman" w:hAnsi="Times New Roman" w:eastAsia="黑体" w:cs="Times New Roman"/>
          <w:b w:val="0"/>
          <w:bCs/>
          <w:spacing w:val="4"/>
          <w:kern w:val="2"/>
          <w:sz w:val="32"/>
          <w:szCs w:val="32"/>
        </w:rPr>
        <w:t>6</w:t>
      </w:r>
      <w:r>
        <w:rPr>
          <w:rFonts w:ascii="Times New Roman" w:hAnsi="Times New Roman" w:eastAsia="黑体" w:cs="Times New Roman"/>
          <w:b w:val="0"/>
          <w:bCs/>
          <w:spacing w:val="4"/>
          <w:kern w:val="2"/>
          <w:sz w:val="32"/>
          <w:szCs w:val="32"/>
        </w:rPr>
        <w:t>.2地表水环境质量现状监测及评价</w:t>
      </w:r>
      <w:bookmarkEnd w:id="628"/>
      <w:bookmarkEnd w:id="629"/>
      <w:bookmarkEnd w:id="630"/>
    </w:p>
    <w:p>
      <w:pPr>
        <w:jc w:val="left"/>
        <w:outlineLvl w:val="2"/>
        <w:rPr>
          <w:rFonts w:eastAsia="黑体"/>
          <w:bCs/>
          <w:sz w:val="28"/>
          <w:szCs w:val="28"/>
        </w:rPr>
      </w:pPr>
      <w:r>
        <w:rPr>
          <w:rFonts w:eastAsia="黑体"/>
          <w:bCs/>
          <w:sz w:val="28"/>
          <w:szCs w:val="28"/>
        </w:rPr>
        <w:t>6.2.1 断面设置</w:t>
      </w:r>
    </w:p>
    <w:p>
      <w:pPr>
        <w:pStyle w:val="320"/>
        <w:snapToGrid w:val="0"/>
        <w:spacing w:line="360" w:lineRule="auto"/>
        <w:ind w:firstLine="480"/>
        <w:rPr>
          <w:rFonts w:ascii="Times New Roman" w:hAnsi="Times New Roman"/>
        </w:rPr>
      </w:pPr>
      <w:r>
        <w:rPr>
          <w:rFonts w:ascii="Times New Roman" w:hAnsi="Times New Roman"/>
        </w:rPr>
        <w:t>根据本项目的排污特点及场址周围地表水环境质量现状，确定本次评价的监测范围为：项目区北面的东河。</w:t>
      </w:r>
    </w:p>
    <w:p>
      <w:pPr>
        <w:widowControl/>
        <w:snapToGrid w:val="0"/>
        <w:ind w:firstLine="480" w:firstLineChars="200"/>
        <w:rPr>
          <w:kern w:val="0"/>
        </w:rPr>
      </w:pPr>
      <w:r>
        <w:rPr>
          <w:kern w:val="0"/>
        </w:rPr>
        <w:t>四川</w:t>
      </w:r>
      <w:r>
        <w:rPr>
          <w:rFonts w:hint="eastAsia"/>
          <w:kern w:val="0"/>
        </w:rPr>
        <w:t>中正源检测</w:t>
      </w:r>
      <w:r>
        <w:rPr>
          <w:kern w:val="0"/>
        </w:rPr>
        <w:t>技术有限公司于2019年7月30日～2019年8月1日对建设区域内的地表水进行了监测，监测断面设置见表6.2-1。</w:t>
      </w:r>
    </w:p>
    <w:p>
      <w:pPr>
        <w:spacing w:line="240" w:lineRule="auto"/>
        <w:jc w:val="center"/>
        <w:rPr>
          <w:rFonts w:eastAsia="黑体"/>
        </w:rPr>
      </w:pPr>
      <w:r>
        <w:rPr>
          <w:rFonts w:eastAsia="黑体"/>
        </w:rPr>
        <w:t>表6.2-1 水质现状监测断面</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91"/>
        <w:gridCol w:w="543"/>
        <w:gridCol w:w="3243"/>
        <w:gridCol w:w="371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91" w:type="dxa"/>
            <w:vAlign w:val="center"/>
          </w:tcPr>
          <w:p>
            <w:pPr>
              <w:pStyle w:val="46"/>
              <w:spacing w:line="240" w:lineRule="auto"/>
              <w:jc w:val="center"/>
              <w:outlineLvl w:val="0"/>
              <w:rPr>
                <w:rFonts w:ascii="Times New Roman" w:hAnsi="Times New Roman"/>
                <w:b/>
                <w:sz w:val="21"/>
              </w:rPr>
            </w:pPr>
            <w:bookmarkStart w:id="631" w:name="_Toc24843"/>
            <w:bookmarkStart w:id="632" w:name="_Toc25398"/>
            <w:bookmarkStart w:id="633" w:name="_Toc1937"/>
            <w:bookmarkStart w:id="634" w:name="_Toc26794"/>
            <w:bookmarkStart w:id="635" w:name="_Toc31405"/>
            <w:bookmarkStart w:id="636" w:name="_Toc3101"/>
            <w:bookmarkStart w:id="637" w:name="_Toc29110587"/>
            <w:r>
              <w:rPr>
                <w:rFonts w:ascii="Times New Roman" w:hAnsi="Times New Roman"/>
                <w:b/>
                <w:sz w:val="21"/>
              </w:rPr>
              <w:t>编号</w:t>
            </w:r>
            <w:bookmarkEnd w:id="631"/>
            <w:bookmarkEnd w:id="632"/>
            <w:bookmarkEnd w:id="633"/>
            <w:bookmarkEnd w:id="634"/>
            <w:bookmarkEnd w:id="635"/>
            <w:bookmarkEnd w:id="636"/>
            <w:bookmarkEnd w:id="637"/>
          </w:p>
        </w:tc>
        <w:tc>
          <w:tcPr>
            <w:tcW w:w="3786" w:type="dxa"/>
            <w:gridSpan w:val="2"/>
            <w:vAlign w:val="center"/>
          </w:tcPr>
          <w:p>
            <w:pPr>
              <w:pStyle w:val="46"/>
              <w:spacing w:line="240" w:lineRule="auto"/>
              <w:jc w:val="center"/>
              <w:outlineLvl w:val="0"/>
              <w:rPr>
                <w:rFonts w:ascii="Times New Roman" w:hAnsi="Times New Roman"/>
                <w:b/>
                <w:sz w:val="21"/>
              </w:rPr>
            </w:pPr>
            <w:bookmarkStart w:id="638" w:name="_Toc9876"/>
            <w:bookmarkStart w:id="639" w:name="_Toc13903"/>
            <w:bookmarkStart w:id="640" w:name="_Toc14971"/>
            <w:bookmarkStart w:id="641" w:name="_Toc29110588"/>
            <w:bookmarkStart w:id="642" w:name="_Toc31731"/>
            <w:bookmarkStart w:id="643" w:name="_Toc20497"/>
            <w:bookmarkStart w:id="644" w:name="_Toc1083"/>
            <w:r>
              <w:rPr>
                <w:rFonts w:ascii="Times New Roman" w:hAnsi="Times New Roman"/>
                <w:b/>
                <w:sz w:val="21"/>
              </w:rPr>
              <w:t>监测断面名称</w:t>
            </w:r>
            <w:bookmarkEnd w:id="638"/>
            <w:bookmarkEnd w:id="639"/>
            <w:bookmarkEnd w:id="640"/>
            <w:bookmarkEnd w:id="641"/>
            <w:bookmarkEnd w:id="642"/>
            <w:bookmarkEnd w:id="643"/>
            <w:bookmarkEnd w:id="644"/>
          </w:p>
        </w:tc>
        <w:tc>
          <w:tcPr>
            <w:tcW w:w="3710" w:type="dxa"/>
            <w:vAlign w:val="center"/>
          </w:tcPr>
          <w:p>
            <w:pPr>
              <w:pStyle w:val="46"/>
              <w:spacing w:line="240" w:lineRule="auto"/>
              <w:jc w:val="center"/>
              <w:outlineLvl w:val="0"/>
              <w:rPr>
                <w:rFonts w:ascii="Times New Roman" w:hAnsi="Times New Roman"/>
                <w:b/>
                <w:sz w:val="21"/>
              </w:rPr>
            </w:pPr>
            <w:bookmarkStart w:id="645" w:name="_Toc32059"/>
            <w:bookmarkStart w:id="646" w:name="_Toc31110"/>
            <w:bookmarkStart w:id="647" w:name="_Toc12014"/>
            <w:bookmarkStart w:id="648" w:name="_Toc24741"/>
            <w:bookmarkStart w:id="649" w:name="_Toc13786"/>
            <w:bookmarkStart w:id="650" w:name="_Toc3773"/>
            <w:bookmarkStart w:id="651" w:name="_Toc29110589"/>
            <w:r>
              <w:rPr>
                <w:rFonts w:ascii="Times New Roman" w:hAnsi="Times New Roman"/>
                <w:b/>
                <w:sz w:val="21"/>
              </w:rPr>
              <w:t>监测因子</w:t>
            </w:r>
            <w:bookmarkEnd w:id="645"/>
            <w:bookmarkEnd w:id="646"/>
            <w:bookmarkEnd w:id="647"/>
            <w:bookmarkEnd w:id="648"/>
            <w:bookmarkEnd w:id="649"/>
            <w:bookmarkEnd w:id="650"/>
            <w:bookmarkEnd w:id="651"/>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5" w:hRule="atLeast"/>
          <w:jc w:val="center"/>
        </w:trPr>
        <w:tc>
          <w:tcPr>
            <w:tcW w:w="1291" w:type="dxa"/>
            <w:vAlign w:val="center"/>
          </w:tcPr>
          <w:p>
            <w:pPr>
              <w:pStyle w:val="46"/>
              <w:spacing w:line="240" w:lineRule="auto"/>
              <w:jc w:val="center"/>
              <w:outlineLvl w:val="0"/>
              <w:rPr>
                <w:rFonts w:ascii="Times New Roman" w:hAnsi="Times New Roman"/>
                <w:sz w:val="21"/>
              </w:rPr>
            </w:pPr>
            <w:bookmarkStart w:id="652" w:name="_Toc23854"/>
            <w:bookmarkStart w:id="653" w:name="_Toc14824"/>
            <w:bookmarkStart w:id="654" w:name="_Toc29249"/>
            <w:bookmarkStart w:id="655" w:name="_Toc3260"/>
            <w:bookmarkStart w:id="656" w:name="_Toc14258"/>
            <w:bookmarkStart w:id="657" w:name="_Toc18415"/>
            <w:r>
              <w:rPr>
                <w:rFonts w:ascii="Times New Roman" w:hAnsi="Times New Roman"/>
                <w:sz w:val="21"/>
              </w:rPr>
              <w:fldChar w:fldCharType="begin"/>
            </w:r>
            <w:r>
              <w:rPr>
                <w:rFonts w:ascii="Times New Roman" w:hAnsi="Times New Roman"/>
                <w:sz w:val="21"/>
              </w:rPr>
              <w:instrText xml:space="preserve"> = 1 \* ROMAN </w:instrText>
            </w:r>
            <w:r>
              <w:rPr>
                <w:rFonts w:ascii="Times New Roman" w:hAnsi="Times New Roman"/>
                <w:sz w:val="21"/>
              </w:rPr>
              <w:fldChar w:fldCharType="separate"/>
            </w:r>
            <w:bookmarkStart w:id="658" w:name="_Toc29110590"/>
            <w:r>
              <w:rPr>
                <w:rFonts w:ascii="Times New Roman" w:hAnsi="Times New Roman"/>
                <w:sz w:val="21"/>
              </w:rPr>
              <w:t>I</w:t>
            </w:r>
            <w:bookmarkEnd w:id="658"/>
            <w:r>
              <w:rPr>
                <w:rFonts w:ascii="Times New Roman" w:hAnsi="Times New Roman"/>
                <w:sz w:val="21"/>
              </w:rPr>
              <w:fldChar w:fldCharType="end"/>
            </w:r>
            <w:bookmarkEnd w:id="652"/>
            <w:bookmarkEnd w:id="653"/>
            <w:bookmarkEnd w:id="654"/>
            <w:bookmarkEnd w:id="655"/>
            <w:bookmarkEnd w:id="656"/>
            <w:bookmarkEnd w:id="657"/>
          </w:p>
        </w:tc>
        <w:tc>
          <w:tcPr>
            <w:tcW w:w="543" w:type="dxa"/>
            <w:vMerge w:val="restart"/>
            <w:tcBorders>
              <w:right w:val="single" w:color="auto" w:sz="4" w:space="0"/>
            </w:tcBorders>
            <w:vAlign w:val="center"/>
          </w:tcPr>
          <w:p>
            <w:pPr>
              <w:pStyle w:val="46"/>
              <w:spacing w:line="240" w:lineRule="auto"/>
              <w:jc w:val="center"/>
              <w:outlineLvl w:val="0"/>
              <w:rPr>
                <w:rFonts w:ascii="Times New Roman" w:hAnsi="Times New Roman"/>
                <w:sz w:val="21"/>
              </w:rPr>
            </w:pPr>
            <w:bookmarkStart w:id="659" w:name="_Toc29053"/>
            <w:bookmarkStart w:id="660" w:name="_Toc24232"/>
            <w:bookmarkStart w:id="661" w:name="_Toc30899"/>
            <w:bookmarkStart w:id="662" w:name="_Toc6853"/>
            <w:bookmarkStart w:id="663" w:name="_Toc1051"/>
            <w:bookmarkStart w:id="664" w:name="_Toc29110591"/>
            <w:bookmarkStart w:id="665" w:name="_Toc15967"/>
            <w:r>
              <w:rPr>
                <w:rFonts w:ascii="Times New Roman" w:hAnsi="Times New Roman"/>
                <w:sz w:val="21"/>
              </w:rPr>
              <w:t>东</w:t>
            </w:r>
            <w:r>
              <w:rPr>
                <w:rFonts w:hint="eastAsia" w:ascii="Times New Roman" w:hAnsi="Times New Roman"/>
                <w:sz w:val="21"/>
              </w:rPr>
              <w:t>林</w:t>
            </w:r>
            <w:r>
              <w:rPr>
                <w:rFonts w:ascii="Times New Roman" w:hAnsi="Times New Roman"/>
                <w:sz w:val="21"/>
              </w:rPr>
              <w:t>河</w:t>
            </w:r>
            <w:bookmarkEnd w:id="659"/>
            <w:bookmarkEnd w:id="660"/>
            <w:bookmarkEnd w:id="661"/>
            <w:bookmarkEnd w:id="662"/>
            <w:bookmarkEnd w:id="663"/>
            <w:bookmarkEnd w:id="664"/>
            <w:bookmarkEnd w:id="665"/>
          </w:p>
        </w:tc>
        <w:tc>
          <w:tcPr>
            <w:tcW w:w="3243" w:type="dxa"/>
            <w:tcBorders>
              <w:left w:val="single" w:color="auto" w:sz="4" w:space="0"/>
            </w:tcBorders>
            <w:vAlign w:val="center"/>
          </w:tcPr>
          <w:p>
            <w:pPr>
              <w:pStyle w:val="46"/>
              <w:spacing w:line="240" w:lineRule="auto"/>
              <w:jc w:val="center"/>
              <w:outlineLvl w:val="0"/>
              <w:rPr>
                <w:rFonts w:ascii="Times New Roman" w:hAnsi="Times New Roman"/>
                <w:sz w:val="21"/>
              </w:rPr>
            </w:pPr>
            <w:bookmarkStart w:id="666" w:name="_Toc23566"/>
            <w:bookmarkStart w:id="667" w:name="_Toc29576"/>
            <w:bookmarkStart w:id="668" w:name="_Toc24313"/>
            <w:bookmarkStart w:id="669" w:name="_Toc13404"/>
            <w:bookmarkStart w:id="670" w:name="_Toc12167"/>
            <w:bookmarkStart w:id="671" w:name="_Toc20715"/>
            <w:bookmarkStart w:id="672" w:name="_Toc29110592"/>
            <w:r>
              <w:rPr>
                <w:rFonts w:ascii="Times New Roman" w:hAnsi="Times New Roman"/>
                <w:sz w:val="21"/>
              </w:rPr>
              <w:t>项目所在地上游</w:t>
            </w:r>
            <w:bookmarkEnd w:id="666"/>
            <w:bookmarkEnd w:id="667"/>
            <w:bookmarkEnd w:id="668"/>
            <w:bookmarkEnd w:id="669"/>
            <w:bookmarkEnd w:id="670"/>
            <w:bookmarkEnd w:id="671"/>
            <w:bookmarkEnd w:id="672"/>
          </w:p>
        </w:tc>
        <w:tc>
          <w:tcPr>
            <w:tcW w:w="3710" w:type="dxa"/>
            <w:vMerge w:val="restart"/>
            <w:vAlign w:val="center"/>
          </w:tcPr>
          <w:p>
            <w:pPr>
              <w:spacing w:line="240" w:lineRule="auto"/>
              <w:rPr>
                <w:sz w:val="21"/>
                <w:szCs w:val="21"/>
              </w:rPr>
            </w:pPr>
            <w:r>
              <w:rPr>
                <w:kern w:val="0"/>
                <w:sz w:val="21"/>
                <w:szCs w:val="21"/>
              </w:rPr>
              <w:t>pH、BOD</w:t>
            </w:r>
            <w:r>
              <w:rPr>
                <w:kern w:val="0"/>
                <w:sz w:val="21"/>
                <w:szCs w:val="21"/>
                <w:vertAlign w:val="subscript"/>
              </w:rPr>
              <w:t>5</w:t>
            </w:r>
            <w:r>
              <w:rPr>
                <w:kern w:val="0"/>
                <w:sz w:val="21"/>
                <w:szCs w:val="21"/>
              </w:rPr>
              <w:t>、COD、氨氮、SS、总磷、粪大肠菌群</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91" w:type="dxa"/>
            <w:vAlign w:val="center"/>
          </w:tcPr>
          <w:p>
            <w:pPr>
              <w:pStyle w:val="46"/>
              <w:spacing w:line="240" w:lineRule="auto"/>
              <w:jc w:val="center"/>
              <w:outlineLvl w:val="0"/>
              <w:rPr>
                <w:rFonts w:ascii="Times New Roman" w:hAnsi="Times New Roman"/>
                <w:sz w:val="21"/>
              </w:rPr>
            </w:pPr>
            <w:bookmarkStart w:id="673" w:name="_Toc14736"/>
            <w:bookmarkStart w:id="674" w:name="_Toc5660"/>
            <w:bookmarkStart w:id="675" w:name="_Toc4059"/>
            <w:bookmarkStart w:id="676" w:name="_Toc212"/>
            <w:bookmarkStart w:id="677" w:name="_Toc18039"/>
            <w:bookmarkStart w:id="678" w:name="_Toc25567"/>
            <w:r>
              <w:rPr>
                <w:rFonts w:ascii="Times New Roman" w:hAnsi="Times New Roman"/>
                <w:sz w:val="21"/>
              </w:rPr>
              <w:fldChar w:fldCharType="begin"/>
            </w:r>
            <w:r>
              <w:rPr>
                <w:rFonts w:ascii="Times New Roman" w:hAnsi="Times New Roman"/>
                <w:sz w:val="21"/>
              </w:rPr>
              <w:instrText xml:space="preserve"> = 2 \* ROMAN </w:instrText>
            </w:r>
            <w:r>
              <w:rPr>
                <w:rFonts w:ascii="Times New Roman" w:hAnsi="Times New Roman"/>
                <w:sz w:val="21"/>
              </w:rPr>
              <w:fldChar w:fldCharType="separate"/>
            </w:r>
            <w:bookmarkStart w:id="679" w:name="_Toc29110593"/>
            <w:r>
              <w:rPr>
                <w:rFonts w:ascii="Times New Roman" w:hAnsi="Times New Roman"/>
                <w:sz w:val="21"/>
              </w:rPr>
              <w:t>II</w:t>
            </w:r>
            <w:bookmarkEnd w:id="679"/>
            <w:r>
              <w:rPr>
                <w:rFonts w:ascii="Times New Roman" w:hAnsi="Times New Roman"/>
                <w:sz w:val="21"/>
              </w:rPr>
              <w:fldChar w:fldCharType="end"/>
            </w:r>
            <w:bookmarkEnd w:id="673"/>
            <w:bookmarkEnd w:id="674"/>
            <w:bookmarkEnd w:id="675"/>
            <w:bookmarkEnd w:id="676"/>
            <w:bookmarkEnd w:id="677"/>
            <w:bookmarkEnd w:id="678"/>
          </w:p>
        </w:tc>
        <w:tc>
          <w:tcPr>
            <w:tcW w:w="543" w:type="dxa"/>
            <w:vMerge w:val="continue"/>
            <w:tcBorders>
              <w:right w:val="single" w:color="auto" w:sz="4" w:space="0"/>
            </w:tcBorders>
            <w:vAlign w:val="center"/>
          </w:tcPr>
          <w:p>
            <w:pPr>
              <w:pStyle w:val="46"/>
              <w:spacing w:line="240" w:lineRule="auto"/>
              <w:jc w:val="center"/>
              <w:outlineLvl w:val="0"/>
              <w:rPr>
                <w:rFonts w:ascii="Times New Roman" w:hAnsi="Times New Roman"/>
                <w:sz w:val="21"/>
              </w:rPr>
            </w:pPr>
          </w:p>
        </w:tc>
        <w:tc>
          <w:tcPr>
            <w:tcW w:w="3243" w:type="dxa"/>
            <w:tcBorders>
              <w:left w:val="single" w:color="auto" w:sz="4" w:space="0"/>
            </w:tcBorders>
            <w:vAlign w:val="center"/>
          </w:tcPr>
          <w:p>
            <w:pPr>
              <w:pStyle w:val="46"/>
              <w:spacing w:line="240" w:lineRule="auto"/>
              <w:jc w:val="center"/>
              <w:outlineLvl w:val="0"/>
              <w:rPr>
                <w:rFonts w:ascii="Times New Roman" w:hAnsi="Times New Roman"/>
                <w:sz w:val="21"/>
              </w:rPr>
            </w:pPr>
            <w:bookmarkStart w:id="680" w:name="_Toc508"/>
            <w:bookmarkStart w:id="681" w:name="_Toc12704"/>
            <w:bookmarkStart w:id="682" w:name="_Toc27311"/>
            <w:bookmarkStart w:id="683" w:name="_Toc16773"/>
            <w:bookmarkStart w:id="684" w:name="_Toc24489"/>
            <w:bookmarkStart w:id="685" w:name="_Toc1708"/>
            <w:bookmarkStart w:id="686" w:name="_Toc29110594"/>
            <w:r>
              <w:rPr>
                <w:rFonts w:ascii="Times New Roman" w:hAnsi="Times New Roman"/>
                <w:sz w:val="21"/>
              </w:rPr>
              <w:t>项目所在地</w:t>
            </w:r>
            <w:bookmarkEnd w:id="680"/>
            <w:bookmarkEnd w:id="681"/>
            <w:bookmarkEnd w:id="682"/>
            <w:bookmarkEnd w:id="683"/>
            <w:bookmarkEnd w:id="684"/>
            <w:bookmarkEnd w:id="685"/>
            <w:r>
              <w:rPr>
                <w:rFonts w:hint="eastAsia" w:ascii="Times New Roman" w:hAnsi="Times New Roman"/>
                <w:sz w:val="21"/>
              </w:rPr>
              <w:t>中游</w:t>
            </w:r>
            <w:bookmarkEnd w:id="686"/>
          </w:p>
        </w:tc>
        <w:tc>
          <w:tcPr>
            <w:tcW w:w="3710" w:type="dxa"/>
            <w:vMerge w:val="continue"/>
            <w:vAlign w:val="center"/>
          </w:tcPr>
          <w:p>
            <w:pPr>
              <w:pStyle w:val="46"/>
              <w:spacing w:line="240" w:lineRule="auto"/>
              <w:rPr>
                <w:rFonts w:ascii="Times New Roman" w:hAnsi="Times New Roman"/>
                <w:kern w:val="0"/>
                <w:sz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91" w:type="dxa"/>
            <w:vAlign w:val="center"/>
          </w:tcPr>
          <w:p>
            <w:pPr>
              <w:pStyle w:val="46"/>
              <w:spacing w:line="240" w:lineRule="auto"/>
              <w:jc w:val="center"/>
              <w:outlineLvl w:val="0"/>
              <w:rPr>
                <w:rFonts w:ascii="Times New Roman" w:hAnsi="Times New Roman"/>
                <w:sz w:val="21"/>
              </w:rPr>
            </w:pPr>
            <w:bookmarkStart w:id="687" w:name="_Toc29110595"/>
            <w:r>
              <w:rPr>
                <w:rFonts w:hint="eastAsia" w:hAnsi="宋体"/>
                <w:sz w:val="21"/>
              </w:rPr>
              <w:t>Ⅲ</w:t>
            </w:r>
            <w:bookmarkEnd w:id="687"/>
          </w:p>
        </w:tc>
        <w:tc>
          <w:tcPr>
            <w:tcW w:w="543" w:type="dxa"/>
            <w:vMerge w:val="continue"/>
            <w:tcBorders>
              <w:right w:val="single" w:color="auto" w:sz="4" w:space="0"/>
            </w:tcBorders>
            <w:vAlign w:val="center"/>
          </w:tcPr>
          <w:p>
            <w:pPr>
              <w:pStyle w:val="46"/>
              <w:spacing w:line="240" w:lineRule="auto"/>
              <w:jc w:val="center"/>
              <w:outlineLvl w:val="0"/>
              <w:rPr>
                <w:rFonts w:ascii="Times New Roman" w:hAnsi="Times New Roman"/>
                <w:sz w:val="21"/>
              </w:rPr>
            </w:pPr>
          </w:p>
        </w:tc>
        <w:tc>
          <w:tcPr>
            <w:tcW w:w="3243" w:type="dxa"/>
            <w:tcBorders>
              <w:left w:val="single" w:color="auto" w:sz="4" w:space="0"/>
            </w:tcBorders>
            <w:vAlign w:val="center"/>
          </w:tcPr>
          <w:p>
            <w:pPr>
              <w:pStyle w:val="46"/>
              <w:spacing w:line="240" w:lineRule="auto"/>
              <w:jc w:val="center"/>
              <w:outlineLvl w:val="0"/>
              <w:rPr>
                <w:rFonts w:ascii="Times New Roman" w:hAnsi="Times New Roman"/>
                <w:sz w:val="21"/>
              </w:rPr>
            </w:pPr>
            <w:bookmarkStart w:id="688" w:name="_Toc29110596"/>
            <w:r>
              <w:rPr>
                <w:rFonts w:hint="eastAsia" w:ascii="Times New Roman" w:hAnsi="Times New Roman"/>
                <w:sz w:val="21"/>
              </w:rPr>
              <w:t>项目</w:t>
            </w:r>
            <w:r>
              <w:rPr>
                <w:rFonts w:ascii="Times New Roman" w:hAnsi="Times New Roman"/>
                <w:sz w:val="21"/>
              </w:rPr>
              <w:t>所在地下游</w:t>
            </w:r>
            <w:bookmarkEnd w:id="688"/>
          </w:p>
        </w:tc>
        <w:tc>
          <w:tcPr>
            <w:tcW w:w="3710" w:type="dxa"/>
            <w:vMerge w:val="continue"/>
            <w:vAlign w:val="center"/>
          </w:tcPr>
          <w:p>
            <w:pPr>
              <w:pStyle w:val="46"/>
              <w:spacing w:line="240" w:lineRule="auto"/>
              <w:rPr>
                <w:rFonts w:ascii="Times New Roman" w:hAnsi="Times New Roman"/>
                <w:kern w:val="0"/>
                <w:sz w:val="21"/>
              </w:rPr>
            </w:pPr>
          </w:p>
        </w:tc>
      </w:tr>
    </w:tbl>
    <w:p>
      <w:pPr>
        <w:spacing w:before="240" w:after="60"/>
        <w:jc w:val="left"/>
        <w:outlineLvl w:val="2"/>
        <w:rPr>
          <w:rFonts w:eastAsia="黑体"/>
          <w:bCs/>
          <w:sz w:val="28"/>
          <w:szCs w:val="28"/>
        </w:rPr>
      </w:pPr>
      <w:r>
        <w:rPr>
          <w:rFonts w:eastAsia="黑体"/>
          <w:bCs/>
          <w:sz w:val="28"/>
          <w:szCs w:val="28"/>
        </w:rPr>
        <w:t>6.2.2 监测项目及分析方法</w:t>
      </w:r>
    </w:p>
    <w:p>
      <w:pPr>
        <w:widowControl/>
        <w:snapToGrid w:val="0"/>
        <w:ind w:firstLine="480" w:firstLineChars="200"/>
        <w:rPr>
          <w:kern w:val="0"/>
        </w:rPr>
      </w:pPr>
      <w:r>
        <w:rPr>
          <w:kern w:val="0"/>
        </w:rPr>
        <w:t>（1）监测项目：pH、BOD</w:t>
      </w:r>
      <w:r>
        <w:rPr>
          <w:kern w:val="0"/>
          <w:vertAlign w:val="subscript"/>
        </w:rPr>
        <w:t>5</w:t>
      </w:r>
      <w:r>
        <w:rPr>
          <w:kern w:val="0"/>
        </w:rPr>
        <w:t>、COD、NH</w:t>
      </w:r>
      <w:r>
        <w:rPr>
          <w:kern w:val="0"/>
          <w:vertAlign w:val="subscript"/>
        </w:rPr>
        <w:t>3</w:t>
      </w:r>
      <w:r>
        <w:rPr>
          <w:kern w:val="0"/>
        </w:rPr>
        <w:t>-N、SS、总磷、粪大肠菌群共7项。</w:t>
      </w:r>
    </w:p>
    <w:p>
      <w:pPr>
        <w:widowControl/>
        <w:snapToGrid w:val="0"/>
        <w:ind w:firstLine="480" w:firstLineChars="200"/>
        <w:rPr>
          <w:kern w:val="0"/>
        </w:rPr>
      </w:pPr>
      <w:r>
        <w:rPr>
          <w:kern w:val="0"/>
        </w:rPr>
        <w:t>（2）监测时间、频率：2019年7月30日～2019年8月1日。</w:t>
      </w:r>
    </w:p>
    <w:p>
      <w:pPr>
        <w:spacing w:before="240" w:after="60"/>
        <w:jc w:val="left"/>
        <w:outlineLvl w:val="2"/>
        <w:rPr>
          <w:rFonts w:eastAsia="黑体"/>
          <w:bCs/>
          <w:sz w:val="28"/>
          <w:szCs w:val="28"/>
        </w:rPr>
      </w:pPr>
      <w:r>
        <w:rPr>
          <w:rFonts w:eastAsia="黑体"/>
          <w:bCs/>
          <w:sz w:val="28"/>
          <w:szCs w:val="28"/>
        </w:rPr>
        <w:t>6.2.3 监测结果</w:t>
      </w:r>
    </w:p>
    <w:p>
      <w:pPr>
        <w:widowControl/>
        <w:snapToGrid w:val="0"/>
        <w:ind w:firstLine="480" w:firstLineChars="200"/>
        <w:rPr>
          <w:kern w:val="0"/>
        </w:rPr>
      </w:pPr>
      <w:r>
        <w:rPr>
          <w:kern w:val="0"/>
        </w:rPr>
        <w:t>地表水环境现状监测结果统计见下表6.2-2。</w:t>
      </w:r>
    </w:p>
    <w:p>
      <w:pPr>
        <w:spacing w:line="240" w:lineRule="auto"/>
        <w:jc w:val="center"/>
        <w:rPr>
          <w:rFonts w:eastAsia="黑体"/>
        </w:rPr>
      </w:pPr>
    </w:p>
    <w:p>
      <w:pPr>
        <w:spacing w:line="240" w:lineRule="auto"/>
        <w:jc w:val="center"/>
        <w:rPr>
          <w:rFonts w:eastAsia="黑体"/>
        </w:rPr>
      </w:pPr>
      <w:r>
        <w:rPr>
          <w:rFonts w:eastAsia="黑体"/>
        </w:rPr>
        <w:t>表6.2-2 水环境质量监测结果</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1925"/>
        <w:gridCol w:w="1462"/>
        <w:gridCol w:w="1462"/>
        <w:gridCol w:w="1464"/>
        <w:gridCol w:w="11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点位编号</w:t>
            </w:r>
          </w:p>
        </w:tc>
        <w:tc>
          <w:tcPr>
            <w:tcW w:w="1925"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检测项目</w:t>
            </w:r>
          </w:p>
        </w:tc>
        <w:tc>
          <w:tcPr>
            <w:tcW w:w="4388" w:type="dxa"/>
            <w:gridSpan w:val="3"/>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检测结果</w:t>
            </w:r>
          </w:p>
        </w:tc>
        <w:tc>
          <w:tcPr>
            <w:tcW w:w="1105"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2019-7-30</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2018-7-31</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2019-8-1</w:t>
            </w:r>
          </w:p>
        </w:tc>
        <w:tc>
          <w:tcPr>
            <w:tcW w:w="1105"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rFonts w:hint="eastAsia" w:ascii="宋体" w:hAnsi="宋体"/>
                <w:kern w:val="0"/>
                <w:sz w:val="21"/>
                <w:szCs w:val="21"/>
              </w:rPr>
              <w:t>Ⅰ</w:t>
            </w: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pH</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7.09</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7.21</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7.24</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6</w:t>
            </w:r>
            <w:r>
              <w:rPr>
                <w:kern w:val="0"/>
                <w:sz w:val="21"/>
                <w:szCs w:val="21"/>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悬浮物</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24</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15</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18</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氨氮</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w:t>
            </w:r>
            <w:r>
              <w:rPr>
                <w:kern w:val="0"/>
                <w:sz w:val="21"/>
                <w:szCs w:val="21"/>
              </w:rPr>
              <w:t>63</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0.458</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0.469</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总磷</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0.12</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0.12</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0.12</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化学需氧量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11</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15</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11</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五日生化需氧量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2.4</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3.2</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2.4</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粪大肠菌群</w:t>
            </w:r>
          </w:p>
        </w:tc>
        <w:tc>
          <w:tcPr>
            <w:tcW w:w="1462" w:type="dxa"/>
            <w:tcBorders>
              <w:tl2br w:val="nil"/>
              <w:tr2bl w:val="nil"/>
            </w:tcBorders>
            <w:vAlign w:val="center"/>
          </w:tcPr>
          <w:p>
            <w:pPr>
              <w:widowControl/>
              <w:snapToGrid w:val="0"/>
              <w:spacing w:line="240" w:lineRule="auto"/>
              <w:jc w:val="center"/>
              <w:textAlignment w:val="center"/>
              <w:rPr>
                <w:kern w:val="0"/>
                <w:sz w:val="21"/>
                <w:szCs w:val="21"/>
                <w:vertAlign w:val="superscript"/>
              </w:rPr>
            </w:pPr>
            <w:r>
              <w:rPr>
                <w:rFonts w:hint="eastAsia"/>
                <w:kern w:val="0"/>
                <w:sz w:val="21"/>
                <w:szCs w:val="21"/>
              </w:rPr>
              <w:t>1.3</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8.0</w:t>
            </w:r>
            <w:r>
              <w:rPr>
                <w:rFonts w:hint="eastAsia" w:ascii="宋体" w:hAnsi="宋体"/>
                <w:kern w:val="0"/>
                <w:sz w:val="21"/>
                <w:szCs w:val="21"/>
              </w:rPr>
              <w:t>×</w:t>
            </w:r>
            <w:r>
              <w:rPr>
                <w:kern w:val="0"/>
                <w:sz w:val="21"/>
                <w:szCs w:val="21"/>
              </w:rPr>
              <w:t>10</w:t>
            </w:r>
            <w:r>
              <w:rPr>
                <w:kern w:val="0"/>
                <w:sz w:val="21"/>
                <w:szCs w:val="21"/>
                <w:vertAlign w:val="superscript"/>
              </w:rPr>
              <w:t>2</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1.7</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rFonts w:hint="eastAsia" w:ascii="宋体" w:hAnsi="宋体"/>
                <w:kern w:val="0"/>
                <w:sz w:val="21"/>
                <w:szCs w:val="21"/>
              </w:rPr>
              <w:t>Ⅱ</w:t>
            </w: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pH</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7.26</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7.26</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7.31</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6</w:t>
            </w:r>
            <w:r>
              <w:rPr>
                <w:kern w:val="0"/>
                <w:sz w:val="21"/>
                <w:szCs w:val="21"/>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悬浮物</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18</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16</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17</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氨氮</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0.359</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0.351</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0.365</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总磷</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0.09</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0.10</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0.10</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化学需氧量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五日生化需氧量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1.5</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1.6</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1.5</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粪大肠菌群</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w:t>
            </w:r>
            <w:r>
              <w:rPr>
                <w:kern w:val="0"/>
                <w:sz w:val="21"/>
                <w:szCs w:val="21"/>
              </w:rPr>
              <w:t>1</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8</w:t>
            </w:r>
            <w:r>
              <w:rPr>
                <w:rFonts w:hint="eastAsia" w:ascii="宋体" w:hAnsi="宋体"/>
                <w:kern w:val="0"/>
                <w:sz w:val="21"/>
                <w:szCs w:val="21"/>
              </w:rPr>
              <w:t>×</w:t>
            </w:r>
            <w:r>
              <w:rPr>
                <w:kern w:val="0"/>
                <w:sz w:val="21"/>
                <w:szCs w:val="21"/>
              </w:rPr>
              <w:t>10</w:t>
            </w:r>
            <w:r>
              <w:rPr>
                <w:kern w:val="0"/>
                <w:sz w:val="21"/>
                <w:szCs w:val="21"/>
                <w:vertAlign w:val="superscript"/>
              </w:rPr>
              <w:t>2</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w:t>
            </w:r>
            <w:r>
              <w:rPr>
                <w:kern w:val="0"/>
                <w:sz w:val="21"/>
                <w:szCs w:val="21"/>
              </w:rPr>
              <w:t>1</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restart"/>
            <w:tcBorders>
              <w:tl2br w:val="nil"/>
              <w:tr2bl w:val="nil"/>
            </w:tcBorders>
            <w:vAlign w:val="center"/>
          </w:tcPr>
          <w:p>
            <w:pPr>
              <w:widowControl/>
              <w:snapToGrid w:val="0"/>
              <w:spacing w:line="240" w:lineRule="auto"/>
              <w:jc w:val="center"/>
              <w:textAlignment w:val="center"/>
              <w:rPr>
                <w:kern w:val="0"/>
                <w:sz w:val="21"/>
                <w:szCs w:val="21"/>
              </w:rPr>
            </w:pPr>
            <w:r>
              <w:rPr>
                <w:rFonts w:hint="eastAsia" w:ascii="宋体" w:hAnsi="宋体"/>
                <w:kern w:val="0"/>
                <w:sz w:val="21"/>
                <w:szCs w:val="21"/>
              </w:rPr>
              <w:t>Ⅲ</w:t>
            </w: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pH</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7.31</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7.30</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7.24</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6</w:t>
            </w:r>
            <w:r>
              <w:rPr>
                <w:kern w:val="0"/>
                <w:sz w:val="21"/>
                <w:szCs w:val="21"/>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悬浮物</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16</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13</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20</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氨氮</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0.477</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0.485</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0.477</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总磷</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0.07</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0.08</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0.08</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化学需氧量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9</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9</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10</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五日生化需氧量</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1.8</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1.8</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2.0</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69" w:type="dxa"/>
            <w:vMerge w:val="continue"/>
            <w:tcBorders>
              <w:tl2br w:val="nil"/>
              <w:tr2bl w:val="nil"/>
            </w:tcBorders>
            <w:vAlign w:val="center"/>
          </w:tcPr>
          <w:p>
            <w:pPr>
              <w:widowControl/>
              <w:snapToGrid w:val="0"/>
              <w:spacing w:line="240" w:lineRule="auto"/>
              <w:jc w:val="center"/>
              <w:textAlignment w:val="center"/>
              <w:rPr>
                <w:kern w:val="0"/>
                <w:sz w:val="21"/>
                <w:szCs w:val="21"/>
              </w:rPr>
            </w:pPr>
          </w:p>
        </w:tc>
        <w:tc>
          <w:tcPr>
            <w:tcW w:w="1925" w:type="dxa"/>
            <w:tcBorders>
              <w:tl2br w:val="nil"/>
              <w:tr2bl w:val="nil"/>
            </w:tcBorders>
            <w:vAlign w:val="center"/>
          </w:tcPr>
          <w:p>
            <w:pPr>
              <w:widowControl/>
              <w:snapToGrid w:val="0"/>
              <w:spacing w:line="240" w:lineRule="auto"/>
              <w:jc w:val="center"/>
              <w:textAlignment w:val="center"/>
              <w:rPr>
                <w:kern w:val="0"/>
                <w:sz w:val="21"/>
                <w:szCs w:val="21"/>
              </w:rPr>
            </w:pPr>
            <w:r>
              <w:rPr>
                <w:kern w:val="0"/>
                <w:sz w:val="21"/>
                <w:szCs w:val="21"/>
              </w:rPr>
              <w:t>粪大肠菌群</w:t>
            </w:r>
          </w:p>
        </w:tc>
        <w:tc>
          <w:tcPr>
            <w:tcW w:w="1462" w:type="dxa"/>
            <w:tcBorders>
              <w:tl2br w:val="nil"/>
              <w:tr2bl w:val="nil"/>
            </w:tcBorders>
            <w:vAlign w:val="center"/>
          </w:tcPr>
          <w:p>
            <w:pPr>
              <w:widowControl/>
              <w:snapToGrid w:val="0"/>
              <w:spacing w:line="240" w:lineRule="auto"/>
              <w:jc w:val="center"/>
              <w:textAlignment w:val="center"/>
              <w:rPr>
                <w:kern w:val="0"/>
                <w:sz w:val="21"/>
                <w:szCs w:val="21"/>
                <w:vertAlign w:val="superscript"/>
              </w:rPr>
            </w:pPr>
            <w:r>
              <w:rPr>
                <w:rFonts w:hint="eastAsia"/>
                <w:kern w:val="0"/>
                <w:sz w:val="21"/>
                <w:szCs w:val="21"/>
              </w:rPr>
              <w:t>1.</w:t>
            </w:r>
            <w:r>
              <w:rPr>
                <w:kern w:val="0"/>
                <w:sz w:val="21"/>
                <w:szCs w:val="21"/>
              </w:rPr>
              <w:t>7</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462"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1.3</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464"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1.3</w:t>
            </w:r>
            <w:r>
              <w:rPr>
                <w:rFonts w:hint="eastAsia" w:ascii="宋体" w:hAnsi="宋体"/>
                <w:kern w:val="0"/>
                <w:sz w:val="21"/>
                <w:szCs w:val="21"/>
              </w:rPr>
              <w:t>×</w:t>
            </w:r>
            <w:r>
              <w:rPr>
                <w:kern w:val="0"/>
                <w:sz w:val="21"/>
                <w:szCs w:val="21"/>
              </w:rPr>
              <w:t>10</w:t>
            </w:r>
            <w:r>
              <w:rPr>
                <w:kern w:val="0"/>
                <w:sz w:val="21"/>
                <w:szCs w:val="21"/>
                <w:vertAlign w:val="superscript"/>
              </w:rPr>
              <w:t>3</w:t>
            </w:r>
          </w:p>
        </w:tc>
        <w:tc>
          <w:tcPr>
            <w:tcW w:w="1105" w:type="dxa"/>
            <w:tcBorders>
              <w:tl2br w:val="nil"/>
              <w:tr2bl w:val="nil"/>
            </w:tcBorders>
            <w:vAlign w:val="center"/>
          </w:tcPr>
          <w:p>
            <w:pPr>
              <w:widowControl/>
              <w:snapToGrid w:val="0"/>
              <w:spacing w:line="240" w:lineRule="auto"/>
              <w:jc w:val="center"/>
              <w:textAlignment w:val="center"/>
              <w:rPr>
                <w:kern w:val="0"/>
                <w:sz w:val="21"/>
                <w:szCs w:val="21"/>
              </w:rPr>
            </w:pPr>
            <w:r>
              <w:rPr>
                <w:rFonts w:hint="eastAsia"/>
                <w:kern w:val="0"/>
                <w:sz w:val="21"/>
                <w:szCs w:val="21"/>
              </w:rPr>
              <w:t>10000</w:t>
            </w:r>
          </w:p>
        </w:tc>
      </w:tr>
    </w:tbl>
    <w:p>
      <w:pPr>
        <w:spacing w:before="240" w:after="60"/>
        <w:jc w:val="left"/>
        <w:outlineLvl w:val="2"/>
        <w:rPr>
          <w:rFonts w:eastAsia="黑体"/>
          <w:bCs/>
          <w:sz w:val="28"/>
          <w:szCs w:val="28"/>
        </w:rPr>
      </w:pPr>
      <w:r>
        <w:rPr>
          <w:rFonts w:eastAsia="黑体"/>
          <w:bCs/>
          <w:sz w:val="28"/>
          <w:szCs w:val="28"/>
        </w:rPr>
        <w:t>6.2.4 评价方法</w:t>
      </w:r>
    </w:p>
    <w:p>
      <w:pPr>
        <w:widowControl/>
        <w:ind w:firstLine="496" w:firstLineChars="200"/>
        <w:rPr>
          <w:spacing w:val="4"/>
          <w:kern w:val="0"/>
        </w:rPr>
      </w:pPr>
      <w:r>
        <w:rPr>
          <w:spacing w:val="4"/>
          <w:kern w:val="0"/>
        </w:rPr>
        <w:t>采用单项污染指数法。</w:t>
      </w:r>
    </w:p>
    <w:p>
      <w:pPr>
        <w:pStyle w:val="2500"/>
        <w:widowControl/>
        <w:spacing w:line="360" w:lineRule="auto"/>
        <w:ind w:left="420" w:firstLine="0" w:firstLineChars="0"/>
        <w:rPr>
          <w:rFonts w:ascii="Times New Roman" w:hAnsi="Times New Roman"/>
          <w:kern w:val="0"/>
          <w:sz w:val="24"/>
          <w:szCs w:val="24"/>
        </w:rPr>
      </w:pPr>
      <w:r>
        <w:rPr>
          <w:rFonts w:ascii="Times New Roman" w:hAnsi="Times New Roman"/>
          <w:spacing w:val="4"/>
          <w:kern w:val="0"/>
          <w:sz w:val="24"/>
          <w:szCs w:val="24"/>
        </w:rPr>
        <w:t xml:space="preserve">一般表达式为：   </w:t>
      </w:r>
      <w:r>
        <w:rPr>
          <w:rFonts w:ascii="Times New Roman" w:hAnsi="Times New Roman"/>
          <w:sz w:val="24"/>
          <w:szCs w:val="24"/>
        </w:rPr>
        <w:drawing>
          <wp:inline distT="0" distB="0" distL="0" distR="0">
            <wp:extent cx="657225" cy="466725"/>
            <wp:effectExtent l="0" t="0" r="9525" b="9525"/>
            <wp:docPr id="9" name="图片 9" descr="C:\Users\LENOVO\AppData\Local\Temp\ksohtml\wpsBF5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LENOVO\AppData\Local\Temp\ksohtml\wpsBF5B.tmp.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657225" cy="466725"/>
                    </a:xfrm>
                    <a:prstGeom prst="rect">
                      <a:avLst/>
                    </a:prstGeom>
                    <a:noFill/>
                    <a:ln>
                      <a:noFill/>
                    </a:ln>
                  </pic:spPr>
                </pic:pic>
              </a:graphicData>
            </a:graphic>
          </wp:inline>
        </w:drawing>
      </w:r>
    </w:p>
    <w:p>
      <w:pPr>
        <w:widowControl/>
        <w:ind w:firstLine="496" w:firstLineChars="200"/>
        <w:rPr>
          <w:spacing w:val="4"/>
          <w:kern w:val="0"/>
        </w:rPr>
      </w:pPr>
      <w:r>
        <w:rPr>
          <w:spacing w:val="4"/>
          <w:kern w:val="0"/>
        </w:rPr>
        <w:t xml:space="preserve">式中：  </w:t>
      </w:r>
      <w:r>
        <w:drawing>
          <wp:inline distT="0" distB="0" distL="0" distR="0">
            <wp:extent cx="238125" cy="247650"/>
            <wp:effectExtent l="0" t="0" r="9525" b="0"/>
            <wp:docPr id="8" name="图片 8" descr="C:\Users\LENOVO\AppData\Local\Temp\ksohtml\wpsBF6C.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LENOVO\AppData\Local\Temp\ksohtml\wpsBF6C.tmp.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38125" cy="247650"/>
                    </a:xfrm>
                    <a:prstGeom prst="rect">
                      <a:avLst/>
                    </a:prstGeom>
                    <a:noFill/>
                    <a:ln>
                      <a:noFill/>
                    </a:ln>
                  </pic:spPr>
                </pic:pic>
              </a:graphicData>
            </a:graphic>
          </wp:inline>
        </w:drawing>
      </w:r>
      <w:r>
        <w:rPr>
          <w:kern w:val="0"/>
        </w:rPr>
        <w:t>—— 单项水质参数i在第j点的标准指数；</w:t>
      </w:r>
    </w:p>
    <w:p>
      <w:pPr>
        <w:widowControl/>
        <w:ind w:firstLine="992" w:firstLineChars="400"/>
        <w:rPr>
          <w:spacing w:val="4"/>
          <w:kern w:val="0"/>
        </w:rPr>
      </w:pPr>
      <w:r>
        <w:rPr>
          <w:spacing w:val="4"/>
          <w:kern w:val="0"/>
        </w:rPr>
        <w:t>C</w:t>
      </w:r>
      <w:r>
        <w:rPr>
          <w:spacing w:val="4"/>
          <w:kern w:val="0"/>
          <w:vertAlign w:val="subscript"/>
        </w:rPr>
        <w:t>i,j</w:t>
      </w:r>
      <w:r>
        <w:rPr>
          <w:spacing w:val="4"/>
          <w:kern w:val="0"/>
        </w:rPr>
        <w:t>—— 污染物i在监测j的浓度 mg/L；</w:t>
      </w:r>
    </w:p>
    <w:p>
      <w:pPr>
        <w:widowControl/>
        <w:ind w:firstLine="992" w:firstLineChars="400"/>
        <w:rPr>
          <w:spacing w:val="4"/>
          <w:kern w:val="0"/>
        </w:rPr>
      </w:pPr>
      <w:r>
        <w:rPr>
          <w:spacing w:val="4"/>
          <w:kern w:val="0"/>
        </w:rPr>
        <w:t>C</w:t>
      </w:r>
      <w:r>
        <w:rPr>
          <w:spacing w:val="4"/>
          <w:kern w:val="0"/>
          <w:vertAlign w:val="subscript"/>
        </w:rPr>
        <w:t>si</w:t>
      </w:r>
      <w:r>
        <w:rPr>
          <w:spacing w:val="4"/>
          <w:kern w:val="0"/>
        </w:rPr>
        <w:t>—— 水质参数i的地面水水质标准mg/L。</w:t>
      </w:r>
    </w:p>
    <w:p>
      <w:pPr>
        <w:pStyle w:val="2500"/>
        <w:widowControl/>
        <w:spacing w:line="360" w:lineRule="auto"/>
        <w:ind w:left="420" w:firstLine="0" w:firstLineChars="0"/>
        <w:rPr>
          <w:rFonts w:ascii="Times New Roman" w:hAnsi="Times New Roman"/>
          <w:spacing w:val="4"/>
          <w:kern w:val="0"/>
          <w:sz w:val="24"/>
          <w:szCs w:val="24"/>
        </w:rPr>
      </w:pPr>
      <w:r>
        <w:rPr>
          <w:rFonts w:ascii="Times New Roman" w:hAnsi="Times New Roman"/>
          <w:spacing w:val="4"/>
          <w:kern w:val="0"/>
          <w:sz w:val="24"/>
          <w:szCs w:val="24"/>
        </w:rPr>
        <w:t>对具有上、下限标准的项目pH，计算式为：</w:t>
      </w:r>
    </w:p>
    <w:p>
      <w:pPr>
        <w:widowControl/>
        <w:ind w:firstLine="960" w:firstLineChars="400"/>
        <w:rPr>
          <w:spacing w:val="4"/>
          <w:kern w:val="0"/>
        </w:rPr>
      </w:pPr>
      <w:r>
        <w:drawing>
          <wp:inline distT="0" distB="0" distL="0" distR="0">
            <wp:extent cx="1200150" cy="457200"/>
            <wp:effectExtent l="0" t="0" r="0" b="0"/>
            <wp:docPr id="7" name="图片 7" descr="C:\Users\LENOVO\AppData\Local\Temp\ksohtml\wpsBF6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LENOVO\AppData\Local\Temp\ksohtml\wpsBF6D.tmp.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200150" cy="457200"/>
                    </a:xfrm>
                    <a:prstGeom prst="rect">
                      <a:avLst/>
                    </a:prstGeom>
                    <a:noFill/>
                    <a:ln>
                      <a:noFill/>
                    </a:ln>
                  </pic:spPr>
                </pic:pic>
              </a:graphicData>
            </a:graphic>
          </wp:inline>
        </w:drawing>
      </w:r>
      <w:r>
        <w:rPr>
          <w:kern w:val="0"/>
        </w:rPr>
        <w:t xml:space="preserve">         当pH</w:t>
      </w:r>
      <w:r>
        <w:rPr>
          <w:spacing w:val="4"/>
          <w:kern w:val="0"/>
          <w:vertAlign w:val="subscript"/>
        </w:rPr>
        <w:t>j</w:t>
      </w:r>
      <w:r>
        <w:rPr>
          <w:spacing w:val="4"/>
          <w:kern w:val="0"/>
        </w:rPr>
        <w:t>≤7.0</w:t>
      </w:r>
    </w:p>
    <w:p>
      <w:pPr>
        <w:widowControl/>
        <w:ind w:firstLine="960" w:firstLineChars="400"/>
        <w:rPr>
          <w:spacing w:val="4"/>
          <w:kern w:val="0"/>
        </w:rPr>
      </w:pPr>
      <w:r>
        <w:drawing>
          <wp:inline distT="0" distB="0" distL="0" distR="0">
            <wp:extent cx="1190625" cy="457200"/>
            <wp:effectExtent l="0" t="0" r="9525" b="0"/>
            <wp:docPr id="6" name="图片 6" descr="C:\Users\LENOVO\AppData\Local\Temp\ksohtml\wpsBF6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LENOVO\AppData\Local\Temp\ksohtml\wpsBF6E.tmp.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190625" cy="457200"/>
                    </a:xfrm>
                    <a:prstGeom prst="rect">
                      <a:avLst/>
                    </a:prstGeom>
                    <a:noFill/>
                    <a:ln>
                      <a:noFill/>
                    </a:ln>
                  </pic:spPr>
                </pic:pic>
              </a:graphicData>
            </a:graphic>
          </wp:inline>
        </w:drawing>
      </w:r>
      <w:r>
        <w:rPr>
          <w:kern w:val="0"/>
        </w:rPr>
        <w:t xml:space="preserve">         当pH</w:t>
      </w:r>
      <w:r>
        <w:rPr>
          <w:spacing w:val="4"/>
          <w:kern w:val="0"/>
          <w:vertAlign w:val="subscript"/>
        </w:rPr>
        <w:t xml:space="preserve">j </w:t>
      </w:r>
      <w:r>
        <w:rPr>
          <w:spacing w:val="4"/>
          <w:kern w:val="0"/>
        </w:rPr>
        <w:t>&gt; 7.0</w:t>
      </w:r>
    </w:p>
    <w:p>
      <w:pPr>
        <w:pStyle w:val="2500"/>
        <w:widowControl/>
        <w:snapToGrid w:val="0"/>
        <w:spacing w:line="360" w:lineRule="auto"/>
        <w:ind w:left="420" w:firstLine="0" w:firstLineChars="0"/>
        <w:rPr>
          <w:rFonts w:ascii="Times New Roman" w:hAnsi="Times New Roman"/>
          <w:spacing w:val="4"/>
          <w:kern w:val="0"/>
          <w:sz w:val="24"/>
          <w:szCs w:val="24"/>
        </w:rPr>
      </w:pPr>
      <w:r>
        <w:rPr>
          <w:rFonts w:ascii="Times New Roman" w:hAnsi="Times New Roman"/>
          <w:spacing w:val="4"/>
          <w:kern w:val="0"/>
          <w:sz w:val="24"/>
          <w:szCs w:val="24"/>
        </w:rPr>
        <w:t>式中：  pH</w:t>
      </w:r>
      <w:r>
        <w:rPr>
          <w:rFonts w:ascii="Times New Roman" w:hAnsi="Times New Roman"/>
          <w:spacing w:val="4"/>
          <w:kern w:val="0"/>
          <w:sz w:val="24"/>
          <w:szCs w:val="24"/>
          <w:vertAlign w:val="subscript"/>
        </w:rPr>
        <w:t xml:space="preserve">j </w:t>
      </w:r>
      <w:r>
        <w:rPr>
          <w:rFonts w:ascii="Times New Roman" w:hAnsi="Times New Roman"/>
          <w:spacing w:val="4"/>
          <w:kern w:val="0"/>
          <w:sz w:val="24"/>
          <w:szCs w:val="24"/>
        </w:rPr>
        <w:t>—— 为监测点j的pH值；</w:t>
      </w:r>
    </w:p>
    <w:p>
      <w:pPr>
        <w:pStyle w:val="2500"/>
        <w:widowControl/>
        <w:snapToGrid w:val="0"/>
        <w:spacing w:line="360" w:lineRule="auto"/>
        <w:ind w:left="420" w:leftChars="175" w:firstLine="992" w:firstLineChars="400"/>
        <w:rPr>
          <w:rFonts w:ascii="Times New Roman" w:hAnsi="Times New Roman"/>
          <w:spacing w:val="4"/>
          <w:kern w:val="0"/>
          <w:sz w:val="24"/>
          <w:szCs w:val="24"/>
        </w:rPr>
      </w:pPr>
      <w:r>
        <w:rPr>
          <w:rFonts w:ascii="Times New Roman" w:hAnsi="Times New Roman"/>
          <w:spacing w:val="4"/>
          <w:kern w:val="0"/>
          <w:sz w:val="24"/>
          <w:szCs w:val="24"/>
        </w:rPr>
        <w:t>pH</w:t>
      </w:r>
      <w:r>
        <w:rPr>
          <w:rFonts w:ascii="Times New Roman" w:hAnsi="Times New Roman"/>
          <w:spacing w:val="4"/>
          <w:kern w:val="0"/>
          <w:sz w:val="24"/>
          <w:szCs w:val="24"/>
          <w:vertAlign w:val="subscript"/>
        </w:rPr>
        <w:t xml:space="preserve">sd </w:t>
      </w:r>
      <w:r>
        <w:rPr>
          <w:rFonts w:ascii="Times New Roman" w:hAnsi="Times New Roman"/>
          <w:spacing w:val="4"/>
          <w:kern w:val="0"/>
          <w:sz w:val="24"/>
          <w:szCs w:val="24"/>
        </w:rPr>
        <w:t>—— 为水质标准pH的下限值；</w:t>
      </w:r>
    </w:p>
    <w:p>
      <w:pPr>
        <w:pStyle w:val="2500"/>
        <w:widowControl/>
        <w:snapToGrid w:val="0"/>
        <w:spacing w:line="360" w:lineRule="auto"/>
        <w:ind w:left="420" w:leftChars="175" w:firstLine="992" w:firstLineChars="400"/>
        <w:rPr>
          <w:rFonts w:ascii="Times New Roman" w:hAnsi="Times New Roman"/>
          <w:spacing w:val="4"/>
          <w:kern w:val="0"/>
          <w:sz w:val="24"/>
          <w:szCs w:val="24"/>
        </w:rPr>
      </w:pPr>
      <w:r>
        <w:rPr>
          <w:rFonts w:ascii="Times New Roman" w:hAnsi="Times New Roman"/>
          <w:spacing w:val="4"/>
          <w:kern w:val="0"/>
          <w:sz w:val="24"/>
          <w:szCs w:val="24"/>
        </w:rPr>
        <w:t>pH</w:t>
      </w:r>
      <w:r>
        <w:rPr>
          <w:rFonts w:ascii="Times New Roman" w:hAnsi="Times New Roman"/>
          <w:spacing w:val="4"/>
          <w:kern w:val="0"/>
          <w:sz w:val="24"/>
          <w:szCs w:val="24"/>
          <w:vertAlign w:val="subscript"/>
        </w:rPr>
        <w:t xml:space="preserve">su </w:t>
      </w:r>
      <w:r>
        <w:rPr>
          <w:rFonts w:ascii="Times New Roman" w:hAnsi="Times New Roman"/>
          <w:spacing w:val="4"/>
          <w:kern w:val="0"/>
          <w:sz w:val="24"/>
          <w:szCs w:val="24"/>
        </w:rPr>
        <w:t>—— 为水质标准pH的上限值。</w:t>
      </w:r>
    </w:p>
    <w:p>
      <w:pPr>
        <w:spacing w:before="240" w:after="60"/>
        <w:jc w:val="left"/>
        <w:outlineLvl w:val="2"/>
        <w:rPr>
          <w:rFonts w:eastAsia="黑体"/>
          <w:bCs/>
          <w:sz w:val="28"/>
          <w:szCs w:val="28"/>
        </w:rPr>
      </w:pPr>
      <w:r>
        <w:rPr>
          <w:rFonts w:eastAsia="黑体"/>
          <w:bCs/>
          <w:sz w:val="28"/>
          <w:szCs w:val="28"/>
        </w:rPr>
        <w:t>6.2.5 评价结果</w:t>
      </w:r>
    </w:p>
    <w:p>
      <w:pPr>
        <w:pStyle w:val="2500"/>
        <w:widowControl/>
        <w:snapToGrid w:val="0"/>
        <w:spacing w:line="360" w:lineRule="auto"/>
        <w:ind w:left="420" w:firstLine="0" w:firstLineChars="0"/>
        <w:rPr>
          <w:rFonts w:ascii="Times New Roman" w:hAnsi="Times New Roman"/>
          <w:spacing w:val="4"/>
          <w:kern w:val="0"/>
          <w:sz w:val="24"/>
          <w:szCs w:val="24"/>
        </w:rPr>
      </w:pPr>
      <w:r>
        <w:rPr>
          <w:rFonts w:ascii="Times New Roman" w:hAnsi="Times New Roman"/>
          <w:spacing w:val="4"/>
          <w:kern w:val="0"/>
          <w:sz w:val="24"/>
          <w:szCs w:val="24"/>
        </w:rPr>
        <w:t>东河水质现状评价结果见表6.2-3。</w:t>
      </w:r>
    </w:p>
    <w:p>
      <w:pPr>
        <w:spacing w:line="240" w:lineRule="auto"/>
        <w:jc w:val="center"/>
        <w:rPr>
          <w:rFonts w:eastAsia="黑体"/>
        </w:rPr>
      </w:pPr>
      <w:r>
        <w:rPr>
          <w:rFonts w:eastAsia="黑体"/>
        </w:rPr>
        <w:t>表6.2-3  地表水水质现状评价结果</w:t>
      </w:r>
    </w:p>
    <w:tbl>
      <w:tblPr>
        <w:tblStyle w:val="88"/>
        <w:tblW w:w="8787" w:type="dxa"/>
        <w:jc w:val="center"/>
        <w:tblLayout w:type="fixed"/>
        <w:tblCellMar>
          <w:top w:w="0" w:type="dxa"/>
          <w:left w:w="0" w:type="dxa"/>
          <w:bottom w:w="0" w:type="dxa"/>
          <w:right w:w="0" w:type="dxa"/>
        </w:tblCellMar>
      </w:tblPr>
      <w:tblGrid>
        <w:gridCol w:w="987"/>
        <w:gridCol w:w="1346"/>
        <w:gridCol w:w="1344"/>
        <w:gridCol w:w="1211"/>
        <w:gridCol w:w="1346"/>
        <w:gridCol w:w="1210"/>
        <w:gridCol w:w="1343"/>
      </w:tblGrid>
      <w:tr>
        <w:tblPrEx>
          <w:tblCellMar>
            <w:top w:w="0" w:type="dxa"/>
            <w:left w:w="0" w:type="dxa"/>
            <w:bottom w:w="0" w:type="dxa"/>
            <w:right w:w="0" w:type="dxa"/>
          </w:tblCellMar>
        </w:tblPrEx>
        <w:trPr>
          <w:trHeight w:val="20" w:hRule="atLeast"/>
          <w:jc w:val="center"/>
        </w:trPr>
        <w:tc>
          <w:tcPr>
            <w:tcW w:w="987" w:type="dxa"/>
            <w:vMerge w:val="restart"/>
            <w:tcBorders>
              <w:top w:val="single" w:color="000000" w:sz="12" w:space="0"/>
              <w:bottom w:val="single" w:color="000000" w:sz="6" w:space="0"/>
              <w:right w:val="single" w:color="000000" w:sz="6" w:space="0"/>
            </w:tcBorders>
            <w:vAlign w:val="center"/>
          </w:tcPr>
          <w:p>
            <w:pPr>
              <w:widowControl/>
              <w:spacing w:line="240" w:lineRule="atLeast"/>
              <w:jc w:val="center"/>
              <w:rPr>
                <w:kern w:val="0"/>
                <w:sz w:val="21"/>
                <w:szCs w:val="21"/>
              </w:rPr>
            </w:pPr>
            <w:r>
              <w:rPr>
                <w:kern w:val="0"/>
                <w:sz w:val="21"/>
                <w:szCs w:val="21"/>
              </w:rPr>
              <w:t>监测断面</w:t>
            </w:r>
          </w:p>
        </w:tc>
        <w:tc>
          <w:tcPr>
            <w:tcW w:w="7800" w:type="dxa"/>
            <w:gridSpan w:val="6"/>
            <w:tcBorders>
              <w:top w:val="single" w:color="000000" w:sz="12" w:space="0"/>
              <w:left w:val="single" w:color="000000" w:sz="6" w:space="0"/>
              <w:bottom w:val="single" w:color="000000" w:sz="6" w:space="0"/>
            </w:tcBorders>
            <w:vAlign w:val="center"/>
          </w:tcPr>
          <w:p>
            <w:pPr>
              <w:widowControl/>
              <w:spacing w:line="240" w:lineRule="atLeast"/>
              <w:ind w:left="165"/>
              <w:jc w:val="center"/>
              <w:rPr>
                <w:kern w:val="0"/>
                <w:sz w:val="21"/>
                <w:szCs w:val="21"/>
              </w:rPr>
            </w:pPr>
            <w:r>
              <w:rPr>
                <w:kern w:val="0"/>
                <w:sz w:val="21"/>
                <w:szCs w:val="21"/>
              </w:rPr>
              <w:t>评  价  结  果</w:t>
            </w:r>
          </w:p>
        </w:tc>
      </w:tr>
      <w:tr>
        <w:tblPrEx>
          <w:tblCellMar>
            <w:top w:w="0" w:type="dxa"/>
            <w:left w:w="0" w:type="dxa"/>
            <w:bottom w:w="0" w:type="dxa"/>
            <w:right w:w="0" w:type="dxa"/>
          </w:tblCellMar>
        </w:tblPrEx>
        <w:trPr>
          <w:trHeight w:val="20" w:hRule="atLeast"/>
          <w:jc w:val="center"/>
        </w:trPr>
        <w:tc>
          <w:tcPr>
            <w:tcW w:w="987" w:type="dxa"/>
            <w:vMerge w:val="continue"/>
            <w:tcBorders>
              <w:top w:val="single" w:color="000000" w:sz="12" w:space="0"/>
              <w:bottom w:val="single" w:color="000000" w:sz="6" w:space="0"/>
              <w:right w:val="single" w:color="000000" w:sz="6" w:space="0"/>
            </w:tcBorders>
            <w:vAlign w:val="center"/>
          </w:tcPr>
          <w:p>
            <w:pPr>
              <w:widowControl/>
              <w:jc w:val="left"/>
              <w:rPr>
                <w:kern w:val="0"/>
                <w:sz w:val="21"/>
                <w:szCs w:val="21"/>
              </w:rPr>
            </w:pP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pH</w:t>
            </w:r>
          </w:p>
        </w:tc>
        <w:tc>
          <w:tcPr>
            <w:tcW w:w="1344"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spacing w:val="4"/>
                <w:kern w:val="0"/>
                <w:sz w:val="21"/>
                <w:szCs w:val="21"/>
              </w:rPr>
              <w:t>COD</w:t>
            </w:r>
          </w:p>
        </w:tc>
        <w:tc>
          <w:tcPr>
            <w:tcW w:w="1211"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spacing w:val="4"/>
                <w:kern w:val="0"/>
                <w:sz w:val="21"/>
                <w:szCs w:val="21"/>
              </w:rPr>
              <w:t>BOD</w:t>
            </w:r>
            <w:r>
              <w:rPr>
                <w:spacing w:val="4"/>
                <w:kern w:val="0"/>
                <w:sz w:val="21"/>
                <w:szCs w:val="21"/>
                <w:vertAlign w:val="subscript"/>
              </w:rPr>
              <w:t>5</w:t>
            </w: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spacing w:val="4"/>
                <w:kern w:val="0"/>
                <w:sz w:val="21"/>
                <w:szCs w:val="21"/>
              </w:rPr>
              <w:t>NH</w:t>
            </w:r>
            <w:r>
              <w:rPr>
                <w:spacing w:val="4"/>
                <w:kern w:val="0"/>
                <w:sz w:val="21"/>
                <w:szCs w:val="21"/>
                <w:vertAlign w:val="subscript"/>
              </w:rPr>
              <w:t>3</w:t>
            </w:r>
            <w:r>
              <w:rPr>
                <w:spacing w:val="4"/>
                <w:kern w:val="0"/>
                <w:sz w:val="21"/>
                <w:szCs w:val="21"/>
              </w:rPr>
              <w:t>-N</w:t>
            </w:r>
          </w:p>
        </w:tc>
        <w:tc>
          <w:tcPr>
            <w:tcW w:w="1210"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粪大肠菌群</w:t>
            </w:r>
          </w:p>
        </w:tc>
        <w:tc>
          <w:tcPr>
            <w:tcW w:w="1343"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总磷</w:t>
            </w:r>
          </w:p>
        </w:tc>
      </w:tr>
      <w:tr>
        <w:tblPrEx>
          <w:tblCellMar>
            <w:top w:w="0" w:type="dxa"/>
            <w:left w:w="0" w:type="dxa"/>
            <w:bottom w:w="0" w:type="dxa"/>
            <w:right w:w="0" w:type="dxa"/>
          </w:tblCellMar>
        </w:tblPrEx>
        <w:trPr>
          <w:trHeight w:val="84" w:hRule="atLeast"/>
          <w:jc w:val="center"/>
        </w:trPr>
        <w:tc>
          <w:tcPr>
            <w:tcW w:w="987" w:type="dxa"/>
            <w:tcBorders>
              <w:top w:val="single" w:color="000000" w:sz="6" w:space="0"/>
              <w:bottom w:val="single" w:color="000000" w:sz="6" w:space="0"/>
              <w:right w:val="single" w:color="000000" w:sz="6" w:space="0"/>
            </w:tcBorders>
            <w:vAlign w:val="center"/>
          </w:tcPr>
          <w:p>
            <w:pPr>
              <w:widowControl/>
              <w:spacing w:line="240" w:lineRule="atLeast"/>
              <w:jc w:val="center"/>
              <w:rPr>
                <w:spacing w:val="4"/>
                <w:kern w:val="0"/>
                <w:sz w:val="21"/>
                <w:szCs w:val="21"/>
              </w:rPr>
            </w:pPr>
            <w:r>
              <w:rPr>
                <w:spacing w:val="4"/>
                <w:kern w:val="0"/>
                <w:sz w:val="21"/>
                <w:szCs w:val="21"/>
              </w:rPr>
              <w:t>断面Ⅰ</w:t>
            </w: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0.375</w:t>
            </w:r>
          </w:p>
        </w:tc>
        <w:tc>
          <w:tcPr>
            <w:tcW w:w="1344"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0.55~0.75</w:t>
            </w:r>
          </w:p>
        </w:tc>
        <w:tc>
          <w:tcPr>
            <w:tcW w:w="1211"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0.6~0.8</w:t>
            </w: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0.458~0.469</w:t>
            </w:r>
          </w:p>
        </w:tc>
        <w:tc>
          <w:tcPr>
            <w:tcW w:w="1210"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0.08~0.13</w:t>
            </w:r>
          </w:p>
        </w:tc>
        <w:tc>
          <w:tcPr>
            <w:tcW w:w="1343"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0.6</w:t>
            </w:r>
          </w:p>
        </w:tc>
      </w:tr>
      <w:tr>
        <w:tblPrEx>
          <w:tblCellMar>
            <w:top w:w="0" w:type="dxa"/>
            <w:left w:w="0" w:type="dxa"/>
            <w:bottom w:w="0" w:type="dxa"/>
            <w:right w:w="0" w:type="dxa"/>
          </w:tblCellMar>
        </w:tblPrEx>
        <w:trPr>
          <w:trHeight w:val="84" w:hRule="atLeast"/>
          <w:jc w:val="center"/>
        </w:trPr>
        <w:tc>
          <w:tcPr>
            <w:tcW w:w="987" w:type="dxa"/>
            <w:tcBorders>
              <w:top w:val="single" w:color="000000" w:sz="6" w:space="0"/>
              <w:bottom w:val="single" w:color="000000" w:sz="6" w:space="0"/>
              <w:right w:val="single" w:color="000000" w:sz="6" w:space="0"/>
            </w:tcBorders>
            <w:vAlign w:val="center"/>
          </w:tcPr>
          <w:p>
            <w:pPr>
              <w:widowControl/>
              <w:spacing w:line="240" w:lineRule="atLeast"/>
              <w:jc w:val="center"/>
              <w:rPr>
                <w:sz w:val="21"/>
                <w:szCs w:val="21"/>
              </w:rPr>
            </w:pPr>
            <w:r>
              <w:rPr>
                <w:spacing w:val="4"/>
                <w:kern w:val="0"/>
                <w:sz w:val="21"/>
                <w:szCs w:val="21"/>
              </w:rPr>
              <w:t>断面II</w:t>
            </w: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0.962</w:t>
            </w:r>
          </w:p>
        </w:tc>
        <w:tc>
          <w:tcPr>
            <w:tcW w:w="1344"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0.35</w:t>
            </w:r>
          </w:p>
        </w:tc>
        <w:tc>
          <w:tcPr>
            <w:tcW w:w="1211"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0.375~0.4</w:t>
            </w:r>
          </w:p>
        </w:tc>
        <w:tc>
          <w:tcPr>
            <w:tcW w:w="134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tLeast"/>
              <w:jc w:val="center"/>
              <w:rPr>
                <w:bCs/>
                <w:kern w:val="0"/>
                <w:sz w:val="21"/>
                <w:szCs w:val="21"/>
              </w:rPr>
            </w:pPr>
            <w:r>
              <w:rPr>
                <w:bCs/>
                <w:kern w:val="0"/>
                <w:sz w:val="21"/>
                <w:szCs w:val="21"/>
              </w:rPr>
              <w:t>0.351~0.365</w:t>
            </w:r>
          </w:p>
        </w:tc>
        <w:tc>
          <w:tcPr>
            <w:tcW w:w="1210"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0.08~0.11</w:t>
            </w:r>
          </w:p>
        </w:tc>
        <w:tc>
          <w:tcPr>
            <w:tcW w:w="1343" w:type="dxa"/>
            <w:tcBorders>
              <w:top w:val="single" w:color="000000" w:sz="6" w:space="0"/>
              <w:left w:val="single" w:color="000000" w:sz="6" w:space="0"/>
              <w:bottom w:val="single" w:color="000000" w:sz="6" w:space="0"/>
            </w:tcBorders>
            <w:vAlign w:val="center"/>
          </w:tcPr>
          <w:p>
            <w:pPr>
              <w:widowControl/>
              <w:spacing w:line="240" w:lineRule="atLeast"/>
              <w:jc w:val="center"/>
              <w:rPr>
                <w:kern w:val="0"/>
                <w:sz w:val="21"/>
                <w:szCs w:val="21"/>
              </w:rPr>
            </w:pPr>
            <w:r>
              <w:rPr>
                <w:kern w:val="0"/>
                <w:sz w:val="21"/>
                <w:szCs w:val="21"/>
              </w:rPr>
              <w:t>0.45~0.5</w:t>
            </w:r>
          </w:p>
        </w:tc>
      </w:tr>
      <w:tr>
        <w:tblPrEx>
          <w:tblCellMar>
            <w:top w:w="0" w:type="dxa"/>
            <w:left w:w="0" w:type="dxa"/>
            <w:bottom w:w="0" w:type="dxa"/>
            <w:right w:w="0" w:type="dxa"/>
          </w:tblCellMar>
        </w:tblPrEx>
        <w:trPr>
          <w:trHeight w:val="84" w:hRule="atLeast"/>
          <w:jc w:val="center"/>
        </w:trPr>
        <w:tc>
          <w:tcPr>
            <w:tcW w:w="987" w:type="dxa"/>
            <w:tcBorders>
              <w:top w:val="single" w:color="000000" w:sz="6" w:space="0"/>
              <w:bottom w:val="single" w:color="000000" w:sz="12" w:space="0"/>
              <w:right w:val="single" w:color="000000" w:sz="6" w:space="0"/>
            </w:tcBorders>
            <w:vAlign w:val="center"/>
          </w:tcPr>
          <w:p>
            <w:pPr>
              <w:widowControl/>
              <w:spacing w:line="240" w:lineRule="atLeast"/>
              <w:jc w:val="center"/>
              <w:rPr>
                <w:spacing w:val="4"/>
                <w:kern w:val="0"/>
                <w:sz w:val="21"/>
                <w:szCs w:val="21"/>
              </w:rPr>
            </w:pPr>
            <w:r>
              <w:rPr>
                <w:rFonts w:hint="eastAsia"/>
                <w:spacing w:val="4"/>
                <w:kern w:val="0"/>
                <w:sz w:val="21"/>
                <w:szCs w:val="21"/>
              </w:rPr>
              <w:t>断面</w:t>
            </w:r>
            <w:r>
              <w:rPr>
                <w:rFonts w:hint="eastAsia" w:ascii="宋体" w:hAnsi="宋体"/>
                <w:spacing w:val="4"/>
                <w:kern w:val="0"/>
                <w:sz w:val="21"/>
                <w:szCs w:val="21"/>
              </w:rPr>
              <w:t>Ⅲ</w:t>
            </w:r>
          </w:p>
        </w:tc>
        <w:tc>
          <w:tcPr>
            <w:tcW w:w="1346"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rFonts w:hint="eastAsia"/>
                <w:kern w:val="0"/>
                <w:sz w:val="21"/>
                <w:szCs w:val="21"/>
              </w:rPr>
              <w:t>0.775</w:t>
            </w:r>
          </w:p>
        </w:tc>
        <w:tc>
          <w:tcPr>
            <w:tcW w:w="1344"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0.45~0. 5</w:t>
            </w:r>
          </w:p>
        </w:tc>
        <w:tc>
          <w:tcPr>
            <w:tcW w:w="1211"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tLeast"/>
              <w:jc w:val="center"/>
              <w:rPr>
                <w:kern w:val="0"/>
                <w:sz w:val="21"/>
                <w:szCs w:val="21"/>
              </w:rPr>
            </w:pPr>
            <w:r>
              <w:rPr>
                <w:kern w:val="0"/>
                <w:sz w:val="21"/>
                <w:szCs w:val="21"/>
              </w:rPr>
              <w:t>0.45~0.5</w:t>
            </w:r>
          </w:p>
        </w:tc>
        <w:tc>
          <w:tcPr>
            <w:tcW w:w="1346"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tLeast"/>
              <w:jc w:val="center"/>
              <w:rPr>
                <w:bCs/>
                <w:kern w:val="0"/>
                <w:sz w:val="21"/>
                <w:szCs w:val="21"/>
              </w:rPr>
            </w:pPr>
            <w:r>
              <w:rPr>
                <w:bCs/>
                <w:kern w:val="0"/>
                <w:sz w:val="21"/>
                <w:szCs w:val="21"/>
              </w:rPr>
              <w:t>0.477~0.485</w:t>
            </w:r>
          </w:p>
        </w:tc>
        <w:tc>
          <w:tcPr>
            <w:tcW w:w="1210" w:type="dxa"/>
            <w:tcBorders>
              <w:top w:val="single" w:color="000000" w:sz="6" w:space="0"/>
              <w:left w:val="single" w:color="000000" w:sz="6" w:space="0"/>
              <w:bottom w:val="single" w:color="000000" w:sz="12" w:space="0"/>
            </w:tcBorders>
            <w:vAlign w:val="center"/>
          </w:tcPr>
          <w:p>
            <w:pPr>
              <w:widowControl/>
              <w:spacing w:line="240" w:lineRule="atLeast"/>
              <w:jc w:val="center"/>
              <w:rPr>
                <w:kern w:val="0"/>
                <w:sz w:val="21"/>
                <w:szCs w:val="21"/>
              </w:rPr>
            </w:pPr>
            <w:r>
              <w:rPr>
                <w:rFonts w:hint="eastAsia"/>
                <w:kern w:val="0"/>
                <w:sz w:val="21"/>
                <w:szCs w:val="21"/>
              </w:rPr>
              <w:t>0.13</w:t>
            </w:r>
            <w:r>
              <w:rPr>
                <w:kern w:val="0"/>
                <w:sz w:val="21"/>
                <w:szCs w:val="21"/>
              </w:rPr>
              <w:t>~0.17</w:t>
            </w:r>
          </w:p>
        </w:tc>
        <w:tc>
          <w:tcPr>
            <w:tcW w:w="1343" w:type="dxa"/>
            <w:tcBorders>
              <w:top w:val="single" w:color="000000" w:sz="6" w:space="0"/>
              <w:left w:val="single" w:color="000000" w:sz="6" w:space="0"/>
              <w:bottom w:val="single" w:color="000000" w:sz="12" w:space="0"/>
            </w:tcBorders>
            <w:vAlign w:val="center"/>
          </w:tcPr>
          <w:p>
            <w:pPr>
              <w:widowControl/>
              <w:spacing w:line="240" w:lineRule="atLeast"/>
              <w:jc w:val="center"/>
              <w:rPr>
                <w:kern w:val="0"/>
                <w:sz w:val="21"/>
                <w:szCs w:val="21"/>
              </w:rPr>
            </w:pPr>
            <w:r>
              <w:rPr>
                <w:kern w:val="0"/>
                <w:sz w:val="21"/>
                <w:szCs w:val="21"/>
              </w:rPr>
              <w:t>0.35~</w:t>
            </w:r>
            <w:r>
              <w:rPr>
                <w:rFonts w:hint="eastAsia"/>
                <w:kern w:val="0"/>
                <w:sz w:val="21"/>
                <w:szCs w:val="21"/>
              </w:rPr>
              <w:t>0.4</w:t>
            </w:r>
          </w:p>
        </w:tc>
      </w:tr>
    </w:tbl>
    <w:p>
      <w:pPr>
        <w:widowControl/>
        <w:snapToGrid w:val="0"/>
        <w:rPr>
          <w:kern w:val="0"/>
        </w:rPr>
      </w:pPr>
    </w:p>
    <w:p>
      <w:pPr>
        <w:widowControl/>
        <w:snapToGrid w:val="0"/>
        <w:ind w:firstLine="480" w:firstLineChars="200"/>
        <w:rPr>
          <w:kern w:val="0"/>
        </w:rPr>
      </w:pPr>
      <w:r>
        <w:rPr>
          <w:kern w:val="0"/>
        </w:rPr>
        <w:t>从表6.2-3中看出：监测指标均满足《地表水环境质量标准》（GB3838-2002）中III类水域标准</w:t>
      </w:r>
      <w:r>
        <w:rPr>
          <w:rFonts w:hint="eastAsia"/>
          <w:kern w:val="0"/>
        </w:rPr>
        <w:t>。</w:t>
      </w:r>
      <w:r>
        <w:rPr>
          <w:kern w:val="0"/>
        </w:rPr>
        <w:t xml:space="preserve"> </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89" w:name="_Toc29110597"/>
      <w:r>
        <w:rPr>
          <w:rFonts w:ascii="Times New Roman" w:hAnsi="Times New Roman" w:eastAsia="黑体" w:cs="Times New Roman"/>
          <w:b w:val="0"/>
          <w:bCs/>
          <w:spacing w:val="4"/>
          <w:kern w:val="2"/>
          <w:sz w:val="32"/>
          <w:szCs w:val="32"/>
        </w:rPr>
        <w:t>6.3 声环境质量现状</w:t>
      </w:r>
      <w:bookmarkEnd w:id="689"/>
    </w:p>
    <w:p>
      <w:pPr>
        <w:spacing w:before="240" w:after="60"/>
        <w:jc w:val="left"/>
        <w:outlineLvl w:val="2"/>
        <w:rPr>
          <w:rFonts w:eastAsia="黑体"/>
          <w:bCs/>
          <w:sz w:val="28"/>
          <w:szCs w:val="28"/>
        </w:rPr>
      </w:pPr>
      <w:r>
        <w:rPr>
          <w:rFonts w:eastAsia="黑体"/>
          <w:bCs/>
          <w:sz w:val="28"/>
          <w:szCs w:val="28"/>
        </w:rPr>
        <w:t>6.3.1 监测布点</w:t>
      </w:r>
    </w:p>
    <w:p>
      <w:pPr>
        <w:widowControl/>
        <w:snapToGrid w:val="0"/>
        <w:ind w:firstLine="480" w:firstLineChars="200"/>
        <w:rPr>
          <w:kern w:val="0"/>
        </w:rPr>
      </w:pPr>
      <w:r>
        <w:rPr>
          <w:kern w:val="0"/>
        </w:rPr>
        <w:t>本次噪声监测点位9个，四川</w:t>
      </w:r>
      <w:r>
        <w:rPr>
          <w:rFonts w:hint="eastAsia"/>
          <w:kern w:val="0"/>
        </w:rPr>
        <w:t>中正源检测</w:t>
      </w:r>
      <w:r>
        <w:rPr>
          <w:kern w:val="0"/>
        </w:rPr>
        <w:t>技术有限公司监测于2019年7月30日～2019年7月</w:t>
      </w:r>
      <w:r>
        <w:rPr>
          <w:rFonts w:hint="eastAsia"/>
          <w:kern w:val="0"/>
        </w:rPr>
        <w:t>3</w:t>
      </w:r>
      <w:r>
        <w:rPr>
          <w:kern w:val="0"/>
        </w:rPr>
        <w:t>1日对项目周边进行了噪声监测。具体结果详见表6.3-1。</w:t>
      </w:r>
    </w:p>
    <w:p>
      <w:pPr>
        <w:spacing w:line="240" w:lineRule="auto"/>
        <w:jc w:val="center"/>
        <w:rPr>
          <w:rFonts w:eastAsia="黑体"/>
        </w:rPr>
      </w:pPr>
      <w:r>
        <w:rPr>
          <w:rFonts w:eastAsia="黑体"/>
        </w:rPr>
        <w:t>表6.3-1  项目噪声现状监测点位</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61"/>
        <w:gridCol w:w="2048"/>
        <w:gridCol w:w="2370"/>
        <w:gridCol w:w="310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b/>
                <w:sz w:val="21"/>
                <w:szCs w:val="21"/>
              </w:rPr>
            </w:pPr>
            <w:r>
              <w:rPr>
                <w:b/>
                <w:sz w:val="21"/>
                <w:szCs w:val="21"/>
              </w:rPr>
              <w:t>序号</w:t>
            </w:r>
          </w:p>
        </w:tc>
        <w:tc>
          <w:tcPr>
            <w:tcW w:w="2048" w:type="dxa"/>
            <w:tcBorders>
              <w:left w:val="single" w:color="auto" w:sz="8" w:space="0"/>
              <w:right w:val="single" w:color="auto" w:sz="4" w:space="0"/>
            </w:tcBorders>
            <w:vAlign w:val="center"/>
          </w:tcPr>
          <w:p>
            <w:pPr>
              <w:spacing w:line="240" w:lineRule="auto"/>
              <w:jc w:val="center"/>
              <w:rPr>
                <w:b/>
                <w:sz w:val="21"/>
                <w:szCs w:val="21"/>
              </w:rPr>
            </w:pPr>
            <w:r>
              <w:rPr>
                <w:b/>
                <w:sz w:val="21"/>
                <w:szCs w:val="21"/>
              </w:rPr>
              <w:t>方位</w:t>
            </w:r>
          </w:p>
        </w:tc>
        <w:tc>
          <w:tcPr>
            <w:tcW w:w="2370" w:type="dxa"/>
            <w:tcBorders>
              <w:left w:val="single" w:color="auto" w:sz="4" w:space="0"/>
            </w:tcBorders>
            <w:vAlign w:val="center"/>
          </w:tcPr>
          <w:p>
            <w:pPr>
              <w:spacing w:line="240" w:lineRule="auto"/>
              <w:jc w:val="center"/>
              <w:rPr>
                <w:b/>
                <w:sz w:val="21"/>
                <w:szCs w:val="21"/>
              </w:rPr>
            </w:pPr>
            <w:r>
              <w:rPr>
                <w:b/>
                <w:sz w:val="21"/>
                <w:szCs w:val="21"/>
              </w:rPr>
              <w:t>距离</w:t>
            </w:r>
          </w:p>
        </w:tc>
        <w:tc>
          <w:tcPr>
            <w:tcW w:w="3108" w:type="dxa"/>
            <w:tcBorders>
              <w:left w:val="single" w:color="auto" w:sz="4" w:space="0"/>
            </w:tcBorders>
            <w:vAlign w:val="center"/>
          </w:tcPr>
          <w:p>
            <w:pPr>
              <w:spacing w:line="240" w:lineRule="auto"/>
              <w:jc w:val="center"/>
              <w:rPr>
                <w:b/>
                <w:sz w:val="21"/>
                <w:szCs w:val="21"/>
              </w:rPr>
            </w:pPr>
            <w:r>
              <w:rPr>
                <w:b/>
                <w:sz w:val="21"/>
                <w:szCs w:val="21"/>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sz w:val="21"/>
                <w:szCs w:val="21"/>
              </w:rPr>
              <w:t>1</w:t>
            </w:r>
          </w:p>
        </w:tc>
        <w:tc>
          <w:tcPr>
            <w:tcW w:w="2048" w:type="dxa"/>
            <w:tcBorders>
              <w:left w:val="single" w:color="auto" w:sz="8" w:space="0"/>
              <w:right w:val="single" w:color="auto" w:sz="4" w:space="0"/>
            </w:tcBorders>
            <w:vAlign w:val="center"/>
          </w:tcPr>
          <w:p>
            <w:pPr>
              <w:spacing w:line="240" w:lineRule="auto"/>
              <w:jc w:val="center"/>
              <w:rPr>
                <w:sz w:val="21"/>
                <w:szCs w:val="21"/>
              </w:rPr>
            </w:pPr>
            <w:r>
              <w:rPr>
                <w:sz w:val="21"/>
                <w:szCs w:val="21"/>
              </w:rPr>
              <w:t>场界北面</w:t>
            </w:r>
          </w:p>
        </w:tc>
        <w:tc>
          <w:tcPr>
            <w:tcW w:w="2370" w:type="dxa"/>
            <w:tcBorders>
              <w:left w:val="single" w:color="auto" w:sz="4" w:space="0"/>
            </w:tcBorders>
            <w:vAlign w:val="center"/>
          </w:tcPr>
          <w:p>
            <w:pPr>
              <w:spacing w:line="240" w:lineRule="auto"/>
              <w:jc w:val="center"/>
              <w:rPr>
                <w:sz w:val="21"/>
                <w:szCs w:val="21"/>
              </w:rPr>
            </w:pPr>
            <w:r>
              <w:rPr>
                <w:sz w:val="21"/>
                <w:szCs w:val="21"/>
              </w:rPr>
              <w:t>边界外1m</w:t>
            </w:r>
          </w:p>
        </w:tc>
        <w:tc>
          <w:tcPr>
            <w:tcW w:w="3108" w:type="dxa"/>
            <w:tcBorders>
              <w:left w:val="single" w:color="auto" w:sz="4" w:space="0"/>
            </w:tcBorders>
            <w:vAlign w:val="center"/>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sz w:val="21"/>
                <w:szCs w:val="21"/>
              </w:rPr>
              <w:t>2</w:t>
            </w:r>
          </w:p>
        </w:tc>
        <w:tc>
          <w:tcPr>
            <w:tcW w:w="2048" w:type="dxa"/>
            <w:tcBorders>
              <w:left w:val="single" w:color="auto" w:sz="8" w:space="0"/>
              <w:right w:val="single" w:color="auto" w:sz="4" w:space="0"/>
            </w:tcBorders>
            <w:vAlign w:val="center"/>
          </w:tcPr>
          <w:p>
            <w:pPr>
              <w:spacing w:line="240" w:lineRule="auto"/>
              <w:jc w:val="center"/>
              <w:rPr>
                <w:sz w:val="21"/>
                <w:szCs w:val="21"/>
              </w:rPr>
            </w:pPr>
            <w:r>
              <w:rPr>
                <w:sz w:val="21"/>
                <w:szCs w:val="21"/>
              </w:rPr>
              <w:t>场界东面</w:t>
            </w:r>
          </w:p>
        </w:tc>
        <w:tc>
          <w:tcPr>
            <w:tcW w:w="2370" w:type="dxa"/>
            <w:tcBorders>
              <w:left w:val="single" w:color="auto" w:sz="4" w:space="0"/>
            </w:tcBorders>
            <w:vAlign w:val="center"/>
          </w:tcPr>
          <w:p>
            <w:pPr>
              <w:spacing w:line="240" w:lineRule="auto"/>
              <w:jc w:val="center"/>
              <w:rPr>
                <w:sz w:val="21"/>
                <w:szCs w:val="21"/>
              </w:rPr>
            </w:pPr>
            <w:r>
              <w:rPr>
                <w:sz w:val="21"/>
                <w:szCs w:val="21"/>
              </w:rPr>
              <w:t>边界外1m</w:t>
            </w:r>
          </w:p>
        </w:tc>
        <w:tc>
          <w:tcPr>
            <w:tcW w:w="3108" w:type="dxa"/>
            <w:tcBorders>
              <w:left w:val="single" w:color="auto" w:sz="4" w:space="0"/>
            </w:tcBorders>
            <w:vAlign w:val="center"/>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sz w:val="21"/>
                <w:szCs w:val="21"/>
              </w:rPr>
              <w:t>3</w:t>
            </w:r>
          </w:p>
        </w:tc>
        <w:tc>
          <w:tcPr>
            <w:tcW w:w="2048" w:type="dxa"/>
            <w:tcBorders>
              <w:left w:val="single" w:color="auto" w:sz="8" w:space="0"/>
              <w:right w:val="single" w:color="auto" w:sz="4" w:space="0"/>
            </w:tcBorders>
            <w:vAlign w:val="center"/>
          </w:tcPr>
          <w:p>
            <w:pPr>
              <w:spacing w:line="240" w:lineRule="auto"/>
              <w:jc w:val="center"/>
              <w:rPr>
                <w:sz w:val="21"/>
                <w:szCs w:val="21"/>
              </w:rPr>
            </w:pPr>
            <w:r>
              <w:rPr>
                <w:sz w:val="21"/>
                <w:szCs w:val="21"/>
              </w:rPr>
              <w:t>场界西面</w:t>
            </w:r>
          </w:p>
        </w:tc>
        <w:tc>
          <w:tcPr>
            <w:tcW w:w="2370" w:type="dxa"/>
            <w:tcBorders>
              <w:left w:val="single" w:color="auto" w:sz="4" w:space="0"/>
            </w:tcBorders>
            <w:vAlign w:val="center"/>
          </w:tcPr>
          <w:p>
            <w:pPr>
              <w:spacing w:line="240" w:lineRule="auto"/>
              <w:jc w:val="center"/>
              <w:rPr>
                <w:sz w:val="21"/>
                <w:szCs w:val="21"/>
              </w:rPr>
            </w:pPr>
            <w:r>
              <w:rPr>
                <w:sz w:val="21"/>
                <w:szCs w:val="21"/>
              </w:rPr>
              <w:t>边界外1m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sz w:val="21"/>
                <w:szCs w:val="21"/>
              </w:rPr>
              <w:t>4</w:t>
            </w:r>
          </w:p>
        </w:tc>
        <w:tc>
          <w:tcPr>
            <w:tcW w:w="2048" w:type="dxa"/>
            <w:tcBorders>
              <w:left w:val="single" w:color="auto" w:sz="8" w:space="0"/>
              <w:right w:val="single" w:color="auto" w:sz="4" w:space="0"/>
            </w:tcBorders>
            <w:vAlign w:val="center"/>
          </w:tcPr>
          <w:p>
            <w:pPr>
              <w:spacing w:line="240" w:lineRule="auto"/>
              <w:jc w:val="center"/>
              <w:rPr>
                <w:sz w:val="21"/>
                <w:szCs w:val="21"/>
              </w:rPr>
            </w:pPr>
            <w:r>
              <w:rPr>
                <w:sz w:val="21"/>
                <w:szCs w:val="21"/>
              </w:rPr>
              <w:t>场界南面</w:t>
            </w:r>
          </w:p>
        </w:tc>
        <w:tc>
          <w:tcPr>
            <w:tcW w:w="2370" w:type="dxa"/>
            <w:tcBorders>
              <w:left w:val="single" w:color="auto" w:sz="4" w:space="0"/>
            </w:tcBorders>
            <w:vAlign w:val="center"/>
          </w:tcPr>
          <w:p>
            <w:pPr>
              <w:spacing w:line="240" w:lineRule="auto"/>
              <w:jc w:val="center"/>
              <w:rPr>
                <w:sz w:val="21"/>
                <w:szCs w:val="21"/>
              </w:rPr>
            </w:pPr>
            <w:r>
              <w:rPr>
                <w:sz w:val="21"/>
                <w:szCs w:val="21"/>
              </w:rPr>
              <w:t>边界外1m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rFonts w:hint="eastAsia"/>
                <w:sz w:val="21"/>
                <w:szCs w:val="21"/>
              </w:rPr>
              <w:t>5</w:t>
            </w:r>
          </w:p>
        </w:tc>
        <w:tc>
          <w:tcPr>
            <w:tcW w:w="2048" w:type="dxa"/>
            <w:tcBorders>
              <w:left w:val="single" w:color="auto" w:sz="8" w:space="0"/>
              <w:right w:val="single" w:color="auto" w:sz="4" w:space="0"/>
            </w:tcBorders>
            <w:vAlign w:val="center"/>
          </w:tcPr>
          <w:p>
            <w:pPr>
              <w:spacing w:line="240" w:lineRule="auto"/>
              <w:jc w:val="center"/>
              <w:rPr>
                <w:sz w:val="21"/>
                <w:szCs w:val="21"/>
              </w:rPr>
            </w:pPr>
            <w:r>
              <w:rPr>
                <w:rFonts w:hint="eastAsia"/>
                <w:sz w:val="21"/>
                <w:szCs w:val="21"/>
              </w:rPr>
              <w:t>厂址</w:t>
            </w:r>
            <w:r>
              <w:rPr>
                <w:sz w:val="21"/>
                <w:szCs w:val="21"/>
              </w:rPr>
              <w:t>北面居民</w:t>
            </w:r>
          </w:p>
        </w:tc>
        <w:tc>
          <w:tcPr>
            <w:tcW w:w="2370" w:type="dxa"/>
            <w:tcBorders>
              <w:left w:val="single" w:color="auto" w:sz="4" w:space="0"/>
            </w:tcBorders>
            <w:vAlign w:val="center"/>
          </w:tcPr>
          <w:p>
            <w:pPr>
              <w:spacing w:line="240" w:lineRule="auto"/>
              <w:jc w:val="center"/>
              <w:rPr>
                <w:sz w:val="21"/>
                <w:szCs w:val="21"/>
              </w:rPr>
            </w:pPr>
            <w:r>
              <w:rPr>
                <w:rFonts w:hint="eastAsia"/>
                <w:sz w:val="21"/>
                <w:szCs w:val="21"/>
              </w:rPr>
              <w:t>边界外100</w:t>
            </w:r>
            <w:r>
              <w:rPr>
                <w:sz w:val="21"/>
                <w:szCs w:val="21"/>
              </w:rPr>
              <w:t>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rFonts w:hint="eastAsia"/>
                <w:sz w:val="21"/>
                <w:szCs w:val="21"/>
              </w:rPr>
              <w:t>6</w:t>
            </w:r>
          </w:p>
        </w:tc>
        <w:tc>
          <w:tcPr>
            <w:tcW w:w="2048" w:type="dxa"/>
            <w:tcBorders>
              <w:left w:val="single" w:color="auto" w:sz="8" w:space="0"/>
              <w:right w:val="single" w:color="auto" w:sz="4" w:space="0"/>
            </w:tcBorders>
            <w:vAlign w:val="center"/>
          </w:tcPr>
          <w:p>
            <w:pPr>
              <w:spacing w:line="240" w:lineRule="auto"/>
              <w:jc w:val="center"/>
              <w:rPr>
                <w:sz w:val="21"/>
                <w:szCs w:val="21"/>
              </w:rPr>
            </w:pPr>
            <w:r>
              <w:rPr>
                <w:rFonts w:hint="eastAsia"/>
                <w:sz w:val="21"/>
                <w:szCs w:val="21"/>
              </w:rPr>
              <w:t>厂址</w:t>
            </w:r>
            <w:r>
              <w:rPr>
                <w:sz w:val="21"/>
                <w:szCs w:val="21"/>
              </w:rPr>
              <w:t>东面居民</w:t>
            </w:r>
          </w:p>
        </w:tc>
        <w:tc>
          <w:tcPr>
            <w:tcW w:w="2370" w:type="dxa"/>
            <w:tcBorders>
              <w:left w:val="single" w:color="auto" w:sz="4" w:space="0"/>
            </w:tcBorders>
            <w:vAlign w:val="center"/>
          </w:tcPr>
          <w:p>
            <w:pPr>
              <w:spacing w:line="240" w:lineRule="auto"/>
              <w:jc w:val="center"/>
              <w:rPr>
                <w:sz w:val="21"/>
                <w:szCs w:val="21"/>
              </w:rPr>
            </w:pPr>
            <w:r>
              <w:rPr>
                <w:rFonts w:hint="eastAsia"/>
                <w:sz w:val="21"/>
                <w:szCs w:val="21"/>
              </w:rPr>
              <w:t>边界外180</w:t>
            </w:r>
            <w:r>
              <w:rPr>
                <w:sz w:val="21"/>
                <w:szCs w:val="21"/>
              </w:rPr>
              <w:t>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rFonts w:hint="eastAsia"/>
                <w:sz w:val="21"/>
                <w:szCs w:val="21"/>
              </w:rPr>
              <w:t>7</w:t>
            </w:r>
          </w:p>
        </w:tc>
        <w:tc>
          <w:tcPr>
            <w:tcW w:w="2048" w:type="dxa"/>
            <w:tcBorders>
              <w:left w:val="single" w:color="auto" w:sz="8" w:space="0"/>
              <w:right w:val="single" w:color="auto" w:sz="4" w:space="0"/>
            </w:tcBorders>
            <w:vAlign w:val="center"/>
          </w:tcPr>
          <w:p>
            <w:pPr>
              <w:spacing w:line="240" w:lineRule="auto"/>
              <w:jc w:val="center"/>
              <w:rPr>
                <w:sz w:val="21"/>
                <w:szCs w:val="21"/>
              </w:rPr>
            </w:pPr>
            <w:r>
              <w:rPr>
                <w:rFonts w:hint="eastAsia"/>
                <w:sz w:val="21"/>
                <w:szCs w:val="21"/>
              </w:rPr>
              <w:t>厂址</w:t>
            </w:r>
            <w:r>
              <w:rPr>
                <w:sz w:val="21"/>
                <w:szCs w:val="21"/>
              </w:rPr>
              <w:t>南面居民</w:t>
            </w:r>
          </w:p>
        </w:tc>
        <w:tc>
          <w:tcPr>
            <w:tcW w:w="2370" w:type="dxa"/>
            <w:tcBorders>
              <w:left w:val="single" w:color="auto" w:sz="4" w:space="0"/>
            </w:tcBorders>
            <w:vAlign w:val="center"/>
          </w:tcPr>
          <w:p>
            <w:pPr>
              <w:spacing w:line="240" w:lineRule="auto"/>
              <w:jc w:val="center"/>
              <w:rPr>
                <w:sz w:val="21"/>
                <w:szCs w:val="21"/>
              </w:rPr>
            </w:pPr>
            <w:r>
              <w:rPr>
                <w:rFonts w:hint="eastAsia"/>
                <w:sz w:val="21"/>
                <w:szCs w:val="21"/>
              </w:rPr>
              <w:t>边界外80</w:t>
            </w:r>
            <w:r>
              <w:rPr>
                <w:sz w:val="21"/>
                <w:szCs w:val="21"/>
              </w:rPr>
              <w:t>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rFonts w:hint="eastAsia"/>
                <w:sz w:val="21"/>
                <w:szCs w:val="21"/>
              </w:rPr>
              <w:t>8</w:t>
            </w:r>
          </w:p>
        </w:tc>
        <w:tc>
          <w:tcPr>
            <w:tcW w:w="2048" w:type="dxa"/>
            <w:tcBorders>
              <w:left w:val="single" w:color="auto" w:sz="8" w:space="0"/>
              <w:right w:val="single" w:color="auto" w:sz="4" w:space="0"/>
            </w:tcBorders>
            <w:vAlign w:val="center"/>
          </w:tcPr>
          <w:p>
            <w:pPr>
              <w:spacing w:line="240" w:lineRule="auto"/>
              <w:jc w:val="center"/>
              <w:rPr>
                <w:sz w:val="21"/>
                <w:szCs w:val="21"/>
              </w:rPr>
            </w:pPr>
            <w:r>
              <w:rPr>
                <w:rFonts w:hint="eastAsia"/>
                <w:sz w:val="21"/>
                <w:szCs w:val="21"/>
              </w:rPr>
              <w:t>厂址</w:t>
            </w:r>
            <w:r>
              <w:rPr>
                <w:sz w:val="21"/>
                <w:szCs w:val="21"/>
              </w:rPr>
              <w:t>西南面居民</w:t>
            </w:r>
          </w:p>
        </w:tc>
        <w:tc>
          <w:tcPr>
            <w:tcW w:w="2370" w:type="dxa"/>
            <w:tcBorders>
              <w:left w:val="single" w:color="auto" w:sz="4" w:space="0"/>
            </w:tcBorders>
            <w:vAlign w:val="center"/>
          </w:tcPr>
          <w:p>
            <w:pPr>
              <w:spacing w:line="240" w:lineRule="auto"/>
              <w:jc w:val="center"/>
              <w:rPr>
                <w:sz w:val="21"/>
                <w:szCs w:val="21"/>
              </w:rPr>
            </w:pPr>
            <w:r>
              <w:rPr>
                <w:rFonts w:hint="eastAsia"/>
                <w:sz w:val="21"/>
                <w:szCs w:val="21"/>
              </w:rPr>
              <w:t>边界外170</w:t>
            </w:r>
            <w:r>
              <w:rPr>
                <w:sz w:val="21"/>
                <w:szCs w:val="21"/>
              </w:rPr>
              <w:t>m</w:t>
            </w:r>
          </w:p>
        </w:tc>
        <w:tc>
          <w:tcPr>
            <w:tcW w:w="3108" w:type="dxa"/>
            <w:tcBorders>
              <w:left w:val="single" w:color="auto" w:sz="4" w:space="0"/>
            </w:tcBorders>
          </w:tcPr>
          <w:p>
            <w:pPr>
              <w:spacing w:line="240" w:lineRule="auto"/>
              <w:jc w:val="center"/>
              <w:rPr>
                <w:sz w:val="21"/>
                <w:szCs w:val="21"/>
              </w:rPr>
            </w:pPr>
            <w:r>
              <w:rPr>
                <w:sz w:val="21"/>
                <w:szCs w:val="21"/>
              </w:rPr>
              <w:t>现状值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261" w:type="dxa"/>
            <w:tcBorders>
              <w:right w:val="single" w:color="auto" w:sz="8" w:space="0"/>
            </w:tcBorders>
            <w:vAlign w:val="center"/>
          </w:tcPr>
          <w:p>
            <w:pPr>
              <w:spacing w:line="240" w:lineRule="auto"/>
              <w:jc w:val="center"/>
              <w:rPr>
                <w:sz w:val="21"/>
                <w:szCs w:val="21"/>
              </w:rPr>
            </w:pPr>
            <w:r>
              <w:rPr>
                <w:rFonts w:hint="eastAsia"/>
                <w:sz w:val="21"/>
                <w:szCs w:val="21"/>
              </w:rPr>
              <w:t>9</w:t>
            </w:r>
          </w:p>
        </w:tc>
        <w:tc>
          <w:tcPr>
            <w:tcW w:w="2048" w:type="dxa"/>
            <w:tcBorders>
              <w:left w:val="single" w:color="auto" w:sz="8" w:space="0"/>
              <w:right w:val="single" w:color="auto" w:sz="4" w:space="0"/>
            </w:tcBorders>
            <w:vAlign w:val="center"/>
          </w:tcPr>
          <w:p>
            <w:pPr>
              <w:spacing w:line="240" w:lineRule="auto"/>
              <w:jc w:val="center"/>
              <w:rPr>
                <w:sz w:val="21"/>
                <w:szCs w:val="21"/>
              </w:rPr>
            </w:pPr>
            <w:r>
              <w:rPr>
                <w:rFonts w:hint="eastAsia"/>
                <w:sz w:val="21"/>
                <w:szCs w:val="21"/>
              </w:rPr>
              <w:t>厂址</w:t>
            </w:r>
            <w:r>
              <w:rPr>
                <w:sz w:val="21"/>
                <w:szCs w:val="21"/>
              </w:rPr>
              <w:t>西北面居民</w:t>
            </w:r>
          </w:p>
        </w:tc>
        <w:tc>
          <w:tcPr>
            <w:tcW w:w="2370" w:type="dxa"/>
            <w:tcBorders>
              <w:left w:val="single" w:color="auto" w:sz="4" w:space="0"/>
            </w:tcBorders>
            <w:vAlign w:val="center"/>
          </w:tcPr>
          <w:p>
            <w:pPr>
              <w:spacing w:line="240" w:lineRule="auto"/>
              <w:jc w:val="center"/>
              <w:rPr>
                <w:sz w:val="21"/>
                <w:szCs w:val="21"/>
              </w:rPr>
            </w:pPr>
            <w:r>
              <w:rPr>
                <w:rFonts w:hint="eastAsia"/>
                <w:sz w:val="21"/>
                <w:szCs w:val="21"/>
              </w:rPr>
              <w:t>外边界120</w:t>
            </w:r>
            <w:r>
              <w:rPr>
                <w:sz w:val="21"/>
                <w:szCs w:val="21"/>
              </w:rPr>
              <w:t>m</w:t>
            </w:r>
          </w:p>
        </w:tc>
        <w:tc>
          <w:tcPr>
            <w:tcW w:w="3108" w:type="dxa"/>
            <w:tcBorders>
              <w:left w:val="single" w:color="auto" w:sz="4" w:space="0"/>
            </w:tcBorders>
          </w:tcPr>
          <w:p>
            <w:pPr>
              <w:spacing w:line="240" w:lineRule="auto"/>
              <w:jc w:val="center"/>
              <w:rPr>
                <w:sz w:val="21"/>
                <w:szCs w:val="21"/>
              </w:rPr>
            </w:pPr>
            <w:r>
              <w:rPr>
                <w:sz w:val="21"/>
                <w:szCs w:val="21"/>
              </w:rPr>
              <w:t>现状值</w:t>
            </w:r>
          </w:p>
        </w:tc>
      </w:tr>
    </w:tbl>
    <w:p>
      <w:pPr>
        <w:spacing w:before="240" w:after="60"/>
        <w:jc w:val="left"/>
        <w:outlineLvl w:val="2"/>
        <w:rPr>
          <w:b/>
          <w:bCs/>
          <w:kern w:val="0"/>
        </w:rPr>
      </w:pPr>
      <w:r>
        <w:rPr>
          <w:rFonts w:eastAsia="黑体"/>
          <w:bCs/>
          <w:sz w:val="28"/>
          <w:szCs w:val="28"/>
        </w:rPr>
        <w:t xml:space="preserve">6.3.2 监测项目   </w:t>
      </w:r>
      <w:r>
        <w:rPr>
          <w:b/>
          <w:bCs/>
          <w:kern w:val="0"/>
        </w:rPr>
        <w:t xml:space="preserve">                                                                                                                                                                                                                                                                     </w:t>
      </w:r>
    </w:p>
    <w:p>
      <w:pPr>
        <w:widowControl/>
        <w:snapToGrid w:val="0"/>
        <w:ind w:firstLine="480" w:firstLineChars="200"/>
        <w:rPr>
          <w:kern w:val="0"/>
        </w:rPr>
      </w:pPr>
      <w:r>
        <w:rPr>
          <w:kern w:val="0"/>
        </w:rPr>
        <w:t>本次环评噪声现状监测项目为：各测点处的等效A声级。</w:t>
      </w:r>
    </w:p>
    <w:p>
      <w:pPr>
        <w:spacing w:before="240" w:after="60"/>
        <w:jc w:val="left"/>
        <w:outlineLvl w:val="2"/>
        <w:rPr>
          <w:rFonts w:eastAsia="黑体"/>
          <w:bCs/>
          <w:sz w:val="28"/>
          <w:szCs w:val="28"/>
        </w:rPr>
      </w:pPr>
      <w:r>
        <w:rPr>
          <w:rFonts w:eastAsia="黑体"/>
          <w:bCs/>
          <w:sz w:val="28"/>
          <w:szCs w:val="28"/>
        </w:rPr>
        <w:t>6.3.3 监测方法</w:t>
      </w:r>
    </w:p>
    <w:p>
      <w:pPr>
        <w:widowControl/>
        <w:snapToGrid w:val="0"/>
        <w:ind w:firstLine="480" w:firstLineChars="200"/>
        <w:rPr>
          <w:kern w:val="0"/>
        </w:rPr>
      </w:pPr>
      <w:r>
        <w:rPr>
          <w:kern w:val="0"/>
        </w:rPr>
        <w:t>监测方法采用国家环保局颁布的《环境监测技术规范》规定的测试方法，厂界监测方法按GB12349-90。</w:t>
      </w:r>
    </w:p>
    <w:p>
      <w:pPr>
        <w:spacing w:before="240" w:after="60"/>
        <w:jc w:val="left"/>
        <w:outlineLvl w:val="2"/>
        <w:rPr>
          <w:rFonts w:eastAsia="黑体"/>
          <w:bCs/>
          <w:sz w:val="28"/>
          <w:szCs w:val="28"/>
        </w:rPr>
      </w:pPr>
      <w:r>
        <w:rPr>
          <w:rFonts w:eastAsia="黑体"/>
          <w:bCs/>
          <w:sz w:val="28"/>
          <w:szCs w:val="28"/>
        </w:rPr>
        <w:t>6.3.4 监测频率</w:t>
      </w:r>
    </w:p>
    <w:p>
      <w:pPr>
        <w:widowControl/>
        <w:snapToGrid w:val="0"/>
        <w:ind w:firstLine="480" w:firstLineChars="200"/>
        <w:rPr>
          <w:kern w:val="0"/>
        </w:rPr>
      </w:pPr>
      <w:r>
        <w:rPr>
          <w:kern w:val="0"/>
        </w:rPr>
        <w:t>各监测点进行昼间和夜间噪声监测，监测2天。</w:t>
      </w:r>
    </w:p>
    <w:p>
      <w:pPr>
        <w:spacing w:before="240" w:after="60"/>
        <w:jc w:val="left"/>
        <w:outlineLvl w:val="2"/>
        <w:rPr>
          <w:rFonts w:eastAsia="黑体"/>
          <w:bCs/>
          <w:sz w:val="28"/>
          <w:szCs w:val="28"/>
        </w:rPr>
      </w:pPr>
      <w:r>
        <w:rPr>
          <w:rFonts w:eastAsia="黑体"/>
          <w:bCs/>
          <w:sz w:val="28"/>
          <w:szCs w:val="28"/>
        </w:rPr>
        <w:t>6.3.5 监测结果</w:t>
      </w:r>
    </w:p>
    <w:p>
      <w:pPr>
        <w:widowControl/>
        <w:snapToGrid w:val="0"/>
        <w:ind w:firstLine="480" w:firstLineChars="200"/>
        <w:rPr>
          <w:kern w:val="0"/>
        </w:rPr>
      </w:pPr>
      <w:r>
        <w:rPr>
          <w:kern w:val="0"/>
        </w:rPr>
        <w:t>监测结果统计如下表6.3-2：</w:t>
      </w:r>
    </w:p>
    <w:p>
      <w:pPr>
        <w:spacing w:line="240" w:lineRule="auto"/>
        <w:jc w:val="center"/>
        <w:rPr>
          <w:rFonts w:eastAsia="黑体"/>
        </w:rPr>
      </w:pPr>
      <w:r>
        <w:rPr>
          <w:rFonts w:eastAsia="黑体"/>
        </w:rPr>
        <w:t>表6.3-2  厂界环境噪声检测结果</w:t>
      </w:r>
    </w:p>
    <w:tbl>
      <w:tblPr>
        <w:tblStyle w:val="88"/>
        <w:tblW w:w="831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977"/>
        <w:gridCol w:w="1417"/>
        <w:gridCol w:w="1489"/>
        <w:gridCol w:w="11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1276" w:type="dxa"/>
            <w:vAlign w:val="center"/>
          </w:tcPr>
          <w:p>
            <w:pPr>
              <w:spacing w:line="240" w:lineRule="auto"/>
              <w:jc w:val="center"/>
              <w:rPr>
                <w:rFonts w:eastAsia="黑体"/>
                <w:sz w:val="21"/>
                <w:szCs w:val="21"/>
              </w:rPr>
            </w:pPr>
            <w:r>
              <w:rPr>
                <w:sz w:val="21"/>
                <w:szCs w:val="21"/>
              </w:rPr>
              <w:t>监测日期</w:t>
            </w:r>
          </w:p>
        </w:tc>
        <w:tc>
          <w:tcPr>
            <w:tcW w:w="2977" w:type="dxa"/>
            <w:vAlign w:val="center"/>
          </w:tcPr>
          <w:p>
            <w:pPr>
              <w:spacing w:line="240" w:lineRule="auto"/>
              <w:jc w:val="center"/>
              <w:rPr>
                <w:rFonts w:eastAsia="黑体"/>
                <w:sz w:val="21"/>
                <w:szCs w:val="21"/>
              </w:rPr>
            </w:pPr>
            <w:r>
              <w:rPr>
                <w:sz w:val="21"/>
                <w:szCs w:val="21"/>
              </w:rPr>
              <w:t>点位名称及编号</w:t>
            </w:r>
          </w:p>
        </w:tc>
        <w:tc>
          <w:tcPr>
            <w:tcW w:w="1417" w:type="dxa"/>
            <w:vAlign w:val="center"/>
          </w:tcPr>
          <w:p>
            <w:pPr>
              <w:spacing w:line="240" w:lineRule="auto"/>
              <w:jc w:val="center"/>
              <w:rPr>
                <w:rFonts w:eastAsiaTheme="minorEastAsia"/>
                <w:sz w:val="21"/>
                <w:szCs w:val="21"/>
              </w:rPr>
            </w:pPr>
            <w:r>
              <w:rPr>
                <w:rFonts w:eastAsiaTheme="minorEastAsia"/>
                <w:sz w:val="21"/>
                <w:szCs w:val="21"/>
              </w:rPr>
              <w:t>监测时间段</w:t>
            </w:r>
          </w:p>
        </w:tc>
        <w:tc>
          <w:tcPr>
            <w:tcW w:w="1489" w:type="dxa"/>
            <w:vAlign w:val="center"/>
          </w:tcPr>
          <w:p>
            <w:pPr>
              <w:spacing w:line="240" w:lineRule="auto"/>
              <w:jc w:val="center"/>
              <w:rPr>
                <w:rFonts w:eastAsia="黑体"/>
                <w:sz w:val="21"/>
                <w:szCs w:val="21"/>
              </w:rPr>
            </w:pPr>
            <w:r>
              <w:rPr>
                <w:rFonts w:eastAsia="黑体"/>
                <w:sz w:val="21"/>
                <w:szCs w:val="21"/>
              </w:rPr>
              <w:t>监测结果Leq</w:t>
            </w:r>
          </w:p>
        </w:tc>
        <w:tc>
          <w:tcPr>
            <w:tcW w:w="1154" w:type="dxa"/>
            <w:vAlign w:val="center"/>
          </w:tcPr>
          <w:p>
            <w:pPr>
              <w:spacing w:line="240" w:lineRule="auto"/>
              <w:jc w:val="center"/>
              <w:rPr>
                <w:rFonts w:eastAsia="黑体"/>
                <w:sz w:val="21"/>
                <w:szCs w:val="21"/>
              </w:rPr>
            </w:pPr>
            <w:r>
              <w:rPr>
                <w:sz w:val="21"/>
                <w:szCs w:val="21"/>
              </w:rPr>
              <w:t>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1276" w:type="dxa"/>
            <w:vMerge w:val="restart"/>
            <w:vAlign w:val="center"/>
          </w:tcPr>
          <w:p>
            <w:pPr>
              <w:spacing w:line="240" w:lineRule="auto"/>
              <w:jc w:val="center"/>
              <w:rPr>
                <w:rFonts w:eastAsia="黑体"/>
                <w:sz w:val="21"/>
                <w:szCs w:val="21"/>
              </w:rPr>
            </w:pPr>
            <w:r>
              <w:rPr>
                <w:sz w:val="21"/>
                <w:szCs w:val="21"/>
              </w:rPr>
              <w:t>2019.07.30</w:t>
            </w:r>
          </w:p>
        </w:tc>
        <w:tc>
          <w:tcPr>
            <w:tcW w:w="2977" w:type="dxa"/>
            <w:vMerge w:val="restart"/>
            <w:vAlign w:val="center"/>
          </w:tcPr>
          <w:p>
            <w:pPr>
              <w:widowControl/>
              <w:spacing w:line="240" w:lineRule="auto"/>
              <w:jc w:val="center"/>
              <w:rPr>
                <w:rFonts w:eastAsia="黑体"/>
                <w:sz w:val="21"/>
                <w:szCs w:val="21"/>
              </w:rPr>
            </w:pPr>
            <w:r>
              <w:rPr>
                <w:sz w:val="21"/>
                <w:szCs w:val="21"/>
              </w:rPr>
              <w:t>1#场界北面边界外1m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53.8</w:t>
            </w:r>
          </w:p>
        </w:tc>
        <w:tc>
          <w:tcPr>
            <w:tcW w:w="1154" w:type="dxa"/>
            <w:vMerge w:val="restart"/>
            <w:vAlign w:val="center"/>
          </w:tcPr>
          <w:p>
            <w:pPr>
              <w:spacing w:line="240" w:lineRule="auto"/>
              <w:jc w:val="center"/>
              <w:rPr>
                <w:rFonts w:eastAsiaTheme="minorEastAsia"/>
                <w:sz w:val="21"/>
                <w:szCs w:val="21"/>
              </w:rPr>
            </w:pPr>
            <w:r>
              <w:rPr>
                <w:rFonts w:eastAsiaTheme="minorEastAsia"/>
                <w:sz w:val="21"/>
                <w:szCs w:val="21"/>
              </w:rPr>
              <w:t>昼间≤60</w:t>
            </w:r>
          </w:p>
          <w:p>
            <w:pPr>
              <w:spacing w:line="240" w:lineRule="auto"/>
              <w:jc w:val="center"/>
              <w:rPr>
                <w:rFonts w:eastAsiaTheme="minorEastAsia"/>
                <w:sz w:val="21"/>
                <w:szCs w:val="21"/>
              </w:rPr>
            </w:pPr>
            <w:r>
              <w:rPr>
                <w:rFonts w:eastAsiaTheme="minorEastAsia"/>
                <w:sz w:val="21"/>
                <w:szCs w:val="21"/>
              </w:rPr>
              <w:t>夜间≤50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3"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44.3</w:t>
            </w:r>
          </w:p>
        </w:tc>
        <w:tc>
          <w:tcPr>
            <w:tcW w:w="1154" w:type="dxa"/>
            <w:vMerge w:val="continue"/>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2#场界东面边界外1m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54.8</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44.9</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3#场界西面边界外1m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54.2</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43.2</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4#场界南面边界外1m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55.6</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45.6</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restart"/>
            <w:vAlign w:val="center"/>
          </w:tcPr>
          <w:p>
            <w:pPr>
              <w:widowControl/>
              <w:spacing w:line="240" w:lineRule="auto"/>
              <w:jc w:val="center"/>
              <w:rPr>
                <w:sz w:val="21"/>
                <w:szCs w:val="21"/>
              </w:rPr>
            </w:pPr>
            <w:r>
              <w:rPr>
                <w:sz w:val="21"/>
                <w:szCs w:val="21"/>
              </w:rPr>
              <w:t>5#厂址外居民边界外100m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53.5</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43.0</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6#厂址外居民边界外180m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51.1</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3"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41.5</w:t>
            </w:r>
          </w:p>
        </w:tc>
        <w:tc>
          <w:tcPr>
            <w:tcW w:w="1154" w:type="dxa"/>
            <w:vMerge w:val="continue"/>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7#厂址外居民边界外80m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52.0</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40.7</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8#厂址外居民边界外170m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50.4</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41.1</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9#厂址外居民边界外120m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52.2</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42.6</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1276" w:type="dxa"/>
            <w:vMerge w:val="restart"/>
            <w:vAlign w:val="center"/>
          </w:tcPr>
          <w:p>
            <w:pPr>
              <w:spacing w:line="240" w:lineRule="auto"/>
              <w:jc w:val="center"/>
              <w:rPr>
                <w:rFonts w:eastAsia="黑体"/>
                <w:sz w:val="21"/>
                <w:szCs w:val="21"/>
              </w:rPr>
            </w:pPr>
            <w:r>
              <w:rPr>
                <w:sz w:val="21"/>
                <w:szCs w:val="21"/>
              </w:rPr>
              <w:t>2019.07.31</w:t>
            </w:r>
          </w:p>
        </w:tc>
        <w:tc>
          <w:tcPr>
            <w:tcW w:w="2977" w:type="dxa"/>
            <w:vMerge w:val="restart"/>
            <w:vAlign w:val="center"/>
          </w:tcPr>
          <w:p>
            <w:pPr>
              <w:widowControl/>
              <w:spacing w:line="240" w:lineRule="auto"/>
              <w:jc w:val="center"/>
              <w:rPr>
                <w:rFonts w:eastAsia="黑体"/>
                <w:sz w:val="21"/>
                <w:szCs w:val="21"/>
              </w:rPr>
            </w:pPr>
            <w:r>
              <w:rPr>
                <w:sz w:val="21"/>
                <w:szCs w:val="21"/>
              </w:rPr>
              <w:t>1#场界北面边界外1m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54.3</w:t>
            </w:r>
          </w:p>
        </w:tc>
        <w:tc>
          <w:tcPr>
            <w:tcW w:w="1154" w:type="dxa"/>
            <w:vMerge w:val="restart"/>
            <w:vAlign w:val="center"/>
          </w:tcPr>
          <w:p>
            <w:pPr>
              <w:spacing w:line="240" w:lineRule="auto"/>
              <w:jc w:val="center"/>
              <w:rPr>
                <w:rFonts w:eastAsiaTheme="minorEastAsia"/>
                <w:sz w:val="21"/>
                <w:szCs w:val="21"/>
              </w:rPr>
            </w:pPr>
            <w:r>
              <w:rPr>
                <w:rFonts w:eastAsiaTheme="minorEastAsia"/>
                <w:sz w:val="21"/>
                <w:szCs w:val="21"/>
              </w:rPr>
              <w:t>昼间≤60</w:t>
            </w:r>
          </w:p>
          <w:p>
            <w:pPr>
              <w:spacing w:line="240" w:lineRule="auto"/>
              <w:jc w:val="center"/>
              <w:rPr>
                <w:rFonts w:eastAsiaTheme="minorEastAsia"/>
                <w:sz w:val="21"/>
                <w:szCs w:val="21"/>
              </w:rPr>
            </w:pPr>
            <w:r>
              <w:rPr>
                <w:rFonts w:eastAsiaTheme="minorEastAsia"/>
                <w:sz w:val="21"/>
                <w:szCs w:val="21"/>
              </w:rPr>
              <w:t>夜间≤50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3"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43.8</w:t>
            </w:r>
          </w:p>
        </w:tc>
        <w:tc>
          <w:tcPr>
            <w:tcW w:w="1154" w:type="dxa"/>
            <w:vMerge w:val="continue"/>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2#场界东面边界外1m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55.1</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44.3</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3#场界西面边界外1m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52.2</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41.6</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4#场界南面边界外1m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54.6</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42.2</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restart"/>
            <w:vAlign w:val="center"/>
          </w:tcPr>
          <w:p>
            <w:pPr>
              <w:widowControl/>
              <w:spacing w:line="240" w:lineRule="auto"/>
              <w:jc w:val="center"/>
              <w:rPr>
                <w:sz w:val="21"/>
                <w:szCs w:val="21"/>
              </w:rPr>
            </w:pPr>
            <w:r>
              <w:rPr>
                <w:sz w:val="21"/>
                <w:szCs w:val="21"/>
              </w:rPr>
              <w:t>5#厂址外居民边界外100m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53.1</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44.8</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6#厂址外居民边界外180m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52.6</w:t>
            </w:r>
          </w:p>
        </w:tc>
        <w:tc>
          <w:tcPr>
            <w:tcW w:w="1154" w:type="dxa"/>
            <w:vMerge w:val="continue"/>
            <w:vAlign w:val="center"/>
          </w:tcPr>
          <w:p>
            <w:pPr>
              <w:spacing w:line="240" w:lineRule="auto"/>
              <w:jc w:val="center"/>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3"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spacing w:line="240" w:lineRule="auto"/>
              <w:jc w:val="center"/>
              <w:rPr>
                <w:rFonts w:eastAsia="黑体"/>
                <w:sz w:val="21"/>
                <w:szCs w:val="21"/>
              </w:rPr>
            </w:pPr>
            <w:r>
              <w:rPr>
                <w:rFonts w:eastAsia="黑体"/>
                <w:sz w:val="21"/>
                <w:szCs w:val="21"/>
              </w:rPr>
              <w:t>40.9</w:t>
            </w:r>
          </w:p>
        </w:tc>
        <w:tc>
          <w:tcPr>
            <w:tcW w:w="1154" w:type="dxa"/>
            <w:vMerge w:val="continue"/>
            <w:vAlign w:val="center"/>
          </w:tcPr>
          <w:p>
            <w:pPr>
              <w:spacing w:line="240" w:lineRule="auto"/>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7#厂址外居民边界外80m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50.8</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44.3</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8#厂址外居民边界外170m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51.7</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45.0</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76" w:type="dxa"/>
            <w:vMerge w:val="continue"/>
            <w:vAlign w:val="center"/>
          </w:tcPr>
          <w:p>
            <w:pPr>
              <w:spacing w:line="240" w:lineRule="auto"/>
              <w:jc w:val="center"/>
              <w:rPr>
                <w:rFonts w:eastAsia="黑体"/>
                <w:sz w:val="21"/>
                <w:szCs w:val="21"/>
              </w:rPr>
            </w:pPr>
          </w:p>
        </w:tc>
        <w:tc>
          <w:tcPr>
            <w:tcW w:w="2977" w:type="dxa"/>
            <w:vMerge w:val="restart"/>
            <w:vAlign w:val="center"/>
          </w:tcPr>
          <w:p>
            <w:pPr>
              <w:widowControl/>
              <w:spacing w:line="240" w:lineRule="auto"/>
              <w:jc w:val="center"/>
              <w:rPr>
                <w:rFonts w:eastAsia="黑体"/>
                <w:sz w:val="21"/>
                <w:szCs w:val="21"/>
              </w:rPr>
            </w:pPr>
            <w:r>
              <w:rPr>
                <w:sz w:val="21"/>
                <w:szCs w:val="21"/>
              </w:rPr>
              <w:t>9#厂址外居民边界外120m</w:t>
            </w: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昼间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53.3</w:t>
            </w:r>
          </w:p>
        </w:tc>
        <w:tc>
          <w:tcPr>
            <w:tcW w:w="1154" w:type="dxa"/>
            <w:vMerge w:val="continue"/>
            <w:vAlign w:val="center"/>
          </w:tcPr>
          <w:p>
            <w:pPr>
              <w:widowControl/>
              <w:spacing w:line="240" w:lineRule="auto"/>
              <w:jc w:val="left"/>
              <w:rPr>
                <w:rFonts w:eastAsia="黑体"/>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276" w:type="dxa"/>
            <w:vMerge w:val="continue"/>
            <w:vAlign w:val="center"/>
          </w:tcPr>
          <w:p>
            <w:pPr>
              <w:spacing w:line="240" w:lineRule="auto"/>
              <w:jc w:val="center"/>
              <w:rPr>
                <w:sz w:val="21"/>
                <w:szCs w:val="21"/>
              </w:rPr>
            </w:pPr>
          </w:p>
        </w:tc>
        <w:tc>
          <w:tcPr>
            <w:tcW w:w="2977" w:type="dxa"/>
            <w:vMerge w:val="continue"/>
            <w:vAlign w:val="center"/>
          </w:tcPr>
          <w:p>
            <w:pPr>
              <w:widowControl/>
              <w:spacing w:line="240" w:lineRule="auto"/>
              <w:jc w:val="center"/>
              <w:rPr>
                <w:sz w:val="21"/>
                <w:szCs w:val="21"/>
              </w:rPr>
            </w:pPr>
          </w:p>
        </w:tc>
        <w:tc>
          <w:tcPr>
            <w:tcW w:w="1417" w:type="dxa"/>
            <w:vAlign w:val="center"/>
          </w:tcPr>
          <w:p>
            <w:pPr>
              <w:widowControl/>
              <w:spacing w:line="240" w:lineRule="auto"/>
              <w:jc w:val="center"/>
              <w:rPr>
                <w:rFonts w:eastAsiaTheme="minorEastAsia"/>
                <w:sz w:val="21"/>
                <w:szCs w:val="21"/>
              </w:rPr>
            </w:pPr>
            <w:r>
              <w:rPr>
                <w:rFonts w:eastAsiaTheme="minorEastAsia"/>
                <w:sz w:val="21"/>
                <w:szCs w:val="21"/>
              </w:rPr>
              <w:t>夜间</w:t>
            </w:r>
          </w:p>
        </w:tc>
        <w:tc>
          <w:tcPr>
            <w:tcW w:w="1489" w:type="dxa"/>
            <w:shd w:val="clear" w:color="auto" w:fill="auto"/>
            <w:vAlign w:val="center"/>
          </w:tcPr>
          <w:p>
            <w:pPr>
              <w:widowControl/>
              <w:spacing w:line="240" w:lineRule="auto"/>
              <w:jc w:val="center"/>
              <w:rPr>
                <w:rFonts w:eastAsia="黑体"/>
                <w:sz w:val="21"/>
                <w:szCs w:val="21"/>
              </w:rPr>
            </w:pPr>
            <w:r>
              <w:rPr>
                <w:rFonts w:eastAsia="黑体"/>
                <w:sz w:val="21"/>
                <w:szCs w:val="21"/>
              </w:rPr>
              <w:t>42.0</w:t>
            </w:r>
          </w:p>
        </w:tc>
        <w:tc>
          <w:tcPr>
            <w:tcW w:w="1154" w:type="dxa"/>
            <w:vMerge w:val="continue"/>
            <w:vAlign w:val="center"/>
          </w:tcPr>
          <w:p>
            <w:pPr>
              <w:widowControl/>
              <w:spacing w:line="240" w:lineRule="auto"/>
              <w:jc w:val="left"/>
              <w:rPr>
                <w:rFonts w:eastAsia="黑体"/>
                <w:sz w:val="21"/>
                <w:szCs w:val="21"/>
              </w:rPr>
            </w:pPr>
          </w:p>
        </w:tc>
      </w:tr>
    </w:tbl>
    <w:p>
      <w:pPr>
        <w:spacing w:line="240" w:lineRule="auto"/>
        <w:jc w:val="center"/>
        <w:rPr>
          <w:rFonts w:eastAsia="黑体"/>
        </w:rPr>
      </w:pPr>
    </w:p>
    <w:p>
      <w:pPr>
        <w:spacing w:before="240" w:after="60"/>
        <w:jc w:val="left"/>
        <w:outlineLvl w:val="2"/>
        <w:rPr>
          <w:rFonts w:eastAsia="黑体"/>
          <w:bCs/>
          <w:sz w:val="28"/>
          <w:szCs w:val="28"/>
        </w:rPr>
      </w:pPr>
      <w:bookmarkStart w:id="690" w:name="OLE_LINK30"/>
      <w:bookmarkEnd w:id="690"/>
      <w:bookmarkStart w:id="691" w:name="OLE_LINK27"/>
      <w:bookmarkEnd w:id="691"/>
      <w:bookmarkStart w:id="692" w:name="OLE_LINK25"/>
      <w:bookmarkEnd w:id="692"/>
      <w:r>
        <w:rPr>
          <w:rFonts w:eastAsia="黑体"/>
          <w:bCs/>
          <w:sz w:val="28"/>
          <w:szCs w:val="28"/>
        </w:rPr>
        <w:t>6.3.6 环境噪声质量现状评价</w:t>
      </w:r>
    </w:p>
    <w:p>
      <w:pPr>
        <w:tabs>
          <w:tab w:val="left" w:pos="1635"/>
        </w:tabs>
        <w:ind w:firstLine="480" w:firstLineChars="200"/>
        <w:rPr>
          <w:kern w:val="0"/>
        </w:rPr>
      </w:pPr>
      <w:r>
        <w:rPr>
          <w:kern w:val="0"/>
        </w:rPr>
        <w:t>由表6.3-2可见，本项目评价区域声学环境9个监测点昼夜间测值均能满足《声环境质量标准》GB3096—2008中的2类标准。</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93" w:name="_Toc29110598"/>
      <w:bookmarkStart w:id="694" w:name="_Toc440541300"/>
      <w:r>
        <w:rPr>
          <w:rFonts w:hint="eastAsia" w:ascii="Times New Roman" w:hAnsi="Times New Roman" w:eastAsia="黑体" w:cs="Times New Roman"/>
          <w:b w:val="0"/>
          <w:bCs/>
          <w:spacing w:val="4"/>
          <w:kern w:val="2"/>
          <w:sz w:val="32"/>
          <w:szCs w:val="32"/>
        </w:rPr>
        <w:t>6</w:t>
      </w:r>
      <w:r>
        <w:rPr>
          <w:rFonts w:ascii="Times New Roman" w:hAnsi="Times New Roman" w:eastAsia="黑体" w:cs="Times New Roman"/>
          <w:b w:val="0"/>
          <w:bCs/>
          <w:spacing w:val="4"/>
          <w:kern w:val="2"/>
          <w:sz w:val="32"/>
          <w:szCs w:val="32"/>
        </w:rPr>
        <w:t>.4地下水环境质量现状监测及评价</w:t>
      </w:r>
      <w:bookmarkEnd w:id="693"/>
      <w:bookmarkEnd w:id="694"/>
    </w:p>
    <w:p>
      <w:pPr>
        <w:tabs>
          <w:tab w:val="left" w:pos="1635"/>
        </w:tabs>
        <w:ind w:firstLine="480" w:firstLineChars="200"/>
        <w:rPr>
          <w:kern w:val="0"/>
        </w:rPr>
      </w:pPr>
      <w:r>
        <w:rPr>
          <w:kern w:val="0"/>
        </w:rPr>
        <w:t>为了解项目地下水环境质量现状，本次环评委托四川炯测环保技术有限公司于</w:t>
      </w:r>
      <w:r>
        <w:t>2018年2月28日～3月2日对</w:t>
      </w:r>
      <w:r>
        <w:rPr>
          <w:rFonts w:hint="eastAsia"/>
        </w:rPr>
        <w:t>项目所在地</w:t>
      </w:r>
      <w:r>
        <w:t>上游</w:t>
      </w:r>
      <w:r>
        <w:rPr>
          <w:rFonts w:hint="eastAsia"/>
        </w:rPr>
        <w:t>水井</w:t>
      </w:r>
      <w:r>
        <w:t>、项目所在地下游水井进行监测</w:t>
      </w:r>
      <w:r>
        <w:rPr>
          <w:kern w:val="0"/>
        </w:rPr>
        <w:t>。</w:t>
      </w:r>
    </w:p>
    <w:p>
      <w:pPr>
        <w:spacing w:before="240" w:after="60"/>
        <w:jc w:val="left"/>
        <w:outlineLvl w:val="2"/>
        <w:rPr>
          <w:rFonts w:eastAsia="黑体"/>
          <w:bCs/>
          <w:sz w:val="28"/>
          <w:szCs w:val="28"/>
        </w:rPr>
      </w:pPr>
      <w:r>
        <w:rPr>
          <w:rFonts w:eastAsia="黑体"/>
          <w:bCs/>
          <w:sz w:val="28"/>
          <w:szCs w:val="28"/>
        </w:rPr>
        <w:t>6.4.1 监测点位</w:t>
      </w:r>
    </w:p>
    <w:p>
      <w:pPr>
        <w:adjustRightInd w:val="0"/>
        <w:snapToGrid w:val="0"/>
        <w:ind w:firstLine="480" w:firstLineChars="200"/>
        <w:jc w:val="left"/>
        <w:rPr>
          <w:kern w:val="0"/>
        </w:rPr>
      </w:pPr>
      <w:r>
        <w:t>本项目在评价范围内共布设3个监测点，具体位置参见表</w:t>
      </w:r>
      <w:r>
        <w:rPr>
          <w:rFonts w:hint="eastAsia"/>
          <w:kern w:val="0"/>
        </w:rPr>
        <w:t>6</w:t>
      </w:r>
      <w:r>
        <w:rPr>
          <w:kern w:val="0"/>
        </w:rPr>
        <w:t>.4-1所示。</w:t>
      </w:r>
    </w:p>
    <w:p>
      <w:pPr>
        <w:spacing w:line="240" w:lineRule="auto"/>
        <w:jc w:val="center"/>
        <w:rPr>
          <w:rFonts w:eastAsia="黑体"/>
        </w:rPr>
      </w:pPr>
      <w:r>
        <w:rPr>
          <w:rFonts w:eastAsia="黑体"/>
        </w:rPr>
        <w:t>表6.4-1   地下水监测布点一览表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5"/>
        <w:gridCol w:w="2292"/>
        <w:gridCol w:w="1503"/>
        <w:gridCol w:w="41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37" w:type="dxa"/>
            <w:vAlign w:val="center"/>
          </w:tcPr>
          <w:p>
            <w:pPr>
              <w:adjustRightInd w:val="0"/>
              <w:snapToGrid w:val="0"/>
              <w:spacing w:line="240" w:lineRule="auto"/>
              <w:jc w:val="center"/>
              <w:rPr>
                <w:sz w:val="21"/>
                <w:szCs w:val="21"/>
              </w:rPr>
            </w:pPr>
            <w:r>
              <w:rPr>
                <w:sz w:val="21"/>
                <w:szCs w:val="21"/>
              </w:rPr>
              <w:t>序号</w:t>
            </w:r>
          </w:p>
        </w:tc>
        <w:tc>
          <w:tcPr>
            <w:tcW w:w="2032" w:type="dxa"/>
            <w:vAlign w:val="center"/>
          </w:tcPr>
          <w:p>
            <w:pPr>
              <w:adjustRightInd w:val="0"/>
              <w:snapToGrid w:val="0"/>
              <w:spacing w:line="240" w:lineRule="auto"/>
              <w:jc w:val="center"/>
              <w:rPr>
                <w:sz w:val="21"/>
                <w:szCs w:val="21"/>
              </w:rPr>
            </w:pPr>
            <w:r>
              <w:rPr>
                <w:sz w:val="21"/>
                <w:szCs w:val="21"/>
              </w:rPr>
              <w:t>位置</w:t>
            </w:r>
          </w:p>
        </w:tc>
        <w:tc>
          <w:tcPr>
            <w:tcW w:w="1333" w:type="dxa"/>
            <w:vAlign w:val="center"/>
          </w:tcPr>
          <w:p>
            <w:pPr>
              <w:adjustRightInd w:val="0"/>
              <w:snapToGrid w:val="0"/>
              <w:spacing w:line="240" w:lineRule="auto"/>
              <w:jc w:val="center"/>
              <w:rPr>
                <w:sz w:val="21"/>
                <w:szCs w:val="21"/>
              </w:rPr>
            </w:pPr>
            <w:r>
              <w:rPr>
                <w:sz w:val="21"/>
                <w:szCs w:val="21"/>
              </w:rPr>
              <w:t>方位</w:t>
            </w:r>
          </w:p>
        </w:tc>
        <w:tc>
          <w:tcPr>
            <w:tcW w:w="3661" w:type="dxa"/>
            <w:vAlign w:val="center"/>
          </w:tcPr>
          <w:p>
            <w:pPr>
              <w:adjustRightInd w:val="0"/>
              <w:snapToGrid w:val="0"/>
              <w:spacing w:line="240" w:lineRule="auto"/>
              <w:jc w:val="center"/>
              <w:rPr>
                <w:sz w:val="21"/>
                <w:szCs w:val="21"/>
              </w:rPr>
            </w:pPr>
            <w:r>
              <w:rPr>
                <w:sz w:val="21"/>
                <w:szCs w:val="21"/>
              </w:rPr>
              <w:t>监测断面设置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37" w:type="dxa"/>
            <w:vAlign w:val="center"/>
          </w:tcPr>
          <w:p>
            <w:pPr>
              <w:adjustRightInd w:val="0"/>
              <w:snapToGrid w:val="0"/>
              <w:spacing w:line="240" w:lineRule="auto"/>
              <w:jc w:val="center"/>
              <w:rPr>
                <w:sz w:val="21"/>
                <w:szCs w:val="21"/>
              </w:rPr>
            </w:pPr>
            <w:r>
              <w:rPr>
                <w:sz w:val="21"/>
                <w:szCs w:val="21"/>
              </w:rPr>
              <w:t>1</w:t>
            </w:r>
          </w:p>
        </w:tc>
        <w:tc>
          <w:tcPr>
            <w:tcW w:w="2032" w:type="dxa"/>
            <w:vAlign w:val="center"/>
          </w:tcPr>
          <w:p>
            <w:pPr>
              <w:widowControl/>
              <w:adjustRightInd w:val="0"/>
              <w:snapToGrid w:val="0"/>
              <w:spacing w:line="240" w:lineRule="auto"/>
              <w:jc w:val="center"/>
              <w:rPr>
                <w:kern w:val="0"/>
                <w:sz w:val="21"/>
                <w:szCs w:val="21"/>
              </w:rPr>
            </w:pPr>
            <w:r>
              <w:rPr>
                <w:kern w:val="0"/>
                <w:sz w:val="21"/>
                <w:szCs w:val="21"/>
              </w:rPr>
              <w:t>项目所在地上游</w:t>
            </w:r>
          </w:p>
        </w:tc>
        <w:tc>
          <w:tcPr>
            <w:tcW w:w="1333" w:type="dxa"/>
            <w:vAlign w:val="center"/>
          </w:tcPr>
          <w:p>
            <w:pPr>
              <w:widowControl/>
              <w:adjustRightInd w:val="0"/>
              <w:snapToGrid w:val="0"/>
              <w:spacing w:line="240" w:lineRule="auto"/>
              <w:jc w:val="center"/>
              <w:rPr>
                <w:kern w:val="0"/>
                <w:sz w:val="21"/>
                <w:szCs w:val="21"/>
              </w:rPr>
            </w:pPr>
            <w:r>
              <w:rPr>
                <w:kern w:val="0"/>
                <w:sz w:val="21"/>
                <w:szCs w:val="21"/>
              </w:rPr>
              <w:t>项目</w:t>
            </w:r>
            <w:r>
              <w:rPr>
                <w:rFonts w:hint="eastAsia"/>
                <w:kern w:val="0"/>
                <w:sz w:val="21"/>
                <w:szCs w:val="21"/>
              </w:rPr>
              <w:t>北</w:t>
            </w:r>
            <w:r>
              <w:rPr>
                <w:kern w:val="0"/>
                <w:sz w:val="21"/>
                <w:szCs w:val="21"/>
              </w:rPr>
              <w:t>侧</w:t>
            </w:r>
          </w:p>
        </w:tc>
        <w:tc>
          <w:tcPr>
            <w:tcW w:w="3661" w:type="dxa"/>
            <w:vAlign w:val="center"/>
          </w:tcPr>
          <w:p>
            <w:pPr>
              <w:adjustRightInd w:val="0"/>
              <w:snapToGrid w:val="0"/>
              <w:spacing w:line="240" w:lineRule="auto"/>
              <w:jc w:val="center"/>
              <w:rPr>
                <w:sz w:val="21"/>
                <w:szCs w:val="21"/>
              </w:rPr>
            </w:pPr>
            <w:r>
              <w:rPr>
                <w:sz w:val="21"/>
                <w:szCs w:val="21"/>
              </w:rPr>
              <w:t>取样点井水位以下1.0m以内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37" w:type="dxa"/>
            <w:vAlign w:val="center"/>
          </w:tcPr>
          <w:p>
            <w:pPr>
              <w:adjustRightInd w:val="0"/>
              <w:snapToGrid w:val="0"/>
              <w:spacing w:line="240" w:lineRule="auto"/>
              <w:jc w:val="center"/>
              <w:rPr>
                <w:sz w:val="21"/>
                <w:szCs w:val="21"/>
              </w:rPr>
            </w:pPr>
            <w:r>
              <w:rPr>
                <w:rFonts w:hint="eastAsia"/>
                <w:sz w:val="21"/>
                <w:szCs w:val="21"/>
              </w:rPr>
              <w:t>2</w:t>
            </w:r>
          </w:p>
        </w:tc>
        <w:tc>
          <w:tcPr>
            <w:tcW w:w="2032" w:type="dxa"/>
            <w:vAlign w:val="center"/>
          </w:tcPr>
          <w:p>
            <w:pPr>
              <w:adjustRightInd w:val="0"/>
              <w:snapToGrid w:val="0"/>
              <w:spacing w:line="240" w:lineRule="auto"/>
              <w:jc w:val="center"/>
              <w:rPr>
                <w:sz w:val="21"/>
                <w:szCs w:val="21"/>
              </w:rPr>
            </w:pPr>
            <w:r>
              <w:rPr>
                <w:kern w:val="0"/>
                <w:sz w:val="21"/>
                <w:szCs w:val="21"/>
              </w:rPr>
              <w:t>项目所在地下游</w:t>
            </w:r>
          </w:p>
        </w:tc>
        <w:tc>
          <w:tcPr>
            <w:tcW w:w="1333" w:type="dxa"/>
            <w:vAlign w:val="center"/>
          </w:tcPr>
          <w:p>
            <w:pPr>
              <w:adjustRightInd w:val="0"/>
              <w:snapToGrid w:val="0"/>
              <w:spacing w:line="240" w:lineRule="auto"/>
              <w:jc w:val="center"/>
              <w:rPr>
                <w:kern w:val="0"/>
                <w:sz w:val="21"/>
                <w:szCs w:val="21"/>
              </w:rPr>
            </w:pPr>
            <w:r>
              <w:rPr>
                <w:kern w:val="0"/>
                <w:sz w:val="21"/>
                <w:szCs w:val="21"/>
              </w:rPr>
              <w:t>项目</w:t>
            </w:r>
            <w:r>
              <w:rPr>
                <w:rFonts w:hint="eastAsia"/>
                <w:kern w:val="0"/>
                <w:sz w:val="21"/>
                <w:szCs w:val="21"/>
              </w:rPr>
              <w:t>南侧</w:t>
            </w:r>
          </w:p>
        </w:tc>
        <w:tc>
          <w:tcPr>
            <w:tcW w:w="3661" w:type="dxa"/>
            <w:vAlign w:val="center"/>
          </w:tcPr>
          <w:p>
            <w:pPr>
              <w:adjustRightInd w:val="0"/>
              <w:snapToGrid w:val="0"/>
              <w:spacing w:line="240" w:lineRule="auto"/>
              <w:jc w:val="center"/>
              <w:rPr>
                <w:sz w:val="21"/>
                <w:szCs w:val="21"/>
              </w:rPr>
            </w:pPr>
            <w:r>
              <w:rPr>
                <w:sz w:val="21"/>
                <w:szCs w:val="21"/>
              </w:rPr>
              <w:t>取样点井水位以下1.0m以内</w:t>
            </w:r>
          </w:p>
        </w:tc>
      </w:tr>
    </w:tbl>
    <w:p>
      <w:pPr>
        <w:spacing w:before="240" w:after="60"/>
        <w:jc w:val="left"/>
        <w:outlineLvl w:val="2"/>
        <w:rPr>
          <w:rFonts w:eastAsia="黑体"/>
          <w:bCs/>
          <w:sz w:val="28"/>
          <w:szCs w:val="28"/>
        </w:rPr>
      </w:pPr>
      <w:r>
        <w:rPr>
          <w:rFonts w:eastAsia="黑体"/>
          <w:bCs/>
          <w:sz w:val="28"/>
          <w:szCs w:val="28"/>
        </w:rPr>
        <w:t>6.4.2监测项目</w:t>
      </w:r>
    </w:p>
    <w:p>
      <w:pPr>
        <w:autoSpaceDE w:val="0"/>
        <w:autoSpaceDN w:val="0"/>
        <w:adjustRightInd w:val="0"/>
        <w:snapToGrid w:val="0"/>
        <w:ind w:firstLine="480" w:firstLineChars="200"/>
        <w:jc w:val="left"/>
      </w:pPr>
      <w:r>
        <w:t>pH值、</w:t>
      </w:r>
      <w:r>
        <w:rPr>
          <w:rFonts w:hint="eastAsia"/>
        </w:rPr>
        <w:t>氨氮、钾</w:t>
      </w:r>
      <w:r>
        <w:t>、</w:t>
      </w:r>
      <w:r>
        <w:rPr>
          <w:rFonts w:hint="eastAsia"/>
        </w:rPr>
        <w:t>钠</w:t>
      </w:r>
      <w:r>
        <w:t>、</w:t>
      </w:r>
      <w:r>
        <w:rPr>
          <w:rFonts w:hint="eastAsia"/>
          <w:kern w:val="0"/>
        </w:rPr>
        <w:t>Ca</w:t>
      </w:r>
      <w:r>
        <w:rPr>
          <w:rFonts w:hint="eastAsia"/>
          <w:kern w:val="0"/>
          <w:vertAlign w:val="superscript"/>
        </w:rPr>
        <w:t>+</w:t>
      </w:r>
      <w:r>
        <w:rPr>
          <w:rFonts w:hint="eastAsia"/>
          <w:kern w:val="0"/>
        </w:rPr>
        <w:t>、Mg</w:t>
      </w:r>
      <w:r>
        <w:rPr>
          <w:rFonts w:hint="eastAsia"/>
          <w:kern w:val="0"/>
          <w:vertAlign w:val="superscript"/>
        </w:rPr>
        <w:t>+</w:t>
      </w:r>
      <w:r>
        <w:rPr>
          <w:rFonts w:hint="eastAsia"/>
          <w:kern w:val="0"/>
        </w:rPr>
        <w:t>、CO</w:t>
      </w:r>
      <w:r>
        <w:rPr>
          <w:rFonts w:hint="eastAsia"/>
          <w:kern w:val="0"/>
          <w:vertAlign w:val="subscript"/>
        </w:rPr>
        <w:t>3</w:t>
      </w:r>
      <w:r>
        <w:rPr>
          <w:kern w:val="0"/>
          <w:vertAlign w:val="superscript"/>
        </w:rPr>
        <w:t>2-</w:t>
      </w:r>
      <w:r>
        <w:rPr>
          <w:rFonts w:hint="eastAsia"/>
          <w:kern w:val="0"/>
        </w:rPr>
        <w:t>、HCO</w:t>
      </w:r>
      <w:r>
        <w:rPr>
          <w:rFonts w:hint="eastAsia"/>
          <w:kern w:val="0"/>
          <w:vertAlign w:val="subscript"/>
        </w:rPr>
        <w:t>3</w:t>
      </w:r>
      <w:r>
        <w:rPr>
          <w:kern w:val="0"/>
          <w:vertAlign w:val="superscript"/>
        </w:rPr>
        <w:t>-</w:t>
      </w:r>
      <w:r>
        <w:rPr>
          <w:kern w:val="0"/>
        </w:rPr>
        <w:t>、</w:t>
      </w:r>
      <w:r>
        <w:rPr>
          <w:rFonts w:hint="eastAsia"/>
          <w:kern w:val="0"/>
        </w:rPr>
        <w:t>C</w:t>
      </w:r>
      <w:r>
        <w:rPr>
          <w:kern w:val="0"/>
        </w:rPr>
        <w:t>l</w:t>
      </w:r>
      <w:r>
        <w:rPr>
          <w:kern w:val="0"/>
          <w:vertAlign w:val="superscript"/>
        </w:rPr>
        <w:t>-</w:t>
      </w:r>
      <w:r>
        <w:rPr>
          <w:rFonts w:hint="eastAsia"/>
          <w:kern w:val="0"/>
        </w:rPr>
        <w:t>、SO</w:t>
      </w:r>
      <w:r>
        <w:rPr>
          <w:rFonts w:hint="eastAsia"/>
          <w:kern w:val="0"/>
          <w:vertAlign w:val="subscript"/>
        </w:rPr>
        <w:t>4</w:t>
      </w:r>
      <w:r>
        <w:rPr>
          <w:rFonts w:hint="eastAsia"/>
          <w:kern w:val="0"/>
          <w:vertAlign w:val="superscript"/>
        </w:rPr>
        <w:t>2</w:t>
      </w:r>
      <w:r>
        <w:rPr>
          <w:kern w:val="0"/>
          <w:vertAlign w:val="superscript"/>
        </w:rPr>
        <w:t>-</w:t>
      </w:r>
      <w:r>
        <w:rPr>
          <w:rFonts w:hint="eastAsia"/>
          <w:kern w:val="0"/>
        </w:rPr>
        <w:t>、</w:t>
      </w:r>
      <w:r>
        <w:rPr>
          <w:rFonts w:hint="eastAsia"/>
        </w:rPr>
        <w:t>耗氧量、硝酸盐、硫酸盐</w:t>
      </w:r>
      <w:r>
        <w:t>、</w:t>
      </w:r>
      <w:r>
        <w:rPr>
          <w:rFonts w:hint="eastAsia"/>
        </w:rPr>
        <w:t>溶解性</w:t>
      </w:r>
      <w:r>
        <w:t>总固体、</w:t>
      </w:r>
      <w:r>
        <w:rPr>
          <w:rFonts w:hint="eastAsia"/>
        </w:rPr>
        <w:t>总大肠菌群、</w:t>
      </w:r>
      <w:r>
        <w:t>细菌</w:t>
      </w:r>
      <w:r>
        <w:rPr>
          <w:rFonts w:hint="eastAsia"/>
        </w:rPr>
        <w:t>总数</w:t>
      </w:r>
      <w:r>
        <w:t>。</w:t>
      </w:r>
    </w:p>
    <w:p>
      <w:pPr>
        <w:spacing w:before="240" w:after="60"/>
        <w:jc w:val="left"/>
        <w:outlineLvl w:val="2"/>
        <w:rPr>
          <w:rFonts w:eastAsia="黑体"/>
          <w:bCs/>
          <w:sz w:val="28"/>
          <w:szCs w:val="28"/>
        </w:rPr>
      </w:pPr>
      <w:r>
        <w:rPr>
          <w:rFonts w:eastAsia="黑体"/>
          <w:bCs/>
          <w:sz w:val="28"/>
          <w:szCs w:val="28"/>
        </w:rPr>
        <w:t>6.4.3 监测时间及频率</w:t>
      </w:r>
    </w:p>
    <w:p>
      <w:pPr>
        <w:autoSpaceDE w:val="0"/>
        <w:autoSpaceDN w:val="0"/>
        <w:adjustRightInd w:val="0"/>
        <w:snapToGrid w:val="0"/>
        <w:ind w:firstLine="480" w:firstLineChars="200"/>
        <w:jc w:val="left"/>
        <w:rPr>
          <w:kern w:val="0"/>
        </w:rPr>
      </w:pPr>
      <w:r>
        <w:rPr>
          <w:kern w:val="0"/>
        </w:rPr>
        <w:t>监测时间：</w:t>
      </w:r>
      <w:r>
        <w:t>2018年2月28日～3月2日</w:t>
      </w:r>
      <w:r>
        <w:rPr>
          <w:kern w:val="0"/>
        </w:rPr>
        <w:t>，连续监测3d，每天采样1次。</w:t>
      </w:r>
    </w:p>
    <w:p>
      <w:pPr>
        <w:spacing w:before="240" w:after="60"/>
        <w:jc w:val="left"/>
        <w:outlineLvl w:val="2"/>
        <w:rPr>
          <w:rFonts w:eastAsia="黑体"/>
          <w:bCs/>
          <w:sz w:val="28"/>
          <w:szCs w:val="28"/>
        </w:rPr>
      </w:pPr>
      <w:r>
        <w:rPr>
          <w:rFonts w:eastAsia="黑体"/>
          <w:bCs/>
          <w:sz w:val="28"/>
          <w:szCs w:val="28"/>
        </w:rPr>
        <w:t>6.4.4 监测结果</w:t>
      </w:r>
    </w:p>
    <w:p>
      <w:pPr>
        <w:adjustRightInd w:val="0"/>
        <w:snapToGrid w:val="0"/>
        <w:ind w:firstLine="480" w:firstLineChars="200"/>
        <w:jc w:val="left"/>
        <w:rPr>
          <w:kern w:val="0"/>
        </w:rPr>
      </w:pPr>
      <w:r>
        <w:rPr>
          <w:kern w:val="0"/>
        </w:rPr>
        <w:t>监测结果如表6.4-2所示。</w:t>
      </w:r>
    </w:p>
    <w:p>
      <w:pPr>
        <w:spacing w:line="240" w:lineRule="auto"/>
        <w:jc w:val="center"/>
        <w:rPr>
          <w:rFonts w:eastAsia="黑体"/>
        </w:rPr>
      </w:pPr>
      <w:r>
        <w:rPr>
          <w:rFonts w:eastAsia="黑体"/>
        </w:rPr>
        <w:t>表6.4-2 地下水环境质量监测结果统计表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1665"/>
        <w:gridCol w:w="1745"/>
        <w:gridCol w:w="1454"/>
        <w:gridCol w:w="1309"/>
        <w:gridCol w:w="12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restart"/>
            <w:tcBorders>
              <w:tl2br w:val="nil"/>
              <w:tr2bl w:val="nil"/>
            </w:tcBorders>
            <w:vAlign w:val="center"/>
          </w:tcPr>
          <w:p>
            <w:pPr>
              <w:widowControl/>
              <w:spacing w:line="240" w:lineRule="auto"/>
              <w:jc w:val="center"/>
              <w:textAlignment w:val="center"/>
              <w:rPr>
                <w:kern w:val="0"/>
                <w:sz w:val="21"/>
                <w:szCs w:val="21"/>
              </w:rPr>
            </w:pPr>
            <w:r>
              <w:rPr>
                <w:kern w:val="0"/>
                <w:sz w:val="21"/>
                <w:szCs w:val="21"/>
              </w:rPr>
              <w:t>点位编号</w:t>
            </w:r>
          </w:p>
        </w:tc>
        <w:tc>
          <w:tcPr>
            <w:tcW w:w="1623" w:type="dxa"/>
            <w:vMerge w:val="restart"/>
            <w:tcBorders>
              <w:tl2br w:val="nil"/>
              <w:tr2bl w:val="nil"/>
            </w:tcBorders>
            <w:vAlign w:val="center"/>
          </w:tcPr>
          <w:p>
            <w:pPr>
              <w:widowControl/>
              <w:spacing w:line="240" w:lineRule="auto"/>
              <w:jc w:val="center"/>
              <w:textAlignment w:val="center"/>
              <w:rPr>
                <w:kern w:val="0"/>
                <w:sz w:val="21"/>
                <w:szCs w:val="21"/>
              </w:rPr>
            </w:pPr>
            <w:r>
              <w:rPr>
                <w:kern w:val="0"/>
                <w:sz w:val="21"/>
                <w:szCs w:val="21"/>
              </w:rPr>
              <w:t>检测项目</w:t>
            </w:r>
          </w:p>
        </w:tc>
        <w:tc>
          <w:tcPr>
            <w:tcW w:w="4394" w:type="dxa"/>
            <w:gridSpan w:val="3"/>
            <w:tcBorders>
              <w:tl2br w:val="nil"/>
              <w:tr2bl w:val="nil"/>
            </w:tcBorders>
            <w:vAlign w:val="center"/>
          </w:tcPr>
          <w:p>
            <w:pPr>
              <w:widowControl/>
              <w:spacing w:line="240" w:lineRule="auto"/>
              <w:jc w:val="center"/>
              <w:textAlignment w:val="center"/>
              <w:rPr>
                <w:kern w:val="0"/>
                <w:sz w:val="21"/>
                <w:szCs w:val="21"/>
              </w:rPr>
            </w:pPr>
            <w:r>
              <w:rPr>
                <w:kern w:val="0"/>
                <w:sz w:val="21"/>
                <w:szCs w:val="21"/>
              </w:rPr>
              <w:t>检测结果</w:t>
            </w:r>
          </w:p>
        </w:tc>
        <w:tc>
          <w:tcPr>
            <w:tcW w:w="1225" w:type="dxa"/>
            <w:vMerge w:val="restart"/>
            <w:tcBorders>
              <w:tl2br w:val="nil"/>
              <w:tr2bl w:val="nil"/>
            </w:tcBorders>
          </w:tcPr>
          <w:p>
            <w:pPr>
              <w:widowControl/>
              <w:spacing w:line="240" w:lineRule="auto"/>
              <w:jc w:val="center"/>
              <w:textAlignment w:val="center"/>
              <w:rPr>
                <w:kern w:val="0"/>
                <w:sz w:val="21"/>
                <w:szCs w:val="21"/>
              </w:rPr>
            </w:pPr>
            <w:r>
              <w:rPr>
                <w:rFonts w:hint="eastAsia"/>
                <w:kern w:val="0"/>
                <w:sz w:val="21"/>
                <w:szCs w:val="21"/>
              </w:rPr>
              <w:t>标准</w:t>
            </w:r>
            <w:r>
              <w:rPr>
                <w:kern w:val="0"/>
                <w:sz w:val="21"/>
                <w:szCs w:val="21"/>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tcBorders>
              <w:tl2br w:val="nil"/>
              <w:tr2bl w:val="nil"/>
            </w:tcBorders>
            <w:vAlign w:val="center"/>
          </w:tcPr>
          <w:p>
            <w:pPr>
              <w:widowControl/>
              <w:spacing w:line="240" w:lineRule="auto"/>
              <w:jc w:val="center"/>
              <w:textAlignment w:val="center"/>
              <w:rPr>
                <w:kern w:val="0"/>
                <w:sz w:val="21"/>
                <w:szCs w:val="21"/>
              </w:rPr>
            </w:pPr>
          </w:p>
        </w:tc>
        <w:tc>
          <w:tcPr>
            <w:tcW w:w="1623" w:type="dxa"/>
            <w:vMerge w:val="continue"/>
            <w:tcBorders>
              <w:tl2br w:val="nil"/>
              <w:tr2bl w:val="nil"/>
            </w:tcBorders>
            <w:vAlign w:val="center"/>
          </w:tcPr>
          <w:p>
            <w:pPr>
              <w:widowControl/>
              <w:spacing w:line="240" w:lineRule="auto"/>
              <w:jc w:val="center"/>
              <w:textAlignment w:val="center"/>
              <w:rPr>
                <w:kern w:val="0"/>
                <w:sz w:val="21"/>
                <w:szCs w:val="21"/>
              </w:rPr>
            </w:pPr>
          </w:p>
        </w:tc>
        <w:tc>
          <w:tcPr>
            <w:tcW w:w="1701" w:type="dxa"/>
            <w:tcBorders>
              <w:tl2br w:val="nil"/>
              <w:tr2bl w:val="nil"/>
            </w:tcBorders>
            <w:vAlign w:val="center"/>
          </w:tcPr>
          <w:p>
            <w:pPr>
              <w:widowControl/>
              <w:spacing w:line="240" w:lineRule="auto"/>
              <w:jc w:val="center"/>
              <w:textAlignment w:val="center"/>
              <w:rPr>
                <w:kern w:val="0"/>
                <w:sz w:val="21"/>
                <w:szCs w:val="21"/>
              </w:rPr>
            </w:pPr>
            <w:r>
              <w:rPr>
                <w:kern w:val="0"/>
                <w:sz w:val="21"/>
                <w:szCs w:val="21"/>
              </w:rPr>
              <w:t>2019-7-30</w:t>
            </w:r>
          </w:p>
        </w:tc>
        <w:tc>
          <w:tcPr>
            <w:tcW w:w="1417" w:type="dxa"/>
            <w:tcBorders>
              <w:tl2br w:val="nil"/>
              <w:tr2bl w:val="nil"/>
            </w:tcBorders>
            <w:vAlign w:val="center"/>
          </w:tcPr>
          <w:p>
            <w:pPr>
              <w:widowControl/>
              <w:spacing w:line="240" w:lineRule="auto"/>
              <w:jc w:val="center"/>
              <w:textAlignment w:val="center"/>
              <w:rPr>
                <w:kern w:val="0"/>
                <w:sz w:val="21"/>
                <w:szCs w:val="21"/>
              </w:rPr>
            </w:pPr>
            <w:r>
              <w:rPr>
                <w:kern w:val="0"/>
                <w:sz w:val="21"/>
                <w:szCs w:val="21"/>
              </w:rPr>
              <w:t>2019-7-31</w:t>
            </w:r>
          </w:p>
        </w:tc>
        <w:tc>
          <w:tcPr>
            <w:tcW w:w="1276" w:type="dxa"/>
            <w:tcBorders>
              <w:tl2br w:val="nil"/>
              <w:tr2bl w:val="nil"/>
            </w:tcBorders>
            <w:vAlign w:val="center"/>
          </w:tcPr>
          <w:p>
            <w:pPr>
              <w:widowControl/>
              <w:spacing w:line="240" w:lineRule="auto"/>
              <w:jc w:val="center"/>
              <w:textAlignment w:val="center"/>
              <w:rPr>
                <w:kern w:val="0"/>
                <w:sz w:val="21"/>
                <w:szCs w:val="21"/>
              </w:rPr>
            </w:pPr>
            <w:r>
              <w:rPr>
                <w:kern w:val="0"/>
                <w:sz w:val="21"/>
                <w:szCs w:val="21"/>
              </w:rPr>
              <w:t>2019-8-1</w:t>
            </w:r>
          </w:p>
        </w:tc>
        <w:tc>
          <w:tcPr>
            <w:tcW w:w="1225" w:type="dxa"/>
            <w:vMerge w:val="continue"/>
            <w:tcBorders>
              <w:tl2br w:val="nil"/>
              <w:tr2bl w:val="nil"/>
            </w:tcBorders>
          </w:tcPr>
          <w:p>
            <w:pPr>
              <w:widowControl/>
              <w:spacing w:line="240" w:lineRule="auto"/>
              <w:jc w:val="center"/>
              <w:textAlignment w:val="center"/>
              <w:rPr>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restart"/>
            <w:tcBorders>
              <w:tl2br w:val="nil"/>
              <w:tr2bl w:val="nil"/>
            </w:tcBorders>
            <w:vAlign w:val="center"/>
          </w:tcPr>
          <w:p>
            <w:pPr>
              <w:widowControl/>
              <w:spacing w:line="240" w:lineRule="auto"/>
              <w:jc w:val="center"/>
              <w:textAlignment w:val="center"/>
              <w:rPr>
                <w:kern w:val="0"/>
                <w:sz w:val="21"/>
                <w:szCs w:val="21"/>
              </w:rPr>
            </w:pPr>
            <w:r>
              <w:rPr>
                <w:kern w:val="0"/>
                <w:sz w:val="21"/>
                <w:szCs w:val="21"/>
              </w:rPr>
              <w:t>D1</w:t>
            </w:r>
          </w:p>
        </w:tc>
        <w:tc>
          <w:tcPr>
            <w:tcW w:w="1623" w:type="dxa"/>
            <w:tcBorders>
              <w:tl2br w:val="nil"/>
              <w:tr2bl w:val="nil"/>
            </w:tcBorders>
            <w:vAlign w:val="center"/>
          </w:tcPr>
          <w:p>
            <w:pPr>
              <w:widowControl/>
              <w:spacing w:line="240" w:lineRule="auto"/>
              <w:jc w:val="center"/>
              <w:textAlignment w:val="center"/>
              <w:rPr>
                <w:kern w:val="0"/>
                <w:sz w:val="21"/>
                <w:szCs w:val="21"/>
              </w:rPr>
            </w:pPr>
            <w:r>
              <w:rPr>
                <w:kern w:val="0"/>
                <w:sz w:val="21"/>
                <w:szCs w:val="21"/>
              </w:rPr>
              <w:t>pH</w:t>
            </w:r>
          </w:p>
        </w:tc>
        <w:tc>
          <w:tcPr>
            <w:tcW w:w="1701"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7.14</w:t>
            </w:r>
          </w:p>
        </w:tc>
        <w:tc>
          <w:tcPr>
            <w:tcW w:w="1417"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7.12</w:t>
            </w:r>
          </w:p>
        </w:tc>
        <w:tc>
          <w:tcPr>
            <w:tcW w:w="1276"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7.15</w:t>
            </w:r>
          </w:p>
        </w:tc>
        <w:tc>
          <w:tcPr>
            <w:tcW w:w="1225" w:type="dxa"/>
            <w:tcBorders>
              <w:tl2br w:val="nil"/>
              <w:tr2bl w:val="nil"/>
            </w:tcBorders>
          </w:tcPr>
          <w:p>
            <w:pPr>
              <w:widowControl/>
              <w:spacing w:line="240" w:lineRule="auto"/>
              <w:jc w:val="center"/>
              <w:textAlignment w:val="center"/>
              <w:rPr>
                <w:kern w:val="0"/>
                <w:sz w:val="21"/>
                <w:szCs w:val="21"/>
              </w:rPr>
            </w:pPr>
            <w:r>
              <w:rPr>
                <w:rFonts w:hint="eastAsia"/>
                <w:kern w:val="0"/>
                <w:sz w:val="21"/>
                <w:szCs w:val="21"/>
              </w:rPr>
              <w:t>6.5</w:t>
            </w:r>
            <w:r>
              <w:rPr>
                <w:kern w:val="0"/>
                <w:sz w:val="21"/>
                <w:szCs w:val="21"/>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tcBorders>
              <w:tl2br w:val="nil"/>
              <w:tr2bl w:val="nil"/>
            </w:tcBorders>
            <w:vAlign w:val="center"/>
          </w:tcPr>
          <w:p>
            <w:pPr>
              <w:widowControl/>
              <w:spacing w:line="240" w:lineRule="auto"/>
              <w:jc w:val="center"/>
              <w:textAlignment w:val="center"/>
              <w:rPr>
                <w:kern w:val="0"/>
                <w:sz w:val="21"/>
                <w:szCs w:val="21"/>
              </w:rPr>
            </w:pPr>
          </w:p>
        </w:tc>
        <w:tc>
          <w:tcPr>
            <w:tcW w:w="1623"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氨氮</w:t>
            </w:r>
          </w:p>
        </w:tc>
        <w:tc>
          <w:tcPr>
            <w:tcW w:w="1701"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0.</w:t>
            </w:r>
            <w:r>
              <w:rPr>
                <w:kern w:val="0"/>
                <w:sz w:val="21"/>
                <w:szCs w:val="21"/>
              </w:rPr>
              <w:t>3</w:t>
            </w:r>
            <w:r>
              <w:rPr>
                <w:rFonts w:hint="eastAsia"/>
                <w:kern w:val="0"/>
                <w:sz w:val="21"/>
                <w:szCs w:val="21"/>
              </w:rPr>
              <w:t>45</w:t>
            </w:r>
          </w:p>
        </w:tc>
        <w:tc>
          <w:tcPr>
            <w:tcW w:w="1417"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0.340</w:t>
            </w:r>
          </w:p>
        </w:tc>
        <w:tc>
          <w:tcPr>
            <w:tcW w:w="1276"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0.335</w:t>
            </w:r>
          </w:p>
        </w:tc>
        <w:tc>
          <w:tcPr>
            <w:tcW w:w="1225" w:type="dxa"/>
            <w:tcBorders>
              <w:tl2br w:val="nil"/>
              <w:tr2bl w:val="nil"/>
            </w:tcBorders>
          </w:tcPr>
          <w:p>
            <w:pPr>
              <w:widowControl/>
              <w:spacing w:line="240" w:lineRule="auto"/>
              <w:jc w:val="center"/>
              <w:textAlignment w:val="center"/>
              <w:rPr>
                <w:kern w:val="0"/>
                <w:sz w:val="21"/>
                <w:szCs w:val="21"/>
              </w:rPr>
            </w:pPr>
            <w:r>
              <w:rPr>
                <w:rFonts w:hint="eastAsia"/>
                <w:kern w:val="0"/>
                <w:sz w:val="21"/>
                <w:szCs w:val="21"/>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tcBorders>
              <w:tl2br w:val="nil"/>
              <w:tr2bl w:val="nil"/>
            </w:tcBorders>
            <w:vAlign w:val="center"/>
          </w:tcPr>
          <w:p>
            <w:pPr>
              <w:widowControl/>
              <w:spacing w:line="240" w:lineRule="auto"/>
              <w:jc w:val="center"/>
              <w:textAlignment w:val="center"/>
              <w:rPr>
                <w:kern w:val="0"/>
                <w:sz w:val="21"/>
                <w:szCs w:val="21"/>
              </w:rPr>
            </w:pPr>
          </w:p>
        </w:tc>
        <w:tc>
          <w:tcPr>
            <w:tcW w:w="1623"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钾</w:t>
            </w:r>
          </w:p>
        </w:tc>
        <w:tc>
          <w:tcPr>
            <w:tcW w:w="1701"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7.89</w:t>
            </w:r>
          </w:p>
        </w:tc>
        <w:tc>
          <w:tcPr>
            <w:tcW w:w="1417"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12.5</w:t>
            </w:r>
          </w:p>
        </w:tc>
        <w:tc>
          <w:tcPr>
            <w:tcW w:w="1276" w:type="dxa"/>
            <w:tcBorders>
              <w:tl2br w:val="nil"/>
              <w:tr2bl w:val="nil"/>
            </w:tcBorders>
            <w:vAlign w:val="center"/>
          </w:tcPr>
          <w:p>
            <w:pPr>
              <w:widowControl/>
              <w:spacing w:line="240" w:lineRule="auto"/>
              <w:jc w:val="center"/>
              <w:textAlignment w:val="center"/>
              <w:rPr>
                <w:kern w:val="0"/>
                <w:sz w:val="21"/>
                <w:szCs w:val="21"/>
              </w:rPr>
            </w:pPr>
            <w:r>
              <w:rPr>
                <w:rFonts w:hint="eastAsia"/>
                <w:kern w:val="0"/>
                <w:sz w:val="21"/>
                <w:szCs w:val="21"/>
              </w:rPr>
              <w:t>6.27</w:t>
            </w:r>
          </w:p>
        </w:tc>
        <w:tc>
          <w:tcPr>
            <w:tcW w:w="1225" w:type="dxa"/>
            <w:tcBorders>
              <w:tl2br w:val="nil"/>
              <w:tr2bl w:val="nil"/>
            </w:tcBorders>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sz w:val="21"/>
                <w:szCs w:val="21"/>
              </w:rPr>
              <w:t>钠</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46.0</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39.6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51.9</w:t>
            </w:r>
          </w:p>
        </w:tc>
        <w:tc>
          <w:tcPr>
            <w:tcW w:w="1225" w:type="dxa"/>
          </w:tcPr>
          <w:p>
            <w:pPr>
              <w:widowControl/>
              <w:spacing w:line="240" w:lineRule="auto"/>
              <w:jc w:val="center"/>
              <w:textAlignment w:val="center"/>
              <w:rPr>
                <w:kern w:val="0"/>
                <w:sz w:val="21"/>
                <w:szCs w:val="21"/>
              </w:rPr>
            </w:pPr>
            <w:r>
              <w:rPr>
                <w:rFonts w:hint="eastAsia"/>
                <w:kern w:val="0"/>
                <w:sz w:val="21"/>
                <w:szCs w:val="21"/>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Ca</w:t>
            </w:r>
            <w:r>
              <w:rPr>
                <w:rFonts w:hint="eastAsia"/>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149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150</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152</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Mg</w:t>
            </w:r>
            <w:r>
              <w:rPr>
                <w:rFonts w:hint="eastAsia"/>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21.3</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21.7</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20.1</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CO</w:t>
            </w:r>
            <w:r>
              <w:rPr>
                <w:rFonts w:hint="eastAsia"/>
                <w:kern w:val="0"/>
                <w:sz w:val="21"/>
                <w:szCs w:val="21"/>
                <w:vertAlign w:val="subscript"/>
              </w:rPr>
              <w:t>3</w:t>
            </w:r>
            <w:r>
              <w:rPr>
                <w:kern w:val="0"/>
                <w:sz w:val="21"/>
                <w:szCs w:val="21"/>
                <w:vertAlign w:val="superscript"/>
              </w:rPr>
              <w:t>2-</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HCO</w:t>
            </w:r>
            <w:r>
              <w:rPr>
                <w:rFonts w:hint="eastAsia"/>
                <w:kern w:val="0"/>
                <w:sz w:val="21"/>
                <w:szCs w:val="21"/>
                <w:vertAlign w:val="subscript"/>
              </w:rPr>
              <w:t>3</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445</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446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442</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w:t>
            </w:r>
            <w:r>
              <w:rPr>
                <w:kern w:val="0"/>
                <w:sz w:val="21"/>
                <w:szCs w:val="21"/>
              </w:rPr>
              <w:t>l</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37.5</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37.6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35.6</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SO</w:t>
            </w:r>
            <w:r>
              <w:rPr>
                <w:rFonts w:hint="eastAsia"/>
                <w:kern w:val="0"/>
                <w:sz w:val="21"/>
                <w:szCs w:val="21"/>
                <w:vertAlign w:val="subscript"/>
              </w:rPr>
              <w:t>4</w:t>
            </w:r>
            <w:r>
              <w:rPr>
                <w:rFonts w:hint="eastAsia"/>
                <w:kern w:val="0"/>
                <w:sz w:val="21"/>
                <w:szCs w:val="21"/>
                <w:vertAlign w:val="superscript"/>
              </w:rPr>
              <w:t>2</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109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109</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113</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sz w:val="21"/>
                <w:szCs w:val="21"/>
              </w:rPr>
              <w:t>耗氧量</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2.4</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2.5</w:t>
            </w:r>
          </w:p>
        </w:tc>
        <w:tc>
          <w:tcPr>
            <w:tcW w:w="1225" w:type="dxa"/>
          </w:tcPr>
          <w:p>
            <w:pPr>
              <w:widowControl/>
              <w:spacing w:line="240" w:lineRule="auto"/>
              <w:jc w:val="center"/>
              <w:textAlignment w:val="center"/>
              <w:rPr>
                <w:kern w:val="0"/>
                <w:sz w:val="21"/>
                <w:szCs w:val="21"/>
              </w:rPr>
            </w:pPr>
            <w:r>
              <w:rPr>
                <w:rFonts w:hint="eastAsia"/>
                <w:kern w:val="0"/>
                <w:sz w:val="21"/>
                <w:szCs w:val="21"/>
              </w:rPr>
              <w:t>≤</w:t>
            </w:r>
            <w:r>
              <w:rPr>
                <w:kern w:val="0"/>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sz w:val="21"/>
                <w:szCs w:val="21"/>
              </w:rPr>
              <w:t>硝酸盐</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2.56</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2.56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2.62</w:t>
            </w:r>
          </w:p>
        </w:tc>
        <w:tc>
          <w:tcPr>
            <w:tcW w:w="1225" w:type="dxa"/>
          </w:tcPr>
          <w:p>
            <w:pPr>
              <w:widowControl/>
              <w:spacing w:line="240" w:lineRule="auto"/>
              <w:jc w:val="center"/>
              <w:textAlignment w:val="center"/>
              <w:rPr>
                <w:kern w:val="0"/>
                <w:sz w:val="21"/>
                <w:szCs w:val="21"/>
              </w:rPr>
            </w:pPr>
            <w:r>
              <w:rPr>
                <w:rFonts w:hint="eastAsia"/>
                <w:kern w:val="0"/>
                <w:sz w:val="21"/>
                <w:szCs w:val="21"/>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硫酸盐</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109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109</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113</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溶解性</w:t>
            </w:r>
            <w:r>
              <w:rPr>
                <w:sz w:val="21"/>
                <w:szCs w:val="21"/>
              </w:rPr>
              <w:t>总固体</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125</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126</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126</w:t>
            </w:r>
          </w:p>
        </w:tc>
        <w:tc>
          <w:tcPr>
            <w:tcW w:w="1225" w:type="dxa"/>
          </w:tcPr>
          <w:p>
            <w:pPr>
              <w:widowControl/>
              <w:spacing w:line="240" w:lineRule="auto"/>
              <w:jc w:val="center"/>
              <w:textAlignment w:val="center"/>
              <w:rPr>
                <w:kern w:val="0"/>
                <w:sz w:val="21"/>
                <w:szCs w:val="21"/>
              </w:rPr>
            </w:pPr>
            <w:r>
              <w:rPr>
                <w:rFonts w:hint="eastAsia"/>
                <w:kern w:val="0"/>
                <w:sz w:val="21"/>
                <w:szCs w:val="21"/>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总大肠菌群</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225" w:type="dxa"/>
          </w:tcPr>
          <w:p>
            <w:pPr>
              <w:widowControl/>
              <w:spacing w:line="240" w:lineRule="auto"/>
              <w:jc w:val="center"/>
              <w:textAlignment w:val="center"/>
              <w:rPr>
                <w:kern w:val="0"/>
                <w:sz w:val="21"/>
                <w:szCs w:val="21"/>
              </w:rPr>
            </w:pPr>
            <w:r>
              <w:rPr>
                <w:rFonts w:hint="eastAsia"/>
                <w:kern w:val="0"/>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sz w:val="21"/>
                <w:szCs w:val="21"/>
              </w:rPr>
              <w:t>细菌</w:t>
            </w:r>
            <w:r>
              <w:rPr>
                <w:rFonts w:hint="eastAsia"/>
                <w:sz w:val="21"/>
                <w:szCs w:val="21"/>
              </w:rPr>
              <w:t>总数</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80</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75</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78</w:t>
            </w:r>
          </w:p>
        </w:tc>
        <w:tc>
          <w:tcPr>
            <w:tcW w:w="1225" w:type="dxa"/>
          </w:tcPr>
          <w:p>
            <w:pPr>
              <w:widowControl/>
              <w:spacing w:line="240" w:lineRule="auto"/>
              <w:jc w:val="center"/>
              <w:textAlignment w:val="center"/>
              <w:rPr>
                <w:kern w:val="0"/>
                <w:sz w:val="21"/>
                <w:szCs w:val="21"/>
              </w:rPr>
            </w:pPr>
            <w:r>
              <w:rPr>
                <w:rFonts w:hint="eastAsia"/>
                <w:kern w:val="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restart"/>
            <w:vAlign w:val="center"/>
          </w:tcPr>
          <w:p>
            <w:pPr>
              <w:spacing w:line="240" w:lineRule="auto"/>
              <w:jc w:val="center"/>
              <w:textAlignment w:val="center"/>
              <w:rPr>
                <w:kern w:val="0"/>
                <w:sz w:val="21"/>
                <w:szCs w:val="21"/>
              </w:rPr>
            </w:pPr>
            <w:r>
              <w:rPr>
                <w:kern w:val="0"/>
                <w:sz w:val="21"/>
                <w:szCs w:val="21"/>
              </w:rPr>
              <w:t>D2</w:t>
            </w:r>
          </w:p>
        </w:tc>
        <w:tc>
          <w:tcPr>
            <w:tcW w:w="1623" w:type="dxa"/>
            <w:vAlign w:val="center"/>
          </w:tcPr>
          <w:p>
            <w:pPr>
              <w:widowControl/>
              <w:spacing w:line="240" w:lineRule="auto"/>
              <w:jc w:val="center"/>
              <w:textAlignment w:val="center"/>
              <w:rPr>
                <w:sz w:val="21"/>
                <w:szCs w:val="21"/>
              </w:rPr>
            </w:pPr>
            <w:r>
              <w:rPr>
                <w:kern w:val="0"/>
                <w:sz w:val="21"/>
                <w:szCs w:val="21"/>
              </w:rPr>
              <w:t>pH</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7.19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7.21</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7.25</w:t>
            </w:r>
          </w:p>
        </w:tc>
        <w:tc>
          <w:tcPr>
            <w:tcW w:w="1225" w:type="dxa"/>
          </w:tcPr>
          <w:p>
            <w:pPr>
              <w:widowControl/>
              <w:spacing w:line="240" w:lineRule="auto"/>
              <w:jc w:val="center"/>
              <w:textAlignment w:val="center"/>
              <w:rPr>
                <w:kern w:val="0"/>
                <w:sz w:val="21"/>
                <w:szCs w:val="21"/>
              </w:rPr>
            </w:pPr>
            <w:r>
              <w:rPr>
                <w:rFonts w:hint="eastAsia"/>
                <w:kern w:val="0"/>
                <w:sz w:val="21"/>
                <w:szCs w:val="21"/>
              </w:rPr>
              <w:t>6.5</w:t>
            </w:r>
            <w:r>
              <w:rPr>
                <w:kern w:val="0"/>
                <w:sz w:val="21"/>
                <w:szCs w:val="21"/>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氨氮</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0.132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0.137</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0.143</w:t>
            </w:r>
          </w:p>
        </w:tc>
        <w:tc>
          <w:tcPr>
            <w:tcW w:w="1225" w:type="dxa"/>
          </w:tcPr>
          <w:p>
            <w:pPr>
              <w:widowControl/>
              <w:spacing w:line="240" w:lineRule="auto"/>
              <w:jc w:val="center"/>
              <w:textAlignment w:val="center"/>
              <w:rPr>
                <w:kern w:val="0"/>
                <w:sz w:val="21"/>
                <w:szCs w:val="21"/>
              </w:rPr>
            </w:pPr>
            <w:r>
              <w:rPr>
                <w:rFonts w:hint="eastAsia"/>
                <w:kern w:val="0"/>
                <w:sz w:val="21"/>
                <w:szCs w:val="21"/>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钾</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9.94</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5.94</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9.20</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sz w:val="21"/>
                <w:szCs w:val="21"/>
              </w:rPr>
              <w:t>钠</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46.2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52.1</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46.3</w:t>
            </w:r>
          </w:p>
        </w:tc>
        <w:tc>
          <w:tcPr>
            <w:tcW w:w="1225" w:type="dxa"/>
          </w:tcPr>
          <w:p>
            <w:pPr>
              <w:widowControl/>
              <w:spacing w:line="240" w:lineRule="auto"/>
              <w:jc w:val="center"/>
              <w:textAlignment w:val="center"/>
              <w:rPr>
                <w:kern w:val="0"/>
                <w:sz w:val="21"/>
                <w:szCs w:val="21"/>
              </w:rPr>
            </w:pPr>
            <w:r>
              <w:rPr>
                <w:rFonts w:hint="eastAsia"/>
                <w:kern w:val="0"/>
                <w:sz w:val="21"/>
                <w:szCs w:val="21"/>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Ca</w:t>
            </w:r>
            <w:r>
              <w:rPr>
                <w:rFonts w:hint="eastAsia"/>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165</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164</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165</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Mg</w:t>
            </w:r>
            <w:r>
              <w:rPr>
                <w:rFonts w:hint="eastAsia"/>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28.2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27.8</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27.2</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CO</w:t>
            </w:r>
            <w:r>
              <w:rPr>
                <w:rFonts w:hint="eastAsia"/>
                <w:kern w:val="0"/>
                <w:sz w:val="21"/>
                <w:szCs w:val="21"/>
                <w:vertAlign w:val="subscript"/>
              </w:rPr>
              <w:t>3</w:t>
            </w:r>
            <w:r>
              <w:rPr>
                <w:kern w:val="0"/>
                <w:sz w:val="21"/>
                <w:szCs w:val="21"/>
                <w:vertAlign w:val="superscript"/>
              </w:rPr>
              <w:t>2-</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未检出</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HCO</w:t>
            </w:r>
            <w:r>
              <w:rPr>
                <w:rFonts w:hint="eastAsia"/>
                <w:kern w:val="0"/>
                <w:sz w:val="21"/>
                <w:szCs w:val="21"/>
                <w:vertAlign w:val="subscript"/>
              </w:rPr>
              <w:t>3</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439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437</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44</w:t>
            </w:r>
            <w:r>
              <w:rPr>
                <w:kern w:val="0"/>
                <w:sz w:val="21"/>
                <w:szCs w:val="21"/>
              </w:rPr>
              <w:t>0</w:t>
            </w:r>
          </w:p>
        </w:tc>
        <w:tc>
          <w:tcPr>
            <w:tcW w:w="1225" w:type="dxa"/>
          </w:tcPr>
          <w:p>
            <w:pPr>
              <w:widowControl/>
              <w:spacing w:line="240" w:lineRule="auto"/>
              <w:jc w:val="center"/>
              <w:textAlignment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C</w:t>
            </w:r>
            <w:r>
              <w:rPr>
                <w:kern w:val="0"/>
                <w:sz w:val="21"/>
                <w:szCs w:val="21"/>
              </w:rPr>
              <w:t>l</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75.2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72.9</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75.6</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kern w:val="0"/>
                <w:sz w:val="21"/>
                <w:szCs w:val="21"/>
              </w:rPr>
              <w:t>SO</w:t>
            </w:r>
            <w:r>
              <w:rPr>
                <w:rFonts w:hint="eastAsia"/>
                <w:kern w:val="0"/>
                <w:sz w:val="21"/>
                <w:szCs w:val="21"/>
                <w:vertAlign w:val="subscript"/>
              </w:rPr>
              <w:t>4</w:t>
            </w:r>
            <w:r>
              <w:rPr>
                <w:rFonts w:hint="eastAsia"/>
                <w:kern w:val="0"/>
                <w:sz w:val="21"/>
                <w:szCs w:val="21"/>
                <w:vertAlign w:val="superscript"/>
              </w:rPr>
              <w:t>2</w:t>
            </w:r>
            <w:r>
              <w:rPr>
                <w:kern w:val="0"/>
                <w:sz w:val="21"/>
                <w:szCs w:val="21"/>
                <w:vertAlign w:val="superscript"/>
              </w:rPr>
              <w:t>-</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149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150</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151</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kern w:val="0"/>
                <w:sz w:val="21"/>
                <w:szCs w:val="21"/>
              </w:rPr>
            </w:pPr>
            <w:r>
              <w:rPr>
                <w:rFonts w:hint="eastAsia"/>
                <w:sz w:val="21"/>
                <w:szCs w:val="21"/>
              </w:rPr>
              <w:t>耗氧量</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2.3</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2.2</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2.4</w:t>
            </w:r>
          </w:p>
        </w:tc>
        <w:tc>
          <w:tcPr>
            <w:tcW w:w="1225" w:type="dxa"/>
          </w:tcPr>
          <w:p>
            <w:pPr>
              <w:widowControl/>
              <w:spacing w:line="240" w:lineRule="auto"/>
              <w:jc w:val="center"/>
              <w:textAlignment w:val="center"/>
              <w:rPr>
                <w:kern w:val="0"/>
                <w:sz w:val="21"/>
                <w:szCs w:val="21"/>
              </w:rPr>
            </w:pPr>
            <w:r>
              <w:rPr>
                <w:rFonts w:hint="eastAsia"/>
                <w:kern w:val="0"/>
                <w:sz w:val="21"/>
                <w:szCs w:val="21"/>
              </w:rPr>
              <w:t>≤</w:t>
            </w:r>
            <w:r>
              <w:rPr>
                <w:kern w:val="0"/>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硝酸盐</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5.13</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5.55</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5.13</w:t>
            </w:r>
          </w:p>
        </w:tc>
        <w:tc>
          <w:tcPr>
            <w:tcW w:w="1225" w:type="dxa"/>
          </w:tcPr>
          <w:p>
            <w:pPr>
              <w:widowControl/>
              <w:spacing w:line="240" w:lineRule="auto"/>
              <w:jc w:val="center"/>
              <w:textAlignment w:val="center"/>
              <w:rPr>
                <w:kern w:val="0"/>
                <w:sz w:val="21"/>
                <w:szCs w:val="21"/>
              </w:rPr>
            </w:pPr>
            <w:r>
              <w:rPr>
                <w:rFonts w:hint="eastAsia"/>
                <w:kern w:val="0"/>
                <w:sz w:val="21"/>
                <w:szCs w:val="21"/>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硫酸盐</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149</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150</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151</w:t>
            </w:r>
          </w:p>
        </w:tc>
        <w:tc>
          <w:tcPr>
            <w:tcW w:w="1225" w:type="dxa"/>
          </w:tcPr>
          <w:p>
            <w:pPr>
              <w:widowControl/>
              <w:spacing w:line="240" w:lineRule="auto"/>
              <w:jc w:val="center"/>
              <w:textAlignment w:val="center"/>
              <w:rPr>
                <w:kern w:val="0"/>
                <w:sz w:val="21"/>
                <w:szCs w:val="21"/>
              </w:rPr>
            </w:pPr>
            <w:r>
              <w:rPr>
                <w:rFonts w:hint="eastAsia"/>
                <w:kern w:val="0"/>
                <w:sz w:val="21"/>
                <w:szCs w:val="21"/>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溶解性</w:t>
            </w:r>
            <w:r>
              <w:rPr>
                <w:sz w:val="21"/>
                <w:szCs w:val="21"/>
              </w:rPr>
              <w:t>总固体</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147</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151</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148</w:t>
            </w:r>
          </w:p>
        </w:tc>
        <w:tc>
          <w:tcPr>
            <w:tcW w:w="1225" w:type="dxa"/>
          </w:tcPr>
          <w:p>
            <w:pPr>
              <w:widowControl/>
              <w:spacing w:line="240" w:lineRule="auto"/>
              <w:jc w:val="center"/>
              <w:textAlignment w:val="center"/>
              <w:rPr>
                <w:kern w:val="0"/>
                <w:sz w:val="21"/>
                <w:szCs w:val="21"/>
              </w:rPr>
            </w:pPr>
            <w:r>
              <w:rPr>
                <w:rFonts w:hint="eastAsia"/>
                <w:kern w:val="0"/>
                <w:sz w:val="21"/>
                <w:szCs w:val="21"/>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rFonts w:hint="eastAsia"/>
                <w:sz w:val="21"/>
                <w:szCs w:val="21"/>
              </w:rPr>
              <w:t>总大肠菌群</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＜2</w:t>
            </w:r>
          </w:p>
        </w:tc>
        <w:tc>
          <w:tcPr>
            <w:tcW w:w="1225" w:type="dxa"/>
          </w:tcPr>
          <w:p>
            <w:pPr>
              <w:widowControl/>
              <w:spacing w:line="240" w:lineRule="auto"/>
              <w:jc w:val="center"/>
              <w:textAlignment w:val="center"/>
              <w:rPr>
                <w:kern w:val="0"/>
                <w:sz w:val="21"/>
                <w:szCs w:val="21"/>
              </w:rPr>
            </w:pPr>
            <w:r>
              <w:rPr>
                <w:rFonts w:hint="eastAsia"/>
                <w:kern w:val="0"/>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71" w:type="dxa"/>
            <w:vMerge w:val="continue"/>
            <w:vAlign w:val="center"/>
          </w:tcPr>
          <w:p>
            <w:pPr>
              <w:widowControl/>
              <w:spacing w:line="240" w:lineRule="auto"/>
              <w:jc w:val="center"/>
              <w:textAlignment w:val="center"/>
              <w:rPr>
                <w:kern w:val="0"/>
                <w:sz w:val="21"/>
                <w:szCs w:val="21"/>
              </w:rPr>
            </w:pPr>
          </w:p>
        </w:tc>
        <w:tc>
          <w:tcPr>
            <w:tcW w:w="1623" w:type="dxa"/>
            <w:vAlign w:val="center"/>
          </w:tcPr>
          <w:p>
            <w:pPr>
              <w:widowControl/>
              <w:spacing w:line="240" w:lineRule="auto"/>
              <w:jc w:val="center"/>
              <w:textAlignment w:val="center"/>
              <w:rPr>
                <w:sz w:val="21"/>
                <w:szCs w:val="21"/>
              </w:rPr>
            </w:pPr>
            <w:r>
              <w:rPr>
                <w:sz w:val="21"/>
                <w:szCs w:val="21"/>
              </w:rPr>
              <w:t>细菌</w:t>
            </w:r>
            <w:r>
              <w:rPr>
                <w:rFonts w:hint="eastAsia"/>
                <w:sz w:val="21"/>
                <w:szCs w:val="21"/>
              </w:rPr>
              <w:t>总数</w:t>
            </w:r>
          </w:p>
        </w:tc>
        <w:tc>
          <w:tcPr>
            <w:tcW w:w="1701" w:type="dxa"/>
            <w:vAlign w:val="center"/>
          </w:tcPr>
          <w:p>
            <w:pPr>
              <w:widowControl/>
              <w:spacing w:line="240" w:lineRule="auto"/>
              <w:jc w:val="center"/>
              <w:textAlignment w:val="center"/>
              <w:rPr>
                <w:kern w:val="0"/>
                <w:sz w:val="21"/>
                <w:szCs w:val="21"/>
              </w:rPr>
            </w:pPr>
            <w:r>
              <w:rPr>
                <w:rFonts w:hint="eastAsia"/>
                <w:kern w:val="0"/>
                <w:sz w:val="21"/>
                <w:szCs w:val="21"/>
              </w:rPr>
              <w:t>84</w:t>
            </w:r>
          </w:p>
        </w:tc>
        <w:tc>
          <w:tcPr>
            <w:tcW w:w="1417" w:type="dxa"/>
            <w:vAlign w:val="center"/>
          </w:tcPr>
          <w:p>
            <w:pPr>
              <w:widowControl/>
              <w:spacing w:line="240" w:lineRule="auto"/>
              <w:jc w:val="center"/>
              <w:textAlignment w:val="center"/>
              <w:rPr>
                <w:kern w:val="0"/>
                <w:sz w:val="21"/>
                <w:szCs w:val="21"/>
              </w:rPr>
            </w:pPr>
            <w:r>
              <w:rPr>
                <w:rFonts w:hint="eastAsia"/>
                <w:kern w:val="0"/>
                <w:sz w:val="21"/>
                <w:szCs w:val="21"/>
              </w:rPr>
              <w:t>82</w:t>
            </w:r>
          </w:p>
        </w:tc>
        <w:tc>
          <w:tcPr>
            <w:tcW w:w="1276" w:type="dxa"/>
            <w:vAlign w:val="center"/>
          </w:tcPr>
          <w:p>
            <w:pPr>
              <w:widowControl/>
              <w:spacing w:line="240" w:lineRule="auto"/>
              <w:jc w:val="center"/>
              <w:textAlignment w:val="center"/>
              <w:rPr>
                <w:kern w:val="0"/>
                <w:sz w:val="21"/>
                <w:szCs w:val="21"/>
              </w:rPr>
            </w:pPr>
            <w:r>
              <w:rPr>
                <w:rFonts w:hint="eastAsia"/>
                <w:kern w:val="0"/>
                <w:sz w:val="21"/>
                <w:szCs w:val="21"/>
              </w:rPr>
              <w:t>76</w:t>
            </w:r>
          </w:p>
        </w:tc>
        <w:tc>
          <w:tcPr>
            <w:tcW w:w="1225" w:type="dxa"/>
          </w:tcPr>
          <w:p>
            <w:pPr>
              <w:widowControl/>
              <w:spacing w:line="240" w:lineRule="auto"/>
              <w:jc w:val="center"/>
              <w:textAlignment w:val="center"/>
              <w:rPr>
                <w:kern w:val="0"/>
                <w:sz w:val="21"/>
                <w:szCs w:val="21"/>
              </w:rPr>
            </w:pPr>
            <w:r>
              <w:rPr>
                <w:rFonts w:hint="eastAsia"/>
                <w:kern w:val="0"/>
                <w:sz w:val="21"/>
                <w:szCs w:val="21"/>
              </w:rPr>
              <w:t>≤100</w:t>
            </w:r>
          </w:p>
        </w:tc>
      </w:tr>
    </w:tbl>
    <w:p>
      <w:pPr>
        <w:spacing w:before="240" w:after="60"/>
        <w:jc w:val="left"/>
        <w:outlineLvl w:val="2"/>
        <w:rPr>
          <w:rFonts w:eastAsia="黑体"/>
          <w:bCs/>
          <w:sz w:val="28"/>
          <w:szCs w:val="28"/>
        </w:rPr>
      </w:pPr>
      <w:r>
        <w:rPr>
          <w:rFonts w:eastAsia="黑体"/>
          <w:bCs/>
          <w:sz w:val="28"/>
          <w:szCs w:val="28"/>
        </w:rPr>
        <w:t>6.4.5 地下水环境现状评价</w:t>
      </w:r>
    </w:p>
    <w:p>
      <w:pPr>
        <w:adjustRightInd w:val="0"/>
        <w:snapToGrid w:val="0"/>
        <w:ind w:firstLine="960" w:firstLineChars="400"/>
        <w:jc w:val="left"/>
        <w:rPr>
          <w:kern w:val="0"/>
        </w:rPr>
      </w:pPr>
      <w:r>
        <w:rPr>
          <w:kern w:val="0"/>
        </w:rPr>
        <w:t>评价方法采用单项指数法和综合评价法评价地下水水质情况。</w:t>
      </w:r>
    </w:p>
    <w:p>
      <w:pPr>
        <w:adjustRightInd w:val="0"/>
        <w:snapToGrid w:val="0"/>
        <w:ind w:firstLine="480" w:firstLineChars="200"/>
        <w:jc w:val="left"/>
        <w:rPr>
          <w:kern w:val="0"/>
        </w:rPr>
      </w:pPr>
      <w:r>
        <w:rPr>
          <w:kern w:val="0"/>
        </w:rPr>
        <w:t>评价方法采用单因子评价法，具体如下：</w:t>
      </w:r>
    </w:p>
    <w:p>
      <w:pPr>
        <w:adjustRightInd w:val="0"/>
        <w:snapToGrid w:val="0"/>
        <w:ind w:firstLine="480" w:firstLineChars="200"/>
        <w:jc w:val="left"/>
        <w:rPr>
          <w:kern w:val="0"/>
        </w:rPr>
      </w:pPr>
      <w:r>
        <w:rPr>
          <w:kern w:val="0"/>
        </w:rPr>
        <w:t>（1）单因子i在j点的标准指标：</w:t>
      </w:r>
    </w:p>
    <w:p>
      <w:pPr>
        <w:adjustRightInd w:val="0"/>
        <w:snapToGrid w:val="0"/>
        <w:ind w:firstLine="1200" w:firstLineChars="500"/>
        <w:jc w:val="left"/>
        <w:rPr>
          <w:kern w:val="0"/>
        </w:rPr>
      </w:pPr>
      <w:r>
        <w:rPr>
          <w:kern w:val="0"/>
        </w:rPr>
        <w:t>S</w:t>
      </w:r>
      <w:r>
        <w:rPr>
          <w:kern w:val="0"/>
          <w:vertAlign w:val="subscript"/>
        </w:rPr>
        <w:t>ij</w:t>
      </w:r>
      <w:r>
        <w:rPr>
          <w:kern w:val="0"/>
        </w:rPr>
        <w:t>＝C</w:t>
      </w:r>
      <w:r>
        <w:rPr>
          <w:kern w:val="0"/>
          <w:vertAlign w:val="subscript"/>
        </w:rPr>
        <w:t>ij</w:t>
      </w:r>
      <w:r>
        <w:rPr>
          <w:kern w:val="0"/>
        </w:rPr>
        <w:t>／C</w:t>
      </w:r>
      <w:r>
        <w:rPr>
          <w:kern w:val="0"/>
          <w:vertAlign w:val="subscript"/>
        </w:rPr>
        <w:t>si</w:t>
      </w:r>
    </w:p>
    <w:p>
      <w:pPr>
        <w:adjustRightInd w:val="0"/>
        <w:snapToGrid w:val="0"/>
        <w:ind w:firstLine="480" w:firstLineChars="200"/>
        <w:jc w:val="left"/>
        <w:rPr>
          <w:kern w:val="0"/>
        </w:rPr>
      </w:pPr>
      <w:r>
        <w:rPr>
          <w:kern w:val="0"/>
        </w:rPr>
        <w:t>式中：S</w:t>
      </w:r>
      <w:r>
        <w:rPr>
          <w:kern w:val="0"/>
          <w:vertAlign w:val="subscript"/>
        </w:rPr>
        <w:t>ij</w:t>
      </w:r>
      <w:r>
        <w:rPr>
          <w:kern w:val="0"/>
        </w:rPr>
        <w:t>——单项评价因子i在j点的标准指数；</w:t>
      </w:r>
    </w:p>
    <w:p>
      <w:pPr>
        <w:adjustRightInd w:val="0"/>
        <w:snapToGrid w:val="0"/>
        <w:ind w:firstLine="480" w:firstLineChars="200"/>
        <w:jc w:val="left"/>
        <w:rPr>
          <w:kern w:val="0"/>
        </w:rPr>
      </w:pPr>
      <w:r>
        <w:rPr>
          <w:kern w:val="0"/>
        </w:rPr>
        <w:t xml:space="preserve">      C</w:t>
      </w:r>
      <w:r>
        <w:rPr>
          <w:kern w:val="0"/>
          <w:vertAlign w:val="subscript"/>
        </w:rPr>
        <w:t>ij</w:t>
      </w:r>
      <w:r>
        <w:rPr>
          <w:kern w:val="0"/>
        </w:rPr>
        <w:t>——污染物i在监测点j的浓度，mg/L；</w:t>
      </w:r>
    </w:p>
    <w:p>
      <w:pPr>
        <w:adjustRightInd w:val="0"/>
        <w:snapToGrid w:val="0"/>
        <w:ind w:firstLine="480" w:firstLineChars="200"/>
        <w:jc w:val="left"/>
        <w:rPr>
          <w:kern w:val="0"/>
        </w:rPr>
      </w:pPr>
      <w:r>
        <w:rPr>
          <w:kern w:val="0"/>
        </w:rPr>
        <w:t xml:space="preserve">      C</w:t>
      </w:r>
      <w:r>
        <w:rPr>
          <w:kern w:val="0"/>
          <w:vertAlign w:val="subscript"/>
        </w:rPr>
        <w:t>si</w:t>
      </w:r>
      <w:r>
        <w:rPr>
          <w:kern w:val="0"/>
        </w:rPr>
        <w:t>——参数i的水质标准，mg/L；</w:t>
      </w:r>
    </w:p>
    <w:p>
      <w:pPr>
        <w:adjustRightInd w:val="0"/>
        <w:snapToGrid w:val="0"/>
        <w:ind w:firstLine="480" w:firstLineChars="200"/>
        <w:jc w:val="left"/>
        <w:rPr>
          <w:kern w:val="0"/>
        </w:rPr>
      </w:pPr>
      <w:r>
        <w:rPr>
          <w:kern w:val="0"/>
        </w:rPr>
        <w:t>（2）pH值的标准指标：</w:t>
      </w:r>
    </w:p>
    <w:p>
      <w:pPr>
        <w:adjustRightInd w:val="0"/>
        <w:snapToGrid w:val="0"/>
        <w:ind w:firstLine="960" w:firstLineChars="400"/>
        <w:jc w:val="left"/>
        <w:rPr>
          <w:kern w:val="0"/>
        </w:rPr>
      </w:pPr>
      <w:r>
        <w:rPr>
          <w:kern w:val="0"/>
        </w:rPr>
        <w:object>
          <v:shape id="_x0000_i1030" o:spt="75" type="#_x0000_t75" style="height:36pt;width:93.35pt;" o:ole="t" filled="f" o:preferrelative="t" stroked="f" coordsize="21600,21600">
            <v:path/>
            <v:fill on="f" focussize="0,0"/>
            <v:stroke on="f" joinstyle="miter"/>
            <v:imagedata r:id="rId28" o:title=""/>
            <o:lock v:ext="edit" aspectratio="t"/>
            <w10:wrap type="none"/>
            <w10:anchorlock/>
          </v:shape>
          <o:OLEObject Type="Embed" ProgID="Equation.3" ShapeID="_x0000_i1030" DrawAspect="Content" ObjectID="_1468075730" r:id="rId27">
            <o:LockedField>false</o:LockedField>
          </o:OLEObject>
        </w:object>
      </w:r>
      <w:r>
        <w:rPr>
          <w:kern w:val="0"/>
        </w:rPr>
        <w:t xml:space="preserve">                       pH≤7.0</w:t>
      </w:r>
    </w:p>
    <w:p>
      <w:pPr>
        <w:adjustRightInd w:val="0"/>
        <w:snapToGrid w:val="0"/>
        <w:ind w:firstLine="720" w:firstLineChars="300"/>
        <w:jc w:val="left"/>
        <w:rPr>
          <w:kern w:val="0"/>
        </w:rPr>
      </w:pPr>
      <w:r>
        <w:rPr>
          <w:kern w:val="0"/>
        </w:rPr>
        <w:object>
          <v:shape id="_x0000_i1031" o:spt="75" type="#_x0000_t75" style="height:36pt;width:93.35pt;" o:ole="t" filled="f" o:preferrelative="t" stroked="f" coordsize="21600,21600">
            <v:path/>
            <v:fill on="f" focussize="0,0"/>
            <v:stroke on="f" joinstyle="miter"/>
            <v:imagedata r:id="rId30" o:title=""/>
            <o:lock v:ext="edit" aspectratio="t"/>
            <w10:wrap type="none"/>
            <w10:anchorlock/>
          </v:shape>
          <o:OLEObject Type="Embed" ProgID="Equation.3" ShapeID="_x0000_i1031" DrawAspect="Content" ObjectID="_1468075731" r:id="rId29">
            <o:LockedField>false</o:LockedField>
          </o:OLEObject>
        </w:object>
      </w:r>
      <w:r>
        <w:rPr>
          <w:kern w:val="0"/>
        </w:rPr>
        <w:t xml:space="preserve">                      pH＞7.0</w:t>
      </w:r>
    </w:p>
    <w:p>
      <w:pPr>
        <w:adjustRightInd w:val="0"/>
        <w:snapToGrid w:val="0"/>
        <w:ind w:firstLine="480" w:firstLineChars="200"/>
        <w:jc w:val="left"/>
        <w:rPr>
          <w:kern w:val="0"/>
        </w:rPr>
      </w:pPr>
      <w:r>
        <w:rPr>
          <w:kern w:val="0"/>
        </w:rPr>
        <w:t>式中：S</w:t>
      </w:r>
      <w:r>
        <w:rPr>
          <w:kern w:val="0"/>
          <w:vertAlign w:val="subscript"/>
        </w:rPr>
        <w:t>pH</w:t>
      </w:r>
      <w:r>
        <w:rPr>
          <w:kern w:val="0"/>
        </w:rPr>
        <w:t>，j——j点pH单项污染指数；</w:t>
      </w:r>
    </w:p>
    <w:p>
      <w:pPr>
        <w:adjustRightInd w:val="0"/>
        <w:snapToGrid w:val="0"/>
        <w:ind w:firstLine="1200" w:firstLineChars="500"/>
        <w:jc w:val="left"/>
        <w:rPr>
          <w:kern w:val="0"/>
        </w:rPr>
      </w:pPr>
      <w:r>
        <w:rPr>
          <w:kern w:val="0"/>
        </w:rPr>
        <w:t>pH</w:t>
      </w:r>
      <w:r>
        <w:rPr>
          <w:kern w:val="0"/>
          <w:vertAlign w:val="subscript"/>
        </w:rPr>
        <w:t>su</w:t>
      </w:r>
      <w:r>
        <w:rPr>
          <w:kern w:val="0"/>
        </w:rPr>
        <w:t>——评价标准上限；</w:t>
      </w:r>
    </w:p>
    <w:p>
      <w:pPr>
        <w:adjustRightInd w:val="0"/>
        <w:snapToGrid w:val="0"/>
        <w:ind w:firstLine="1200" w:firstLineChars="500"/>
        <w:jc w:val="left"/>
        <w:rPr>
          <w:kern w:val="0"/>
        </w:rPr>
      </w:pPr>
      <w:r>
        <w:rPr>
          <w:kern w:val="0"/>
        </w:rPr>
        <w:t>pH</w:t>
      </w:r>
      <w:r>
        <w:rPr>
          <w:kern w:val="0"/>
          <w:vertAlign w:val="subscript"/>
        </w:rPr>
        <w:t>sd</w:t>
      </w:r>
      <w:r>
        <w:rPr>
          <w:kern w:val="0"/>
        </w:rPr>
        <w:t>—— 评价标准下限。</w:t>
      </w:r>
    </w:p>
    <w:p>
      <w:pPr>
        <w:adjustRightInd w:val="0"/>
        <w:snapToGrid w:val="0"/>
        <w:ind w:firstLine="480" w:firstLineChars="200"/>
        <w:jc w:val="left"/>
        <w:rPr>
          <w:kern w:val="0"/>
        </w:rPr>
      </w:pPr>
      <w:r>
        <w:rPr>
          <w:kern w:val="0"/>
        </w:rPr>
        <w:t>计算所得指数＞1时，表明该水质参数超过了规定的标准，说明水体已受到水质参数所表征的污染物污染，指数越大，污染程度越重。</w:t>
      </w:r>
    </w:p>
    <w:p>
      <w:pPr>
        <w:adjustRightInd w:val="0"/>
        <w:snapToGrid w:val="0"/>
        <w:ind w:firstLine="480" w:firstLineChars="200"/>
        <w:jc w:val="left"/>
        <w:rPr>
          <w:kern w:val="0"/>
        </w:rPr>
      </w:pPr>
      <w:r>
        <w:rPr>
          <w:kern w:val="0"/>
        </w:rPr>
        <w:t xml:space="preserve">  Ii≤1第i项检测项目达标，Ii&gt;1表明第i项检测项目超标。</w:t>
      </w:r>
    </w:p>
    <w:p>
      <w:pPr>
        <w:spacing w:before="240" w:after="60"/>
        <w:jc w:val="left"/>
        <w:outlineLvl w:val="2"/>
        <w:rPr>
          <w:rFonts w:eastAsia="黑体"/>
          <w:bCs/>
          <w:sz w:val="28"/>
          <w:szCs w:val="28"/>
        </w:rPr>
      </w:pPr>
      <w:r>
        <w:rPr>
          <w:rFonts w:eastAsia="黑体"/>
          <w:bCs/>
          <w:sz w:val="28"/>
          <w:szCs w:val="28"/>
        </w:rPr>
        <w:t>6.4.6 评价结果</w:t>
      </w:r>
    </w:p>
    <w:p>
      <w:pPr>
        <w:pStyle w:val="2500"/>
        <w:widowControl/>
        <w:snapToGrid w:val="0"/>
        <w:spacing w:line="360" w:lineRule="auto"/>
        <w:ind w:left="420" w:firstLine="0" w:firstLineChars="0"/>
        <w:rPr>
          <w:rFonts w:ascii="Times New Roman" w:hAnsi="Times New Roman"/>
          <w:spacing w:val="4"/>
          <w:kern w:val="0"/>
          <w:sz w:val="24"/>
          <w:szCs w:val="24"/>
        </w:rPr>
      </w:pPr>
      <w:r>
        <w:rPr>
          <w:rFonts w:ascii="Times New Roman" w:hAnsi="Times New Roman"/>
          <w:spacing w:val="4"/>
          <w:kern w:val="0"/>
          <w:sz w:val="24"/>
          <w:szCs w:val="24"/>
        </w:rPr>
        <w:t>本项目地下水水质现状评价结果见表6.4-3。</w:t>
      </w:r>
    </w:p>
    <w:p>
      <w:pPr>
        <w:spacing w:line="240" w:lineRule="auto"/>
        <w:jc w:val="center"/>
        <w:rPr>
          <w:rFonts w:eastAsia="黑体"/>
        </w:rPr>
      </w:pPr>
      <w:r>
        <w:rPr>
          <w:rFonts w:eastAsia="黑体"/>
        </w:rPr>
        <w:t>表6.4-3  地表水水质现状评价结果</w:t>
      </w:r>
    </w:p>
    <w:tbl>
      <w:tblPr>
        <w:tblStyle w:val="88"/>
        <w:tblW w:w="5286" w:type="pct"/>
        <w:jc w:val="center"/>
        <w:tblLayout w:type="fixed"/>
        <w:tblCellMar>
          <w:top w:w="0" w:type="dxa"/>
          <w:left w:w="0" w:type="dxa"/>
          <w:bottom w:w="0" w:type="dxa"/>
          <w:right w:w="0" w:type="dxa"/>
        </w:tblCellMar>
      </w:tblPr>
      <w:tblGrid>
        <w:gridCol w:w="451"/>
        <w:gridCol w:w="506"/>
        <w:gridCol w:w="560"/>
        <w:gridCol w:w="326"/>
        <w:gridCol w:w="567"/>
        <w:gridCol w:w="425"/>
        <w:gridCol w:w="426"/>
        <w:gridCol w:w="567"/>
        <w:gridCol w:w="708"/>
        <w:gridCol w:w="426"/>
        <w:gridCol w:w="567"/>
        <w:gridCol w:w="425"/>
        <w:gridCol w:w="567"/>
        <w:gridCol w:w="567"/>
        <w:gridCol w:w="567"/>
        <w:gridCol w:w="567"/>
        <w:gridCol w:w="567"/>
      </w:tblGrid>
      <w:tr>
        <w:tblPrEx>
          <w:tblCellMar>
            <w:top w:w="0" w:type="dxa"/>
            <w:left w:w="0" w:type="dxa"/>
            <w:bottom w:w="0" w:type="dxa"/>
            <w:right w:w="0" w:type="dxa"/>
          </w:tblCellMar>
        </w:tblPrEx>
        <w:trPr>
          <w:trHeight w:val="20" w:hRule="atLeast"/>
          <w:jc w:val="center"/>
        </w:trPr>
        <w:tc>
          <w:tcPr>
            <w:tcW w:w="451" w:type="dxa"/>
            <w:vMerge w:val="restart"/>
            <w:tcBorders>
              <w:top w:val="single" w:color="000000" w:sz="12" w:space="0"/>
              <w:bottom w:val="single" w:color="000000" w:sz="6" w:space="0"/>
              <w:right w:val="single" w:color="000000" w:sz="6" w:space="0"/>
            </w:tcBorders>
            <w:vAlign w:val="center"/>
          </w:tcPr>
          <w:p>
            <w:pPr>
              <w:widowControl/>
              <w:spacing w:line="240" w:lineRule="auto"/>
              <w:jc w:val="center"/>
              <w:rPr>
                <w:kern w:val="0"/>
                <w:sz w:val="21"/>
                <w:szCs w:val="21"/>
              </w:rPr>
            </w:pPr>
            <w:r>
              <w:rPr>
                <w:kern w:val="0"/>
                <w:sz w:val="21"/>
                <w:szCs w:val="21"/>
              </w:rPr>
              <w:t>监测断面</w:t>
            </w:r>
          </w:p>
        </w:tc>
        <w:tc>
          <w:tcPr>
            <w:tcW w:w="8338" w:type="dxa"/>
            <w:gridSpan w:val="16"/>
            <w:tcBorders>
              <w:top w:val="single" w:color="000000" w:sz="12" w:space="0"/>
              <w:left w:val="single" w:color="000000" w:sz="6" w:space="0"/>
              <w:bottom w:val="single" w:color="000000" w:sz="6" w:space="0"/>
            </w:tcBorders>
            <w:vAlign w:val="center"/>
          </w:tcPr>
          <w:p>
            <w:pPr>
              <w:widowControl/>
              <w:spacing w:line="240" w:lineRule="auto"/>
              <w:ind w:left="165"/>
              <w:jc w:val="center"/>
              <w:rPr>
                <w:kern w:val="0"/>
                <w:sz w:val="21"/>
                <w:szCs w:val="21"/>
              </w:rPr>
            </w:pPr>
            <w:r>
              <w:rPr>
                <w:kern w:val="0"/>
                <w:sz w:val="21"/>
                <w:szCs w:val="21"/>
              </w:rPr>
              <w:t>评  价  结  果</w:t>
            </w:r>
          </w:p>
        </w:tc>
      </w:tr>
      <w:tr>
        <w:tblPrEx>
          <w:tblCellMar>
            <w:top w:w="0" w:type="dxa"/>
            <w:left w:w="0" w:type="dxa"/>
            <w:bottom w:w="0" w:type="dxa"/>
            <w:right w:w="0" w:type="dxa"/>
          </w:tblCellMar>
        </w:tblPrEx>
        <w:trPr>
          <w:trHeight w:val="20" w:hRule="atLeast"/>
          <w:jc w:val="center"/>
        </w:trPr>
        <w:tc>
          <w:tcPr>
            <w:tcW w:w="451" w:type="dxa"/>
            <w:vMerge w:val="continue"/>
            <w:tcBorders>
              <w:top w:val="single" w:color="000000" w:sz="12" w:space="0"/>
              <w:bottom w:val="single" w:color="000000" w:sz="6" w:space="0"/>
              <w:right w:val="single" w:color="000000" w:sz="6" w:space="0"/>
            </w:tcBorders>
            <w:vAlign w:val="center"/>
          </w:tcPr>
          <w:p>
            <w:pPr>
              <w:widowControl/>
              <w:spacing w:line="240" w:lineRule="auto"/>
              <w:jc w:val="left"/>
              <w:rPr>
                <w:kern w:val="0"/>
                <w:sz w:val="21"/>
                <w:szCs w:val="21"/>
              </w:rPr>
            </w:pPr>
          </w:p>
        </w:tc>
        <w:tc>
          <w:tcPr>
            <w:tcW w:w="50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pH</w:t>
            </w:r>
          </w:p>
        </w:tc>
        <w:tc>
          <w:tcPr>
            <w:tcW w:w="560"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rFonts w:hint="eastAsia"/>
                <w:kern w:val="0"/>
                <w:sz w:val="21"/>
                <w:szCs w:val="21"/>
              </w:rPr>
              <w:t>氨氮</w:t>
            </w:r>
          </w:p>
        </w:tc>
        <w:tc>
          <w:tcPr>
            <w:tcW w:w="32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rFonts w:hint="eastAsia"/>
                <w:kern w:val="0"/>
                <w:sz w:val="21"/>
                <w:szCs w:val="21"/>
              </w:rPr>
              <w:t>钾</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钠</w:t>
            </w:r>
          </w:p>
        </w:tc>
        <w:tc>
          <w:tcPr>
            <w:tcW w:w="425"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Ca</w:t>
            </w:r>
            <w:r>
              <w:rPr>
                <w:rFonts w:hint="eastAsia"/>
                <w:kern w:val="0"/>
                <w:sz w:val="21"/>
                <w:szCs w:val="21"/>
                <w:vertAlign w:val="superscript"/>
              </w:rPr>
              <w:t>+</w:t>
            </w:r>
          </w:p>
        </w:tc>
        <w:tc>
          <w:tcPr>
            <w:tcW w:w="426"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Mg</w:t>
            </w:r>
            <w:r>
              <w:rPr>
                <w:rFonts w:hint="eastAsia"/>
                <w:kern w:val="0"/>
                <w:sz w:val="21"/>
                <w:szCs w:val="21"/>
                <w:vertAlign w:val="superscript"/>
              </w:rPr>
              <w:t>+</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CO</w:t>
            </w:r>
            <w:r>
              <w:rPr>
                <w:rFonts w:hint="eastAsia"/>
                <w:kern w:val="0"/>
                <w:sz w:val="21"/>
                <w:szCs w:val="21"/>
                <w:vertAlign w:val="subscript"/>
              </w:rPr>
              <w:t>3</w:t>
            </w:r>
            <w:r>
              <w:rPr>
                <w:kern w:val="0"/>
                <w:sz w:val="21"/>
                <w:szCs w:val="21"/>
                <w:vertAlign w:val="superscript"/>
              </w:rPr>
              <w:t>2-</w:t>
            </w:r>
          </w:p>
        </w:tc>
        <w:tc>
          <w:tcPr>
            <w:tcW w:w="708"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HCO</w:t>
            </w:r>
            <w:r>
              <w:rPr>
                <w:rFonts w:hint="eastAsia"/>
                <w:kern w:val="0"/>
                <w:sz w:val="21"/>
                <w:szCs w:val="21"/>
                <w:vertAlign w:val="subscript"/>
              </w:rPr>
              <w:t>3</w:t>
            </w:r>
            <w:r>
              <w:rPr>
                <w:kern w:val="0"/>
                <w:sz w:val="21"/>
                <w:szCs w:val="21"/>
                <w:vertAlign w:val="superscript"/>
              </w:rPr>
              <w:t>-</w:t>
            </w:r>
          </w:p>
        </w:tc>
        <w:tc>
          <w:tcPr>
            <w:tcW w:w="426"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C</w:t>
            </w:r>
            <w:r>
              <w:rPr>
                <w:kern w:val="0"/>
                <w:sz w:val="21"/>
                <w:szCs w:val="21"/>
              </w:rPr>
              <w:t>l</w:t>
            </w:r>
            <w:r>
              <w:rPr>
                <w:kern w:val="0"/>
                <w:sz w:val="21"/>
                <w:szCs w:val="21"/>
                <w:vertAlign w:val="superscript"/>
              </w:rPr>
              <w:t>-</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SO</w:t>
            </w:r>
            <w:r>
              <w:rPr>
                <w:rFonts w:hint="eastAsia"/>
                <w:kern w:val="0"/>
                <w:sz w:val="21"/>
                <w:szCs w:val="21"/>
                <w:vertAlign w:val="subscript"/>
              </w:rPr>
              <w:t>4</w:t>
            </w:r>
            <w:r>
              <w:rPr>
                <w:rFonts w:hint="eastAsia"/>
                <w:kern w:val="0"/>
                <w:sz w:val="21"/>
                <w:szCs w:val="21"/>
                <w:vertAlign w:val="superscript"/>
              </w:rPr>
              <w:t>2</w:t>
            </w:r>
            <w:r>
              <w:rPr>
                <w:kern w:val="0"/>
                <w:sz w:val="21"/>
                <w:szCs w:val="21"/>
                <w:vertAlign w:val="superscript"/>
              </w:rPr>
              <w:t>-</w:t>
            </w:r>
          </w:p>
        </w:tc>
        <w:tc>
          <w:tcPr>
            <w:tcW w:w="425"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耗氧量</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硝酸盐</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硫酸盐</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溶解性</w:t>
            </w:r>
            <w:r>
              <w:rPr>
                <w:sz w:val="21"/>
                <w:szCs w:val="21"/>
              </w:rPr>
              <w:t>总固体</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sz w:val="21"/>
                <w:szCs w:val="21"/>
              </w:rPr>
              <w:t>总大肠菌群</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sz w:val="21"/>
                <w:szCs w:val="21"/>
              </w:rPr>
              <w:t>细菌</w:t>
            </w:r>
            <w:r>
              <w:rPr>
                <w:rFonts w:hint="eastAsia"/>
                <w:sz w:val="21"/>
                <w:szCs w:val="21"/>
              </w:rPr>
              <w:t>总数</w:t>
            </w:r>
          </w:p>
        </w:tc>
      </w:tr>
      <w:tr>
        <w:tblPrEx>
          <w:tblCellMar>
            <w:top w:w="0" w:type="dxa"/>
            <w:left w:w="0" w:type="dxa"/>
            <w:bottom w:w="0" w:type="dxa"/>
            <w:right w:w="0" w:type="dxa"/>
          </w:tblCellMar>
        </w:tblPrEx>
        <w:trPr>
          <w:trHeight w:val="84" w:hRule="atLeast"/>
          <w:jc w:val="center"/>
        </w:trPr>
        <w:tc>
          <w:tcPr>
            <w:tcW w:w="451" w:type="dxa"/>
            <w:tcBorders>
              <w:top w:val="single" w:color="000000" w:sz="6" w:space="0"/>
              <w:bottom w:val="single" w:color="000000" w:sz="6" w:space="0"/>
              <w:right w:val="single" w:color="000000" w:sz="6" w:space="0"/>
            </w:tcBorders>
            <w:vAlign w:val="center"/>
          </w:tcPr>
          <w:p>
            <w:pPr>
              <w:widowControl/>
              <w:spacing w:line="240" w:lineRule="auto"/>
              <w:jc w:val="center"/>
              <w:rPr>
                <w:spacing w:val="4"/>
                <w:kern w:val="0"/>
                <w:sz w:val="21"/>
                <w:szCs w:val="21"/>
              </w:rPr>
            </w:pPr>
            <w:r>
              <w:rPr>
                <w:spacing w:val="4"/>
                <w:kern w:val="0"/>
                <w:sz w:val="21"/>
                <w:szCs w:val="21"/>
              </w:rPr>
              <w:t>D1</w:t>
            </w:r>
          </w:p>
        </w:tc>
        <w:tc>
          <w:tcPr>
            <w:tcW w:w="50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0.02-0.03</w:t>
            </w:r>
          </w:p>
        </w:tc>
        <w:tc>
          <w:tcPr>
            <w:tcW w:w="560"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0.67-0.68</w:t>
            </w:r>
          </w:p>
        </w:tc>
        <w:tc>
          <w:tcPr>
            <w:tcW w:w="326" w:type="dxa"/>
            <w:tcBorders>
              <w:top w:val="single" w:color="000000" w:sz="6" w:space="0"/>
              <w:left w:val="single" w:color="000000" w:sz="6" w:space="0"/>
              <w:bottom w:val="single" w:color="000000" w:sz="6"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kern w:val="0"/>
                <w:sz w:val="21"/>
                <w:szCs w:val="21"/>
              </w:rPr>
              <w:t>0.198-0.260</w:t>
            </w:r>
          </w:p>
        </w:tc>
        <w:tc>
          <w:tcPr>
            <w:tcW w:w="425"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w:t>
            </w:r>
          </w:p>
        </w:tc>
        <w:tc>
          <w:tcPr>
            <w:tcW w:w="426"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w:t>
            </w:r>
          </w:p>
        </w:tc>
        <w:tc>
          <w:tcPr>
            <w:tcW w:w="708"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w:t>
            </w:r>
          </w:p>
        </w:tc>
        <w:tc>
          <w:tcPr>
            <w:tcW w:w="426"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w:t>
            </w:r>
            <w:r>
              <w:rPr>
                <w:kern w:val="0"/>
                <w:sz w:val="21"/>
                <w:szCs w:val="21"/>
              </w:rPr>
              <w:t>14</w:t>
            </w:r>
            <w:r>
              <w:rPr>
                <w:rFonts w:hint="eastAsia"/>
                <w:kern w:val="0"/>
                <w:sz w:val="21"/>
                <w:szCs w:val="21"/>
              </w:rPr>
              <w:t>-0.</w:t>
            </w:r>
            <w:r>
              <w:rPr>
                <w:kern w:val="0"/>
                <w:sz w:val="21"/>
                <w:szCs w:val="21"/>
              </w:rPr>
              <w:t>15</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0.44-0.45</w:t>
            </w:r>
          </w:p>
        </w:tc>
        <w:tc>
          <w:tcPr>
            <w:tcW w:w="425"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0.8-</w:t>
            </w:r>
            <w:r>
              <w:rPr>
                <w:kern w:val="0"/>
                <w:sz w:val="21"/>
                <w:szCs w:val="21"/>
              </w:rPr>
              <w:t>0.87</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0.128-0.131</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0.436-0.452</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0.125-0.26</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0.67</w:t>
            </w:r>
          </w:p>
        </w:tc>
        <w:tc>
          <w:tcPr>
            <w:tcW w:w="567" w:type="dxa"/>
            <w:tcBorders>
              <w:top w:val="single" w:color="000000" w:sz="6" w:space="0"/>
              <w:left w:val="single" w:color="000000" w:sz="6" w:space="0"/>
              <w:bottom w:val="single" w:color="000000" w:sz="6" w:space="0"/>
            </w:tcBorders>
            <w:vAlign w:val="center"/>
          </w:tcPr>
          <w:p>
            <w:pPr>
              <w:widowControl/>
              <w:spacing w:line="240" w:lineRule="auto"/>
              <w:jc w:val="center"/>
              <w:rPr>
                <w:kern w:val="0"/>
                <w:sz w:val="21"/>
                <w:szCs w:val="21"/>
              </w:rPr>
            </w:pPr>
            <w:r>
              <w:rPr>
                <w:rFonts w:hint="eastAsia"/>
                <w:kern w:val="0"/>
                <w:sz w:val="21"/>
                <w:szCs w:val="21"/>
              </w:rPr>
              <w:t>0.75-0.8</w:t>
            </w:r>
          </w:p>
        </w:tc>
      </w:tr>
      <w:tr>
        <w:tblPrEx>
          <w:tblCellMar>
            <w:top w:w="0" w:type="dxa"/>
            <w:left w:w="0" w:type="dxa"/>
            <w:bottom w:w="0" w:type="dxa"/>
            <w:right w:w="0" w:type="dxa"/>
          </w:tblCellMar>
        </w:tblPrEx>
        <w:trPr>
          <w:trHeight w:val="84" w:hRule="atLeast"/>
          <w:jc w:val="center"/>
        </w:trPr>
        <w:tc>
          <w:tcPr>
            <w:tcW w:w="451" w:type="dxa"/>
            <w:tcBorders>
              <w:top w:val="single" w:color="000000" w:sz="6" w:space="0"/>
              <w:bottom w:val="single" w:color="000000" w:sz="12" w:space="0"/>
              <w:right w:val="single" w:color="000000" w:sz="6" w:space="0"/>
            </w:tcBorders>
            <w:vAlign w:val="center"/>
          </w:tcPr>
          <w:p>
            <w:pPr>
              <w:widowControl/>
              <w:spacing w:line="240" w:lineRule="auto"/>
              <w:jc w:val="center"/>
              <w:rPr>
                <w:sz w:val="21"/>
                <w:szCs w:val="21"/>
              </w:rPr>
            </w:pPr>
            <w:r>
              <w:rPr>
                <w:spacing w:val="4"/>
                <w:kern w:val="0"/>
                <w:sz w:val="21"/>
                <w:szCs w:val="21"/>
              </w:rPr>
              <w:t>D2</w:t>
            </w:r>
          </w:p>
        </w:tc>
        <w:tc>
          <w:tcPr>
            <w:tcW w:w="506"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0.07-0.09</w:t>
            </w:r>
          </w:p>
        </w:tc>
        <w:tc>
          <w:tcPr>
            <w:tcW w:w="560"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uto"/>
              <w:jc w:val="center"/>
              <w:rPr>
                <w:kern w:val="0"/>
                <w:sz w:val="21"/>
                <w:szCs w:val="21"/>
              </w:rPr>
            </w:pPr>
            <w:r>
              <w:rPr>
                <w:kern w:val="0"/>
                <w:sz w:val="21"/>
                <w:szCs w:val="21"/>
              </w:rPr>
              <w:t>0.264-0.286</w:t>
            </w:r>
          </w:p>
        </w:tc>
        <w:tc>
          <w:tcPr>
            <w:tcW w:w="326" w:type="dxa"/>
            <w:tcBorders>
              <w:top w:val="single" w:color="000000" w:sz="6" w:space="0"/>
              <w:left w:val="single" w:color="000000" w:sz="6" w:space="0"/>
              <w:bottom w:val="single" w:color="000000" w:sz="12" w:space="0"/>
              <w:right w:val="single" w:color="000000" w:sz="6" w:space="0"/>
            </w:tcBorders>
            <w:tcMar>
              <w:top w:w="15" w:type="dxa"/>
              <w:left w:w="15" w:type="dxa"/>
              <w:bottom w:w="0" w:type="dxa"/>
              <w:right w:w="15" w:type="dxa"/>
            </w:tcMar>
            <w:vAlign w:val="center"/>
          </w:tcPr>
          <w:p>
            <w:pPr>
              <w:widowControl/>
              <w:spacing w:line="240" w:lineRule="auto"/>
              <w:jc w:val="center"/>
              <w:rPr>
                <w:bCs/>
                <w:kern w:val="0"/>
                <w:sz w:val="21"/>
                <w:szCs w:val="21"/>
              </w:rPr>
            </w:pPr>
            <w:r>
              <w:rPr>
                <w:bCs/>
                <w:kern w:val="0"/>
                <w:sz w:val="21"/>
                <w:szCs w:val="21"/>
              </w:rPr>
              <w:t>/</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kern w:val="0"/>
                <w:sz w:val="21"/>
                <w:szCs w:val="21"/>
              </w:rPr>
              <w:t>0.231-0.261</w:t>
            </w:r>
          </w:p>
        </w:tc>
        <w:tc>
          <w:tcPr>
            <w:tcW w:w="425"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kern w:val="0"/>
                <w:sz w:val="21"/>
                <w:szCs w:val="21"/>
              </w:rPr>
              <w:t>/</w:t>
            </w:r>
          </w:p>
        </w:tc>
        <w:tc>
          <w:tcPr>
            <w:tcW w:w="426"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w:t>
            </w:r>
          </w:p>
        </w:tc>
        <w:tc>
          <w:tcPr>
            <w:tcW w:w="708"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w:t>
            </w:r>
          </w:p>
        </w:tc>
        <w:tc>
          <w:tcPr>
            <w:tcW w:w="426"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0.29-0.30</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0.60-</w:t>
            </w:r>
            <w:r>
              <w:rPr>
                <w:kern w:val="0"/>
                <w:sz w:val="21"/>
                <w:szCs w:val="21"/>
              </w:rPr>
              <w:t>0.61</w:t>
            </w:r>
          </w:p>
        </w:tc>
        <w:tc>
          <w:tcPr>
            <w:tcW w:w="425"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0.73-0.8</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0.26-0.28</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0.596-0.604</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0.147-0.151</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0.67</w:t>
            </w:r>
          </w:p>
        </w:tc>
        <w:tc>
          <w:tcPr>
            <w:tcW w:w="567" w:type="dxa"/>
            <w:tcBorders>
              <w:top w:val="single" w:color="000000" w:sz="6" w:space="0"/>
              <w:left w:val="single" w:color="000000" w:sz="6" w:space="0"/>
              <w:bottom w:val="single" w:color="000000" w:sz="12" w:space="0"/>
            </w:tcBorders>
            <w:vAlign w:val="center"/>
          </w:tcPr>
          <w:p>
            <w:pPr>
              <w:widowControl/>
              <w:spacing w:line="240" w:lineRule="auto"/>
              <w:jc w:val="center"/>
              <w:rPr>
                <w:kern w:val="0"/>
                <w:sz w:val="21"/>
                <w:szCs w:val="21"/>
              </w:rPr>
            </w:pPr>
            <w:r>
              <w:rPr>
                <w:rFonts w:hint="eastAsia"/>
                <w:kern w:val="0"/>
                <w:sz w:val="21"/>
                <w:szCs w:val="21"/>
              </w:rPr>
              <w:t>0.76-0.84</w:t>
            </w:r>
          </w:p>
        </w:tc>
      </w:tr>
    </w:tbl>
    <w:p>
      <w:pPr>
        <w:pStyle w:val="970"/>
        <w:snapToGrid w:val="0"/>
        <w:spacing w:before="120" w:after="60"/>
        <w:ind w:firstLine="480" w:firstLineChars="200"/>
      </w:pPr>
      <w:r>
        <w:rPr>
          <w:szCs w:val="24"/>
        </w:rPr>
        <w:t>根据上表评价结果可知，地下水各采样点的各项监测因子均满足</w:t>
      </w:r>
      <w:r>
        <w:t>《地下水质量标准》（GB/T 14848-2017）Ⅲ类标准要求。</w:t>
      </w:r>
      <w:bookmarkStart w:id="695" w:name="_Toc440541301"/>
      <w:bookmarkStart w:id="696" w:name="_Toc411411838"/>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697" w:name="_Toc29110599"/>
      <w:r>
        <w:rPr>
          <w:rFonts w:hint="eastAsia" w:ascii="Times New Roman" w:hAnsi="Times New Roman" w:eastAsia="黑体" w:cs="Times New Roman"/>
          <w:b w:val="0"/>
          <w:bCs/>
          <w:spacing w:val="4"/>
          <w:kern w:val="2"/>
          <w:sz w:val="32"/>
          <w:szCs w:val="32"/>
        </w:rPr>
        <w:t>6</w:t>
      </w:r>
      <w:r>
        <w:rPr>
          <w:rFonts w:ascii="Times New Roman" w:hAnsi="Times New Roman" w:eastAsia="黑体" w:cs="Times New Roman"/>
          <w:b w:val="0"/>
          <w:bCs/>
          <w:spacing w:val="4"/>
          <w:kern w:val="2"/>
          <w:sz w:val="32"/>
          <w:szCs w:val="32"/>
        </w:rPr>
        <w:t>.</w:t>
      </w:r>
      <w:r>
        <w:rPr>
          <w:rFonts w:hint="eastAsia" w:ascii="Times New Roman" w:hAnsi="Times New Roman" w:eastAsia="黑体" w:cs="Times New Roman"/>
          <w:b w:val="0"/>
          <w:bCs/>
          <w:spacing w:val="4"/>
          <w:kern w:val="2"/>
          <w:sz w:val="32"/>
          <w:szCs w:val="32"/>
        </w:rPr>
        <w:t>5土壤</w:t>
      </w:r>
      <w:r>
        <w:rPr>
          <w:rFonts w:ascii="Times New Roman" w:hAnsi="Times New Roman" w:eastAsia="黑体" w:cs="Times New Roman"/>
          <w:b w:val="0"/>
          <w:bCs/>
          <w:spacing w:val="4"/>
          <w:kern w:val="2"/>
          <w:sz w:val="32"/>
          <w:szCs w:val="32"/>
        </w:rPr>
        <w:t>环境质量现状监测及评价</w:t>
      </w:r>
      <w:bookmarkEnd w:id="697"/>
    </w:p>
    <w:p>
      <w:pPr>
        <w:spacing w:before="240" w:after="60"/>
        <w:jc w:val="left"/>
        <w:outlineLvl w:val="2"/>
        <w:rPr>
          <w:rFonts w:eastAsia="黑体"/>
          <w:bCs/>
          <w:sz w:val="28"/>
          <w:szCs w:val="28"/>
        </w:rPr>
      </w:pPr>
      <w:r>
        <w:rPr>
          <w:rFonts w:eastAsia="黑体"/>
          <w:bCs/>
          <w:sz w:val="28"/>
          <w:szCs w:val="28"/>
        </w:rPr>
        <w:t>6.</w:t>
      </w:r>
      <w:r>
        <w:rPr>
          <w:rFonts w:hint="eastAsia" w:eastAsia="黑体"/>
          <w:bCs/>
          <w:sz w:val="28"/>
          <w:szCs w:val="28"/>
        </w:rPr>
        <w:t>5</w:t>
      </w:r>
      <w:r>
        <w:rPr>
          <w:rFonts w:eastAsia="黑体"/>
          <w:bCs/>
          <w:sz w:val="28"/>
          <w:szCs w:val="28"/>
        </w:rPr>
        <w:t>.1 监测点位</w:t>
      </w:r>
    </w:p>
    <w:p>
      <w:pPr>
        <w:adjustRightInd w:val="0"/>
        <w:snapToGrid w:val="0"/>
        <w:ind w:firstLine="480" w:firstLineChars="200"/>
        <w:jc w:val="left"/>
        <w:rPr>
          <w:kern w:val="0"/>
        </w:rPr>
      </w:pPr>
      <w:r>
        <w:t>本项目在评价范围内共布设3个监测点，具体位置参见表</w:t>
      </w:r>
      <w:r>
        <w:rPr>
          <w:rFonts w:hint="eastAsia"/>
          <w:kern w:val="0"/>
        </w:rPr>
        <w:t>6</w:t>
      </w:r>
      <w:r>
        <w:rPr>
          <w:kern w:val="0"/>
        </w:rPr>
        <w:t>.</w:t>
      </w:r>
      <w:r>
        <w:rPr>
          <w:rFonts w:hint="eastAsia"/>
          <w:kern w:val="0"/>
        </w:rPr>
        <w:t>4</w:t>
      </w:r>
      <w:r>
        <w:rPr>
          <w:kern w:val="0"/>
        </w:rPr>
        <w:t>-1所示。</w:t>
      </w:r>
    </w:p>
    <w:p>
      <w:pPr>
        <w:spacing w:line="240" w:lineRule="auto"/>
        <w:jc w:val="center"/>
        <w:rPr>
          <w:rFonts w:eastAsia="黑体"/>
        </w:rPr>
      </w:pPr>
      <w:r>
        <w:rPr>
          <w:rFonts w:eastAsia="黑体"/>
        </w:rPr>
        <w:t>表6.</w:t>
      </w:r>
      <w:r>
        <w:rPr>
          <w:rFonts w:hint="eastAsia" w:eastAsia="黑体"/>
        </w:rPr>
        <w:t>5</w:t>
      </w:r>
      <w:r>
        <w:rPr>
          <w:rFonts w:eastAsia="黑体"/>
        </w:rPr>
        <w:t xml:space="preserve">-1   </w:t>
      </w:r>
      <w:r>
        <w:rPr>
          <w:rFonts w:hint="eastAsia" w:eastAsia="黑体"/>
        </w:rPr>
        <w:t>土壤</w:t>
      </w:r>
      <w:r>
        <w:rPr>
          <w:rFonts w:eastAsia="黑体"/>
        </w:rPr>
        <w:t>监测布点一览表</w:t>
      </w:r>
    </w:p>
    <w:tbl>
      <w:tblPr>
        <w:tblStyle w:val="8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2011"/>
        <w:gridCol w:w="45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tcBorders>
              <w:tl2br w:val="nil"/>
              <w:tr2bl w:val="nil"/>
            </w:tcBorders>
            <w:vAlign w:val="center"/>
          </w:tcPr>
          <w:p>
            <w:pPr>
              <w:spacing w:line="240" w:lineRule="auto"/>
              <w:jc w:val="center"/>
              <w:rPr>
                <w:b/>
                <w:bCs/>
                <w:sz w:val="21"/>
                <w:szCs w:val="21"/>
              </w:rPr>
            </w:pPr>
            <w:r>
              <w:rPr>
                <w:b/>
                <w:bCs/>
                <w:sz w:val="21"/>
                <w:szCs w:val="21"/>
              </w:rPr>
              <w:t>监测类别</w:t>
            </w:r>
          </w:p>
        </w:tc>
        <w:tc>
          <w:tcPr>
            <w:tcW w:w="2011" w:type="dxa"/>
            <w:tcBorders>
              <w:tl2br w:val="nil"/>
              <w:tr2bl w:val="nil"/>
            </w:tcBorders>
            <w:vAlign w:val="center"/>
          </w:tcPr>
          <w:p>
            <w:pPr>
              <w:spacing w:line="240" w:lineRule="auto"/>
              <w:jc w:val="center"/>
              <w:rPr>
                <w:b/>
                <w:bCs/>
                <w:sz w:val="21"/>
                <w:szCs w:val="21"/>
              </w:rPr>
            </w:pPr>
            <w:r>
              <w:rPr>
                <w:b/>
                <w:bCs/>
                <w:sz w:val="21"/>
                <w:szCs w:val="21"/>
              </w:rPr>
              <w:t>监测点位编号</w:t>
            </w:r>
          </w:p>
        </w:tc>
        <w:tc>
          <w:tcPr>
            <w:tcW w:w="4588" w:type="dxa"/>
            <w:tcBorders>
              <w:tl2br w:val="nil"/>
              <w:tr2bl w:val="nil"/>
            </w:tcBorders>
            <w:vAlign w:val="center"/>
          </w:tcPr>
          <w:p>
            <w:pPr>
              <w:spacing w:line="240" w:lineRule="auto"/>
              <w:ind w:right="38" w:rightChars="16"/>
              <w:jc w:val="center"/>
              <w:rPr>
                <w:b/>
                <w:bCs/>
                <w:sz w:val="21"/>
                <w:szCs w:val="21"/>
              </w:rPr>
            </w:pPr>
            <w:r>
              <w:rPr>
                <w:b/>
                <w:bCs/>
                <w:sz w:val="21"/>
                <w:szCs w:val="21"/>
              </w:rPr>
              <w:t>监测点位置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vMerge w:val="restart"/>
            <w:tcBorders>
              <w:tl2br w:val="nil"/>
              <w:tr2bl w:val="nil"/>
            </w:tcBorders>
            <w:vAlign w:val="center"/>
          </w:tcPr>
          <w:p>
            <w:pPr>
              <w:spacing w:line="240" w:lineRule="auto"/>
              <w:jc w:val="center"/>
              <w:rPr>
                <w:sz w:val="21"/>
                <w:szCs w:val="21"/>
              </w:rPr>
            </w:pPr>
            <w:r>
              <w:rPr>
                <w:sz w:val="21"/>
                <w:szCs w:val="21"/>
              </w:rPr>
              <w:t>土壤</w:t>
            </w:r>
          </w:p>
        </w:tc>
        <w:tc>
          <w:tcPr>
            <w:tcW w:w="2011" w:type="dxa"/>
            <w:tcBorders>
              <w:tl2br w:val="nil"/>
              <w:tr2bl w:val="nil"/>
            </w:tcBorders>
            <w:vAlign w:val="center"/>
          </w:tcPr>
          <w:p>
            <w:pPr>
              <w:spacing w:line="240" w:lineRule="auto"/>
              <w:ind w:right="-86" w:rightChars="-36"/>
              <w:jc w:val="center"/>
              <w:textAlignment w:val="center"/>
              <w:rPr>
                <w:sz w:val="21"/>
                <w:szCs w:val="21"/>
              </w:rPr>
            </w:pPr>
            <w:r>
              <w:rPr>
                <w:rFonts w:hint="eastAsia"/>
                <w:b/>
                <w:bCs/>
                <w:kern w:val="0"/>
                <w:sz w:val="21"/>
                <w:szCs w:val="21"/>
              </w:rPr>
              <w:t>T</w:t>
            </w:r>
            <w:r>
              <w:rPr>
                <w:b/>
                <w:bCs/>
                <w:kern w:val="0"/>
                <w:sz w:val="21"/>
                <w:szCs w:val="21"/>
              </w:rPr>
              <w:t>01</w:t>
            </w:r>
          </w:p>
        </w:tc>
        <w:tc>
          <w:tcPr>
            <w:tcW w:w="4588" w:type="dxa"/>
            <w:tcBorders>
              <w:tl2br w:val="nil"/>
              <w:tr2bl w:val="nil"/>
            </w:tcBorders>
            <w:vAlign w:val="center"/>
          </w:tcPr>
          <w:p>
            <w:pPr>
              <w:widowControl/>
              <w:adjustRightInd w:val="0"/>
              <w:snapToGrid w:val="0"/>
              <w:spacing w:line="240" w:lineRule="auto"/>
              <w:jc w:val="center"/>
              <w:rPr>
                <w:sz w:val="21"/>
                <w:szCs w:val="21"/>
              </w:rPr>
            </w:pPr>
            <w:r>
              <w:rPr>
                <w:rFonts w:hint="eastAsia"/>
                <w:kern w:val="0"/>
                <w:sz w:val="21"/>
                <w:szCs w:val="21"/>
              </w:rPr>
              <w:t>项目占地范围内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vMerge w:val="continue"/>
            <w:tcBorders>
              <w:tl2br w:val="nil"/>
              <w:tr2bl w:val="nil"/>
            </w:tcBorders>
            <w:vAlign w:val="center"/>
          </w:tcPr>
          <w:p>
            <w:pPr>
              <w:spacing w:line="240" w:lineRule="auto"/>
              <w:jc w:val="center"/>
              <w:rPr>
                <w:sz w:val="21"/>
                <w:szCs w:val="21"/>
              </w:rPr>
            </w:pPr>
          </w:p>
        </w:tc>
        <w:tc>
          <w:tcPr>
            <w:tcW w:w="2011" w:type="dxa"/>
            <w:tcBorders>
              <w:tl2br w:val="nil"/>
              <w:tr2bl w:val="nil"/>
            </w:tcBorders>
            <w:vAlign w:val="center"/>
          </w:tcPr>
          <w:p>
            <w:pPr>
              <w:spacing w:line="240" w:lineRule="auto"/>
              <w:ind w:right="-86" w:rightChars="-36"/>
              <w:jc w:val="center"/>
              <w:textAlignment w:val="center"/>
              <w:rPr>
                <w:sz w:val="21"/>
                <w:szCs w:val="21"/>
              </w:rPr>
            </w:pPr>
            <w:r>
              <w:rPr>
                <w:rFonts w:hint="eastAsia"/>
                <w:b/>
                <w:bCs/>
                <w:kern w:val="0"/>
                <w:sz w:val="21"/>
                <w:szCs w:val="21"/>
              </w:rPr>
              <w:t>T</w:t>
            </w:r>
            <w:r>
              <w:rPr>
                <w:b/>
                <w:bCs/>
                <w:kern w:val="0"/>
                <w:sz w:val="21"/>
                <w:szCs w:val="21"/>
              </w:rPr>
              <w:t>02</w:t>
            </w:r>
          </w:p>
        </w:tc>
        <w:tc>
          <w:tcPr>
            <w:tcW w:w="4588" w:type="dxa"/>
            <w:tcBorders>
              <w:tl2br w:val="nil"/>
              <w:tr2bl w:val="nil"/>
            </w:tcBorders>
            <w:vAlign w:val="center"/>
          </w:tcPr>
          <w:p>
            <w:pPr>
              <w:widowControl/>
              <w:adjustRightInd w:val="0"/>
              <w:snapToGrid w:val="0"/>
              <w:spacing w:line="240" w:lineRule="auto"/>
              <w:jc w:val="center"/>
              <w:rPr>
                <w:sz w:val="21"/>
                <w:szCs w:val="21"/>
              </w:rPr>
            </w:pPr>
            <w:r>
              <w:rPr>
                <w:rFonts w:hint="eastAsia"/>
                <w:kern w:val="0"/>
                <w:sz w:val="21"/>
                <w:szCs w:val="21"/>
              </w:rPr>
              <w:t>项目占地范围内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vMerge w:val="continue"/>
            <w:tcBorders>
              <w:tl2br w:val="nil"/>
              <w:tr2bl w:val="nil"/>
            </w:tcBorders>
            <w:vAlign w:val="center"/>
          </w:tcPr>
          <w:p>
            <w:pPr>
              <w:spacing w:line="240" w:lineRule="auto"/>
              <w:jc w:val="center"/>
              <w:rPr>
                <w:sz w:val="21"/>
                <w:szCs w:val="21"/>
              </w:rPr>
            </w:pPr>
          </w:p>
        </w:tc>
        <w:tc>
          <w:tcPr>
            <w:tcW w:w="2011" w:type="dxa"/>
            <w:tcBorders>
              <w:tl2br w:val="nil"/>
              <w:tr2bl w:val="nil"/>
            </w:tcBorders>
            <w:vAlign w:val="center"/>
          </w:tcPr>
          <w:p>
            <w:pPr>
              <w:spacing w:line="240" w:lineRule="auto"/>
              <w:ind w:right="-86" w:rightChars="-36"/>
              <w:jc w:val="center"/>
              <w:textAlignment w:val="center"/>
              <w:rPr>
                <w:sz w:val="21"/>
                <w:szCs w:val="21"/>
              </w:rPr>
            </w:pPr>
            <w:r>
              <w:rPr>
                <w:rFonts w:hint="eastAsia"/>
                <w:b/>
                <w:bCs/>
                <w:kern w:val="0"/>
                <w:sz w:val="21"/>
                <w:szCs w:val="21"/>
              </w:rPr>
              <w:t>T</w:t>
            </w:r>
            <w:r>
              <w:rPr>
                <w:b/>
                <w:bCs/>
                <w:kern w:val="0"/>
                <w:sz w:val="21"/>
                <w:szCs w:val="21"/>
              </w:rPr>
              <w:t>03</w:t>
            </w:r>
          </w:p>
        </w:tc>
        <w:tc>
          <w:tcPr>
            <w:tcW w:w="4588" w:type="dxa"/>
            <w:tcBorders>
              <w:tl2br w:val="nil"/>
              <w:tr2bl w:val="nil"/>
            </w:tcBorders>
            <w:vAlign w:val="center"/>
          </w:tcPr>
          <w:p>
            <w:pPr>
              <w:widowControl/>
              <w:adjustRightInd w:val="0"/>
              <w:snapToGrid w:val="0"/>
              <w:spacing w:line="240" w:lineRule="auto"/>
              <w:jc w:val="center"/>
              <w:rPr>
                <w:sz w:val="21"/>
                <w:szCs w:val="21"/>
              </w:rPr>
            </w:pPr>
            <w:r>
              <w:rPr>
                <w:rFonts w:hint="eastAsia"/>
                <w:kern w:val="0"/>
                <w:sz w:val="21"/>
                <w:szCs w:val="21"/>
              </w:rPr>
              <w:t>项目占地范围内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vMerge w:val="continue"/>
            <w:tcBorders>
              <w:tl2br w:val="nil"/>
              <w:tr2bl w:val="nil"/>
            </w:tcBorders>
            <w:vAlign w:val="center"/>
          </w:tcPr>
          <w:p>
            <w:pPr>
              <w:spacing w:line="240" w:lineRule="auto"/>
              <w:jc w:val="center"/>
              <w:rPr>
                <w:sz w:val="21"/>
                <w:szCs w:val="21"/>
              </w:rPr>
            </w:pPr>
          </w:p>
        </w:tc>
        <w:tc>
          <w:tcPr>
            <w:tcW w:w="2011" w:type="dxa"/>
            <w:tcBorders>
              <w:tl2br w:val="nil"/>
              <w:tr2bl w:val="nil"/>
            </w:tcBorders>
            <w:vAlign w:val="center"/>
          </w:tcPr>
          <w:p>
            <w:pPr>
              <w:spacing w:line="240" w:lineRule="auto"/>
              <w:ind w:right="-86" w:rightChars="-36"/>
              <w:jc w:val="center"/>
              <w:textAlignment w:val="center"/>
              <w:rPr>
                <w:b/>
                <w:bCs/>
                <w:kern w:val="0"/>
                <w:sz w:val="21"/>
                <w:szCs w:val="21"/>
              </w:rPr>
            </w:pPr>
            <w:r>
              <w:rPr>
                <w:rFonts w:hint="eastAsia"/>
                <w:b/>
                <w:bCs/>
                <w:kern w:val="0"/>
                <w:sz w:val="21"/>
                <w:szCs w:val="21"/>
              </w:rPr>
              <w:t>T04</w:t>
            </w:r>
          </w:p>
        </w:tc>
        <w:tc>
          <w:tcPr>
            <w:tcW w:w="4588" w:type="dxa"/>
            <w:tcBorders>
              <w:tl2br w:val="nil"/>
              <w:tr2bl w:val="nil"/>
            </w:tcBorders>
            <w:vAlign w:val="center"/>
          </w:tcPr>
          <w:p>
            <w:pPr>
              <w:widowControl/>
              <w:adjustRightInd w:val="0"/>
              <w:snapToGrid w:val="0"/>
              <w:spacing w:line="240" w:lineRule="auto"/>
              <w:jc w:val="center"/>
              <w:rPr>
                <w:kern w:val="0"/>
                <w:sz w:val="21"/>
                <w:szCs w:val="21"/>
              </w:rPr>
            </w:pPr>
            <w:r>
              <w:rPr>
                <w:rFonts w:hint="eastAsia"/>
                <w:kern w:val="0"/>
                <w:sz w:val="21"/>
                <w:szCs w:val="21"/>
              </w:rPr>
              <w:t>项目灌溉区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905" w:type="dxa"/>
            <w:vMerge w:val="continue"/>
            <w:tcBorders>
              <w:tl2br w:val="nil"/>
              <w:tr2bl w:val="nil"/>
            </w:tcBorders>
            <w:vAlign w:val="center"/>
          </w:tcPr>
          <w:p>
            <w:pPr>
              <w:spacing w:line="240" w:lineRule="auto"/>
              <w:jc w:val="center"/>
              <w:rPr>
                <w:sz w:val="21"/>
                <w:szCs w:val="21"/>
              </w:rPr>
            </w:pPr>
          </w:p>
        </w:tc>
        <w:tc>
          <w:tcPr>
            <w:tcW w:w="2011" w:type="dxa"/>
            <w:tcBorders>
              <w:tl2br w:val="nil"/>
              <w:tr2bl w:val="nil"/>
            </w:tcBorders>
            <w:vAlign w:val="center"/>
          </w:tcPr>
          <w:p>
            <w:pPr>
              <w:spacing w:line="240" w:lineRule="auto"/>
              <w:ind w:right="-86" w:rightChars="-36"/>
              <w:jc w:val="center"/>
              <w:textAlignment w:val="center"/>
              <w:rPr>
                <w:b/>
                <w:bCs/>
                <w:kern w:val="0"/>
                <w:sz w:val="21"/>
                <w:szCs w:val="21"/>
              </w:rPr>
            </w:pPr>
            <w:r>
              <w:rPr>
                <w:rFonts w:hint="eastAsia"/>
                <w:b/>
                <w:bCs/>
                <w:kern w:val="0"/>
                <w:sz w:val="21"/>
                <w:szCs w:val="21"/>
              </w:rPr>
              <w:t>T05</w:t>
            </w:r>
          </w:p>
        </w:tc>
        <w:tc>
          <w:tcPr>
            <w:tcW w:w="4588" w:type="dxa"/>
            <w:tcBorders>
              <w:tl2br w:val="nil"/>
              <w:tr2bl w:val="nil"/>
            </w:tcBorders>
            <w:vAlign w:val="center"/>
          </w:tcPr>
          <w:p>
            <w:pPr>
              <w:widowControl/>
              <w:adjustRightInd w:val="0"/>
              <w:snapToGrid w:val="0"/>
              <w:spacing w:line="240" w:lineRule="auto"/>
              <w:jc w:val="center"/>
              <w:rPr>
                <w:kern w:val="0"/>
                <w:sz w:val="21"/>
                <w:szCs w:val="21"/>
              </w:rPr>
            </w:pPr>
            <w:r>
              <w:rPr>
                <w:rFonts w:hint="eastAsia"/>
                <w:kern w:val="0"/>
                <w:sz w:val="21"/>
                <w:szCs w:val="21"/>
              </w:rPr>
              <w:t>项目灌溉区</w:t>
            </w:r>
          </w:p>
        </w:tc>
      </w:tr>
    </w:tbl>
    <w:p>
      <w:pPr>
        <w:pStyle w:val="2"/>
        <w:ind w:firstLine="480"/>
        <w:rPr>
          <w:rFonts w:hint="default"/>
        </w:rPr>
      </w:pPr>
    </w:p>
    <w:p>
      <w:pPr>
        <w:spacing w:before="240" w:after="60"/>
        <w:jc w:val="left"/>
        <w:outlineLvl w:val="2"/>
        <w:rPr>
          <w:rFonts w:eastAsia="黑体"/>
          <w:bCs/>
          <w:sz w:val="28"/>
          <w:szCs w:val="28"/>
        </w:rPr>
      </w:pPr>
      <w:r>
        <w:rPr>
          <w:rFonts w:eastAsia="黑体"/>
          <w:bCs/>
          <w:sz w:val="28"/>
          <w:szCs w:val="28"/>
        </w:rPr>
        <w:t>6.</w:t>
      </w:r>
      <w:r>
        <w:rPr>
          <w:rFonts w:hint="eastAsia" w:eastAsia="黑体"/>
          <w:bCs/>
          <w:sz w:val="28"/>
          <w:szCs w:val="28"/>
        </w:rPr>
        <w:t>5</w:t>
      </w:r>
      <w:r>
        <w:rPr>
          <w:rFonts w:eastAsia="黑体"/>
          <w:bCs/>
          <w:sz w:val="28"/>
          <w:szCs w:val="28"/>
        </w:rPr>
        <w:t>.2监测项目</w:t>
      </w:r>
    </w:p>
    <w:p>
      <w:pPr>
        <w:pStyle w:val="970"/>
        <w:snapToGrid w:val="0"/>
        <w:ind w:firstLine="480" w:firstLineChars="200"/>
        <w:rPr>
          <w:szCs w:val="24"/>
        </w:rPr>
      </w:pPr>
      <w:r>
        <w:rPr>
          <w:szCs w:val="24"/>
        </w:rPr>
        <w:t>PH、镉、汞、铜、铅、锌、镍、</w:t>
      </w:r>
      <w:r>
        <w:rPr>
          <w:rFonts w:hint="eastAsia"/>
          <w:szCs w:val="24"/>
        </w:rPr>
        <w:t>四氯化碳、氯仿、氯甲烷、1，1-二氯乙烷、二氯甲烷、四氯乙烯、氯乙烯。</w:t>
      </w:r>
    </w:p>
    <w:p>
      <w:pPr>
        <w:spacing w:before="240" w:after="60"/>
        <w:jc w:val="left"/>
        <w:outlineLvl w:val="2"/>
        <w:rPr>
          <w:rFonts w:eastAsia="黑体"/>
          <w:bCs/>
          <w:sz w:val="28"/>
          <w:szCs w:val="28"/>
        </w:rPr>
      </w:pPr>
      <w:r>
        <w:rPr>
          <w:rFonts w:eastAsia="黑体"/>
          <w:bCs/>
          <w:sz w:val="28"/>
          <w:szCs w:val="28"/>
        </w:rPr>
        <w:t>6.</w:t>
      </w:r>
      <w:r>
        <w:rPr>
          <w:rFonts w:hint="eastAsia" w:eastAsia="黑体"/>
          <w:bCs/>
          <w:sz w:val="28"/>
          <w:szCs w:val="28"/>
        </w:rPr>
        <w:t>5</w:t>
      </w:r>
      <w:r>
        <w:rPr>
          <w:rFonts w:eastAsia="黑体"/>
          <w:bCs/>
          <w:sz w:val="28"/>
          <w:szCs w:val="28"/>
        </w:rPr>
        <w:t>.3 监测时间及频率</w:t>
      </w:r>
    </w:p>
    <w:p>
      <w:pPr>
        <w:pStyle w:val="970"/>
        <w:snapToGrid w:val="0"/>
        <w:ind w:firstLine="480" w:firstLineChars="200"/>
        <w:rPr>
          <w:szCs w:val="24"/>
        </w:rPr>
      </w:pPr>
      <w:r>
        <w:rPr>
          <w:szCs w:val="24"/>
        </w:rPr>
        <w:t>监测一天，一天一次。</w:t>
      </w:r>
    </w:p>
    <w:p>
      <w:pPr>
        <w:spacing w:before="240" w:after="60"/>
        <w:jc w:val="left"/>
        <w:outlineLvl w:val="2"/>
        <w:rPr>
          <w:rFonts w:eastAsia="黑体"/>
          <w:bCs/>
          <w:sz w:val="28"/>
          <w:szCs w:val="28"/>
        </w:rPr>
      </w:pPr>
      <w:r>
        <w:rPr>
          <w:rFonts w:eastAsia="黑体"/>
          <w:bCs/>
          <w:sz w:val="28"/>
          <w:szCs w:val="28"/>
        </w:rPr>
        <w:t>6.</w:t>
      </w:r>
      <w:r>
        <w:rPr>
          <w:rFonts w:hint="eastAsia" w:eastAsia="黑体"/>
          <w:bCs/>
          <w:sz w:val="28"/>
          <w:szCs w:val="28"/>
        </w:rPr>
        <w:t>5</w:t>
      </w:r>
      <w:r>
        <w:rPr>
          <w:rFonts w:eastAsia="黑体"/>
          <w:bCs/>
          <w:sz w:val="28"/>
          <w:szCs w:val="28"/>
        </w:rPr>
        <w:t>.4 监测结果</w:t>
      </w:r>
    </w:p>
    <w:p>
      <w:pPr>
        <w:pStyle w:val="970"/>
        <w:snapToGrid w:val="0"/>
        <w:ind w:firstLine="480" w:firstLineChars="200"/>
        <w:rPr>
          <w:kern w:val="0"/>
        </w:rPr>
      </w:pPr>
      <w:r>
        <w:rPr>
          <w:kern w:val="0"/>
        </w:rPr>
        <w:t>监测结果如表6.</w:t>
      </w:r>
      <w:r>
        <w:rPr>
          <w:rFonts w:hint="eastAsia"/>
          <w:kern w:val="0"/>
        </w:rPr>
        <w:t>5</w:t>
      </w:r>
      <w:r>
        <w:rPr>
          <w:kern w:val="0"/>
        </w:rPr>
        <w:t>-2所示。</w:t>
      </w:r>
    </w:p>
    <w:p>
      <w:pPr>
        <w:spacing w:line="240" w:lineRule="auto"/>
        <w:jc w:val="center"/>
        <w:rPr>
          <w:rFonts w:eastAsia="黑体"/>
        </w:rPr>
      </w:pPr>
      <w:r>
        <w:rPr>
          <w:rFonts w:eastAsia="黑体"/>
        </w:rPr>
        <w:t>表6.</w:t>
      </w:r>
      <w:r>
        <w:rPr>
          <w:rFonts w:hint="eastAsia" w:eastAsia="黑体"/>
        </w:rPr>
        <w:t>5</w:t>
      </w:r>
      <w:r>
        <w:rPr>
          <w:rFonts w:eastAsia="黑体"/>
        </w:rPr>
        <w:t xml:space="preserve">-2 </w:t>
      </w:r>
      <w:r>
        <w:rPr>
          <w:rFonts w:hint="eastAsia" w:eastAsia="黑体"/>
        </w:rPr>
        <w:t>土壤</w:t>
      </w:r>
      <w:r>
        <w:rPr>
          <w:rFonts w:eastAsia="黑体"/>
        </w:rPr>
        <w:t>环境质量监测结果统计表</w:t>
      </w:r>
    </w:p>
    <w:tbl>
      <w:tblPr>
        <w:tblStyle w:val="88"/>
        <w:tblW w:w="5001"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3" w:type="dxa"/>
          <w:bottom w:w="0" w:type="dxa"/>
          <w:right w:w="23" w:type="dxa"/>
        </w:tblCellMar>
      </w:tblPr>
      <w:tblGrid>
        <w:gridCol w:w="560"/>
        <w:gridCol w:w="1025"/>
        <w:gridCol w:w="794"/>
        <w:gridCol w:w="1204"/>
        <w:gridCol w:w="1063"/>
        <w:gridCol w:w="928"/>
        <w:gridCol w:w="929"/>
        <w:gridCol w:w="929"/>
        <w:gridCol w:w="92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tblHeader/>
          <w:jc w:val="center"/>
        </w:trPr>
        <w:tc>
          <w:tcPr>
            <w:tcW w:w="557" w:type="dxa"/>
            <w:vMerge w:val="restart"/>
            <w:vAlign w:val="center"/>
          </w:tcPr>
          <w:p>
            <w:pPr>
              <w:pStyle w:val="2784"/>
              <w:snapToGrid w:val="0"/>
              <w:spacing w:line="240" w:lineRule="auto"/>
              <w:rPr>
                <w:b/>
              </w:rPr>
            </w:pPr>
            <w:r>
              <w:rPr>
                <w:b/>
              </w:rPr>
              <w:t>时间</w:t>
            </w:r>
          </w:p>
        </w:tc>
        <w:tc>
          <w:tcPr>
            <w:tcW w:w="1019" w:type="dxa"/>
            <w:vMerge w:val="restart"/>
            <w:vAlign w:val="center"/>
          </w:tcPr>
          <w:p>
            <w:pPr>
              <w:pStyle w:val="2784"/>
              <w:snapToGrid w:val="0"/>
              <w:spacing w:line="240" w:lineRule="auto"/>
              <w:rPr>
                <w:b/>
              </w:rPr>
            </w:pPr>
            <w:r>
              <w:rPr>
                <w:b/>
              </w:rPr>
              <w:t>项目</w:t>
            </w:r>
          </w:p>
        </w:tc>
        <w:tc>
          <w:tcPr>
            <w:tcW w:w="790" w:type="dxa"/>
            <w:vMerge w:val="restart"/>
            <w:vAlign w:val="center"/>
          </w:tcPr>
          <w:p>
            <w:pPr>
              <w:pStyle w:val="2784"/>
              <w:snapToGrid w:val="0"/>
              <w:spacing w:line="240" w:lineRule="auto"/>
              <w:rPr>
                <w:b/>
              </w:rPr>
            </w:pPr>
            <w:r>
              <w:rPr>
                <w:b/>
              </w:rPr>
              <w:t>单位</w:t>
            </w:r>
          </w:p>
        </w:tc>
        <w:tc>
          <w:tcPr>
            <w:tcW w:w="5025" w:type="dxa"/>
            <w:gridSpan w:val="5"/>
            <w:vAlign w:val="center"/>
          </w:tcPr>
          <w:p>
            <w:pPr>
              <w:pStyle w:val="2784"/>
              <w:snapToGrid w:val="0"/>
              <w:spacing w:line="240" w:lineRule="auto"/>
              <w:rPr>
                <w:b/>
              </w:rPr>
            </w:pPr>
            <w:r>
              <w:rPr>
                <w:b/>
              </w:rPr>
              <w:t>监测点位</w:t>
            </w:r>
          </w:p>
        </w:tc>
        <w:tc>
          <w:tcPr>
            <w:tcW w:w="924" w:type="dxa"/>
            <w:vMerge w:val="restart"/>
            <w:vAlign w:val="center"/>
          </w:tcPr>
          <w:p>
            <w:pPr>
              <w:pStyle w:val="2784"/>
              <w:snapToGrid w:val="0"/>
              <w:spacing w:line="240" w:lineRule="auto"/>
              <w:rPr>
                <w:b/>
              </w:rPr>
            </w:pPr>
            <w:r>
              <w:rPr>
                <w:rFonts w:hint="eastAsia"/>
                <w:b/>
              </w:rPr>
              <w:t>标准限值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tblHeader/>
          <w:jc w:val="center"/>
        </w:trPr>
        <w:tc>
          <w:tcPr>
            <w:tcW w:w="557" w:type="dxa"/>
            <w:vMerge w:val="continue"/>
            <w:vAlign w:val="center"/>
          </w:tcPr>
          <w:p>
            <w:pPr>
              <w:pStyle w:val="2784"/>
              <w:snapToGrid w:val="0"/>
              <w:spacing w:line="240" w:lineRule="auto"/>
              <w:rPr>
                <w:b/>
              </w:rPr>
            </w:pPr>
          </w:p>
        </w:tc>
        <w:tc>
          <w:tcPr>
            <w:tcW w:w="1019" w:type="dxa"/>
            <w:vMerge w:val="continue"/>
            <w:vAlign w:val="center"/>
          </w:tcPr>
          <w:p>
            <w:pPr>
              <w:pStyle w:val="2784"/>
              <w:snapToGrid w:val="0"/>
              <w:spacing w:line="240" w:lineRule="auto"/>
              <w:rPr>
                <w:b/>
              </w:rPr>
            </w:pPr>
          </w:p>
        </w:tc>
        <w:tc>
          <w:tcPr>
            <w:tcW w:w="790" w:type="dxa"/>
            <w:vMerge w:val="continue"/>
            <w:vAlign w:val="center"/>
          </w:tcPr>
          <w:p>
            <w:pPr>
              <w:pStyle w:val="2784"/>
              <w:snapToGrid w:val="0"/>
              <w:spacing w:line="240" w:lineRule="auto"/>
              <w:rPr>
                <w:b/>
              </w:rPr>
            </w:pPr>
          </w:p>
        </w:tc>
        <w:tc>
          <w:tcPr>
            <w:tcW w:w="1197" w:type="dxa"/>
            <w:vAlign w:val="center"/>
          </w:tcPr>
          <w:p>
            <w:pPr>
              <w:spacing w:line="240" w:lineRule="auto"/>
              <w:ind w:right="-86" w:rightChars="-36"/>
              <w:jc w:val="center"/>
              <w:textAlignment w:val="center"/>
              <w:rPr>
                <w:b/>
                <w:sz w:val="21"/>
              </w:rPr>
            </w:pPr>
            <w:r>
              <w:rPr>
                <w:rFonts w:hint="eastAsia"/>
                <w:b/>
                <w:bCs/>
                <w:kern w:val="0"/>
                <w:sz w:val="21"/>
                <w:szCs w:val="21"/>
              </w:rPr>
              <w:t>T01</w:t>
            </w:r>
          </w:p>
        </w:tc>
        <w:tc>
          <w:tcPr>
            <w:tcW w:w="1057" w:type="dxa"/>
            <w:vAlign w:val="center"/>
          </w:tcPr>
          <w:p>
            <w:pPr>
              <w:spacing w:line="240" w:lineRule="auto"/>
              <w:ind w:right="-86" w:rightChars="-36"/>
              <w:jc w:val="center"/>
              <w:textAlignment w:val="center"/>
              <w:rPr>
                <w:b/>
                <w:sz w:val="21"/>
              </w:rPr>
            </w:pPr>
            <w:r>
              <w:rPr>
                <w:rFonts w:hint="eastAsia"/>
                <w:b/>
                <w:bCs/>
                <w:kern w:val="0"/>
                <w:sz w:val="21"/>
                <w:szCs w:val="21"/>
              </w:rPr>
              <w:t>T02</w:t>
            </w:r>
          </w:p>
        </w:tc>
        <w:tc>
          <w:tcPr>
            <w:tcW w:w="923" w:type="dxa"/>
            <w:vAlign w:val="center"/>
          </w:tcPr>
          <w:p>
            <w:pPr>
              <w:spacing w:line="240" w:lineRule="auto"/>
              <w:ind w:right="-86" w:rightChars="-36"/>
              <w:jc w:val="center"/>
              <w:textAlignment w:val="center"/>
              <w:rPr>
                <w:b/>
                <w:sz w:val="21"/>
              </w:rPr>
            </w:pPr>
            <w:r>
              <w:rPr>
                <w:rFonts w:hint="eastAsia"/>
                <w:b/>
                <w:bCs/>
                <w:kern w:val="0"/>
                <w:sz w:val="21"/>
                <w:szCs w:val="21"/>
              </w:rPr>
              <w:t>T03</w:t>
            </w:r>
          </w:p>
        </w:tc>
        <w:tc>
          <w:tcPr>
            <w:tcW w:w="924" w:type="dxa"/>
            <w:vAlign w:val="center"/>
          </w:tcPr>
          <w:p>
            <w:pPr>
              <w:pStyle w:val="2784"/>
              <w:snapToGrid w:val="0"/>
              <w:spacing w:line="240" w:lineRule="auto"/>
              <w:rPr>
                <w:b/>
              </w:rPr>
            </w:pPr>
            <w:r>
              <w:rPr>
                <w:rFonts w:hint="eastAsia"/>
                <w:b/>
              </w:rPr>
              <w:t>T04</w:t>
            </w:r>
          </w:p>
        </w:tc>
        <w:tc>
          <w:tcPr>
            <w:tcW w:w="924" w:type="dxa"/>
            <w:vAlign w:val="center"/>
          </w:tcPr>
          <w:p>
            <w:pPr>
              <w:pStyle w:val="2784"/>
              <w:snapToGrid w:val="0"/>
              <w:spacing w:line="240" w:lineRule="auto"/>
              <w:rPr>
                <w:b/>
              </w:rPr>
            </w:pPr>
            <w:r>
              <w:rPr>
                <w:rFonts w:hint="eastAsia"/>
                <w:b/>
              </w:rPr>
              <w:t>T05</w:t>
            </w:r>
          </w:p>
        </w:tc>
        <w:tc>
          <w:tcPr>
            <w:tcW w:w="924" w:type="dxa"/>
            <w:vMerge w:val="continue"/>
            <w:vAlign w:val="center"/>
          </w:tcPr>
          <w:p>
            <w:pPr>
              <w:pStyle w:val="2784"/>
              <w:snapToGrid w:val="0"/>
              <w:spacing w:line="240" w:lineRule="auto"/>
              <w:rPr>
                <w:b/>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rPr>
            </w:pPr>
            <w:r>
              <w:rPr>
                <w:sz w:val="21"/>
                <w:szCs w:val="21"/>
              </w:rPr>
              <w:t>镉</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kern w:val="0"/>
                <w:sz w:val="21"/>
                <w:szCs w:val="21"/>
              </w:rPr>
              <w:t>0.26</w:t>
            </w:r>
          </w:p>
        </w:tc>
        <w:tc>
          <w:tcPr>
            <w:tcW w:w="1057" w:type="dxa"/>
            <w:vAlign w:val="center"/>
          </w:tcPr>
          <w:p>
            <w:pPr>
              <w:widowControl/>
              <w:spacing w:line="240" w:lineRule="auto"/>
              <w:jc w:val="center"/>
              <w:textAlignment w:val="center"/>
              <w:rPr>
                <w:sz w:val="21"/>
              </w:rPr>
            </w:pPr>
            <w:r>
              <w:rPr>
                <w:rFonts w:hint="eastAsia"/>
                <w:kern w:val="0"/>
                <w:sz w:val="21"/>
                <w:szCs w:val="21"/>
              </w:rPr>
              <w:t>0.19</w:t>
            </w:r>
          </w:p>
        </w:tc>
        <w:tc>
          <w:tcPr>
            <w:tcW w:w="923" w:type="dxa"/>
            <w:vAlign w:val="center"/>
          </w:tcPr>
          <w:p>
            <w:pPr>
              <w:widowControl/>
              <w:spacing w:line="240" w:lineRule="auto"/>
              <w:jc w:val="center"/>
              <w:textAlignment w:val="center"/>
              <w:rPr>
                <w:sz w:val="21"/>
              </w:rPr>
            </w:pPr>
            <w:r>
              <w:rPr>
                <w:rFonts w:hint="eastAsia"/>
                <w:kern w:val="0"/>
                <w:sz w:val="21"/>
                <w:szCs w:val="21"/>
              </w:rPr>
              <w:t>0.19</w:t>
            </w:r>
          </w:p>
        </w:tc>
        <w:tc>
          <w:tcPr>
            <w:tcW w:w="924" w:type="dxa"/>
          </w:tcPr>
          <w:p>
            <w:pPr>
              <w:pStyle w:val="2784"/>
              <w:snapToGrid w:val="0"/>
              <w:spacing w:line="240" w:lineRule="auto"/>
            </w:pPr>
            <w:r>
              <w:rPr>
                <w:rFonts w:hint="eastAsia"/>
              </w:rPr>
              <w:t>0.21</w:t>
            </w:r>
          </w:p>
        </w:tc>
        <w:tc>
          <w:tcPr>
            <w:tcW w:w="924" w:type="dxa"/>
          </w:tcPr>
          <w:p>
            <w:pPr>
              <w:pStyle w:val="2784"/>
              <w:snapToGrid w:val="0"/>
              <w:spacing w:line="240" w:lineRule="auto"/>
            </w:pPr>
            <w:r>
              <w:rPr>
                <w:rFonts w:hint="eastAsia"/>
              </w:rPr>
              <w:t>0.22</w:t>
            </w:r>
          </w:p>
        </w:tc>
        <w:tc>
          <w:tcPr>
            <w:tcW w:w="924" w:type="dxa"/>
            <w:vAlign w:val="center"/>
          </w:tcPr>
          <w:p>
            <w:pPr>
              <w:pStyle w:val="2784"/>
              <w:snapToGrid w:val="0"/>
              <w:spacing w:line="240" w:lineRule="auto"/>
            </w:pPr>
            <w:r>
              <w:rPr>
                <w:rFonts w:hint="eastAsia"/>
              </w:rPr>
              <w:t>0.3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rPr>
            </w:pPr>
            <w:r>
              <w:rPr>
                <w:sz w:val="21"/>
                <w:szCs w:val="21"/>
              </w:rPr>
              <w:t>铜</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sz w:val="21"/>
              </w:rPr>
              <w:t>30</w:t>
            </w:r>
          </w:p>
        </w:tc>
        <w:tc>
          <w:tcPr>
            <w:tcW w:w="1057" w:type="dxa"/>
            <w:vAlign w:val="center"/>
          </w:tcPr>
          <w:p>
            <w:pPr>
              <w:widowControl/>
              <w:spacing w:line="240" w:lineRule="auto"/>
              <w:jc w:val="center"/>
              <w:textAlignment w:val="center"/>
              <w:rPr>
                <w:sz w:val="21"/>
              </w:rPr>
            </w:pPr>
            <w:r>
              <w:rPr>
                <w:rFonts w:hint="eastAsia"/>
                <w:sz w:val="21"/>
              </w:rPr>
              <w:t>24</w:t>
            </w:r>
          </w:p>
        </w:tc>
        <w:tc>
          <w:tcPr>
            <w:tcW w:w="923" w:type="dxa"/>
            <w:vAlign w:val="center"/>
          </w:tcPr>
          <w:p>
            <w:pPr>
              <w:widowControl/>
              <w:spacing w:line="240" w:lineRule="auto"/>
              <w:jc w:val="center"/>
              <w:textAlignment w:val="center"/>
              <w:rPr>
                <w:sz w:val="21"/>
              </w:rPr>
            </w:pPr>
            <w:r>
              <w:rPr>
                <w:rFonts w:hint="eastAsia"/>
                <w:sz w:val="21"/>
              </w:rPr>
              <w:t>28</w:t>
            </w:r>
          </w:p>
        </w:tc>
        <w:tc>
          <w:tcPr>
            <w:tcW w:w="924" w:type="dxa"/>
          </w:tcPr>
          <w:p>
            <w:pPr>
              <w:pStyle w:val="2784"/>
              <w:snapToGrid w:val="0"/>
              <w:spacing w:line="240" w:lineRule="auto"/>
            </w:pPr>
            <w:r>
              <w:rPr>
                <w:rFonts w:hint="eastAsia"/>
              </w:rPr>
              <w:t>27</w:t>
            </w:r>
          </w:p>
        </w:tc>
        <w:tc>
          <w:tcPr>
            <w:tcW w:w="924" w:type="dxa"/>
          </w:tcPr>
          <w:p>
            <w:pPr>
              <w:pStyle w:val="2784"/>
              <w:snapToGrid w:val="0"/>
              <w:spacing w:line="240" w:lineRule="auto"/>
            </w:pPr>
            <w:r>
              <w:rPr>
                <w:rFonts w:hint="eastAsia"/>
              </w:rPr>
              <w:t>29</w:t>
            </w:r>
          </w:p>
        </w:tc>
        <w:tc>
          <w:tcPr>
            <w:tcW w:w="924" w:type="dxa"/>
            <w:vAlign w:val="center"/>
          </w:tcPr>
          <w:p>
            <w:pPr>
              <w:pStyle w:val="2784"/>
              <w:snapToGrid w:val="0"/>
              <w:spacing w:line="240" w:lineRule="auto"/>
            </w:pPr>
            <w:r>
              <w:rPr>
                <w:rFonts w:hint="eastAsia"/>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rPr>
            </w:pPr>
            <w:r>
              <w:rPr>
                <w:sz w:val="21"/>
                <w:szCs w:val="21"/>
              </w:rPr>
              <w:t>铅</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sz w:val="21"/>
              </w:rPr>
              <w:t>13.6</w:t>
            </w:r>
          </w:p>
        </w:tc>
        <w:tc>
          <w:tcPr>
            <w:tcW w:w="1057" w:type="dxa"/>
            <w:vAlign w:val="center"/>
          </w:tcPr>
          <w:p>
            <w:pPr>
              <w:widowControl/>
              <w:spacing w:line="240" w:lineRule="auto"/>
              <w:jc w:val="center"/>
              <w:textAlignment w:val="center"/>
              <w:rPr>
                <w:sz w:val="21"/>
              </w:rPr>
            </w:pPr>
            <w:r>
              <w:rPr>
                <w:rFonts w:hint="eastAsia"/>
                <w:sz w:val="21"/>
              </w:rPr>
              <w:t>13.4</w:t>
            </w:r>
          </w:p>
        </w:tc>
        <w:tc>
          <w:tcPr>
            <w:tcW w:w="923" w:type="dxa"/>
            <w:vAlign w:val="center"/>
          </w:tcPr>
          <w:p>
            <w:pPr>
              <w:widowControl/>
              <w:spacing w:line="240" w:lineRule="auto"/>
              <w:jc w:val="center"/>
              <w:textAlignment w:val="center"/>
              <w:rPr>
                <w:sz w:val="21"/>
              </w:rPr>
            </w:pPr>
            <w:r>
              <w:rPr>
                <w:rFonts w:hint="eastAsia"/>
                <w:sz w:val="21"/>
              </w:rPr>
              <w:t>13.0</w:t>
            </w:r>
          </w:p>
        </w:tc>
        <w:tc>
          <w:tcPr>
            <w:tcW w:w="924" w:type="dxa"/>
          </w:tcPr>
          <w:p>
            <w:pPr>
              <w:pStyle w:val="2784"/>
              <w:snapToGrid w:val="0"/>
              <w:spacing w:line="240" w:lineRule="auto"/>
            </w:pPr>
            <w:r>
              <w:rPr>
                <w:rFonts w:hint="eastAsia"/>
              </w:rPr>
              <w:t>13.3</w:t>
            </w:r>
          </w:p>
        </w:tc>
        <w:tc>
          <w:tcPr>
            <w:tcW w:w="924" w:type="dxa"/>
          </w:tcPr>
          <w:p>
            <w:pPr>
              <w:pStyle w:val="2784"/>
              <w:snapToGrid w:val="0"/>
              <w:spacing w:line="240" w:lineRule="auto"/>
            </w:pPr>
            <w:r>
              <w:rPr>
                <w:rFonts w:hint="eastAsia"/>
              </w:rPr>
              <w:t>13.6</w:t>
            </w:r>
          </w:p>
        </w:tc>
        <w:tc>
          <w:tcPr>
            <w:tcW w:w="924" w:type="dxa"/>
            <w:vAlign w:val="center"/>
          </w:tcPr>
          <w:p>
            <w:pPr>
              <w:pStyle w:val="2784"/>
              <w:snapToGrid w:val="0"/>
              <w:spacing w:line="240" w:lineRule="auto"/>
            </w:pPr>
            <w:r>
              <w:rPr>
                <w:rFonts w:hint="eastAsia"/>
              </w:rPr>
              <w:t>120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rPr>
            </w:pPr>
            <w:r>
              <w:rPr>
                <w:sz w:val="21"/>
                <w:szCs w:val="21"/>
              </w:rPr>
              <w:t>汞</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sz w:val="21"/>
              </w:rPr>
              <w:t>0.311</w:t>
            </w:r>
          </w:p>
        </w:tc>
        <w:tc>
          <w:tcPr>
            <w:tcW w:w="1057" w:type="dxa"/>
            <w:vAlign w:val="center"/>
          </w:tcPr>
          <w:p>
            <w:pPr>
              <w:widowControl/>
              <w:spacing w:line="240" w:lineRule="auto"/>
              <w:jc w:val="center"/>
              <w:textAlignment w:val="center"/>
              <w:rPr>
                <w:sz w:val="21"/>
              </w:rPr>
            </w:pPr>
            <w:r>
              <w:rPr>
                <w:rFonts w:hint="eastAsia"/>
                <w:sz w:val="21"/>
              </w:rPr>
              <w:t>0.247</w:t>
            </w:r>
          </w:p>
        </w:tc>
        <w:tc>
          <w:tcPr>
            <w:tcW w:w="923" w:type="dxa"/>
            <w:vAlign w:val="center"/>
          </w:tcPr>
          <w:p>
            <w:pPr>
              <w:widowControl/>
              <w:spacing w:line="240" w:lineRule="auto"/>
              <w:jc w:val="center"/>
              <w:textAlignment w:val="center"/>
              <w:rPr>
                <w:sz w:val="21"/>
              </w:rPr>
            </w:pPr>
            <w:r>
              <w:rPr>
                <w:rFonts w:hint="eastAsia"/>
                <w:sz w:val="21"/>
              </w:rPr>
              <w:t>0.216</w:t>
            </w:r>
          </w:p>
        </w:tc>
        <w:tc>
          <w:tcPr>
            <w:tcW w:w="924" w:type="dxa"/>
          </w:tcPr>
          <w:p>
            <w:pPr>
              <w:pStyle w:val="2784"/>
              <w:snapToGrid w:val="0"/>
              <w:spacing w:line="240" w:lineRule="auto"/>
            </w:pPr>
            <w:r>
              <w:rPr>
                <w:rFonts w:hint="eastAsia"/>
              </w:rPr>
              <w:t>0.240</w:t>
            </w:r>
          </w:p>
        </w:tc>
        <w:tc>
          <w:tcPr>
            <w:tcW w:w="924" w:type="dxa"/>
          </w:tcPr>
          <w:p>
            <w:pPr>
              <w:pStyle w:val="2784"/>
              <w:snapToGrid w:val="0"/>
              <w:spacing w:line="240" w:lineRule="auto"/>
            </w:pPr>
            <w:r>
              <w:rPr>
                <w:rFonts w:hint="eastAsia"/>
              </w:rPr>
              <w:t>0.238</w:t>
            </w:r>
          </w:p>
        </w:tc>
        <w:tc>
          <w:tcPr>
            <w:tcW w:w="924" w:type="dxa"/>
            <w:vAlign w:val="center"/>
          </w:tcPr>
          <w:p>
            <w:pPr>
              <w:pStyle w:val="2784"/>
              <w:snapToGrid w:val="0"/>
              <w:spacing w:line="240" w:lineRule="auto"/>
            </w:pPr>
            <w:r>
              <w:rPr>
                <w:rFonts w:hint="eastAsia"/>
              </w:rPr>
              <w:t>2.4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szCs w:val="21"/>
              </w:rPr>
            </w:pPr>
            <w:r>
              <w:rPr>
                <w:rFonts w:hint="eastAsia"/>
                <w:sz w:val="21"/>
                <w:szCs w:val="21"/>
              </w:rPr>
              <w:t>砷</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sz w:val="21"/>
              </w:rPr>
              <w:t>5.24</w:t>
            </w:r>
          </w:p>
        </w:tc>
        <w:tc>
          <w:tcPr>
            <w:tcW w:w="1057" w:type="dxa"/>
            <w:vAlign w:val="center"/>
          </w:tcPr>
          <w:p>
            <w:pPr>
              <w:widowControl/>
              <w:spacing w:line="240" w:lineRule="auto"/>
              <w:jc w:val="center"/>
              <w:textAlignment w:val="center"/>
              <w:rPr>
                <w:sz w:val="21"/>
              </w:rPr>
            </w:pPr>
            <w:r>
              <w:rPr>
                <w:rFonts w:hint="eastAsia"/>
                <w:sz w:val="21"/>
              </w:rPr>
              <w:t>3.50</w:t>
            </w:r>
          </w:p>
        </w:tc>
        <w:tc>
          <w:tcPr>
            <w:tcW w:w="923" w:type="dxa"/>
            <w:vAlign w:val="center"/>
          </w:tcPr>
          <w:p>
            <w:pPr>
              <w:widowControl/>
              <w:spacing w:line="240" w:lineRule="auto"/>
              <w:jc w:val="center"/>
              <w:textAlignment w:val="center"/>
              <w:rPr>
                <w:sz w:val="21"/>
              </w:rPr>
            </w:pPr>
            <w:r>
              <w:rPr>
                <w:rFonts w:hint="eastAsia"/>
                <w:sz w:val="21"/>
              </w:rPr>
              <w:t>5.61</w:t>
            </w:r>
          </w:p>
        </w:tc>
        <w:tc>
          <w:tcPr>
            <w:tcW w:w="924" w:type="dxa"/>
          </w:tcPr>
          <w:p>
            <w:pPr>
              <w:pStyle w:val="2784"/>
              <w:snapToGrid w:val="0"/>
              <w:spacing w:line="240" w:lineRule="auto"/>
            </w:pPr>
            <w:r>
              <w:rPr>
                <w:rFonts w:hint="eastAsia"/>
              </w:rPr>
              <w:t>5.19</w:t>
            </w:r>
          </w:p>
        </w:tc>
        <w:tc>
          <w:tcPr>
            <w:tcW w:w="924" w:type="dxa"/>
          </w:tcPr>
          <w:p>
            <w:pPr>
              <w:pStyle w:val="2784"/>
              <w:snapToGrid w:val="0"/>
              <w:spacing w:line="240" w:lineRule="auto"/>
            </w:pPr>
            <w:r>
              <w:rPr>
                <w:rFonts w:hint="eastAsia"/>
              </w:rPr>
              <w:t>2.73</w:t>
            </w:r>
          </w:p>
        </w:tc>
        <w:tc>
          <w:tcPr>
            <w:tcW w:w="924" w:type="dxa"/>
            <w:vAlign w:val="center"/>
          </w:tcPr>
          <w:p>
            <w:pPr>
              <w:pStyle w:val="2784"/>
              <w:snapToGrid w:val="0"/>
              <w:spacing w:line="240" w:lineRule="auto"/>
            </w:pPr>
            <w:r>
              <w:rPr>
                <w:rFonts w:hint="eastAsia"/>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40" w:hRule="atLeast"/>
          <w:jc w:val="center"/>
        </w:trPr>
        <w:tc>
          <w:tcPr>
            <w:tcW w:w="557" w:type="dxa"/>
            <w:vMerge w:val="continue"/>
            <w:vAlign w:val="center"/>
          </w:tcPr>
          <w:p>
            <w:pPr>
              <w:pStyle w:val="2784"/>
              <w:snapToGrid w:val="0"/>
              <w:spacing w:line="240" w:lineRule="auto"/>
            </w:pPr>
          </w:p>
        </w:tc>
        <w:tc>
          <w:tcPr>
            <w:tcW w:w="1019" w:type="dxa"/>
            <w:vAlign w:val="center"/>
          </w:tcPr>
          <w:p>
            <w:pPr>
              <w:spacing w:line="240" w:lineRule="auto"/>
              <w:jc w:val="center"/>
              <w:rPr>
                <w:sz w:val="21"/>
              </w:rPr>
            </w:pPr>
            <w:r>
              <w:rPr>
                <w:sz w:val="21"/>
                <w:szCs w:val="21"/>
              </w:rPr>
              <w:t>镍</w:t>
            </w:r>
          </w:p>
        </w:tc>
        <w:tc>
          <w:tcPr>
            <w:tcW w:w="790" w:type="dxa"/>
            <w:vAlign w:val="center"/>
          </w:tcPr>
          <w:p>
            <w:pPr>
              <w:snapToGrid w:val="0"/>
              <w:spacing w:line="240" w:lineRule="auto"/>
              <w:jc w:val="center"/>
              <w:rPr>
                <w:sz w:val="21"/>
              </w:rPr>
            </w:pPr>
            <w:r>
              <w:rPr>
                <w:sz w:val="21"/>
              </w:rPr>
              <w:t>mg/kg</w:t>
            </w:r>
          </w:p>
        </w:tc>
        <w:tc>
          <w:tcPr>
            <w:tcW w:w="1197" w:type="dxa"/>
            <w:vAlign w:val="center"/>
          </w:tcPr>
          <w:p>
            <w:pPr>
              <w:widowControl/>
              <w:spacing w:line="240" w:lineRule="auto"/>
              <w:jc w:val="center"/>
              <w:textAlignment w:val="center"/>
              <w:rPr>
                <w:sz w:val="21"/>
              </w:rPr>
            </w:pPr>
            <w:r>
              <w:rPr>
                <w:rFonts w:hint="eastAsia"/>
                <w:sz w:val="21"/>
              </w:rPr>
              <w:t>47</w:t>
            </w:r>
          </w:p>
        </w:tc>
        <w:tc>
          <w:tcPr>
            <w:tcW w:w="1057" w:type="dxa"/>
            <w:vAlign w:val="center"/>
          </w:tcPr>
          <w:p>
            <w:pPr>
              <w:widowControl/>
              <w:spacing w:line="240" w:lineRule="auto"/>
              <w:jc w:val="center"/>
              <w:textAlignment w:val="center"/>
              <w:rPr>
                <w:sz w:val="21"/>
              </w:rPr>
            </w:pPr>
            <w:r>
              <w:rPr>
                <w:rFonts w:hint="eastAsia"/>
                <w:sz w:val="21"/>
              </w:rPr>
              <w:t>49</w:t>
            </w:r>
          </w:p>
        </w:tc>
        <w:tc>
          <w:tcPr>
            <w:tcW w:w="923" w:type="dxa"/>
            <w:vAlign w:val="center"/>
          </w:tcPr>
          <w:p>
            <w:pPr>
              <w:widowControl/>
              <w:spacing w:line="240" w:lineRule="auto"/>
              <w:jc w:val="center"/>
              <w:textAlignment w:val="center"/>
              <w:rPr>
                <w:sz w:val="21"/>
              </w:rPr>
            </w:pPr>
            <w:r>
              <w:rPr>
                <w:rFonts w:hint="eastAsia"/>
                <w:sz w:val="21"/>
              </w:rPr>
              <w:t>64</w:t>
            </w:r>
          </w:p>
        </w:tc>
        <w:tc>
          <w:tcPr>
            <w:tcW w:w="924" w:type="dxa"/>
          </w:tcPr>
          <w:p>
            <w:pPr>
              <w:pStyle w:val="2784"/>
              <w:snapToGrid w:val="0"/>
              <w:spacing w:line="240" w:lineRule="auto"/>
            </w:pPr>
            <w:r>
              <w:rPr>
                <w:rFonts w:hint="eastAsia"/>
              </w:rPr>
              <w:t>54</w:t>
            </w:r>
          </w:p>
        </w:tc>
        <w:tc>
          <w:tcPr>
            <w:tcW w:w="924" w:type="dxa"/>
          </w:tcPr>
          <w:p>
            <w:pPr>
              <w:pStyle w:val="2784"/>
              <w:snapToGrid w:val="0"/>
              <w:spacing w:line="240" w:lineRule="auto"/>
            </w:pPr>
            <w:r>
              <w:rPr>
                <w:rFonts w:hint="eastAsia"/>
              </w:rPr>
              <w:t>47</w:t>
            </w:r>
          </w:p>
        </w:tc>
        <w:tc>
          <w:tcPr>
            <w:tcW w:w="924" w:type="dxa"/>
            <w:vAlign w:val="center"/>
          </w:tcPr>
          <w:p>
            <w:pPr>
              <w:pStyle w:val="2784"/>
              <w:snapToGrid w:val="0"/>
              <w:spacing w:line="240" w:lineRule="auto"/>
            </w:pPr>
            <w:r>
              <w:rPr>
                <w:rFonts w:hint="eastAsia"/>
              </w:rPr>
              <w:t>100</w:t>
            </w:r>
          </w:p>
        </w:tc>
      </w:tr>
    </w:tbl>
    <w:p>
      <w:pPr>
        <w:pStyle w:val="970"/>
        <w:snapToGrid w:val="0"/>
        <w:ind w:firstLine="480" w:firstLineChars="200"/>
        <w:rPr>
          <w:rFonts w:eastAsia="黑体"/>
        </w:rPr>
      </w:pPr>
      <w:r>
        <w:t>监测结果表明，监测点位各项监测指标均满足《土壤环境质量</w:t>
      </w:r>
      <w:r>
        <w:rPr>
          <w:rFonts w:hint="eastAsia"/>
        </w:rPr>
        <w:t>农用地</w:t>
      </w:r>
      <w:r>
        <w:t>土壤污染风险管控标准（试行）》（GB</w:t>
      </w:r>
      <w:r>
        <w:rPr>
          <w:rFonts w:hint="eastAsia"/>
        </w:rPr>
        <w:t>15618</w:t>
      </w:r>
      <w:r>
        <w:t>-2018）表1</w:t>
      </w:r>
      <w:r>
        <w:rPr>
          <w:rFonts w:hint="eastAsia"/>
        </w:rPr>
        <w:t>中6.5≤PH≤7.5的相关限值及</w:t>
      </w:r>
      <w:r>
        <w:t>《土壤环境质量建设用地土壤污染风险管控标准（试行）》（GB36600-2018）表1第二类用地筛选值。</w:t>
      </w:r>
    </w:p>
    <w:bookmarkEnd w:id="610"/>
    <w:bookmarkEnd w:id="611"/>
    <w:bookmarkEnd w:id="617"/>
    <w:bookmarkEnd w:id="618"/>
    <w:bookmarkEnd w:id="619"/>
    <w:bookmarkEnd w:id="620"/>
    <w:bookmarkEnd w:id="695"/>
    <w:bookmarkEnd w:id="696"/>
    <w:p>
      <w:pPr>
        <w:spacing w:before="240" w:after="60"/>
        <w:jc w:val="left"/>
        <w:outlineLvl w:val="2"/>
        <w:sectPr>
          <w:footerReference r:id="rId6" w:type="default"/>
          <w:pgSz w:w="11907" w:h="16840"/>
          <w:pgMar w:top="1440" w:right="1797" w:bottom="1440" w:left="1797" w:header="851" w:footer="851" w:gutter="0"/>
          <w:cols w:space="720" w:num="1"/>
        </w:sectPr>
      </w:pPr>
      <w:bookmarkStart w:id="698" w:name="_Toc279752034"/>
      <w:bookmarkStart w:id="699" w:name="_Toc129364512"/>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spacing w:val="4"/>
          <w:szCs w:val="32"/>
        </w:rPr>
      </w:pPr>
      <w:bookmarkStart w:id="700" w:name="_Toc413341838"/>
      <w:bookmarkStart w:id="701" w:name="_Toc427571516"/>
      <w:bookmarkStart w:id="702" w:name="_Toc29110600"/>
      <w:bookmarkStart w:id="703" w:name="_Toc457481008"/>
      <w:r>
        <w:rPr>
          <w:rFonts w:ascii="Times New Roman" w:hAnsi="Times New Roman" w:eastAsia="黑体" w:cs="Times New Roman"/>
          <w:b w:val="0"/>
          <w:bCs/>
          <w:kern w:val="44"/>
          <w:sz w:val="36"/>
        </w:rPr>
        <w:t>环境影响分析</w:t>
      </w:r>
      <w:bookmarkEnd w:id="700"/>
      <w:bookmarkEnd w:id="701"/>
      <w:bookmarkEnd w:id="702"/>
      <w:bookmarkEnd w:id="703"/>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04" w:name="_Toc29110601"/>
      <w:r>
        <w:rPr>
          <w:rFonts w:ascii="Times New Roman" w:hAnsi="Times New Roman" w:eastAsia="黑体" w:cs="Times New Roman"/>
          <w:b w:val="0"/>
          <w:bCs/>
          <w:spacing w:val="4"/>
          <w:kern w:val="2"/>
          <w:sz w:val="32"/>
          <w:szCs w:val="32"/>
        </w:rPr>
        <w:t>7.1 施工期环境影响分析</w:t>
      </w:r>
      <w:bookmarkEnd w:id="704"/>
    </w:p>
    <w:p>
      <w:pPr>
        <w:spacing w:before="240" w:after="60"/>
        <w:jc w:val="left"/>
        <w:outlineLvl w:val="2"/>
        <w:rPr>
          <w:rFonts w:eastAsia="黑体"/>
          <w:bCs/>
          <w:sz w:val="28"/>
          <w:szCs w:val="28"/>
        </w:rPr>
      </w:pPr>
      <w:r>
        <w:rPr>
          <w:rFonts w:eastAsia="黑体"/>
          <w:bCs/>
          <w:sz w:val="28"/>
          <w:szCs w:val="28"/>
        </w:rPr>
        <w:t xml:space="preserve">7.1.1 </w:t>
      </w:r>
      <w:r>
        <w:rPr>
          <w:rFonts w:hint="eastAsia" w:eastAsia="黑体"/>
          <w:bCs/>
          <w:sz w:val="28"/>
          <w:szCs w:val="28"/>
        </w:rPr>
        <w:t>施工期环境空气影响分析</w:t>
      </w:r>
    </w:p>
    <w:p>
      <w:pPr>
        <w:pStyle w:val="970"/>
        <w:snapToGrid w:val="0"/>
        <w:ind w:firstLine="0"/>
        <w:outlineLvl w:val="3"/>
        <w:rPr>
          <w:rFonts w:eastAsia="黑体"/>
          <w:bCs/>
          <w:szCs w:val="24"/>
        </w:rPr>
      </w:pPr>
      <w:r>
        <w:rPr>
          <w:rFonts w:hint="eastAsia" w:eastAsia="黑体"/>
          <w:bCs/>
          <w:szCs w:val="24"/>
        </w:rPr>
        <w:t>7.1.1.</w:t>
      </w:r>
      <w:r>
        <w:rPr>
          <w:rFonts w:eastAsia="黑体"/>
          <w:bCs/>
          <w:szCs w:val="24"/>
        </w:rPr>
        <w:t>1</w:t>
      </w:r>
      <w:r>
        <w:rPr>
          <w:rFonts w:hint="eastAsia" w:eastAsia="黑体"/>
          <w:bCs/>
          <w:szCs w:val="24"/>
        </w:rPr>
        <w:t>扬尘</w:t>
      </w:r>
    </w:p>
    <w:p>
      <w:pPr>
        <w:ind w:firstLine="480" w:firstLineChars="200"/>
        <w:rPr>
          <w:szCs w:val="28"/>
        </w:rPr>
      </w:pPr>
      <w:r>
        <w:rPr>
          <w:szCs w:val="28"/>
        </w:rPr>
        <w:t>施工期的扬尘污染主要来源于开挖土方、平整场地、材料运输和装卸、</w:t>
      </w:r>
      <w:r>
        <w:rPr>
          <w:rFonts w:hint="eastAsia"/>
          <w:szCs w:val="28"/>
        </w:rPr>
        <w:t>材料堆放</w:t>
      </w:r>
      <w:r>
        <w:rPr>
          <w:szCs w:val="28"/>
        </w:rPr>
        <w:t>等环节。</w:t>
      </w:r>
      <w:r>
        <w:rPr>
          <w:rFonts w:hint="eastAsia"/>
          <w:szCs w:val="28"/>
        </w:rPr>
        <w:t>目前已完成</w:t>
      </w:r>
      <w:r>
        <w:rPr>
          <w:szCs w:val="28"/>
        </w:rPr>
        <w:t>土方开挖</w:t>
      </w:r>
      <w:r>
        <w:rPr>
          <w:rFonts w:hint="eastAsia"/>
          <w:szCs w:val="28"/>
        </w:rPr>
        <w:t>、</w:t>
      </w:r>
      <w:r>
        <w:rPr>
          <w:szCs w:val="28"/>
        </w:rPr>
        <w:t>平整场地</w:t>
      </w:r>
      <w:r>
        <w:rPr>
          <w:rFonts w:hint="eastAsia"/>
          <w:szCs w:val="28"/>
        </w:rPr>
        <w:t>等施工工作。</w:t>
      </w:r>
    </w:p>
    <w:p>
      <w:pPr>
        <w:ind w:firstLine="480" w:firstLineChars="200"/>
        <w:rPr>
          <w:szCs w:val="28"/>
        </w:rPr>
      </w:pPr>
      <w:r>
        <w:rPr>
          <w:rFonts w:hint="eastAsia"/>
          <w:szCs w:val="28"/>
        </w:rPr>
        <w:t>（1）</w:t>
      </w:r>
      <w:r>
        <w:rPr>
          <w:szCs w:val="28"/>
        </w:rPr>
        <w:t>施工场地</w:t>
      </w:r>
    </w:p>
    <w:p>
      <w:pPr>
        <w:ind w:firstLine="480" w:firstLineChars="200"/>
        <w:rPr>
          <w:szCs w:val="28"/>
        </w:rPr>
      </w:pPr>
      <w:r>
        <w:rPr>
          <w:szCs w:val="28"/>
        </w:rPr>
        <w:t>在气候干燥又有风的情况下，裸露地面、堆场容易产生风力扬尘，其源强与尘粒的粒径大小、比重及环境风速、湿度等因素有关。根据资料，粒径越大，尘粒的沉降速度越大。根据类比监测，施工场地产生的扬尘中颗粒物粒径分布为：&lt;5μm 的占 8%，5～20μm 的占 24%，&gt;20μm 的占68%。可见施工场地有大量的颗粒物粒径在可产生扬尘的粒径范围内，极易造成粉尘污染。据类似工程监测，离施工现场 50m 处，总悬浮微粒日均浓度为1.13mg/m</w:t>
      </w:r>
      <w:r>
        <w:rPr>
          <w:szCs w:val="28"/>
          <w:vertAlign w:val="superscript"/>
        </w:rPr>
        <w:t>3</w:t>
      </w:r>
      <w:r>
        <w:rPr>
          <w:szCs w:val="28"/>
        </w:rPr>
        <w:t>，超出二级标准2.8倍，离现场200m 处为0.47mg/m</w:t>
      </w:r>
      <w:r>
        <w:rPr>
          <w:szCs w:val="28"/>
          <w:vertAlign w:val="superscript"/>
        </w:rPr>
        <w:t>3</w:t>
      </w:r>
      <w:r>
        <w:rPr>
          <w:szCs w:val="28"/>
        </w:rPr>
        <w:t>，超标0.6倍。</w:t>
      </w:r>
    </w:p>
    <w:p>
      <w:pPr>
        <w:ind w:firstLine="480" w:firstLineChars="200"/>
        <w:rPr>
          <w:szCs w:val="28"/>
        </w:rPr>
      </w:pPr>
      <w:r>
        <w:rPr>
          <w:szCs w:val="28"/>
        </w:rPr>
        <w:t>若采取定期洒水降尘、减少裸露地面等措施，可将风力起尘量降至最小，扬尘量可减少约70％。距离施工地点20m处TSP浓度可降至0.86mg/m</w:t>
      </w:r>
      <w:r>
        <w:rPr>
          <w:szCs w:val="28"/>
          <w:vertAlign w:val="superscript"/>
        </w:rPr>
        <w:t>3</w:t>
      </w:r>
      <w:r>
        <w:rPr>
          <w:szCs w:val="28"/>
        </w:rPr>
        <w:t>；50m处 TSP 浓度可降至0.35mg/m</w:t>
      </w:r>
      <w:r>
        <w:rPr>
          <w:szCs w:val="28"/>
          <w:vertAlign w:val="superscript"/>
        </w:rPr>
        <w:t>3</w:t>
      </w:r>
      <w:r>
        <w:rPr>
          <w:szCs w:val="28"/>
        </w:rPr>
        <w:t>。因此适当安排洒水次数，即可大大减少空气中总悬浮微粒的浓度，扬尘影响范围可控制在50m范围内。</w:t>
      </w:r>
    </w:p>
    <w:p>
      <w:pPr>
        <w:ind w:firstLine="480" w:firstLineChars="200"/>
        <w:rPr>
          <w:szCs w:val="28"/>
        </w:rPr>
      </w:pPr>
      <w:r>
        <w:rPr>
          <w:rFonts w:hint="eastAsia"/>
          <w:szCs w:val="28"/>
        </w:rPr>
        <w:t>（2）</w:t>
      </w:r>
      <w:r>
        <w:rPr>
          <w:szCs w:val="28"/>
        </w:rPr>
        <w:t>露天堆放物料</w:t>
      </w:r>
    </w:p>
    <w:p>
      <w:pPr>
        <w:ind w:firstLine="480" w:firstLineChars="200"/>
        <w:rPr>
          <w:szCs w:val="28"/>
        </w:rPr>
      </w:pPr>
      <w:r>
        <w:rPr>
          <w:szCs w:val="28"/>
        </w:rPr>
        <w:t>建筑材料露天堆放，大风天气时容易扬尘影响周围环境。参考煤场起尘量经验估算模式，如下：</w:t>
      </w:r>
    </w:p>
    <w:p>
      <w:pPr>
        <w:pStyle w:val="320"/>
        <w:snapToGrid w:val="0"/>
        <w:spacing w:line="360" w:lineRule="auto"/>
        <w:ind w:firstLine="480"/>
        <w:jc w:val="center"/>
      </w:pPr>
      <m:oMathPara>
        <m:oMath>
          <m:r>
            <m:rPr>
              <m:sty m:val="p"/>
            </m:rPr>
            <w:rPr>
              <w:rFonts w:ascii="Cambria Math" w:hAnsi="Cambria Math"/>
            </w:rPr>
            <m:t>Q=0.0666k</m:t>
          </m:r>
          <m:sSup>
            <m:sSupPr>
              <m:ctrlPr>
                <w:rPr>
                  <w:rFonts w:ascii="Cambria Math" w:hAnsi="Cambria Math"/>
                </w:rPr>
              </m:ctrlPr>
            </m:sSupPr>
            <m:e>
              <m:r>
                <m:rPr>
                  <m:sty m:val="p"/>
                </m:rPr>
                <w:rPr>
                  <w:rFonts w:ascii="Cambria Math" w:hAnsi="Cambria Math"/>
                </w:rPr>
                <m:t>（U-</m:t>
              </m:r>
              <m:sSub>
                <m:sSubPr>
                  <m:ctrlPr>
                    <w:rPr>
                      <w:rFonts w:ascii="Cambria Math" w:hAnsi="Cambria Math"/>
                    </w:rPr>
                  </m:ctrlPr>
                </m:sSubPr>
                <m:e>
                  <m:r>
                    <m:rPr>
                      <m:sty m:val="p"/>
                    </m:rPr>
                    <w:rPr>
                      <w:rFonts w:ascii="Cambria Math" w:hAnsi="Cambria Math"/>
                    </w:rPr>
                    <m:t>U</m:t>
                  </m:r>
                  <m:ctrlPr>
                    <w:rPr>
                      <w:rFonts w:ascii="Cambria Math" w:hAnsi="Cambria Math"/>
                    </w:rPr>
                  </m:ctrlPr>
                </m:e>
                <m:sub>
                  <m:r>
                    <m:rPr>
                      <m:sty m:val="p"/>
                    </m:rPr>
                    <w:rPr>
                      <w:rFonts w:ascii="Cambria Math" w:hAnsi="Cambria Math"/>
                    </w:rPr>
                    <m:t>0</m:t>
                  </m:r>
                  <m:ctrlPr>
                    <w:rPr>
                      <w:rFonts w:ascii="Cambria Math" w:hAnsi="Cambria Math"/>
                    </w:rPr>
                  </m:ctrlPr>
                </m:sub>
              </m:sSub>
              <m:r>
                <m:rPr>
                  <m:sty m:val="p"/>
                </m:rPr>
                <w:rPr>
                  <w:rFonts w:ascii="Cambria Math" w:hAnsi="Cambria Math"/>
                </w:rPr>
                <m:t>）</m:t>
              </m:r>
              <m:ctrlPr>
                <w:rPr>
                  <w:rFonts w:ascii="Cambria Math" w:hAnsi="Cambria Math"/>
                </w:rPr>
              </m:ctrlPr>
            </m:e>
            <m:sup>
              <m:r>
                <m:rPr>
                  <m:sty m:val="p"/>
                </m:rPr>
                <w:rPr>
                  <w:rFonts w:ascii="Cambria Math" w:hAnsi="Cambria Math"/>
                </w:rPr>
                <m:t>3</m:t>
              </m:r>
              <m:ctrlPr>
                <w:rPr>
                  <w:rFonts w:ascii="Cambria Math" w:hAnsi="Cambria Math"/>
                </w:rPr>
              </m:ctrlPr>
            </m:sup>
          </m:sSup>
          <m:sSup>
            <m:sSupPr>
              <m:ctrlPr>
                <w:rPr>
                  <w:rFonts w:ascii="Cambria Math" w:hAnsi="Cambria Math"/>
                </w:rPr>
              </m:ctrlPr>
            </m:sSupPr>
            <m:e>
              <m:r>
                <m:rPr>
                  <m:sty m:val="p"/>
                </m:rPr>
                <w:rPr>
                  <w:rFonts w:ascii="Cambria Math" w:hAnsi="Cambria Math"/>
                </w:rPr>
                <m:t>e</m:t>
              </m:r>
              <m:ctrlPr>
                <w:rPr>
                  <w:rFonts w:ascii="Cambria Math" w:hAnsi="Cambria Math"/>
                </w:rPr>
              </m:ctrlPr>
            </m:e>
            <m:sup>
              <m:r>
                <m:rPr>
                  <m:sty m:val="p"/>
                </m:rPr>
                <w:rPr>
                  <w:rFonts w:ascii="Cambria Math" w:hAnsi="Cambria Math"/>
                </w:rPr>
                <m:t>-1.023w</m:t>
              </m:r>
              <m:ctrlPr>
                <w:rPr>
                  <w:rFonts w:ascii="Cambria Math" w:hAnsi="Cambria Math"/>
                </w:rPr>
              </m:ctrlPr>
            </m:sup>
          </m:sSup>
          <m:r>
            <m:rPr>
              <m:sty m:val="p"/>
            </m:rPr>
            <w:rPr>
              <w:rFonts w:ascii="Cambria Math" w:hAnsi="Cambria Math"/>
            </w:rPr>
            <m:t>M</m:t>
          </m:r>
        </m:oMath>
      </m:oMathPara>
    </w:p>
    <w:p>
      <w:pPr>
        <w:ind w:firstLine="480" w:firstLineChars="200"/>
        <w:rPr>
          <w:szCs w:val="28"/>
        </w:rPr>
      </w:pPr>
      <w:r>
        <w:rPr>
          <w:szCs w:val="28"/>
        </w:rPr>
        <w:t>式中：Q——堆放场地起尘量，mg/s；</w:t>
      </w:r>
    </w:p>
    <w:p>
      <w:pPr>
        <w:ind w:firstLine="1200" w:firstLineChars="500"/>
        <w:rPr>
          <w:szCs w:val="28"/>
        </w:rPr>
      </w:pPr>
      <w:r>
        <w:rPr>
          <w:szCs w:val="28"/>
        </w:rPr>
        <w:t>U</w:t>
      </w:r>
      <w:r>
        <w:rPr>
          <w:szCs w:val="28"/>
          <w:vertAlign w:val="subscript"/>
        </w:rPr>
        <w:t>0</w:t>
      </w:r>
      <w:r>
        <w:rPr>
          <w:szCs w:val="28"/>
        </w:rPr>
        <w:t>——50m高度处的扬尘起动风速，一般取4.0 m/s；</w:t>
      </w:r>
    </w:p>
    <w:p>
      <w:pPr>
        <w:ind w:firstLine="1200" w:firstLineChars="500"/>
        <w:rPr>
          <w:szCs w:val="28"/>
        </w:rPr>
      </w:pPr>
      <w:r>
        <w:rPr>
          <w:szCs w:val="28"/>
        </w:rPr>
        <w:t>U——50 m高度处的风速，m/s（取U=4.8m/s）；</w:t>
      </w:r>
    </w:p>
    <w:p>
      <w:pPr>
        <w:ind w:firstLine="1200" w:firstLineChars="500"/>
        <w:rPr>
          <w:szCs w:val="28"/>
        </w:rPr>
      </w:pPr>
      <w:r>
        <w:rPr>
          <w:szCs w:val="28"/>
        </w:rPr>
        <w:t>w——物料含水率，%（项目露天堆放建筑物料以沙石为主，含水率较大，取7%）；</w:t>
      </w:r>
    </w:p>
    <w:p>
      <w:pPr>
        <w:ind w:firstLine="1080" w:firstLineChars="450"/>
        <w:rPr>
          <w:szCs w:val="28"/>
        </w:rPr>
      </w:pPr>
      <w:r>
        <w:rPr>
          <w:szCs w:val="28"/>
        </w:rPr>
        <w:t>M——堆场堆放的物料量，t（取M=5t）；</w:t>
      </w:r>
    </w:p>
    <w:p>
      <w:pPr>
        <w:ind w:firstLine="1080" w:firstLineChars="450"/>
        <w:rPr>
          <w:szCs w:val="28"/>
        </w:rPr>
      </w:pPr>
      <w:r>
        <w:rPr>
          <w:szCs w:val="28"/>
        </w:rPr>
        <w:t>k——与堆放物料含水率有关的系数，详见表</w:t>
      </w:r>
      <w:r>
        <w:rPr>
          <w:rFonts w:hint="eastAsia"/>
          <w:szCs w:val="28"/>
        </w:rPr>
        <w:t>7</w:t>
      </w:r>
      <w:r>
        <w:rPr>
          <w:szCs w:val="28"/>
        </w:rPr>
        <w:t>.1-1。</w:t>
      </w:r>
    </w:p>
    <w:p>
      <w:pPr>
        <w:spacing w:line="240" w:lineRule="auto"/>
        <w:jc w:val="center"/>
        <w:rPr>
          <w:rFonts w:eastAsia="黑体"/>
        </w:rPr>
      </w:pPr>
      <w:r>
        <w:rPr>
          <w:rFonts w:eastAsia="黑体"/>
        </w:rPr>
        <w:t>表</w:t>
      </w:r>
      <w:r>
        <w:rPr>
          <w:rFonts w:hint="eastAsia" w:eastAsia="黑体"/>
        </w:rPr>
        <w:t>7</w:t>
      </w:r>
      <w:r>
        <w:rPr>
          <w:rFonts w:eastAsia="黑体"/>
        </w:rPr>
        <w:t>.1-1</w:t>
      </w:r>
      <w:r>
        <w:rPr>
          <w:rFonts w:eastAsia="黑体"/>
        </w:rPr>
        <w:tab/>
      </w:r>
      <w:r>
        <w:rPr>
          <w:rFonts w:eastAsia="黑体"/>
        </w:rPr>
        <w:t>不同含水率下的k值</w:t>
      </w:r>
    </w:p>
    <w:tbl>
      <w:tblPr>
        <w:tblStyle w:val="88"/>
        <w:tblW w:w="8220"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1253"/>
        <w:gridCol w:w="875"/>
        <w:gridCol w:w="873"/>
        <w:gridCol w:w="873"/>
        <w:gridCol w:w="875"/>
        <w:gridCol w:w="873"/>
        <w:gridCol w:w="873"/>
        <w:gridCol w:w="875"/>
        <w:gridCol w:w="850"/>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253" w:type="dxa"/>
            <w:tcBorders>
              <w:left w:val="nil"/>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含水率(％)</w:t>
            </w:r>
          </w:p>
        </w:tc>
        <w:tc>
          <w:tcPr>
            <w:tcW w:w="875"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1</w:t>
            </w:r>
          </w:p>
        </w:tc>
        <w:tc>
          <w:tcPr>
            <w:tcW w:w="873"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3</w:t>
            </w:r>
          </w:p>
        </w:tc>
        <w:tc>
          <w:tcPr>
            <w:tcW w:w="873"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4</w:t>
            </w:r>
          </w:p>
        </w:tc>
        <w:tc>
          <w:tcPr>
            <w:tcW w:w="875"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5</w:t>
            </w:r>
          </w:p>
        </w:tc>
        <w:tc>
          <w:tcPr>
            <w:tcW w:w="873"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6</w:t>
            </w:r>
          </w:p>
        </w:tc>
        <w:tc>
          <w:tcPr>
            <w:tcW w:w="873"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7</w:t>
            </w:r>
          </w:p>
        </w:tc>
        <w:tc>
          <w:tcPr>
            <w:tcW w:w="875" w:type="dxa"/>
            <w:tcBorders>
              <w:left w:val="single" w:color="auto" w:sz="4" w:space="0"/>
              <w:bottom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8</w:t>
            </w:r>
          </w:p>
        </w:tc>
        <w:tc>
          <w:tcPr>
            <w:tcW w:w="850" w:type="dxa"/>
            <w:tcBorders>
              <w:left w:val="single" w:color="auto" w:sz="4" w:space="0"/>
              <w:bottom w:val="single" w:color="auto" w:sz="4" w:space="0"/>
              <w:right w:val="nil"/>
            </w:tcBorders>
            <w:shd w:val="clear" w:color="auto" w:fill="auto"/>
            <w:vAlign w:val="center"/>
          </w:tcPr>
          <w:p>
            <w:pPr>
              <w:spacing w:line="240" w:lineRule="auto"/>
              <w:jc w:val="center"/>
              <w:rPr>
                <w:sz w:val="21"/>
                <w:szCs w:val="21"/>
              </w:rPr>
            </w:pPr>
            <w:r>
              <w:rPr>
                <w:sz w:val="21"/>
                <w:szCs w:val="21"/>
              </w:rPr>
              <w:t>9</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253" w:type="dxa"/>
            <w:tcBorders>
              <w:top w:val="single" w:color="auto" w:sz="4" w:space="0"/>
              <w:left w:val="nil"/>
              <w:right w:val="single" w:color="auto" w:sz="4" w:space="0"/>
            </w:tcBorders>
            <w:shd w:val="clear" w:color="auto" w:fill="auto"/>
            <w:vAlign w:val="center"/>
          </w:tcPr>
          <w:p>
            <w:pPr>
              <w:spacing w:line="240" w:lineRule="auto"/>
              <w:jc w:val="center"/>
              <w:rPr>
                <w:sz w:val="21"/>
                <w:szCs w:val="21"/>
              </w:rPr>
            </w:pPr>
            <w:r>
              <w:rPr>
                <w:sz w:val="21"/>
                <w:szCs w:val="21"/>
              </w:rPr>
              <w:t>k</w:t>
            </w:r>
          </w:p>
        </w:tc>
        <w:tc>
          <w:tcPr>
            <w:tcW w:w="875"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1.019</w:t>
            </w:r>
          </w:p>
        </w:tc>
        <w:tc>
          <w:tcPr>
            <w:tcW w:w="873"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1.002</w:t>
            </w:r>
          </w:p>
        </w:tc>
        <w:tc>
          <w:tcPr>
            <w:tcW w:w="873"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0.995</w:t>
            </w:r>
          </w:p>
        </w:tc>
        <w:tc>
          <w:tcPr>
            <w:tcW w:w="875"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0.986</w:t>
            </w:r>
          </w:p>
        </w:tc>
        <w:tc>
          <w:tcPr>
            <w:tcW w:w="873"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0.979</w:t>
            </w:r>
          </w:p>
        </w:tc>
        <w:tc>
          <w:tcPr>
            <w:tcW w:w="873"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0.971</w:t>
            </w:r>
          </w:p>
        </w:tc>
        <w:tc>
          <w:tcPr>
            <w:tcW w:w="875" w:type="dxa"/>
            <w:tcBorders>
              <w:top w:val="single" w:color="auto" w:sz="4" w:space="0"/>
              <w:left w:val="single" w:color="auto" w:sz="4" w:space="0"/>
              <w:right w:val="single" w:color="auto" w:sz="4" w:space="0"/>
            </w:tcBorders>
            <w:shd w:val="clear" w:color="auto" w:fill="auto"/>
            <w:vAlign w:val="center"/>
          </w:tcPr>
          <w:p>
            <w:pPr>
              <w:spacing w:line="240" w:lineRule="auto"/>
              <w:jc w:val="center"/>
              <w:rPr>
                <w:sz w:val="21"/>
                <w:szCs w:val="21"/>
              </w:rPr>
            </w:pPr>
            <w:r>
              <w:rPr>
                <w:sz w:val="21"/>
                <w:szCs w:val="21"/>
              </w:rPr>
              <w:t>0.963</w:t>
            </w:r>
          </w:p>
        </w:tc>
        <w:tc>
          <w:tcPr>
            <w:tcW w:w="850" w:type="dxa"/>
            <w:tcBorders>
              <w:top w:val="single" w:color="auto" w:sz="4" w:space="0"/>
              <w:left w:val="single" w:color="auto" w:sz="4" w:space="0"/>
              <w:right w:val="nil"/>
            </w:tcBorders>
            <w:shd w:val="clear" w:color="auto" w:fill="auto"/>
            <w:vAlign w:val="center"/>
          </w:tcPr>
          <w:p>
            <w:pPr>
              <w:spacing w:line="240" w:lineRule="auto"/>
              <w:jc w:val="center"/>
              <w:rPr>
                <w:sz w:val="21"/>
                <w:szCs w:val="21"/>
              </w:rPr>
            </w:pPr>
            <w:r>
              <w:rPr>
                <w:sz w:val="21"/>
                <w:szCs w:val="21"/>
              </w:rPr>
              <w:t>0.96</w:t>
            </w:r>
          </w:p>
        </w:tc>
      </w:tr>
    </w:tbl>
    <w:p>
      <w:pPr>
        <w:ind w:firstLine="480" w:firstLineChars="200"/>
        <w:rPr>
          <w:szCs w:val="28"/>
        </w:rPr>
      </w:pPr>
    </w:p>
    <w:p>
      <w:pPr>
        <w:ind w:firstLine="480" w:firstLineChars="200"/>
        <w:rPr>
          <w:szCs w:val="28"/>
        </w:rPr>
      </w:pPr>
      <w:r>
        <w:rPr>
          <w:szCs w:val="28"/>
        </w:rPr>
        <w:t>经计算，项目堆场可能引起的起尘量 Q=154113mg/s。按扬尘高度50m估算，堆场四周20m处内TSP浓度约2.45mg/m</w:t>
      </w:r>
      <w:r>
        <w:rPr>
          <w:szCs w:val="28"/>
          <w:vertAlign w:val="superscript"/>
        </w:rPr>
        <w:t>3</w:t>
      </w:r>
      <w:r>
        <w:rPr>
          <w:szCs w:val="28"/>
        </w:rPr>
        <w:t>，30m处TSP浓度约1.09mg/m</w:t>
      </w:r>
      <w:r>
        <w:rPr>
          <w:szCs w:val="28"/>
          <w:vertAlign w:val="superscript"/>
        </w:rPr>
        <w:t>3</w:t>
      </w:r>
      <w:r>
        <w:rPr>
          <w:szCs w:val="28"/>
        </w:rPr>
        <w:t>，50m 处TSP 浓度约0.39mg/m</w:t>
      </w:r>
      <w:r>
        <w:rPr>
          <w:szCs w:val="28"/>
          <w:vertAlign w:val="superscript"/>
        </w:rPr>
        <w:t>3</w:t>
      </w:r>
      <w:r>
        <w:rPr>
          <w:szCs w:val="28"/>
        </w:rPr>
        <w:t>。按洒水降尘率70％计，则距离堆料场20m处TSP浓度约0.73mg/m</w:t>
      </w:r>
      <w:r>
        <w:rPr>
          <w:szCs w:val="28"/>
          <w:vertAlign w:val="superscript"/>
        </w:rPr>
        <w:t>3</w:t>
      </w:r>
      <w:r>
        <w:rPr>
          <w:szCs w:val="28"/>
        </w:rPr>
        <w:t>。因此定期洒水降尘，堆场扬尘影响可降至最低，场界可达标。</w:t>
      </w:r>
    </w:p>
    <w:p>
      <w:pPr>
        <w:ind w:firstLine="480" w:firstLineChars="200"/>
        <w:rPr>
          <w:szCs w:val="28"/>
        </w:rPr>
      </w:pPr>
      <w:r>
        <w:rPr>
          <w:rFonts w:hint="eastAsia"/>
          <w:szCs w:val="28"/>
        </w:rPr>
        <w:t>（3）</w:t>
      </w:r>
      <w:r>
        <w:rPr>
          <w:szCs w:val="28"/>
        </w:rPr>
        <w:t>卸料扬尘</w:t>
      </w:r>
    </w:p>
    <w:p>
      <w:pPr>
        <w:ind w:firstLine="480" w:firstLineChars="200"/>
        <w:rPr>
          <w:szCs w:val="28"/>
        </w:rPr>
      </w:pPr>
      <w:r>
        <w:rPr>
          <w:szCs w:val="28"/>
        </w:rPr>
        <w:t>自卸汽车卸料起尘量，参考采用山西环保科研所、武汉水运工程学院提出的经验公式估算：</w:t>
      </w:r>
    </w:p>
    <w:p>
      <w:pPr>
        <w:pStyle w:val="320"/>
        <w:snapToGrid w:val="0"/>
        <w:spacing w:line="360" w:lineRule="auto"/>
        <w:ind w:firstLine="480"/>
        <w:jc w:val="center"/>
      </w:pPr>
      <m:oMathPara>
        <m:oMath>
          <m:r>
            <m:rPr>
              <m:sty m:val="p"/>
            </m:rPr>
            <w:rPr>
              <w:rFonts w:ascii="Cambria Math" w:hAnsi="Cambria Math"/>
            </w:rPr>
            <m:t>Q=</m:t>
          </m:r>
          <m:sSup>
            <m:sSupPr>
              <m:ctrlPr>
                <w:rPr>
                  <w:rFonts w:ascii="Cambria Math" w:hAnsi="Cambria Math"/>
                </w:rPr>
              </m:ctrlPr>
            </m:sSupPr>
            <m:e>
              <m:r>
                <m:rPr>
                  <m:sty m:val="p"/>
                </m:rPr>
                <w:rPr>
                  <w:rFonts w:ascii="Cambria Math" w:hAnsi="Cambria Math"/>
                </w:rPr>
                <m:t>e</m:t>
              </m:r>
              <m:ctrlPr>
                <w:rPr>
                  <w:rFonts w:ascii="Cambria Math" w:hAnsi="Cambria Math"/>
                </w:rPr>
              </m:ctrlPr>
            </m:e>
            <m:sup>
              <m:r>
                <m:rPr>
                  <m:sty m:val="p"/>
                </m:rPr>
                <w:rPr>
                  <w:rFonts w:ascii="Cambria Math" w:hAnsi="Cambria Math"/>
                </w:rPr>
                <m:t>0.61u</m:t>
              </m:r>
              <m:ctrlPr>
                <w:rPr>
                  <w:rFonts w:ascii="Cambria Math" w:hAnsi="Cambria Math"/>
                </w:rPr>
              </m:ctrlPr>
            </m:sup>
          </m:sSup>
          <m:f>
            <m:fPr>
              <m:ctrlPr>
                <w:rPr>
                  <w:rFonts w:ascii="Cambria Math" w:hAnsi="Cambria Math"/>
                </w:rPr>
              </m:ctrlPr>
            </m:fPr>
            <m:num>
              <m:r>
                <m:rPr>
                  <m:sty m:val="p"/>
                </m:rPr>
                <w:rPr>
                  <w:rFonts w:ascii="Cambria Math" w:hAnsi="Cambria Math"/>
                </w:rPr>
                <m:t>M</m:t>
              </m:r>
              <m:ctrlPr>
                <w:rPr>
                  <w:rFonts w:ascii="Cambria Math" w:hAnsi="Cambria Math"/>
                </w:rPr>
              </m:ctrlPr>
            </m:num>
            <m:den>
              <m:r>
                <m:rPr>
                  <m:sty m:val="p"/>
                </m:rPr>
                <w:rPr>
                  <w:rFonts w:ascii="Cambria Math" w:hAnsi="Cambria Math"/>
                </w:rPr>
                <m:t>13.5</m:t>
              </m:r>
              <m:ctrlPr>
                <w:rPr>
                  <w:rFonts w:ascii="Cambria Math" w:hAnsi="Cambria Math"/>
                </w:rPr>
              </m:ctrlPr>
            </m:den>
          </m:f>
        </m:oMath>
      </m:oMathPara>
    </w:p>
    <w:p>
      <w:pPr>
        <w:ind w:firstLine="480" w:firstLineChars="200"/>
        <w:rPr>
          <w:szCs w:val="28"/>
        </w:rPr>
      </w:pPr>
      <w:r>
        <w:rPr>
          <w:szCs w:val="28"/>
        </w:rPr>
        <w:t>式中：Q——自卸汽车卸料起尘量，g/次；</w:t>
      </w:r>
    </w:p>
    <w:p>
      <w:pPr>
        <w:ind w:firstLine="1200" w:firstLineChars="500"/>
        <w:rPr>
          <w:szCs w:val="28"/>
        </w:rPr>
      </w:pPr>
      <w:r>
        <w:rPr>
          <w:szCs w:val="28"/>
        </w:rPr>
        <w:t>U——平均风速，m/s（取该区域 10m 高的平均风速 1.9m/s）；</w:t>
      </w:r>
    </w:p>
    <w:p>
      <w:pPr>
        <w:ind w:firstLine="1200" w:firstLineChars="500"/>
        <w:rPr>
          <w:szCs w:val="28"/>
        </w:rPr>
      </w:pPr>
      <w:r>
        <w:rPr>
          <w:szCs w:val="28"/>
        </w:rPr>
        <w:t>M——汽车卸料量，t（项目运料采用承重5t的自卸汽车，取M =5t）。</w:t>
      </w:r>
    </w:p>
    <w:p>
      <w:pPr>
        <w:ind w:firstLine="480" w:firstLineChars="200"/>
        <w:rPr>
          <w:szCs w:val="28"/>
        </w:rPr>
      </w:pPr>
      <w:r>
        <w:rPr>
          <w:szCs w:val="28"/>
        </w:rPr>
        <w:t>经计算得，Q=1110g/次。按扬尘高度10m估算，卸料时堆场四周20m处内TSP浓度约 88.37mg/m</w:t>
      </w:r>
      <w:r>
        <w:rPr>
          <w:szCs w:val="28"/>
          <w:vertAlign w:val="superscript"/>
        </w:rPr>
        <w:t>3</w:t>
      </w:r>
      <w:r>
        <w:rPr>
          <w:szCs w:val="28"/>
        </w:rPr>
        <w:t>，30m处TSP浓度约39.28mg/m</w:t>
      </w:r>
      <w:r>
        <w:rPr>
          <w:szCs w:val="28"/>
          <w:vertAlign w:val="superscript"/>
        </w:rPr>
        <w:t>3</w:t>
      </w:r>
      <w:r>
        <w:rPr>
          <w:szCs w:val="28"/>
        </w:rPr>
        <w:t>，50m处内TSP浓度约14.14mg/m</w:t>
      </w:r>
      <w:r>
        <w:rPr>
          <w:szCs w:val="28"/>
          <w:vertAlign w:val="superscript"/>
        </w:rPr>
        <w:t>3</w:t>
      </w:r>
      <w:r>
        <w:rPr>
          <w:szCs w:val="28"/>
        </w:rPr>
        <w:t>，100m 处内TSP浓度约3.54mg/m</w:t>
      </w:r>
      <w:r>
        <w:rPr>
          <w:szCs w:val="28"/>
          <w:vertAlign w:val="superscript"/>
        </w:rPr>
        <w:t>3</w:t>
      </w:r>
      <w:r>
        <w:rPr>
          <w:szCs w:val="28"/>
        </w:rPr>
        <w:t>。经采取卸料后及时洒水、避开大风天气等措施，可将卸料扬尘影响控制在100m范围。</w:t>
      </w:r>
    </w:p>
    <w:p>
      <w:pPr>
        <w:ind w:firstLine="480" w:firstLineChars="200"/>
        <w:rPr>
          <w:szCs w:val="28"/>
        </w:rPr>
      </w:pPr>
      <w:r>
        <w:rPr>
          <w:rFonts w:hint="eastAsia"/>
          <w:szCs w:val="28"/>
        </w:rPr>
        <w:t>项目</w:t>
      </w:r>
      <w:r>
        <w:rPr>
          <w:szCs w:val="28"/>
        </w:rPr>
        <w:t>施工场地</w:t>
      </w:r>
      <w:r>
        <w:rPr>
          <w:rFonts w:hint="eastAsia"/>
          <w:szCs w:val="28"/>
        </w:rPr>
        <w:t>周边以</w:t>
      </w:r>
      <w:r>
        <w:rPr>
          <w:szCs w:val="28"/>
        </w:rPr>
        <w:t>工业企业为主，区域较为空旷，</w:t>
      </w:r>
      <w:r>
        <w:rPr>
          <w:rFonts w:hint="eastAsia"/>
          <w:szCs w:val="28"/>
        </w:rPr>
        <w:t>施工</w:t>
      </w:r>
      <w:r>
        <w:rPr>
          <w:szCs w:val="28"/>
        </w:rPr>
        <w:t>扬尘对区域大气环境影响较小。</w:t>
      </w:r>
    </w:p>
    <w:p>
      <w:pPr>
        <w:pStyle w:val="970"/>
        <w:snapToGrid w:val="0"/>
        <w:ind w:firstLine="0"/>
        <w:outlineLvl w:val="3"/>
        <w:rPr>
          <w:rFonts w:eastAsia="黑体"/>
          <w:bCs/>
          <w:szCs w:val="24"/>
        </w:rPr>
      </w:pPr>
      <w:r>
        <w:rPr>
          <w:rFonts w:hint="eastAsia" w:eastAsia="黑体"/>
          <w:bCs/>
          <w:szCs w:val="24"/>
        </w:rPr>
        <w:t>7.1.</w:t>
      </w:r>
      <w:r>
        <w:rPr>
          <w:rFonts w:eastAsia="黑体"/>
          <w:bCs/>
          <w:szCs w:val="24"/>
        </w:rPr>
        <w:t>1.</w:t>
      </w:r>
      <w:r>
        <w:rPr>
          <w:rFonts w:hint="eastAsia" w:eastAsia="黑体"/>
          <w:bCs/>
          <w:szCs w:val="24"/>
        </w:rPr>
        <w:t>2废气</w:t>
      </w:r>
    </w:p>
    <w:p>
      <w:pPr>
        <w:ind w:firstLine="480" w:firstLineChars="200"/>
        <w:rPr>
          <w:szCs w:val="28"/>
        </w:rPr>
      </w:pPr>
      <w:r>
        <w:rPr>
          <w:szCs w:val="28"/>
        </w:rPr>
        <w:t>施工机械有柴油动力机械、载重汽车等燃油机械，排放的污染物主要有CO、NO</w:t>
      </w:r>
      <w:r>
        <w:rPr>
          <w:szCs w:val="28"/>
          <w:vertAlign w:val="subscript"/>
        </w:rPr>
        <w:t>2</w:t>
      </w:r>
      <w:r>
        <w:rPr>
          <w:szCs w:val="28"/>
        </w:rPr>
        <w:t>、总烃。施工机械多为大型机械，单车排放系数较大，但数量少且较分散，其污染程度相对较轻。</w:t>
      </w:r>
    </w:p>
    <w:p>
      <w:pPr>
        <w:ind w:firstLine="480" w:firstLineChars="200"/>
        <w:rPr>
          <w:szCs w:val="28"/>
        </w:rPr>
      </w:pPr>
      <w:r>
        <w:rPr>
          <w:szCs w:val="28"/>
        </w:rPr>
        <mc:AlternateContent>
          <mc:Choice Requires="wps">
            <w:drawing>
              <wp:anchor distT="0" distB="0" distL="114300" distR="114300" simplePos="0" relativeHeight="251644928" behindDoc="1" locked="0" layoutInCell="1" allowOverlap="1">
                <wp:simplePos x="0" y="0"/>
                <wp:positionH relativeFrom="page">
                  <wp:posOffset>3792220</wp:posOffset>
                </wp:positionH>
                <wp:positionV relativeFrom="paragraph">
                  <wp:posOffset>744220</wp:posOffset>
                </wp:positionV>
                <wp:extent cx="38100" cy="76200"/>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38100" cy="76200"/>
                        </a:xfrm>
                        <a:prstGeom prst="rect">
                          <a:avLst/>
                        </a:prstGeom>
                        <a:noFill/>
                        <a:ln>
                          <a:noFill/>
                        </a:ln>
                      </wps:spPr>
                      <wps:txbx>
                        <w:txbxContent>
                          <w:p>
                            <w:pPr>
                              <w:spacing w:line="120" w:lineRule="exact"/>
                              <w:rPr>
                                <w:sz w:val="12"/>
                                <w:szCs w:val="12"/>
                              </w:rPr>
                            </w:pPr>
                            <w:r>
                              <w:rPr>
                                <w:sz w:val="12"/>
                                <w:szCs w:val="12"/>
                              </w:rPr>
                              <w:t>2</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8.6pt;margin-top:58.6pt;height:6pt;width:3pt;mso-position-horizontal-relative:page;z-index:-251671552;mso-width-relative:page;mso-height-relative:page;" filled="f" stroked="f" coordsize="21600,21600" o:gfxdata="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QBowp1wAAAAsBAAAPAAAAAAAAAAEAIAAAACIA&#10;AABkcnMvZG93bnJldi54bWxQSwECFAAUAAAACACHTuJA0ydQ/woCAAAGBAAADgAAAAAAAAABACAA&#10;AAAmAQAAZHJzL2Uyb0RvYy54bWxQSwUGAAAAAAYABgBZAQAAogUAAAAA&#10;">
                <v:fill on="f" focussize="0,0"/>
                <v:stroke on="f"/>
                <v:imagedata o:title=""/>
                <o:lock v:ext="edit" aspectratio="f"/>
                <v:textbox inset="0mm,0mm,0mm,0mm">
                  <w:txbxContent>
                    <w:p>
                      <w:pPr>
                        <w:spacing w:line="120" w:lineRule="exact"/>
                        <w:rPr>
                          <w:sz w:val="12"/>
                          <w:szCs w:val="12"/>
                        </w:rPr>
                      </w:pPr>
                      <w:r>
                        <w:rPr>
                          <w:sz w:val="12"/>
                          <w:szCs w:val="12"/>
                        </w:rPr>
                        <w:t>2</w:t>
                      </w:r>
                    </w:p>
                  </w:txbxContent>
                </v:textbox>
              </v:shape>
            </w:pict>
          </mc:Fallback>
        </mc:AlternateContent>
      </w:r>
      <w:r>
        <w:rPr>
          <w:szCs w:val="28"/>
        </w:rPr>
        <w:t>根据类似工程监测，类比调查结果表明，距离施工地点50m处CO的小时、日平均浓度分别为0.2mg/m</w:t>
      </w:r>
      <w:r>
        <w:rPr>
          <w:szCs w:val="28"/>
          <w:vertAlign w:val="superscript"/>
        </w:rPr>
        <w:t>3</w:t>
      </w:r>
      <w:r>
        <w:rPr>
          <w:szCs w:val="28"/>
        </w:rPr>
        <w:t>、0.13mg/m</w:t>
      </w:r>
      <w:r>
        <w:rPr>
          <w:szCs w:val="28"/>
          <w:vertAlign w:val="superscript"/>
        </w:rPr>
        <w:t>3</w:t>
      </w:r>
      <w:r>
        <w:rPr>
          <w:szCs w:val="28"/>
        </w:rPr>
        <w:t>，小于《环境空气质量标准》二级标准浓度限值（分别为 10mg/m</w:t>
      </w:r>
      <w:r>
        <w:rPr>
          <w:szCs w:val="28"/>
          <w:vertAlign w:val="superscript"/>
        </w:rPr>
        <w:t>3</w:t>
      </w:r>
      <w:r>
        <w:rPr>
          <w:szCs w:val="28"/>
        </w:rPr>
        <w:t>、4mg/m</w:t>
      </w:r>
      <w:r>
        <w:rPr>
          <w:szCs w:val="28"/>
          <w:vertAlign w:val="superscript"/>
        </w:rPr>
        <w:t>3</w:t>
      </w:r>
      <w:r>
        <w:rPr>
          <w:szCs w:val="28"/>
        </w:rPr>
        <w:t>）；NO</w:t>
      </w:r>
      <w:r>
        <w:rPr>
          <w:szCs w:val="28"/>
          <w:vertAlign w:val="subscript"/>
        </w:rPr>
        <w:t>2</w:t>
      </w:r>
      <w:r>
        <w:rPr>
          <w:szCs w:val="28"/>
        </w:rPr>
        <w:t>的小时、日平均浓度分别为0.13mg/m</w:t>
      </w:r>
      <w:r>
        <w:rPr>
          <w:szCs w:val="28"/>
          <w:vertAlign w:val="superscript"/>
        </w:rPr>
        <w:t>3</w:t>
      </w:r>
      <w:r>
        <w:rPr>
          <w:rFonts w:hint="eastAsia"/>
          <w:szCs w:val="28"/>
        </w:rPr>
        <w:t>、</w:t>
      </w:r>
      <w:r>
        <w:rPr>
          <w:szCs w:val="28"/>
        </w:rPr>
        <w:t>0.06mg/m</w:t>
      </w:r>
      <w:r>
        <w:rPr>
          <w:szCs w:val="28"/>
          <w:vertAlign w:val="superscript"/>
        </w:rPr>
        <w:t>3</w:t>
      </w:r>
      <w:r>
        <w:rPr>
          <w:szCs w:val="28"/>
        </w:rPr>
        <w:t>，符合《环境空气质量标准》二级标准相应限值（0.24 mg/m</w:t>
      </w:r>
      <w:r>
        <w:rPr>
          <w:szCs w:val="28"/>
          <w:vertAlign w:val="superscript"/>
        </w:rPr>
        <w:t>3</w:t>
      </w:r>
      <w:r>
        <w:rPr>
          <w:szCs w:val="28"/>
        </w:rPr>
        <w:t>，0.12mg/m</w:t>
      </w:r>
      <w:r>
        <w:rPr>
          <w:szCs w:val="28"/>
          <w:vertAlign w:val="superscript"/>
        </w:rPr>
        <w:t>3</w:t>
      </w:r>
      <w:r>
        <w:rPr>
          <w:szCs w:val="28"/>
        </w:rPr>
        <w:t>）要求。可知，施工机械、车辆尾气排放对50m以外的环境空气影响很小，对周边敏感点影响不大。</w:t>
      </w:r>
    </w:p>
    <w:p>
      <w:pPr>
        <w:spacing w:before="240" w:after="60"/>
        <w:jc w:val="left"/>
        <w:outlineLvl w:val="2"/>
        <w:rPr>
          <w:rFonts w:eastAsia="黑体"/>
          <w:bCs/>
          <w:sz w:val="28"/>
          <w:szCs w:val="28"/>
        </w:rPr>
      </w:pPr>
      <w:bookmarkStart w:id="705" w:name="_Toc535445463"/>
      <w:r>
        <w:rPr>
          <w:rFonts w:hint="eastAsia" w:eastAsia="黑体"/>
          <w:bCs/>
          <w:sz w:val="28"/>
          <w:szCs w:val="28"/>
        </w:rPr>
        <w:t>7.</w:t>
      </w:r>
      <w:r>
        <w:rPr>
          <w:rFonts w:eastAsia="黑体"/>
          <w:bCs/>
          <w:sz w:val="28"/>
          <w:szCs w:val="28"/>
        </w:rPr>
        <w:t>1.</w:t>
      </w:r>
      <w:r>
        <w:rPr>
          <w:rFonts w:hint="eastAsia" w:eastAsia="黑体"/>
          <w:bCs/>
          <w:sz w:val="28"/>
          <w:szCs w:val="28"/>
        </w:rPr>
        <w:t xml:space="preserve">2 </w:t>
      </w:r>
      <w:r>
        <w:rPr>
          <w:rFonts w:eastAsia="黑体"/>
          <w:bCs/>
          <w:sz w:val="28"/>
          <w:szCs w:val="28"/>
        </w:rPr>
        <w:t>施工期地表水环境影响分析</w:t>
      </w:r>
      <w:bookmarkEnd w:id="705"/>
    </w:p>
    <w:p>
      <w:pPr>
        <w:ind w:firstLine="480" w:firstLineChars="200"/>
        <w:rPr>
          <w:szCs w:val="28"/>
        </w:rPr>
      </w:pPr>
      <w:r>
        <w:rPr>
          <w:szCs w:val="28"/>
        </w:rPr>
        <w:t>由于本项目建设场地较小，且</w:t>
      </w:r>
      <w:r>
        <w:rPr>
          <w:rFonts w:hint="eastAsia"/>
          <w:szCs w:val="28"/>
        </w:rPr>
        <w:t>与场镇交通较方便</w:t>
      </w:r>
      <w:r>
        <w:rPr>
          <w:szCs w:val="28"/>
        </w:rPr>
        <w:t>，</w:t>
      </w:r>
      <w:r>
        <w:rPr>
          <w:rFonts w:hint="eastAsia"/>
          <w:szCs w:val="28"/>
        </w:rPr>
        <w:t>周边</w:t>
      </w:r>
      <w:r>
        <w:rPr>
          <w:szCs w:val="28"/>
        </w:rPr>
        <w:t>住户较多，施工总体时间较短，因此不考虑施工人员的食宿等生活问题，项目区内</w:t>
      </w:r>
      <w:r>
        <w:rPr>
          <w:rFonts w:hint="eastAsia"/>
          <w:szCs w:val="28"/>
        </w:rPr>
        <w:t>未</w:t>
      </w:r>
      <w:r>
        <w:rPr>
          <w:szCs w:val="28"/>
        </w:rPr>
        <w:t>设置</w:t>
      </w:r>
      <w:r>
        <w:rPr>
          <w:rFonts w:hint="eastAsia"/>
          <w:szCs w:val="28"/>
        </w:rPr>
        <w:t>食宿等</w:t>
      </w:r>
      <w:r>
        <w:rPr>
          <w:szCs w:val="28"/>
        </w:rPr>
        <w:t>生活设施，</w:t>
      </w:r>
      <w:r>
        <w:rPr>
          <w:rFonts w:hint="eastAsia"/>
          <w:szCs w:val="28"/>
        </w:rPr>
        <w:t>施工</w:t>
      </w:r>
      <w:r>
        <w:rPr>
          <w:szCs w:val="28"/>
        </w:rPr>
        <w:t>人员入厕采取节水式移动卫生厕所，因此建设过程中不会产生生活废水</w:t>
      </w:r>
    </w:p>
    <w:p>
      <w:pPr>
        <w:ind w:firstLine="480" w:firstLineChars="200"/>
        <w:rPr>
          <w:szCs w:val="28"/>
        </w:rPr>
      </w:pPr>
      <w:r>
        <w:rPr>
          <w:szCs w:val="28"/>
        </w:rPr>
        <w:t>施工期废水主要是来自施工废水、暴雨形成的地表径流。施工期的挖土、材料冲洗以及使用大量的挖掘机械、运输机械和其他辅助机械，在作业和维护时有可能发生油料外溢、渗漏，通过雨水冲刷等途径，流入受纳水体使受纳水体 SS、COD、油类含量增高，DO下降。</w:t>
      </w:r>
    </w:p>
    <w:p>
      <w:pPr>
        <w:ind w:firstLine="480" w:firstLineChars="200"/>
        <w:rPr>
          <w:szCs w:val="28"/>
        </w:rPr>
      </w:pPr>
      <w:r>
        <w:rPr>
          <w:szCs w:val="28"/>
        </w:rPr>
        <w:t>雨季，施工场地上暴雨形成的地表径流夹带建筑原料砂石、水泥，并对裸露地表对泥土有冲刷作用，造成水土流失。</w:t>
      </w:r>
    </w:p>
    <w:p>
      <w:pPr>
        <w:ind w:firstLine="480" w:firstLineChars="200"/>
        <w:rPr>
          <w:szCs w:val="28"/>
        </w:rPr>
      </w:pPr>
      <w:r>
        <w:rPr>
          <w:szCs w:val="28"/>
        </w:rPr>
        <w:t>因此，工程施工期间施工单位应严格执行《建设工程施工场地文明施工及环境管理暂行规定》，对废水的排放应进行设计规划，严禁乱排、乱流污染道路及周边环境。建设单位应在施工场地设置多级沉淀池对施工废水进行沉淀后回用，可用于场地增湿，对水环境影响较小。此外，雨季应尽量减小地面坡度，减少开挖面，并争取土料随挖、随运，减少推土裸土的暴露时间，以避免受降雨直接冲刷，在暴雨期，还应采取应急措施，尽量用覆盖物覆盖新开挖的陡坡，防止冲刷和塌崩等，可将雨季施工影响降至最低。</w:t>
      </w:r>
    </w:p>
    <w:p>
      <w:pPr>
        <w:ind w:firstLine="480" w:firstLineChars="200"/>
        <w:rPr>
          <w:szCs w:val="28"/>
        </w:rPr>
      </w:pPr>
      <w:r>
        <w:rPr>
          <w:szCs w:val="28"/>
        </w:rPr>
        <w:t>综上所述，项目施工期不会对项目所在区域的水环境产生明显影响。</w:t>
      </w:r>
    </w:p>
    <w:p>
      <w:pPr>
        <w:spacing w:before="240" w:after="60"/>
        <w:jc w:val="left"/>
        <w:outlineLvl w:val="2"/>
        <w:rPr>
          <w:rFonts w:eastAsia="黑体"/>
          <w:bCs/>
          <w:sz w:val="28"/>
          <w:szCs w:val="28"/>
        </w:rPr>
      </w:pPr>
      <w:bookmarkStart w:id="706" w:name="_Toc535445464"/>
      <w:r>
        <w:rPr>
          <w:rFonts w:hint="eastAsia" w:eastAsia="黑体"/>
          <w:bCs/>
          <w:sz w:val="28"/>
          <w:szCs w:val="28"/>
        </w:rPr>
        <w:t>7.</w:t>
      </w:r>
      <w:r>
        <w:rPr>
          <w:rFonts w:eastAsia="黑体"/>
          <w:bCs/>
          <w:sz w:val="28"/>
          <w:szCs w:val="28"/>
        </w:rPr>
        <w:t>1.</w:t>
      </w:r>
      <w:r>
        <w:rPr>
          <w:rFonts w:hint="eastAsia" w:eastAsia="黑体"/>
          <w:bCs/>
          <w:sz w:val="28"/>
          <w:szCs w:val="28"/>
        </w:rPr>
        <w:t xml:space="preserve">3 </w:t>
      </w:r>
      <w:r>
        <w:rPr>
          <w:rFonts w:eastAsia="黑体"/>
          <w:bCs/>
          <w:sz w:val="28"/>
          <w:szCs w:val="28"/>
        </w:rPr>
        <w:t>施工期声环境影响分析</w:t>
      </w:r>
      <w:bookmarkEnd w:id="706"/>
    </w:p>
    <w:p>
      <w:pPr>
        <w:pStyle w:val="970"/>
        <w:snapToGrid w:val="0"/>
        <w:ind w:firstLine="0"/>
        <w:outlineLvl w:val="3"/>
        <w:rPr>
          <w:rFonts w:eastAsia="黑体"/>
          <w:bCs/>
          <w:szCs w:val="24"/>
        </w:rPr>
      </w:pPr>
      <w:r>
        <w:rPr>
          <w:rFonts w:hint="eastAsia" w:eastAsia="黑体"/>
          <w:bCs/>
          <w:szCs w:val="24"/>
        </w:rPr>
        <w:t>7.</w:t>
      </w:r>
      <w:r>
        <w:rPr>
          <w:rFonts w:eastAsia="黑体"/>
          <w:bCs/>
          <w:szCs w:val="24"/>
        </w:rPr>
        <w:t>1</w:t>
      </w:r>
      <w:r>
        <w:rPr>
          <w:rFonts w:hint="eastAsia" w:eastAsia="黑体"/>
          <w:bCs/>
          <w:szCs w:val="24"/>
        </w:rPr>
        <w:t>.</w:t>
      </w:r>
      <w:r>
        <w:rPr>
          <w:rFonts w:eastAsia="黑体"/>
          <w:bCs/>
          <w:szCs w:val="24"/>
        </w:rPr>
        <w:t xml:space="preserve">3.1 </w:t>
      </w:r>
      <w:r>
        <w:rPr>
          <w:rFonts w:hint="eastAsia" w:eastAsia="黑体"/>
          <w:bCs/>
          <w:szCs w:val="24"/>
        </w:rPr>
        <w:t>源强分析</w:t>
      </w:r>
    </w:p>
    <w:p>
      <w:pPr>
        <w:ind w:firstLine="480" w:firstLineChars="200"/>
        <w:rPr>
          <w:szCs w:val="28"/>
        </w:rPr>
      </w:pPr>
      <w:r>
        <w:rPr>
          <w:szCs w:val="28"/>
        </w:rPr>
        <w:t xml:space="preserve">施工期噪声分为机械噪声、施工作业噪声和施工车辆噪声。这些噪声的特点是均为间歇性非稳态声源。机械噪声多为点声源，主要由挖土机械、打桩机械、升降机等产生。根据项目施工特点，项目施工作业噪声多为瞬间噪声，指施工中一些零星的敲打声、装卸车辆的撞击声、吆喝声、拆装模板的撞击声等。而施工期使用的运输车辆多为大吨位车辆，其交通噪声也成为一个重要的影响因素。根据类似工程监测情况，本项目主要施工机械的噪声源强详见表 </w:t>
      </w:r>
      <w:r>
        <w:rPr>
          <w:rFonts w:hint="eastAsia"/>
          <w:szCs w:val="28"/>
        </w:rPr>
        <w:t>7</w:t>
      </w:r>
      <w:r>
        <w:rPr>
          <w:szCs w:val="28"/>
        </w:rPr>
        <w:t>.1-2。</w:t>
      </w:r>
    </w:p>
    <w:p>
      <w:pPr>
        <w:ind w:firstLine="480" w:firstLineChars="200"/>
        <w:rPr>
          <w:szCs w:val="28"/>
        </w:rPr>
      </w:pPr>
      <w:r>
        <w:rPr>
          <w:szCs w:val="28"/>
        </w:rPr>
        <w:t>多台机械设备同时作业时，产生的噪声会发生叠加。叠加后的噪声增值约 3～8dB(A)，一般不会超过 10dB(A)。由表可知，电锯电刨、振捣棒、振荡器、钻孔机和风机动具的噪声较高，在 95dB(A)以上。即结构施工阶段的噪声叠加值较大，应做好噪声防护措施。</w:t>
      </w:r>
    </w:p>
    <w:p>
      <w:pPr>
        <w:spacing w:line="240" w:lineRule="auto"/>
        <w:jc w:val="center"/>
        <w:rPr>
          <w:rFonts w:eastAsia="黑体"/>
        </w:rPr>
      </w:pPr>
      <w:r>
        <w:rPr>
          <w:rFonts w:eastAsia="黑体"/>
        </w:rPr>
        <w:t xml:space="preserve">表 </w:t>
      </w:r>
      <w:r>
        <w:rPr>
          <w:rFonts w:hint="eastAsia" w:eastAsia="黑体"/>
        </w:rPr>
        <w:t>7</w:t>
      </w:r>
      <w:r>
        <w:rPr>
          <w:rFonts w:eastAsia="黑体"/>
        </w:rPr>
        <w:t>.1-2 主要施工机械噪声源强值一览表</w:t>
      </w:r>
    </w:p>
    <w:tbl>
      <w:tblPr>
        <w:tblStyle w:val="88"/>
        <w:tblW w:w="8283" w:type="dxa"/>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520"/>
        <w:gridCol w:w="1501"/>
        <w:gridCol w:w="2106"/>
        <w:gridCol w:w="1734"/>
        <w:gridCol w:w="1511"/>
        <w:gridCol w:w="91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b/>
                <w:sz w:val="21"/>
                <w:szCs w:val="21"/>
              </w:rPr>
            </w:pPr>
            <w:r>
              <w:rPr>
                <w:b/>
                <w:sz w:val="21"/>
                <w:szCs w:val="21"/>
              </w:rPr>
              <w:t>序号</w:t>
            </w:r>
          </w:p>
        </w:tc>
        <w:tc>
          <w:tcPr>
            <w:tcW w:w="1501" w:type="dxa"/>
            <w:shd w:val="clear" w:color="auto" w:fill="auto"/>
            <w:vAlign w:val="center"/>
          </w:tcPr>
          <w:p>
            <w:pPr>
              <w:snapToGrid w:val="0"/>
              <w:spacing w:line="240" w:lineRule="auto"/>
              <w:jc w:val="center"/>
              <w:rPr>
                <w:b/>
                <w:sz w:val="21"/>
                <w:szCs w:val="21"/>
              </w:rPr>
            </w:pPr>
            <w:r>
              <w:rPr>
                <w:b/>
                <w:sz w:val="21"/>
                <w:szCs w:val="21"/>
              </w:rPr>
              <w:t>机械类型</w:t>
            </w:r>
          </w:p>
        </w:tc>
        <w:tc>
          <w:tcPr>
            <w:tcW w:w="2106" w:type="dxa"/>
            <w:shd w:val="clear" w:color="auto" w:fill="auto"/>
            <w:vAlign w:val="center"/>
          </w:tcPr>
          <w:p>
            <w:pPr>
              <w:snapToGrid w:val="0"/>
              <w:spacing w:line="240" w:lineRule="auto"/>
              <w:jc w:val="center"/>
              <w:rPr>
                <w:b/>
                <w:sz w:val="21"/>
                <w:szCs w:val="21"/>
              </w:rPr>
            </w:pPr>
            <w:r>
              <w:rPr>
                <w:b/>
                <w:sz w:val="21"/>
                <w:szCs w:val="21"/>
              </w:rPr>
              <w:t>测点距施工机械距离</w:t>
            </w:r>
          </w:p>
          <w:p>
            <w:pPr>
              <w:snapToGrid w:val="0"/>
              <w:spacing w:line="240" w:lineRule="auto"/>
              <w:jc w:val="center"/>
              <w:rPr>
                <w:b/>
                <w:sz w:val="21"/>
                <w:szCs w:val="21"/>
              </w:rPr>
            </w:pPr>
            <w:r>
              <w:rPr>
                <w:b/>
                <w:sz w:val="21"/>
                <w:szCs w:val="21"/>
              </w:rPr>
              <w:t>（m）</w:t>
            </w:r>
          </w:p>
        </w:tc>
        <w:tc>
          <w:tcPr>
            <w:tcW w:w="1734" w:type="dxa"/>
            <w:shd w:val="clear" w:color="auto" w:fill="auto"/>
            <w:vAlign w:val="center"/>
          </w:tcPr>
          <w:p>
            <w:pPr>
              <w:snapToGrid w:val="0"/>
              <w:spacing w:line="240" w:lineRule="auto"/>
              <w:jc w:val="center"/>
              <w:rPr>
                <w:b/>
                <w:sz w:val="21"/>
                <w:szCs w:val="21"/>
              </w:rPr>
            </w:pPr>
            <w:r>
              <w:rPr>
                <w:b/>
                <w:sz w:val="21"/>
                <w:szCs w:val="21"/>
              </w:rPr>
              <w:t>最高声级值 Lmax</w:t>
            </w:r>
          </w:p>
          <w:p>
            <w:pPr>
              <w:snapToGrid w:val="0"/>
              <w:spacing w:line="240" w:lineRule="auto"/>
              <w:jc w:val="center"/>
              <w:rPr>
                <w:b/>
                <w:sz w:val="21"/>
                <w:szCs w:val="21"/>
              </w:rPr>
            </w:pPr>
            <w:r>
              <w:rPr>
                <w:b/>
                <w:sz w:val="21"/>
                <w:szCs w:val="21"/>
              </w:rPr>
              <w:t>dB(A)</w:t>
            </w:r>
          </w:p>
        </w:tc>
        <w:tc>
          <w:tcPr>
            <w:tcW w:w="1511" w:type="dxa"/>
            <w:shd w:val="clear" w:color="auto" w:fill="auto"/>
            <w:vAlign w:val="center"/>
          </w:tcPr>
          <w:p>
            <w:pPr>
              <w:snapToGrid w:val="0"/>
              <w:spacing w:line="240" w:lineRule="auto"/>
              <w:jc w:val="center"/>
              <w:rPr>
                <w:b/>
                <w:sz w:val="21"/>
                <w:szCs w:val="21"/>
              </w:rPr>
            </w:pPr>
            <w:r>
              <w:rPr>
                <w:b/>
                <w:sz w:val="21"/>
                <w:szCs w:val="21"/>
              </w:rPr>
              <w:t>主要减噪措施</w:t>
            </w:r>
          </w:p>
        </w:tc>
        <w:tc>
          <w:tcPr>
            <w:tcW w:w="911" w:type="dxa"/>
            <w:tcBorders>
              <w:right w:val="nil"/>
            </w:tcBorders>
            <w:shd w:val="clear" w:color="auto" w:fill="auto"/>
            <w:vAlign w:val="center"/>
          </w:tcPr>
          <w:p>
            <w:pPr>
              <w:snapToGrid w:val="0"/>
              <w:spacing w:line="240" w:lineRule="auto"/>
              <w:jc w:val="center"/>
              <w:rPr>
                <w:b/>
                <w:sz w:val="21"/>
                <w:szCs w:val="21"/>
              </w:rPr>
            </w:pPr>
            <w:r>
              <w:rPr>
                <w:b/>
                <w:sz w:val="21"/>
                <w:szCs w:val="21"/>
              </w:rPr>
              <w:t>减噪值</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w:t>
            </w:r>
          </w:p>
        </w:tc>
        <w:tc>
          <w:tcPr>
            <w:tcW w:w="1501" w:type="dxa"/>
            <w:shd w:val="clear" w:color="auto" w:fill="auto"/>
            <w:vAlign w:val="center"/>
          </w:tcPr>
          <w:p>
            <w:pPr>
              <w:snapToGrid w:val="0"/>
              <w:spacing w:line="240" w:lineRule="auto"/>
              <w:jc w:val="center"/>
              <w:rPr>
                <w:sz w:val="21"/>
                <w:szCs w:val="21"/>
              </w:rPr>
            </w:pPr>
            <w:r>
              <w:rPr>
                <w:sz w:val="21"/>
                <w:szCs w:val="21"/>
              </w:rPr>
              <w:t>电锯、电刨</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95</w:t>
            </w:r>
          </w:p>
        </w:tc>
        <w:tc>
          <w:tcPr>
            <w:tcW w:w="1511" w:type="dxa"/>
            <w:vMerge w:val="restart"/>
            <w:shd w:val="clear" w:color="auto" w:fill="auto"/>
            <w:vAlign w:val="center"/>
          </w:tcPr>
          <w:p>
            <w:pPr>
              <w:snapToGrid w:val="0"/>
              <w:spacing w:line="240" w:lineRule="auto"/>
              <w:jc w:val="center"/>
              <w:rPr>
                <w:sz w:val="21"/>
                <w:szCs w:val="21"/>
              </w:rPr>
            </w:pPr>
            <w:r>
              <w:rPr>
                <w:sz w:val="21"/>
                <w:szCs w:val="21"/>
              </w:rPr>
              <w:t>减震、弹簧、消声，设置临时隔声屏障等</w:t>
            </w: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2</w:t>
            </w:r>
          </w:p>
        </w:tc>
        <w:tc>
          <w:tcPr>
            <w:tcW w:w="1501" w:type="dxa"/>
            <w:shd w:val="clear" w:color="auto" w:fill="auto"/>
            <w:vAlign w:val="center"/>
          </w:tcPr>
          <w:p>
            <w:pPr>
              <w:snapToGrid w:val="0"/>
              <w:spacing w:line="240" w:lineRule="auto"/>
              <w:jc w:val="center"/>
              <w:rPr>
                <w:sz w:val="21"/>
                <w:szCs w:val="21"/>
              </w:rPr>
            </w:pPr>
            <w:r>
              <w:rPr>
                <w:sz w:val="21"/>
                <w:szCs w:val="21"/>
              </w:rPr>
              <w:t>振捣棒</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95</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3</w:t>
            </w:r>
          </w:p>
        </w:tc>
        <w:tc>
          <w:tcPr>
            <w:tcW w:w="1501" w:type="dxa"/>
            <w:shd w:val="clear" w:color="auto" w:fill="auto"/>
            <w:vAlign w:val="center"/>
          </w:tcPr>
          <w:p>
            <w:pPr>
              <w:snapToGrid w:val="0"/>
              <w:spacing w:line="240" w:lineRule="auto"/>
              <w:jc w:val="center"/>
              <w:rPr>
                <w:sz w:val="21"/>
                <w:szCs w:val="21"/>
              </w:rPr>
            </w:pPr>
            <w:r>
              <w:rPr>
                <w:sz w:val="21"/>
                <w:szCs w:val="21"/>
              </w:rPr>
              <w:t>振荡器</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95</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4</w:t>
            </w:r>
          </w:p>
        </w:tc>
        <w:tc>
          <w:tcPr>
            <w:tcW w:w="1501" w:type="dxa"/>
            <w:shd w:val="clear" w:color="auto" w:fill="auto"/>
            <w:vAlign w:val="center"/>
          </w:tcPr>
          <w:p>
            <w:pPr>
              <w:snapToGrid w:val="0"/>
              <w:spacing w:line="240" w:lineRule="auto"/>
              <w:jc w:val="center"/>
              <w:rPr>
                <w:sz w:val="21"/>
                <w:szCs w:val="21"/>
              </w:rPr>
            </w:pPr>
            <w:r>
              <w:rPr>
                <w:sz w:val="21"/>
                <w:szCs w:val="21"/>
              </w:rPr>
              <w:t>钻桩机</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100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5</w:t>
            </w:r>
          </w:p>
        </w:tc>
        <w:tc>
          <w:tcPr>
            <w:tcW w:w="1501" w:type="dxa"/>
            <w:shd w:val="clear" w:color="auto" w:fill="auto"/>
            <w:vAlign w:val="center"/>
          </w:tcPr>
          <w:p>
            <w:pPr>
              <w:snapToGrid w:val="0"/>
              <w:spacing w:line="240" w:lineRule="auto"/>
              <w:jc w:val="center"/>
              <w:rPr>
                <w:sz w:val="21"/>
                <w:szCs w:val="21"/>
              </w:rPr>
            </w:pPr>
            <w:r>
              <w:rPr>
                <w:sz w:val="21"/>
                <w:szCs w:val="21"/>
              </w:rPr>
              <w:t>钻孔机</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100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6</w:t>
            </w:r>
          </w:p>
        </w:tc>
        <w:tc>
          <w:tcPr>
            <w:tcW w:w="1501" w:type="dxa"/>
            <w:shd w:val="clear" w:color="auto" w:fill="auto"/>
            <w:vAlign w:val="center"/>
          </w:tcPr>
          <w:p>
            <w:pPr>
              <w:snapToGrid w:val="0"/>
              <w:spacing w:line="240" w:lineRule="auto"/>
              <w:jc w:val="center"/>
              <w:rPr>
                <w:sz w:val="21"/>
                <w:szCs w:val="21"/>
              </w:rPr>
            </w:pPr>
            <w:r>
              <w:rPr>
                <w:sz w:val="21"/>
                <w:szCs w:val="21"/>
              </w:rPr>
              <w:t>风动机具</w:t>
            </w:r>
          </w:p>
        </w:tc>
        <w:tc>
          <w:tcPr>
            <w:tcW w:w="2106" w:type="dxa"/>
            <w:shd w:val="clear" w:color="auto" w:fill="auto"/>
            <w:vAlign w:val="center"/>
          </w:tcPr>
          <w:p>
            <w:pPr>
              <w:snapToGrid w:val="0"/>
              <w:spacing w:line="240" w:lineRule="auto"/>
              <w:jc w:val="center"/>
              <w:rPr>
                <w:sz w:val="21"/>
                <w:szCs w:val="21"/>
              </w:rPr>
            </w:pPr>
            <w:r>
              <w:rPr>
                <w:sz w:val="21"/>
                <w:szCs w:val="21"/>
              </w:rPr>
              <w:t>1</w:t>
            </w:r>
          </w:p>
        </w:tc>
        <w:tc>
          <w:tcPr>
            <w:tcW w:w="1734" w:type="dxa"/>
            <w:shd w:val="clear" w:color="auto" w:fill="auto"/>
            <w:vAlign w:val="center"/>
          </w:tcPr>
          <w:p>
            <w:pPr>
              <w:snapToGrid w:val="0"/>
              <w:spacing w:line="240" w:lineRule="auto"/>
              <w:jc w:val="center"/>
              <w:rPr>
                <w:sz w:val="21"/>
                <w:szCs w:val="21"/>
              </w:rPr>
            </w:pPr>
            <w:r>
              <w:rPr>
                <w:sz w:val="21"/>
                <w:szCs w:val="21"/>
              </w:rPr>
              <w:t>95</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7</w:t>
            </w:r>
          </w:p>
        </w:tc>
        <w:tc>
          <w:tcPr>
            <w:tcW w:w="1501" w:type="dxa"/>
            <w:shd w:val="clear" w:color="auto" w:fill="auto"/>
            <w:vAlign w:val="center"/>
          </w:tcPr>
          <w:p>
            <w:pPr>
              <w:snapToGrid w:val="0"/>
              <w:spacing w:line="240" w:lineRule="auto"/>
              <w:jc w:val="center"/>
              <w:rPr>
                <w:sz w:val="21"/>
                <w:szCs w:val="21"/>
              </w:rPr>
            </w:pPr>
            <w:r>
              <w:rPr>
                <w:sz w:val="21"/>
                <w:szCs w:val="21"/>
              </w:rPr>
              <w:t>推土机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86</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8</w:t>
            </w:r>
          </w:p>
        </w:tc>
        <w:tc>
          <w:tcPr>
            <w:tcW w:w="1501" w:type="dxa"/>
            <w:shd w:val="clear" w:color="auto" w:fill="auto"/>
            <w:vAlign w:val="center"/>
          </w:tcPr>
          <w:p>
            <w:pPr>
              <w:snapToGrid w:val="0"/>
              <w:spacing w:line="240" w:lineRule="auto"/>
              <w:jc w:val="center"/>
              <w:rPr>
                <w:sz w:val="21"/>
                <w:szCs w:val="21"/>
              </w:rPr>
            </w:pPr>
            <w:r>
              <w:rPr>
                <w:sz w:val="21"/>
                <w:szCs w:val="21"/>
              </w:rPr>
              <w:t>挖掘机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84</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9</w:t>
            </w:r>
          </w:p>
        </w:tc>
        <w:tc>
          <w:tcPr>
            <w:tcW w:w="1501" w:type="dxa"/>
            <w:shd w:val="clear" w:color="auto" w:fill="auto"/>
            <w:vAlign w:val="center"/>
          </w:tcPr>
          <w:p>
            <w:pPr>
              <w:snapToGrid w:val="0"/>
              <w:spacing w:line="240" w:lineRule="auto"/>
              <w:jc w:val="center"/>
              <w:rPr>
                <w:sz w:val="21"/>
                <w:szCs w:val="21"/>
              </w:rPr>
            </w:pPr>
            <w:r>
              <w:rPr>
                <w:sz w:val="21"/>
                <w:szCs w:val="21"/>
              </w:rPr>
              <w:t>卷扬机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80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10</w:t>
            </w:r>
          </w:p>
        </w:tc>
        <w:tc>
          <w:tcPr>
            <w:tcW w:w="1501" w:type="dxa"/>
            <w:shd w:val="clear" w:color="auto" w:fill="auto"/>
            <w:vAlign w:val="center"/>
          </w:tcPr>
          <w:p>
            <w:pPr>
              <w:snapToGrid w:val="0"/>
              <w:spacing w:line="240" w:lineRule="auto"/>
              <w:jc w:val="center"/>
              <w:rPr>
                <w:sz w:val="21"/>
                <w:szCs w:val="21"/>
              </w:rPr>
            </w:pPr>
            <w:r>
              <w:rPr>
                <w:sz w:val="21"/>
                <w:szCs w:val="21"/>
              </w:rPr>
              <w:t>轮式装载机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90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11</w:t>
            </w:r>
          </w:p>
        </w:tc>
        <w:tc>
          <w:tcPr>
            <w:tcW w:w="1501" w:type="dxa"/>
            <w:shd w:val="clear" w:color="auto" w:fill="auto"/>
            <w:vAlign w:val="center"/>
          </w:tcPr>
          <w:p>
            <w:pPr>
              <w:snapToGrid w:val="0"/>
              <w:spacing w:line="240" w:lineRule="auto"/>
              <w:jc w:val="center"/>
              <w:rPr>
                <w:sz w:val="21"/>
                <w:szCs w:val="21"/>
              </w:rPr>
            </w:pPr>
            <w:r>
              <w:rPr>
                <w:sz w:val="21"/>
                <w:szCs w:val="21"/>
              </w:rPr>
              <w:t>平地机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90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12</w:t>
            </w:r>
          </w:p>
        </w:tc>
        <w:tc>
          <w:tcPr>
            <w:tcW w:w="1501" w:type="dxa"/>
            <w:shd w:val="clear" w:color="auto" w:fill="auto"/>
            <w:vAlign w:val="center"/>
          </w:tcPr>
          <w:p>
            <w:pPr>
              <w:snapToGrid w:val="0"/>
              <w:spacing w:line="240" w:lineRule="auto"/>
              <w:jc w:val="center"/>
              <w:rPr>
                <w:sz w:val="21"/>
                <w:szCs w:val="21"/>
              </w:rPr>
            </w:pPr>
            <w:r>
              <w:rPr>
                <w:sz w:val="21"/>
                <w:szCs w:val="21"/>
              </w:rPr>
              <w:t>压路机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76～86</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13</w:t>
            </w:r>
          </w:p>
        </w:tc>
        <w:tc>
          <w:tcPr>
            <w:tcW w:w="1501" w:type="dxa"/>
            <w:shd w:val="clear" w:color="auto" w:fill="auto"/>
            <w:vAlign w:val="center"/>
          </w:tcPr>
          <w:p>
            <w:pPr>
              <w:snapToGrid w:val="0"/>
              <w:spacing w:line="240" w:lineRule="auto"/>
              <w:jc w:val="center"/>
              <w:rPr>
                <w:sz w:val="21"/>
                <w:szCs w:val="21"/>
              </w:rPr>
            </w:pPr>
            <w:r>
              <w:rPr>
                <w:sz w:val="21"/>
                <w:szCs w:val="21"/>
              </w:rPr>
              <w:t>摊铺机</w:t>
            </w:r>
          </w:p>
        </w:tc>
        <w:tc>
          <w:tcPr>
            <w:tcW w:w="2106" w:type="dxa"/>
            <w:shd w:val="clear" w:color="auto" w:fill="auto"/>
            <w:vAlign w:val="center"/>
          </w:tcPr>
          <w:p>
            <w:pPr>
              <w:snapToGrid w:val="0"/>
              <w:spacing w:line="240" w:lineRule="auto"/>
              <w:jc w:val="center"/>
              <w:rPr>
                <w:sz w:val="21"/>
                <w:szCs w:val="21"/>
              </w:rPr>
            </w:pPr>
            <w:r>
              <w:rPr>
                <w:sz w:val="21"/>
                <w:szCs w:val="21"/>
              </w:rPr>
              <w:t>5</w:t>
            </w:r>
          </w:p>
        </w:tc>
        <w:tc>
          <w:tcPr>
            <w:tcW w:w="1734" w:type="dxa"/>
            <w:shd w:val="clear" w:color="auto" w:fill="auto"/>
            <w:vAlign w:val="center"/>
          </w:tcPr>
          <w:p>
            <w:pPr>
              <w:snapToGrid w:val="0"/>
              <w:spacing w:line="240" w:lineRule="auto"/>
              <w:jc w:val="center"/>
              <w:rPr>
                <w:sz w:val="21"/>
                <w:szCs w:val="21"/>
              </w:rPr>
            </w:pPr>
            <w:r>
              <w:rPr>
                <w:sz w:val="21"/>
                <w:szCs w:val="21"/>
              </w:rPr>
              <w:t>82～87</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0" w:type="dxa"/>
            <w:tcBorders>
              <w:left w:val="nil"/>
            </w:tcBorders>
            <w:shd w:val="clear" w:color="auto" w:fill="auto"/>
            <w:vAlign w:val="center"/>
          </w:tcPr>
          <w:p>
            <w:pPr>
              <w:snapToGrid w:val="0"/>
              <w:spacing w:line="240" w:lineRule="auto"/>
              <w:jc w:val="center"/>
              <w:rPr>
                <w:sz w:val="21"/>
                <w:szCs w:val="21"/>
              </w:rPr>
            </w:pPr>
            <w:r>
              <w:rPr>
                <w:sz w:val="21"/>
                <w:szCs w:val="21"/>
              </w:rPr>
              <w:t>14</w:t>
            </w:r>
          </w:p>
        </w:tc>
        <w:tc>
          <w:tcPr>
            <w:tcW w:w="1501" w:type="dxa"/>
            <w:shd w:val="clear" w:color="auto" w:fill="auto"/>
            <w:vAlign w:val="center"/>
          </w:tcPr>
          <w:p>
            <w:pPr>
              <w:snapToGrid w:val="0"/>
              <w:spacing w:line="240" w:lineRule="auto"/>
              <w:jc w:val="center"/>
              <w:rPr>
                <w:sz w:val="21"/>
                <w:szCs w:val="21"/>
              </w:rPr>
            </w:pPr>
            <w:r>
              <w:rPr>
                <w:sz w:val="21"/>
                <w:szCs w:val="21"/>
              </w:rPr>
              <w:t>吊车、升降机</w:t>
            </w:r>
          </w:p>
        </w:tc>
        <w:tc>
          <w:tcPr>
            <w:tcW w:w="2106" w:type="dxa"/>
            <w:shd w:val="clear" w:color="auto" w:fill="auto"/>
            <w:vAlign w:val="center"/>
          </w:tcPr>
          <w:p>
            <w:pPr>
              <w:snapToGrid w:val="0"/>
              <w:spacing w:line="240" w:lineRule="auto"/>
              <w:jc w:val="center"/>
              <w:rPr>
                <w:sz w:val="21"/>
                <w:szCs w:val="21"/>
              </w:rPr>
            </w:pPr>
            <w:r>
              <w:rPr>
                <w:sz w:val="21"/>
                <w:szCs w:val="21"/>
              </w:rPr>
              <w:t>15</w:t>
            </w:r>
          </w:p>
        </w:tc>
        <w:tc>
          <w:tcPr>
            <w:tcW w:w="1734" w:type="dxa"/>
            <w:shd w:val="clear" w:color="auto" w:fill="auto"/>
            <w:vAlign w:val="center"/>
          </w:tcPr>
          <w:p>
            <w:pPr>
              <w:snapToGrid w:val="0"/>
              <w:spacing w:line="240" w:lineRule="auto"/>
              <w:jc w:val="center"/>
              <w:rPr>
                <w:sz w:val="21"/>
                <w:szCs w:val="21"/>
              </w:rPr>
            </w:pPr>
            <w:r>
              <w:rPr>
                <w:sz w:val="21"/>
                <w:szCs w:val="21"/>
              </w:rPr>
              <w:t>80</w:t>
            </w:r>
          </w:p>
        </w:tc>
        <w:tc>
          <w:tcPr>
            <w:tcW w:w="1511" w:type="dxa"/>
            <w:vMerge w:val="continue"/>
            <w:shd w:val="clear" w:color="auto" w:fill="auto"/>
            <w:vAlign w:val="center"/>
          </w:tcPr>
          <w:p>
            <w:pPr>
              <w:snapToGrid w:val="0"/>
              <w:spacing w:line="240" w:lineRule="auto"/>
              <w:jc w:val="center"/>
              <w:rPr>
                <w:sz w:val="21"/>
                <w:szCs w:val="21"/>
              </w:rPr>
            </w:pPr>
          </w:p>
        </w:tc>
        <w:tc>
          <w:tcPr>
            <w:tcW w:w="911" w:type="dxa"/>
            <w:tcBorders>
              <w:right w:val="nil"/>
            </w:tcBorders>
            <w:shd w:val="clear" w:color="auto" w:fill="auto"/>
            <w:vAlign w:val="center"/>
          </w:tcPr>
          <w:p>
            <w:pPr>
              <w:snapToGrid w:val="0"/>
              <w:spacing w:line="240" w:lineRule="auto"/>
              <w:jc w:val="center"/>
              <w:rPr>
                <w:sz w:val="21"/>
                <w:szCs w:val="21"/>
              </w:rPr>
            </w:pPr>
            <w:r>
              <w:rPr>
                <w:sz w:val="21"/>
                <w:szCs w:val="21"/>
              </w:rPr>
              <w:t>＞3</w:t>
            </w:r>
          </w:p>
        </w:tc>
      </w:tr>
    </w:tbl>
    <w:p>
      <w:pPr>
        <w:ind w:firstLine="482" w:firstLineChars="200"/>
        <w:rPr>
          <w:b/>
          <w:szCs w:val="28"/>
        </w:rPr>
      </w:pPr>
    </w:p>
    <w:p>
      <w:pPr>
        <w:pStyle w:val="970"/>
        <w:snapToGrid w:val="0"/>
        <w:ind w:firstLine="0"/>
        <w:outlineLvl w:val="3"/>
        <w:rPr>
          <w:rFonts w:eastAsia="黑体"/>
          <w:bCs/>
          <w:szCs w:val="24"/>
        </w:rPr>
      </w:pPr>
      <w:r>
        <w:rPr>
          <w:rFonts w:hint="eastAsia" w:eastAsia="黑体"/>
          <w:bCs/>
          <w:szCs w:val="24"/>
        </w:rPr>
        <w:t>7.</w:t>
      </w:r>
      <w:r>
        <w:rPr>
          <w:rFonts w:eastAsia="黑体"/>
          <w:bCs/>
          <w:szCs w:val="24"/>
        </w:rPr>
        <w:t>1.3</w:t>
      </w:r>
      <w:r>
        <w:rPr>
          <w:rFonts w:hint="eastAsia" w:eastAsia="黑体"/>
          <w:bCs/>
          <w:szCs w:val="24"/>
        </w:rPr>
        <w:t>.2预测分析</w:t>
      </w:r>
    </w:p>
    <w:p>
      <w:pPr>
        <w:ind w:firstLine="480" w:firstLineChars="200"/>
        <w:rPr>
          <w:szCs w:val="28"/>
        </w:rPr>
      </w:pPr>
      <w:r>
        <w:rPr>
          <w:szCs w:val="28"/>
        </w:rPr>
        <w:t>施工噪声源近似作为点声源处理，根据点声源噪声衰减模式，可计算施工期间声源对附近敏感点的贡献值，并对声源的贡献值进行分析。</w:t>
      </w:r>
    </w:p>
    <w:p>
      <w:pPr>
        <w:ind w:firstLine="480" w:firstLineChars="200"/>
        <w:rPr>
          <w:szCs w:val="28"/>
        </w:rPr>
      </w:pPr>
      <w:r>
        <w:rPr>
          <w:szCs w:val="28"/>
        </w:rPr>
        <w:t>计算模式如下：</w:t>
      </w:r>
    </w:p>
    <w:p>
      <w:pPr>
        <w:ind w:firstLine="480" w:firstLineChars="200"/>
        <w:rPr>
          <w:szCs w:val="28"/>
        </w:rPr>
      </w:pPr>
      <m:oMathPara>
        <m:oMathParaPr>
          <m:jc m:val="center"/>
        </m:oMathParaPr>
        <m:oMath>
          <m:sSub>
            <m:sSubPr>
              <m:ctrlPr>
                <w:rPr>
                  <w:rFonts w:ascii="Cambria Math" w:hAnsi="Cambria Math"/>
                </w:rPr>
              </m:ctrlPr>
            </m:sSubPr>
            <m:e>
              <m:r>
                <m:rPr>
                  <m:sty m:val="p"/>
                </m:rPr>
                <w:rPr>
                  <w:rFonts w:ascii="Cambria Math" w:hAnsi="Cambria Math"/>
                </w:rPr>
                <m:t>L</m:t>
              </m:r>
              <m:ctrlPr>
                <w:rPr>
                  <w:rFonts w:ascii="Cambria Math" w:hAnsi="Cambria Math"/>
                </w:rPr>
              </m:ctrlPr>
            </m:e>
            <m:sub>
              <m:r>
                <m:rPr>
                  <m:sty m:val="p"/>
                </m:rPr>
                <w:rPr>
                  <w:rFonts w:ascii="Cambria Math" w:hAnsi="Cambria Math"/>
                </w:rPr>
                <m:t>A(r)</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L</m:t>
              </m:r>
              <m:ctrlPr>
                <w:rPr>
                  <w:rFonts w:ascii="Cambria Math" w:hAnsi="Cambria Math"/>
                </w:rPr>
              </m:ctrlPr>
            </m:e>
            <m:sub>
              <m:r>
                <m:rPr>
                  <m:sty m:val="p"/>
                </m:rPr>
                <w:rPr>
                  <w:rFonts w:ascii="Cambria Math" w:hAnsi="Cambria Math"/>
                </w:rPr>
                <m:t>Aref</m:t>
              </m:r>
              <m:d>
                <m:dPr>
                  <m:ctrlPr>
                    <w:rPr>
                      <w:rFonts w:ascii="Cambria Math" w:hAnsi="Cambria Math"/>
                    </w:rPr>
                  </m:ctrlPr>
                </m:dPr>
                <m:e>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e>
              </m:d>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div</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bar</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atm</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exc</m:t>
              </m:r>
              <m:ctrlPr>
                <w:rPr>
                  <w:rFonts w:ascii="Cambria Math" w:hAnsi="Cambria Math"/>
                </w:rPr>
              </m:ctrlPr>
            </m:sub>
          </m:sSub>
          <m:r>
            <m:rPr>
              <m:sty m:val="p"/>
            </m:rPr>
            <w:rPr>
              <w:rFonts w:ascii="Cambria Math" w:hAnsi="Cambria Math"/>
            </w:rPr>
            <m:t>）</m:t>
          </m:r>
        </m:oMath>
      </m:oMathPara>
    </w:p>
    <w:p>
      <w:pPr>
        <w:ind w:firstLine="480" w:firstLineChars="200"/>
        <w:rPr>
          <w:szCs w:val="28"/>
        </w:rPr>
      </w:pPr>
      <w:r>
        <w:rPr>
          <w:szCs w:val="28"/>
        </w:rPr>
        <w:t>式中：LA(r)——距声源 r处的A声级，dB(A)；</w:t>
      </w:r>
    </w:p>
    <w:p>
      <w:pPr>
        <w:ind w:firstLine="480" w:firstLineChars="200"/>
        <w:rPr>
          <w:szCs w:val="28"/>
        </w:rPr>
      </w:pPr>
      <w:r>
        <w:rPr>
          <w:szCs w:val="28"/>
        </w:rPr>
        <w:t>LAref(ro)——参考位置ro处的A声级，dB(A)；</w:t>
      </w:r>
    </w:p>
    <w:p>
      <w:pPr>
        <w:ind w:firstLine="480" w:firstLineChars="200"/>
        <w:rPr>
          <w:szCs w:val="28"/>
        </w:rPr>
      </w:pPr>
      <w:r>
        <w:rPr>
          <w:szCs w:val="28"/>
        </w:rPr>
        <w:t>Adiv——声波几何发散引起的A声级衰减量，dB(A)；</w:t>
      </w:r>
      <m:oMath>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div</m:t>
            </m:r>
            <m:ctrlPr>
              <w:rPr>
                <w:rFonts w:ascii="Cambria Math" w:hAnsi="Cambria Math"/>
              </w:rPr>
            </m:ctrlPr>
          </m:sub>
        </m:sSub>
        <m:r>
          <m:rPr>
            <m:sty m:val="p"/>
          </m:rPr>
          <w:rPr>
            <w:rFonts w:ascii="Cambria Math" w:hAnsi="Cambria Math"/>
          </w:rPr>
          <m:t>=20lg</m:t>
        </m:r>
        <m:f>
          <m:fPr>
            <m:ctrlPr>
              <w:rPr>
                <w:rFonts w:ascii="Cambria Math" w:hAnsi="Cambria Math"/>
              </w:rPr>
            </m:ctrlPr>
          </m:fPr>
          <m:num>
            <m:r>
              <m:rPr>
                <m:sty m:val="p"/>
              </m:rPr>
              <w:rPr>
                <w:rFonts w:ascii="Cambria Math" w:hAnsi="Cambria Math"/>
              </w:rPr>
              <m:t>r</m:t>
            </m:r>
            <m:ctrlPr>
              <w:rPr>
                <w:rFonts w:ascii="Cambria Math" w:hAnsi="Cambria Math"/>
              </w:rPr>
            </m:ctrlPr>
          </m:num>
          <m:den>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den>
        </m:f>
      </m:oMath>
    </w:p>
    <w:p>
      <w:pPr>
        <w:ind w:firstLine="480" w:firstLineChars="200"/>
        <w:rPr>
          <w:szCs w:val="28"/>
        </w:rPr>
      </w:pPr>
      <w:r>
        <w:rPr>
          <w:szCs w:val="28"/>
        </w:rPr>
        <w:t>Abar——遮挡物引起的 A声级衰减量，dB(A)；在此取值为0；</w:t>
      </w:r>
    </w:p>
    <w:p>
      <w:pPr>
        <w:ind w:firstLine="480" w:firstLineChars="200"/>
        <w:rPr>
          <w:szCs w:val="28"/>
        </w:rPr>
      </w:pPr>
      <w:r>
        <w:rPr>
          <w:szCs w:val="28"/>
        </w:rPr>
        <w:t>Aatm——空气吸收引起的A声级衰减量dB(A)；</w:t>
      </w:r>
      <m:oMath>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atm</m:t>
            </m:r>
            <m:ctrlPr>
              <w:rPr>
                <w:rFonts w:ascii="Cambria Math" w:hAnsi="Cambria Math"/>
              </w:rPr>
            </m:ctrlPr>
          </m:sub>
        </m:sSub>
        <m:r>
          <m:rPr>
            <m:sty m:val="p"/>
          </m:rPr>
          <w:rPr>
            <w:rFonts w:ascii="Cambria Math" w:hAnsi="Cambria Math"/>
          </w:rPr>
          <m:t>=</m:t>
        </m:r>
        <m:f>
          <m:fPr>
            <m:type m:val="skw"/>
            <m:ctrlPr>
              <w:rPr>
                <w:rFonts w:ascii="Cambria Math" w:hAnsi="Cambria Math"/>
              </w:rPr>
            </m:ctrlPr>
          </m:fPr>
          <m:num>
            <m:r>
              <m:rPr>
                <m:sty m:val="p"/>
              </m:rPr>
              <w:rPr>
                <w:rFonts w:ascii="Cambria Math" w:hAnsi="Cambria Math"/>
              </w:rPr>
              <m:t>α（</m:t>
            </m:r>
            <m:f>
              <m:fPr>
                <m:ctrlPr>
                  <w:rPr>
                    <w:rFonts w:ascii="Cambria Math" w:hAnsi="Cambria Math"/>
                  </w:rPr>
                </m:ctrlPr>
              </m:fPr>
              <m:num>
                <m:r>
                  <m:rPr>
                    <m:sty m:val="p"/>
                  </m:rPr>
                  <w:rPr>
                    <w:rFonts w:ascii="Cambria Math" w:hAnsi="Cambria Math"/>
                  </w:rPr>
                  <m:t>r</m:t>
                </m:r>
                <m:ctrlPr>
                  <w:rPr>
                    <w:rFonts w:ascii="Cambria Math" w:hAnsi="Cambria Math"/>
                  </w:rPr>
                </m:ctrlPr>
              </m:num>
              <m:den>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den>
            </m:f>
            <m:r>
              <m:rPr>
                <m:sty m:val="p"/>
              </m:rPr>
              <w:rPr>
                <w:rFonts w:ascii="Cambria Math" w:hAnsi="Cambria Math"/>
              </w:rPr>
              <m:t>）</m:t>
            </m:r>
            <m:ctrlPr>
              <w:rPr>
                <w:rFonts w:ascii="Cambria Math" w:hAnsi="Cambria Math"/>
              </w:rPr>
            </m:ctrlPr>
          </m:num>
          <m:den>
            <m:r>
              <m:rPr>
                <m:sty m:val="p"/>
              </m:rPr>
              <w:rPr>
                <w:rFonts w:ascii="Cambria Math" w:hAnsi="Cambria Math"/>
              </w:rPr>
              <m:t>100</m:t>
            </m:r>
            <m:ctrlPr>
              <w:rPr>
                <w:rFonts w:ascii="Cambria Math" w:hAnsi="Cambria Math"/>
              </w:rPr>
            </m:ctrlPr>
          </m:den>
        </m:f>
      </m:oMath>
      <w:r>
        <w:rPr>
          <w:szCs w:val="28"/>
        </w:rPr>
        <w:t>，查表取α为1.142；</w:t>
      </w:r>
    </w:p>
    <w:p>
      <w:pPr>
        <w:ind w:firstLine="480" w:firstLineChars="200"/>
        <w:rPr>
          <w:szCs w:val="28"/>
        </w:rPr>
      </w:pPr>
      <w:r>
        <w:rPr>
          <w:szCs w:val="28"/>
        </w:rPr>
        <w:t>Aexc——附加A声级衰减量，dB(A)；</w:t>
      </w:r>
      <m:oMath>
        <m:sSub>
          <m:sSubPr>
            <m:ctrlPr>
              <w:rPr>
                <w:rFonts w:ascii="Cambria Math" w:hAnsi="Cambria Math"/>
              </w:rPr>
            </m:ctrlPr>
          </m:sSubPr>
          <m:e>
            <m:r>
              <m:rPr>
                <m:sty m:val="p"/>
              </m:rPr>
              <w:rPr>
                <w:rFonts w:ascii="Cambria Math" w:hAnsi="Cambria Math"/>
              </w:rPr>
              <m:t>A</m:t>
            </m:r>
            <m:ctrlPr>
              <w:rPr>
                <w:rFonts w:ascii="Cambria Math" w:hAnsi="Cambria Math"/>
              </w:rPr>
            </m:ctrlPr>
          </m:e>
          <m:sub>
            <m:r>
              <m:rPr>
                <m:sty m:val="p"/>
              </m:rPr>
              <w:rPr>
                <w:rFonts w:ascii="Cambria Math" w:hAnsi="Cambria Math"/>
              </w:rPr>
              <m:t>exc</m:t>
            </m:r>
            <m:ctrlPr>
              <w:rPr>
                <w:rFonts w:ascii="Cambria Math" w:hAnsi="Cambria Math"/>
              </w:rPr>
            </m:ctrlPr>
          </m:sub>
        </m:sSub>
        <m:r>
          <m:rPr>
            <m:sty m:val="p"/>
          </m:rPr>
          <w:rPr>
            <w:rFonts w:ascii="Cambria Math" w:hAnsi="Cambria Math"/>
          </w:rPr>
          <m:t>=5lg⁡（</m:t>
        </m:r>
        <m:f>
          <m:fPr>
            <m:type m:val="skw"/>
            <m:ctrlPr>
              <w:rPr>
                <w:rFonts w:ascii="Cambria Math" w:hAnsi="Cambria Math"/>
              </w:rPr>
            </m:ctrlPr>
          </m:fPr>
          <m:num>
            <m:r>
              <m:rPr>
                <m:sty m:val="p"/>
              </m:rPr>
              <w:rPr>
                <w:rFonts w:ascii="Cambria Math" w:hAnsi="Cambria Math"/>
              </w:rPr>
              <m:t>r</m:t>
            </m:r>
            <m:ctrlPr>
              <w:rPr>
                <w:rFonts w:ascii="Cambria Math" w:hAnsi="Cambria Math"/>
              </w:rPr>
            </m:ctrlPr>
          </m:num>
          <m:den>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den>
        </m:f>
        <m:r>
          <m:rPr>
            <m:sty m:val="p"/>
          </m:rPr>
          <w:rPr>
            <w:rFonts w:ascii="Cambria Math" w:hAnsi="Cambria Math"/>
          </w:rPr>
          <m:t>)</m:t>
        </m:r>
      </m:oMath>
      <w:r>
        <w:rPr>
          <w:szCs w:val="28"/>
        </w:rPr>
        <w:t>。</w:t>
      </w:r>
    </w:p>
    <w:p>
      <w:pPr>
        <w:ind w:firstLine="480" w:firstLineChars="200"/>
        <w:rPr>
          <w:szCs w:val="28"/>
        </w:rPr>
      </w:pPr>
      <w:r>
        <w:rPr>
          <w:szCs w:val="28"/>
        </w:rPr>
        <w:t xml:space="preserve">施工场地噪声预测结果见表 </w:t>
      </w:r>
      <w:r>
        <w:rPr>
          <w:rFonts w:hint="eastAsia"/>
          <w:szCs w:val="28"/>
        </w:rPr>
        <w:t>7</w:t>
      </w:r>
      <w:r>
        <w:rPr>
          <w:szCs w:val="28"/>
        </w:rPr>
        <w:t>.1-3。</w:t>
      </w:r>
    </w:p>
    <w:p>
      <w:pPr>
        <w:wordWrap w:val="0"/>
        <w:spacing w:line="240" w:lineRule="auto"/>
        <w:jc w:val="right"/>
        <w:rPr>
          <w:rFonts w:eastAsia="黑体"/>
        </w:rPr>
      </w:pPr>
      <w:r>
        <w:rPr>
          <w:rFonts w:eastAsia="黑体"/>
        </w:rPr>
        <w:t xml:space="preserve">表 </w:t>
      </w:r>
      <w:r>
        <w:rPr>
          <w:rFonts w:hint="eastAsia" w:eastAsia="黑体"/>
        </w:rPr>
        <w:t>7</w:t>
      </w:r>
      <w:r>
        <w:rPr>
          <w:rFonts w:eastAsia="黑体"/>
        </w:rPr>
        <w:t>.1-3</w:t>
      </w:r>
      <w:r>
        <w:rPr>
          <w:rFonts w:eastAsia="黑体"/>
        </w:rPr>
        <w:tab/>
      </w:r>
      <w:r>
        <w:rPr>
          <w:rFonts w:eastAsia="黑体"/>
        </w:rPr>
        <w:t>距声源不同距离处的噪声预测值一览表</w:t>
      </w:r>
      <w:r>
        <w:rPr>
          <w:rFonts w:hint="eastAsia" w:eastAsia="黑体"/>
        </w:rPr>
        <w:t xml:space="preserve">  </w:t>
      </w:r>
      <w:r>
        <w:rPr>
          <w:rFonts w:eastAsia="黑体"/>
        </w:rPr>
        <w:t xml:space="preserve">单位：dB(A)      </w:t>
      </w:r>
    </w:p>
    <w:tbl>
      <w:tblPr>
        <w:tblStyle w:val="88"/>
        <w:tblW w:w="8283"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99"/>
        <w:gridCol w:w="1398"/>
        <w:gridCol w:w="807"/>
        <w:gridCol w:w="701"/>
        <w:gridCol w:w="699"/>
        <w:gridCol w:w="666"/>
        <w:gridCol w:w="828"/>
        <w:gridCol w:w="782"/>
        <w:gridCol w:w="875"/>
        <w:gridCol w:w="82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b/>
                <w:sz w:val="21"/>
                <w:szCs w:val="21"/>
              </w:rPr>
            </w:pPr>
            <w:r>
              <w:rPr>
                <w:b/>
                <w:sz w:val="21"/>
                <w:szCs w:val="21"/>
              </w:rPr>
              <w:t>序号</w:t>
            </w:r>
          </w:p>
        </w:tc>
        <w:tc>
          <w:tcPr>
            <w:tcW w:w="1398" w:type="dxa"/>
            <w:shd w:val="clear" w:color="auto" w:fill="auto"/>
            <w:vAlign w:val="center"/>
          </w:tcPr>
          <w:p>
            <w:pPr>
              <w:spacing w:line="276" w:lineRule="auto"/>
              <w:jc w:val="center"/>
              <w:rPr>
                <w:b/>
                <w:sz w:val="21"/>
                <w:szCs w:val="21"/>
              </w:rPr>
            </w:pPr>
            <w:r>
              <w:rPr>
                <w:b/>
                <w:sz w:val="21"/>
                <w:szCs w:val="21"/>
              </w:rPr>
              <w:t>设备名称</w:t>
            </w:r>
          </w:p>
        </w:tc>
        <w:tc>
          <w:tcPr>
            <w:tcW w:w="807" w:type="dxa"/>
            <w:shd w:val="clear" w:color="auto" w:fill="auto"/>
            <w:vAlign w:val="center"/>
          </w:tcPr>
          <w:p>
            <w:pPr>
              <w:spacing w:line="276" w:lineRule="auto"/>
              <w:jc w:val="center"/>
              <w:rPr>
                <w:b/>
                <w:sz w:val="21"/>
                <w:szCs w:val="21"/>
              </w:rPr>
            </w:pPr>
            <w:r>
              <w:rPr>
                <w:b/>
                <w:sz w:val="21"/>
                <w:szCs w:val="21"/>
              </w:rPr>
              <w:t>声压级</w:t>
            </w:r>
          </w:p>
        </w:tc>
        <w:tc>
          <w:tcPr>
            <w:tcW w:w="701" w:type="dxa"/>
            <w:shd w:val="clear" w:color="auto" w:fill="auto"/>
            <w:vAlign w:val="center"/>
          </w:tcPr>
          <w:p>
            <w:pPr>
              <w:spacing w:line="276" w:lineRule="auto"/>
              <w:jc w:val="center"/>
              <w:rPr>
                <w:b/>
                <w:sz w:val="21"/>
                <w:szCs w:val="21"/>
              </w:rPr>
            </w:pPr>
            <w:r>
              <w:rPr>
                <w:b/>
                <w:sz w:val="21"/>
                <w:szCs w:val="21"/>
              </w:rPr>
              <w:t>10m</w:t>
            </w:r>
          </w:p>
        </w:tc>
        <w:tc>
          <w:tcPr>
            <w:tcW w:w="699" w:type="dxa"/>
            <w:shd w:val="clear" w:color="auto" w:fill="auto"/>
            <w:vAlign w:val="center"/>
          </w:tcPr>
          <w:p>
            <w:pPr>
              <w:spacing w:line="276" w:lineRule="auto"/>
              <w:jc w:val="center"/>
              <w:rPr>
                <w:b/>
                <w:sz w:val="21"/>
                <w:szCs w:val="21"/>
              </w:rPr>
            </w:pPr>
            <w:r>
              <w:rPr>
                <w:b/>
                <w:sz w:val="21"/>
                <w:szCs w:val="21"/>
              </w:rPr>
              <w:t>20m</w:t>
            </w:r>
          </w:p>
        </w:tc>
        <w:tc>
          <w:tcPr>
            <w:tcW w:w="666" w:type="dxa"/>
            <w:shd w:val="clear" w:color="auto" w:fill="auto"/>
            <w:vAlign w:val="center"/>
          </w:tcPr>
          <w:p>
            <w:pPr>
              <w:spacing w:line="276" w:lineRule="auto"/>
              <w:jc w:val="center"/>
              <w:rPr>
                <w:b/>
                <w:sz w:val="21"/>
                <w:szCs w:val="21"/>
              </w:rPr>
            </w:pPr>
            <w:r>
              <w:rPr>
                <w:b/>
                <w:sz w:val="21"/>
                <w:szCs w:val="21"/>
              </w:rPr>
              <w:t>40m</w:t>
            </w:r>
          </w:p>
        </w:tc>
        <w:tc>
          <w:tcPr>
            <w:tcW w:w="828" w:type="dxa"/>
            <w:shd w:val="clear" w:color="auto" w:fill="auto"/>
            <w:vAlign w:val="center"/>
          </w:tcPr>
          <w:p>
            <w:pPr>
              <w:spacing w:line="276" w:lineRule="auto"/>
              <w:jc w:val="center"/>
              <w:rPr>
                <w:b/>
                <w:sz w:val="21"/>
                <w:szCs w:val="21"/>
              </w:rPr>
            </w:pPr>
            <w:r>
              <w:rPr>
                <w:b/>
                <w:sz w:val="21"/>
                <w:szCs w:val="21"/>
              </w:rPr>
              <w:t>50m</w:t>
            </w:r>
          </w:p>
        </w:tc>
        <w:tc>
          <w:tcPr>
            <w:tcW w:w="782" w:type="dxa"/>
            <w:shd w:val="clear" w:color="auto" w:fill="auto"/>
            <w:vAlign w:val="center"/>
          </w:tcPr>
          <w:p>
            <w:pPr>
              <w:spacing w:line="276" w:lineRule="auto"/>
              <w:jc w:val="center"/>
              <w:rPr>
                <w:b/>
                <w:sz w:val="21"/>
                <w:szCs w:val="21"/>
              </w:rPr>
            </w:pPr>
            <w:r>
              <w:rPr>
                <w:b/>
                <w:sz w:val="21"/>
                <w:szCs w:val="21"/>
              </w:rPr>
              <w:t>100m</w:t>
            </w:r>
          </w:p>
        </w:tc>
        <w:tc>
          <w:tcPr>
            <w:tcW w:w="875" w:type="dxa"/>
            <w:shd w:val="clear" w:color="auto" w:fill="auto"/>
            <w:vAlign w:val="center"/>
          </w:tcPr>
          <w:p>
            <w:pPr>
              <w:spacing w:line="276" w:lineRule="auto"/>
              <w:jc w:val="center"/>
              <w:rPr>
                <w:b/>
                <w:sz w:val="21"/>
                <w:szCs w:val="21"/>
              </w:rPr>
            </w:pPr>
            <w:r>
              <w:rPr>
                <w:b/>
                <w:sz w:val="21"/>
                <w:szCs w:val="21"/>
              </w:rPr>
              <w:t>150m</w:t>
            </w:r>
          </w:p>
        </w:tc>
        <w:tc>
          <w:tcPr>
            <w:tcW w:w="828" w:type="dxa"/>
            <w:tcBorders>
              <w:right w:val="nil"/>
            </w:tcBorders>
            <w:shd w:val="clear" w:color="auto" w:fill="auto"/>
            <w:vAlign w:val="center"/>
          </w:tcPr>
          <w:p>
            <w:pPr>
              <w:spacing w:line="276" w:lineRule="auto"/>
              <w:jc w:val="center"/>
              <w:rPr>
                <w:b/>
                <w:sz w:val="21"/>
                <w:szCs w:val="21"/>
              </w:rPr>
            </w:pPr>
            <w:r>
              <w:rPr>
                <w:b/>
                <w:sz w:val="21"/>
                <w:szCs w:val="21"/>
              </w:rPr>
              <w:t>200m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w:t>
            </w:r>
          </w:p>
        </w:tc>
        <w:tc>
          <w:tcPr>
            <w:tcW w:w="1398" w:type="dxa"/>
            <w:shd w:val="clear" w:color="auto" w:fill="auto"/>
            <w:vAlign w:val="center"/>
          </w:tcPr>
          <w:p>
            <w:pPr>
              <w:spacing w:line="276" w:lineRule="auto"/>
              <w:jc w:val="center"/>
              <w:rPr>
                <w:sz w:val="21"/>
                <w:szCs w:val="21"/>
              </w:rPr>
            </w:pPr>
            <w:r>
              <w:rPr>
                <w:sz w:val="21"/>
                <w:szCs w:val="21"/>
              </w:rPr>
              <w:t>电锯、电刨</w:t>
            </w:r>
          </w:p>
        </w:tc>
        <w:tc>
          <w:tcPr>
            <w:tcW w:w="807" w:type="dxa"/>
            <w:shd w:val="clear" w:color="auto" w:fill="auto"/>
            <w:vAlign w:val="center"/>
          </w:tcPr>
          <w:p>
            <w:pPr>
              <w:spacing w:line="276" w:lineRule="auto"/>
              <w:jc w:val="center"/>
              <w:rPr>
                <w:sz w:val="21"/>
                <w:szCs w:val="21"/>
              </w:rPr>
            </w:pPr>
            <w:r>
              <w:rPr>
                <w:sz w:val="21"/>
                <w:szCs w:val="21"/>
              </w:rPr>
              <w:t>95</w:t>
            </w:r>
          </w:p>
        </w:tc>
        <w:tc>
          <w:tcPr>
            <w:tcW w:w="701" w:type="dxa"/>
            <w:shd w:val="clear" w:color="auto" w:fill="auto"/>
            <w:vAlign w:val="center"/>
          </w:tcPr>
          <w:p>
            <w:pPr>
              <w:spacing w:line="276" w:lineRule="auto"/>
              <w:jc w:val="center"/>
              <w:rPr>
                <w:sz w:val="21"/>
                <w:szCs w:val="21"/>
              </w:rPr>
            </w:pPr>
            <w:r>
              <w:rPr>
                <w:sz w:val="21"/>
                <w:szCs w:val="21"/>
              </w:rPr>
              <w:t>70</w:t>
            </w:r>
          </w:p>
        </w:tc>
        <w:tc>
          <w:tcPr>
            <w:tcW w:w="699" w:type="dxa"/>
            <w:shd w:val="clear" w:color="auto" w:fill="auto"/>
            <w:vAlign w:val="center"/>
          </w:tcPr>
          <w:p>
            <w:pPr>
              <w:spacing w:line="276" w:lineRule="auto"/>
              <w:jc w:val="center"/>
              <w:rPr>
                <w:sz w:val="21"/>
                <w:szCs w:val="21"/>
              </w:rPr>
            </w:pPr>
            <w:r>
              <w:rPr>
                <w:sz w:val="21"/>
                <w:szCs w:val="21"/>
              </w:rPr>
              <w:t>62</w:t>
            </w:r>
          </w:p>
        </w:tc>
        <w:tc>
          <w:tcPr>
            <w:tcW w:w="666" w:type="dxa"/>
            <w:shd w:val="clear" w:color="auto" w:fill="auto"/>
            <w:vAlign w:val="center"/>
          </w:tcPr>
          <w:p>
            <w:pPr>
              <w:spacing w:line="276" w:lineRule="auto"/>
              <w:jc w:val="center"/>
              <w:rPr>
                <w:sz w:val="21"/>
                <w:szCs w:val="21"/>
              </w:rPr>
            </w:pPr>
            <w:r>
              <w:rPr>
                <w:sz w:val="21"/>
                <w:szCs w:val="21"/>
              </w:rPr>
              <w:t>54</w:t>
            </w:r>
          </w:p>
        </w:tc>
        <w:tc>
          <w:tcPr>
            <w:tcW w:w="828" w:type="dxa"/>
            <w:shd w:val="clear" w:color="auto" w:fill="auto"/>
            <w:vAlign w:val="center"/>
          </w:tcPr>
          <w:p>
            <w:pPr>
              <w:spacing w:line="276" w:lineRule="auto"/>
              <w:jc w:val="center"/>
              <w:rPr>
                <w:sz w:val="21"/>
                <w:szCs w:val="21"/>
              </w:rPr>
            </w:pPr>
            <w:r>
              <w:rPr>
                <w:sz w:val="21"/>
                <w:szCs w:val="21"/>
              </w:rPr>
              <w:t>52</w:t>
            </w:r>
          </w:p>
        </w:tc>
        <w:tc>
          <w:tcPr>
            <w:tcW w:w="782" w:type="dxa"/>
            <w:shd w:val="clear" w:color="auto" w:fill="auto"/>
            <w:vAlign w:val="center"/>
          </w:tcPr>
          <w:p>
            <w:pPr>
              <w:spacing w:line="276" w:lineRule="auto"/>
              <w:jc w:val="center"/>
              <w:rPr>
                <w:sz w:val="21"/>
                <w:szCs w:val="21"/>
              </w:rPr>
            </w:pPr>
            <w:r>
              <w:rPr>
                <w:sz w:val="21"/>
                <w:szCs w:val="21"/>
              </w:rPr>
              <w:t>44</w:t>
            </w:r>
          </w:p>
        </w:tc>
        <w:tc>
          <w:tcPr>
            <w:tcW w:w="875" w:type="dxa"/>
            <w:shd w:val="clear" w:color="auto" w:fill="auto"/>
            <w:vAlign w:val="center"/>
          </w:tcPr>
          <w:p>
            <w:pPr>
              <w:spacing w:line="276" w:lineRule="auto"/>
              <w:jc w:val="center"/>
              <w:rPr>
                <w:sz w:val="21"/>
                <w:szCs w:val="21"/>
              </w:rPr>
            </w:pPr>
            <w:r>
              <w:rPr>
                <w:sz w:val="21"/>
                <w:szCs w:val="21"/>
              </w:rPr>
              <w:t>40</w:t>
            </w:r>
          </w:p>
        </w:tc>
        <w:tc>
          <w:tcPr>
            <w:tcW w:w="828" w:type="dxa"/>
            <w:tcBorders>
              <w:right w:val="nil"/>
            </w:tcBorders>
            <w:shd w:val="clear" w:color="auto" w:fill="auto"/>
            <w:vAlign w:val="center"/>
          </w:tcPr>
          <w:p>
            <w:pPr>
              <w:spacing w:line="276" w:lineRule="auto"/>
              <w:jc w:val="center"/>
              <w:rPr>
                <w:sz w:val="21"/>
                <w:szCs w:val="21"/>
              </w:rPr>
            </w:pPr>
            <w:r>
              <w:rPr>
                <w:sz w:val="21"/>
                <w:szCs w:val="21"/>
              </w:rPr>
              <w:t>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2</w:t>
            </w:r>
          </w:p>
        </w:tc>
        <w:tc>
          <w:tcPr>
            <w:tcW w:w="1398" w:type="dxa"/>
            <w:shd w:val="clear" w:color="auto" w:fill="auto"/>
            <w:vAlign w:val="center"/>
          </w:tcPr>
          <w:p>
            <w:pPr>
              <w:spacing w:line="276" w:lineRule="auto"/>
              <w:jc w:val="center"/>
              <w:rPr>
                <w:sz w:val="21"/>
                <w:szCs w:val="21"/>
              </w:rPr>
            </w:pPr>
            <w:r>
              <w:rPr>
                <w:sz w:val="21"/>
                <w:szCs w:val="21"/>
              </w:rPr>
              <w:t>振捣棒</w:t>
            </w:r>
          </w:p>
        </w:tc>
        <w:tc>
          <w:tcPr>
            <w:tcW w:w="807" w:type="dxa"/>
            <w:shd w:val="clear" w:color="auto" w:fill="auto"/>
            <w:vAlign w:val="center"/>
          </w:tcPr>
          <w:p>
            <w:pPr>
              <w:spacing w:line="276" w:lineRule="auto"/>
              <w:jc w:val="center"/>
              <w:rPr>
                <w:sz w:val="21"/>
                <w:szCs w:val="21"/>
              </w:rPr>
            </w:pPr>
            <w:r>
              <w:rPr>
                <w:sz w:val="21"/>
                <w:szCs w:val="21"/>
              </w:rPr>
              <w:t>95</w:t>
            </w:r>
          </w:p>
        </w:tc>
        <w:tc>
          <w:tcPr>
            <w:tcW w:w="701" w:type="dxa"/>
            <w:shd w:val="clear" w:color="auto" w:fill="auto"/>
            <w:vAlign w:val="center"/>
          </w:tcPr>
          <w:p>
            <w:pPr>
              <w:spacing w:line="276" w:lineRule="auto"/>
              <w:jc w:val="center"/>
              <w:rPr>
                <w:sz w:val="21"/>
                <w:szCs w:val="21"/>
              </w:rPr>
            </w:pPr>
            <w:r>
              <w:rPr>
                <w:sz w:val="21"/>
                <w:szCs w:val="21"/>
              </w:rPr>
              <w:t>70</w:t>
            </w:r>
          </w:p>
        </w:tc>
        <w:tc>
          <w:tcPr>
            <w:tcW w:w="699" w:type="dxa"/>
            <w:shd w:val="clear" w:color="auto" w:fill="auto"/>
            <w:vAlign w:val="center"/>
          </w:tcPr>
          <w:p>
            <w:pPr>
              <w:spacing w:line="276" w:lineRule="auto"/>
              <w:jc w:val="center"/>
              <w:rPr>
                <w:sz w:val="21"/>
                <w:szCs w:val="21"/>
              </w:rPr>
            </w:pPr>
            <w:r>
              <w:rPr>
                <w:sz w:val="21"/>
                <w:szCs w:val="21"/>
              </w:rPr>
              <w:t>62</w:t>
            </w:r>
          </w:p>
        </w:tc>
        <w:tc>
          <w:tcPr>
            <w:tcW w:w="666" w:type="dxa"/>
            <w:shd w:val="clear" w:color="auto" w:fill="auto"/>
            <w:vAlign w:val="center"/>
          </w:tcPr>
          <w:p>
            <w:pPr>
              <w:spacing w:line="276" w:lineRule="auto"/>
              <w:jc w:val="center"/>
              <w:rPr>
                <w:sz w:val="21"/>
                <w:szCs w:val="21"/>
              </w:rPr>
            </w:pPr>
            <w:r>
              <w:rPr>
                <w:sz w:val="21"/>
                <w:szCs w:val="21"/>
              </w:rPr>
              <w:t>54</w:t>
            </w:r>
          </w:p>
        </w:tc>
        <w:tc>
          <w:tcPr>
            <w:tcW w:w="828" w:type="dxa"/>
            <w:shd w:val="clear" w:color="auto" w:fill="auto"/>
            <w:vAlign w:val="center"/>
          </w:tcPr>
          <w:p>
            <w:pPr>
              <w:spacing w:line="276" w:lineRule="auto"/>
              <w:jc w:val="center"/>
              <w:rPr>
                <w:sz w:val="21"/>
                <w:szCs w:val="21"/>
              </w:rPr>
            </w:pPr>
            <w:r>
              <w:rPr>
                <w:sz w:val="21"/>
                <w:szCs w:val="21"/>
              </w:rPr>
              <w:t>52</w:t>
            </w:r>
          </w:p>
        </w:tc>
        <w:tc>
          <w:tcPr>
            <w:tcW w:w="782" w:type="dxa"/>
            <w:shd w:val="clear" w:color="auto" w:fill="auto"/>
            <w:vAlign w:val="center"/>
          </w:tcPr>
          <w:p>
            <w:pPr>
              <w:spacing w:line="276" w:lineRule="auto"/>
              <w:jc w:val="center"/>
              <w:rPr>
                <w:sz w:val="21"/>
                <w:szCs w:val="21"/>
              </w:rPr>
            </w:pPr>
            <w:r>
              <w:rPr>
                <w:sz w:val="21"/>
                <w:szCs w:val="21"/>
              </w:rPr>
              <w:t>44</w:t>
            </w:r>
          </w:p>
        </w:tc>
        <w:tc>
          <w:tcPr>
            <w:tcW w:w="875" w:type="dxa"/>
            <w:shd w:val="clear" w:color="auto" w:fill="auto"/>
            <w:vAlign w:val="center"/>
          </w:tcPr>
          <w:p>
            <w:pPr>
              <w:spacing w:line="276" w:lineRule="auto"/>
              <w:jc w:val="center"/>
              <w:rPr>
                <w:sz w:val="21"/>
                <w:szCs w:val="21"/>
              </w:rPr>
            </w:pPr>
            <w:r>
              <w:rPr>
                <w:sz w:val="21"/>
                <w:szCs w:val="21"/>
              </w:rPr>
              <w:t>40</w:t>
            </w:r>
          </w:p>
        </w:tc>
        <w:tc>
          <w:tcPr>
            <w:tcW w:w="828" w:type="dxa"/>
            <w:tcBorders>
              <w:right w:val="nil"/>
            </w:tcBorders>
            <w:shd w:val="clear" w:color="auto" w:fill="auto"/>
            <w:vAlign w:val="center"/>
          </w:tcPr>
          <w:p>
            <w:pPr>
              <w:spacing w:line="276" w:lineRule="auto"/>
              <w:jc w:val="center"/>
              <w:rPr>
                <w:sz w:val="21"/>
                <w:szCs w:val="21"/>
              </w:rPr>
            </w:pPr>
            <w:r>
              <w:rPr>
                <w:sz w:val="21"/>
                <w:szCs w:val="21"/>
              </w:rPr>
              <w:t>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3</w:t>
            </w:r>
          </w:p>
        </w:tc>
        <w:tc>
          <w:tcPr>
            <w:tcW w:w="1398" w:type="dxa"/>
            <w:shd w:val="clear" w:color="auto" w:fill="auto"/>
            <w:vAlign w:val="center"/>
          </w:tcPr>
          <w:p>
            <w:pPr>
              <w:spacing w:line="276" w:lineRule="auto"/>
              <w:jc w:val="center"/>
              <w:rPr>
                <w:sz w:val="21"/>
                <w:szCs w:val="21"/>
              </w:rPr>
            </w:pPr>
            <w:r>
              <w:rPr>
                <w:sz w:val="21"/>
                <w:szCs w:val="21"/>
              </w:rPr>
              <w:t>振荡器</w:t>
            </w:r>
          </w:p>
        </w:tc>
        <w:tc>
          <w:tcPr>
            <w:tcW w:w="807" w:type="dxa"/>
            <w:shd w:val="clear" w:color="auto" w:fill="auto"/>
            <w:vAlign w:val="center"/>
          </w:tcPr>
          <w:p>
            <w:pPr>
              <w:spacing w:line="276" w:lineRule="auto"/>
              <w:jc w:val="center"/>
              <w:rPr>
                <w:sz w:val="21"/>
                <w:szCs w:val="21"/>
              </w:rPr>
            </w:pPr>
            <w:r>
              <w:rPr>
                <w:sz w:val="21"/>
                <w:szCs w:val="21"/>
              </w:rPr>
              <w:t>95</w:t>
            </w:r>
          </w:p>
        </w:tc>
        <w:tc>
          <w:tcPr>
            <w:tcW w:w="701" w:type="dxa"/>
            <w:shd w:val="clear" w:color="auto" w:fill="auto"/>
            <w:vAlign w:val="center"/>
          </w:tcPr>
          <w:p>
            <w:pPr>
              <w:spacing w:line="276" w:lineRule="auto"/>
              <w:jc w:val="center"/>
              <w:rPr>
                <w:sz w:val="21"/>
                <w:szCs w:val="21"/>
              </w:rPr>
            </w:pPr>
            <w:r>
              <w:rPr>
                <w:sz w:val="21"/>
                <w:szCs w:val="21"/>
              </w:rPr>
              <w:t>70</w:t>
            </w:r>
          </w:p>
        </w:tc>
        <w:tc>
          <w:tcPr>
            <w:tcW w:w="699" w:type="dxa"/>
            <w:shd w:val="clear" w:color="auto" w:fill="auto"/>
            <w:vAlign w:val="center"/>
          </w:tcPr>
          <w:p>
            <w:pPr>
              <w:spacing w:line="276" w:lineRule="auto"/>
              <w:jc w:val="center"/>
              <w:rPr>
                <w:sz w:val="21"/>
                <w:szCs w:val="21"/>
              </w:rPr>
            </w:pPr>
            <w:r>
              <w:rPr>
                <w:sz w:val="21"/>
                <w:szCs w:val="21"/>
              </w:rPr>
              <w:t>62</w:t>
            </w:r>
          </w:p>
        </w:tc>
        <w:tc>
          <w:tcPr>
            <w:tcW w:w="666" w:type="dxa"/>
            <w:shd w:val="clear" w:color="auto" w:fill="auto"/>
            <w:vAlign w:val="center"/>
          </w:tcPr>
          <w:p>
            <w:pPr>
              <w:spacing w:line="276" w:lineRule="auto"/>
              <w:jc w:val="center"/>
              <w:rPr>
                <w:sz w:val="21"/>
                <w:szCs w:val="21"/>
              </w:rPr>
            </w:pPr>
            <w:r>
              <w:rPr>
                <w:sz w:val="21"/>
                <w:szCs w:val="21"/>
              </w:rPr>
              <w:t>54</w:t>
            </w:r>
          </w:p>
        </w:tc>
        <w:tc>
          <w:tcPr>
            <w:tcW w:w="828" w:type="dxa"/>
            <w:shd w:val="clear" w:color="auto" w:fill="auto"/>
            <w:vAlign w:val="center"/>
          </w:tcPr>
          <w:p>
            <w:pPr>
              <w:spacing w:line="276" w:lineRule="auto"/>
              <w:jc w:val="center"/>
              <w:rPr>
                <w:sz w:val="21"/>
                <w:szCs w:val="21"/>
              </w:rPr>
            </w:pPr>
            <w:r>
              <w:rPr>
                <w:sz w:val="21"/>
                <w:szCs w:val="21"/>
              </w:rPr>
              <w:t>52</w:t>
            </w:r>
          </w:p>
        </w:tc>
        <w:tc>
          <w:tcPr>
            <w:tcW w:w="782" w:type="dxa"/>
            <w:shd w:val="clear" w:color="auto" w:fill="auto"/>
            <w:vAlign w:val="center"/>
          </w:tcPr>
          <w:p>
            <w:pPr>
              <w:spacing w:line="276" w:lineRule="auto"/>
              <w:jc w:val="center"/>
              <w:rPr>
                <w:sz w:val="21"/>
                <w:szCs w:val="21"/>
              </w:rPr>
            </w:pPr>
            <w:r>
              <w:rPr>
                <w:sz w:val="21"/>
                <w:szCs w:val="21"/>
              </w:rPr>
              <w:t>44</w:t>
            </w:r>
          </w:p>
        </w:tc>
        <w:tc>
          <w:tcPr>
            <w:tcW w:w="875" w:type="dxa"/>
            <w:shd w:val="clear" w:color="auto" w:fill="auto"/>
            <w:vAlign w:val="center"/>
          </w:tcPr>
          <w:p>
            <w:pPr>
              <w:spacing w:line="276" w:lineRule="auto"/>
              <w:jc w:val="center"/>
              <w:rPr>
                <w:sz w:val="21"/>
                <w:szCs w:val="21"/>
              </w:rPr>
            </w:pPr>
            <w:r>
              <w:rPr>
                <w:sz w:val="21"/>
                <w:szCs w:val="21"/>
              </w:rPr>
              <w:t>40</w:t>
            </w:r>
          </w:p>
        </w:tc>
        <w:tc>
          <w:tcPr>
            <w:tcW w:w="828" w:type="dxa"/>
            <w:tcBorders>
              <w:right w:val="nil"/>
            </w:tcBorders>
            <w:shd w:val="clear" w:color="auto" w:fill="auto"/>
            <w:vAlign w:val="center"/>
          </w:tcPr>
          <w:p>
            <w:pPr>
              <w:spacing w:line="276" w:lineRule="auto"/>
              <w:jc w:val="center"/>
              <w:rPr>
                <w:sz w:val="21"/>
                <w:szCs w:val="21"/>
              </w:rPr>
            </w:pPr>
            <w:r>
              <w:rPr>
                <w:sz w:val="21"/>
                <w:szCs w:val="21"/>
              </w:rPr>
              <w:t>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4</w:t>
            </w:r>
          </w:p>
        </w:tc>
        <w:tc>
          <w:tcPr>
            <w:tcW w:w="1398" w:type="dxa"/>
            <w:shd w:val="clear" w:color="auto" w:fill="auto"/>
            <w:vAlign w:val="center"/>
          </w:tcPr>
          <w:p>
            <w:pPr>
              <w:spacing w:line="276" w:lineRule="auto"/>
              <w:jc w:val="center"/>
              <w:rPr>
                <w:sz w:val="21"/>
                <w:szCs w:val="21"/>
              </w:rPr>
            </w:pPr>
            <w:r>
              <w:rPr>
                <w:sz w:val="21"/>
                <w:szCs w:val="21"/>
              </w:rPr>
              <w:t>钻桩机</w:t>
            </w:r>
          </w:p>
        </w:tc>
        <w:tc>
          <w:tcPr>
            <w:tcW w:w="807" w:type="dxa"/>
            <w:shd w:val="clear" w:color="auto" w:fill="auto"/>
            <w:vAlign w:val="center"/>
          </w:tcPr>
          <w:p>
            <w:pPr>
              <w:spacing w:line="276" w:lineRule="auto"/>
              <w:jc w:val="center"/>
              <w:rPr>
                <w:sz w:val="21"/>
                <w:szCs w:val="21"/>
              </w:rPr>
            </w:pPr>
            <w:r>
              <w:rPr>
                <w:sz w:val="21"/>
                <w:szCs w:val="21"/>
              </w:rPr>
              <w:t>100</w:t>
            </w:r>
          </w:p>
        </w:tc>
        <w:tc>
          <w:tcPr>
            <w:tcW w:w="701" w:type="dxa"/>
            <w:shd w:val="clear" w:color="auto" w:fill="auto"/>
            <w:vAlign w:val="center"/>
          </w:tcPr>
          <w:p>
            <w:pPr>
              <w:spacing w:line="276" w:lineRule="auto"/>
              <w:jc w:val="center"/>
              <w:rPr>
                <w:sz w:val="21"/>
                <w:szCs w:val="21"/>
              </w:rPr>
            </w:pPr>
            <w:r>
              <w:rPr>
                <w:sz w:val="21"/>
                <w:szCs w:val="21"/>
              </w:rPr>
              <w:t>75</w:t>
            </w:r>
          </w:p>
        </w:tc>
        <w:tc>
          <w:tcPr>
            <w:tcW w:w="699" w:type="dxa"/>
            <w:shd w:val="clear" w:color="auto" w:fill="auto"/>
            <w:vAlign w:val="center"/>
          </w:tcPr>
          <w:p>
            <w:pPr>
              <w:spacing w:line="276" w:lineRule="auto"/>
              <w:jc w:val="center"/>
              <w:rPr>
                <w:sz w:val="21"/>
                <w:szCs w:val="21"/>
              </w:rPr>
            </w:pPr>
            <w:r>
              <w:rPr>
                <w:sz w:val="21"/>
                <w:szCs w:val="21"/>
              </w:rPr>
              <w:t>67</w:t>
            </w:r>
          </w:p>
        </w:tc>
        <w:tc>
          <w:tcPr>
            <w:tcW w:w="666" w:type="dxa"/>
            <w:shd w:val="clear" w:color="auto" w:fill="auto"/>
            <w:vAlign w:val="center"/>
          </w:tcPr>
          <w:p>
            <w:pPr>
              <w:spacing w:line="276" w:lineRule="auto"/>
              <w:jc w:val="center"/>
              <w:rPr>
                <w:sz w:val="21"/>
                <w:szCs w:val="21"/>
              </w:rPr>
            </w:pPr>
            <w:r>
              <w:rPr>
                <w:sz w:val="21"/>
                <w:szCs w:val="21"/>
              </w:rPr>
              <w:t>59</w:t>
            </w:r>
          </w:p>
        </w:tc>
        <w:tc>
          <w:tcPr>
            <w:tcW w:w="828" w:type="dxa"/>
            <w:shd w:val="clear" w:color="auto" w:fill="auto"/>
            <w:vAlign w:val="center"/>
          </w:tcPr>
          <w:p>
            <w:pPr>
              <w:spacing w:line="276" w:lineRule="auto"/>
              <w:jc w:val="center"/>
              <w:rPr>
                <w:sz w:val="21"/>
                <w:szCs w:val="21"/>
              </w:rPr>
            </w:pPr>
            <w:r>
              <w:rPr>
                <w:sz w:val="21"/>
                <w:szCs w:val="21"/>
              </w:rPr>
              <w:t>57</w:t>
            </w:r>
          </w:p>
        </w:tc>
        <w:tc>
          <w:tcPr>
            <w:tcW w:w="782" w:type="dxa"/>
            <w:shd w:val="clear" w:color="auto" w:fill="auto"/>
            <w:vAlign w:val="center"/>
          </w:tcPr>
          <w:p>
            <w:pPr>
              <w:spacing w:line="276" w:lineRule="auto"/>
              <w:jc w:val="center"/>
              <w:rPr>
                <w:sz w:val="21"/>
                <w:szCs w:val="21"/>
              </w:rPr>
            </w:pPr>
            <w:r>
              <w:rPr>
                <w:sz w:val="21"/>
                <w:szCs w:val="21"/>
              </w:rPr>
              <w:t>49</w:t>
            </w:r>
          </w:p>
        </w:tc>
        <w:tc>
          <w:tcPr>
            <w:tcW w:w="875" w:type="dxa"/>
            <w:shd w:val="clear" w:color="auto" w:fill="auto"/>
            <w:vAlign w:val="center"/>
          </w:tcPr>
          <w:p>
            <w:pPr>
              <w:spacing w:line="276" w:lineRule="auto"/>
              <w:jc w:val="center"/>
              <w:rPr>
                <w:sz w:val="21"/>
                <w:szCs w:val="21"/>
              </w:rPr>
            </w:pPr>
            <w:r>
              <w:rPr>
                <w:sz w:val="21"/>
                <w:szCs w:val="21"/>
              </w:rPr>
              <w:t>45</w:t>
            </w:r>
          </w:p>
        </w:tc>
        <w:tc>
          <w:tcPr>
            <w:tcW w:w="828" w:type="dxa"/>
            <w:tcBorders>
              <w:right w:val="nil"/>
            </w:tcBorders>
            <w:shd w:val="clear" w:color="auto" w:fill="auto"/>
            <w:vAlign w:val="center"/>
          </w:tcPr>
          <w:p>
            <w:pPr>
              <w:spacing w:line="276" w:lineRule="auto"/>
              <w:jc w:val="center"/>
              <w:rPr>
                <w:sz w:val="21"/>
                <w:szCs w:val="21"/>
              </w:rPr>
            </w:pPr>
            <w:r>
              <w:rPr>
                <w:sz w:val="21"/>
                <w:szCs w:val="21"/>
              </w:rPr>
              <w:t>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5</w:t>
            </w:r>
          </w:p>
        </w:tc>
        <w:tc>
          <w:tcPr>
            <w:tcW w:w="1398" w:type="dxa"/>
            <w:shd w:val="clear" w:color="auto" w:fill="auto"/>
            <w:vAlign w:val="center"/>
          </w:tcPr>
          <w:p>
            <w:pPr>
              <w:spacing w:line="276" w:lineRule="auto"/>
              <w:jc w:val="center"/>
              <w:rPr>
                <w:sz w:val="21"/>
                <w:szCs w:val="21"/>
              </w:rPr>
            </w:pPr>
            <w:r>
              <w:rPr>
                <w:sz w:val="21"/>
                <w:szCs w:val="21"/>
              </w:rPr>
              <w:t>钻孔机</w:t>
            </w:r>
          </w:p>
        </w:tc>
        <w:tc>
          <w:tcPr>
            <w:tcW w:w="807" w:type="dxa"/>
            <w:shd w:val="clear" w:color="auto" w:fill="auto"/>
            <w:vAlign w:val="center"/>
          </w:tcPr>
          <w:p>
            <w:pPr>
              <w:spacing w:line="276" w:lineRule="auto"/>
              <w:jc w:val="center"/>
              <w:rPr>
                <w:sz w:val="21"/>
                <w:szCs w:val="21"/>
              </w:rPr>
            </w:pPr>
            <w:r>
              <w:rPr>
                <w:sz w:val="21"/>
                <w:szCs w:val="21"/>
              </w:rPr>
              <w:t>100</w:t>
            </w:r>
          </w:p>
        </w:tc>
        <w:tc>
          <w:tcPr>
            <w:tcW w:w="701" w:type="dxa"/>
            <w:shd w:val="clear" w:color="auto" w:fill="auto"/>
            <w:vAlign w:val="center"/>
          </w:tcPr>
          <w:p>
            <w:pPr>
              <w:spacing w:line="276" w:lineRule="auto"/>
              <w:jc w:val="center"/>
              <w:rPr>
                <w:sz w:val="21"/>
                <w:szCs w:val="21"/>
              </w:rPr>
            </w:pPr>
            <w:r>
              <w:rPr>
                <w:sz w:val="21"/>
                <w:szCs w:val="21"/>
              </w:rPr>
              <w:t>75</w:t>
            </w:r>
          </w:p>
        </w:tc>
        <w:tc>
          <w:tcPr>
            <w:tcW w:w="699" w:type="dxa"/>
            <w:shd w:val="clear" w:color="auto" w:fill="auto"/>
            <w:vAlign w:val="center"/>
          </w:tcPr>
          <w:p>
            <w:pPr>
              <w:spacing w:line="276" w:lineRule="auto"/>
              <w:jc w:val="center"/>
              <w:rPr>
                <w:sz w:val="21"/>
                <w:szCs w:val="21"/>
              </w:rPr>
            </w:pPr>
            <w:r>
              <w:rPr>
                <w:sz w:val="21"/>
                <w:szCs w:val="21"/>
              </w:rPr>
              <w:t>67</w:t>
            </w:r>
          </w:p>
        </w:tc>
        <w:tc>
          <w:tcPr>
            <w:tcW w:w="666" w:type="dxa"/>
            <w:shd w:val="clear" w:color="auto" w:fill="auto"/>
            <w:vAlign w:val="center"/>
          </w:tcPr>
          <w:p>
            <w:pPr>
              <w:spacing w:line="276" w:lineRule="auto"/>
              <w:jc w:val="center"/>
              <w:rPr>
                <w:sz w:val="21"/>
                <w:szCs w:val="21"/>
              </w:rPr>
            </w:pPr>
            <w:r>
              <w:rPr>
                <w:sz w:val="21"/>
                <w:szCs w:val="21"/>
              </w:rPr>
              <w:t>59</w:t>
            </w:r>
          </w:p>
        </w:tc>
        <w:tc>
          <w:tcPr>
            <w:tcW w:w="828" w:type="dxa"/>
            <w:shd w:val="clear" w:color="auto" w:fill="auto"/>
            <w:vAlign w:val="center"/>
          </w:tcPr>
          <w:p>
            <w:pPr>
              <w:spacing w:line="276" w:lineRule="auto"/>
              <w:jc w:val="center"/>
              <w:rPr>
                <w:sz w:val="21"/>
                <w:szCs w:val="21"/>
              </w:rPr>
            </w:pPr>
            <w:r>
              <w:rPr>
                <w:sz w:val="21"/>
                <w:szCs w:val="21"/>
              </w:rPr>
              <w:t>57</w:t>
            </w:r>
          </w:p>
        </w:tc>
        <w:tc>
          <w:tcPr>
            <w:tcW w:w="782" w:type="dxa"/>
            <w:shd w:val="clear" w:color="auto" w:fill="auto"/>
            <w:vAlign w:val="center"/>
          </w:tcPr>
          <w:p>
            <w:pPr>
              <w:spacing w:line="276" w:lineRule="auto"/>
              <w:jc w:val="center"/>
              <w:rPr>
                <w:sz w:val="21"/>
                <w:szCs w:val="21"/>
              </w:rPr>
            </w:pPr>
            <w:r>
              <w:rPr>
                <w:sz w:val="21"/>
                <w:szCs w:val="21"/>
              </w:rPr>
              <w:t>49</w:t>
            </w:r>
          </w:p>
        </w:tc>
        <w:tc>
          <w:tcPr>
            <w:tcW w:w="875" w:type="dxa"/>
            <w:shd w:val="clear" w:color="auto" w:fill="auto"/>
            <w:vAlign w:val="center"/>
          </w:tcPr>
          <w:p>
            <w:pPr>
              <w:spacing w:line="276" w:lineRule="auto"/>
              <w:jc w:val="center"/>
              <w:rPr>
                <w:sz w:val="21"/>
                <w:szCs w:val="21"/>
              </w:rPr>
            </w:pPr>
            <w:r>
              <w:rPr>
                <w:sz w:val="21"/>
                <w:szCs w:val="21"/>
              </w:rPr>
              <w:t>45</w:t>
            </w:r>
          </w:p>
        </w:tc>
        <w:tc>
          <w:tcPr>
            <w:tcW w:w="828" w:type="dxa"/>
            <w:tcBorders>
              <w:right w:val="nil"/>
            </w:tcBorders>
            <w:shd w:val="clear" w:color="auto" w:fill="auto"/>
            <w:vAlign w:val="center"/>
          </w:tcPr>
          <w:p>
            <w:pPr>
              <w:spacing w:line="276" w:lineRule="auto"/>
              <w:jc w:val="center"/>
              <w:rPr>
                <w:sz w:val="21"/>
                <w:szCs w:val="21"/>
              </w:rPr>
            </w:pPr>
            <w:r>
              <w:rPr>
                <w:sz w:val="21"/>
                <w:szCs w:val="21"/>
              </w:rPr>
              <w:t>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6</w:t>
            </w:r>
          </w:p>
        </w:tc>
        <w:tc>
          <w:tcPr>
            <w:tcW w:w="1398" w:type="dxa"/>
            <w:shd w:val="clear" w:color="auto" w:fill="auto"/>
            <w:vAlign w:val="center"/>
          </w:tcPr>
          <w:p>
            <w:pPr>
              <w:spacing w:line="276" w:lineRule="auto"/>
              <w:jc w:val="center"/>
              <w:rPr>
                <w:sz w:val="21"/>
                <w:szCs w:val="21"/>
              </w:rPr>
            </w:pPr>
            <w:r>
              <w:rPr>
                <w:sz w:val="21"/>
                <w:szCs w:val="21"/>
              </w:rPr>
              <w:t>风动机具</w:t>
            </w:r>
          </w:p>
        </w:tc>
        <w:tc>
          <w:tcPr>
            <w:tcW w:w="807" w:type="dxa"/>
            <w:shd w:val="clear" w:color="auto" w:fill="auto"/>
            <w:vAlign w:val="center"/>
          </w:tcPr>
          <w:p>
            <w:pPr>
              <w:spacing w:line="276" w:lineRule="auto"/>
              <w:jc w:val="center"/>
              <w:rPr>
                <w:sz w:val="21"/>
                <w:szCs w:val="21"/>
              </w:rPr>
            </w:pPr>
            <w:r>
              <w:rPr>
                <w:sz w:val="21"/>
                <w:szCs w:val="21"/>
              </w:rPr>
              <w:t>95</w:t>
            </w:r>
          </w:p>
        </w:tc>
        <w:tc>
          <w:tcPr>
            <w:tcW w:w="701" w:type="dxa"/>
            <w:shd w:val="clear" w:color="auto" w:fill="auto"/>
            <w:vAlign w:val="center"/>
          </w:tcPr>
          <w:p>
            <w:pPr>
              <w:spacing w:line="276" w:lineRule="auto"/>
              <w:jc w:val="center"/>
              <w:rPr>
                <w:sz w:val="21"/>
                <w:szCs w:val="21"/>
              </w:rPr>
            </w:pPr>
            <w:r>
              <w:rPr>
                <w:sz w:val="21"/>
                <w:szCs w:val="21"/>
              </w:rPr>
              <w:t>70</w:t>
            </w:r>
          </w:p>
        </w:tc>
        <w:tc>
          <w:tcPr>
            <w:tcW w:w="699" w:type="dxa"/>
            <w:shd w:val="clear" w:color="auto" w:fill="auto"/>
            <w:vAlign w:val="center"/>
          </w:tcPr>
          <w:p>
            <w:pPr>
              <w:spacing w:line="276" w:lineRule="auto"/>
              <w:jc w:val="center"/>
              <w:rPr>
                <w:sz w:val="21"/>
                <w:szCs w:val="21"/>
              </w:rPr>
            </w:pPr>
            <w:r>
              <w:rPr>
                <w:sz w:val="21"/>
                <w:szCs w:val="21"/>
              </w:rPr>
              <w:t>62</w:t>
            </w:r>
          </w:p>
        </w:tc>
        <w:tc>
          <w:tcPr>
            <w:tcW w:w="666" w:type="dxa"/>
            <w:shd w:val="clear" w:color="auto" w:fill="auto"/>
            <w:vAlign w:val="center"/>
          </w:tcPr>
          <w:p>
            <w:pPr>
              <w:spacing w:line="276" w:lineRule="auto"/>
              <w:jc w:val="center"/>
              <w:rPr>
                <w:sz w:val="21"/>
                <w:szCs w:val="21"/>
              </w:rPr>
            </w:pPr>
            <w:r>
              <w:rPr>
                <w:sz w:val="21"/>
                <w:szCs w:val="21"/>
              </w:rPr>
              <w:t>54</w:t>
            </w:r>
          </w:p>
        </w:tc>
        <w:tc>
          <w:tcPr>
            <w:tcW w:w="828" w:type="dxa"/>
            <w:shd w:val="clear" w:color="auto" w:fill="auto"/>
            <w:vAlign w:val="center"/>
          </w:tcPr>
          <w:p>
            <w:pPr>
              <w:spacing w:line="276" w:lineRule="auto"/>
              <w:jc w:val="center"/>
              <w:rPr>
                <w:sz w:val="21"/>
                <w:szCs w:val="21"/>
              </w:rPr>
            </w:pPr>
            <w:r>
              <w:rPr>
                <w:sz w:val="21"/>
                <w:szCs w:val="21"/>
              </w:rPr>
              <w:t>52</w:t>
            </w:r>
          </w:p>
        </w:tc>
        <w:tc>
          <w:tcPr>
            <w:tcW w:w="782" w:type="dxa"/>
            <w:shd w:val="clear" w:color="auto" w:fill="auto"/>
            <w:vAlign w:val="center"/>
          </w:tcPr>
          <w:p>
            <w:pPr>
              <w:spacing w:line="276" w:lineRule="auto"/>
              <w:jc w:val="center"/>
              <w:rPr>
                <w:sz w:val="21"/>
                <w:szCs w:val="21"/>
              </w:rPr>
            </w:pPr>
            <w:r>
              <w:rPr>
                <w:sz w:val="21"/>
                <w:szCs w:val="21"/>
              </w:rPr>
              <w:t>44</w:t>
            </w:r>
          </w:p>
        </w:tc>
        <w:tc>
          <w:tcPr>
            <w:tcW w:w="875" w:type="dxa"/>
            <w:shd w:val="clear" w:color="auto" w:fill="auto"/>
            <w:vAlign w:val="center"/>
          </w:tcPr>
          <w:p>
            <w:pPr>
              <w:spacing w:line="276" w:lineRule="auto"/>
              <w:jc w:val="center"/>
              <w:rPr>
                <w:sz w:val="21"/>
                <w:szCs w:val="21"/>
              </w:rPr>
            </w:pPr>
            <w:r>
              <w:rPr>
                <w:sz w:val="21"/>
                <w:szCs w:val="21"/>
              </w:rPr>
              <w:t>40</w:t>
            </w:r>
          </w:p>
        </w:tc>
        <w:tc>
          <w:tcPr>
            <w:tcW w:w="828" w:type="dxa"/>
            <w:tcBorders>
              <w:right w:val="nil"/>
            </w:tcBorders>
            <w:shd w:val="clear" w:color="auto" w:fill="auto"/>
            <w:vAlign w:val="center"/>
          </w:tcPr>
          <w:p>
            <w:pPr>
              <w:spacing w:line="276" w:lineRule="auto"/>
              <w:jc w:val="center"/>
              <w:rPr>
                <w:sz w:val="21"/>
                <w:szCs w:val="21"/>
              </w:rPr>
            </w:pPr>
            <w:r>
              <w:rPr>
                <w:sz w:val="21"/>
                <w:szCs w:val="21"/>
              </w:rPr>
              <w:t>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7</w:t>
            </w:r>
          </w:p>
        </w:tc>
        <w:tc>
          <w:tcPr>
            <w:tcW w:w="1398" w:type="dxa"/>
            <w:shd w:val="clear" w:color="auto" w:fill="auto"/>
            <w:vAlign w:val="center"/>
          </w:tcPr>
          <w:p>
            <w:pPr>
              <w:spacing w:line="276" w:lineRule="auto"/>
              <w:jc w:val="center"/>
              <w:rPr>
                <w:sz w:val="21"/>
                <w:szCs w:val="21"/>
              </w:rPr>
            </w:pPr>
            <w:r>
              <w:rPr>
                <w:sz w:val="21"/>
                <w:szCs w:val="21"/>
              </w:rPr>
              <w:t>推土机</w:t>
            </w:r>
          </w:p>
        </w:tc>
        <w:tc>
          <w:tcPr>
            <w:tcW w:w="807" w:type="dxa"/>
            <w:shd w:val="clear" w:color="auto" w:fill="auto"/>
            <w:vAlign w:val="center"/>
          </w:tcPr>
          <w:p>
            <w:pPr>
              <w:spacing w:line="276" w:lineRule="auto"/>
              <w:jc w:val="center"/>
              <w:rPr>
                <w:sz w:val="21"/>
                <w:szCs w:val="21"/>
              </w:rPr>
            </w:pPr>
            <w:r>
              <w:rPr>
                <w:sz w:val="21"/>
                <w:szCs w:val="21"/>
              </w:rPr>
              <w:t>86</w:t>
            </w:r>
          </w:p>
        </w:tc>
        <w:tc>
          <w:tcPr>
            <w:tcW w:w="701" w:type="dxa"/>
            <w:shd w:val="clear" w:color="auto" w:fill="auto"/>
            <w:vAlign w:val="center"/>
          </w:tcPr>
          <w:p>
            <w:pPr>
              <w:spacing w:line="276" w:lineRule="auto"/>
              <w:jc w:val="center"/>
              <w:rPr>
                <w:sz w:val="21"/>
                <w:szCs w:val="21"/>
              </w:rPr>
            </w:pPr>
            <w:r>
              <w:rPr>
                <w:sz w:val="21"/>
                <w:szCs w:val="21"/>
              </w:rPr>
              <w:t>78</w:t>
            </w:r>
          </w:p>
        </w:tc>
        <w:tc>
          <w:tcPr>
            <w:tcW w:w="699" w:type="dxa"/>
            <w:shd w:val="clear" w:color="auto" w:fill="auto"/>
            <w:vAlign w:val="center"/>
          </w:tcPr>
          <w:p>
            <w:pPr>
              <w:spacing w:line="276" w:lineRule="auto"/>
              <w:jc w:val="center"/>
              <w:rPr>
                <w:sz w:val="21"/>
                <w:szCs w:val="21"/>
              </w:rPr>
            </w:pPr>
            <w:r>
              <w:rPr>
                <w:sz w:val="21"/>
                <w:szCs w:val="21"/>
              </w:rPr>
              <w:t>71</w:t>
            </w:r>
          </w:p>
        </w:tc>
        <w:tc>
          <w:tcPr>
            <w:tcW w:w="666" w:type="dxa"/>
            <w:shd w:val="clear" w:color="auto" w:fill="auto"/>
            <w:vAlign w:val="center"/>
          </w:tcPr>
          <w:p>
            <w:pPr>
              <w:spacing w:line="276" w:lineRule="auto"/>
              <w:jc w:val="center"/>
              <w:rPr>
                <w:sz w:val="21"/>
                <w:szCs w:val="21"/>
              </w:rPr>
            </w:pPr>
            <w:r>
              <w:rPr>
                <w:sz w:val="21"/>
                <w:szCs w:val="21"/>
              </w:rPr>
              <w:t>63</w:t>
            </w:r>
          </w:p>
        </w:tc>
        <w:tc>
          <w:tcPr>
            <w:tcW w:w="828" w:type="dxa"/>
            <w:shd w:val="clear" w:color="auto" w:fill="auto"/>
            <w:vAlign w:val="center"/>
          </w:tcPr>
          <w:p>
            <w:pPr>
              <w:spacing w:line="276" w:lineRule="auto"/>
              <w:jc w:val="center"/>
              <w:rPr>
                <w:sz w:val="21"/>
                <w:szCs w:val="21"/>
              </w:rPr>
            </w:pPr>
            <w:r>
              <w:rPr>
                <w:sz w:val="21"/>
                <w:szCs w:val="21"/>
              </w:rPr>
              <w:t>61</w:t>
            </w:r>
          </w:p>
        </w:tc>
        <w:tc>
          <w:tcPr>
            <w:tcW w:w="782" w:type="dxa"/>
            <w:shd w:val="clear" w:color="auto" w:fill="auto"/>
            <w:vAlign w:val="center"/>
          </w:tcPr>
          <w:p>
            <w:pPr>
              <w:spacing w:line="276" w:lineRule="auto"/>
              <w:jc w:val="center"/>
              <w:rPr>
                <w:sz w:val="21"/>
                <w:szCs w:val="21"/>
              </w:rPr>
            </w:pPr>
            <w:r>
              <w:rPr>
                <w:sz w:val="21"/>
                <w:szCs w:val="21"/>
              </w:rPr>
              <w:t>53</w:t>
            </w:r>
          </w:p>
        </w:tc>
        <w:tc>
          <w:tcPr>
            <w:tcW w:w="875" w:type="dxa"/>
            <w:shd w:val="clear" w:color="auto" w:fill="auto"/>
            <w:vAlign w:val="center"/>
          </w:tcPr>
          <w:p>
            <w:pPr>
              <w:spacing w:line="276" w:lineRule="auto"/>
              <w:jc w:val="center"/>
              <w:rPr>
                <w:sz w:val="21"/>
                <w:szCs w:val="21"/>
              </w:rPr>
            </w:pPr>
            <w:r>
              <w:rPr>
                <w:sz w:val="21"/>
                <w:szCs w:val="21"/>
              </w:rPr>
              <w:t>49</w:t>
            </w:r>
          </w:p>
        </w:tc>
        <w:tc>
          <w:tcPr>
            <w:tcW w:w="828" w:type="dxa"/>
            <w:tcBorders>
              <w:right w:val="nil"/>
            </w:tcBorders>
            <w:shd w:val="clear" w:color="auto" w:fill="auto"/>
            <w:vAlign w:val="center"/>
          </w:tcPr>
          <w:p>
            <w:pPr>
              <w:spacing w:line="276" w:lineRule="auto"/>
              <w:jc w:val="center"/>
              <w:rPr>
                <w:sz w:val="21"/>
                <w:szCs w:val="21"/>
              </w:rPr>
            </w:pPr>
            <w:r>
              <w:rPr>
                <w:sz w:val="21"/>
                <w:szCs w:val="21"/>
              </w:rPr>
              <w:t>45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8</w:t>
            </w:r>
          </w:p>
        </w:tc>
        <w:tc>
          <w:tcPr>
            <w:tcW w:w="1398" w:type="dxa"/>
            <w:shd w:val="clear" w:color="auto" w:fill="auto"/>
            <w:vAlign w:val="center"/>
          </w:tcPr>
          <w:p>
            <w:pPr>
              <w:spacing w:line="276" w:lineRule="auto"/>
              <w:jc w:val="center"/>
              <w:rPr>
                <w:sz w:val="21"/>
                <w:szCs w:val="21"/>
              </w:rPr>
            </w:pPr>
            <w:r>
              <w:rPr>
                <w:sz w:val="21"/>
                <w:szCs w:val="21"/>
              </w:rPr>
              <w:t>挖掘机</w:t>
            </w:r>
          </w:p>
        </w:tc>
        <w:tc>
          <w:tcPr>
            <w:tcW w:w="807" w:type="dxa"/>
            <w:shd w:val="clear" w:color="auto" w:fill="auto"/>
            <w:vAlign w:val="center"/>
          </w:tcPr>
          <w:p>
            <w:pPr>
              <w:spacing w:line="276" w:lineRule="auto"/>
              <w:jc w:val="center"/>
              <w:rPr>
                <w:sz w:val="21"/>
                <w:szCs w:val="21"/>
              </w:rPr>
            </w:pPr>
            <w:r>
              <w:rPr>
                <w:sz w:val="21"/>
                <w:szCs w:val="21"/>
              </w:rPr>
              <w:t>84</w:t>
            </w:r>
          </w:p>
        </w:tc>
        <w:tc>
          <w:tcPr>
            <w:tcW w:w="701" w:type="dxa"/>
            <w:shd w:val="clear" w:color="auto" w:fill="auto"/>
            <w:vAlign w:val="center"/>
          </w:tcPr>
          <w:p>
            <w:pPr>
              <w:spacing w:line="276" w:lineRule="auto"/>
              <w:jc w:val="center"/>
              <w:rPr>
                <w:sz w:val="21"/>
                <w:szCs w:val="21"/>
              </w:rPr>
            </w:pPr>
            <w:r>
              <w:rPr>
                <w:sz w:val="21"/>
                <w:szCs w:val="21"/>
              </w:rPr>
              <w:t>76</w:t>
            </w:r>
          </w:p>
        </w:tc>
        <w:tc>
          <w:tcPr>
            <w:tcW w:w="699" w:type="dxa"/>
            <w:shd w:val="clear" w:color="auto" w:fill="auto"/>
            <w:vAlign w:val="center"/>
          </w:tcPr>
          <w:p>
            <w:pPr>
              <w:spacing w:line="276" w:lineRule="auto"/>
              <w:jc w:val="center"/>
              <w:rPr>
                <w:sz w:val="21"/>
                <w:szCs w:val="21"/>
              </w:rPr>
            </w:pPr>
            <w:r>
              <w:rPr>
                <w:sz w:val="21"/>
                <w:szCs w:val="21"/>
              </w:rPr>
              <w:t>69</w:t>
            </w:r>
          </w:p>
        </w:tc>
        <w:tc>
          <w:tcPr>
            <w:tcW w:w="666" w:type="dxa"/>
            <w:shd w:val="clear" w:color="auto" w:fill="auto"/>
            <w:vAlign w:val="center"/>
          </w:tcPr>
          <w:p>
            <w:pPr>
              <w:spacing w:line="276" w:lineRule="auto"/>
              <w:jc w:val="center"/>
              <w:rPr>
                <w:sz w:val="21"/>
                <w:szCs w:val="21"/>
              </w:rPr>
            </w:pPr>
            <w:r>
              <w:rPr>
                <w:sz w:val="21"/>
                <w:szCs w:val="21"/>
              </w:rPr>
              <w:t>61</w:t>
            </w:r>
          </w:p>
        </w:tc>
        <w:tc>
          <w:tcPr>
            <w:tcW w:w="828" w:type="dxa"/>
            <w:shd w:val="clear" w:color="auto" w:fill="auto"/>
            <w:vAlign w:val="center"/>
          </w:tcPr>
          <w:p>
            <w:pPr>
              <w:spacing w:line="276" w:lineRule="auto"/>
              <w:jc w:val="center"/>
              <w:rPr>
                <w:sz w:val="21"/>
                <w:szCs w:val="21"/>
              </w:rPr>
            </w:pPr>
            <w:r>
              <w:rPr>
                <w:sz w:val="21"/>
                <w:szCs w:val="21"/>
              </w:rPr>
              <w:t>59</w:t>
            </w:r>
          </w:p>
        </w:tc>
        <w:tc>
          <w:tcPr>
            <w:tcW w:w="782" w:type="dxa"/>
            <w:shd w:val="clear" w:color="auto" w:fill="auto"/>
            <w:vAlign w:val="center"/>
          </w:tcPr>
          <w:p>
            <w:pPr>
              <w:spacing w:line="276" w:lineRule="auto"/>
              <w:jc w:val="center"/>
              <w:rPr>
                <w:sz w:val="21"/>
                <w:szCs w:val="21"/>
              </w:rPr>
            </w:pPr>
            <w:r>
              <w:rPr>
                <w:sz w:val="21"/>
                <w:szCs w:val="21"/>
              </w:rPr>
              <w:t>51</w:t>
            </w:r>
          </w:p>
        </w:tc>
        <w:tc>
          <w:tcPr>
            <w:tcW w:w="875" w:type="dxa"/>
            <w:shd w:val="clear" w:color="auto" w:fill="auto"/>
            <w:vAlign w:val="center"/>
          </w:tcPr>
          <w:p>
            <w:pPr>
              <w:spacing w:line="276" w:lineRule="auto"/>
              <w:jc w:val="center"/>
              <w:rPr>
                <w:sz w:val="21"/>
                <w:szCs w:val="21"/>
              </w:rPr>
            </w:pPr>
            <w:r>
              <w:rPr>
                <w:sz w:val="21"/>
                <w:szCs w:val="21"/>
              </w:rPr>
              <w:t>47</w:t>
            </w:r>
          </w:p>
        </w:tc>
        <w:tc>
          <w:tcPr>
            <w:tcW w:w="828" w:type="dxa"/>
            <w:tcBorders>
              <w:right w:val="nil"/>
            </w:tcBorders>
            <w:shd w:val="clear" w:color="auto" w:fill="auto"/>
            <w:vAlign w:val="center"/>
          </w:tcPr>
          <w:p>
            <w:pPr>
              <w:spacing w:line="276" w:lineRule="auto"/>
              <w:jc w:val="center"/>
              <w:rPr>
                <w:sz w:val="21"/>
                <w:szCs w:val="21"/>
              </w:rPr>
            </w:pPr>
            <w:r>
              <w:rPr>
                <w:sz w:val="21"/>
                <w:szCs w:val="21"/>
              </w:rPr>
              <w:t>43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9</w:t>
            </w:r>
          </w:p>
        </w:tc>
        <w:tc>
          <w:tcPr>
            <w:tcW w:w="1398" w:type="dxa"/>
            <w:shd w:val="clear" w:color="auto" w:fill="auto"/>
            <w:vAlign w:val="center"/>
          </w:tcPr>
          <w:p>
            <w:pPr>
              <w:spacing w:line="276" w:lineRule="auto"/>
              <w:jc w:val="center"/>
              <w:rPr>
                <w:sz w:val="21"/>
                <w:szCs w:val="21"/>
              </w:rPr>
            </w:pPr>
            <w:r>
              <w:rPr>
                <w:sz w:val="21"/>
                <w:szCs w:val="21"/>
              </w:rPr>
              <w:t>卷扬机</w:t>
            </w:r>
          </w:p>
        </w:tc>
        <w:tc>
          <w:tcPr>
            <w:tcW w:w="807" w:type="dxa"/>
            <w:shd w:val="clear" w:color="auto" w:fill="auto"/>
            <w:vAlign w:val="center"/>
          </w:tcPr>
          <w:p>
            <w:pPr>
              <w:spacing w:line="276" w:lineRule="auto"/>
              <w:jc w:val="center"/>
              <w:rPr>
                <w:sz w:val="21"/>
                <w:szCs w:val="21"/>
              </w:rPr>
            </w:pPr>
            <w:r>
              <w:rPr>
                <w:sz w:val="21"/>
                <w:szCs w:val="21"/>
              </w:rPr>
              <w:t>80</w:t>
            </w:r>
          </w:p>
        </w:tc>
        <w:tc>
          <w:tcPr>
            <w:tcW w:w="701" w:type="dxa"/>
            <w:shd w:val="clear" w:color="auto" w:fill="auto"/>
            <w:vAlign w:val="center"/>
          </w:tcPr>
          <w:p>
            <w:pPr>
              <w:spacing w:line="276" w:lineRule="auto"/>
              <w:jc w:val="center"/>
              <w:rPr>
                <w:sz w:val="21"/>
                <w:szCs w:val="21"/>
              </w:rPr>
            </w:pPr>
            <w:r>
              <w:rPr>
                <w:sz w:val="21"/>
                <w:szCs w:val="21"/>
              </w:rPr>
              <w:t>72</w:t>
            </w:r>
          </w:p>
        </w:tc>
        <w:tc>
          <w:tcPr>
            <w:tcW w:w="699" w:type="dxa"/>
            <w:shd w:val="clear" w:color="auto" w:fill="auto"/>
            <w:vAlign w:val="center"/>
          </w:tcPr>
          <w:p>
            <w:pPr>
              <w:spacing w:line="276" w:lineRule="auto"/>
              <w:jc w:val="center"/>
              <w:rPr>
                <w:sz w:val="21"/>
                <w:szCs w:val="21"/>
              </w:rPr>
            </w:pPr>
            <w:r>
              <w:rPr>
                <w:sz w:val="21"/>
                <w:szCs w:val="21"/>
              </w:rPr>
              <w:t>65</w:t>
            </w:r>
          </w:p>
        </w:tc>
        <w:tc>
          <w:tcPr>
            <w:tcW w:w="666" w:type="dxa"/>
            <w:shd w:val="clear" w:color="auto" w:fill="auto"/>
            <w:vAlign w:val="center"/>
          </w:tcPr>
          <w:p>
            <w:pPr>
              <w:spacing w:line="276" w:lineRule="auto"/>
              <w:jc w:val="center"/>
              <w:rPr>
                <w:sz w:val="21"/>
                <w:szCs w:val="21"/>
              </w:rPr>
            </w:pPr>
            <w:r>
              <w:rPr>
                <w:sz w:val="21"/>
                <w:szCs w:val="21"/>
              </w:rPr>
              <w:t>57</w:t>
            </w:r>
          </w:p>
        </w:tc>
        <w:tc>
          <w:tcPr>
            <w:tcW w:w="828" w:type="dxa"/>
            <w:shd w:val="clear" w:color="auto" w:fill="auto"/>
            <w:vAlign w:val="center"/>
          </w:tcPr>
          <w:p>
            <w:pPr>
              <w:spacing w:line="276" w:lineRule="auto"/>
              <w:jc w:val="center"/>
              <w:rPr>
                <w:sz w:val="21"/>
                <w:szCs w:val="21"/>
              </w:rPr>
            </w:pPr>
            <w:r>
              <w:rPr>
                <w:sz w:val="21"/>
                <w:szCs w:val="21"/>
              </w:rPr>
              <w:t>55</w:t>
            </w:r>
          </w:p>
        </w:tc>
        <w:tc>
          <w:tcPr>
            <w:tcW w:w="782" w:type="dxa"/>
            <w:shd w:val="clear" w:color="auto" w:fill="auto"/>
            <w:vAlign w:val="center"/>
          </w:tcPr>
          <w:p>
            <w:pPr>
              <w:spacing w:line="276" w:lineRule="auto"/>
              <w:jc w:val="center"/>
              <w:rPr>
                <w:sz w:val="21"/>
                <w:szCs w:val="21"/>
              </w:rPr>
            </w:pPr>
            <w:r>
              <w:rPr>
                <w:sz w:val="21"/>
                <w:szCs w:val="21"/>
              </w:rPr>
              <w:t>47</w:t>
            </w:r>
          </w:p>
        </w:tc>
        <w:tc>
          <w:tcPr>
            <w:tcW w:w="875" w:type="dxa"/>
            <w:shd w:val="clear" w:color="auto" w:fill="auto"/>
            <w:vAlign w:val="center"/>
          </w:tcPr>
          <w:p>
            <w:pPr>
              <w:spacing w:line="276" w:lineRule="auto"/>
              <w:jc w:val="center"/>
              <w:rPr>
                <w:sz w:val="21"/>
                <w:szCs w:val="21"/>
              </w:rPr>
            </w:pPr>
            <w:r>
              <w:rPr>
                <w:sz w:val="21"/>
                <w:szCs w:val="21"/>
              </w:rPr>
              <w:t>43</w:t>
            </w:r>
          </w:p>
        </w:tc>
        <w:tc>
          <w:tcPr>
            <w:tcW w:w="828" w:type="dxa"/>
            <w:tcBorders>
              <w:right w:val="nil"/>
            </w:tcBorders>
            <w:shd w:val="clear" w:color="auto" w:fill="auto"/>
            <w:vAlign w:val="center"/>
          </w:tcPr>
          <w:p>
            <w:pPr>
              <w:spacing w:line="276" w:lineRule="auto"/>
              <w:jc w:val="center"/>
              <w:rPr>
                <w:sz w:val="21"/>
                <w:szCs w:val="21"/>
              </w:rPr>
            </w:pPr>
            <w:r>
              <w:rPr>
                <w:sz w:val="21"/>
                <w:szCs w:val="21"/>
              </w:rPr>
              <w:t>37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10</w:t>
            </w:r>
          </w:p>
        </w:tc>
        <w:tc>
          <w:tcPr>
            <w:tcW w:w="1398" w:type="dxa"/>
            <w:shd w:val="clear" w:color="auto" w:fill="auto"/>
            <w:vAlign w:val="center"/>
          </w:tcPr>
          <w:p>
            <w:pPr>
              <w:spacing w:line="276" w:lineRule="auto"/>
              <w:jc w:val="center"/>
              <w:rPr>
                <w:sz w:val="21"/>
                <w:szCs w:val="21"/>
              </w:rPr>
            </w:pPr>
            <w:r>
              <w:rPr>
                <w:sz w:val="21"/>
                <w:szCs w:val="21"/>
              </w:rPr>
              <w:t>轮式装载机</w:t>
            </w:r>
          </w:p>
        </w:tc>
        <w:tc>
          <w:tcPr>
            <w:tcW w:w="807" w:type="dxa"/>
            <w:shd w:val="clear" w:color="auto" w:fill="auto"/>
            <w:vAlign w:val="center"/>
          </w:tcPr>
          <w:p>
            <w:pPr>
              <w:spacing w:line="276" w:lineRule="auto"/>
              <w:jc w:val="center"/>
              <w:rPr>
                <w:sz w:val="21"/>
                <w:szCs w:val="21"/>
              </w:rPr>
            </w:pPr>
            <w:r>
              <w:rPr>
                <w:sz w:val="21"/>
                <w:szCs w:val="21"/>
              </w:rPr>
              <w:t>90</w:t>
            </w:r>
          </w:p>
        </w:tc>
        <w:tc>
          <w:tcPr>
            <w:tcW w:w="701" w:type="dxa"/>
            <w:shd w:val="clear" w:color="auto" w:fill="auto"/>
            <w:vAlign w:val="center"/>
          </w:tcPr>
          <w:p>
            <w:pPr>
              <w:spacing w:line="276" w:lineRule="auto"/>
              <w:jc w:val="center"/>
              <w:rPr>
                <w:sz w:val="21"/>
                <w:szCs w:val="21"/>
              </w:rPr>
            </w:pPr>
            <w:r>
              <w:rPr>
                <w:sz w:val="21"/>
                <w:szCs w:val="21"/>
              </w:rPr>
              <w:t>82</w:t>
            </w:r>
          </w:p>
        </w:tc>
        <w:tc>
          <w:tcPr>
            <w:tcW w:w="699" w:type="dxa"/>
            <w:shd w:val="clear" w:color="auto" w:fill="auto"/>
            <w:vAlign w:val="center"/>
          </w:tcPr>
          <w:p>
            <w:pPr>
              <w:spacing w:line="276" w:lineRule="auto"/>
              <w:jc w:val="center"/>
              <w:rPr>
                <w:sz w:val="21"/>
                <w:szCs w:val="21"/>
              </w:rPr>
            </w:pPr>
            <w:r>
              <w:rPr>
                <w:sz w:val="21"/>
                <w:szCs w:val="21"/>
              </w:rPr>
              <w:t>75</w:t>
            </w:r>
          </w:p>
        </w:tc>
        <w:tc>
          <w:tcPr>
            <w:tcW w:w="666" w:type="dxa"/>
            <w:shd w:val="clear" w:color="auto" w:fill="auto"/>
            <w:vAlign w:val="center"/>
          </w:tcPr>
          <w:p>
            <w:pPr>
              <w:spacing w:line="276" w:lineRule="auto"/>
              <w:jc w:val="center"/>
              <w:rPr>
                <w:sz w:val="21"/>
                <w:szCs w:val="21"/>
              </w:rPr>
            </w:pPr>
            <w:r>
              <w:rPr>
                <w:sz w:val="21"/>
                <w:szCs w:val="21"/>
              </w:rPr>
              <w:t>67</w:t>
            </w:r>
          </w:p>
        </w:tc>
        <w:tc>
          <w:tcPr>
            <w:tcW w:w="828" w:type="dxa"/>
            <w:shd w:val="clear" w:color="auto" w:fill="auto"/>
            <w:vAlign w:val="center"/>
          </w:tcPr>
          <w:p>
            <w:pPr>
              <w:spacing w:line="276" w:lineRule="auto"/>
              <w:jc w:val="center"/>
              <w:rPr>
                <w:sz w:val="21"/>
                <w:szCs w:val="21"/>
              </w:rPr>
            </w:pPr>
            <w:r>
              <w:rPr>
                <w:sz w:val="21"/>
                <w:szCs w:val="21"/>
              </w:rPr>
              <w:t>65</w:t>
            </w:r>
          </w:p>
        </w:tc>
        <w:tc>
          <w:tcPr>
            <w:tcW w:w="782" w:type="dxa"/>
            <w:shd w:val="clear" w:color="auto" w:fill="auto"/>
            <w:vAlign w:val="center"/>
          </w:tcPr>
          <w:p>
            <w:pPr>
              <w:spacing w:line="276" w:lineRule="auto"/>
              <w:jc w:val="center"/>
              <w:rPr>
                <w:sz w:val="21"/>
                <w:szCs w:val="21"/>
              </w:rPr>
            </w:pPr>
            <w:r>
              <w:rPr>
                <w:sz w:val="21"/>
                <w:szCs w:val="21"/>
              </w:rPr>
              <w:t>57</w:t>
            </w:r>
          </w:p>
        </w:tc>
        <w:tc>
          <w:tcPr>
            <w:tcW w:w="875" w:type="dxa"/>
            <w:shd w:val="clear" w:color="auto" w:fill="auto"/>
            <w:vAlign w:val="center"/>
          </w:tcPr>
          <w:p>
            <w:pPr>
              <w:spacing w:line="276" w:lineRule="auto"/>
              <w:jc w:val="center"/>
              <w:rPr>
                <w:sz w:val="21"/>
                <w:szCs w:val="21"/>
              </w:rPr>
            </w:pPr>
            <w:r>
              <w:rPr>
                <w:sz w:val="21"/>
                <w:szCs w:val="21"/>
              </w:rPr>
              <w:t>53</w:t>
            </w:r>
          </w:p>
        </w:tc>
        <w:tc>
          <w:tcPr>
            <w:tcW w:w="828" w:type="dxa"/>
            <w:tcBorders>
              <w:right w:val="nil"/>
            </w:tcBorders>
            <w:shd w:val="clear" w:color="auto" w:fill="auto"/>
            <w:vAlign w:val="center"/>
          </w:tcPr>
          <w:p>
            <w:pPr>
              <w:spacing w:line="276" w:lineRule="auto"/>
              <w:jc w:val="center"/>
              <w:rPr>
                <w:sz w:val="21"/>
                <w:szCs w:val="21"/>
              </w:rPr>
            </w:pPr>
            <w:r>
              <w:rPr>
                <w:sz w:val="21"/>
                <w:szCs w:val="21"/>
              </w:rPr>
              <w:t>49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11</w:t>
            </w:r>
          </w:p>
        </w:tc>
        <w:tc>
          <w:tcPr>
            <w:tcW w:w="1398" w:type="dxa"/>
            <w:shd w:val="clear" w:color="auto" w:fill="auto"/>
            <w:vAlign w:val="center"/>
          </w:tcPr>
          <w:p>
            <w:pPr>
              <w:spacing w:line="276" w:lineRule="auto"/>
              <w:jc w:val="center"/>
              <w:rPr>
                <w:sz w:val="21"/>
                <w:szCs w:val="21"/>
              </w:rPr>
            </w:pPr>
            <w:r>
              <w:rPr>
                <w:sz w:val="21"/>
                <w:szCs w:val="21"/>
              </w:rPr>
              <w:t>平地机</w:t>
            </w:r>
          </w:p>
        </w:tc>
        <w:tc>
          <w:tcPr>
            <w:tcW w:w="807" w:type="dxa"/>
            <w:shd w:val="clear" w:color="auto" w:fill="auto"/>
            <w:vAlign w:val="center"/>
          </w:tcPr>
          <w:p>
            <w:pPr>
              <w:spacing w:line="276" w:lineRule="auto"/>
              <w:jc w:val="center"/>
              <w:rPr>
                <w:sz w:val="21"/>
                <w:szCs w:val="21"/>
              </w:rPr>
            </w:pPr>
            <w:r>
              <w:rPr>
                <w:sz w:val="21"/>
                <w:szCs w:val="21"/>
              </w:rPr>
              <w:t>90</w:t>
            </w:r>
          </w:p>
        </w:tc>
        <w:tc>
          <w:tcPr>
            <w:tcW w:w="701" w:type="dxa"/>
            <w:shd w:val="clear" w:color="auto" w:fill="auto"/>
            <w:vAlign w:val="center"/>
          </w:tcPr>
          <w:p>
            <w:pPr>
              <w:spacing w:line="276" w:lineRule="auto"/>
              <w:jc w:val="center"/>
              <w:rPr>
                <w:sz w:val="21"/>
                <w:szCs w:val="21"/>
              </w:rPr>
            </w:pPr>
            <w:r>
              <w:rPr>
                <w:sz w:val="21"/>
                <w:szCs w:val="21"/>
              </w:rPr>
              <w:t>82</w:t>
            </w:r>
          </w:p>
        </w:tc>
        <w:tc>
          <w:tcPr>
            <w:tcW w:w="699" w:type="dxa"/>
            <w:shd w:val="clear" w:color="auto" w:fill="auto"/>
            <w:vAlign w:val="center"/>
          </w:tcPr>
          <w:p>
            <w:pPr>
              <w:spacing w:line="276" w:lineRule="auto"/>
              <w:jc w:val="center"/>
              <w:rPr>
                <w:sz w:val="21"/>
                <w:szCs w:val="21"/>
              </w:rPr>
            </w:pPr>
            <w:r>
              <w:rPr>
                <w:sz w:val="21"/>
                <w:szCs w:val="21"/>
              </w:rPr>
              <w:t>75</w:t>
            </w:r>
          </w:p>
        </w:tc>
        <w:tc>
          <w:tcPr>
            <w:tcW w:w="666" w:type="dxa"/>
            <w:shd w:val="clear" w:color="auto" w:fill="auto"/>
            <w:vAlign w:val="center"/>
          </w:tcPr>
          <w:p>
            <w:pPr>
              <w:spacing w:line="276" w:lineRule="auto"/>
              <w:jc w:val="center"/>
              <w:rPr>
                <w:sz w:val="21"/>
                <w:szCs w:val="21"/>
              </w:rPr>
            </w:pPr>
            <w:r>
              <w:rPr>
                <w:sz w:val="21"/>
                <w:szCs w:val="21"/>
              </w:rPr>
              <w:t>67</w:t>
            </w:r>
          </w:p>
        </w:tc>
        <w:tc>
          <w:tcPr>
            <w:tcW w:w="828" w:type="dxa"/>
            <w:shd w:val="clear" w:color="auto" w:fill="auto"/>
            <w:vAlign w:val="center"/>
          </w:tcPr>
          <w:p>
            <w:pPr>
              <w:spacing w:line="276" w:lineRule="auto"/>
              <w:jc w:val="center"/>
              <w:rPr>
                <w:sz w:val="21"/>
                <w:szCs w:val="21"/>
              </w:rPr>
            </w:pPr>
            <w:r>
              <w:rPr>
                <w:sz w:val="21"/>
                <w:szCs w:val="21"/>
              </w:rPr>
              <w:t>65</w:t>
            </w:r>
          </w:p>
        </w:tc>
        <w:tc>
          <w:tcPr>
            <w:tcW w:w="782" w:type="dxa"/>
            <w:shd w:val="clear" w:color="auto" w:fill="auto"/>
            <w:vAlign w:val="center"/>
          </w:tcPr>
          <w:p>
            <w:pPr>
              <w:spacing w:line="276" w:lineRule="auto"/>
              <w:jc w:val="center"/>
              <w:rPr>
                <w:sz w:val="21"/>
                <w:szCs w:val="21"/>
              </w:rPr>
            </w:pPr>
            <w:r>
              <w:rPr>
                <w:sz w:val="21"/>
                <w:szCs w:val="21"/>
              </w:rPr>
              <w:t>57</w:t>
            </w:r>
          </w:p>
        </w:tc>
        <w:tc>
          <w:tcPr>
            <w:tcW w:w="875" w:type="dxa"/>
            <w:shd w:val="clear" w:color="auto" w:fill="auto"/>
            <w:vAlign w:val="center"/>
          </w:tcPr>
          <w:p>
            <w:pPr>
              <w:spacing w:line="276" w:lineRule="auto"/>
              <w:jc w:val="center"/>
              <w:rPr>
                <w:sz w:val="21"/>
                <w:szCs w:val="21"/>
              </w:rPr>
            </w:pPr>
            <w:r>
              <w:rPr>
                <w:sz w:val="21"/>
                <w:szCs w:val="21"/>
              </w:rPr>
              <w:t>53</w:t>
            </w:r>
          </w:p>
        </w:tc>
        <w:tc>
          <w:tcPr>
            <w:tcW w:w="828" w:type="dxa"/>
            <w:tcBorders>
              <w:right w:val="nil"/>
            </w:tcBorders>
            <w:shd w:val="clear" w:color="auto" w:fill="auto"/>
            <w:vAlign w:val="center"/>
          </w:tcPr>
          <w:p>
            <w:pPr>
              <w:spacing w:line="276" w:lineRule="auto"/>
              <w:jc w:val="center"/>
              <w:rPr>
                <w:sz w:val="21"/>
                <w:szCs w:val="21"/>
              </w:rPr>
            </w:pPr>
            <w:r>
              <w:rPr>
                <w:sz w:val="21"/>
                <w:szCs w:val="21"/>
              </w:rPr>
              <w:t>49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12</w:t>
            </w:r>
          </w:p>
        </w:tc>
        <w:tc>
          <w:tcPr>
            <w:tcW w:w="1398" w:type="dxa"/>
            <w:shd w:val="clear" w:color="auto" w:fill="auto"/>
            <w:vAlign w:val="center"/>
          </w:tcPr>
          <w:p>
            <w:pPr>
              <w:spacing w:line="276" w:lineRule="auto"/>
              <w:jc w:val="center"/>
              <w:rPr>
                <w:sz w:val="21"/>
                <w:szCs w:val="21"/>
              </w:rPr>
            </w:pPr>
            <w:r>
              <w:rPr>
                <w:sz w:val="21"/>
                <w:szCs w:val="21"/>
              </w:rPr>
              <w:t>压路机</w:t>
            </w:r>
          </w:p>
        </w:tc>
        <w:tc>
          <w:tcPr>
            <w:tcW w:w="807" w:type="dxa"/>
            <w:shd w:val="clear" w:color="auto" w:fill="auto"/>
            <w:vAlign w:val="center"/>
          </w:tcPr>
          <w:p>
            <w:pPr>
              <w:spacing w:line="276" w:lineRule="auto"/>
              <w:jc w:val="center"/>
              <w:rPr>
                <w:sz w:val="21"/>
                <w:szCs w:val="21"/>
              </w:rPr>
            </w:pPr>
            <w:r>
              <w:rPr>
                <w:sz w:val="21"/>
                <w:szCs w:val="21"/>
              </w:rPr>
              <w:t>80</w:t>
            </w:r>
          </w:p>
        </w:tc>
        <w:tc>
          <w:tcPr>
            <w:tcW w:w="701" w:type="dxa"/>
            <w:shd w:val="clear" w:color="auto" w:fill="auto"/>
            <w:vAlign w:val="center"/>
          </w:tcPr>
          <w:p>
            <w:pPr>
              <w:spacing w:line="276" w:lineRule="auto"/>
              <w:jc w:val="center"/>
              <w:rPr>
                <w:sz w:val="21"/>
                <w:szCs w:val="21"/>
              </w:rPr>
            </w:pPr>
            <w:r>
              <w:rPr>
                <w:sz w:val="21"/>
                <w:szCs w:val="21"/>
              </w:rPr>
              <w:t>72</w:t>
            </w:r>
          </w:p>
        </w:tc>
        <w:tc>
          <w:tcPr>
            <w:tcW w:w="699" w:type="dxa"/>
            <w:shd w:val="clear" w:color="auto" w:fill="auto"/>
            <w:vAlign w:val="center"/>
          </w:tcPr>
          <w:p>
            <w:pPr>
              <w:spacing w:line="276" w:lineRule="auto"/>
              <w:jc w:val="center"/>
              <w:rPr>
                <w:sz w:val="21"/>
                <w:szCs w:val="21"/>
              </w:rPr>
            </w:pPr>
            <w:r>
              <w:rPr>
                <w:sz w:val="21"/>
                <w:szCs w:val="21"/>
              </w:rPr>
              <w:t>65</w:t>
            </w:r>
          </w:p>
        </w:tc>
        <w:tc>
          <w:tcPr>
            <w:tcW w:w="666" w:type="dxa"/>
            <w:shd w:val="clear" w:color="auto" w:fill="auto"/>
            <w:vAlign w:val="center"/>
          </w:tcPr>
          <w:p>
            <w:pPr>
              <w:spacing w:line="276" w:lineRule="auto"/>
              <w:jc w:val="center"/>
              <w:rPr>
                <w:sz w:val="21"/>
                <w:szCs w:val="21"/>
              </w:rPr>
            </w:pPr>
            <w:r>
              <w:rPr>
                <w:sz w:val="21"/>
                <w:szCs w:val="21"/>
              </w:rPr>
              <w:t>57</w:t>
            </w:r>
          </w:p>
        </w:tc>
        <w:tc>
          <w:tcPr>
            <w:tcW w:w="828" w:type="dxa"/>
            <w:shd w:val="clear" w:color="auto" w:fill="auto"/>
            <w:vAlign w:val="center"/>
          </w:tcPr>
          <w:p>
            <w:pPr>
              <w:spacing w:line="276" w:lineRule="auto"/>
              <w:jc w:val="center"/>
              <w:rPr>
                <w:sz w:val="21"/>
                <w:szCs w:val="21"/>
              </w:rPr>
            </w:pPr>
            <w:r>
              <w:rPr>
                <w:sz w:val="21"/>
                <w:szCs w:val="21"/>
              </w:rPr>
              <w:t>55</w:t>
            </w:r>
          </w:p>
        </w:tc>
        <w:tc>
          <w:tcPr>
            <w:tcW w:w="782" w:type="dxa"/>
            <w:shd w:val="clear" w:color="auto" w:fill="auto"/>
            <w:vAlign w:val="center"/>
          </w:tcPr>
          <w:p>
            <w:pPr>
              <w:spacing w:line="276" w:lineRule="auto"/>
              <w:jc w:val="center"/>
              <w:rPr>
                <w:sz w:val="21"/>
                <w:szCs w:val="21"/>
              </w:rPr>
            </w:pPr>
            <w:r>
              <w:rPr>
                <w:sz w:val="21"/>
                <w:szCs w:val="21"/>
              </w:rPr>
              <w:t>47</w:t>
            </w:r>
          </w:p>
        </w:tc>
        <w:tc>
          <w:tcPr>
            <w:tcW w:w="875" w:type="dxa"/>
            <w:shd w:val="clear" w:color="auto" w:fill="auto"/>
            <w:vAlign w:val="center"/>
          </w:tcPr>
          <w:p>
            <w:pPr>
              <w:spacing w:line="276" w:lineRule="auto"/>
              <w:jc w:val="center"/>
              <w:rPr>
                <w:sz w:val="21"/>
                <w:szCs w:val="21"/>
              </w:rPr>
            </w:pPr>
            <w:r>
              <w:rPr>
                <w:sz w:val="21"/>
                <w:szCs w:val="21"/>
              </w:rPr>
              <w:t>43</w:t>
            </w:r>
          </w:p>
        </w:tc>
        <w:tc>
          <w:tcPr>
            <w:tcW w:w="828" w:type="dxa"/>
            <w:tcBorders>
              <w:right w:val="nil"/>
            </w:tcBorders>
            <w:shd w:val="clear" w:color="auto" w:fill="auto"/>
            <w:vAlign w:val="center"/>
          </w:tcPr>
          <w:p>
            <w:pPr>
              <w:spacing w:line="276" w:lineRule="auto"/>
              <w:jc w:val="center"/>
              <w:rPr>
                <w:sz w:val="21"/>
                <w:szCs w:val="21"/>
              </w:rPr>
            </w:pPr>
            <w:r>
              <w:rPr>
                <w:sz w:val="21"/>
                <w:szCs w:val="21"/>
              </w:rPr>
              <w:t>37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13</w:t>
            </w:r>
          </w:p>
        </w:tc>
        <w:tc>
          <w:tcPr>
            <w:tcW w:w="1398" w:type="dxa"/>
            <w:shd w:val="clear" w:color="auto" w:fill="auto"/>
            <w:vAlign w:val="center"/>
          </w:tcPr>
          <w:p>
            <w:pPr>
              <w:spacing w:line="276" w:lineRule="auto"/>
              <w:jc w:val="center"/>
              <w:rPr>
                <w:sz w:val="21"/>
                <w:szCs w:val="21"/>
              </w:rPr>
            </w:pPr>
            <w:r>
              <w:rPr>
                <w:sz w:val="21"/>
                <w:szCs w:val="21"/>
              </w:rPr>
              <w:t>摊铺机</w:t>
            </w:r>
          </w:p>
        </w:tc>
        <w:tc>
          <w:tcPr>
            <w:tcW w:w="807" w:type="dxa"/>
            <w:shd w:val="clear" w:color="auto" w:fill="auto"/>
            <w:vAlign w:val="center"/>
          </w:tcPr>
          <w:p>
            <w:pPr>
              <w:spacing w:line="276" w:lineRule="auto"/>
              <w:jc w:val="center"/>
              <w:rPr>
                <w:sz w:val="21"/>
                <w:szCs w:val="21"/>
              </w:rPr>
            </w:pPr>
            <w:r>
              <w:rPr>
                <w:sz w:val="21"/>
                <w:szCs w:val="21"/>
              </w:rPr>
              <w:t>85</w:t>
            </w:r>
          </w:p>
        </w:tc>
        <w:tc>
          <w:tcPr>
            <w:tcW w:w="701" w:type="dxa"/>
            <w:shd w:val="clear" w:color="auto" w:fill="auto"/>
            <w:vAlign w:val="center"/>
          </w:tcPr>
          <w:p>
            <w:pPr>
              <w:spacing w:line="276" w:lineRule="auto"/>
              <w:jc w:val="center"/>
              <w:rPr>
                <w:sz w:val="21"/>
                <w:szCs w:val="21"/>
              </w:rPr>
            </w:pPr>
            <w:r>
              <w:rPr>
                <w:sz w:val="21"/>
                <w:szCs w:val="21"/>
              </w:rPr>
              <w:t>77</w:t>
            </w:r>
          </w:p>
        </w:tc>
        <w:tc>
          <w:tcPr>
            <w:tcW w:w="699" w:type="dxa"/>
            <w:shd w:val="clear" w:color="auto" w:fill="auto"/>
            <w:vAlign w:val="center"/>
          </w:tcPr>
          <w:p>
            <w:pPr>
              <w:spacing w:line="276" w:lineRule="auto"/>
              <w:jc w:val="center"/>
              <w:rPr>
                <w:sz w:val="21"/>
                <w:szCs w:val="21"/>
              </w:rPr>
            </w:pPr>
            <w:r>
              <w:rPr>
                <w:sz w:val="21"/>
                <w:szCs w:val="21"/>
              </w:rPr>
              <w:t>70</w:t>
            </w:r>
          </w:p>
        </w:tc>
        <w:tc>
          <w:tcPr>
            <w:tcW w:w="666" w:type="dxa"/>
            <w:shd w:val="clear" w:color="auto" w:fill="auto"/>
            <w:vAlign w:val="center"/>
          </w:tcPr>
          <w:p>
            <w:pPr>
              <w:spacing w:line="276" w:lineRule="auto"/>
              <w:jc w:val="center"/>
              <w:rPr>
                <w:sz w:val="21"/>
                <w:szCs w:val="21"/>
              </w:rPr>
            </w:pPr>
            <w:r>
              <w:rPr>
                <w:sz w:val="21"/>
                <w:szCs w:val="21"/>
              </w:rPr>
              <w:t>62</w:t>
            </w:r>
          </w:p>
        </w:tc>
        <w:tc>
          <w:tcPr>
            <w:tcW w:w="828" w:type="dxa"/>
            <w:shd w:val="clear" w:color="auto" w:fill="auto"/>
            <w:vAlign w:val="center"/>
          </w:tcPr>
          <w:p>
            <w:pPr>
              <w:spacing w:line="276" w:lineRule="auto"/>
              <w:jc w:val="center"/>
              <w:rPr>
                <w:sz w:val="21"/>
                <w:szCs w:val="21"/>
              </w:rPr>
            </w:pPr>
            <w:r>
              <w:rPr>
                <w:sz w:val="21"/>
                <w:szCs w:val="21"/>
              </w:rPr>
              <w:t>60</w:t>
            </w:r>
          </w:p>
        </w:tc>
        <w:tc>
          <w:tcPr>
            <w:tcW w:w="782" w:type="dxa"/>
            <w:shd w:val="clear" w:color="auto" w:fill="auto"/>
            <w:vAlign w:val="center"/>
          </w:tcPr>
          <w:p>
            <w:pPr>
              <w:spacing w:line="276" w:lineRule="auto"/>
              <w:jc w:val="center"/>
              <w:rPr>
                <w:sz w:val="21"/>
                <w:szCs w:val="21"/>
              </w:rPr>
            </w:pPr>
            <w:r>
              <w:rPr>
                <w:sz w:val="21"/>
                <w:szCs w:val="21"/>
              </w:rPr>
              <w:t>52</w:t>
            </w:r>
          </w:p>
        </w:tc>
        <w:tc>
          <w:tcPr>
            <w:tcW w:w="875" w:type="dxa"/>
            <w:shd w:val="clear" w:color="auto" w:fill="auto"/>
            <w:vAlign w:val="center"/>
          </w:tcPr>
          <w:p>
            <w:pPr>
              <w:spacing w:line="276" w:lineRule="auto"/>
              <w:jc w:val="center"/>
              <w:rPr>
                <w:sz w:val="21"/>
                <w:szCs w:val="21"/>
              </w:rPr>
            </w:pPr>
            <w:r>
              <w:rPr>
                <w:sz w:val="21"/>
                <w:szCs w:val="21"/>
              </w:rPr>
              <w:t>48</w:t>
            </w:r>
          </w:p>
        </w:tc>
        <w:tc>
          <w:tcPr>
            <w:tcW w:w="828" w:type="dxa"/>
            <w:tcBorders>
              <w:right w:val="nil"/>
            </w:tcBorders>
            <w:shd w:val="clear" w:color="auto" w:fill="auto"/>
            <w:vAlign w:val="center"/>
          </w:tcPr>
          <w:p>
            <w:pPr>
              <w:spacing w:line="276" w:lineRule="auto"/>
              <w:jc w:val="center"/>
              <w:rPr>
                <w:sz w:val="21"/>
                <w:szCs w:val="21"/>
              </w:rPr>
            </w:pPr>
            <w:r>
              <w:rPr>
                <w:sz w:val="21"/>
                <w:szCs w:val="21"/>
              </w:rPr>
              <w:t>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rPr>
        <w:tc>
          <w:tcPr>
            <w:tcW w:w="699" w:type="dxa"/>
            <w:tcBorders>
              <w:left w:val="nil"/>
            </w:tcBorders>
            <w:shd w:val="clear" w:color="auto" w:fill="auto"/>
            <w:vAlign w:val="center"/>
          </w:tcPr>
          <w:p>
            <w:pPr>
              <w:spacing w:line="276" w:lineRule="auto"/>
              <w:jc w:val="center"/>
              <w:rPr>
                <w:sz w:val="21"/>
                <w:szCs w:val="21"/>
              </w:rPr>
            </w:pPr>
            <w:r>
              <w:rPr>
                <w:sz w:val="21"/>
                <w:szCs w:val="21"/>
              </w:rPr>
              <w:t>14</w:t>
            </w:r>
          </w:p>
        </w:tc>
        <w:tc>
          <w:tcPr>
            <w:tcW w:w="1398" w:type="dxa"/>
            <w:shd w:val="clear" w:color="auto" w:fill="auto"/>
            <w:vAlign w:val="center"/>
          </w:tcPr>
          <w:p>
            <w:pPr>
              <w:spacing w:line="276" w:lineRule="auto"/>
              <w:jc w:val="center"/>
              <w:rPr>
                <w:sz w:val="21"/>
                <w:szCs w:val="21"/>
              </w:rPr>
            </w:pPr>
            <w:r>
              <w:rPr>
                <w:sz w:val="21"/>
                <w:szCs w:val="21"/>
              </w:rPr>
              <w:t>吊车、升降机</w:t>
            </w:r>
          </w:p>
        </w:tc>
        <w:tc>
          <w:tcPr>
            <w:tcW w:w="807" w:type="dxa"/>
            <w:shd w:val="clear" w:color="auto" w:fill="auto"/>
            <w:vAlign w:val="center"/>
          </w:tcPr>
          <w:p>
            <w:pPr>
              <w:spacing w:line="276" w:lineRule="auto"/>
              <w:jc w:val="center"/>
              <w:rPr>
                <w:sz w:val="21"/>
                <w:szCs w:val="21"/>
              </w:rPr>
            </w:pPr>
            <w:r>
              <w:rPr>
                <w:sz w:val="21"/>
                <w:szCs w:val="21"/>
              </w:rPr>
              <w:t>80</w:t>
            </w:r>
          </w:p>
        </w:tc>
        <w:tc>
          <w:tcPr>
            <w:tcW w:w="701" w:type="dxa"/>
            <w:shd w:val="clear" w:color="auto" w:fill="auto"/>
            <w:vAlign w:val="center"/>
          </w:tcPr>
          <w:p>
            <w:pPr>
              <w:spacing w:line="276" w:lineRule="auto"/>
              <w:jc w:val="center"/>
              <w:rPr>
                <w:sz w:val="21"/>
                <w:szCs w:val="21"/>
              </w:rPr>
            </w:pPr>
            <w:r>
              <w:rPr>
                <w:sz w:val="21"/>
                <w:szCs w:val="21"/>
              </w:rPr>
              <w:t>—</w:t>
            </w:r>
          </w:p>
        </w:tc>
        <w:tc>
          <w:tcPr>
            <w:tcW w:w="699" w:type="dxa"/>
            <w:shd w:val="clear" w:color="auto" w:fill="auto"/>
            <w:vAlign w:val="center"/>
          </w:tcPr>
          <w:p>
            <w:pPr>
              <w:spacing w:line="276" w:lineRule="auto"/>
              <w:jc w:val="center"/>
              <w:rPr>
                <w:sz w:val="21"/>
                <w:szCs w:val="21"/>
              </w:rPr>
            </w:pPr>
            <w:r>
              <w:rPr>
                <w:sz w:val="21"/>
                <w:szCs w:val="21"/>
              </w:rPr>
              <w:t>77</w:t>
            </w:r>
          </w:p>
        </w:tc>
        <w:tc>
          <w:tcPr>
            <w:tcW w:w="666" w:type="dxa"/>
            <w:shd w:val="clear" w:color="auto" w:fill="auto"/>
            <w:vAlign w:val="center"/>
          </w:tcPr>
          <w:p>
            <w:pPr>
              <w:spacing w:line="276" w:lineRule="auto"/>
              <w:jc w:val="center"/>
              <w:rPr>
                <w:sz w:val="21"/>
                <w:szCs w:val="21"/>
              </w:rPr>
            </w:pPr>
            <w:r>
              <w:rPr>
                <w:sz w:val="21"/>
                <w:szCs w:val="21"/>
              </w:rPr>
              <w:t>69</w:t>
            </w:r>
          </w:p>
        </w:tc>
        <w:tc>
          <w:tcPr>
            <w:tcW w:w="828" w:type="dxa"/>
            <w:shd w:val="clear" w:color="auto" w:fill="auto"/>
            <w:vAlign w:val="center"/>
          </w:tcPr>
          <w:p>
            <w:pPr>
              <w:spacing w:line="276" w:lineRule="auto"/>
              <w:jc w:val="center"/>
              <w:rPr>
                <w:sz w:val="21"/>
                <w:szCs w:val="21"/>
              </w:rPr>
            </w:pPr>
            <w:r>
              <w:rPr>
                <w:sz w:val="21"/>
                <w:szCs w:val="21"/>
              </w:rPr>
              <w:t>61</w:t>
            </w:r>
          </w:p>
        </w:tc>
        <w:tc>
          <w:tcPr>
            <w:tcW w:w="782" w:type="dxa"/>
            <w:shd w:val="clear" w:color="auto" w:fill="auto"/>
            <w:vAlign w:val="center"/>
          </w:tcPr>
          <w:p>
            <w:pPr>
              <w:spacing w:line="276" w:lineRule="auto"/>
              <w:jc w:val="center"/>
              <w:rPr>
                <w:sz w:val="21"/>
                <w:szCs w:val="21"/>
              </w:rPr>
            </w:pPr>
            <w:r>
              <w:rPr>
                <w:sz w:val="21"/>
                <w:szCs w:val="21"/>
              </w:rPr>
              <w:t>59</w:t>
            </w:r>
          </w:p>
        </w:tc>
        <w:tc>
          <w:tcPr>
            <w:tcW w:w="875" w:type="dxa"/>
            <w:shd w:val="clear" w:color="auto" w:fill="auto"/>
            <w:vAlign w:val="center"/>
          </w:tcPr>
          <w:p>
            <w:pPr>
              <w:spacing w:line="276" w:lineRule="auto"/>
              <w:jc w:val="center"/>
              <w:rPr>
                <w:sz w:val="21"/>
                <w:szCs w:val="21"/>
              </w:rPr>
            </w:pPr>
            <w:r>
              <w:rPr>
                <w:sz w:val="21"/>
                <w:szCs w:val="21"/>
              </w:rPr>
              <w:t>51</w:t>
            </w:r>
          </w:p>
        </w:tc>
        <w:tc>
          <w:tcPr>
            <w:tcW w:w="828" w:type="dxa"/>
            <w:tcBorders>
              <w:right w:val="nil"/>
            </w:tcBorders>
            <w:shd w:val="clear" w:color="auto" w:fill="auto"/>
            <w:vAlign w:val="center"/>
          </w:tcPr>
          <w:p>
            <w:pPr>
              <w:spacing w:line="276" w:lineRule="auto"/>
              <w:jc w:val="center"/>
              <w:rPr>
                <w:sz w:val="21"/>
                <w:szCs w:val="21"/>
              </w:rPr>
            </w:pPr>
            <w:r>
              <w:rPr>
                <w:sz w:val="21"/>
                <w:szCs w:val="21"/>
              </w:rPr>
              <w:t>47</w:t>
            </w:r>
          </w:p>
        </w:tc>
      </w:tr>
    </w:tbl>
    <w:p>
      <w:pPr>
        <w:ind w:firstLine="480" w:firstLineChars="200"/>
        <w:rPr>
          <w:szCs w:val="28"/>
        </w:rPr>
      </w:pPr>
    </w:p>
    <w:p>
      <w:pPr>
        <w:ind w:firstLine="480" w:firstLineChars="200"/>
        <w:rPr>
          <w:szCs w:val="28"/>
        </w:rPr>
      </w:pPr>
      <w:r>
        <w:rPr>
          <w:szCs w:val="28"/>
        </w:rPr>
        <w:t>由表7.1-3可知，施工机械噪声较高。根据《建筑施工场界环境噪声排放标准》（GBl2523-2011），昼间本项目施工期场界噪声在距施工机械约50m左右达标，夜间则需距施工机械150m左右才能达标。通过采取减震、弹簧、消声、设置临时隔声屏障等措施，降噪值可达3~10dB(A)。经距离衰减，昼间施工场界噪声可控制在50m范围达标。</w:t>
      </w:r>
    </w:p>
    <w:p>
      <w:pPr>
        <w:ind w:firstLine="480" w:firstLineChars="200"/>
        <w:rPr>
          <w:szCs w:val="28"/>
        </w:rPr>
      </w:pPr>
      <w:r>
        <w:rPr>
          <w:szCs w:val="28"/>
        </w:rPr>
        <w:t>由于施工场地宽广，施工噪声源具有不固定性，施工场界噪声达标时，施工噪声仍会不可避免地影响周围区域的环境质量。当施工机械距离保护目标近时，施工噪声影响较重，反之则较轻。施工单位在未来施工过程中，应做好噪声防护措施，采用低噪声设备，严禁夜间施工，避免噪声扰民。</w:t>
      </w:r>
    </w:p>
    <w:p>
      <w:pPr>
        <w:spacing w:before="240" w:after="60"/>
        <w:jc w:val="left"/>
        <w:outlineLvl w:val="2"/>
        <w:rPr>
          <w:rFonts w:eastAsia="黑体"/>
          <w:bCs/>
          <w:sz w:val="28"/>
          <w:szCs w:val="28"/>
        </w:rPr>
      </w:pPr>
      <w:bookmarkStart w:id="707" w:name="_Toc535445465"/>
      <w:r>
        <w:rPr>
          <w:rFonts w:hint="eastAsia" w:eastAsia="黑体"/>
          <w:bCs/>
          <w:sz w:val="28"/>
          <w:szCs w:val="28"/>
        </w:rPr>
        <w:t>7.</w:t>
      </w:r>
      <w:r>
        <w:rPr>
          <w:rFonts w:eastAsia="黑体"/>
          <w:bCs/>
          <w:sz w:val="28"/>
          <w:szCs w:val="28"/>
        </w:rPr>
        <w:t>1.</w:t>
      </w:r>
      <w:r>
        <w:rPr>
          <w:rFonts w:hint="eastAsia" w:eastAsia="黑体"/>
          <w:bCs/>
          <w:sz w:val="28"/>
          <w:szCs w:val="28"/>
        </w:rPr>
        <w:t xml:space="preserve">4 </w:t>
      </w:r>
      <w:r>
        <w:rPr>
          <w:rFonts w:eastAsia="黑体"/>
          <w:bCs/>
          <w:sz w:val="28"/>
          <w:szCs w:val="28"/>
        </w:rPr>
        <w:t>施工期固体废物影响分析</w:t>
      </w:r>
      <w:bookmarkEnd w:id="707"/>
    </w:p>
    <w:p>
      <w:pPr>
        <w:ind w:firstLine="480" w:firstLineChars="200"/>
        <w:rPr>
          <w:szCs w:val="28"/>
        </w:rPr>
      </w:pPr>
      <w:r>
        <w:rPr>
          <w:szCs w:val="28"/>
        </w:rPr>
        <w:t>固体废物主要来源于施工过程中产生的建筑垃圾、弃土，和施工人员的生活垃圾。</w:t>
      </w:r>
    </w:p>
    <w:p>
      <w:pPr>
        <w:ind w:firstLine="480" w:firstLineChars="200"/>
        <w:rPr>
          <w:szCs w:val="28"/>
        </w:rPr>
      </w:pPr>
      <w:r>
        <w:rPr>
          <w:szCs w:val="28"/>
        </w:rPr>
        <w:t>建筑垃圾主要为残砖、废弃混凝土及其他废弃建筑材料。固体废物的任意排放将对大气环境、水环境产生一定的影响，并可能孳生蚊蝇，对施工人员及周围居民产生一定的危害，因此应采取相应的处置措施。</w:t>
      </w:r>
    </w:p>
    <w:p>
      <w:pPr>
        <w:ind w:firstLine="480" w:firstLineChars="200"/>
        <w:rPr>
          <w:szCs w:val="28"/>
        </w:rPr>
      </w:pPr>
      <w:r>
        <w:rPr>
          <w:szCs w:val="28"/>
        </w:rPr>
        <w:t>建筑垃圾主要来源于构筑物土建工程、管网建设阶段</w:t>
      </w:r>
      <w:r>
        <w:rPr>
          <w:rFonts w:hint="eastAsia"/>
          <w:szCs w:val="28"/>
        </w:rPr>
        <w:t>。本项目</w:t>
      </w:r>
      <w:r>
        <w:rPr>
          <w:szCs w:val="28"/>
        </w:rPr>
        <w:t>土石方</w:t>
      </w:r>
      <w:r>
        <w:rPr>
          <w:rFonts w:hint="eastAsia"/>
          <w:szCs w:val="28"/>
        </w:rPr>
        <w:t>平衡</w:t>
      </w:r>
      <w:r>
        <w:rPr>
          <w:szCs w:val="28"/>
        </w:rPr>
        <w:t>，</w:t>
      </w:r>
      <w:r>
        <w:rPr>
          <w:rFonts w:hint="eastAsia"/>
          <w:szCs w:val="28"/>
        </w:rPr>
        <w:t>无借方和弃方，不设渣场。</w:t>
      </w:r>
      <w:r>
        <w:rPr>
          <w:szCs w:val="28"/>
        </w:rPr>
        <w:t>废建筑材料运至市政部门指定的建筑垃圾堆放场堆放处理。</w:t>
      </w:r>
    </w:p>
    <w:p>
      <w:pPr>
        <w:ind w:firstLine="480" w:firstLineChars="200"/>
        <w:rPr>
          <w:szCs w:val="28"/>
        </w:rPr>
      </w:pPr>
      <w:r>
        <w:rPr>
          <w:szCs w:val="28"/>
        </w:rPr>
        <w:t>由于本项目建设场地较小，</w:t>
      </w:r>
      <w:r>
        <w:rPr>
          <w:rFonts w:hint="eastAsia"/>
          <w:szCs w:val="28"/>
        </w:rPr>
        <w:t>交通</w:t>
      </w:r>
      <w:r>
        <w:rPr>
          <w:szCs w:val="28"/>
        </w:rPr>
        <w:t>方便，周边</w:t>
      </w:r>
      <w:r>
        <w:rPr>
          <w:rFonts w:hint="eastAsia"/>
          <w:szCs w:val="28"/>
        </w:rPr>
        <w:t>可</w:t>
      </w:r>
      <w:r>
        <w:rPr>
          <w:szCs w:val="28"/>
        </w:rPr>
        <w:t>租用的</w:t>
      </w:r>
      <w:r>
        <w:rPr>
          <w:rFonts w:hint="eastAsia"/>
          <w:szCs w:val="28"/>
        </w:rPr>
        <w:t>住户</w:t>
      </w:r>
      <w:r>
        <w:rPr>
          <w:szCs w:val="28"/>
        </w:rPr>
        <w:t>房间较多，施工总体时间较短，因此不考虑施工人员的食宿等生活问题，项目区内不设置生活设施，建设过程中不会产生生活垃圾。</w:t>
      </w:r>
    </w:p>
    <w:p>
      <w:pPr>
        <w:ind w:firstLine="480" w:firstLineChars="200"/>
        <w:rPr>
          <w:szCs w:val="28"/>
        </w:rPr>
      </w:pPr>
      <w:r>
        <w:rPr>
          <w:szCs w:val="28"/>
        </w:rPr>
        <w:t>本项目施工期固体废弃物均得到妥善处理，不随意外排，对周围环境影响不大。</w:t>
      </w:r>
    </w:p>
    <w:p>
      <w:pPr>
        <w:spacing w:before="240" w:after="60"/>
        <w:jc w:val="left"/>
        <w:outlineLvl w:val="2"/>
        <w:rPr>
          <w:rFonts w:eastAsia="黑体"/>
          <w:bCs/>
          <w:sz w:val="28"/>
          <w:szCs w:val="28"/>
        </w:rPr>
      </w:pPr>
      <w:bookmarkStart w:id="708" w:name="_Toc535445466"/>
      <w:r>
        <w:rPr>
          <w:rFonts w:hint="eastAsia" w:eastAsia="黑体"/>
          <w:bCs/>
          <w:sz w:val="28"/>
          <w:szCs w:val="28"/>
        </w:rPr>
        <w:t>7.</w:t>
      </w:r>
      <w:r>
        <w:rPr>
          <w:rFonts w:eastAsia="黑体"/>
          <w:bCs/>
          <w:sz w:val="28"/>
          <w:szCs w:val="28"/>
        </w:rPr>
        <w:t>1.</w:t>
      </w:r>
      <w:r>
        <w:rPr>
          <w:rFonts w:hint="eastAsia" w:eastAsia="黑体"/>
          <w:bCs/>
          <w:sz w:val="28"/>
          <w:szCs w:val="28"/>
        </w:rPr>
        <w:t>5</w:t>
      </w:r>
      <w:r>
        <w:rPr>
          <w:rFonts w:eastAsia="黑体"/>
          <w:bCs/>
          <w:sz w:val="28"/>
          <w:szCs w:val="28"/>
        </w:rPr>
        <w:t>水土流失影响分析</w:t>
      </w:r>
      <w:bookmarkEnd w:id="708"/>
    </w:p>
    <w:p>
      <w:pPr>
        <w:ind w:firstLine="480" w:firstLineChars="200"/>
        <w:rPr>
          <w:szCs w:val="28"/>
        </w:rPr>
      </w:pPr>
      <w:r>
        <w:rPr>
          <w:rFonts w:hint="eastAsia"/>
          <w:szCs w:val="28"/>
        </w:rPr>
        <w:t>本工程在建设期间将不可避免的破坏原地貌水土保持功能，施工开挖将使原地表植被、地面组成物质以及地形地貌受到破坏或扰动，使区域的表层土松散裸露或形成松散堆积体，失去原有植被的防冲、固土能力，在降雨等自然因素影响下，将造成新增的水土流失。</w:t>
      </w:r>
    </w:p>
    <w:p>
      <w:pPr>
        <w:ind w:firstLine="480" w:firstLineChars="200"/>
        <w:rPr>
          <w:szCs w:val="28"/>
        </w:rPr>
      </w:pPr>
      <w:r>
        <w:rPr>
          <w:rFonts w:hint="eastAsia"/>
          <w:szCs w:val="28"/>
        </w:rPr>
        <w:t>项目建成后，区内硬化程度大大提高，降水形成的地表径流量增大；施工土建期各种建筑材料堆放对地面的占压和建筑物基础开挖会造成一定的水土流失，遇到雨季，情况更为严重。从水土保持角度出发，这些建设活动会加剧原地表的水土流失量，因此，建议建设</w:t>
      </w:r>
      <w:r>
        <w:rPr>
          <w:szCs w:val="28"/>
        </w:rPr>
        <w:t>单位</w:t>
      </w:r>
      <w:r>
        <w:rPr>
          <w:rFonts w:hint="eastAsia"/>
          <w:szCs w:val="28"/>
        </w:rPr>
        <w:t>在构建筑物及其它设施的建设过程中加强截、排水系统的建设，以减少因本工程建设引起的水土流失量；土建施工结束后，及时对项目区绿化占地覆土、绿化，恢复项目区景观绿化。</w:t>
      </w:r>
    </w:p>
    <w:p>
      <w:pPr>
        <w:ind w:firstLine="480" w:firstLineChars="200"/>
        <w:rPr>
          <w:szCs w:val="28"/>
        </w:rPr>
      </w:pPr>
      <w:r>
        <w:rPr>
          <w:rFonts w:hint="eastAsia"/>
          <w:szCs w:val="28"/>
        </w:rPr>
        <w:t>环评</w:t>
      </w:r>
      <w:r>
        <w:rPr>
          <w:szCs w:val="28"/>
        </w:rPr>
        <w:t>要求，</w:t>
      </w:r>
      <w:r>
        <w:rPr>
          <w:rFonts w:hint="eastAsia"/>
          <w:szCs w:val="28"/>
        </w:rPr>
        <w:t>建设</w:t>
      </w:r>
      <w:r>
        <w:rPr>
          <w:szCs w:val="28"/>
        </w:rPr>
        <w:t>单位</w:t>
      </w:r>
      <w:r>
        <w:rPr>
          <w:rFonts w:hint="eastAsia"/>
          <w:szCs w:val="28"/>
        </w:rPr>
        <w:t>应合理</w:t>
      </w:r>
      <w:r>
        <w:rPr>
          <w:szCs w:val="28"/>
        </w:rPr>
        <w:t>调整施工，将开挖土及时回填，</w:t>
      </w:r>
      <w:r>
        <w:rPr>
          <w:rFonts w:hint="eastAsia"/>
          <w:szCs w:val="28"/>
        </w:rPr>
        <w:t>减少</w:t>
      </w:r>
      <w:r>
        <w:rPr>
          <w:szCs w:val="28"/>
        </w:rPr>
        <w:t>开挖土方</w:t>
      </w:r>
      <w:r>
        <w:rPr>
          <w:rFonts w:hint="eastAsia"/>
          <w:szCs w:val="28"/>
        </w:rPr>
        <w:t>堆积</w:t>
      </w:r>
      <w:r>
        <w:rPr>
          <w:szCs w:val="28"/>
        </w:rPr>
        <w:t>时间。若施工需要确需</w:t>
      </w:r>
      <w:r>
        <w:rPr>
          <w:rFonts w:hint="eastAsia"/>
          <w:szCs w:val="28"/>
        </w:rPr>
        <w:t>少量堆积</w:t>
      </w:r>
      <w:r>
        <w:rPr>
          <w:szCs w:val="28"/>
        </w:rPr>
        <w:t>的，应在堆土</w:t>
      </w:r>
      <w:r>
        <w:rPr>
          <w:rFonts w:hint="eastAsia"/>
          <w:szCs w:val="28"/>
        </w:rPr>
        <w:t>覆盖</w:t>
      </w:r>
      <w:r>
        <w:rPr>
          <w:szCs w:val="28"/>
        </w:rPr>
        <w:t>毡土，减少堆土雨水冲刷，并在堆土四周</w:t>
      </w:r>
      <w:r>
        <w:rPr>
          <w:rFonts w:hint="eastAsia"/>
          <w:szCs w:val="28"/>
        </w:rPr>
        <w:t>设置</w:t>
      </w:r>
      <w:r>
        <w:rPr>
          <w:szCs w:val="28"/>
        </w:rPr>
        <w:t>导排沟，</w:t>
      </w:r>
      <w:r>
        <w:rPr>
          <w:rFonts w:hint="eastAsia"/>
          <w:szCs w:val="28"/>
        </w:rPr>
        <w:t>防止冲刷</w:t>
      </w:r>
      <w:r>
        <w:rPr>
          <w:szCs w:val="28"/>
        </w:rPr>
        <w:t>泥水随意漫流。</w:t>
      </w:r>
      <w:r>
        <w:rPr>
          <w:rFonts w:hint="eastAsia"/>
          <w:szCs w:val="28"/>
        </w:rPr>
        <w:t>同时</w:t>
      </w:r>
      <w:r>
        <w:rPr>
          <w:szCs w:val="28"/>
        </w:rPr>
        <w:t>，环评要求建设单位根据施工现场需要，夯实裸露地面，尽量减缓雨水对泥土的冲刷和水土流失。弃土和施工废料、废土及时清运，并控制施工作业时间，尽量避免在暴雨季节进行大规模的土石方开挖工作。工程竣工后，及时将工地的剩余建筑垃圾、工程渣土处理干净，并进行路面硬化和空地绿化，搞好植被的恢复、再造。</w:t>
      </w:r>
    </w:p>
    <w:p>
      <w:pPr>
        <w:ind w:firstLine="480" w:firstLineChars="200"/>
        <w:rPr>
          <w:szCs w:val="28"/>
        </w:rPr>
      </w:pPr>
      <w:r>
        <w:rPr>
          <w:szCs w:val="28"/>
        </w:rPr>
        <w:t>经采取上述措施，可将项目可能造成的水土流失影响降至最低。</w:t>
      </w:r>
    </w:p>
    <w:p>
      <w:pPr>
        <w:spacing w:before="240" w:after="60"/>
        <w:jc w:val="left"/>
        <w:outlineLvl w:val="2"/>
        <w:rPr>
          <w:rFonts w:eastAsia="黑体"/>
          <w:bCs/>
          <w:sz w:val="28"/>
          <w:szCs w:val="28"/>
        </w:rPr>
      </w:pPr>
      <w:bookmarkStart w:id="709" w:name="_Toc535445467"/>
      <w:r>
        <w:rPr>
          <w:rFonts w:hint="eastAsia" w:eastAsia="黑体"/>
          <w:bCs/>
          <w:sz w:val="28"/>
          <w:szCs w:val="28"/>
        </w:rPr>
        <w:t>7.</w:t>
      </w:r>
      <w:r>
        <w:rPr>
          <w:rFonts w:eastAsia="黑体"/>
          <w:bCs/>
          <w:sz w:val="28"/>
          <w:szCs w:val="28"/>
        </w:rPr>
        <w:t>1.</w:t>
      </w:r>
      <w:r>
        <w:rPr>
          <w:rFonts w:hint="eastAsia" w:eastAsia="黑体"/>
          <w:bCs/>
          <w:sz w:val="28"/>
          <w:szCs w:val="28"/>
        </w:rPr>
        <w:t xml:space="preserve">6 </w:t>
      </w:r>
      <w:r>
        <w:rPr>
          <w:rFonts w:eastAsia="黑体"/>
          <w:bCs/>
          <w:sz w:val="28"/>
          <w:szCs w:val="28"/>
        </w:rPr>
        <w:t>小结</w:t>
      </w:r>
      <w:bookmarkEnd w:id="709"/>
    </w:p>
    <w:p>
      <w:pPr>
        <w:ind w:firstLine="480" w:firstLineChars="200"/>
        <w:rPr>
          <w:szCs w:val="28"/>
        </w:rPr>
      </w:pPr>
      <w:r>
        <w:rPr>
          <w:szCs w:val="28"/>
        </w:rPr>
        <w:t>项目施工期对环境的影响是局部的、暂时的，主要环境污染表现为施工工地扬尘、施工机械、运输车辆的废气、施工机械、大中型运输车辆产生的噪声以及工废水、暴雨形成的地表径流等废水，此外还有建筑垃圾、废弃土石方等固体废弃物。这些都不可避免地会对周围环境，特别是噪声和大气环境产生不良影响。根据分析，通过采取措施，扬尘影响、施工噪声均可控制在50m 范围内，对周围环境影响较小。</w:t>
      </w:r>
    </w:p>
    <w:p>
      <w:pPr>
        <w:adjustRightInd w:val="0"/>
        <w:snapToGrid w:val="0"/>
        <w:ind w:firstLine="480" w:firstLineChars="200"/>
        <w:textAlignment w:val="center"/>
        <w:rPr>
          <w:kern w:val="0"/>
        </w:rPr>
      </w:pPr>
      <w:r>
        <w:rPr>
          <w:szCs w:val="28"/>
        </w:rPr>
        <w:t>因此，严格按环评文件及环保批复的要求进行管理，可将施工期影响降到最小程度。</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10" w:name="_Toc29110602"/>
      <w:r>
        <w:rPr>
          <w:rFonts w:ascii="Times New Roman" w:hAnsi="Times New Roman" w:eastAsia="黑体" w:cs="Times New Roman"/>
          <w:b w:val="0"/>
          <w:bCs/>
          <w:spacing w:val="4"/>
          <w:kern w:val="2"/>
          <w:sz w:val="32"/>
          <w:szCs w:val="32"/>
        </w:rPr>
        <w:t xml:space="preserve">7.2 </w:t>
      </w:r>
      <w:r>
        <w:rPr>
          <w:rFonts w:hint="eastAsia" w:ascii="Times New Roman" w:hAnsi="Times New Roman" w:eastAsia="黑体" w:cs="Times New Roman"/>
          <w:b w:val="0"/>
          <w:bCs/>
          <w:spacing w:val="4"/>
          <w:kern w:val="2"/>
          <w:sz w:val="32"/>
          <w:szCs w:val="32"/>
        </w:rPr>
        <w:t>运营</w:t>
      </w:r>
      <w:r>
        <w:rPr>
          <w:rFonts w:ascii="Times New Roman" w:hAnsi="Times New Roman" w:eastAsia="黑体" w:cs="Times New Roman"/>
          <w:b w:val="0"/>
          <w:bCs/>
          <w:spacing w:val="4"/>
          <w:kern w:val="2"/>
          <w:sz w:val="32"/>
          <w:szCs w:val="32"/>
        </w:rPr>
        <w:t>期环境影响分析</w:t>
      </w:r>
      <w:bookmarkEnd w:id="710"/>
    </w:p>
    <w:p>
      <w:pPr>
        <w:spacing w:before="240" w:after="60"/>
        <w:jc w:val="left"/>
        <w:outlineLvl w:val="2"/>
        <w:rPr>
          <w:rFonts w:eastAsia="黑体"/>
          <w:bCs/>
          <w:sz w:val="28"/>
          <w:szCs w:val="28"/>
        </w:rPr>
      </w:pPr>
      <w:r>
        <w:rPr>
          <w:rFonts w:eastAsia="黑体"/>
          <w:bCs/>
          <w:sz w:val="28"/>
          <w:szCs w:val="28"/>
        </w:rPr>
        <w:t>7.2.1</w:t>
      </w:r>
      <w:r>
        <w:rPr>
          <w:rFonts w:hint="eastAsia" w:eastAsia="黑体"/>
          <w:bCs/>
          <w:sz w:val="28"/>
          <w:szCs w:val="28"/>
        </w:rPr>
        <w:t>运营期环境空气影响分析</w:t>
      </w:r>
    </w:p>
    <w:p>
      <w:pPr>
        <w:pStyle w:val="970"/>
        <w:snapToGrid w:val="0"/>
        <w:ind w:firstLine="0"/>
        <w:outlineLvl w:val="3"/>
        <w:rPr>
          <w:rFonts w:eastAsia="黑体"/>
          <w:bCs/>
          <w:szCs w:val="24"/>
        </w:rPr>
      </w:pPr>
      <w:r>
        <w:rPr>
          <w:rFonts w:eastAsia="黑体"/>
          <w:bCs/>
          <w:szCs w:val="24"/>
        </w:rPr>
        <w:t>7.2.1</w:t>
      </w:r>
      <w:r>
        <w:rPr>
          <w:rFonts w:hint="eastAsia" w:eastAsia="黑体"/>
          <w:bCs/>
          <w:szCs w:val="24"/>
        </w:rPr>
        <w:t>.</w:t>
      </w:r>
      <w:r>
        <w:rPr>
          <w:rFonts w:eastAsia="黑体"/>
          <w:bCs/>
          <w:szCs w:val="24"/>
        </w:rPr>
        <w:t xml:space="preserve">1 </w:t>
      </w:r>
      <w:r>
        <w:rPr>
          <w:rFonts w:hint="eastAsia" w:eastAsia="黑体"/>
          <w:bCs/>
          <w:szCs w:val="24"/>
        </w:rPr>
        <w:t>污染源调查及核实</w:t>
      </w:r>
    </w:p>
    <w:p>
      <w:pPr>
        <w:pStyle w:val="2"/>
        <w:ind w:firstLine="480"/>
        <w:rPr>
          <w:rFonts w:hint="default"/>
        </w:rPr>
      </w:pPr>
      <w:r>
        <w:t>养殖场恶臭气体主要来自猪舍、集污池等，主要污染物为NH</w:t>
      </w:r>
      <w:r>
        <w:rPr>
          <w:vertAlign w:val="subscript"/>
        </w:rPr>
        <w:t>3</w:t>
      </w:r>
      <w:r>
        <w:t>、H</w:t>
      </w:r>
      <w:r>
        <w:rPr>
          <w:vertAlign w:val="subscript"/>
        </w:rPr>
        <w:t>2</w:t>
      </w:r>
      <w:r>
        <w:t>S，均为无组织排放。本项目正常工况下恶臭污染源情况见表</w:t>
      </w:r>
      <w:r>
        <w:rPr>
          <w:rFonts w:hint="default"/>
        </w:rPr>
        <w:t>7</w:t>
      </w:r>
      <w:r>
        <w:t>.</w:t>
      </w:r>
      <w:r>
        <w:rPr>
          <w:rFonts w:hint="default"/>
        </w:rPr>
        <w:t>2</w:t>
      </w:r>
      <w:r>
        <w:t>-1。</w:t>
      </w:r>
    </w:p>
    <w:p>
      <w:pPr>
        <w:snapToGrid w:val="0"/>
        <w:spacing w:line="240" w:lineRule="auto"/>
        <w:jc w:val="center"/>
        <w:rPr>
          <w:rFonts w:eastAsia="黑体"/>
          <w:bCs/>
        </w:rPr>
      </w:pPr>
      <w:r>
        <w:rPr>
          <w:rFonts w:eastAsia="黑体"/>
          <w:bCs/>
        </w:rPr>
        <w:t>表7</w:t>
      </w:r>
      <w:r>
        <w:rPr>
          <w:rFonts w:hint="eastAsia" w:eastAsia="黑体"/>
          <w:bCs/>
        </w:rPr>
        <w:t>.</w:t>
      </w:r>
      <w:r>
        <w:rPr>
          <w:rFonts w:eastAsia="黑体"/>
          <w:bCs/>
        </w:rPr>
        <w:t>2</w:t>
      </w:r>
      <w:r>
        <w:rPr>
          <w:rFonts w:hint="eastAsia" w:eastAsia="黑体"/>
          <w:bCs/>
        </w:rPr>
        <w:t>-1</w:t>
      </w:r>
      <w:r>
        <w:rPr>
          <w:rFonts w:eastAsia="黑体"/>
          <w:bCs/>
        </w:rPr>
        <w:t xml:space="preserve"> 项目</w:t>
      </w:r>
      <w:r>
        <w:rPr>
          <w:rFonts w:hint="eastAsia" w:eastAsia="黑体"/>
          <w:bCs/>
        </w:rPr>
        <w:t>无</w:t>
      </w:r>
      <w:r>
        <w:rPr>
          <w:rFonts w:eastAsia="黑体"/>
          <w:bCs/>
        </w:rPr>
        <w:t>组织排放统计表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78"/>
        <w:gridCol w:w="1299"/>
        <w:gridCol w:w="912"/>
        <w:gridCol w:w="911"/>
        <w:gridCol w:w="1223"/>
        <w:gridCol w:w="959"/>
        <w:gridCol w:w="912"/>
        <w:gridCol w:w="115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40" w:type="dxa"/>
            <w:vAlign w:val="center"/>
          </w:tcPr>
          <w:p>
            <w:pPr>
              <w:adjustRightInd w:val="0"/>
              <w:snapToGrid w:val="0"/>
              <w:spacing w:line="240" w:lineRule="auto"/>
              <w:jc w:val="center"/>
              <w:textAlignment w:val="baseline"/>
              <w:rPr>
                <w:b/>
                <w:iCs/>
                <w:kern w:val="0"/>
                <w:sz w:val="21"/>
              </w:rPr>
            </w:pPr>
            <w:r>
              <w:rPr>
                <w:rFonts w:hint="eastAsia"/>
                <w:b/>
                <w:iCs/>
                <w:kern w:val="0"/>
                <w:sz w:val="21"/>
              </w:rPr>
              <w:t>污染源名称（面源）</w:t>
            </w:r>
          </w:p>
        </w:tc>
        <w:tc>
          <w:tcPr>
            <w:tcW w:w="1268" w:type="dxa"/>
            <w:vAlign w:val="center"/>
          </w:tcPr>
          <w:p>
            <w:pPr>
              <w:adjustRightInd w:val="0"/>
              <w:snapToGrid w:val="0"/>
              <w:spacing w:line="240" w:lineRule="auto"/>
              <w:jc w:val="center"/>
              <w:textAlignment w:val="baseline"/>
              <w:rPr>
                <w:b/>
                <w:iCs/>
                <w:kern w:val="0"/>
                <w:sz w:val="21"/>
              </w:rPr>
            </w:pPr>
            <w:r>
              <w:rPr>
                <w:rFonts w:hint="eastAsia"/>
                <w:b/>
                <w:iCs/>
                <w:kern w:val="0"/>
                <w:sz w:val="21"/>
              </w:rPr>
              <w:t>污染物名称</w:t>
            </w:r>
          </w:p>
        </w:tc>
        <w:tc>
          <w:tcPr>
            <w:tcW w:w="890" w:type="dxa"/>
            <w:vAlign w:val="center"/>
          </w:tcPr>
          <w:p>
            <w:pPr>
              <w:adjustRightInd w:val="0"/>
              <w:snapToGrid w:val="0"/>
              <w:spacing w:line="240" w:lineRule="auto"/>
              <w:jc w:val="center"/>
              <w:textAlignment w:val="baseline"/>
              <w:rPr>
                <w:b/>
                <w:iCs/>
                <w:kern w:val="0"/>
                <w:sz w:val="21"/>
              </w:rPr>
            </w:pPr>
            <w:r>
              <w:rPr>
                <w:rFonts w:hint="eastAsia"/>
                <w:b/>
                <w:iCs/>
                <w:kern w:val="0"/>
                <w:sz w:val="21"/>
              </w:rPr>
              <w:t>面源长度(m)</w:t>
            </w:r>
          </w:p>
        </w:tc>
        <w:tc>
          <w:tcPr>
            <w:tcW w:w="889" w:type="dxa"/>
            <w:vAlign w:val="center"/>
          </w:tcPr>
          <w:p>
            <w:pPr>
              <w:adjustRightInd w:val="0"/>
              <w:snapToGrid w:val="0"/>
              <w:spacing w:line="240" w:lineRule="auto"/>
              <w:jc w:val="center"/>
              <w:textAlignment w:val="baseline"/>
              <w:rPr>
                <w:b/>
                <w:iCs/>
                <w:kern w:val="0"/>
                <w:sz w:val="21"/>
              </w:rPr>
            </w:pPr>
            <w:r>
              <w:rPr>
                <w:rFonts w:hint="eastAsia"/>
                <w:b/>
                <w:iCs/>
                <w:kern w:val="0"/>
                <w:sz w:val="21"/>
              </w:rPr>
              <w:t>面源宽度（m）</w:t>
            </w:r>
          </w:p>
        </w:tc>
        <w:tc>
          <w:tcPr>
            <w:tcW w:w="1193" w:type="dxa"/>
            <w:vAlign w:val="center"/>
          </w:tcPr>
          <w:p>
            <w:pPr>
              <w:adjustRightInd w:val="0"/>
              <w:snapToGrid w:val="0"/>
              <w:spacing w:line="240" w:lineRule="auto"/>
              <w:jc w:val="center"/>
              <w:textAlignment w:val="baseline"/>
              <w:rPr>
                <w:b/>
                <w:iCs/>
                <w:kern w:val="0"/>
                <w:sz w:val="21"/>
              </w:rPr>
            </w:pPr>
            <w:r>
              <w:rPr>
                <w:rFonts w:hint="eastAsia"/>
                <w:b/>
                <w:iCs/>
                <w:kern w:val="0"/>
                <w:sz w:val="21"/>
              </w:rPr>
              <w:t>面源有效排放高度（m）</w:t>
            </w:r>
          </w:p>
        </w:tc>
        <w:tc>
          <w:tcPr>
            <w:tcW w:w="936" w:type="dxa"/>
            <w:vAlign w:val="center"/>
          </w:tcPr>
          <w:p>
            <w:pPr>
              <w:adjustRightInd w:val="0"/>
              <w:snapToGrid w:val="0"/>
              <w:spacing w:line="240" w:lineRule="auto"/>
              <w:jc w:val="center"/>
              <w:textAlignment w:val="baseline"/>
              <w:rPr>
                <w:b/>
                <w:iCs/>
                <w:kern w:val="0"/>
                <w:sz w:val="21"/>
              </w:rPr>
            </w:pPr>
            <w:r>
              <w:rPr>
                <w:rFonts w:hint="eastAsia"/>
                <w:b/>
                <w:iCs/>
                <w:kern w:val="0"/>
                <w:sz w:val="21"/>
              </w:rPr>
              <w:t>年排放小时数/</w:t>
            </w:r>
            <w:r>
              <w:rPr>
                <w:b/>
                <w:iCs/>
                <w:kern w:val="0"/>
                <w:sz w:val="21"/>
              </w:rPr>
              <w:t>h</w:t>
            </w:r>
          </w:p>
        </w:tc>
        <w:tc>
          <w:tcPr>
            <w:tcW w:w="890" w:type="dxa"/>
            <w:vAlign w:val="center"/>
          </w:tcPr>
          <w:p>
            <w:pPr>
              <w:adjustRightInd w:val="0"/>
              <w:snapToGrid w:val="0"/>
              <w:spacing w:line="240" w:lineRule="auto"/>
              <w:jc w:val="center"/>
              <w:textAlignment w:val="baseline"/>
              <w:rPr>
                <w:b/>
                <w:iCs/>
                <w:kern w:val="0"/>
                <w:sz w:val="21"/>
              </w:rPr>
            </w:pPr>
            <w:r>
              <w:rPr>
                <w:rFonts w:hint="eastAsia"/>
                <w:b/>
                <w:iCs/>
                <w:kern w:val="0"/>
                <w:sz w:val="21"/>
              </w:rPr>
              <w:t>排放工况</w:t>
            </w:r>
          </w:p>
        </w:tc>
        <w:tc>
          <w:tcPr>
            <w:tcW w:w="1125" w:type="dxa"/>
            <w:vAlign w:val="center"/>
          </w:tcPr>
          <w:p>
            <w:pPr>
              <w:adjustRightInd w:val="0"/>
              <w:snapToGrid w:val="0"/>
              <w:spacing w:line="240" w:lineRule="auto"/>
              <w:jc w:val="center"/>
              <w:textAlignment w:val="baseline"/>
              <w:rPr>
                <w:b/>
                <w:iCs/>
                <w:kern w:val="0"/>
                <w:sz w:val="21"/>
              </w:rPr>
            </w:pPr>
            <w:r>
              <w:rPr>
                <w:rFonts w:hint="eastAsia"/>
                <w:b/>
                <w:iCs/>
                <w:kern w:val="0"/>
                <w:sz w:val="21"/>
              </w:rPr>
              <w:t>排放速率(g</w:t>
            </w:r>
            <w:r>
              <w:rPr>
                <w:b/>
                <w:iCs/>
                <w:kern w:val="0"/>
                <w:sz w:val="21"/>
              </w:rPr>
              <w:t>/h</w:t>
            </w:r>
            <w:r>
              <w:rPr>
                <w:rFonts w:hint="eastAsia"/>
                <w:b/>
                <w:iCs/>
                <w:kern w:val="0"/>
                <w:sz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40" w:type="dxa"/>
            <w:vMerge w:val="restart"/>
            <w:vAlign w:val="center"/>
          </w:tcPr>
          <w:p>
            <w:pPr>
              <w:adjustRightInd w:val="0"/>
              <w:snapToGrid w:val="0"/>
              <w:spacing w:line="240" w:lineRule="auto"/>
              <w:jc w:val="center"/>
              <w:textAlignment w:val="baseline"/>
              <w:rPr>
                <w:kern w:val="0"/>
                <w:sz w:val="21"/>
              </w:rPr>
            </w:pPr>
            <w:r>
              <w:rPr>
                <w:rFonts w:hint="eastAsia"/>
                <w:kern w:val="0"/>
                <w:sz w:val="21"/>
              </w:rPr>
              <w:t>妊娠舍</w:t>
            </w:r>
          </w:p>
        </w:tc>
        <w:tc>
          <w:tcPr>
            <w:tcW w:w="1268" w:type="dxa"/>
            <w:vAlign w:val="center"/>
          </w:tcPr>
          <w:p>
            <w:pPr>
              <w:adjustRightInd w:val="0"/>
              <w:snapToGrid w:val="0"/>
              <w:spacing w:line="240" w:lineRule="auto"/>
              <w:jc w:val="center"/>
              <w:textAlignment w:val="baseline"/>
              <w:rPr>
                <w:iCs/>
                <w:kern w:val="0"/>
                <w:sz w:val="21"/>
              </w:rPr>
            </w:pPr>
            <w:r>
              <w:rPr>
                <w:rFonts w:hint="eastAsia"/>
                <w:iCs/>
                <w:kern w:val="0"/>
                <w:sz w:val="21"/>
              </w:rPr>
              <w:t>N</w:t>
            </w:r>
            <w:r>
              <w:rPr>
                <w:iCs/>
                <w:kern w:val="0"/>
                <w:sz w:val="21"/>
              </w:rPr>
              <w:t>H</w:t>
            </w:r>
            <w:r>
              <w:rPr>
                <w:iCs/>
                <w:kern w:val="0"/>
                <w:sz w:val="21"/>
                <w:vertAlign w:val="subscript"/>
              </w:rPr>
              <w:t>3</w:t>
            </w:r>
          </w:p>
        </w:tc>
        <w:tc>
          <w:tcPr>
            <w:tcW w:w="890"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1</w:t>
            </w:r>
            <w:r>
              <w:rPr>
                <w:iCs/>
                <w:kern w:val="0"/>
                <w:sz w:val="21"/>
              </w:rPr>
              <w:t>58.44</w:t>
            </w:r>
          </w:p>
        </w:tc>
        <w:tc>
          <w:tcPr>
            <w:tcW w:w="889" w:type="dxa"/>
            <w:vMerge w:val="restart"/>
            <w:vAlign w:val="center"/>
          </w:tcPr>
          <w:p>
            <w:pPr>
              <w:adjustRightInd w:val="0"/>
              <w:snapToGrid w:val="0"/>
              <w:spacing w:line="240" w:lineRule="auto"/>
              <w:jc w:val="center"/>
              <w:textAlignment w:val="baseline"/>
              <w:rPr>
                <w:iCs/>
                <w:kern w:val="0"/>
                <w:sz w:val="21"/>
              </w:rPr>
            </w:pPr>
            <w:r>
              <w:rPr>
                <w:iCs/>
                <w:kern w:val="0"/>
                <w:sz w:val="21"/>
              </w:rPr>
              <w:t>42.7</w:t>
            </w:r>
          </w:p>
        </w:tc>
        <w:tc>
          <w:tcPr>
            <w:tcW w:w="1193" w:type="dxa"/>
            <w:vMerge w:val="restart"/>
            <w:vAlign w:val="center"/>
          </w:tcPr>
          <w:p>
            <w:pPr>
              <w:adjustRightInd w:val="0"/>
              <w:snapToGrid w:val="0"/>
              <w:spacing w:line="240" w:lineRule="auto"/>
              <w:jc w:val="center"/>
              <w:textAlignment w:val="baseline"/>
              <w:rPr>
                <w:iCs/>
                <w:kern w:val="0"/>
                <w:sz w:val="21"/>
              </w:rPr>
            </w:pPr>
            <w:r>
              <w:rPr>
                <w:iCs/>
                <w:kern w:val="0"/>
                <w:sz w:val="21"/>
              </w:rPr>
              <w:t>2</w:t>
            </w:r>
          </w:p>
        </w:tc>
        <w:tc>
          <w:tcPr>
            <w:tcW w:w="936"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8</w:t>
            </w:r>
            <w:r>
              <w:rPr>
                <w:iCs/>
                <w:kern w:val="0"/>
                <w:sz w:val="21"/>
              </w:rPr>
              <w:t>760</w:t>
            </w:r>
          </w:p>
        </w:tc>
        <w:tc>
          <w:tcPr>
            <w:tcW w:w="890"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正常</w:t>
            </w:r>
          </w:p>
        </w:tc>
        <w:tc>
          <w:tcPr>
            <w:tcW w:w="1125" w:type="dxa"/>
            <w:vAlign w:val="center"/>
          </w:tcPr>
          <w:p>
            <w:pPr>
              <w:pStyle w:val="3165"/>
              <w:snapToGrid w:val="0"/>
              <w:spacing w:line="240" w:lineRule="auto"/>
              <w:ind w:firstLine="0" w:firstLineChars="0"/>
              <w:jc w:val="center"/>
              <w:rPr>
                <w:rFonts w:cs="Times New Roman"/>
                <w:bCs/>
                <w:color w:val="auto"/>
                <w:sz w:val="21"/>
              </w:rPr>
            </w:pPr>
            <w:r>
              <w:rPr>
                <w:rFonts w:cs="Times New Roman"/>
                <w:bCs/>
                <w:color w:val="auto"/>
                <w:sz w:val="21"/>
              </w:rPr>
              <w:t>156.86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40" w:type="dxa"/>
            <w:vMerge w:val="continue"/>
            <w:vAlign w:val="center"/>
          </w:tcPr>
          <w:p>
            <w:pPr>
              <w:adjustRightInd w:val="0"/>
              <w:snapToGrid w:val="0"/>
              <w:spacing w:line="240" w:lineRule="auto"/>
              <w:jc w:val="center"/>
              <w:textAlignment w:val="baseline"/>
              <w:rPr>
                <w:kern w:val="0"/>
                <w:sz w:val="21"/>
              </w:rPr>
            </w:pPr>
          </w:p>
        </w:tc>
        <w:tc>
          <w:tcPr>
            <w:tcW w:w="1268" w:type="dxa"/>
            <w:vAlign w:val="center"/>
          </w:tcPr>
          <w:p>
            <w:pPr>
              <w:adjustRightInd w:val="0"/>
              <w:snapToGrid w:val="0"/>
              <w:spacing w:line="240" w:lineRule="auto"/>
              <w:jc w:val="center"/>
              <w:textAlignment w:val="baseline"/>
              <w:rPr>
                <w:iCs/>
                <w:kern w:val="0"/>
                <w:sz w:val="21"/>
              </w:rPr>
            </w:pPr>
            <w:r>
              <w:rPr>
                <w:iCs/>
                <w:kern w:val="0"/>
                <w:sz w:val="21"/>
              </w:rPr>
              <w:t>H</w:t>
            </w:r>
            <w:r>
              <w:rPr>
                <w:iCs/>
                <w:kern w:val="0"/>
                <w:sz w:val="21"/>
                <w:vertAlign w:val="subscript"/>
              </w:rPr>
              <w:t>2</w:t>
            </w:r>
            <w:r>
              <w:rPr>
                <w:iCs/>
                <w:kern w:val="0"/>
                <w:sz w:val="21"/>
              </w:rPr>
              <w:t>S</w:t>
            </w:r>
          </w:p>
        </w:tc>
        <w:tc>
          <w:tcPr>
            <w:tcW w:w="890" w:type="dxa"/>
            <w:vMerge w:val="continue"/>
            <w:vAlign w:val="center"/>
          </w:tcPr>
          <w:p>
            <w:pPr>
              <w:adjustRightInd w:val="0"/>
              <w:snapToGrid w:val="0"/>
              <w:spacing w:line="240" w:lineRule="auto"/>
              <w:jc w:val="center"/>
              <w:textAlignment w:val="baseline"/>
              <w:rPr>
                <w:iCs/>
                <w:kern w:val="0"/>
                <w:sz w:val="21"/>
              </w:rPr>
            </w:pPr>
          </w:p>
        </w:tc>
        <w:tc>
          <w:tcPr>
            <w:tcW w:w="889" w:type="dxa"/>
            <w:vMerge w:val="continue"/>
            <w:vAlign w:val="center"/>
          </w:tcPr>
          <w:p>
            <w:pPr>
              <w:adjustRightInd w:val="0"/>
              <w:snapToGrid w:val="0"/>
              <w:spacing w:line="240" w:lineRule="auto"/>
              <w:jc w:val="center"/>
              <w:textAlignment w:val="baseline"/>
              <w:rPr>
                <w:iCs/>
                <w:kern w:val="0"/>
                <w:sz w:val="21"/>
              </w:rPr>
            </w:pPr>
          </w:p>
        </w:tc>
        <w:tc>
          <w:tcPr>
            <w:tcW w:w="1193" w:type="dxa"/>
            <w:vMerge w:val="continue"/>
            <w:vAlign w:val="center"/>
          </w:tcPr>
          <w:p>
            <w:pPr>
              <w:adjustRightInd w:val="0"/>
              <w:snapToGrid w:val="0"/>
              <w:spacing w:line="240" w:lineRule="auto"/>
              <w:jc w:val="center"/>
              <w:textAlignment w:val="baseline"/>
              <w:rPr>
                <w:iCs/>
                <w:kern w:val="0"/>
                <w:sz w:val="21"/>
              </w:rPr>
            </w:pPr>
          </w:p>
        </w:tc>
        <w:tc>
          <w:tcPr>
            <w:tcW w:w="936" w:type="dxa"/>
            <w:vMerge w:val="continue"/>
            <w:vAlign w:val="center"/>
          </w:tcPr>
          <w:p>
            <w:pPr>
              <w:adjustRightInd w:val="0"/>
              <w:snapToGrid w:val="0"/>
              <w:spacing w:line="240" w:lineRule="auto"/>
              <w:jc w:val="center"/>
              <w:textAlignment w:val="baseline"/>
              <w:rPr>
                <w:iCs/>
                <w:kern w:val="0"/>
                <w:sz w:val="21"/>
              </w:rPr>
            </w:pPr>
          </w:p>
        </w:tc>
        <w:tc>
          <w:tcPr>
            <w:tcW w:w="890" w:type="dxa"/>
            <w:vMerge w:val="continue"/>
            <w:vAlign w:val="center"/>
          </w:tcPr>
          <w:p>
            <w:pPr>
              <w:adjustRightInd w:val="0"/>
              <w:snapToGrid w:val="0"/>
              <w:spacing w:line="240" w:lineRule="auto"/>
              <w:jc w:val="center"/>
              <w:textAlignment w:val="baseline"/>
              <w:rPr>
                <w:iCs/>
                <w:kern w:val="0"/>
                <w:sz w:val="21"/>
              </w:rPr>
            </w:pPr>
          </w:p>
        </w:tc>
        <w:tc>
          <w:tcPr>
            <w:tcW w:w="1125" w:type="dxa"/>
            <w:vAlign w:val="center"/>
          </w:tcPr>
          <w:p>
            <w:pPr>
              <w:pStyle w:val="3165"/>
              <w:snapToGrid w:val="0"/>
              <w:spacing w:line="240" w:lineRule="auto"/>
              <w:ind w:firstLine="0" w:firstLineChars="0"/>
              <w:jc w:val="center"/>
              <w:rPr>
                <w:rFonts w:cs="Times New Roman"/>
                <w:bCs/>
                <w:color w:val="auto"/>
                <w:sz w:val="21"/>
              </w:rPr>
            </w:pPr>
            <w:r>
              <w:rPr>
                <w:rFonts w:cs="Times New Roman"/>
                <w:bCs/>
                <w:color w:val="auto"/>
                <w:sz w:val="21"/>
              </w:rPr>
              <w:t>1.14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8" w:hRule="atLeast"/>
          <w:jc w:val="center"/>
        </w:trPr>
        <w:tc>
          <w:tcPr>
            <w:tcW w:w="1540" w:type="dxa"/>
            <w:vMerge w:val="restart"/>
            <w:vAlign w:val="center"/>
          </w:tcPr>
          <w:p>
            <w:pPr>
              <w:adjustRightInd w:val="0"/>
              <w:snapToGrid w:val="0"/>
              <w:spacing w:line="240" w:lineRule="auto"/>
              <w:jc w:val="center"/>
              <w:textAlignment w:val="baseline"/>
              <w:rPr>
                <w:kern w:val="0"/>
                <w:sz w:val="21"/>
              </w:rPr>
            </w:pPr>
            <w:r>
              <w:rPr>
                <w:rFonts w:hint="eastAsia"/>
                <w:kern w:val="0"/>
                <w:sz w:val="21"/>
              </w:rPr>
              <w:t>分娩舍</w:t>
            </w:r>
          </w:p>
        </w:tc>
        <w:tc>
          <w:tcPr>
            <w:tcW w:w="1268" w:type="dxa"/>
            <w:vAlign w:val="center"/>
          </w:tcPr>
          <w:p>
            <w:pPr>
              <w:adjustRightInd w:val="0"/>
              <w:snapToGrid w:val="0"/>
              <w:spacing w:line="240" w:lineRule="auto"/>
              <w:jc w:val="center"/>
              <w:textAlignment w:val="baseline"/>
              <w:rPr>
                <w:iCs/>
                <w:kern w:val="0"/>
                <w:sz w:val="21"/>
              </w:rPr>
            </w:pPr>
            <w:r>
              <w:rPr>
                <w:rFonts w:hint="eastAsia"/>
                <w:iCs/>
                <w:kern w:val="0"/>
                <w:sz w:val="21"/>
              </w:rPr>
              <w:t>N</w:t>
            </w:r>
            <w:r>
              <w:rPr>
                <w:iCs/>
                <w:kern w:val="0"/>
                <w:sz w:val="21"/>
              </w:rPr>
              <w:t>H</w:t>
            </w:r>
            <w:r>
              <w:rPr>
                <w:iCs/>
                <w:kern w:val="0"/>
                <w:sz w:val="21"/>
                <w:vertAlign w:val="subscript"/>
              </w:rPr>
              <w:t>3</w:t>
            </w:r>
          </w:p>
        </w:tc>
        <w:tc>
          <w:tcPr>
            <w:tcW w:w="890"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1</w:t>
            </w:r>
            <w:r>
              <w:rPr>
                <w:iCs/>
                <w:kern w:val="0"/>
                <w:sz w:val="21"/>
              </w:rPr>
              <w:t>24.74</w:t>
            </w:r>
          </w:p>
        </w:tc>
        <w:tc>
          <w:tcPr>
            <w:tcW w:w="889"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3</w:t>
            </w:r>
            <w:r>
              <w:rPr>
                <w:iCs/>
                <w:kern w:val="0"/>
                <w:sz w:val="21"/>
              </w:rPr>
              <w:t>6.59</w:t>
            </w:r>
          </w:p>
        </w:tc>
        <w:tc>
          <w:tcPr>
            <w:tcW w:w="1193" w:type="dxa"/>
            <w:vMerge w:val="restart"/>
            <w:vAlign w:val="center"/>
          </w:tcPr>
          <w:p>
            <w:pPr>
              <w:adjustRightInd w:val="0"/>
              <w:snapToGrid w:val="0"/>
              <w:spacing w:line="240" w:lineRule="auto"/>
              <w:jc w:val="center"/>
              <w:textAlignment w:val="baseline"/>
              <w:rPr>
                <w:iCs/>
                <w:kern w:val="0"/>
                <w:sz w:val="21"/>
              </w:rPr>
            </w:pPr>
            <w:r>
              <w:rPr>
                <w:iCs/>
                <w:kern w:val="0"/>
                <w:sz w:val="21"/>
              </w:rPr>
              <w:t>2</w:t>
            </w:r>
          </w:p>
        </w:tc>
        <w:tc>
          <w:tcPr>
            <w:tcW w:w="936"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8</w:t>
            </w:r>
            <w:r>
              <w:rPr>
                <w:iCs/>
                <w:kern w:val="0"/>
                <w:sz w:val="21"/>
              </w:rPr>
              <w:t>760</w:t>
            </w:r>
          </w:p>
        </w:tc>
        <w:tc>
          <w:tcPr>
            <w:tcW w:w="890" w:type="dxa"/>
            <w:vMerge w:val="restart"/>
            <w:vAlign w:val="center"/>
          </w:tcPr>
          <w:p>
            <w:pPr>
              <w:adjustRightInd w:val="0"/>
              <w:snapToGrid w:val="0"/>
              <w:spacing w:line="240" w:lineRule="auto"/>
              <w:jc w:val="center"/>
              <w:textAlignment w:val="baseline"/>
              <w:rPr>
                <w:iCs/>
                <w:kern w:val="0"/>
                <w:sz w:val="21"/>
              </w:rPr>
            </w:pPr>
            <w:r>
              <w:rPr>
                <w:rFonts w:hint="eastAsia"/>
                <w:iCs/>
                <w:kern w:val="0"/>
                <w:sz w:val="21"/>
              </w:rPr>
              <w:t>正常</w:t>
            </w:r>
          </w:p>
        </w:tc>
        <w:tc>
          <w:tcPr>
            <w:tcW w:w="1125" w:type="dxa"/>
            <w:vAlign w:val="center"/>
          </w:tcPr>
          <w:p>
            <w:pPr>
              <w:pStyle w:val="3165"/>
              <w:snapToGrid w:val="0"/>
              <w:spacing w:line="240" w:lineRule="auto"/>
              <w:ind w:firstLine="0" w:firstLineChars="0"/>
              <w:jc w:val="center"/>
              <w:rPr>
                <w:rFonts w:cs="Times New Roman"/>
                <w:bCs/>
                <w:color w:val="auto"/>
                <w:sz w:val="21"/>
              </w:rPr>
            </w:pPr>
            <w:r>
              <w:rPr>
                <w:rFonts w:cs="Times New Roman"/>
                <w:bCs/>
                <w:color w:val="auto"/>
                <w:sz w:val="21"/>
              </w:rPr>
              <w:t>41.15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40" w:type="dxa"/>
            <w:vMerge w:val="continue"/>
            <w:vAlign w:val="center"/>
          </w:tcPr>
          <w:p>
            <w:pPr>
              <w:adjustRightInd w:val="0"/>
              <w:snapToGrid w:val="0"/>
              <w:spacing w:line="240" w:lineRule="auto"/>
              <w:jc w:val="center"/>
              <w:textAlignment w:val="baseline"/>
              <w:rPr>
                <w:kern w:val="0"/>
                <w:sz w:val="21"/>
              </w:rPr>
            </w:pPr>
          </w:p>
        </w:tc>
        <w:tc>
          <w:tcPr>
            <w:tcW w:w="1268" w:type="dxa"/>
            <w:vAlign w:val="center"/>
          </w:tcPr>
          <w:p>
            <w:pPr>
              <w:adjustRightInd w:val="0"/>
              <w:snapToGrid w:val="0"/>
              <w:spacing w:line="240" w:lineRule="auto"/>
              <w:jc w:val="center"/>
              <w:textAlignment w:val="baseline"/>
              <w:rPr>
                <w:iCs/>
                <w:kern w:val="0"/>
                <w:sz w:val="21"/>
              </w:rPr>
            </w:pPr>
            <w:r>
              <w:rPr>
                <w:iCs/>
                <w:kern w:val="0"/>
                <w:sz w:val="21"/>
              </w:rPr>
              <w:t>H</w:t>
            </w:r>
            <w:r>
              <w:rPr>
                <w:iCs/>
                <w:kern w:val="0"/>
                <w:sz w:val="21"/>
                <w:vertAlign w:val="subscript"/>
              </w:rPr>
              <w:t>2</w:t>
            </w:r>
            <w:r>
              <w:rPr>
                <w:iCs/>
                <w:kern w:val="0"/>
                <w:sz w:val="21"/>
              </w:rPr>
              <w:t>S</w:t>
            </w:r>
          </w:p>
        </w:tc>
        <w:tc>
          <w:tcPr>
            <w:tcW w:w="890" w:type="dxa"/>
            <w:vMerge w:val="continue"/>
            <w:vAlign w:val="center"/>
          </w:tcPr>
          <w:p>
            <w:pPr>
              <w:adjustRightInd w:val="0"/>
              <w:snapToGrid w:val="0"/>
              <w:spacing w:line="240" w:lineRule="auto"/>
              <w:jc w:val="center"/>
              <w:textAlignment w:val="baseline"/>
              <w:rPr>
                <w:iCs/>
                <w:kern w:val="0"/>
                <w:sz w:val="21"/>
              </w:rPr>
            </w:pPr>
          </w:p>
        </w:tc>
        <w:tc>
          <w:tcPr>
            <w:tcW w:w="889" w:type="dxa"/>
            <w:vMerge w:val="continue"/>
            <w:vAlign w:val="center"/>
          </w:tcPr>
          <w:p>
            <w:pPr>
              <w:adjustRightInd w:val="0"/>
              <w:snapToGrid w:val="0"/>
              <w:spacing w:line="240" w:lineRule="auto"/>
              <w:jc w:val="center"/>
              <w:textAlignment w:val="baseline"/>
              <w:rPr>
                <w:iCs/>
                <w:kern w:val="0"/>
                <w:sz w:val="21"/>
              </w:rPr>
            </w:pPr>
          </w:p>
        </w:tc>
        <w:tc>
          <w:tcPr>
            <w:tcW w:w="1193" w:type="dxa"/>
            <w:vMerge w:val="continue"/>
            <w:vAlign w:val="center"/>
          </w:tcPr>
          <w:p>
            <w:pPr>
              <w:adjustRightInd w:val="0"/>
              <w:snapToGrid w:val="0"/>
              <w:spacing w:line="240" w:lineRule="auto"/>
              <w:jc w:val="center"/>
              <w:textAlignment w:val="baseline"/>
              <w:rPr>
                <w:iCs/>
                <w:kern w:val="0"/>
                <w:sz w:val="21"/>
              </w:rPr>
            </w:pPr>
          </w:p>
        </w:tc>
        <w:tc>
          <w:tcPr>
            <w:tcW w:w="936" w:type="dxa"/>
            <w:vMerge w:val="continue"/>
            <w:vAlign w:val="center"/>
          </w:tcPr>
          <w:p>
            <w:pPr>
              <w:adjustRightInd w:val="0"/>
              <w:snapToGrid w:val="0"/>
              <w:spacing w:line="240" w:lineRule="auto"/>
              <w:jc w:val="center"/>
              <w:textAlignment w:val="baseline"/>
              <w:rPr>
                <w:iCs/>
                <w:kern w:val="0"/>
                <w:sz w:val="21"/>
              </w:rPr>
            </w:pPr>
          </w:p>
        </w:tc>
        <w:tc>
          <w:tcPr>
            <w:tcW w:w="890" w:type="dxa"/>
            <w:vMerge w:val="continue"/>
            <w:vAlign w:val="center"/>
          </w:tcPr>
          <w:p>
            <w:pPr>
              <w:adjustRightInd w:val="0"/>
              <w:snapToGrid w:val="0"/>
              <w:spacing w:line="240" w:lineRule="auto"/>
              <w:jc w:val="center"/>
              <w:textAlignment w:val="baseline"/>
              <w:rPr>
                <w:iCs/>
                <w:kern w:val="0"/>
                <w:sz w:val="21"/>
              </w:rPr>
            </w:pPr>
          </w:p>
        </w:tc>
        <w:tc>
          <w:tcPr>
            <w:tcW w:w="1125" w:type="dxa"/>
            <w:vAlign w:val="center"/>
          </w:tcPr>
          <w:p>
            <w:pPr>
              <w:pStyle w:val="3165"/>
              <w:snapToGrid w:val="0"/>
              <w:spacing w:line="240" w:lineRule="auto"/>
              <w:ind w:firstLine="0" w:firstLineChars="0"/>
              <w:jc w:val="center"/>
              <w:rPr>
                <w:rFonts w:cs="Times New Roman"/>
                <w:bCs/>
                <w:color w:val="auto"/>
                <w:sz w:val="21"/>
              </w:rPr>
            </w:pPr>
            <w:r>
              <w:rPr>
                <w:rFonts w:hint="eastAsia" w:cs="Times New Roman"/>
                <w:bCs/>
                <w:color w:val="auto"/>
                <w:sz w:val="21"/>
              </w:rPr>
              <w:t>0</w:t>
            </w:r>
            <w:r>
              <w:rPr>
                <w:rFonts w:cs="Times New Roman"/>
                <w:bCs/>
                <w:color w:val="auto"/>
                <w:sz w:val="21"/>
              </w:rPr>
              <w:t>.64</w:t>
            </w:r>
          </w:p>
        </w:tc>
      </w:tr>
    </w:tbl>
    <w:p>
      <w:pPr>
        <w:pStyle w:val="2"/>
        <w:ind w:firstLine="480"/>
        <w:rPr>
          <w:rFonts w:hint="default"/>
        </w:rPr>
      </w:pPr>
      <w:r>
        <w:t>注：排放形式以体源形式无组织排放</w:t>
      </w:r>
    </w:p>
    <w:p>
      <w:pPr>
        <w:pStyle w:val="970"/>
        <w:snapToGrid w:val="0"/>
        <w:ind w:firstLine="0"/>
        <w:outlineLvl w:val="3"/>
        <w:rPr>
          <w:rFonts w:eastAsia="黑体"/>
          <w:bCs/>
          <w:szCs w:val="24"/>
        </w:rPr>
      </w:pPr>
      <w:r>
        <w:rPr>
          <w:rFonts w:eastAsia="黑体"/>
          <w:bCs/>
          <w:szCs w:val="24"/>
        </w:rPr>
        <w:t>7.2.1.2</w:t>
      </w:r>
      <w:r>
        <w:rPr>
          <w:rFonts w:hint="eastAsia" w:eastAsia="黑体"/>
          <w:bCs/>
          <w:szCs w:val="24"/>
        </w:rPr>
        <w:t>核实大气评价等级与范围</w:t>
      </w:r>
    </w:p>
    <w:p>
      <w:pPr>
        <w:ind w:firstLine="480" w:firstLineChars="200"/>
      </w:pPr>
      <w:r>
        <w:rPr>
          <w:rFonts w:hint="eastAsia"/>
        </w:rPr>
        <w:t>根据《环境影响评价技术导则 大气环境》（HJ 2.2-2018），选择项目污染源正常排放的主要污染物及排放参数，采用附录A推荐模型中估算模型 AERSCREEN分别计算项目污染源的大环境影响，然后按评价工作分级判据进行分级。</w:t>
      </w:r>
    </w:p>
    <w:p>
      <w:pPr>
        <w:ind w:firstLine="480" w:firstLineChars="200"/>
      </w:pPr>
      <w:r>
        <w:rPr>
          <w:rFonts w:hint="eastAsia"/>
        </w:rPr>
        <w:t xml:space="preserve">根据项目污染源初步调查结果，分别计算项目排放主要污染物的大地面空气质量浓度占标率 Pi（第i个污染物，简称“大浓度占标率”），及第i个污染物的地面空气质量浓度达到标准值的 10%时所对应的远距离 D10%，计算公式如下： </w:t>
      </w:r>
    </w:p>
    <w:p>
      <w:pPr>
        <w:pStyle w:val="970"/>
        <w:jc w:val="center"/>
        <w:rPr>
          <w:color w:val="FF0000"/>
        </w:rPr>
      </w:pPr>
      <w:r>
        <w:rPr>
          <w:color w:val="FF0000"/>
          <w:position w:val="-30"/>
        </w:rPr>
        <w:object>
          <v:shape id="_x0000_i1032" o:spt="75" type="#_x0000_t75" style="height:33.65pt;width:83.45pt;" o:ole="t" filled="f" o:preferrelative="t" stroked="f" coordsize="21600,21600">
            <v:path/>
            <v:fill on="f" focussize="0,0"/>
            <v:stroke on="f" joinstyle="miter"/>
            <v:imagedata r:id="rId13" o:title=""/>
            <o:lock v:ext="edit" aspectratio="t"/>
            <w10:wrap type="none"/>
            <w10:anchorlock/>
          </v:shape>
          <o:OLEObject Type="Embed" ProgID="Equation.3" ShapeID="_x0000_i1032" DrawAspect="Content" ObjectID="_1468075732" r:id="rId31">
            <o:LockedField>false</o:LockedField>
          </o:OLEObject>
        </w:object>
      </w:r>
    </w:p>
    <w:p>
      <w:pPr>
        <w:pStyle w:val="970"/>
        <w:snapToGrid w:val="0"/>
        <w:ind w:firstLine="480" w:firstLineChars="200"/>
      </w:pPr>
      <w:r>
        <w:t>式中：P</w:t>
      </w:r>
      <w:r>
        <w:rPr>
          <w:vertAlign w:val="subscript"/>
        </w:rPr>
        <w:t>i</w:t>
      </w:r>
      <w:r>
        <w:t>——第i个污染物的最大地面浓度占标率，%；</w:t>
      </w:r>
    </w:p>
    <w:p>
      <w:pPr>
        <w:pStyle w:val="970"/>
        <w:snapToGrid w:val="0"/>
        <w:ind w:firstLine="480" w:firstLineChars="200"/>
      </w:pPr>
      <w:r>
        <w:t xml:space="preserve">      C</w:t>
      </w:r>
      <w:r>
        <w:rPr>
          <w:vertAlign w:val="subscript"/>
        </w:rPr>
        <w:t>i</w:t>
      </w:r>
      <w:r>
        <w:t>——采用估算模式计算出的第i个污染物的最大地面浓度，mg /m</w:t>
      </w:r>
      <w:r>
        <w:rPr>
          <w:vertAlign w:val="superscript"/>
        </w:rPr>
        <w:t>3</w:t>
      </w:r>
      <w:r>
        <w:t>；</w:t>
      </w:r>
    </w:p>
    <w:p>
      <w:pPr>
        <w:pStyle w:val="970"/>
        <w:snapToGrid w:val="0"/>
        <w:ind w:firstLine="480" w:firstLineChars="200"/>
      </w:pPr>
      <w:r>
        <w:t xml:space="preserve">      C</w:t>
      </w:r>
      <w:r>
        <w:rPr>
          <w:vertAlign w:val="subscript"/>
        </w:rPr>
        <w:t>0i</w:t>
      </w:r>
      <w:r>
        <w:t>——第i个污染物的环境空气质量标准，mg /m</w:t>
      </w:r>
      <w:r>
        <w:rPr>
          <w:vertAlign w:val="superscript"/>
        </w:rPr>
        <w:t>3</w:t>
      </w:r>
      <w:r>
        <w:t>。</w:t>
      </w:r>
    </w:p>
    <w:p>
      <w:pPr>
        <w:pStyle w:val="970"/>
        <w:snapToGrid w:val="0"/>
        <w:ind w:firstLine="480" w:firstLineChars="200"/>
        <w:rPr>
          <w:szCs w:val="24"/>
        </w:rPr>
      </w:pPr>
      <w:r>
        <w:rPr>
          <w:szCs w:val="24"/>
        </w:rPr>
        <w:t>C</w:t>
      </w:r>
      <w:r>
        <w:rPr>
          <w:szCs w:val="24"/>
          <w:vertAlign w:val="subscript"/>
        </w:rPr>
        <w:t>0i</w:t>
      </w:r>
      <w:r>
        <w:rPr>
          <w:rFonts w:hint="eastAsia"/>
          <w:szCs w:val="24"/>
        </w:rPr>
        <w:t>一般选用 GB 3095 中 1 h 平均质量浓度的二级浓度限值，如项目位于一类环境空气功能区，应选择相应的一级浓度限值；对该标准中未包含的污染物，使用5.2确定的各评价因子1h平均质量浓度限值。对仅有8h平均质量浓度限值、日平均质量浓度限值或年平均质量浓度限值的，可分别按2倍、3倍、6倍折算为1h 平均质量浓度限值。</w:t>
      </w:r>
    </w:p>
    <w:p>
      <w:pPr>
        <w:ind w:firstLine="480" w:firstLineChars="200"/>
      </w:pPr>
      <w:r>
        <w:rPr>
          <w:rFonts w:hint="eastAsia"/>
        </w:rPr>
        <w:t>编制环境影响报告书的项目在采用估算模型计算评价等级时，应输入地形参 数。 评价等级按下表的分级判据进行划分。大地面空气质量浓度占标率 Pi 按 公式（1）计算，如污染物数 i大于 1，取 P 值中大者 Pmax。</w:t>
      </w:r>
    </w:p>
    <w:p>
      <w:pPr>
        <w:snapToGrid w:val="0"/>
        <w:spacing w:line="240" w:lineRule="auto"/>
        <w:jc w:val="center"/>
        <w:rPr>
          <w:rFonts w:eastAsia="黑体"/>
        </w:rPr>
      </w:pPr>
      <w:r>
        <w:rPr>
          <w:rFonts w:eastAsia="黑体"/>
        </w:rPr>
        <w:t>表7.2-2 评价工作等级</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35"/>
        <w:gridCol w:w="6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pStyle w:val="970"/>
              <w:spacing w:line="240" w:lineRule="auto"/>
              <w:ind w:firstLine="420"/>
              <w:jc w:val="center"/>
              <w:rPr>
                <w:sz w:val="21"/>
              </w:rPr>
            </w:pPr>
            <w:r>
              <w:rPr>
                <w:sz w:val="21"/>
              </w:rPr>
              <w:t>评价工作等级</w:t>
            </w:r>
          </w:p>
        </w:tc>
        <w:tc>
          <w:tcPr>
            <w:tcW w:w="6108" w:type="dxa"/>
            <w:tcBorders>
              <w:right w:val="nil"/>
            </w:tcBorders>
            <w:vAlign w:val="center"/>
          </w:tcPr>
          <w:p>
            <w:pPr>
              <w:pStyle w:val="970"/>
              <w:spacing w:line="240" w:lineRule="auto"/>
              <w:ind w:firstLine="420"/>
              <w:jc w:val="center"/>
              <w:rPr>
                <w:sz w:val="21"/>
              </w:rPr>
            </w:pPr>
            <w:r>
              <w:rPr>
                <w:sz w:val="21"/>
              </w:rPr>
              <w:t>评价工作等级判据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pStyle w:val="970"/>
              <w:spacing w:line="240" w:lineRule="auto"/>
              <w:ind w:firstLine="420"/>
              <w:jc w:val="center"/>
              <w:rPr>
                <w:sz w:val="21"/>
              </w:rPr>
            </w:pPr>
            <w:r>
              <w:rPr>
                <w:sz w:val="21"/>
              </w:rPr>
              <w:t>一级</w:t>
            </w:r>
          </w:p>
        </w:tc>
        <w:tc>
          <w:tcPr>
            <w:tcW w:w="6108" w:type="dxa"/>
            <w:tcBorders>
              <w:right w:val="nil"/>
            </w:tcBorders>
            <w:vAlign w:val="center"/>
          </w:tcPr>
          <w:p>
            <w:pPr>
              <w:pStyle w:val="970"/>
              <w:spacing w:line="240" w:lineRule="auto"/>
              <w:ind w:firstLine="420"/>
              <w:jc w:val="center"/>
              <w:rPr>
                <w:sz w:val="21"/>
              </w:rPr>
            </w:pPr>
            <w:r>
              <w:rPr>
                <w:sz w:val="21"/>
              </w:rPr>
              <w:t>Pmax≥10%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2415" w:type="dxa"/>
            <w:tcBorders>
              <w:left w:val="nil"/>
            </w:tcBorders>
            <w:vAlign w:val="center"/>
          </w:tcPr>
          <w:p>
            <w:pPr>
              <w:pStyle w:val="970"/>
              <w:spacing w:line="240" w:lineRule="auto"/>
              <w:ind w:firstLine="420"/>
              <w:jc w:val="center"/>
              <w:rPr>
                <w:sz w:val="21"/>
              </w:rPr>
            </w:pPr>
            <w:r>
              <w:rPr>
                <w:sz w:val="21"/>
              </w:rPr>
              <w:t>二级</w:t>
            </w:r>
          </w:p>
        </w:tc>
        <w:tc>
          <w:tcPr>
            <w:tcW w:w="6108" w:type="dxa"/>
            <w:tcBorders>
              <w:right w:val="nil"/>
            </w:tcBorders>
            <w:vAlign w:val="center"/>
          </w:tcPr>
          <w:p>
            <w:pPr>
              <w:pStyle w:val="970"/>
              <w:spacing w:line="240" w:lineRule="auto"/>
              <w:ind w:firstLine="420"/>
              <w:jc w:val="center"/>
              <w:rPr>
                <w:sz w:val="21"/>
              </w:rPr>
            </w:pPr>
            <w:r>
              <w:rPr>
                <w:rFonts w:hint="eastAsia"/>
                <w:sz w:val="21"/>
              </w:rPr>
              <w:t>1%≤</w:t>
            </w:r>
            <w:r>
              <w:rPr>
                <w:sz w:val="21"/>
              </w:rPr>
              <w:t>Pmax&lt;10%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15" w:type="dxa"/>
            <w:tcBorders>
              <w:left w:val="nil"/>
            </w:tcBorders>
            <w:vAlign w:val="center"/>
          </w:tcPr>
          <w:p>
            <w:pPr>
              <w:pStyle w:val="970"/>
              <w:spacing w:line="240" w:lineRule="auto"/>
              <w:ind w:firstLine="420"/>
              <w:jc w:val="center"/>
              <w:rPr>
                <w:sz w:val="21"/>
              </w:rPr>
            </w:pPr>
            <w:r>
              <w:rPr>
                <w:sz w:val="21"/>
              </w:rPr>
              <w:t>三级</w:t>
            </w:r>
          </w:p>
        </w:tc>
        <w:tc>
          <w:tcPr>
            <w:tcW w:w="6108" w:type="dxa"/>
            <w:tcBorders>
              <w:right w:val="nil"/>
            </w:tcBorders>
            <w:vAlign w:val="center"/>
          </w:tcPr>
          <w:p>
            <w:pPr>
              <w:pStyle w:val="970"/>
              <w:spacing w:line="240" w:lineRule="auto"/>
              <w:ind w:firstLine="420"/>
              <w:jc w:val="center"/>
              <w:rPr>
                <w:sz w:val="21"/>
              </w:rPr>
            </w:pPr>
            <w:r>
              <w:rPr>
                <w:sz w:val="21"/>
              </w:rPr>
              <w:t xml:space="preserve">Pmax&lt;1% </w:t>
            </w:r>
          </w:p>
        </w:tc>
      </w:tr>
    </w:tbl>
    <w:p>
      <w:pPr>
        <w:pStyle w:val="2"/>
        <w:ind w:firstLine="480"/>
        <w:rPr>
          <w:rFonts w:hint="default"/>
        </w:rPr>
      </w:pPr>
      <w:r>
        <w:t>同一项目有多个污染源（两个及以上，下同）时，则按各污染源分别确定评 价等级，并取评价等级高者作为项目的评价等级。</w:t>
      </w:r>
    </w:p>
    <w:p>
      <w:pPr>
        <w:pStyle w:val="970"/>
        <w:snapToGrid w:val="0"/>
        <w:ind w:firstLine="0"/>
        <w:outlineLvl w:val="3"/>
        <w:rPr>
          <w:rFonts w:eastAsia="黑体"/>
          <w:bCs/>
          <w:szCs w:val="24"/>
        </w:rPr>
      </w:pPr>
      <w:r>
        <w:rPr>
          <w:rFonts w:eastAsia="黑体"/>
          <w:bCs/>
          <w:szCs w:val="24"/>
        </w:rPr>
        <w:t>7.2.1.3</w:t>
      </w:r>
      <w:r>
        <w:rPr>
          <w:rFonts w:hint="eastAsia" w:eastAsia="黑体"/>
          <w:bCs/>
          <w:szCs w:val="24"/>
        </w:rPr>
        <w:t>估算模式参数</w:t>
      </w:r>
    </w:p>
    <w:p>
      <w:pPr>
        <w:ind w:firstLine="480" w:firstLineChars="200"/>
      </w:pPr>
      <w:r>
        <w:rPr>
          <w:rFonts w:hint="eastAsia"/>
        </w:rPr>
        <w:t>本次大气环境影响预测采用《环境影响评价技术导则—大气环境》（HJ2.2-2018）推荐模式清单中的 AERSCREEN 模型进行预测，计算各预测因子最大落地地面浓度值。 根据项目所在地环境特点，项目估算模型参数详见表</w:t>
      </w:r>
      <w:r>
        <w:t>7.2</w:t>
      </w:r>
      <w:r>
        <w:rPr>
          <w:rFonts w:hint="eastAsia"/>
        </w:rPr>
        <w:t>-</w:t>
      </w:r>
      <w:r>
        <w:t>3</w:t>
      </w:r>
      <w:r>
        <w:rPr>
          <w:rFonts w:hint="eastAsia"/>
        </w:rPr>
        <w:t xml:space="preserve">。 </w:t>
      </w:r>
    </w:p>
    <w:p>
      <w:pPr>
        <w:snapToGrid w:val="0"/>
        <w:spacing w:line="240" w:lineRule="auto"/>
        <w:jc w:val="center"/>
        <w:rPr>
          <w:rFonts w:eastAsia="黑体"/>
        </w:rPr>
      </w:pPr>
      <w:r>
        <w:rPr>
          <w:rFonts w:hint="eastAsia" w:eastAsia="黑体"/>
        </w:rPr>
        <w:t>表</w:t>
      </w:r>
      <w:r>
        <w:rPr>
          <w:rFonts w:eastAsia="黑体"/>
        </w:rPr>
        <w:t>7</w:t>
      </w:r>
      <w:r>
        <w:rPr>
          <w:rFonts w:hint="eastAsia" w:eastAsia="黑体"/>
        </w:rPr>
        <w:t>.</w:t>
      </w:r>
      <w:r>
        <w:rPr>
          <w:rFonts w:eastAsia="黑体"/>
        </w:rPr>
        <w:t>2</w:t>
      </w:r>
      <w:r>
        <w:rPr>
          <w:rFonts w:hint="eastAsia" w:eastAsia="黑体"/>
        </w:rPr>
        <w:t>-</w:t>
      </w:r>
      <w:r>
        <w:rPr>
          <w:rFonts w:eastAsia="黑体"/>
        </w:rPr>
        <w:t>3</w:t>
      </w:r>
      <w:r>
        <w:rPr>
          <w:rFonts w:hint="eastAsia" w:eastAsia="黑体"/>
        </w:rPr>
        <w:t xml:space="preserve">  项目估算模型参数表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982"/>
        <w:gridCol w:w="2982"/>
        <w:gridCol w:w="29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86" w:type="dxa"/>
            <w:gridSpan w:val="2"/>
            <w:vAlign w:val="center"/>
          </w:tcPr>
          <w:p>
            <w:pPr>
              <w:snapToGrid w:val="0"/>
              <w:spacing w:line="240" w:lineRule="auto"/>
              <w:jc w:val="center"/>
              <w:rPr>
                <w:kern w:val="0"/>
                <w:sz w:val="21"/>
                <w:szCs w:val="21"/>
              </w:rPr>
            </w:pPr>
            <w:r>
              <w:rPr>
                <w:rFonts w:hint="eastAsia"/>
                <w:kern w:val="0"/>
                <w:sz w:val="21"/>
                <w:szCs w:val="21"/>
              </w:rPr>
              <w:t>参数</w:t>
            </w:r>
          </w:p>
        </w:tc>
        <w:tc>
          <w:tcPr>
            <w:tcW w:w="2843" w:type="dxa"/>
            <w:vAlign w:val="center"/>
          </w:tcPr>
          <w:p>
            <w:pPr>
              <w:snapToGrid w:val="0"/>
              <w:spacing w:line="240" w:lineRule="auto"/>
              <w:jc w:val="center"/>
              <w:rPr>
                <w:kern w:val="0"/>
                <w:sz w:val="21"/>
                <w:szCs w:val="21"/>
              </w:rPr>
            </w:pPr>
            <w:r>
              <w:rPr>
                <w:rFonts w:hint="eastAsia"/>
                <w:kern w:val="0"/>
                <w:sz w:val="21"/>
                <w:szCs w:val="21"/>
              </w:rPr>
              <w:t>取值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Align w:val="center"/>
          </w:tcPr>
          <w:p>
            <w:pPr>
              <w:snapToGrid w:val="0"/>
              <w:spacing w:line="240" w:lineRule="auto"/>
              <w:jc w:val="center"/>
              <w:rPr>
                <w:kern w:val="0"/>
                <w:sz w:val="21"/>
                <w:szCs w:val="21"/>
              </w:rPr>
            </w:pPr>
            <w:r>
              <w:rPr>
                <w:rFonts w:hint="eastAsia"/>
                <w:kern w:val="0"/>
                <w:sz w:val="21"/>
                <w:szCs w:val="21"/>
              </w:rPr>
              <w:t>城市/农村选项</w:t>
            </w:r>
          </w:p>
        </w:tc>
        <w:tc>
          <w:tcPr>
            <w:tcW w:w="2843" w:type="dxa"/>
            <w:vAlign w:val="center"/>
          </w:tcPr>
          <w:p>
            <w:pPr>
              <w:snapToGrid w:val="0"/>
              <w:spacing w:line="240" w:lineRule="auto"/>
              <w:jc w:val="center"/>
              <w:rPr>
                <w:kern w:val="0"/>
                <w:sz w:val="21"/>
                <w:szCs w:val="21"/>
              </w:rPr>
            </w:pPr>
            <w:r>
              <w:rPr>
                <w:rFonts w:hint="eastAsia"/>
                <w:kern w:val="0"/>
                <w:sz w:val="21"/>
                <w:szCs w:val="21"/>
              </w:rPr>
              <w:t>城市/农村</w:t>
            </w:r>
          </w:p>
        </w:tc>
        <w:tc>
          <w:tcPr>
            <w:tcW w:w="2843" w:type="dxa"/>
            <w:vAlign w:val="center"/>
          </w:tcPr>
          <w:p>
            <w:pPr>
              <w:snapToGrid w:val="0"/>
              <w:spacing w:line="240" w:lineRule="auto"/>
              <w:jc w:val="center"/>
              <w:rPr>
                <w:kern w:val="0"/>
                <w:sz w:val="21"/>
                <w:szCs w:val="21"/>
              </w:rPr>
            </w:pPr>
            <w:r>
              <w:rPr>
                <w:rFonts w:hint="eastAsia"/>
                <w:kern w:val="0"/>
                <w:sz w:val="21"/>
                <w:szCs w:val="21"/>
              </w:rPr>
              <w:t>农村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86" w:type="dxa"/>
            <w:gridSpan w:val="2"/>
            <w:vAlign w:val="center"/>
          </w:tcPr>
          <w:p>
            <w:pPr>
              <w:snapToGrid w:val="0"/>
              <w:spacing w:line="240" w:lineRule="auto"/>
              <w:jc w:val="center"/>
              <w:rPr>
                <w:kern w:val="0"/>
                <w:sz w:val="21"/>
                <w:szCs w:val="21"/>
              </w:rPr>
            </w:pPr>
            <w:r>
              <w:rPr>
                <w:rFonts w:hint="eastAsia"/>
                <w:kern w:val="0"/>
                <w:sz w:val="21"/>
                <w:szCs w:val="21"/>
              </w:rPr>
              <w:t>最高环境温度/</w:t>
            </w:r>
            <w:r>
              <w:rPr>
                <w:rFonts w:hint="eastAsia"/>
                <w:kern w:val="0"/>
                <w:sz w:val="21"/>
                <w:szCs w:val="21"/>
                <w:vertAlign w:val="superscript"/>
              </w:rPr>
              <w:t>。</w:t>
            </w:r>
            <w:r>
              <w:rPr>
                <w:rFonts w:hint="eastAsia"/>
                <w:kern w:val="0"/>
                <w:sz w:val="21"/>
                <w:szCs w:val="21"/>
              </w:rPr>
              <w:t>C</w:t>
            </w:r>
          </w:p>
        </w:tc>
        <w:tc>
          <w:tcPr>
            <w:tcW w:w="2843" w:type="dxa"/>
            <w:vAlign w:val="center"/>
          </w:tcPr>
          <w:p>
            <w:pPr>
              <w:snapToGrid w:val="0"/>
              <w:spacing w:line="240" w:lineRule="auto"/>
              <w:jc w:val="center"/>
              <w:rPr>
                <w:kern w:val="0"/>
                <w:sz w:val="21"/>
                <w:szCs w:val="21"/>
              </w:rPr>
            </w:pPr>
            <w:r>
              <w:rPr>
                <w:rFonts w:hint="eastAsia"/>
                <w:kern w:val="0"/>
                <w:sz w:val="21"/>
                <w:szCs w:val="21"/>
              </w:rPr>
              <w:t>3</w:t>
            </w:r>
            <w:r>
              <w:rPr>
                <w:kern w:val="0"/>
                <w:sz w:val="21"/>
                <w:szCs w:val="21"/>
              </w:rPr>
              <w:t>8.4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86" w:type="dxa"/>
            <w:gridSpan w:val="2"/>
            <w:vAlign w:val="center"/>
          </w:tcPr>
          <w:p>
            <w:pPr>
              <w:snapToGrid w:val="0"/>
              <w:spacing w:line="240" w:lineRule="auto"/>
              <w:jc w:val="center"/>
              <w:rPr>
                <w:kern w:val="0"/>
                <w:sz w:val="21"/>
                <w:szCs w:val="21"/>
              </w:rPr>
            </w:pPr>
            <w:r>
              <w:rPr>
                <w:rFonts w:hint="eastAsia"/>
                <w:kern w:val="0"/>
                <w:sz w:val="21"/>
                <w:szCs w:val="21"/>
              </w:rPr>
              <w:t>最低环境温度/</w:t>
            </w:r>
            <w:r>
              <w:rPr>
                <w:rFonts w:hint="eastAsia"/>
                <w:kern w:val="0"/>
                <w:sz w:val="21"/>
                <w:szCs w:val="21"/>
                <w:vertAlign w:val="superscript"/>
              </w:rPr>
              <w:t>。</w:t>
            </w:r>
            <w:r>
              <w:rPr>
                <w:rFonts w:hint="eastAsia"/>
                <w:kern w:val="0"/>
                <w:sz w:val="21"/>
                <w:szCs w:val="21"/>
              </w:rPr>
              <w:t>C</w:t>
            </w:r>
          </w:p>
        </w:tc>
        <w:tc>
          <w:tcPr>
            <w:tcW w:w="2843" w:type="dxa"/>
            <w:vAlign w:val="center"/>
          </w:tcPr>
          <w:p>
            <w:pPr>
              <w:snapToGrid w:val="0"/>
              <w:spacing w:line="240" w:lineRule="auto"/>
              <w:jc w:val="center"/>
              <w:rPr>
                <w:kern w:val="0"/>
                <w:sz w:val="21"/>
                <w:szCs w:val="21"/>
              </w:rPr>
            </w:pPr>
            <w:r>
              <w:rPr>
                <w:rFonts w:hint="eastAsia"/>
                <w:kern w:val="0"/>
                <w:sz w:val="21"/>
                <w:szCs w:val="21"/>
              </w:rPr>
              <w:t>-</w:t>
            </w:r>
            <w:r>
              <w:rPr>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86" w:type="dxa"/>
            <w:gridSpan w:val="2"/>
            <w:vAlign w:val="center"/>
          </w:tcPr>
          <w:p>
            <w:pPr>
              <w:snapToGrid w:val="0"/>
              <w:spacing w:line="240" w:lineRule="auto"/>
              <w:jc w:val="center"/>
              <w:rPr>
                <w:kern w:val="0"/>
                <w:sz w:val="21"/>
                <w:szCs w:val="21"/>
              </w:rPr>
            </w:pPr>
            <w:r>
              <w:rPr>
                <w:rFonts w:hint="eastAsia"/>
                <w:kern w:val="0"/>
                <w:sz w:val="21"/>
                <w:szCs w:val="21"/>
              </w:rPr>
              <w:t>土地利用类型</w:t>
            </w:r>
          </w:p>
        </w:tc>
        <w:tc>
          <w:tcPr>
            <w:tcW w:w="2843" w:type="dxa"/>
            <w:vAlign w:val="center"/>
          </w:tcPr>
          <w:p>
            <w:pPr>
              <w:snapToGrid w:val="0"/>
              <w:spacing w:line="240" w:lineRule="auto"/>
              <w:jc w:val="center"/>
              <w:rPr>
                <w:kern w:val="0"/>
                <w:sz w:val="21"/>
                <w:szCs w:val="21"/>
              </w:rPr>
            </w:pPr>
            <w:r>
              <w:rPr>
                <w:rFonts w:hint="eastAsia"/>
                <w:kern w:val="0"/>
                <w:sz w:val="21"/>
                <w:szCs w:val="21"/>
              </w:rPr>
              <w:t>农田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86" w:type="dxa"/>
            <w:gridSpan w:val="2"/>
            <w:vAlign w:val="center"/>
          </w:tcPr>
          <w:p>
            <w:pPr>
              <w:snapToGrid w:val="0"/>
              <w:spacing w:line="240" w:lineRule="auto"/>
              <w:jc w:val="center"/>
              <w:rPr>
                <w:kern w:val="0"/>
                <w:sz w:val="21"/>
                <w:szCs w:val="21"/>
              </w:rPr>
            </w:pPr>
            <w:r>
              <w:rPr>
                <w:rFonts w:hint="eastAsia"/>
                <w:kern w:val="0"/>
                <w:sz w:val="21"/>
                <w:szCs w:val="21"/>
              </w:rPr>
              <w:t>区域湿度条件</w:t>
            </w:r>
          </w:p>
        </w:tc>
        <w:tc>
          <w:tcPr>
            <w:tcW w:w="2843" w:type="dxa"/>
            <w:vAlign w:val="center"/>
          </w:tcPr>
          <w:p>
            <w:pPr>
              <w:snapToGrid w:val="0"/>
              <w:spacing w:line="240" w:lineRule="auto"/>
              <w:jc w:val="center"/>
              <w:rPr>
                <w:kern w:val="0"/>
                <w:sz w:val="21"/>
                <w:szCs w:val="21"/>
              </w:rPr>
            </w:pPr>
            <w:r>
              <w:rPr>
                <w:rFonts w:hint="eastAsia"/>
                <w:kern w:val="0"/>
                <w:sz w:val="21"/>
                <w:szCs w:val="21"/>
              </w:rPr>
              <w:t>中等湿度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Merge w:val="restart"/>
            <w:vAlign w:val="center"/>
          </w:tcPr>
          <w:p>
            <w:pPr>
              <w:snapToGrid w:val="0"/>
              <w:spacing w:line="240" w:lineRule="auto"/>
              <w:jc w:val="center"/>
              <w:rPr>
                <w:kern w:val="0"/>
                <w:sz w:val="21"/>
                <w:szCs w:val="21"/>
              </w:rPr>
            </w:pPr>
            <w:r>
              <w:rPr>
                <w:rFonts w:hint="eastAsia"/>
                <w:kern w:val="0"/>
                <w:sz w:val="21"/>
                <w:szCs w:val="21"/>
              </w:rPr>
              <w:t>是否考虑地形</w:t>
            </w:r>
          </w:p>
        </w:tc>
        <w:tc>
          <w:tcPr>
            <w:tcW w:w="2843" w:type="dxa"/>
            <w:vAlign w:val="center"/>
          </w:tcPr>
          <w:p>
            <w:pPr>
              <w:snapToGrid w:val="0"/>
              <w:spacing w:line="240" w:lineRule="auto"/>
              <w:jc w:val="center"/>
              <w:rPr>
                <w:kern w:val="0"/>
                <w:sz w:val="21"/>
                <w:szCs w:val="21"/>
              </w:rPr>
            </w:pPr>
            <w:r>
              <w:rPr>
                <w:rFonts w:hint="eastAsia"/>
                <w:kern w:val="0"/>
                <w:sz w:val="21"/>
                <w:szCs w:val="21"/>
              </w:rPr>
              <w:t>考虑地形</w:t>
            </w:r>
          </w:p>
        </w:tc>
        <w:tc>
          <w:tcPr>
            <w:tcW w:w="2843" w:type="dxa"/>
            <w:vAlign w:val="center"/>
          </w:tcPr>
          <w:p>
            <w:pPr>
              <w:snapToGrid w:val="0"/>
              <w:spacing w:line="240" w:lineRule="auto"/>
              <w:jc w:val="center"/>
              <w:rPr>
                <w:kern w:val="0"/>
                <w:sz w:val="21"/>
                <w:szCs w:val="21"/>
              </w:rPr>
            </w:pPr>
            <w:r>
              <w:rPr>
                <w:rFonts w:hint="eastAsia"/>
                <w:kern w:val="0"/>
                <w:sz w:val="21"/>
                <w:szCs w:val="21"/>
              </w:rPr>
              <w:t>考虑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Merge w:val="continue"/>
            <w:vAlign w:val="center"/>
          </w:tcPr>
          <w:p>
            <w:pPr>
              <w:snapToGrid w:val="0"/>
              <w:spacing w:line="240" w:lineRule="auto"/>
              <w:jc w:val="center"/>
              <w:rPr>
                <w:kern w:val="0"/>
                <w:sz w:val="21"/>
                <w:szCs w:val="21"/>
              </w:rPr>
            </w:pPr>
          </w:p>
        </w:tc>
        <w:tc>
          <w:tcPr>
            <w:tcW w:w="2843" w:type="dxa"/>
            <w:vAlign w:val="center"/>
          </w:tcPr>
          <w:p>
            <w:pPr>
              <w:snapToGrid w:val="0"/>
              <w:spacing w:line="240" w:lineRule="auto"/>
              <w:jc w:val="center"/>
              <w:rPr>
                <w:kern w:val="0"/>
                <w:sz w:val="21"/>
                <w:szCs w:val="21"/>
              </w:rPr>
            </w:pPr>
            <w:r>
              <w:rPr>
                <w:rFonts w:hint="eastAsia"/>
                <w:kern w:val="0"/>
                <w:sz w:val="21"/>
                <w:szCs w:val="21"/>
              </w:rPr>
              <w:t>地形分辨率/m</w:t>
            </w:r>
          </w:p>
        </w:tc>
        <w:tc>
          <w:tcPr>
            <w:tcW w:w="2843" w:type="dxa"/>
            <w:vAlign w:val="center"/>
          </w:tcPr>
          <w:p>
            <w:pPr>
              <w:snapToGrid w:val="0"/>
              <w:spacing w:line="240" w:lineRule="auto"/>
              <w:jc w:val="center"/>
              <w:rPr>
                <w:kern w:val="0"/>
                <w:sz w:val="21"/>
                <w:szCs w:val="21"/>
              </w:rPr>
            </w:pPr>
            <w:r>
              <w:rPr>
                <w:rFonts w:hint="eastAsia"/>
                <w:kern w:val="0"/>
                <w:sz w:val="21"/>
                <w:szCs w:val="21"/>
              </w:rPr>
              <w:t>9</w:t>
            </w:r>
            <w:r>
              <w:rPr>
                <w:kern w:val="0"/>
                <w:sz w:val="21"/>
                <w:szCs w:val="21"/>
              </w:rPr>
              <w:t>0</w:t>
            </w:r>
            <w:r>
              <w:rPr>
                <w:rFonts w:hint="eastAsia"/>
                <w:kern w:val="0"/>
                <w:sz w:val="21"/>
                <w:szCs w:val="21"/>
              </w:rPr>
              <w:t>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Merge w:val="restart"/>
            <w:vAlign w:val="center"/>
          </w:tcPr>
          <w:p>
            <w:pPr>
              <w:snapToGrid w:val="0"/>
              <w:spacing w:line="240" w:lineRule="auto"/>
              <w:jc w:val="center"/>
              <w:rPr>
                <w:kern w:val="0"/>
                <w:sz w:val="21"/>
                <w:szCs w:val="21"/>
              </w:rPr>
            </w:pPr>
            <w:r>
              <w:rPr>
                <w:rFonts w:hint="eastAsia"/>
                <w:kern w:val="0"/>
                <w:sz w:val="21"/>
                <w:szCs w:val="21"/>
              </w:rPr>
              <w:t>是否考虑岸边熏烟</w:t>
            </w:r>
          </w:p>
        </w:tc>
        <w:tc>
          <w:tcPr>
            <w:tcW w:w="2843" w:type="dxa"/>
            <w:vAlign w:val="center"/>
          </w:tcPr>
          <w:p>
            <w:pPr>
              <w:snapToGrid w:val="0"/>
              <w:spacing w:line="240" w:lineRule="auto"/>
              <w:jc w:val="center"/>
              <w:rPr>
                <w:kern w:val="0"/>
                <w:sz w:val="21"/>
                <w:szCs w:val="21"/>
              </w:rPr>
            </w:pPr>
            <w:r>
              <w:rPr>
                <w:rFonts w:hint="eastAsia"/>
                <w:kern w:val="0"/>
                <w:sz w:val="21"/>
                <w:szCs w:val="21"/>
              </w:rPr>
              <w:t>考虑岸边熏烟</w:t>
            </w:r>
          </w:p>
        </w:tc>
        <w:tc>
          <w:tcPr>
            <w:tcW w:w="2843" w:type="dxa"/>
            <w:vAlign w:val="center"/>
          </w:tcPr>
          <w:p>
            <w:pPr>
              <w:snapToGrid w:val="0"/>
              <w:spacing w:line="240" w:lineRule="auto"/>
              <w:jc w:val="center"/>
              <w:rPr>
                <w:kern w:val="0"/>
                <w:sz w:val="21"/>
                <w:szCs w:val="21"/>
              </w:rPr>
            </w:pPr>
            <w:r>
              <w:rPr>
                <w:rFonts w:hint="eastAsia"/>
                <w:kern w:val="0"/>
                <w:sz w:val="21"/>
                <w:szCs w:val="21"/>
              </w:rPr>
              <w:t>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Merge w:val="continue"/>
            <w:vAlign w:val="center"/>
          </w:tcPr>
          <w:p>
            <w:pPr>
              <w:snapToGrid w:val="0"/>
              <w:spacing w:line="240" w:lineRule="auto"/>
              <w:jc w:val="center"/>
              <w:rPr>
                <w:kern w:val="0"/>
                <w:sz w:val="21"/>
                <w:szCs w:val="21"/>
              </w:rPr>
            </w:pPr>
          </w:p>
        </w:tc>
        <w:tc>
          <w:tcPr>
            <w:tcW w:w="2843" w:type="dxa"/>
            <w:vAlign w:val="center"/>
          </w:tcPr>
          <w:p>
            <w:pPr>
              <w:snapToGrid w:val="0"/>
              <w:spacing w:line="240" w:lineRule="auto"/>
              <w:jc w:val="center"/>
              <w:rPr>
                <w:kern w:val="0"/>
                <w:sz w:val="21"/>
                <w:szCs w:val="21"/>
              </w:rPr>
            </w:pPr>
            <w:r>
              <w:rPr>
                <w:rFonts w:hint="eastAsia"/>
                <w:kern w:val="0"/>
                <w:sz w:val="21"/>
                <w:szCs w:val="21"/>
              </w:rPr>
              <w:t>岸线距离/</w:t>
            </w:r>
            <w:r>
              <w:rPr>
                <w:kern w:val="0"/>
                <w:sz w:val="21"/>
                <w:szCs w:val="21"/>
              </w:rPr>
              <w:t>km</w:t>
            </w:r>
          </w:p>
        </w:tc>
        <w:tc>
          <w:tcPr>
            <w:tcW w:w="2843" w:type="dxa"/>
            <w:vAlign w:val="center"/>
          </w:tcPr>
          <w:p>
            <w:pPr>
              <w:snapToGrid w:val="0"/>
              <w:spacing w:line="240" w:lineRule="auto"/>
              <w:jc w:val="center"/>
              <w:rPr>
                <w:kern w:val="0"/>
                <w:sz w:val="21"/>
                <w:szCs w:val="21"/>
              </w:rPr>
            </w:pPr>
            <w:r>
              <w:rPr>
                <w:rFonts w:hint="eastAsia"/>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843" w:type="dxa"/>
            <w:vMerge w:val="continue"/>
            <w:vAlign w:val="center"/>
          </w:tcPr>
          <w:p>
            <w:pPr>
              <w:snapToGrid w:val="0"/>
              <w:spacing w:line="240" w:lineRule="auto"/>
              <w:jc w:val="center"/>
              <w:rPr>
                <w:kern w:val="0"/>
                <w:sz w:val="21"/>
                <w:szCs w:val="21"/>
              </w:rPr>
            </w:pPr>
          </w:p>
        </w:tc>
        <w:tc>
          <w:tcPr>
            <w:tcW w:w="2843" w:type="dxa"/>
            <w:vAlign w:val="center"/>
          </w:tcPr>
          <w:p>
            <w:pPr>
              <w:snapToGrid w:val="0"/>
              <w:spacing w:line="240" w:lineRule="auto"/>
              <w:jc w:val="center"/>
              <w:rPr>
                <w:kern w:val="0"/>
                <w:sz w:val="21"/>
                <w:szCs w:val="21"/>
              </w:rPr>
            </w:pPr>
            <w:r>
              <w:rPr>
                <w:rFonts w:hint="eastAsia"/>
                <w:kern w:val="0"/>
                <w:sz w:val="21"/>
                <w:szCs w:val="21"/>
              </w:rPr>
              <w:t>岸线方向/</w:t>
            </w:r>
            <w:r>
              <w:rPr>
                <w:rFonts w:hint="eastAsia"/>
                <w:kern w:val="0"/>
                <w:sz w:val="21"/>
                <w:szCs w:val="21"/>
                <w:vertAlign w:val="superscript"/>
              </w:rPr>
              <w:t>。</w:t>
            </w:r>
            <w:r>
              <w:rPr>
                <w:rFonts w:hint="eastAsia"/>
                <w:kern w:val="0"/>
                <w:sz w:val="21"/>
                <w:szCs w:val="21"/>
              </w:rPr>
              <w:t>C</w:t>
            </w:r>
          </w:p>
        </w:tc>
        <w:tc>
          <w:tcPr>
            <w:tcW w:w="2843" w:type="dxa"/>
            <w:vAlign w:val="center"/>
          </w:tcPr>
          <w:p>
            <w:pPr>
              <w:snapToGrid w:val="0"/>
              <w:spacing w:line="240" w:lineRule="auto"/>
              <w:jc w:val="center"/>
              <w:rPr>
                <w:kern w:val="0"/>
                <w:sz w:val="21"/>
                <w:szCs w:val="21"/>
              </w:rPr>
            </w:pPr>
            <w:r>
              <w:rPr>
                <w:rFonts w:hint="eastAsia"/>
                <w:kern w:val="0"/>
                <w:sz w:val="21"/>
                <w:szCs w:val="21"/>
              </w:rPr>
              <w:t>/</w:t>
            </w:r>
          </w:p>
        </w:tc>
      </w:tr>
    </w:tbl>
    <w:p>
      <w:pPr>
        <w:ind w:firstLine="482" w:firstLineChars="200"/>
        <w:rPr>
          <w:b/>
        </w:rPr>
      </w:pPr>
    </w:p>
    <w:p>
      <w:pPr>
        <w:pStyle w:val="970"/>
        <w:snapToGrid w:val="0"/>
        <w:ind w:firstLine="0"/>
        <w:outlineLvl w:val="3"/>
        <w:rPr>
          <w:rFonts w:eastAsia="黑体"/>
          <w:bCs/>
          <w:szCs w:val="24"/>
        </w:rPr>
      </w:pPr>
      <w:r>
        <w:rPr>
          <w:rFonts w:eastAsia="黑体"/>
          <w:bCs/>
          <w:szCs w:val="24"/>
        </w:rPr>
        <w:t>7.2.1.4</w:t>
      </w:r>
      <w:r>
        <w:rPr>
          <w:rFonts w:hint="eastAsia" w:eastAsia="黑体"/>
          <w:bCs/>
          <w:szCs w:val="24"/>
        </w:rPr>
        <w:t>估算模式结果</w:t>
      </w:r>
    </w:p>
    <w:p>
      <w:pPr>
        <w:pStyle w:val="2"/>
        <w:ind w:firstLine="480"/>
        <w:rPr>
          <w:rFonts w:hint="default"/>
          <w:color w:val="auto"/>
        </w:rPr>
      </w:pPr>
      <w:r>
        <w:rPr>
          <w:color w:val="auto"/>
        </w:rPr>
        <w:t>根据</w:t>
      </w:r>
      <w:r>
        <w:rPr>
          <w:rFonts w:hint="default"/>
          <w:color w:val="auto"/>
        </w:rPr>
        <w:t>本项目废气排放情况，计算结果见表7</w:t>
      </w:r>
      <w:r>
        <w:rPr>
          <w:color w:val="auto"/>
        </w:rPr>
        <w:t>.</w:t>
      </w:r>
      <w:r>
        <w:rPr>
          <w:rFonts w:hint="default"/>
          <w:color w:val="auto"/>
        </w:rPr>
        <w:t>2-4</w:t>
      </w:r>
      <w:r>
        <w:rPr>
          <w:color w:val="auto"/>
        </w:rPr>
        <w:t>。</w:t>
      </w:r>
    </w:p>
    <w:p>
      <w:pPr>
        <w:snapToGrid w:val="0"/>
        <w:spacing w:line="240" w:lineRule="auto"/>
        <w:ind w:firstLine="480" w:firstLineChars="200"/>
        <w:jc w:val="center"/>
        <w:rPr>
          <w:rFonts w:eastAsia="黑体"/>
        </w:rPr>
      </w:pPr>
    </w:p>
    <w:p>
      <w:pPr>
        <w:pStyle w:val="2"/>
        <w:ind w:firstLine="480"/>
        <w:rPr>
          <w:rFonts w:hint="default"/>
        </w:rPr>
      </w:pPr>
    </w:p>
    <w:p>
      <w:pPr>
        <w:pStyle w:val="2"/>
        <w:ind w:firstLine="480"/>
        <w:rPr>
          <w:rFonts w:hint="default"/>
        </w:rPr>
      </w:pPr>
    </w:p>
    <w:p>
      <w:pPr>
        <w:pStyle w:val="2"/>
        <w:ind w:firstLine="480"/>
        <w:rPr>
          <w:rFonts w:hint="default"/>
        </w:rPr>
      </w:pPr>
    </w:p>
    <w:p>
      <w:pPr>
        <w:pStyle w:val="2"/>
        <w:ind w:firstLine="480"/>
        <w:rPr>
          <w:rFonts w:hint="default"/>
        </w:rPr>
      </w:pPr>
    </w:p>
    <w:p>
      <w:pPr>
        <w:snapToGrid w:val="0"/>
        <w:spacing w:line="240" w:lineRule="auto"/>
        <w:ind w:firstLine="480" w:firstLineChars="200"/>
        <w:jc w:val="center"/>
        <w:rPr>
          <w:rFonts w:eastAsia="黑体"/>
        </w:rPr>
      </w:pPr>
      <w:r>
        <w:rPr>
          <w:rFonts w:hint="eastAsia" w:eastAsia="黑体"/>
        </w:rPr>
        <w:t>表</w:t>
      </w:r>
      <w:r>
        <w:rPr>
          <w:rFonts w:eastAsia="黑体"/>
        </w:rPr>
        <w:t>7</w:t>
      </w:r>
      <w:r>
        <w:rPr>
          <w:rFonts w:hint="eastAsia" w:eastAsia="黑体"/>
        </w:rPr>
        <w:t>.</w:t>
      </w:r>
      <w:r>
        <w:rPr>
          <w:rFonts w:eastAsia="黑体"/>
        </w:rPr>
        <w:t>2</w:t>
      </w:r>
      <w:r>
        <w:rPr>
          <w:rFonts w:hint="eastAsia" w:eastAsia="黑体"/>
        </w:rPr>
        <w:t>-</w:t>
      </w:r>
      <w:r>
        <w:rPr>
          <w:rFonts w:eastAsia="黑体"/>
        </w:rPr>
        <w:t xml:space="preserve">4  </w:t>
      </w:r>
      <w:r>
        <w:rPr>
          <w:rFonts w:hint="eastAsia" w:eastAsia="黑体"/>
        </w:rPr>
        <w:t>无组织大气污染源预测结果最大落地浓度占标率统计</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16"/>
        <w:gridCol w:w="764"/>
        <w:gridCol w:w="916"/>
        <w:gridCol w:w="916"/>
        <w:gridCol w:w="1068"/>
        <w:gridCol w:w="1218"/>
        <w:gridCol w:w="884"/>
        <w:gridCol w:w="1162"/>
        <w:gridCol w:w="110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89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无组织源</w:t>
            </w:r>
          </w:p>
        </w:tc>
        <w:tc>
          <w:tcPr>
            <w:tcW w:w="746"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污染物</w:t>
            </w:r>
          </w:p>
        </w:tc>
        <w:tc>
          <w:tcPr>
            <w:tcW w:w="2830" w:type="dxa"/>
            <w:gridSpan w:val="3"/>
            <w:vAlign w:val="center"/>
          </w:tcPr>
          <w:p>
            <w:pPr>
              <w:snapToGrid w:val="0"/>
              <w:spacing w:line="240" w:lineRule="auto"/>
              <w:jc w:val="center"/>
              <w:rPr>
                <w:rFonts w:hAnsi="宋体"/>
                <w:kern w:val="0"/>
                <w:sz w:val="21"/>
                <w:szCs w:val="21"/>
              </w:rPr>
            </w:pPr>
            <w:r>
              <w:rPr>
                <w:rFonts w:hint="eastAsia" w:hAnsi="宋体"/>
                <w:kern w:val="0"/>
                <w:sz w:val="21"/>
                <w:szCs w:val="21"/>
              </w:rPr>
              <w:t>无组织排放面积（m</w:t>
            </w:r>
            <w:r>
              <w:rPr>
                <w:rFonts w:hAnsi="宋体"/>
                <w:kern w:val="0"/>
                <w:sz w:val="21"/>
                <w:szCs w:val="21"/>
                <w:vertAlign w:val="superscript"/>
              </w:rPr>
              <w:t>2</w:t>
            </w:r>
            <w:r>
              <w:rPr>
                <w:rFonts w:hint="eastAsia" w:hAnsi="宋体"/>
                <w:kern w:val="0"/>
                <w:sz w:val="21"/>
                <w:szCs w:val="21"/>
              </w:rPr>
              <w:t>）</w:t>
            </w:r>
          </w:p>
        </w:tc>
        <w:tc>
          <w:tcPr>
            <w:tcW w:w="1189"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无组织排放量（</w:t>
            </w:r>
            <w:r>
              <w:rPr>
                <w:rFonts w:hAnsi="宋体"/>
                <w:kern w:val="0"/>
                <w:sz w:val="21"/>
                <w:szCs w:val="21"/>
              </w:rPr>
              <w:t>g</w:t>
            </w:r>
            <w:r>
              <w:rPr>
                <w:rFonts w:hint="eastAsia" w:hAnsi="宋体"/>
                <w:kern w:val="0"/>
                <w:sz w:val="21"/>
                <w:szCs w:val="21"/>
              </w:rPr>
              <w:t>/</w:t>
            </w:r>
            <w:r>
              <w:rPr>
                <w:rFonts w:hAnsi="宋体"/>
                <w:kern w:val="0"/>
                <w:sz w:val="21"/>
                <w:szCs w:val="21"/>
              </w:rPr>
              <w:t>h</w:t>
            </w:r>
            <w:r>
              <w:rPr>
                <w:rFonts w:hint="eastAsia" w:hAnsi="宋体"/>
                <w:kern w:val="0"/>
                <w:sz w:val="21"/>
                <w:szCs w:val="21"/>
              </w:rPr>
              <w:t>）</w:t>
            </w:r>
          </w:p>
        </w:tc>
        <w:tc>
          <w:tcPr>
            <w:tcW w:w="86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评价标准m</w:t>
            </w:r>
            <w:r>
              <w:rPr>
                <w:rFonts w:hAnsi="宋体"/>
                <w:kern w:val="0"/>
                <w:sz w:val="21"/>
                <w:szCs w:val="21"/>
              </w:rPr>
              <w:t>g/m</w:t>
            </w:r>
            <w:r>
              <w:rPr>
                <w:rFonts w:hAnsi="宋体"/>
                <w:kern w:val="0"/>
                <w:sz w:val="21"/>
                <w:szCs w:val="21"/>
                <w:vertAlign w:val="superscript"/>
              </w:rPr>
              <w:t>3</w:t>
            </w:r>
          </w:p>
        </w:tc>
        <w:tc>
          <w:tcPr>
            <w:tcW w:w="1134"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最大地面浓度占标率P</w:t>
            </w:r>
            <w:r>
              <w:rPr>
                <w:rFonts w:hAnsi="宋体"/>
                <w:kern w:val="0"/>
                <w:sz w:val="21"/>
                <w:szCs w:val="21"/>
              </w:rPr>
              <w:t>i</w:t>
            </w:r>
            <w:r>
              <w:rPr>
                <w:rFonts w:hint="eastAsia" w:hAnsi="宋体"/>
                <w:kern w:val="0"/>
                <w:sz w:val="21"/>
                <w:szCs w:val="21"/>
              </w:rPr>
              <w:t>（%）</w:t>
            </w:r>
          </w:p>
        </w:tc>
        <w:tc>
          <w:tcPr>
            <w:tcW w:w="1076"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最大落地浓度mg</w:t>
            </w:r>
            <w:r>
              <w:rPr>
                <w:rFonts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893" w:type="dxa"/>
            <w:vMerge w:val="continue"/>
            <w:vAlign w:val="center"/>
          </w:tcPr>
          <w:p>
            <w:pPr>
              <w:snapToGrid w:val="0"/>
              <w:spacing w:line="240" w:lineRule="auto"/>
              <w:jc w:val="center"/>
              <w:rPr>
                <w:rFonts w:hAnsi="宋体"/>
                <w:kern w:val="0"/>
                <w:sz w:val="21"/>
                <w:szCs w:val="21"/>
              </w:rPr>
            </w:pPr>
          </w:p>
        </w:tc>
        <w:tc>
          <w:tcPr>
            <w:tcW w:w="746" w:type="dxa"/>
            <w:vMerge w:val="continue"/>
            <w:vAlign w:val="center"/>
          </w:tcPr>
          <w:p>
            <w:pPr>
              <w:snapToGrid w:val="0"/>
              <w:spacing w:line="240" w:lineRule="auto"/>
              <w:jc w:val="center"/>
              <w:rPr>
                <w:rFonts w:hAnsi="宋体"/>
                <w:kern w:val="0"/>
                <w:sz w:val="21"/>
                <w:szCs w:val="21"/>
              </w:rPr>
            </w:pPr>
          </w:p>
        </w:tc>
        <w:tc>
          <w:tcPr>
            <w:tcW w:w="894" w:type="dxa"/>
            <w:vAlign w:val="center"/>
          </w:tcPr>
          <w:p>
            <w:pPr>
              <w:snapToGrid w:val="0"/>
              <w:spacing w:line="240" w:lineRule="auto"/>
              <w:jc w:val="center"/>
              <w:rPr>
                <w:rFonts w:hAnsi="宋体"/>
                <w:kern w:val="0"/>
                <w:sz w:val="21"/>
                <w:szCs w:val="21"/>
              </w:rPr>
            </w:pPr>
            <w:r>
              <w:rPr>
                <w:rFonts w:hint="eastAsia" w:hAnsi="宋体"/>
                <w:kern w:val="0"/>
                <w:sz w:val="21"/>
                <w:szCs w:val="21"/>
              </w:rPr>
              <w:t>体源高度（m）</w:t>
            </w:r>
          </w:p>
        </w:tc>
        <w:tc>
          <w:tcPr>
            <w:tcW w:w="894" w:type="dxa"/>
            <w:vAlign w:val="center"/>
          </w:tcPr>
          <w:p>
            <w:pPr>
              <w:snapToGrid w:val="0"/>
              <w:spacing w:line="240" w:lineRule="auto"/>
              <w:jc w:val="center"/>
              <w:rPr>
                <w:rFonts w:hAnsi="宋体"/>
                <w:kern w:val="0"/>
                <w:sz w:val="21"/>
                <w:szCs w:val="21"/>
              </w:rPr>
            </w:pPr>
            <w:r>
              <w:rPr>
                <w:rFonts w:hint="eastAsia" w:hAnsi="宋体"/>
                <w:kern w:val="0"/>
                <w:sz w:val="21"/>
                <w:szCs w:val="21"/>
              </w:rPr>
              <w:t>面源宽度（m）</w:t>
            </w:r>
          </w:p>
        </w:tc>
        <w:tc>
          <w:tcPr>
            <w:tcW w:w="1042" w:type="dxa"/>
            <w:vAlign w:val="center"/>
          </w:tcPr>
          <w:p>
            <w:pPr>
              <w:snapToGrid w:val="0"/>
              <w:spacing w:line="240" w:lineRule="auto"/>
              <w:jc w:val="center"/>
              <w:rPr>
                <w:rFonts w:hAnsi="宋体"/>
                <w:kern w:val="0"/>
                <w:sz w:val="21"/>
                <w:szCs w:val="21"/>
              </w:rPr>
            </w:pPr>
            <w:r>
              <w:rPr>
                <w:rFonts w:hint="eastAsia" w:hAnsi="宋体"/>
                <w:kern w:val="0"/>
                <w:sz w:val="21"/>
                <w:szCs w:val="21"/>
              </w:rPr>
              <w:t>面源长度（m）</w:t>
            </w:r>
          </w:p>
        </w:tc>
        <w:tc>
          <w:tcPr>
            <w:tcW w:w="1189" w:type="dxa"/>
            <w:vMerge w:val="continue"/>
            <w:vAlign w:val="center"/>
          </w:tcPr>
          <w:p>
            <w:pPr>
              <w:snapToGrid w:val="0"/>
              <w:spacing w:line="240" w:lineRule="auto"/>
              <w:jc w:val="center"/>
              <w:rPr>
                <w:rFonts w:hAnsi="宋体"/>
                <w:kern w:val="0"/>
                <w:sz w:val="21"/>
                <w:szCs w:val="21"/>
              </w:rPr>
            </w:pPr>
          </w:p>
        </w:tc>
        <w:tc>
          <w:tcPr>
            <w:tcW w:w="863" w:type="dxa"/>
            <w:vMerge w:val="continue"/>
            <w:vAlign w:val="center"/>
          </w:tcPr>
          <w:p>
            <w:pPr>
              <w:snapToGrid w:val="0"/>
              <w:spacing w:line="240" w:lineRule="auto"/>
              <w:jc w:val="center"/>
              <w:rPr>
                <w:rFonts w:hAnsi="宋体"/>
                <w:kern w:val="0"/>
                <w:sz w:val="21"/>
                <w:szCs w:val="21"/>
              </w:rPr>
            </w:pPr>
          </w:p>
        </w:tc>
        <w:tc>
          <w:tcPr>
            <w:tcW w:w="1134" w:type="dxa"/>
            <w:vMerge w:val="continue"/>
            <w:vAlign w:val="center"/>
          </w:tcPr>
          <w:p>
            <w:pPr>
              <w:snapToGrid w:val="0"/>
              <w:spacing w:line="240" w:lineRule="auto"/>
              <w:jc w:val="center"/>
              <w:rPr>
                <w:rFonts w:hAnsi="宋体"/>
                <w:kern w:val="0"/>
                <w:sz w:val="21"/>
                <w:szCs w:val="21"/>
              </w:rPr>
            </w:pPr>
          </w:p>
        </w:tc>
        <w:tc>
          <w:tcPr>
            <w:tcW w:w="1076" w:type="dxa"/>
            <w:vMerge w:val="continue"/>
            <w:vAlign w:val="center"/>
          </w:tcPr>
          <w:p>
            <w:pPr>
              <w:snapToGrid w:val="0"/>
              <w:spacing w:line="240" w:lineRule="auto"/>
              <w:jc w:val="center"/>
              <w:rPr>
                <w:rFonts w:hAnsi="宋体"/>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车间妊娠舍</w:t>
            </w:r>
          </w:p>
        </w:tc>
        <w:tc>
          <w:tcPr>
            <w:tcW w:w="746"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894" w:type="dxa"/>
            <w:vMerge w:val="restart"/>
            <w:vAlign w:val="center"/>
          </w:tcPr>
          <w:p>
            <w:pPr>
              <w:snapToGrid w:val="0"/>
              <w:spacing w:line="240" w:lineRule="auto"/>
              <w:jc w:val="center"/>
              <w:rPr>
                <w:rFonts w:hAnsi="宋体"/>
                <w:kern w:val="0"/>
                <w:sz w:val="21"/>
                <w:szCs w:val="21"/>
              </w:rPr>
            </w:pPr>
            <w:r>
              <w:rPr>
                <w:rFonts w:hAnsi="宋体"/>
                <w:kern w:val="0"/>
                <w:sz w:val="21"/>
                <w:szCs w:val="21"/>
              </w:rPr>
              <w:t>5</w:t>
            </w:r>
          </w:p>
        </w:tc>
        <w:tc>
          <w:tcPr>
            <w:tcW w:w="894" w:type="dxa"/>
            <w:vMerge w:val="restart"/>
            <w:vAlign w:val="center"/>
          </w:tcPr>
          <w:p>
            <w:pPr>
              <w:snapToGrid w:val="0"/>
              <w:spacing w:line="240" w:lineRule="auto"/>
              <w:jc w:val="center"/>
              <w:rPr>
                <w:rFonts w:hAnsi="宋体"/>
                <w:kern w:val="0"/>
                <w:sz w:val="21"/>
                <w:szCs w:val="21"/>
              </w:rPr>
            </w:pPr>
            <w:r>
              <w:rPr>
                <w:rFonts w:hAnsi="宋体"/>
                <w:kern w:val="0"/>
                <w:sz w:val="21"/>
                <w:szCs w:val="21"/>
              </w:rPr>
              <w:t>42.7</w:t>
            </w:r>
          </w:p>
        </w:tc>
        <w:tc>
          <w:tcPr>
            <w:tcW w:w="1042"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1</w:t>
            </w:r>
            <w:r>
              <w:rPr>
                <w:rFonts w:hAnsi="宋体"/>
                <w:kern w:val="0"/>
                <w:sz w:val="21"/>
                <w:szCs w:val="21"/>
              </w:rPr>
              <w:t>58.44</w:t>
            </w:r>
          </w:p>
        </w:tc>
        <w:tc>
          <w:tcPr>
            <w:tcW w:w="1189" w:type="dxa"/>
            <w:vAlign w:val="center"/>
          </w:tcPr>
          <w:p>
            <w:pPr>
              <w:snapToGrid w:val="0"/>
              <w:spacing w:line="240" w:lineRule="auto"/>
              <w:jc w:val="center"/>
              <w:rPr>
                <w:rFonts w:hAnsi="宋体"/>
                <w:kern w:val="0"/>
                <w:sz w:val="21"/>
                <w:szCs w:val="21"/>
              </w:rPr>
            </w:pPr>
            <w:r>
              <w:rPr>
                <w:bCs/>
                <w:kern w:val="0"/>
                <w:sz w:val="21"/>
              </w:rPr>
              <w:t>156.86</w:t>
            </w:r>
          </w:p>
        </w:tc>
        <w:tc>
          <w:tcPr>
            <w:tcW w:w="863"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w:t>
            </w:r>
          </w:p>
        </w:tc>
        <w:tc>
          <w:tcPr>
            <w:tcW w:w="1134" w:type="dxa"/>
            <w:vAlign w:val="center"/>
          </w:tcPr>
          <w:p>
            <w:pPr>
              <w:snapToGrid w:val="0"/>
              <w:spacing w:line="240" w:lineRule="auto"/>
              <w:jc w:val="center"/>
              <w:rPr>
                <w:rFonts w:hAnsi="宋体"/>
                <w:kern w:val="0"/>
                <w:sz w:val="21"/>
                <w:szCs w:val="21"/>
              </w:rPr>
            </w:pPr>
            <w:r>
              <w:rPr>
                <w:rFonts w:hAnsi="宋体"/>
                <w:kern w:val="0"/>
                <w:sz w:val="21"/>
                <w:szCs w:val="21"/>
              </w:rPr>
              <w:t>8.98</w:t>
            </w:r>
          </w:p>
        </w:tc>
        <w:tc>
          <w:tcPr>
            <w:tcW w:w="1076" w:type="dxa"/>
            <w:vAlign w:val="center"/>
          </w:tcPr>
          <w:p>
            <w:pPr>
              <w:snapToGrid w:val="0"/>
              <w:spacing w:line="240" w:lineRule="auto"/>
              <w:jc w:val="center"/>
              <w:rPr>
                <w:rFonts w:hAnsi="宋体"/>
                <w:kern w:val="0"/>
                <w:sz w:val="21"/>
                <w:szCs w:val="21"/>
              </w:rPr>
            </w:pPr>
            <w:r>
              <w:rPr>
                <w:rFonts w:hint="eastAsia" w:hAnsi="宋体"/>
                <w:kern w:val="0"/>
                <w:sz w:val="21"/>
                <w:szCs w:val="21"/>
              </w:rPr>
              <w:t>0.0</w:t>
            </w:r>
            <w:r>
              <w:rPr>
                <w:rFonts w:hAnsi="宋体"/>
                <w:kern w:val="0"/>
                <w:sz w:val="21"/>
                <w:szCs w:val="21"/>
              </w:rPr>
              <w:t>17952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3" w:type="dxa"/>
            <w:vMerge w:val="continue"/>
            <w:vAlign w:val="center"/>
          </w:tcPr>
          <w:p>
            <w:pPr>
              <w:snapToGrid w:val="0"/>
              <w:spacing w:line="240" w:lineRule="auto"/>
              <w:jc w:val="center"/>
              <w:rPr>
                <w:rFonts w:hAnsi="宋体"/>
                <w:kern w:val="0"/>
                <w:sz w:val="21"/>
                <w:szCs w:val="21"/>
              </w:rPr>
            </w:pPr>
          </w:p>
        </w:tc>
        <w:tc>
          <w:tcPr>
            <w:tcW w:w="746" w:type="dxa"/>
            <w:vAlign w:val="center"/>
          </w:tcPr>
          <w:p>
            <w:pPr>
              <w:snapToGrid w:val="0"/>
              <w:spacing w:line="240" w:lineRule="auto"/>
              <w:jc w:val="center"/>
              <w:rPr>
                <w:rFonts w:hAnsi="宋体"/>
                <w:kern w:val="0"/>
                <w:sz w:val="21"/>
                <w:szCs w:val="21"/>
              </w:rPr>
            </w:pPr>
            <w:r>
              <w:rPr>
                <w:rFonts w:hAnsi="宋体"/>
                <w:kern w:val="0"/>
                <w:sz w:val="21"/>
                <w:szCs w:val="21"/>
              </w:rPr>
              <w:t>H</w:t>
            </w:r>
            <w:r>
              <w:rPr>
                <w:rFonts w:hAnsi="宋体"/>
                <w:kern w:val="0"/>
                <w:sz w:val="21"/>
                <w:szCs w:val="21"/>
                <w:vertAlign w:val="subscript"/>
              </w:rPr>
              <w:t>2</w:t>
            </w:r>
            <w:r>
              <w:rPr>
                <w:rFonts w:hAnsi="宋体"/>
                <w:kern w:val="0"/>
                <w:sz w:val="21"/>
                <w:szCs w:val="21"/>
              </w:rPr>
              <w:t>S</w:t>
            </w:r>
          </w:p>
        </w:tc>
        <w:tc>
          <w:tcPr>
            <w:tcW w:w="894" w:type="dxa"/>
            <w:vMerge w:val="continue"/>
            <w:vAlign w:val="center"/>
          </w:tcPr>
          <w:p>
            <w:pPr>
              <w:snapToGrid w:val="0"/>
              <w:spacing w:line="240" w:lineRule="auto"/>
              <w:jc w:val="center"/>
              <w:rPr>
                <w:rFonts w:hAnsi="宋体"/>
                <w:kern w:val="0"/>
                <w:sz w:val="21"/>
                <w:szCs w:val="21"/>
              </w:rPr>
            </w:pPr>
          </w:p>
        </w:tc>
        <w:tc>
          <w:tcPr>
            <w:tcW w:w="894" w:type="dxa"/>
            <w:vMerge w:val="continue"/>
            <w:vAlign w:val="center"/>
          </w:tcPr>
          <w:p>
            <w:pPr>
              <w:snapToGrid w:val="0"/>
              <w:spacing w:line="240" w:lineRule="auto"/>
              <w:jc w:val="center"/>
              <w:rPr>
                <w:rFonts w:hAnsi="宋体"/>
                <w:kern w:val="0"/>
                <w:sz w:val="21"/>
                <w:szCs w:val="21"/>
              </w:rPr>
            </w:pPr>
          </w:p>
        </w:tc>
        <w:tc>
          <w:tcPr>
            <w:tcW w:w="1042" w:type="dxa"/>
            <w:vMerge w:val="continue"/>
            <w:vAlign w:val="center"/>
          </w:tcPr>
          <w:p>
            <w:pPr>
              <w:snapToGrid w:val="0"/>
              <w:spacing w:line="240" w:lineRule="auto"/>
              <w:jc w:val="center"/>
              <w:rPr>
                <w:rFonts w:hAnsi="宋体"/>
                <w:kern w:val="0"/>
                <w:sz w:val="21"/>
                <w:szCs w:val="21"/>
              </w:rPr>
            </w:pPr>
          </w:p>
        </w:tc>
        <w:tc>
          <w:tcPr>
            <w:tcW w:w="1189" w:type="dxa"/>
            <w:vAlign w:val="center"/>
          </w:tcPr>
          <w:p>
            <w:pPr>
              <w:snapToGrid w:val="0"/>
              <w:spacing w:line="240" w:lineRule="auto"/>
              <w:jc w:val="center"/>
              <w:rPr>
                <w:rFonts w:hAnsi="宋体"/>
                <w:kern w:val="0"/>
                <w:sz w:val="21"/>
                <w:szCs w:val="21"/>
              </w:rPr>
            </w:pPr>
            <w:r>
              <w:rPr>
                <w:bCs/>
                <w:kern w:val="0"/>
                <w:sz w:val="21"/>
              </w:rPr>
              <w:t>1.14</w:t>
            </w:r>
          </w:p>
        </w:tc>
        <w:tc>
          <w:tcPr>
            <w:tcW w:w="863"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w:t>
            </w:r>
          </w:p>
        </w:tc>
        <w:tc>
          <w:tcPr>
            <w:tcW w:w="1134" w:type="dxa"/>
            <w:vAlign w:val="center"/>
          </w:tcPr>
          <w:p>
            <w:pPr>
              <w:snapToGrid w:val="0"/>
              <w:spacing w:line="240" w:lineRule="auto"/>
              <w:jc w:val="center"/>
              <w:rPr>
                <w:rFonts w:hAnsi="宋体"/>
                <w:kern w:val="0"/>
                <w:sz w:val="21"/>
                <w:szCs w:val="21"/>
              </w:rPr>
            </w:pPr>
            <w:r>
              <w:rPr>
                <w:rFonts w:hAnsi="宋体"/>
                <w:kern w:val="0"/>
                <w:sz w:val="21"/>
                <w:szCs w:val="21"/>
              </w:rPr>
              <w:t>1.29</w:t>
            </w:r>
          </w:p>
        </w:tc>
        <w:tc>
          <w:tcPr>
            <w:tcW w:w="1076" w:type="dxa"/>
            <w:vAlign w:val="center"/>
          </w:tcPr>
          <w:p>
            <w:pPr>
              <w:snapToGrid w:val="0"/>
              <w:spacing w:line="240" w:lineRule="auto"/>
              <w:jc w:val="center"/>
              <w:rPr>
                <w:rFonts w:hAnsi="宋体"/>
                <w:kern w:val="0"/>
                <w:sz w:val="21"/>
                <w:szCs w:val="21"/>
              </w:rPr>
            </w:pPr>
            <w:r>
              <w:rPr>
                <w:rFonts w:hint="eastAsia" w:hAnsi="宋体"/>
                <w:kern w:val="0"/>
                <w:sz w:val="21"/>
                <w:szCs w:val="21"/>
              </w:rPr>
              <w:t>0.000</w:t>
            </w:r>
            <w:r>
              <w:rPr>
                <w:rFonts w:hAnsi="宋体"/>
                <w:kern w:val="0"/>
                <w:sz w:val="21"/>
                <w:szCs w:val="21"/>
              </w:rPr>
              <w:t>129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3"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车间分娩舍</w:t>
            </w:r>
          </w:p>
        </w:tc>
        <w:tc>
          <w:tcPr>
            <w:tcW w:w="746"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894" w:type="dxa"/>
            <w:vMerge w:val="restart"/>
            <w:vAlign w:val="center"/>
          </w:tcPr>
          <w:p>
            <w:pPr>
              <w:snapToGrid w:val="0"/>
              <w:spacing w:line="240" w:lineRule="auto"/>
              <w:jc w:val="center"/>
              <w:rPr>
                <w:rFonts w:hAnsi="宋体"/>
                <w:kern w:val="0"/>
                <w:sz w:val="21"/>
                <w:szCs w:val="21"/>
              </w:rPr>
            </w:pPr>
            <w:r>
              <w:rPr>
                <w:rFonts w:hAnsi="宋体"/>
                <w:kern w:val="0"/>
                <w:sz w:val="21"/>
                <w:szCs w:val="21"/>
              </w:rPr>
              <w:t>5</w:t>
            </w:r>
          </w:p>
        </w:tc>
        <w:tc>
          <w:tcPr>
            <w:tcW w:w="894" w:type="dxa"/>
            <w:vMerge w:val="restart"/>
            <w:vAlign w:val="center"/>
          </w:tcPr>
          <w:p>
            <w:pPr>
              <w:snapToGrid w:val="0"/>
              <w:spacing w:line="240" w:lineRule="auto"/>
              <w:jc w:val="center"/>
              <w:rPr>
                <w:rFonts w:hAnsi="宋体"/>
                <w:kern w:val="0"/>
                <w:sz w:val="21"/>
                <w:szCs w:val="21"/>
              </w:rPr>
            </w:pPr>
            <w:r>
              <w:rPr>
                <w:rFonts w:hAnsi="宋体"/>
                <w:kern w:val="0"/>
                <w:sz w:val="21"/>
                <w:szCs w:val="21"/>
              </w:rPr>
              <w:t>36.59</w:t>
            </w:r>
          </w:p>
        </w:tc>
        <w:tc>
          <w:tcPr>
            <w:tcW w:w="1042"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1</w:t>
            </w:r>
            <w:r>
              <w:rPr>
                <w:rFonts w:hAnsi="宋体"/>
                <w:kern w:val="0"/>
                <w:sz w:val="21"/>
                <w:szCs w:val="21"/>
              </w:rPr>
              <w:t>24.74</w:t>
            </w:r>
          </w:p>
        </w:tc>
        <w:tc>
          <w:tcPr>
            <w:tcW w:w="1189" w:type="dxa"/>
            <w:vAlign w:val="center"/>
          </w:tcPr>
          <w:p>
            <w:pPr>
              <w:snapToGrid w:val="0"/>
              <w:spacing w:line="240" w:lineRule="auto"/>
              <w:jc w:val="center"/>
              <w:rPr>
                <w:bCs/>
                <w:kern w:val="0"/>
                <w:sz w:val="21"/>
              </w:rPr>
            </w:pPr>
            <w:r>
              <w:rPr>
                <w:bCs/>
                <w:kern w:val="0"/>
                <w:sz w:val="21"/>
              </w:rPr>
              <w:t>41.15</w:t>
            </w:r>
          </w:p>
        </w:tc>
        <w:tc>
          <w:tcPr>
            <w:tcW w:w="863"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w:t>
            </w:r>
          </w:p>
        </w:tc>
        <w:tc>
          <w:tcPr>
            <w:tcW w:w="1134" w:type="dxa"/>
            <w:vAlign w:val="center"/>
          </w:tcPr>
          <w:p>
            <w:pPr>
              <w:snapToGrid w:val="0"/>
              <w:spacing w:line="240" w:lineRule="auto"/>
              <w:jc w:val="center"/>
              <w:rPr>
                <w:rFonts w:hAnsi="宋体"/>
                <w:kern w:val="0"/>
                <w:sz w:val="21"/>
                <w:szCs w:val="21"/>
              </w:rPr>
            </w:pPr>
            <w:r>
              <w:rPr>
                <w:rFonts w:hint="eastAsia" w:hAnsi="宋体"/>
                <w:kern w:val="0"/>
                <w:sz w:val="21"/>
                <w:szCs w:val="21"/>
              </w:rPr>
              <w:t>2</w:t>
            </w:r>
            <w:r>
              <w:rPr>
                <w:rFonts w:hAnsi="宋体"/>
                <w:kern w:val="0"/>
                <w:sz w:val="21"/>
                <w:szCs w:val="21"/>
              </w:rPr>
              <w:t>.93</w:t>
            </w:r>
          </w:p>
        </w:tc>
        <w:tc>
          <w:tcPr>
            <w:tcW w:w="1076"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.00586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93" w:type="dxa"/>
            <w:vMerge w:val="continue"/>
            <w:vAlign w:val="center"/>
          </w:tcPr>
          <w:p>
            <w:pPr>
              <w:snapToGrid w:val="0"/>
              <w:spacing w:line="240" w:lineRule="auto"/>
              <w:jc w:val="center"/>
              <w:rPr>
                <w:rFonts w:hAnsi="宋体"/>
                <w:kern w:val="0"/>
                <w:sz w:val="21"/>
                <w:szCs w:val="21"/>
              </w:rPr>
            </w:pPr>
          </w:p>
        </w:tc>
        <w:tc>
          <w:tcPr>
            <w:tcW w:w="746" w:type="dxa"/>
            <w:vAlign w:val="center"/>
          </w:tcPr>
          <w:p>
            <w:pPr>
              <w:snapToGrid w:val="0"/>
              <w:spacing w:line="240" w:lineRule="auto"/>
              <w:jc w:val="center"/>
              <w:rPr>
                <w:rFonts w:hAnsi="宋体"/>
                <w:kern w:val="0"/>
                <w:sz w:val="21"/>
                <w:szCs w:val="21"/>
              </w:rPr>
            </w:pPr>
            <w:r>
              <w:rPr>
                <w:rFonts w:hAnsi="宋体"/>
                <w:kern w:val="0"/>
                <w:sz w:val="21"/>
                <w:szCs w:val="21"/>
              </w:rPr>
              <w:t>H</w:t>
            </w:r>
            <w:r>
              <w:rPr>
                <w:rFonts w:hAnsi="宋体"/>
                <w:kern w:val="0"/>
                <w:sz w:val="21"/>
                <w:szCs w:val="21"/>
                <w:vertAlign w:val="subscript"/>
              </w:rPr>
              <w:t>2</w:t>
            </w:r>
            <w:r>
              <w:rPr>
                <w:rFonts w:hAnsi="宋体"/>
                <w:kern w:val="0"/>
                <w:sz w:val="21"/>
                <w:szCs w:val="21"/>
              </w:rPr>
              <w:t>S</w:t>
            </w:r>
          </w:p>
        </w:tc>
        <w:tc>
          <w:tcPr>
            <w:tcW w:w="894" w:type="dxa"/>
            <w:vMerge w:val="continue"/>
            <w:vAlign w:val="center"/>
          </w:tcPr>
          <w:p>
            <w:pPr>
              <w:snapToGrid w:val="0"/>
              <w:spacing w:line="240" w:lineRule="auto"/>
              <w:jc w:val="center"/>
              <w:rPr>
                <w:rFonts w:hAnsi="宋体"/>
                <w:kern w:val="0"/>
                <w:sz w:val="21"/>
                <w:szCs w:val="21"/>
              </w:rPr>
            </w:pPr>
          </w:p>
        </w:tc>
        <w:tc>
          <w:tcPr>
            <w:tcW w:w="894" w:type="dxa"/>
            <w:vMerge w:val="continue"/>
            <w:vAlign w:val="center"/>
          </w:tcPr>
          <w:p>
            <w:pPr>
              <w:snapToGrid w:val="0"/>
              <w:spacing w:line="240" w:lineRule="auto"/>
              <w:jc w:val="center"/>
              <w:rPr>
                <w:rFonts w:hAnsi="宋体"/>
                <w:kern w:val="0"/>
                <w:sz w:val="21"/>
                <w:szCs w:val="21"/>
              </w:rPr>
            </w:pPr>
          </w:p>
        </w:tc>
        <w:tc>
          <w:tcPr>
            <w:tcW w:w="1042" w:type="dxa"/>
            <w:vMerge w:val="continue"/>
            <w:vAlign w:val="center"/>
          </w:tcPr>
          <w:p>
            <w:pPr>
              <w:snapToGrid w:val="0"/>
              <w:spacing w:line="240" w:lineRule="auto"/>
              <w:jc w:val="center"/>
              <w:rPr>
                <w:rFonts w:hAnsi="宋体"/>
                <w:kern w:val="0"/>
                <w:sz w:val="21"/>
                <w:szCs w:val="21"/>
              </w:rPr>
            </w:pPr>
          </w:p>
        </w:tc>
        <w:tc>
          <w:tcPr>
            <w:tcW w:w="1189" w:type="dxa"/>
            <w:vAlign w:val="center"/>
          </w:tcPr>
          <w:p>
            <w:pPr>
              <w:snapToGrid w:val="0"/>
              <w:spacing w:line="240" w:lineRule="auto"/>
              <w:jc w:val="center"/>
              <w:rPr>
                <w:bCs/>
                <w:kern w:val="0"/>
                <w:sz w:val="21"/>
              </w:rPr>
            </w:pPr>
            <w:r>
              <w:rPr>
                <w:rFonts w:hint="eastAsia"/>
                <w:bCs/>
                <w:kern w:val="0"/>
                <w:sz w:val="21"/>
              </w:rPr>
              <w:t>0</w:t>
            </w:r>
            <w:r>
              <w:rPr>
                <w:bCs/>
                <w:kern w:val="0"/>
                <w:sz w:val="21"/>
              </w:rPr>
              <w:t>.64</w:t>
            </w:r>
          </w:p>
        </w:tc>
        <w:tc>
          <w:tcPr>
            <w:tcW w:w="863"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w:t>
            </w:r>
          </w:p>
        </w:tc>
        <w:tc>
          <w:tcPr>
            <w:tcW w:w="1134"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.92</w:t>
            </w:r>
          </w:p>
        </w:tc>
        <w:tc>
          <w:tcPr>
            <w:tcW w:w="1076"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.000045</w:t>
            </w:r>
          </w:p>
        </w:tc>
      </w:tr>
    </w:tbl>
    <w:p>
      <w:pPr>
        <w:ind w:firstLine="472" w:firstLineChars="200"/>
        <w:rPr>
          <w:spacing w:val="-2"/>
        </w:rPr>
      </w:pPr>
    </w:p>
    <w:p>
      <w:pPr>
        <w:pStyle w:val="2"/>
        <w:ind w:firstLine="472"/>
        <w:rPr>
          <w:rFonts w:hint="default"/>
          <w:color w:val="auto"/>
        </w:rPr>
      </w:pPr>
      <w:r>
        <w:rPr>
          <w:spacing w:val="-2"/>
        </w:rPr>
        <w:t>根据HJ 2.2-2018 推荐估算模式，预测出正常工况下无组织排放源分别形成的最大落地浓度及</w:t>
      </w:r>
      <w:r>
        <w:rPr>
          <w:color w:val="auto"/>
          <w:spacing w:val="-2"/>
        </w:rPr>
        <w:t>离源距离，见表</w:t>
      </w:r>
      <w:r>
        <w:rPr>
          <w:rFonts w:hint="default"/>
          <w:color w:val="auto"/>
          <w:spacing w:val="-2"/>
        </w:rPr>
        <w:t>7</w:t>
      </w:r>
      <w:r>
        <w:rPr>
          <w:color w:val="auto"/>
          <w:spacing w:val="-2"/>
        </w:rPr>
        <w:t>.</w:t>
      </w:r>
      <w:r>
        <w:rPr>
          <w:rFonts w:hint="default"/>
          <w:color w:val="auto"/>
          <w:spacing w:val="-2"/>
        </w:rPr>
        <w:t>2</w:t>
      </w:r>
      <w:r>
        <w:rPr>
          <w:color w:val="auto"/>
          <w:spacing w:val="-2"/>
        </w:rPr>
        <w:t>-</w:t>
      </w:r>
      <w:r>
        <w:rPr>
          <w:rFonts w:hint="default"/>
          <w:color w:val="auto"/>
          <w:spacing w:val="-2"/>
        </w:rPr>
        <w:t>5</w:t>
      </w:r>
      <w:r>
        <w:rPr>
          <w:color w:val="auto"/>
          <w:spacing w:val="-2"/>
        </w:rPr>
        <w:t>及7</w:t>
      </w:r>
      <w:r>
        <w:rPr>
          <w:rFonts w:hint="default"/>
          <w:color w:val="auto"/>
          <w:spacing w:val="-2"/>
        </w:rPr>
        <w:t>.2</w:t>
      </w:r>
      <w:r>
        <w:rPr>
          <w:color w:val="auto"/>
          <w:spacing w:val="-2"/>
        </w:rPr>
        <w:t>-</w:t>
      </w:r>
      <w:r>
        <w:rPr>
          <w:rFonts w:hint="default"/>
          <w:color w:val="auto"/>
          <w:spacing w:val="-2"/>
        </w:rPr>
        <w:t>6</w:t>
      </w:r>
      <w:r>
        <w:rPr>
          <w:color w:val="auto"/>
          <w:spacing w:val="-2"/>
        </w:rPr>
        <w:t>。</w:t>
      </w:r>
    </w:p>
    <w:p>
      <w:pPr>
        <w:pStyle w:val="2"/>
        <w:ind w:firstLine="0" w:firstLineChars="0"/>
        <w:rPr>
          <w:rFonts w:hint="default"/>
          <w:color w:val="auto"/>
        </w:rPr>
      </w:pPr>
    </w:p>
    <w:p>
      <w:pPr>
        <w:snapToGrid w:val="0"/>
        <w:spacing w:line="240" w:lineRule="auto"/>
        <w:jc w:val="center"/>
        <w:rPr>
          <w:rFonts w:eastAsia="黑体"/>
        </w:rPr>
      </w:pPr>
      <w:r>
        <w:rPr>
          <w:rFonts w:hint="eastAsia" w:eastAsia="黑体"/>
        </w:rPr>
        <w:t>表</w:t>
      </w:r>
      <w:r>
        <w:rPr>
          <w:rFonts w:eastAsia="黑体"/>
        </w:rPr>
        <w:t>7</w:t>
      </w:r>
      <w:r>
        <w:rPr>
          <w:rFonts w:hint="eastAsia" w:eastAsia="黑体"/>
        </w:rPr>
        <w:t>.</w:t>
      </w:r>
      <w:r>
        <w:rPr>
          <w:rFonts w:eastAsia="黑体"/>
        </w:rPr>
        <w:t>2</w:t>
      </w:r>
      <w:r>
        <w:rPr>
          <w:rFonts w:hint="eastAsia" w:eastAsia="黑体"/>
        </w:rPr>
        <w:t>-</w:t>
      </w:r>
      <w:r>
        <w:rPr>
          <w:rFonts w:eastAsia="黑体"/>
        </w:rPr>
        <w:t xml:space="preserve">5  </w:t>
      </w:r>
      <w:r>
        <w:rPr>
          <w:rFonts w:hint="eastAsia" w:eastAsia="黑体"/>
        </w:rPr>
        <w:t>本项目妊娠舍废气主要污染物的等标排放量和污染负荷评价表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40"/>
        <w:gridCol w:w="1911"/>
        <w:gridCol w:w="1410"/>
        <w:gridCol w:w="1884"/>
        <w:gridCol w:w="160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2088"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距离中心下风向距离D（m）</w:t>
            </w:r>
          </w:p>
        </w:tc>
        <w:tc>
          <w:tcPr>
            <w:tcW w:w="6643" w:type="dxa"/>
            <w:gridSpan w:val="4"/>
            <w:vAlign w:val="center"/>
          </w:tcPr>
          <w:p>
            <w:pPr>
              <w:snapToGrid w:val="0"/>
              <w:spacing w:line="240" w:lineRule="auto"/>
              <w:jc w:val="center"/>
              <w:rPr>
                <w:rFonts w:hAnsi="宋体"/>
                <w:kern w:val="0"/>
                <w:sz w:val="21"/>
                <w:szCs w:val="21"/>
              </w:rPr>
            </w:pPr>
            <w:r>
              <w:rPr>
                <w:rFonts w:hint="eastAsia" w:hAnsi="宋体"/>
                <w:kern w:val="0"/>
                <w:sz w:val="21"/>
                <w:szCs w:val="21"/>
              </w:rPr>
              <w:t>妊娠舍</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2088" w:type="dxa"/>
            <w:vMerge w:val="continue"/>
            <w:vAlign w:val="center"/>
          </w:tcPr>
          <w:p>
            <w:pPr>
              <w:snapToGrid w:val="0"/>
              <w:spacing w:line="240" w:lineRule="auto"/>
              <w:jc w:val="center"/>
              <w:rPr>
                <w:rFonts w:hAnsi="宋体"/>
                <w:kern w:val="0"/>
                <w:sz w:val="21"/>
                <w:szCs w:val="21"/>
              </w:rPr>
            </w:pPr>
          </w:p>
        </w:tc>
        <w:tc>
          <w:tcPr>
            <w:tcW w:w="3241"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3402"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H</w:t>
            </w:r>
            <w:r>
              <w:rPr>
                <w:rFonts w:hAnsi="宋体"/>
                <w:kern w:val="0"/>
                <w:sz w:val="21"/>
                <w:szCs w:val="21"/>
                <w:vertAlign w:val="subscript"/>
              </w:rPr>
              <w:t>2</w:t>
            </w:r>
            <w:r>
              <w:rPr>
                <w:rFonts w:hAnsi="宋体"/>
                <w:kern w:val="0"/>
                <w:sz w:val="21"/>
                <w:szCs w:val="21"/>
              </w:rPr>
              <w:t>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91" w:hRule="atLeast"/>
          <w:jc w:val="center"/>
        </w:trPr>
        <w:tc>
          <w:tcPr>
            <w:tcW w:w="2088" w:type="dxa"/>
            <w:vMerge w:val="continue"/>
            <w:tcBorders>
              <w:bottom w:val="single" w:color="auto" w:sz="6" w:space="0"/>
            </w:tcBorders>
            <w:vAlign w:val="center"/>
          </w:tcPr>
          <w:p>
            <w:pPr>
              <w:snapToGrid w:val="0"/>
              <w:spacing w:line="240" w:lineRule="auto"/>
              <w:jc w:val="center"/>
              <w:rPr>
                <w:rFonts w:hAnsi="宋体"/>
                <w:kern w:val="0"/>
                <w:sz w:val="21"/>
                <w:szCs w:val="21"/>
              </w:rPr>
            </w:pPr>
          </w:p>
        </w:tc>
        <w:tc>
          <w:tcPr>
            <w:tcW w:w="1865" w:type="dxa"/>
            <w:vAlign w:val="center"/>
          </w:tcPr>
          <w:p>
            <w:pPr>
              <w:snapToGrid w:val="0"/>
              <w:spacing w:line="240" w:lineRule="auto"/>
              <w:jc w:val="center"/>
              <w:rPr>
                <w:rFonts w:hAnsi="宋体"/>
                <w:kern w:val="0"/>
                <w:sz w:val="21"/>
                <w:szCs w:val="21"/>
              </w:rPr>
            </w:pPr>
            <w:r>
              <w:rPr>
                <w:rFonts w:hint="eastAsia" w:hAnsi="宋体"/>
                <w:kern w:val="0"/>
                <w:sz w:val="21"/>
                <w:szCs w:val="21"/>
              </w:rPr>
              <w:t>预测浓度mg</w:t>
            </w:r>
            <w:r>
              <w:rPr>
                <w:rFonts w:hAnsi="宋体"/>
                <w:kern w:val="0"/>
                <w:sz w:val="21"/>
                <w:szCs w:val="21"/>
              </w:rPr>
              <w:t>/m</w:t>
            </w:r>
            <w:r>
              <w:rPr>
                <w:rFonts w:hAnsi="宋体"/>
                <w:kern w:val="0"/>
                <w:sz w:val="21"/>
                <w:szCs w:val="21"/>
                <w:vertAlign w:val="superscript"/>
              </w:rPr>
              <w:t>3</w:t>
            </w:r>
          </w:p>
        </w:tc>
        <w:tc>
          <w:tcPr>
            <w:tcW w:w="1376" w:type="dxa"/>
            <w:vAlign w:val="center"/>
          </w:tcPr>
          <w:p>
            <w:pPr>
              <w:snapToGrid w:val="0"/>
              <w:spacing w:line="240" w:lineRule="auto"/>
              <w:jc w:val="center"/>
              <w:rPr>
                <w:rFonts w:hAnsi="宋体"/>
                <w:kern w:val="0"/>
                <w:sz w:val="21"/>
                <w:szCs w:val="21"/>
              </w:rPr>
            </w:pPr>
            <w:r>
              <w:rPr>
                <w:rFonts w:hint="eastAsia" w:hAnsi="宋体"/>
                <w:kern w:val="0"/>
                <w:sz w:val="21"/>
                <w:szCs w:val="21"/>
              </w:rPr>
              <w:t>占标率（%）</w:t>
            </w:r>
          </w:p>
        </w:tc>
        <w:tc>
          <w:tcPr>
            <w:tcW w:w="1839" w:type="dxa"/>
            <w:vAlign w:val="center"/>
          </w:tcPr>
          <w:p>
            <w:pPr>
              <w:snapToGrid w:val="0"/>
              <w:spacing w:line="240" w:lineRule="auto"/>
              <w:jc w:val="center"/>
              <w:rPr>
                <w:rFonts w:hAnsi="宋体"/>
                <w:kern w:val="0"/>
                <w:sz w:val="21"/>
                <w:szCs w:val="21"/>
              </w:rPr>
            </w:pPr>
            <w:r>
              <w:rPr>
                <w:rFonts w:hint="eastAsia" w:hAnsi="宋体"/>
                <w:kern w:val="0"/>
                <w:sz w:val="21"/>
                <w:szCs w:val="21"/>
              </w:rPr>
              <w:t>预测浓度mg</w:t>
            </w:r>
            <w:r>
              <w:rPr>
                <w:rFonts w:hAnsi="宋体"/>
                <w:kern w:val="0"/>
                <w:sz w:val="21"/>
                <w:szCs w:val="21"/>
              </w:rPr>
              <w:t>/m</w:t>
            </w:r>
            <w:r>
              <w:rPr>
                <w:rFonts w:hAnsi="宋体"/>
                <w:kern w:val="0"/>
                <w:sz w:val="21"/>
                <w:szCs w:val="21"/>
                <w:vertAlign w:val="superscript"/>
              </w:rPr>
              <w:t>3</w:t>
            </w:r>
          </w:p>
        </w:tc>
        <w:tc>
          <w:tcPr>
            <w:tcW w:w="1563" w:type="dxa"/>
            <w:vAlign w:val="center"/>
          </w:tcPr>
          <w:p>
            <w:pPr>
              <w:snapToGrid w:val="0"/>
              <w:spacing w:line="240" w:lineRule="auto"/>
              <w:jc w:val="center"/>
              <w:rPr>
                <w:rFonts w:hAnsi="宋体"/>
                <w:kern w:val="0"/>
                <w:sz w:val="21"/>
                <w:szCs w:val="21"/>
              </w:rPr>
            </w:pPr>
            <w:r>
              <w:rPr>
                <w:rFonts w:hint="eastAsia" w:hAnsi="宋体"/>
                <w:kern w:val="0"/>
                <w:sz w:val="21"/>
                <w:szCs w:val="21"/>
              </w:rPr>
              <w:t>占标率（%）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2088" w:type="dxa"/>
            <w:tcBorders>
              <w:bottom w:val="single" w:color="auto" w:sz="6" w:space="0"/>
            </w:tcBorders>
            <w:vAlign w:val="center"/>
          </w:tcPr>
          <w:p>
            <w:pPr>
              <w:snapToGrid w:val="0"/>
              <w:spacing w:line="240" w:lineRule="auto"/>
              <w:jc w:val="center"/>
              <w:rPr>
                <w:rFonts w:hAnsi="宋体"/>
                <w:kern w:val="0"/>
                <w:sz w:val="21"/>
                <w:szCs w:val="21"/>
              </w:rPr>
            </w:pPr>
            <w:r>
              <w:rPr>
                <w:rFonts w:hAnsi="宋体"/>
                <w:kern w:val="0"/>
                <w:sz w:val="21"/>
                <w:szCs w:val="21"/>
              </w:rPr>
              <w:t>93</w:t>
            </w:r>
          </w:p>
        </w:tc>
        <w:tc>
          <w:tcPr>
            <w:tcW w:w="1865"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.017952</w:t>
            </w:r>
          </w:p>
        </w:tc>
        <w:tc>
          <w:tcPr>
            <w:tcW w:w="1376" w:type="dxa"/>
            <w:vAlign w:val="center"/>
          </w:tcPr>
          <w:p>
            <w:pPr>
              <w:snapToGrid w:val="0"/>
              <w:spacing w:line="240" w:lineRule="auto"/>
              <w:jc w:val="center"/>
              <w:rPr>
                <w:rFonts w:hAnsi="宋体"/>
                <w:kern w:val="0"/>
                <w:sz w:val="21"/>
                <w:szCs w:val="21"/>
              </w:rPr>
            </w:pPr>
            <w:r>
              <w:rPr>
                <w:rFonts w:hAnsi="宋体"/>
                <w:kern w:val="0"/>
                <w:sz w:val="21"/>
                <w:szCs w:val="21"/>
              </w:rPr>
              <w:t>8.98</w:t>
            </w:r>
          </w:p>
        </w:tc>
        <w:tc>
          <w:tcPr>
            <w:tcW w:w="183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.000129</w:t>
            </w:r>
          </w:p>
        </w:tc>
        <w:tc>
          <w:tcPr>
            <w:tcW w:w="1563" w:type="dxa"/>
            <w:vAlign w:val="center"/>
          </w:tcPr>
          <w:p>
            <w:pPr>
              <w:snapToGrid w:val="0"/>
              <w:spacing w:line="240" w:lineRule="auto"/>
              <w:jc w:val="center"/>
              <w:rPr>
                <w:rFonts w:hAnsi="宋体"/>
                <w:kern w:val="0"/>
                <w:sz w:val="21"/>
                <w:szCs w:val="21"/>
              </w:rPr>
            </w:pPr>
            <w:r>
              <w:rPr>
                <w:rFonts w:hAnsi="宋体"/>
                <w:kern w:val="0"/>
                <w:sz w:val="21"/>
                <w:szCs w:val="21"/>
              </w:rPr>
              <w:t>1.29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rFonts w:hAnsi="宋体"/>
                <w:kern w:val="0"/>
                <w:sz w:val="21"/>
                <w:szCs w:val="21"/>
              </w:rPr>
            </w:pPr>
            <w:r>
              <w:rPr>
                <w:rFonts w:hint="eastAsia"/>
                <w:kern w:val="0"/>
                <w:sz w:val="21"/>
                <w:szCs w:val="21"/>
              </w:rPr>
              <w:t>100</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17113</w:t>
            </w:r>
          </w:p>
        </w:tc>
        <w:tc>
          <w:tcPr>
            <w:tcW w:w="1376" w:type="dxa"/>
          </w:tcPr>
          <w:p>
            <w:pPr>
              <w:snapToGrid w:val="0"/>
              <w:spacing w:line="240" w:lineRule="auto"/>
              <w:jc w:val="center"/>
              <w:rPr>
                <w:rFonts w:hAnsi="宋体"/>
                <w:kern w:val="0"/>
                <w:sz w:val="21"/>
                <w:szCs w:val="21"/>
              </w:rPr>
            </w:pPr>
            <w:r>
              <w:rPr>
                <w:kern w:val="0"/>
                <w:sz w:val="21"/>
                <w:szCs w:val="21"/>
              </w:rPr>
              <w:t>8.56</w:t>
            </w:r>
          </w:p>
        </w:tc>
        <w:tc>
          <w:tcPr>
            <w:tcW w:w="1839"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.000123</w:t>
            </w:r>
          </w:p>
        </w:tc>
        <w:tc>
          <w:tcPr>
            <w:tcW w:w="1563" w:type="dxa"/>
          </w:tcPr>
          <w:p>
            <w:pPr>
              <w:snapToGrid w:val="0"/>
              <w:spacing w:line="240" w:lineRule="auto"/>
              <w:jc w:val="center"/>
              <w:rPr>
                <w:kern w:val="0"/>
                <w:sz w:val="21"/>
                <w:szCs w:val="21"/>
              </w:rPr>
            </w:pPr>
            <w:r>
              <w:rPr>
                <w:kern w:val="0"/>
                <w:sz w:val="21"/>
                <w:szCs w:val="21"/>
              </w:rPr>
              <w:t>1.23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rFonts w:hAnsi="宋体"/>
                <w:kern w:val="0"/>
                <w:sz w:val="21"/>
                <w:szCs w:val="21"/>
              </w:rPr>
            </w:pPr>
            <w:r>
              <w:rPr>
                <w:rFonts w:hint="eastAsia"/>
                <w:kern w:val="0"/>
                <w:sz w:val="21"/>
                <w:szCs w:val="21"/>
              </w:rPr>
              <w:t>125</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14427</w:t>
            </w:r>
          </w:p>
        </w:tc>
        <w:tc>
          <w:tcPr>
            <w:tcW w:w="1376" w:type="dxa"/>
          </w:tcPr>
          <w:p>
            <w:pPr>
              <w:snapToGrid w:val="0"/>
              <w:spacing w:line="240" w:lineRule="auto"/>
              <w:jc w:val="center"/>
              <w:rPr>
                <w:rFonts w:hAnsi="宋体"/>
                <w:kern w:val="0"/>
                <w:sz w:val="21"/>
                <w:szCs w:val="21"/>
              </w:rPr>
            </w:pPr>
            <w:r>
              <w:rPr>
                <w:kern w:val="0"/>
                <w:sz w:val="21"/>
                <w:szCs w:val="21"/>
              </w:rPr>
              <w:t>7.21</w:t>
            </w:r>
          </w:p>
        </w:tc>
        <w:tc>
          <w:tcPr>
            <w:tcW w:w="1839" w:type="dxa"/>
            <w:vAlign w:val="bottom"/>
          </w:tcPr>
          <w:p>
            <w:pPr>
              <w:snapToGrid w:val="0"/>
              <w:spacing w:line="240" w:lineRule="auto"/>
              <w:jc w:val="center"/>
              <w:rPr>
                <w:kern w:val="0"/>
                <w:sz w:val="21"/>
                <w:szCs w:val="21"/>
              </w:rPr>
            </w:pPr>
            <w:r>
              <w:rPr>
                <w:rFonts w:hint="eastAsia"/>
                <w:kern w:val="0"/>
                <w:sz w:val="21"/>
                <w:szCs w:val="21"/>
              </w:rPr>
              <w:t>0.0</w:t>
            </w:r>
            <w:r>
              <w:rPr>
                <w:kern w:val="0"/>
                <w:sz w:val="21"/>
                <w:szCs w:val="21"/>
              </w:rPr>
              <w:t>00104</w:t>
            </w:r>
          </w:p>
        </w:tc>
        <w:tc>
          <w:tcPr>
            <w:tcW w:w="1563" w:type="dxa"/>
          </w:tcPr>
          <w:p>
            <w:pPr>
              <w:snapToGrid w:val="0"/>
              <w:spacing w:line="240" w:lineRule="auto"/>
              <w:jc w:val="center"/>
              <w:rPr>
                <w:kern w:val="0"/>
                <w:sz w:val="21"/>
                <w:szCs w:val="21"/>
              </w:rPr>
            </w:pPr>
            <w:r>
              <w:rPr>
                <w:kern w:val="0"/>
                <w:sz w:val="21"/>
                <w:szCs w:val="21"/>
              </w:rPr>
              <w:t>1.04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rFonts w:hAnsi="宋体"/>
                <w:kern w:val="0"/>
                <w:sz w:val="21"/>
                <w:szCs w:val="21"/>
              </w:rPr>
            </w:pPr>
            <w:r>
              <w:rPr>
                <w:rFonts w:hint="eastAsia"/>
                <w:kern w:val="0"/>
                <w:sz w:val="21"/>
                <w:szCs w:val="21"/>
              </w:rPr>
              <w:t>150</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12233</w:t>
            </w:r>
          </w:p>
        </w:tc>
        <w:tc>
          <w:tcPr>
            <w:tcW w:w="1376" w:type="dxa"/>
          </w:tcPr>
          <w:p>
            <w:pPr>
              <w:snapToGrid w:val="0"/>
              <w:spacing w:line="240" w:lineRule="auto"/>
              <w:jc w:val="center"/>
              <w:rPr>
                <w:rFonts w:hAnsi="宋体"/>
                <w:kern w:val="0"/>
                <w:sz w:val="21"/>
                <w:szCs w:val="21"/>
              </w:rPr>
            </w:pPr>
            <w:r>
              <w:rPr>
                <w:kern w:val="0"/>
                <w:sz w:val="21"/>
                <w:szCs w:val="21"/>
              </w:rPr>
              <w:t>6.12</w:t>
            </w:r>
          </w:p>
        </w:tc>
        <w:tc>
          <w:tcPr>
            <w:tcW w:w="1839"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.000088</w:t>
            </w:r>
          </w:p>
        </w:tc>
        <w:tc>
          <w:tcPr>
            <w:tcW w:w="1563" w:type="dxa"/>
          </w:tcPr>
          <w:p>
            <w:pPr>
              <w:snapToGrid w:val="0"/>
              <w:spacing w:line="240" w:lineRule="auto"/>
              <w:jc w:val="center"/>
              <w:rPr>
                <w:kern w:val="0"/>
                <w:sz w:val="21"/>
                <w:szCs w:val="21"/>
              </w:rPr>
            </w:pPr>
            <w:r>
              <w:rPr>
                <w:kern w:val="0"/>
                <w:sz w:val="21"/>
                <w:szCs w:val="21"/>
              </w:rPr>
              <w:t>0.88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2088" w:type="dxa"/>
            <w:vAlign w:val="bottom"/>
          </w:tcPr>
          <w:p>
            <w:pPr>
              <w:snapToGrid w:val="0"/>
              <w:spacing w:line="240" w:lineRule="auto"/>
              <w:jc w:val="center"/>
              <w:rPr>
                <w:rFonts w:hAnsi="宋体"/>
                <w:kern w:val="0"/>
                <w:sz w:val="21"/>
                <w:szCs w:val="21"/>
              </w:rPr>
            </w:pPr>
            <w:r>
              <w:rPr>
                <w:rFonts w:hint="eastAsia"/>
                <w:kern w:val="0"/>
                <w:sz w:val="21"/>
                <w:szCs w:val="21"/>
              </w:rPr>
              <w:t>175</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10468</w:t>
            </w:r>
          </w:p>
        </w:tc>
        <w:tc>
          <w:tcPr>
            <w:tcW w:w="1376" w:type="dxa"/>
          </w:tcPr>
          <w:p>
            <w:pPr>
              <w:snapToGrid w:val="0"/>
              <w:spacing w:line="240" w:lineRule="auto"/>
              <w:jc w:val="center"/>
              <w:rPr>
                <w:rFonts w:hAnsi="宋体"/>
                <w:kern w:val="0"/>
                <w:sz w:val="21"/>
                <w:szCs w:val="21"/>
              </w:rPr>
            </w:pPr>
            <w:r>
              <w:rPr>
                <w:kern w:val="0"/>
                <w:sz w:val="21"/>
                <w:szCs w:val="21"/>
              </w:rPr>
              <w:t>5.23</w:t>
            </w:r>
          </w:p>
        </w:tc>
        <w:tc>
          <w:tcPr>
            <w:tcW w:w="1839"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.000075</w:t>
            </w:r>
          </w:p>
        </w:tc>
        <w:tc>
          <w:tcPr>
            <w:tcW w:w="1563" w:type="dxa"/>
          </w:tcPr>
          <w:p>
            <w:pPr>
              <w:snapToGrid w:val="0"/>
              <w:spacing w:line="240" w:lineRule="auto"/>
              <w:jc w:val="center"/>
              <w:rPr>
                <w:kern w:val="0"/>
                <w:sz w:val="21"/>
                <w:szCs w:val="21"/>
              </w:rPr>
            </w:pPr>
            <w:r>
              <w:rPr>
                <w:kern w:val="0"/>
                <w:sz w:val="21"/>
                <w:szCs w:val="21"/>
              </w:rPr>
              <w:t>0.75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rFonts w:hAnsi="宋体"/>
                <w:kern w:val="0"/>
                <w:sz w:val="21"/>
                <w:szCs w:val="21"/>
              </w:rPr>
            </w:pPr>
            <w:r>
              <w:rPr>
                <w:rFonts w:hint="eastAsia"/>
                <w:kern w:val="0"/>
                <w:sz w:val="21"/>
                <w:szCs w:val="21"/>
              </w:rPr>
              <w:t>200</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9049</w:t>
            </w:r>
          </w:p>
        </w:tc>
        <w:tc>
          <w:tcPr>
            <w:tcW w:w="1376" w:type="dxa"/>
          </w:tcPr>
          <w:p>
            <w:pPr>
              <w:snapToGrid w:val="0"/>
              <w:spacing w:line="240" w:lineRule="auto"/>
              <w:jc w:val="center"/>
              <w:rPr>
                <w:rFonts w:hAnsi="宋体"/>
                <w:kern w:val="0"/>
                <w:sz w:val="21"/>
                <w:szCs w:val="21"/>
              </w:rPr>
            </w:pPr>
            <w:r>
              <w:rPr>
                <w:kern w:val="0"/>
                <w:sz w:val="21"/>
                <w:szCs w:val="21"/>
              </w:rPr>
              <w:t>4.52</w:t>
            </w:r>
          </w:p>
        </w:tc>
        <w:tc>
          <w:tcPr>
            <w:tcW w:w="1839"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.000065</w:t>
            </w:r>
          </w:p>
        </w:tc>
        <w:tc>
          <w:tcPr>
            <w:tcW w:w="1563" w:type="dxa"/>
          </w:tcPr>
          <w:p>
            <w:pPr>
              <w:snapToGrid w:val="0"/>
              <w:spacing w:line="240" w:lineRule="auto"/>
              <w:jc w:val="center"/>
              <w:rPr>
                <w:kern w:val="0"/>
                <w:sz w:val="21"/>
                <w:szCs w:val="21"/>
              </w:rPr>
            </w:pPr>
            <w:r>
              <w:rPr>
                <w:kern w:val="0"/>
                <w:sz w:val="21"/>
                <w:szCs w:val="21"/>
              </w:rPr>
              <w:t>0.65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kern w:val="0"/>
                <w:sz w:val="21"/>
                <w:szCs w:val="21"/>
              </w:rPr>
            </w:pPr>
            <w:r>
              <w:rPr>
                <w:rFonts w:hint="eastAsia"/>
                <w:kern w:val="0"/>
                <w:sz w:val="21"/>
                <w:szCs w:val="21"/>
              </w:rPr>
              <w:t>225</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79</w:t>
            </w:r>
          </w:p>
        </w:tc>
        <w:tc>
          <w:tcPr>
            <w:tcW w:w="1376" w:type="dxa"/>
          </w:tcPr>
          <w:p>
            <w:pPr>
              <w:snapToGrid w:val="0"/>
              <w:spacing w:line="240" w:lineRule="auto"/>
              <w:jc w:val="center"/>
              <w:rPr>
                <w:rFonts w:hAnsi="宋体"/>
                <w:kern w:val="0"/>
                <w:sz w:val="21"/>
                <w:szCs w:val="21"/>
              </w:rPr>
            </w:pPr>
            <w:r>
              <w:rPr>
                <w:kern w:val="0"/>
                <w:sz w:val="21"/>
                <w:szCs w:val="21"/>
              </w:rPr>
              <w:t>3.95</w:t>
            </w:r>
          </w:p>
        </w:tc>
        <w:tc>
          <w:tcPr>
            <w:tcW w:w="1839" w:type="dxa"/>
            <w:vAlign w:val="bottom"/>
          </w:tcPr>
          <w:p>
            <w:pPr>
              <w:snapToGrid w:val="0"/>
              <w:spacing w:line="240" w:lineRule="auto"/>
              <w:jc w:val="center"/>
              <w:rPr>
                <w:kern w:val="0"/>
                <w:sz w:val="21"/>
                <w:szCs w:val="21"/>
              </w:rPr>
            </w:pPr>
            <w:r>
              <w:rPr>
                <w:rFonts w:hint="eastAsia"/>
                <w:kern w:val="0"/>
                <w:sz w:val="21"/>
                <w:szCs w:val="21"/>
              </w:rPr>
              <w:t>0.0</w:t>
            </w:r>
            <w:r>
              <w:rPr>
                <w:kern w:val="0"/>
                <w:sz w:val="21"/>
                <w:szCs w:val="21"/>
              </w:rPr>
              <w:t>00057</w:t>
            </w:r>
          </w:p>
        </w:tc>
        <w:tc>
          <w:tcPr>
            <w:tcW w:w="1563" w:type="dxa"/>
          </w:tcPr>
          <w:p>
            <w:pPr>
              <w:snapToGrid w:val="0"/>
              <w:spacing w:line="240" w:lineRule="auto"/>
              <w:jc w:val="center"/>
              <w:rPr>
                <w:kern w:val="0"/>
                <w:sz w:val="21"/>
                <w:szCs w:val="21"/>
              </w:rPr>
            </w:pPr>
            <w:r>
              <w:rPr>
                <w:kern w:val="0"/>
                <w:sz w:val="21"/>
                <w:szCs w:val="21"/>
              </w:rPr>
              <w:t>0.57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kern w:val="0"/>
                <w:sz w:val="21"/>
                <w:szCs w:val="21"/>
              </w:rPr>
            </w:pPr>
            <w:r>
              <w:rPr>
                <w:rFonts w:hint="eastAsia"/>
                <w:kern w:val="0"/>
                <w:sz w:val="21"/>
                <w:szCs w:val="21"/>
              </w:rPr>
              <w:t>250</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6962</w:t>
            </w:r>
          </w:p>
        </w:tc>
        <w:tc>
          <w:tcPr>
            <w:tcW w:w="1376" w:type="dxa"/>
          </w:tcPr>
          <w:p>
            <w:pPr>
              <w:snapToGrid w:val="0"/>
              <w:spacing w:line="240" w:lineRule="auto"/>
              <w:jc w:val="center"/>
              <w:rPr>
                <w:rFonts w:hAnsi="宋体"/>
                <w:kern w:val="0"/>
                <w:sz w:val="21"/>
                <w:szCs w:val="21"/>
              </w:rPr>
            </w:pPr>
            <w:r>
              <w:rPr>
                <w:kern w:val="0"/>
                <w:sz w:val="21"/>
                <w:szCs w:val="21"/>
              </w:rPr>
              <w:t>3.48</w:t>
            </w:r>
          </w:p>
        </w:tc>
        <w:tc>
          <w:tcPr>
            <w:tcW w:w="1839"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.00005</w:t>
            </w:r>
          </w:p>
        </w:tc>
        <w:tc>
          <w:tcPr>
            <w:tcW w:w="1563" w:type="dxa"/>
          </w:tcPr>
          <w:p>
            <w:pPr>
              <w:snapToGrid w:val="0"/>
              <w:spacing w:line="240" w:lineRule="auto"/>
              <w:jc w:val="center"/>
              <w:rPr>
                <w:kern w:val="0"/>
                <w:sz w:val="21"/>
                <w:szCs w:val="21"/>
              </w:rPr>
            </w:pPr>
            <w:r>
              <w:rPr>
                <w:kern w:val="0"/>
                <w:sz w:val="21"/>
                <w:szCs w:val="21"/>
              </w:rPr>
              <w:t>0.50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kern w:val="0"/>
                <w:sz w:val="21"/>
                <w:szCs w:val="21"/>
              </w:rPr>
            </w:pPr>
            <w:r>
              <w:rPr>
                <w:rFonts w:hint="eastAsia"/>
                <w:kern w:val="0"/>
                <w:sz w:val="21"/>
                <w:szCs w:val="21"/>
              </w:rPr>
              <w:t>275</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6188</w:t>
            </w:r>
          </w:p>
        </w:tc>
        <w:tc>
          <w:tcPr>
            <w:tcW w:w="1376" w:type="dxa"/>
          </w:tcPr>
          <w:p>
            <w:pPr>
              <w:snapToGrid w:val="0"/>
              <w:spacing w:line="240" w:lineRule="auto"/>
              <w:jc w:val="center"/>
              <w:rPr>
                <w:rFonts w:hAnsi="宋体"/>
                <w:kern w:val="0"/>
                <w:sz w:val="21"/>
                <w:szCs w:val="21"/>
              </w:rPr>
            </w:pPr>
            <w:r>
              <w:rPr>
                <w:kern w:val="0"/>
                <w:sz w:val="21"/>
                <w:szCs w:val="21"/>
              </w:rPr>
              <w:t>3.09</w:t>
            </w:r>
          </w:p>
        </w:tc>
        <w:tc>
          <w:tcPr>
            <w:tcW w:w="1839"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.000045</w:t>
            </w:r>
          </w:p>
        </w:tc>
        <w:tc>
          <w:tcPr>
            <w:tcW w:w="1563" w:type="dxa"/>
          </w:tcPr>
          <w:p>
            <w:pPr>
              <w:snapToGrid w:val="0"/>
              <w:spacing w:line="240" w:lineRule="auto"/>
              <w:jc w:val="center"/>
              <w:rPr>
                <w:kern w:val="0"/>
                <w:sz w:val="21"/>
                <w:szCs w:val="21"/>
              </w:rPr>
            </w:pPr>
            <w:r>
              <w:rPr>
                <w:kern w:val="0"/>
                <w:sz w:val="21"/>
                <w:szCs w:val="21"/>
              </w:rPr>
              <w:t>0.45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bottom"/>
          </w:tcPr>
          <w:p>
            <w:pPr>
              <w:snapToGrid w:val="0"/>
              <w:spacing w:line="240" w:lineRule="auto"/>
              <w:jc w:val="center"/>
              <w:rPr>
                <w:kern w:val="0"/>
                <w:sz w:val="21"/>
                <w:szCs w:val="21"/>
              </w:rPr>
            </w:pPr>
            <w:r>
              <w:rPr>
                <w:rFonts w:hint="eastAsia"/>
                <w:kern w:val="0"/>
                <w:sz w:val="21"/>
                <w:szCs w:val="21"/>
              </w:rPr>
              <w:t>3</w:t>
            </w:r>
            <w:r>
              <w:rPr>
                <w:kern w:val="0"/>
                <w:sz w:val="21"/>
                <w:szCs w:val="21"/>
              </w:rPr>
              <w:t>00</w:t>
            </w:r>
          </w:p>
        </w:tc>
        <w:tc>
          <w:tcPr>
            <w:tcW w:w="1865"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5543</w:t>
            </w:r>
          </w:p>
        </w:tc>
        <w:tc>
          <w:tcPr>
            <w:tcW w:w="1376" w:type="dxa"/>
          </w:tcPr>
          <w:p>
            <w:pPr>
              <w:snapToGrid w:val="0"/>
              <w:spacing w:line="240" w:lineRule="auto"/>
              <w:jc w:val="center"/>
              <w:rPr>
                <w:rFonts w:hAnsi="宋体"/>
                <w:kern w:val="0"/>
                <w:sz w:val="21"/>
                <w:szCs w:val="21"/>
              </w:rPr>
            </w:pPr>
            <w:r>
              <w:rPr>
                <w:kern w:val="0"/>
                <w:sz w:val="21"/>
                <w:szCs w:val="21"/>
              </w:rPr>
              <w:t>2.77</w:t>
            </w:r>
          </w:p>
        </w:tc>
        <w:tc>
          <w:tcPr>
            <w:tcW w:w="1839" w:type="dxa"/>
            <w:vAlign w:val="bottom"/>
          </w:tcPr>
          <w:p>
            <w:pPr>
              <w:snapToGrid w:val="0"/>
              <w:spacing w:line="240" w:lineRule="auto"/>
              <w:jc w:val="center"/>
              <w:rPr>
                <w:kern w:val="0"/>
                <w:sz w:val="21"/>
                <w:szCs w:val="21"/>
              </w:rPr>
            </w:pPr>
            <w:r>
              <w:rPr>
                <w:rFonts w:hint="eastAsia"/>
                <w:kern w:val="0"/>
                <w:sz w:val="21"/>
                <w:szCs w:val="21"/>
              </w:rPr>
              <w:t>0.0</w:t>
            </w:r>
            <w:r>
              <w:rPr>
                <w:kern w:val="0"/>
                <w:sz w:val="21"/>
                <w:szCs w:val="21"/>
              </w:rPr>
              <w:t>0004</w:t>
            </w:r>
          </w:p>
        </w:tc>
        <w:tc>
          <w:tcPr>
            <w:tcW w:w="1563" w:type="dxa"/>
          </w:tcPr>
          <w:p>
            <w:pPr>
              <w:snapToGrid w:val="0"/>
              <w:spacing w:line="240" w:lineRule="auto"/>
              <w:jc w:val="center"/>
              <w:rPr>
                <w:kern w:val="0"/>
                <w:sz w:val="21"/>
                <w:szCs w:val="21"/>
              </w:rPr>
            </w:pPr>
            <w:r>
              <w:rPr>
                <w:kern w:val="0"/>
                <w:sz w:val="21"/>
                <w:szCs w:val="21"/>
              </w:rPr>
              <w:t>0.40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center"/>
          </w:tcPr>
          <w:p>
            <w:pPr>
              <w:snapToGrid w:val="0"/>
              <w:spacing w:line="240" w:lineRule="auto"/>
              <w:jc w:val="center"/>
              <w:rPr>
                <w:rFonts w:hAnsi="宋体"/>
                <w:kern w:val="0"/>
                <w:sz w:val="21"/>
                <w:szCs w:val="21"/>
              </w:rPr>
            </w:pPr>
            <w:r>
              <w:rPr>
                <w:rFonts w:hint="eastAsia" w:hAnsi="宋体"/>
                <w:kern w:val="0"/>
                <w:sz w:val="21"/>
                <w:szCs w:val="21"/>
              </w:rPr>
              <w:t>标准值</w:t>
            </w:r>
          </w:p>
        </w:tc>
        <w:tc>
          <w:tcPr>
            <w:tcW w:w="3241"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c>
          <w:tcPr>
            <w:tcW w:w="3402"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.01mg/</w:t>
            </w:r>
            <w:r>
              <w:rPr>
                <w:rFonts w:hint="eastAsia"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center"/>
          </w:tcPr>
          <w:p>
            <w:pPr>
              <w:snapToGrid w:val="0"/>
              <w:spacing w:line="240" w:lineRule="auto"/>
              <w:jc w:val="center"/>
              <w:rPr>
                <w:rFonts w:hAnsi="宋体"/>
                <w:kern w:val="0"/>
                <w:sz w:val="21"/>
                <w:szCs w:val="21"/>
              </w:rPr>
            </w:pPr>
            <w:r>
              <w:rPr>
                <w:rFonts w:hAnsi="宋体"/>
                <w:kern w:val="0"/>
                <w:sz w:val="21"/>
                <w:szCs w:val="21"/>
              </w:rPr>
              <w:t>Pi</w:t>
            </w:r>
            <w:r>
              <w:rPr>
                <w:rFonts w:hint="eastAsia" w:hAnsi="宋体"/>
                <w:kern w:val="0"/>
                <w:sz w:val="21"/>
                <w:szCs w:val="21"/>
              </w:rPr>
              <w:t>距离</w:t>
            </w:r>
          </w:p>
        </w:tc>
        <w:tc>
          <w:tcPr>
            <w:tcW w:w="3241" w:type="dxa"/>
            <w:gridSpan w:val="2"/>
            <w:vAlign w:val="center"/>
          </w:tcPr>
          <w:p>
            <w:pPr>
              <w:snapToGrid w:val="0"/>
              <w:spacing w:line="240" w:lineRule="auto"/>
              <w:jc w:val="center"/>
              <w:rPr>
                <w:rFonts w:hAnsi="宋体"/>
                <w:kern w:val="0"/>
                <w:sz w:val="21"/>
                <w:szCs w:val="21"/>
              </w:rPr>
            </w:pPr>
            <w:r>
              <w:rPr>
                <w:rFonts w:hAnsi="宋体"/>
                <w:kern w:val="0"/>
                <w:sz w:val="21"/>
                <w:szCs w:val="21"/>
              </w:rPr>
              <w:t>93m</w:t>
            </w:r>
          </w:p>
        </w:tc>
        <w:tc>
          <w:tcPr>
            <w:tcW w:w="3402" w:type="dxa"/>
            <w:gridSpan w:val="2"/>
            <w:vAlign w:val="center"/>
          </w:tcPr>
          <w:p>
            <w:pPr>
              <w:snapToGrid w:val="0"/>
              <w:spacing w:line="240" w:lineRule="auto"/>
              <w:jc w:val="center"/>
              <w:rPr>
                <w:rFonts w:hAnsi="宋体"/>
                <w:kern w:val="0"/>
                <w:sz w:val="21"/>
                <w:szCs w:val="21"/>
              </w:rPr>
            </w:pPr>
            <w:r>
              <w:rPr>
                <w:rFonts w:hAnsi="宋体"/>
                <w:kern w:val="0"/>
                <w:sz w:val="21"/>
                <w:szCs w:val="21"/>
              </w:rPr>
              <w:t>93</w:t>
            </w:r>
            <w:r>
              <w:rPr>
                <w:rFonts w:hint="eastAsia" w:hAnsi="宋体"/>
                <w:kern w:val="0"/>
                <w:sz w:val="21"/>
                <w:szCs w:val="21"/>
              </w:rPr>
              <w:t>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center"/>
          </w:tcPr>
          <w:p>
            <w:pPr>
              <w:snapToGrid w:val="0"/>
              <w:spacing w:line="240" w:lineRule="auto"/>
              <w:jc w:val="center"/>
              <w:rPr>
                <w:rFonts w:hAnsi="宋体"/>
                <w:kern w:val="0"/>
                <w:sz w:val="21"/>
                <w:szCs w:val="21"/>
              </w:rPr>
            </w:pPr>
            <w:r>
              <w:rPr>
                <w:rFonts w:hint="eastAsia" w:hAnsi="宋体"/>
                <w:kern w:val="0"/>
                <w:sz w:val="21"/>
                <w:szCs w:val="21"/>
              </w:rPr>
              <w:t>下风向最大浓度</w:t>
            </w:r>
          </w:p>
        </w:tc>
        <w:tc>
          <w:tcPr>
            <w:tcW w:w="3241" w:type="dxa"/>
            <w:gridSpan w:val="2"/>
            <w:vAlign w:val="center"/>
          </w:tcPr>
          <w:p>
            <w:pPr>
              <w:snapToGrid w:val="0"/>
              <w:spacing w:line="240" w:lineRule="auto"/>
              <w:jc w:val="center"/>
              <w:rPr>
                <w:rFonts w:hAnsi="宋体"/>
                <w:kern w:val="0"/>
                <w:sz w:val="21"/>
                <w:szCs w:val="21"/>
              </w:rPr>
            </w:pPr>
            <w:r>
              <w:rPr>
                <w:rFonts w:hAnsi="宋体"/>
                <w:kern w:val="0"/>
                <w:sz w:val="21"/>
                <w:szCs w:val="21"/>
              </w:rPr>
              <w:t>0.017952mg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c>
          <w:tcPr>
            <w:tcW w:w="3402"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.000129 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088" w:type="dxa"/>
            <w:vAlign w:val="center"/>
          </w:tcPr>
          <w:p>
            <w:pPr>
              <w:snapToGrid w:val="0"/>
              <w:spacing w:line="240" w:lineRule="auto"/>
              <w:jc w:val="center"/>
              <w:rPr>
                <w:rFonts w:hAnsi="宋体"/>
                <w:kern w:val="0"/>
                <w:sz w:val="21"/>
                <w:szCs w:val="21"/>
              </w:rPr>
            </w:pPr>
            <w:r>
              <w:rPr>
                <w:rFonts w:hint="eastAsia" w:hAnsi="宋体"/>
                <w:kern w:val="0"/>
                <w:sz w:val="21"/>
                <w:szCs w:val="21"/>
              </w:rPr>
              <w:t>最大浓度占标率（%）</w:t>
            </w:r>
          </w:p>
        </w:tc>
        <w:tc>
          <w:tcPr>
            <w:tcW w:w="3241" w:type="dxa"/>
            <w:gridSpan w:val="2"/>
            <w:vAlign w:val="center"/>
          </w:tcPr>
          <w:p>
            <w:pPr>
              <w:snapToGrid w:val="0"/>
              <w:spacing w:line="240" w:lineRule="auto"/>
              <w:jc w:val="center"/>
              <w:rPr>
                <w:rFonts w:hAnsi="宋体"/>
                <w:kern w:val="0"/>
                <w:sz w:val="21"/>
                <w:szCs w:val="21"/>
              </w:rPr>
            </w:pPr>
            <w:r>
              <w:rPr>
                <w:rFonts w:hAnsi="宋体"/>
                <w:kern w:val="0"/>
                <w:sz w:val="21"/>
                <w:szCs w:val="21"/>
              </w:rPr>
              <w:t>8.98`</w:t>
            </w:r>
          </w:p>
        </w:tc>
        <w:tc>
          <w:tcPr>
            <w:tcW w:w="3402" w:type="dxa"/>
            <w:gridSpan w:val="2"/>
            <w:vAlign w:val="center"/>
          </w:tcPr>
          <w:p>
            <w:pPr>
              <w:snapToGrid w:val="0"/>
              <w:spacing w:line="240" w:lineRule="auto"/>
              <w:jc w:val="center"/>
              <w:rPr>
                <w:rFonts w:hAnsi="宋体"/>
                <w:kern w:val="0"/>
                <w:sz w:val="21"/>
                <w:szCs w:val="21"/>
              </w:rPr>
            </w:pPr>
            <w:r>
              <w:rPr>
                <w:rFonts w:hAnsi="宋体"/>
                <w:kern w:val="0"/>
                <w:sz w:val="21"/>
                <w:szCs w:val="21"/>
              </w:rPr>
              <w:t>1.29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2088" w:type="dxa"/>
            <w:vAlign w:val="center"/>
          </w:tcPr>
          <w:p>
            <w:pPr>
              <w:snapToGrid w:val="0"/>
              <w:spacing w:line="240" w:lineRule="auto"/>
              <w:jc w:val="center"/>
              <w:rPr>
                <w:rFonts w:hAnsi="宋体"/>
                <w:kern w:val="0"/>
                <w:sz w:val="21"/>
                <w:szCs w:val="21"/>
              </w:rPr>
            </w:pPr>
            <w:r>
              <w:rPr>
                <w:rFonts w:hint="eastAsia" w:hAnsi="宋体"/>
                <w:kern w:val="0"/>
                <w:sz w:val="21"/>
                <w:szCs w:val="21"/>
              </w:rPr>
              <w:t>评价等级</w:t>
            </w:r>
          </w:p>
        </w:tc>
        <w:tc>
          <w:tcPr>
            <w:tcW w:w="3241"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二级</w:t>
            </w:r>
          </w:p>
        </w:tc>
        <w:tc>
          <w:tcPr>
            <w:tcW w:w="3402"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二级</w:t>
            </w:r>
          </w:p>
        </w:tc>
      </w:tr>
    </w:tbl>
    <w:p>
      <w:pPr>
        <w:pStyle w:val="2"/>
        <w:ind w:firstLine="480"/>
        <w:rPr>
          <w:rFonts w:hint="default"/>
          <w:color w:val="auto"/>
        </w:rPr>
      </w:pPr>
    </w:p>
    <w:p>
      <w:pPr>
        <w:snapToGrid w:val="0"/>
        <w:spacing w:line="240" w:lineRule="auto"/>
        <w:jc w:val="center"/>
        <w:rPr>
          <w:rFonts w:eastAsia="黑体"/>
        </w:rPr>
      </w:pPr>
      <w:r>
        <w:rPr>
          <w:rFonts w:hint="eastAsia" w:eastAsia="黑体"/>
        </w:rPr>
        <w:t>表</w:t>
      </w:r>
      <w:r>
        <w:rPr>
          <w:rFonts w:eastAsia="黑体"/>
        </w:rPr>
        <w:t>7</w:t>
      </w:r>
      <w:r>
        <w:rPr>
          <w:rFonts w:hint="eastAsia" w:eastAsia="黑体"/>
        </w:rPr>
        <w:t>.</w:t>
      </w:r>
      <w:r>
        <w:rPr>
          <w:rFonts w:eastAsia="黑体"/>
        </w:rPr>
        <w:t>2</w:t>
      </w:r>
      <w:r>
        <w:rPr>
          <w:rFonts w:hint="eastAsia" w:eastAsia="黑体"/>
        </w:rPr>
        <w:t>-</w:t>
      </w:r>
      <w:r>
        <w:rPr>
          <w:rFonts w:eastAsia="黑体"/>
        </w:rPr>
        <w:t xml:space="preserve">6  </w:t>
      </w:r>
      <w:r>
        <w:rPr>
          <w:rFonts w:hint="eastAsia" w:eastAsia="黑体"/>
        </w:rPr>
        <w:t>本项目分娩舍废气主要污染物的等标排放量和污染负荷评价表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40"/>
        <w:gridCol w:w="1911"/>
        <w:gridCol w:w="1410"/>
        <w:gridCol w:w="1885"/>
        <w:gridCol w:w="160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1231"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距离中心下风向距离D（m）</w:t>
            </w:r>
          </w:p>
        </w:tc>
        <w:tc>
          <w:tcPr>
            <w:tcW w:w="3915" w:type="dxa"/>
            <w:gridSpan w:val="4"/>
            <w:vAlign w:val="center"/>
          </w:tcPr>
          <w:p>
            <w:pPr>
              <w:snapToGrid w:val="0"/>
              <w:spacing w:line="240" w:lineRule="auto"/>
              <w:jc w:val="center"/>
              <w:rPr>
                <w:rFonts w:hAnsi="宋体"/>
                <w:kern w:val="0"/>
                <w:sz w:val="21"/>
                <w:szCs w:val="21"/>
              </w:rPr>
            </w:pPr>
            <w:r>
              <w:rPr>
                <w:rFonts w:hint="eastAsia" w:hAnsi="宋体"/>
                <w:kern w:val="0"/>
                <w:sz w:val="21"/>
                <w:szCs w:val="21"/>
              </w:rPr>
              <w:t>3#车间（妊娠舍）</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68" w:hRule="atLeast"/>
          <w:jc w:val="center"/>
        </w:trPr>
        <w:tc>
          <w:tcPr>
            <w:tcW w:w="1231" w:type="dxa"/>
            <w:vMerge w:val="continue"/>
            <w:vAlign w:val="center"/>
          </w:tcPr>
          <w:p>
            <w:pPr>
              <w:snapToGrid w:val="0"/>
              <w:spacing w:line="240" w:lineRule="auto"/>
              <w:jc w:val="center"/>
              <w:rPr>
                <w:rFonts w:hAnsi="宋体"/>
                <w:kern w:val="0"/>
                <w:sz w:val="21"/>
                <w:szCs w:val="21"/>
              </w:rPr>
            </w:pPr>
          </w:p>
        </w:tc>
        <w:tc>
          <w:tcPr>
            <w:tcW w:w="1910"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2005"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H</w:t>
            </w:r>
            <w:r>
              <w:rPr>
                <w:rFonts w:hAnsi="宋体"/>
                <w:kern w:val="0"/>
                <w:sz w:val="21"/>
                <w:szCs w:val="21"/>
                <w:vertAlign w:val="subscript"/>
              </w:rPr>
              <w:t>2</w:t>
            </w:r>
            <w:r>
              <w:rPr>
                <w:rFonts w:hAnsi="宋体"/>
                <w:kern w:val="0"/>
                <w:sz w:val="21"/>
                <w:szCs w:val="21"/>
              </w:rPr>
              <w:t>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1231" w:type="dxa"/>
            <w:vMerge w:val="continue"/>
            <w:tcBorders>
              <w:bottom w:val="single" w:color="auto" w:sz="6" w:space="0"/>
            </w:tcBorders>
            <w:vAlign w:val="center"/>
          </w:tcPr>
          <w:p>
            <w:pPr>
              <w:snapToGrid w:val="0"/>
              <w:spacing w:line="240" w:lineRule="auto"/>
              <w:jc w:val="center"/>
              <w:rPr>
                <w:rFonts w:hAnsi="宋体"/>
                <w:kern w:val="0"/>
                <w:sz w:val="21"/>
                <w:szCs w:val="21"/>
              </w:rPr>
            </w:pPr>
          </w:p>
        </w:tc>
        <w:tc>
          <w:tcPr>
            <w:tcW w:w="1099" w:type="dxa"/>
            <w:vAlign w:val="center"/>
          </w:tcPr>
          <w:p>
            <w:pPr>
              <w:snapToGrid w:val="0"/>
              <w:spacing w:line="240" w:lineRule="auto"/>
              <w:jc w:val="center"/>
              <w:rPr>
                <w:rFonts w:hAnsi="宋体"/>
                <w:kern w:val="0"/>
                <w:sz w:val="21"/>
                <w:szCs w:val="21"/>
              </w:rPr>
            </w:pPr>
            <w:r>
              <w:rPr>
                <w:rFonts w:hint="eastAsia" w:hAnsi="宋体"/>
                <w:kern w:val="0"/>
                <w:sz w:val="21"/>
                <w:szCs w:val="21"/>
              </w:rPr>
              <w:t>预测浓度mg</w:t>
            </w:r>
            <w:r>
              <w:rPr>
                <w:rFonts w:hAnsi="宋体"/>
                <w:kern w:val="0"/>
                <w:sz w:val="21"/>
                <w:szCs w:val="21"/>
              </w:rPr>
              <w:t>/m</w:t>
            </w:r>
            <w:r>
              <w:rPr>
                <w:rFonts w:hAnsi="宋体"/>
                <w:kern w:val="0"/>
                <w:sz w:val="21"/>
                <w:szCs w:val="21"/>
                <w:vertAlign w:val="superscript"/>
              </w:rPr>
              <w:t>3</w:t>
            </w:r>
          </w:p>
        </w:tc>
        <w:tc>
          <w:tcPr>
            <w:tcW w:w="811" w:type="dxa"/>
            <w:vAlign w:val="center"/>
          </w:tcPr>
          <w:p>
            <w:pPr>
              <w:snapToGrid w:val="0"/>
              <w:spacing w:line="240" w:lineRule="auto"/>
              <w:jc w:val="center"/>
              <w:rPr>
                <w:rFonts w:hAnsi="宋体"/>
                <w:kern w:val="0"/>
                <w:sz w:val="21"/>
                <w:szCs w:val="21"/>
              </w:rPr>
            </w:pPr>
            <w:r>
              <w:rPr>
                <w:rFonts w:hint="eastAsia" w:hAnsi="宋体"/>
                <w:kern w:val="0"/>
                <w:sz w:val="21"/>
                <w:szCs w:val="21"/>
              </w:rPr>
              <w:t>占标率（%）</w:t>
            </w:r>
          </w:p>
        </w:tc>
        <w:tc>
          <w:tcPr>
            <w:tcW w:w="1084" w:type="dxa"/>
            <w:vAlign w:val="center"/>
          </w:tcPr>
          <w:p>
            <w:pPr>
              <w:snapToGrid w:val="0"/>
              <w:spacing w:line="240" w:lineRule="auto"/>
              <w:jc w:val="center"/>
              <w:rPr>
                <w:rFonts w:hAnsi="宋体"/>
                <w:kern w:val="0"/>
                <w:sz w:val="21"/>
                <w:szCs w:val="21"/>
              </w:rPr>
            </w:pPr>
            <w:r>
              <w:rPr>
                <w:rFonts w:hint="eastAsia" w:hAnsi="宋体"/>
                <w:kern w:val="0"/>
                <w:sz w:val="21"/>
                <w:szCs w:val="21"/>
              </w:rPr>
              <w:t>预测浓度mg</w:t>
            </w:r>
            <w:r>
              <w:rPr>
                <w:rFonts w:hAnsi="宋体"/>
                <w:kern w:val="0"/>
                <w:sz w:val="21"/>
                <w:szCs w:val="21"/>
              </w:rPr>
              <w:t>/m</w:t>
            </w:r>
            <w:r>
              <w:rPr>
                <w:rFonts w:hAnsi="宋体"/>
                <w:kern w:val="0"/>
                <w:sz w:val="21"/>
                <w:szCs w:val="21"/>
                <w:vertAlign w:val="superscript"/>
              </w:rPr>
              <w:t>3</w:t>
            </w:r>
          </w:p>
        </w:tc>
        <w:tc>
          <w:tcPr>
            <w:tcW w:w="921" w:type="dxa"/>
            <w:vAlign w:val="center"/>
          </w:tcPr>
          <w:p>
            <w:pPr>
              <w:snapToGrid w:val="0"/>
              <w:spacing w:line="240" w:lineRule="auto"/>
              <w:jc w:val="center"/>
              <w:rPr>
                <w:rFonts w:hAnsi="宋体"/>
                <w:kern w:val="0"/>
                <w:sz w:val="21"/>
                <w:szCs w:val="21"/>
              </w:rPr>
            </w:pPr>
            <w:r>
              <w:rPr>
                <w:rFonts w:hint="eastAsia" w:hAnsi="宋体"/>
                <w:kern w:val="0"/>
                <w:sz w:val="21"/>
                <w:szCs w:val="21"/>
              </w:rPr>
              <w:t>占标率（%）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1231" w:type="dxa"/>
            <w:tcBorders>
              <w:bottom w:val="single" w:color="auto" w:sz="6" w:space="0"/>
            </w:tcBorders>
            <w:vAlign w:val="center"/>
          </w:tcPr>
          <w:p>
            <w:pPr>
              <w:snapToGrid w:val="0"/>
              <w:spacing w:line="240" w:lineRule="auto"/>
              <w:jc w:val="center"/>
              <w:rPr>
                <w:rFonts w:hAnsi="宋体"/>
                <w:kern w:val="0"/>
                <w:sz w:val="21"/>
                <w:szCs w:val="21"/>
              </w:rPr>
            </w:pPr>
            <w:r>
              <w:rPr>
                <w:rFonts w:hAnsi="宋体"/>
                <w:kern w:val="0"/>
                <w:sz w:val="21"/>
                <w:szCs w:val="21"/>
              </w:rPr>
              <w:t>80</w:t>
            </w:r>
          </w:p>
        </w:tc>
        <w:tc>
          <w:tcPr>
            <w:tcW w:w="109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.00586</w:t>
            </w:r>
          </w:p>
        </w:tc>
        <w:tc>
          <w:tcPr>
            <w:tcW w:w="811" w:type="dxa"/>
            <w:vAlign w:val="center"/>
          </w:tcPr>
          <w:p>
            <w:pPr>
              <w:snapToGrid w:val="0"/>
              <w:spacing w:line="240" w:lineRule="auto"/>
              <w:jc w:val="center"/>
              <w:rPr>
                <w:rFonts w:hAnsi="宋体"/>
                <w:kern w:val="0"/>
                <w:sz w:val="21"/>
                <w:szCs w:val="21"/>
              </w:rPr>
            </w:pPr>
            <w:r>
              <w:rPr>
                <w:rFonts w:hAnsi="宋体"/>
                <w:kern w:val="0"/>
                <w:sz w:val="21"/>
                <w:szCs w:val="21"/>
              </w:rPr>
              <w:t>2.93</w:t>
            </w:r>
          </w:p>
        </w:tc>
        <w:tc>
          <w:tcPr>
            <w:tcW w:w="1084"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.000092</w:t>
            </w:r>
          </w:p>
        </w:tc>
        <w:tc>
          <w:tcPr>
            <w:tcW w:w="921" w:type="dxa"/>
            <w:vAlign w:val="center"/>
          </w:tcPr>
          <w:p>
            <w:pPr>
              <w:snapToGrid w:val="0"/>
              <w:spacing w:line="240" w:lineRule="auto"/>
              <w:jc w:val="center"/>
              <w:rPr>
                <w:rFonts w:hAnsi="宋体"/>
                <w:kern w:val="0"/>
                <w:sz w:val="21"/>
                <w:szCs w:val="21"/>
              </w:rPr>
            </w:pPr>
            <w:r>
              <w:rPr>
                <w:rFonts w:hAnsi="宋体"/>
                <w:kern w:val="0"/>
                <w:sz w:val="21"/>
                <w:szCs w:val="21"/>
              </w:rPr>
              <w:t>0.92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68" w:hRule="atLeast"/>
          <w:jc w:val="center"/>
        </w:trPr>
        <w:tc>
          <w:tcPr>
            <w:tcW w:w="1231" w:type="dxa"/>
            <w:tcBorders>
              <w:bottom w:val="single" w:color="auto" w:sz="6" w:space="0"/>
            </w:tcBorders>
            <w:vAlign w:val="bottom"/>
          </w:tcPr>
          <w:p>
            <w:pPr>
              <w:snapToGrid w:val="0"/>
              <w:spacing w:line="240" w:lineRule="auto"/>
              <w:jc w:val="center"/>
              <w:rPr>
                <w:rFonts w:hAnsi="宋体"/>
                <w:kern w:val="0"/>
                <w:sz w:val="21"/>
                <w:szCs w:val="21"/>
              </w:rPr>
            </w:pPr>
            <w:r>
              <w:rPr>
                <w:rFonts w:hint="eastAsia"/>
                <w:kern w:val="0"/>
                <w:sz w:val="21"/>
                <w:szCs w:val="21"/>
              </w:rPr>
              <w:t>100</w:t>
            </w:r>
          </w:p>
        </w:tc>
        <w:tc>
          <w:tcPr>
            <w:tcW w:w="109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.005016</w:t>
            </w:r>
          </w:p>
        </w:tc>
        <w:tc>
          <w:tcPr>
            <w:tcW w:w="811" w:type="dxa"/>
            <w:vAlign w:val="center"/>
          </w:tcPr>
          <w:p>
            <w:pPr>
              <w:snapToGrid w:val="0"/>
              <w:spacing w:line="240" w:lineRule="auto"/>
              <w:jc w:val="center"/>
              <w:rPr>
                <w:rFonts w:hAnsi="宋体"/>
                <w:kern w:val="0"/>
                <w:sz w:val="21"/>
                <w:szCs w:val="21"/>
              </w:rPr>
            </w:pPr>
            <w:r>
              <w:rPr>
                <w:rFonts w:hAnsi="宋体"/>
                <w:kern w:val="0"/>
                <w:sz w:val="21"/>
                <w:szCs w:val="21"/>
              </w:rPr>
              <w:t>2.51</w:t>
            </w:r>
          </w:p>
        </w:tc>
        <w:tc>
          <w:tcPr>
            <w:tcW w:w="1084"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.000079</w:t>
            </w:r>
          </w:p>
        </w:tc>
        <w:tc>
          <w:tcPr>
            <w:tcW w:w="921" w:type="dxa"/>
            <w:vAlign w:val="center"/>
          </w:tcPr>
          <w:p>
            <w:pPr>
              <w:snapToGrid w:val="0"/>
              <w:spacing w:line="240" w:lineRule="auto"/>
              <w:jc w:val="center"/>
              <w:rPr>
                <w:rFonts w:hAnsi="宋体"/>
                <w:kern w:val="0"/>
                <w:sz w:val="21"/>
                <w:szCs w:val="21"/>
              </w:rPr>
            </w:pPr>
            <w:r>
              <w:rPr>
                <w:rFonts w:hAnsi="宋体"/>
                <w:kern w:val="0"/>
                <w:sz w:val="21"/>
                <w:szCs w:val="21"/>
              </w:rPr>
              <w:t>0.79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1231" w:type="dxa"/>
            <w:vAlign w:val="bottom"/>
          </w:tcPr>
          <w:p>
            <w:pPr>
              <w:snapToGrid w:val="0"/>
              <w:spacing w:line="240" w:lineRule="auto"/>
              <w:jc w:val="center"/>
              <w:rPr>
                <w:rFonts w:hAnsi="宋体"/>
                <w:kern w:val="0"/>
                <w:sz w:val="21"/>
                <w:szCs w:val="21"/>
              </w:rPr>
            </w:pPr>
            <w:r>
              <w:rPr>
                <w:rFonts w:hint="eastAsia"/>
                <w:kern w:val="0"/>
                <w:sz w:val="21"/>
                <w:szCs w:val="21"/>
              </w:rPr>
              <w:t>125</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0414</w:t>
            </w:r>
          </w:p>
        </w:tc>
        <w:tc>
          <w:tcPr>
            <w:tcW w:w="811" w:type="dxa"/>
          </w:tcPr>
          <w:p>
            <w:pPr>
              <w:snapToGrid w:val="0"/>
              <w:spacing w:line="240" w:lineRule="auto"/>
              <w:jc w:val="center"/>
              <w:rPr>
                <w:rFonts w:hAnsi="宋体"/>
                <w:kern w:val="0"/>
                <w:sz w:val="21"/>
                <w:szCs w:val="21"/>
              </w:rPr>
            </w:pPr>
            <w:r>
              <w:rPr>
                <w:kern w:val="0"/>
                <w:sz w:val="21"/>
                <w:szCs w:val="21"/>
              </w:rPr>
              <w:t>2.07</w:t>
            </w:r>
          </w:p>
        </w:tc>
        <w:tc>
          <w:tcPr>
            <w:tcW w:w="1084"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.000065</w:t>
            </w:r>
          </w:p>
        </w:tc>
        <w:tc>
          <w:tcPr>
            <w:tcW w:w="921" w:type="dxa"/>
          </w:tcPr>
          <w:p>
            <w:pPr>
              <w:snapToGrid w:val="0"/>
              <w:spacing w:line="240" w:lineRule="auto"/>
              <w:jc w:val="center"/>
              <w:rPr>
                <w:kern w:val="0"/>
                <w:sz w:val="21"/>
                <w:szCs w:val="21"/>
              </w:rPr>
            </w:pPr>
            <w:r>
              <w:rPr>
                <w:kern w:val="0"/>
                <w:sz w:val="21"/>
                <w:szCs w:val="21"/>
              </w:rPr>
              <w:t>0.65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rFonts w:hAnsi="宋体"/>
                <w:kern w:val="0"/>
                <w:sz w:val="21"/>
                <w:szCs w:val="21"/>
              </w:rPr>
            </w:pPr>
            <w:r>
              <w:rPr>
                <w:rFonts w:hint="eastAsia"/>
                <w:kern w:val="0"/>
                <w:sz w:val="21"/>
                <w:szCs w:val="21"/>
              </w:rPr>
              <w:t>150</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03452</w:t>
            </w:r>
          </w:p>
        </w:tc>
        <w:tc>
          <w:tcPr>
            <w:tcW w:w="811" w:type="dxa"/>
          </w:tcPr>
          <w:p>
            <w:pPr>
              <w:snapToGrid w:val="0"/>
              <w:spacing w:line="240" w:lineRule="auto"/>
              <w:jc w:val="center"/>
              <w:rPr>
                <w:rFonts w:hAnsi="宋体"/>
                <w:kern w:val="0"/>
                <w:sz w:val="21"/>
                <w:szCs w:val="21"/>
              </w:rPr>
            </w:pPr>
            <w:r>
              <w:rPr>
                <w:kern w:val="0"/>
                <w:sz w:val="21"/>
                <w:szCs w:val="21"/>
              </w:rPr>
              <w:t>1.73</w:t>
            </w:r>
          </w:p>
        </w:tc>
        <w:tc>
          <w:tcPr>
            <w:tcW w:w="1084" w:type="dxa"/>
            <w:vAlign w:val="bottom"/>
          </w:tcPr>
          <w:p>
            <w:pPr>
              <w:snapToGrid w:val="0"/>
              <w:spacing w:line="240" w:lineRule="auto"/>
              <w:jc w:val="center"/>
              <w:rPr>
                <w:kern w:val="0"/>
                <w:sz w:val="21"/>
                <w:szCs w:val="21"/>
              </w:rPr>
            </w:pPr>
            <w:r>
              <w:rPr>
                <w:rFonts w:hint="eastAsia"/>
                <w:kern w:val="0"/>
                <w:sz w:val="21"/>
                <w:szCs w:val="21"/>
              </w:rPr>
              <w:t>0.0</w:t>
            </w:r>
            <w:r>
              <w:rPr>
                <w:kern w:val="0"/>
                <w:sz w:val="21"/>
                <w:szCs w:val="21"/>
              </w:rPr>
              <w:t>00054</w:t>
            </w:r>
          </w:p>
        </w:tc>
        <w:tc>
          <w:tcPr>
            <w:tcW w:w="921" w:type="dxa"/>
          </w:tcPr>
          <w:p>
            <w:pPr>
              <w:snapToGrid w:val="0"/>
              <w:spacing w:line="240" w:lineRule="auto"/>
              <w:jc w:val="center"/>
              <w:rPr>
                <w:kern w:val="0"/>
                <w:sz w:val="21"/>
                <w:szCs w:val="21"/>
              </w:rPr>
            </w:pPr>
            <w:r>
              <w:rPr>
                <w:kern w:val="0"/>
                <w:sz w:val="21"/>
                <w:szCs w:val="21"/>
              </w:rPr>
              <w:t>0.54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rFonts w:hAnsi="宋体"/>
                <w:kern w:val="0"/>
                <w:sz w:val="21"/>
                <w:szCs w:val="21"/>
              </w:rPr>
            </w:pPr>
            <w:r>
              <w:rPr>
                <w:rFonts w:hint="eastAsia"/>
                <w:kern w:val="0"/>
                <w:sz w:val="21"/>
                <w:szCs w:val="21"/>
              </w:rPr>
              <w:t>175</w:t>
            </w:r>
          </w:p>
        </w:tc>
        <w:tc>
          <w:tcPr>
            <w:tcW w:w="1099" w:type="dxa"/>
            <w:vAlign w:val="bottom"/>
          </w:tcPr>
          <w:p>
            <w:pPr>
              <w:snapToGrid w:val="0"/>
              <w:spacing w:line="240" w:lineRule="auto"/>
              <w:jc w:val="center"/>
              <w:rPr>
                <w:rFonts w:hAnsi="宋体"/>
                <w:kern w:val="0"/>
                <w:sz w:val="21"/>
                <w:szCs w:val="21"/>
              </w:rPr>
            </w:pPr>
            <w:r>
              <w:rPr>
                <w:kern w:val="0"/>
                <w:sz w:val="21"/>
                <w:szCs w:val="21"/>
              </w:rPr>
              <w:t>0.</w:t>
            </w:r>
            <w:r>
              <w:rPr>
                <w:rFonts w:hint="eastAsia"/>
                <w:kern w:val="0"/>
                <w:sz w:val="21"/>
                <w:szCs w:val="21"/>
              </w:rPr>
              <w:t>0</w:t>
            </w:r>
            <w:r>
              <w:rPr>
                <w:kern w:val="0"/>
                <w:sz w:val="21"/>
                <w:szCs w:val="21"/>
              </w:rPr>
              <w:t>02915</w:t>
            </w:r>
          </w:p>
        </w:tc>
        <w:tc>
          <w:tcPr>
            <w:tcW w:w="811" w:type="dxa"/>
          </w:tcPr>
          <w:p>
            <w:pPr>
              <w:snapToGrid w:val="0"/>
              <w:spacing w:line="240" w:lineRule="auto"/>
              <w:jc w:val="center"/>
              <w:rPr>
                <w:rFonts w:hAnsi="宋体"/>
                <w:kern w:val="0"/>
                <w:sz w:val="21"/>
                <w:szCs w:val="21"/>
              </w:rPr>
            </w:pPr>
            <w:r>
              <w:rPr>
                <w:kern w:val="0"/>
                <w:sz w:val="21"/>
                <w:szCs w:val="21"/>
              </w:rPr>
              <w:t>1.46</w:t>
            </w:r>
          </w:p>
        </w:tc>
        <w:tc>
          <w:tcPr>
            <w:tcW w:w="1084"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.000046</w:t>
            </w:r>
          </w:p>
        </w:tc>
        <w:tc>
          <w:tcPr>
            <w:tcW w:w="921" w:type="dxa"/>
          </w:tcPr>
          <w:p>
            <w:pPr>
              <w:snapToGrid w:val="0"/>
              <w:spacing w:line="240" w:lineRule="auto"/>
              <w:jc w:val="center"/>
              <w:rPr>
                <w:kern w:val="0"/>
                <w:sz w:val="21"/>
                <w:szCs w:val="21"/>
              </w:rPr>
            </w:pPr>
            <w:r>
              <w:rPr>
                <w:kern w:val="0"/>
                <w:sz w:val="21"/>
                <w:szCs w:val="21"/>
              </w:rPr>
              <w:t>0.46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rFonts w:hAnsi="宋体"/>
                <w:kern w:val="0"/>
                <w:sz w:val="21"/>
                <w:szCs w:val="21"/>
              </w:rPr>
            </w:pPr>
            <w:r>
              <w:rPr>
                <w:rFonts w:hint="eastAsia"/>
                <w:kern w:val="0"/>
                <w:sz w:val="21"/>
                <w:szCs w:val="21"/>
              </w:rPr>
              <w:t>200</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w:t>
            </w:r>
            <w:r>
              <w:rPr>
                <w:kern w:val="0"/>
                <w:sz w:val="21"/>
                <w:szCs w:val="21"/>
              </w:rPr>
              <w:t>02494</w:t>
            </w:r>
          </w:p>
        </w:tc>
        <w:tc>
          <w:tcPr>
            <w:tcW w:w="811" w:type="dxa"/>
          </w:tcPr>
          <w:p>
            <w:pPr>
              <w:snapToGrid w:val="0"/>
              <w:spacing w:line="240" w:lineRule="auto"/>
              <w:jc w:val="center"/>
              <w:rPr>
                <w:rFonts w:hAnsi="宋体"/>
                <w:kern w:val="0"/>
                <w:sz w:val="21"/>
                <w:szCs w:val="21"/>
              </w:rPr>
            </w:pPr>
            <w:r>
              <w:rPr>
                <w:kern w:val="0"/>
                <w:sz w:val="21"/>
                <w:szCs w:val="21"/>
              </w:rPr>
              <w:t>1.25</w:t>
            </w:r>
          </w:p>
        </w:tc>
        <w:tc>
          <w:tcPr>
            <w:tcW w:w="1084"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.000039</w:t>
            </w:r>
          </w:p>
        </w:tc>
        <w:tc>
          <w:tcPr>
            <w:tcW w:w="921" w:type="dxa"/>
          </w:tcPr>
          <w:p>
            <w:pPr>
              <w:snapToGrid w:val="0"/>
              <w:spacing w:line="240" w:lineRule="auto"/>
              <w:jc w:val="center"/>
              <w:rPr>
                <w:kern w:val="0"/>
                <w:sz w:val="21"/>
                <w:szCs w:val="21"/>
              </w:rPr>
            </w:pPr>
            <w:r>
              <w:rPr>
                <w:kern w:val="0"/>
                <w:sz w:val="21"/>
                <w:szCs w:val="21"/>
              </w:rPr>
              <w:t>0.39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rFonts w:hAnsi="宋体"/>
                <w:kern w:val="0"/>
                <w:sz w:val="21"/>
                <w:szCs w:val="21"/>
              </w:rPr>
            </w:pPr>
            <w:r>
              <w:rPr>
                <w:rFonts w:hint="eastAsia"/>
                <w:kern w:val="0"/>
                <w:sz w:val="21"/>
                <w:szCs w:val="21"/>
              </w:rPr>
              <w:t>225</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216</w:t>
            </w:r>
          </w:p>
        </w:tc>
        <w:tc>
          <w:tcPr>
            <w:tcW w:w="811" w:type="dxa"/>
          </w:tcPr>
          <w:p>
            <w:pPr>
              <w:snapToGrid w:val="0"/>
              <w:spacing w:line="240" w:lineRule="auto"/>
              <w:jc w:val="center"/>
              <w:rPr>
                <w:rFonts w:hAnsi="宋体"/>
                <w:kern w:val="0"/>
                <w:sz w:val="21"/>
                <w:szCs w:val="21"/>
              </w:rPr>
            </w:pPr>
            <w:r>
              <w:rPr>
                <w:kern w:val="0"/>
                <w:sz w:val="21"/>
                <w:szCs w:val="21"/>
              </w:rPr>
              <w:t>1.08</w:t>
            </w:r>
          </w:p>
        </w:tc>
        <w:tc>
          <w:tcPr>
            <w:tcW w:w="1084"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.000034</w:t>
            </w:r>
          </w:p>
        </w:tc>
        <w:tc>
          <w:tcPr>
            <w:tcW w:w="921" w:type="dxa"/>
          </w:tcPr>
          <w:p>
            <w:pPr>
              <w:snapToGrid w:val="0"/>
              <w:spacing w:line="240" w:lineRule="auto"/>
              <w:jc w:val="center"/>
              <w:rPr>
                <w:kern w:val="0"/>
                <w:sz w:val="21"/>
                <w:szCs w:val="21"/>
              </w:rPr>
            </w:pPr>
            <w:r>
              <w:rPr>
                <w:kern w:val="0"/>
                <w:sz w:val="21"/>
                <w:szCs w:val="21"/>
              </w:rPr>
              <w:t>0.34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kern w:val="0"/>
                <w:sz w:val="21"/>
                <w:szCs w:val="21"/>
              </w:rPr>
            </w:pPr>
            <w:r>
              <w:rPr>
                <w:rFonts w:hint="eastAsia"/>
                <w:kern w:val="0"/>
                <w:sz w:val="21"/>
                <w:szCs w:val="21"/>
              </w:rPr>
              <w:t>250</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1891</w:t>
            </w:r>
          </w:p>
        </w:tc>
        <w:tc>
          <w:tcPr>
            <w:tcW w:w="811" w:type="dxa"/>
          </w:tcPr>
          <w:p>
            <w:pPr>
              <w:snapToGrid w:val="0"/>
              <w:spacing w:line="240" w:lineRule="auto"/>
              <w:jc w:val="center"/>
              <w:rPr>
                <w:rFonts w:hAnsi="宋体"/>
                <w:kern w:val="0"/>
                <w:sz w:val="21"/>
                <w:szCs w:val="21"/>
              </w:rPr>
            </w:pPr>
            <w:r>
              <w:rPr>
                <w:kern w:val="0"/>
                <w:sz w:val="21"/>
                <w:szCs w:val="21"/>
              </w:rPr>
              <w:t>0.95</w:t>
            </w:r>
          </w:p>
        </w:tc>
        <w:tc>
          <w:tcPr>
            <w:tcW w:w="1084" w:type="dxa"/>
            <w:vAlign w:val="bottom"/>
          </w:tcPr>
          <w:p>
            <w:pPr>
              <w:snapToGrid w:val="0"/>
              <w:spacing w:line="240" w:lineRule="auto"/>
              <w:jc w:val="center"/>
              <w:rPr>
                <w:kern w:val="0"/>
                <w:sz w:val="21"/>
                <w:szCs w:val="21"/>
              </w:rPr>
            </w:pPr>
            <w:r>
              <w:rPr>
                <w:rFonts w:hint="eastAsia"/>
                <w:kern w:val="0"/>
                <w:sz w:val="21"/>
                <w:szCs w:val="21"/>
              </w:rPr>
              <w:t>0.0</w:t>
            </w:r>
            <w:r>
              <w:rPr>
                <w:kern w:val="0"/>
                <w:sz w:val="21"/>
                <w:szCs w:val="21"/>
              </w:rPr>
              <w:t>0003</w:t>
            </w:r>
          </w:p>
        </w:tc>
        <w:tc>
          <w:tcPr>
            <w:tcW w:w="921" w:type="dxa"/>
          </w:tcPr>
          <w:p>
            <w:pPr>
              <w:snapToGrid w:val="0"/>
              <w:spacing w:line="240" w:lineRule="auto"/>
              <w:jc w:val="center"/>
              <w:rPr>
                <w:kern w:val="0"/>
                <w:sz w:val="21"/>
                <w:szCs w:val="21"/>
              </w:rPr>
            </w:pPr>
            <w:r>
              <w:rPr>
                <w:kern w:val="0"/>
                <w:sz w:val="21"/>
                <w:szCs w:val="21"/>
              </w:rPr>
              <w:t>0.30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kern w:val="0"/>
                <w:sz w:val="21"/>
                <w:szCs w:val="21"/>
              </w:rPr>
            </w:pPr>
            <w:r>
              <w:rPr>
                <w:rFonts w:hint="eastAsia"/>
                <w:kern w:val="0"/>
                <w:sz w:val="21"/>
                <w:szCs w:val="21"/>
              </w:rPr>
              <w:t>275</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1672</w:t>
            </w:r>
          </w:p>
        </w:tc>
        <w:tc>
          <w:tcPr>
            <w:tcW w:w="811" w:type="dxa"/>
          </w:tcPr>
          <w:p>
            <w:pPr>
              <w:snapToGrid w:val="0"/>
              <w:spacing w:line="240" w:lineRule="auto"/>
              <w:jc w:val="center"/>
              <w:rPr>
                <w:rFonts w:hAnsi="宋体"/>
                <w:kern w:val="0"/>
                <w:sz w:val="21"/>
                <w:szCs w:val="21"/>
              </w:rPr>
            </w:pPr>
            <w:r>
              <w:rPr>
                <w:rFonts w:hint="eastAsia"/>
                <w:kern w:val="0"/>
                <w:sz w:val="21"/>
                <w:szCs w:val="21"/>
              </w:rPr>
              <w:t>0</w:t>
            </w:r>
            <w:r>
              <w:rPr>
                <w:kern w:val="0"/>
                <w:sz w:val="21"/>
                <w:szCs w:val="21"/>
              </w:rPr>
              <w:t>.84</w:t>
            </w:r>
          </w:p>
        </w:tc>
        <w:tc>
          <w:tcPr>
            <w:tcW w:w="1084" w:type="dxa"/>
            <w:vAlign w:val="center"/>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.000026</w:t>
            </w:r>
          </w:p>
        </w:tc>
        <w:tc>
          <w:tcPr>
            <w:tcW w:w="921" w:type="dxa"/>
          </w:tcPr>
          <w:p>
            <w:pPr>
              <w:snapToGrid w:val="0"/>
              <w:spacing w:line="240" w:lineRule="auto"/>
              <w:jc w:val="center"/>
              <w:rPr>
                <w:kern w:val="0"/>
                <w:sz w:val="21"/>
                <w:szCs w:val="21"/>
              </w:rPr>
            </w:pPr>
            <w:r>
              <w:rPr>
                <w:kern w:val="0"/>
                <w:sz w:val="21"/>
                <w:szCs w:val="21"/>
              </w:rPr>
              <w:t>0.26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bottom"/>
          </w:tcPr>
          <w:p>
            <w:pPr>
              <w:snapToGrid w:val="0"/>
              <w:spacing w:line="240" w:lineRule="auto"/>
              <w:jc w:val="center"/>
              <w:rPr>
                <w:kern w:val="0"/>
                <w:sz w:val="21"/>
                <w:szCs w:val="21"/>
              </w:rPr>
            </w:pPr>
            <w:r>
              <w:rPr>
                <w:rFonts w:hint="eastAsia"/>
                <w:kern w:val="0"/>
                <w:sz w:val="21"/>
                <w:szCs w:val="21"/>
              </w:rPr>
              <w:t>3</w:t>
            </w:r>
            <w:r>
              <w:rPr>
                <w:kern w:val="0"/>
                <w:sz w:val="21"/>
                <w:szCs w:val="21"/>
              </w:rPr>
              <w:t>00</w:t>
            </w:r>
          </w:p>
        </w:tc>
        <w:tc>
          <w:tcPr>
            <w:tcW w:w="1099" w:type="dxa"/>
            <w:vAlign w:val="bottom"/>
          </w:tcPr>
          <w:p>
            <w:pPr>
              <w:snapToGrid w:val="0"/>
              <w:spacing w:line="240" w:lineRule="auto"/>
              <w:jc w:val="center"/>
              <w:rPr>
                <w:rFonts w:hAnsi="宋体"/>
                <w:kern w:val="0"/>
                <w:sz w:val="21"/>
                <w:szCs w:val="21"/>
              </w:rPr>
            </w:pPr>
            <w:r>
              <w:rPr>
                <w:rFonts w:hint="eastAsia"/>
                <w:kern w:val="0"/>
                <w:sz w:val="21"/>
                <w:szCs w:val="21"/>
              </w:rPr>
              <w:t>0.00</w:t>
            </w:r>
            <w:r>
              <w:rPr>
                <w:kern w:val="0"/>
                <w:sz w:val="21"/>
                <w:szCs w:val="21"/>
              </w:rPr>
              <w:t>1491</w:t>
            </w:r>
          </w:p>
        </w:tc>
        <w:tc>
          <w:tcPr>
            <w:tcW w:w="811" w:type="dxa"/>
          </w:tcPr>
          <w:p>
            <w:pPr>
              <w:snapToGrid w:val="0"/>
              <w:spacing w:line="240" w:lineRule="auto"/>
              <w:jc w:val="center"/>
              <w:rPr>
                <w:rFonts w:hAnsi="宋体"/>
                <w:kern w:val="0"/>
                <w:sz w:val="21"/>
                <w:szCs w:val="21"/>
              </w:rPr>
            </w:pPr>
            <w:r>
              <w:rPr>
                <w:rFonts w:hint="eastAsia"/>
                <w:kern w:val="0"/>
                <w:sz w:val="21"/>
                <w:szCs w:val="21"/>
              </w:rPr>
              <w:t>0</w:t>
            </w:r>
            <w:r>
              <w:rPr>
                <w:kern w:val="0"/>
                <w:sz w:val="21"/>
                <w:szCs w:val="21"/>
              </w:rPr>
              <w:t>.75</w:t>
            </w:r>
          </w:p>
        </w:tc>
        <w:tc>
          <w:tcPr>
            <w:tcW w:w="1084" w:type="dxa"/>
            <w:vAlign w:val="bottom"/>
          </w:tcPr>
          <w:p>
            <w:pPr>
              <w:snapToGrid w:val="0"/>
              <w:spacing w:line="240" w:lineRule="auto"/>
              <w:jc w:val="center"/>
              <w:rPr>
                <w:kern w:val="0"/>
                <w:sz w:val="21"/>
                <w:szCs w:val="21"/>
              </w:rPr>
            </w:pPr>
            <w:r>
              <w:rPr>
                <w:rFonts w:hint="eastAsia" w:hAnsi="宋体"/>
                <w:kern w:val="0"/>
                <w:sz w:val="21"/>
                <w:szCs w:val="21"/>
              </w:rPr>
              <w:t>0</w:t>
            </w:r>
            <w:r>
              <w:rPr>
                <w:rFonts w:hAnsi="宋体"/>
                <w:kern w:val="0"/>
                <w:sz w:val="21"/>
                <w:szCs w:val="21"/>
              </w:rPr>
              <w:t>.000023</w:t>
            </w:r>
          </w:p>
        </w:tc>
        <w:tc>
          <w:tcPr>
            <w:tcW w:w="921" w:type="dxa"/>
          </w:tcPr>
          <w:p>
            <w:pPr>
              <w:snapToGrid w:val="0"/>
              <w:spacing w:line="240" w:lineRule="auto"/>
              <w:jc w:val="center"/>
              <w:rPr>
                <w:kern w:val="0"/>
                <w:sz w:val="21"/>
                <w:szCs w:val="21"/>
              </w:rPr>
            </w:pPr>
            <w:r>
              <w:rPr>
                <w:kern w:val="0"/>
                <w:sz w:val="21"/>
                <w:szCs w:val="21"/>
              </w:rPr>
              <w:t>0.23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1231" w:type="dxa"/>
            <w:vAlign w:val="center"/>
          </w:tcPr>
          <w:p>
            <w:pPr>
              <w:snapToGrid w:val="0"/>
              <w:spacing w:line="240" w:lineRule="auto"/>
              <w:jc w:val="center"/>
              <w:rPr>
                <w:rFonts w:hAnsi="宋体"/>
                <w:kern w:val="0"/>
                <w:sz w:val="21"/>
                <w:szCs w:val="21"/>
              </w:rPr>
            </w:pPr>
            <w:r>
              <w:rPr>
                <w:rFonts w:hint="eastAsia" w:hAnsi="宋体"/>
                <w:kern w:val="0"/>
                <w:sz w:val="21"/>
                <w:szCs w:val="21"/>
              </w:rPr>
              <w:t>标准值</w:t>
            </w:r>
          </w:p>
        </w:tc>
        <w:tc>
          <w:tcPr>
            <w:tcW w:w="1910"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c>
          <w:tcPr>
            <w:tcW w:w="2005"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.01mg/</w:t>
            </w:r>
            <w:r>
              <w:rPr>
                <w:rFonts w:hint="eastAsia"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center"/>
          </w:tcPr>
          <w:p>
            <w:pPr>
              <w:snapToGrid w:val="0"/>
              <w:spacing w:line="240" w:lineRule="auto"/>
              <w:jc w:val="center"/>
              <w:rPr>
                <w:rFonts w:hAnsi="宋体"/>
                <w:kern w:val="0"/>
                <w:sz w:val="21"/>
                <w:szCs w:val="21"/>
              </w:rPr>
            </w:pPr>
            <w:r>
              <w:rPr>
                <w:rFonts w:hAnsi="宋体"/>
                <w:kern w:val="0"/>
                <w:sz w:val="21"/>
                <w:szCs w:val="21"/>
              </w:rPr>
              <w:t>Pi</w:t>
            </w:r>
            <w:r>
              <w:rPr>
                <w:rFonts w:hint="eastAsia" w:hAnsi="宋体"/>
                <w:kern w:val="0"/>
                <w:sz w:val="21"/>
                <w:szCs w:val="21"/>
              </w:rPr>
              <w:t>距离</w:t>
            </w:r>
          </w:p>
        </w:tc>
        <w:tc>
          <w:tcPr>
            <w:tcW w:w="1910" w:type="dxa"/>
            <w:gridSpan w:val="2"/>
            <w:vAlign w:val="center"/>
          </w:tcPr>
          <w:p>
            <w:pPr>
              <w:snapToGrid w:val="0"/>
              <w:spacing w:line="240" w:lineRule="auto"/>
              <w:jc w:val="center"/>
              <w:rPr>
                <w:rFonts w:hAnsi="宋体"/>
                <w:kern w:val="0"/>
                <w:sz w:val="21"/>
                <w:szCs w:val="21"/>
              </w:rPr>
            </w:pPr>
            <w:r>
              <w:rPr>
                <w:rFonts w:hAnsi="宋体"/>
                <w:kern w:val="0"/>
                <w:sz w:val="21"/>
                <w:szCs w:val="21"/>
              </w:rPr>
              <w:t>80m</w:t>
            </w:r>
          </w:p>
        </w:tc>
        <w:tc>
          <w:tcPr>
            <w:tcW w:w="2005" w:type="dxa"/>
            <w:gridSpan w:val="2"/>
            <w:vAlign w:val="center"/>
          </w:tcPr>
          <w:p>
            <w:pPr>
              <w:snapToGrid w:val="0"/>
              <w:spacing w:line="240" w:lineRule="auto"/>
              <w:jc w:val="center"/>
              <w:rPr>
                <w:rFonts w:hAnsi="宋体"/>
                <w:kern w:val="0"/>
                <w:sz w:val="21"/>
                <w:szCs w:val="21"/>
              </w:rPr>
            </w:pPr>
            <w:r>
              <w:rPr>
                <w:rFonts w:hAnsi="宋体"/>
                <w:kern w:val="0"/>
                <w:sz w:val="21"/>
                <w:szCs w:val="21"/>
              </w:rPr>
              <w:t>80</w:t>
            </w:r>
            <w:r>
              <w:rPr>
                <w:rFonts w:hint="eastAsia" w:hAnsi="宋体"/>
                <w:kern w:val="0"/>
                <w:sz w:val="21"/>
                <w:szCs w:val="21"/>
              </w:rPr>
              <w:t>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center"/>
          </w:tcPr>
          <w:p>
            <w:pPr>
              <w:snapToGrid w:val="0"/>
              <w:spacing w:line="240" w:lineRule="auto"/>
              <w:jc w:val="center"/>
              <w:rPr>
                <w:rFonts w:hAnsi="宋体"/>
                <w:kern w:val="0"/>
                <w:sz w:val="21"/>
                <w:szCs w:val="21"/>
              </w:rPr>
            </w:pPr>
            <w:r>
              <w:rPr>
                <w:rFonts w:hint="eastAsia" w:hAnsi="宋体"/>
                <w:kern w:val="0"/>
                <w:sz w:val="21"/>
                <w:szCs w:val="21"/>
              </w:rPr>
              <w:t>下风向最大浓度</w:t>
            </w:r>
          </w:p>
        </w:tc>
        <w:tc>
          <w:tcPr>
            <w:tcW w:w="1910" w:type="dxa"/>
            <w:gridSpan w:val="2"/>
            <w:vAlign w:val="center"/>
          </w:tcPr>
          <w:p>
            <w:pPr>
              <w:snapToGrid w:val="0"/>
              <w:spacing w:line="240" w:lineRule="auto"/>
              <w:jc w:val="center"/>
              <w:rPr>
                <w:rFonts w:hAnsi="宋体"/>
                <w:kern w:val="0"/>
                <w:sz w:val="21"/>
                <w:szCs w:val="21"/>
              </w:rPr>
            </w:pPr>
            <w:r>
              <w:rPr>
                <w:rFonts w:hAnsi="宋体"/>
                <w:kern w:val="0"/>
                <w:sz w:val="21"/>
                <w:szCs w:val="21"/>
              </w:rPr>
              <w:t>0.00586mg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c>
          <w:tcPr>
            <w:tcW w:w="2005"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.000045 mg</w:t>
            </w:r>
            <w:r>
              <w:rPr>
                <w:rFonts w:hint="eastAsia" w:hAnsi="宋体"/>
                <w:kern w:val="0"/>
                <w:sz w:val="21"/>
                <w:szCs w:val="21"/>
              </w:rPr>
              <w:t>/</w:t>
            </w:r>
            <w:r>
              <w:rPr>
                <w:rFonts w:hAnsi="宋体"/>
                <w:kern w:val="0"/>
                <w:sz w:val="21"/>
                <w:szCs w:val="21"/>
              </w:rPr>
              <w:t>m</w:t>
            </w:r>
            <w:r>
              <w:rPr>
                <w:rFonts w:hAnsi="宋体"/>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center"/>
          </w:tcPr>
          <w:p>
            <w:pPr>
              <w:snapToGrid w:val="0"/>
              <w:spacing w:line="240" w:lineRule="auto"/>
              <w:jc w:val="center"/>
              <w:rPr>
                <w:rFonts w:hAnsi="宋体"/>
                <w:kern w:val="0"/>
                <w:sz w:val="21"/>
                <w:szCs w:val="21"/>
              </w:rPr>
            </w:pPr>
            <w:r>
              <w:rPr>
                <w:rFonts w:hint="eastAsia" w:hAnsi="宋体"/>
                <w:kern w:val="0"/>
                <w:sz w:val="21"/>
                <w:szCs w:val="21"/>
              </w:rPr>
              <w:t>最大浓度占标率（%）</w:t>
            </w:r>
          </w:p>
        </w:tc>
        <w:tc>
          <w:tcPr>
            <w:tcW w:w="1910" w:type="dxa"/>
            <w:gridSpan w:val="2"/>
            <w:vAlign w:val="center"/>
          </w:tcPr>
          <w:p>
            <w:pPr>
              <w:snapToGrid w:val="0"/>
              <w:spacing w:line="240" w:lineRule="auto"/>
              <w:jc w:val="center"/>
              <w:rPr>
                <w:rFonts w:hAnsi="宋体"/>
                <w:kern w:val="0"/>
                <w:sz w:val="21"/>
                <w:szCs w:val="21"/>
              </w:rPr>
            </w:pPr>
            <w:r>
              <w:rPr>
                <w:rFonts w:hAnsi="宋体"/>
                <w:kern w:val="0"/>
                <w:sz w:val="21"/>
                <w:szCs w:val="21"/>
              </w:rPr>
              <w:t>2.93</w:t>
            </w:r>
          </w:p>
        </w:tc>
        <w:tc>
          <w:tcPr>
            <w:tcW w:w="2005"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231" w:type="dxa"/>
            <w:vAlign w:val="center"/>
          </w:tcPr>
          <w:p>
            <w:pPr>
              <w:snapToGrid w:val="0"/>
              <w:spacing w:line="240" w:lineRule="auto"/>
              <w:jc w:val="center"/>
              <w:rPr>
                <w:rFonts w:hAnsi="宋体"/>
                <w:kern w:val="0"/>
                <w:sz w:val="21"/>
                <w:szCs w:val="21"/>
              </w:rPr>
            </w:pPr>
            <w:r>
              <w:rPr>
                <w:rFonts w:hint="eastAsia" w:hAnsi="宋体"/>
                <w:kern w:val="0"/>
                <w:sz w:val="21"/>
                <w:szCs w:val="21"/>
              </w:rPr>
              <w:t>评价等级</w:t>
            </w:r>
          </w:p>
        </w:tc>
        <w:tc>
          <w:tcPr>
            <w:tcW w:w="1910"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二级</w:t>
            </w:r>
          </w:p>
        </w:tc>
        <w:tc>
          <w:tcPr>
            <w:tcW w:w="2005"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三级</w:t>
            </w:r>
          </w:p>
        </w:tc>
      </w:tr>
    </w:tbl>
    <w:p>
      <w:pPr>
        <w:pStyle w:val="2"/>
        <w:ind w:firstLine="480"/>
        <w:rPr>
          <w:rFonts w:hint="default"/>
          <w:color w:val="auto"/>
        </w:rPr>
      </w:pPr>
    </w:p>
    <w:p>
      <w:pPr>
        <w:pStyle w:val="2"/>
        <w:ind w:firstLine="480"/>
        <w:rPr>
          <w:rFonts w:hint="default"/>
          <w:color w:val="auto"/>
        </w:rPr>
      </w:pPr>
      <w:r>
        <w:rPr>
          <w:color w:val="auto"/>
        </w:rPr>
        <w:t>根据AERSCREEN 估算模式计算结果显示可知，本项目Pmax=</w:t>
      </w:r>
      <w:r>
        <w:rPr>
          <w:rFonts w:hint="default"/>
          <w:color w:val="auto"/>
        </w:rPr>
        <w:t>8.98</w:t>
      </w:r>
      <w:r>
        <w:rPr>
          <w:color w:val="auto"/>
        </w:rPr>
        <w:t>%，根据前述等级划分原则，本项目大气环境预测评价工作等级为二级。本工程正常状态下，项目排放的主要大气污染物的最大落地浓度，均出未出现超标现象。因此，本项目大气污染物经处理达标排放后，对评价范围内的大气环境影响较小，不会改变评价范围内的大气环境功能，不会对评价范围内的环境保护目标造成明显影响。</w:t>
      </w:r>
    </w:p>
    <w:p>
      <w:pPr>
        <w:pStyle w:val="970"/>
        <w:snapToGrid w:val="0"/>
        <w:ind w:firstLine="0"/>
        <w:outlineLvl w:val="3"/>
        <w:rPr>
          <w:rFonts w:eastAsia="黑体"/>
          <w:bCs/>
          <w:szCs w:val="24"/>
        </w:rPr>
      </w:pPr>
      <w:r>
        <w:rPr>
          <w:rFonts w:eastAsia="黑体"/>
          <w:bCs/>
          <w:szCs w:val="24"/>
        </w:rPr>
        <w:t>7.2.1.5</w:t>
      </w:r>
      <w:r>
        <w:rPr>
          <w:rFonts w:hint="eastAsia" w:eastAsia="黑体"/>
          <w:bCs/>
          <w:szCs w:val="24"/>
        </w:rPr>
        <w:t>污染物排放量</w:t>
      </w:r>
      <w:r>
        <w:rPr>
          <w:rFonts w:eastAsia="黑体"/>
          <w:bCs/>
          <w:szCs w:val="24"/>
        </w:rPr>
        <w:t>核算</w:t>
      </w:r>
    </w:p>
    <w:p>
      <w:pPr>
        <w:ind w:firstLine="480" w:firstLineChars="200"/>
      </w:pPr>
      <w:r>
        <w:rPr>
          <w:rFonts w:hint="eastAsia"/>
        </w:rPr>
        <w:t>根据《环境影响评价技术导则—大气环境》</w:t>
      </w:r>
      <w:r>
        <w:t xml:space="preserve">HJ2.2-2018 </w:t>
      </w:r>
      <w:r>
        <w:rPr>
          <w:rFonts w:hint="eastAsia"/>
        </w:rPr>
        <w:t>要求“二级评价项目不进行进一步预测与评价，只对污染物排放量进行核算。污染物排放量核算表包括有组织及无组织排放量、大气污染物年排放量等。”因此，本项目污染物排放量核算主要包括无组织排放量核算、大气污染物年排放量核算。具体情况见表</w:t>
      </w:r>
      <w:r>
        <w:t>7.2</w:t>
      </w:r>
      <w:r>
        <w:rPr>
          <w:rFonts w:hint="eastAsia"/>
        </w:rPr>
        <w:t>-</w:t>
      </w:r>
      <w:r>
        <w:t>7</w:t>
      </w:r>
      <w:r>
        <w:rPr>
          <w:rFonts w:hint="eastAsia"/>
        </w:rPr>
        <w:t>。</w:t>
      </w:r>
    </w:p>
    <w:p>
      <w:pPr>
        <w:snapToGrid w:val="0"/>
        <w:spacing w:line="240" w:lineRule="auto"/>
        <w:jc w:val="center"/>
        <w:rPr>
          <w:b/>
        </w:rPr>
      </w:pPr>
      <w:r>
        <w:rPr>
          <w:rFonts w:hint="eastAsia" w:eastAsia="黑体"/>
        </w:rPr>
        <w:t>表</w:t>
      </w:r>
      <w:r>
        <w:rPr>
          <w:rFonts w:eastAsia="黑体"/>
        </w:rPr>
        <w:t>7</w:t>
      </w:r>
      <w:r>
        <w:rPr>
          <w:rFonts w:hint="eastAsia" w:eastAsia="黑体"/>
        </w:rPr>
        <w:t>.</w:t>
      </w:r>
      <w:r>
        <w:rPr>
          <w:rFonts w:eastAsia="黑体"/>
        </w:rPr>
        <w:t>2</w:t>
      </w:r>
      <w:r>
        <w:rPr>
          <w:rFonts w:hint="eastAsia" w:eastAsia="黑体"/>
        </w:rPr>
        <w:t>-</w:t>
      </w:r>
      <w:r>
        <w:rPr>
          <w:rFonts w:eastAsia="黑体"/>
        </w:rPr>
        <w:t xml:space="preserve">8  </w:t>
      </w:r>
      <w:r>
        <w:rPr>
          <w:rFonts w:hint="eastAsia" w:eastAsia="黑体"/>
        </w:rPr>
        <w:t>本项目大气污染物无组织排放量核算表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04"/>
        <w:gridCol w:w="865"/>
        <w:gridCol w:w="2712"/>
        <w:gridCol w:w="2048"/>
        <w:gridCol w:w="1181"/>
        <w:gridCol w:w="11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980"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排放口</w:t>
            </w:r>
          </w:p>
        </w:tc>
        <w:tc>
          <w:tcPr>
            <w:tcW w:w="844"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污染物</w:t>
            </w:r>
          </w:p>
        </w:tc>
        <w:tc>
          <w:tcPr>
            <w:tcW w:w="2647" w:type="dxa"/>
            <w:vMerge w:val="restart"/>
          </w:tcPr>
          <w:p>
            <w:pPr>
              <w:snapToGrid w:val="0"/>
              <w:spacing w:line="240" w:lineRule="auto"/>
              <w:jc w:val="center"/>
              <w:rPr>
                <w:rFonts w:hAnsi="宋体"/>
                <w:kern w:val="0"/>
                <w:sz w:val="21"/>
                <w:szCs w:val="21"/>
              </w:rPr>
            </w:pPr>
            <w:r>
              <w:rPr>
                <w:rFonts w:hint="eastAsia" w:hAnsi="宋体"/>
                <w:kern w:val="0"/>
                <w:sz w:val="21"/>
                <w:szCs w:val="21"/>
              </w:rPr>
              <w:t>主要污染防治措施</w:t>
            </w:r>
          </w:p>
        </w:tc>
        <w:tc>
          <w:tcPr>
            <w:tcW w:w="3151" w:type="dxa"/>
            <w:gridSpan w:val="2"/>
            <w:vAlign w:val="center"/>
          </w:tcPr>
          <w:p>
            <w:pPr>
              <w:snapToGrid w:val="0"/>
              <w:spacing w:line="240" w:lineRule="auto"/>
              <w:jc w:val="center"/>
              <w:rPr>
                <w:rFonts w:hAnsi="宋体"/>
                <w:kern w:val="0"/>
                <w:sz w:val="21"/>
                <w:szCs w:val="21"/>
              </w:rPr>
            </w:pPr>
            <w:r>
              <w:rPr>
                <w:rFonts w:hint="eastAsia" w:hAnsi="宋体"/>
                <w:kern w:val="0"/>
                <w:sz w:val="21"/>
                <w:szCs w:val="21"/>
              </w:rPr>
              <w:t>国家或地方污染物排放标准</w:t>
            </w:r>
          </w:p>
        </w:tc>
        <w:tc>
          <w:tcPr>
            <w:tcW w:w="1109"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年排放量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continue"/>
            <w:vAlign w:val="center"/>
          </w:tcPr>
          <w:p>
            <w:pPr>
              <w:snapToGrid w:val="0"/>
              <w:spacing w:line="240" w:lineRule="auto"/>
              <w:jc w:val="center"/>
              <w:rPr>
                <w:rFonts w:hAnsi="宋体"/>
                <w:kern w:val="0"/>
                <w:sz w:val="21"/>
                <w:szCs w:val="21"/>
              </w:rPr>
            </w:pPr>
          </w:p>
        </w:tc>
        <w:tc>
          <w:tcPr>
            <w:tcW w:w="844" w:type="dxa"/>
            <w:vMerge w:val="continue"/>
            <w:vAlign w:val="center"/>
          </w:tcPr>
          <w:p>
            <w:pPr>
              <w:snapToGrid w:val="0"/>
              <w:spacing w:line="240" w:lineRule="auto"/>
              <w:jc w:val="center"/>
              <w:rPr>
                <w:rFonts w:hAnsi="宋体"/>
                <w:kern w:val="0"/>
                <w:sz w:val="21"/>
                <w:szCs w:val="21"/>
              </w:rPr>
            </w:pPr>
          </w:p>
        </w:tc>
        <w:tc>
          <w:tcPr>
            <w:tcW w:w="2647" w:type="dxa"/>
            <w:vMerge w:val="continue"/>
          </w:tcPr>
          <w:p>
            <w:pPr>
              <w:snapToGrid w:val="0"/>
              <w:spacing w:line="240" w:lineRule="auto"/>
              <w:jc w:val="center"/>
              <w:rPr>
                <w:rFonts w:hAnsi="宋体"/>
                <w:kern w:val="0"/>
                <w:sz w:val="21"/>
                <w:szCs w:val="21"/>
              </w:rPr>
            </w:pPr>
          </w:p>
        </w:tc>
        <w:tc>
          <w:tcPr>
            <w:tcW w:w="1999" w:type="dxa"/>
            <w:vAlign w:val="center"/>
          </w:tcPr>
          <w:p>
            <w:pPr>
              <w:snapToGrid w:val="0"/>
              <w:spacing w:line="240" w:lineRule="auto"/>
              <w:jc w:val="center"/>
              <w:rPr>
                <w:rFonts w:hAnsi="宋体"/>
                <w:kern w:val="0"/>
                <w:sz w:val="21"/>
                <w:szCs w:val="21"/>
              </w:rPr>
            </w:pPr>
            <w:r>
              <w:rPr>
                <w:rFonts w:hint="eastAsia" w:hAnsi="宋体"/>
                <w:kern w:val="0"/>
                <w:sz w:val="21"/>
                <w:szCs w:val="21"/>
              </w:rPr>
              <w:t>标准名称</w:t>
            </w:r>
          </w:p>
        </w:tc>
        <w:tc>
          <w:tcPr>
            <w:tcW w:w="1152" w:type="dxa"/>
            <w:vAlign w:val="center"/>
          </w:tcPr>
          <w:p>
            <w:pPr>
              <w:snapToGrid w:val="0"/>
              <w:spacing w:line="240" w:lineRule="auto"/>
              <w:jc w:val="center"/>
              <w:rPr>
                <w:rFonts w:hAnsi="宋体"/>
                <w:kern w:val="0"/>
                <w:sz w:val="21"/>
                <w:szCs w:val="21"/>
              </w:rPr>
            </w:pPr>
            <w:r>
              <w:rPr>
                <w:rFonts w:hint="eastAsia" w:hAnsi="宋体"/>
                <w:kern w:val="0"/>
                <w:sz w:val="21"/>
                <w:szCs w:val="21"/>
              </w:rPr>
              <w:t>浓度限值</w:t>
            </w:r>
          </w:p>
        </w:tc>
        <w:tc>
          <w:tcPr>
            <w:tcW w:w="1109" w:type="dxa"/>
            <w:vMerge w:val="continue"/>
            <w:vAlign w:val="center"/>
          </w:tcPr>
          <w:p>
            <w:pPr>
              <w:snapToGrid w:val="0"/>
              <w:spacing w:line="240" w:lineRule="auto"/>
              <w:jc w:val="center"/>
              <w:rPr>
                <w:rFonts w:hAnsi="宋体"/>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restart"/>
            <w:vAlign w:val="center"/>
          </w:tcPr>
          <w:p>
            <w:pPr>
              <w:snapToGrid w:val="0"/>
              <w:spacing w:line="240" w:lineRule="auto"/>
              <w:jc w:val="center"/>
              <w:rPr>
                <w:rFonts w:hAnsi="宋体"/>
                <w:kern w:val="0"/>
                <w:sz w:val="21"/>
                <w:szCs w:val="21"/>
              </w:rPr>
            </w:pPr>
            <w:r>
              <w:rPr>
                <w:rFonts w:hAnsi="宋体"/>
                <w:kern w:val="0"/>
                <w:sz w:val="21"/>
                <w:szCs w:val="21"/>
              </w:rPr>
              <w:t>妊娠舍</w:t>
            </w: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2647" w:type="dxa"/>
            <w:vMerge w:val="restart"/>
          </w:tcPr>
          <w:p>
            <w:pPr>
              <w:snapToGrid w:val="0"/>
              <w:spacing w:line="240" w:lineRule="auto"/>
              <w:rPr>
                <w:rFonts w:hAnsi="宋体"/>
                <w:kern w:val="0"/>
                <w:sz w:val="21"/>
                <w:szCs w:val="21"/>
              </w:rPr>
            </w:pPr>
            <w:r>
              <w:rPr>
                <w:rFonts w:hint="eastAsia" w:hAnsi="宋体"/>
                <w:kern w:val="0"/>
                <w:sz w:val="21"/>
                <w:szCs w:val="21"/>
              </w:rPr>
              <w:t>进行饲料调整，添加益生菌、并喷洒抑臭液、保持猪舍清洁，并针对各车间分别划定</w:t>
            </w:r>
            <w:r>
              <w:rPr>
                <w:rFonts w:hAnsi="宋体"/>
                <w:kern w:val="0"/>
                <w:sz w:val="21"/>
                <w:szCs w:val="21"/>
              </w:rPr>
              <w:t>100m</w:t>
            </w:r>
            <w:r>
              <w:rPr>
                <w:rFonts w:hint="eastAsia" w:hAnsi="宋体"/>
                <w:kern w:val="0"/>
                <w:sz w:val="21"/>
                <w:szCs w:val="21"/>
              </w:rPr>
              <w:t>卫生防护距离</w:t>
            </w:r>
          </w:p>
        </w:tc>
        <w:tc>
          <w:tcPr>
            <w:tcW w:w="1999" w:type="dxa"/>
            <w:vMerge w:val="restart"/>
            <w:vAlign w:val="center"/>
          </w:tcPr>
          <w:p>
            <w:pPr>
              <w:snapToGrid w:val="0"/>
              <w:spacing w:line="240" w:lineRule="auto"/>
              <w:jc w:val="center"/>
              <w:rPr>
                <w:rFonts w:hAnsi="宋体"/>
                <w:kern w:val="0"/>
                <w:sz w:val="21"/>
                <w:szCs w:val="21"/>
              </w:rPr>
            </w:pPr>
            <w:r>
              <w:rPr>
                <w:rFonts w:hAnsi="宋体"/>
                <w:kern w:val="0"/>
                <w:sz w:val="21"/>
                <w:szCs w:val="21"/>
              </w:rPr>
              <w:t>《恶臭污染物排放标准》（GB14554-93）</w:t>
            </w:r>
          </w:p>
        </w:tc>
        <w:tc>
          <w:tcPr>
            <w:tcW w:w="1152"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.2mg/m</w:t>
            </w:r>
            <w:r>
              <w:rPr>
                <w:rFonts w:hAnsi="宋体"/>
                <w:kern w:val="0"/>
                <w:sz w:val="21"/>
                <w:szCs w:val="21"/>
                <w:vertAlign w:val="superscript"/>
              </w:rPr>
              <w:t>3</w:t>
            </w:r>
          </w:p>
        </w:tc>
        <w:tc>
          <w:tcPr>
            <w:tcW w:w="1109" w:type="dxa"/>
            <w:vAlign w:val="center"/>
          </w:tcPr>
          <w:p>
            <w:pPr>
              <w:snapToGrid w:val="0"/>
              <w:spacing w:line="240" w:lineRule="auto"/>
              <w:jc w:val="center"/>
              <w:rPr>
                <w:rFonts w:hAnsi="宋体"/>
                <w:kern w:val="0"/>
                <w:sz w:val="21"/>
                <w:szCs w:val="21"/>
              </w:rPr>
            </w:pPr>
            <w:r>
              <w:rPr>
                <w:rFonts w:hAnsi="宋体"/>
                <w:kern w:val="0"/>
                <w:sz w:val="21"/>
                <w:szCs w:val="21"/>
              </w:rPr>
              <w:t>1.37t/a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continue"/>
            <w:vAlign w:val="center"/>
          </w:tcPr>
          <w:p>
            <w:pPr>
              <w:snapToGrid w:val="0"/>
              <w:spacing w:line="240" w:lineRule="auto"/>
              <w:jc w:val="center"/>
              <w:rPr>
                <w:rFonts w:hAnsi="宋体"/>
                <w:kern w:val="0"/>
                <w:sz w:val="21"/>
                <w:szCs w:val="21"/>
              </w:rPr>
            </w:pP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H</w:t>
            </w:r>
            <w:r>
              <w:rPr>
                <w:rFonts w:hAnsi="宋体"/>
                <w:kern w:val="0"/>
                <w:sz w:val="21"/>
                <w:szCs w:val="21"/>
                <w:vertAlign w:val="subscript"/>
              </w:rPr>
              <w:t>2</w:t>
            </w:r>
            <w:r>
              <w:rPr>
                <w:rFonts w:hAnsi="宋体"/>
                <w:kern w:val="0"/>
                <w:sz w:val="21"/>
                <w:szCs w:val="21"/>
              </w:rPr>
              <w:t>S</w:t>
            </w:r>
          </w:p>
        </w:tc>
        <w:tc>
          <w:tcPr>
            <w:tcW w:w="2647" w:type="dxa"/>
            <w:vMerge w:val="continue"/>
          </w:tcPr>
          <w:p>
            <w:pPr>
              <w:snapToGrid w:val="0"/>
              <w:spacing w:line="240" w:lineRule="auto"/>
              <w:jc w:val="center"/>
              <w:rPr>
                <w:rFonts w:hAnsi="宋体"/>
                <w:kern w:val="0"/>
                <w:sz w:val="21"/>
                <w:szCs w:val="21"/>
              </w:rPr>
            </w:pPr>
          </w:p>
        </w:tc>
        <w:tc>
          <w:tcPr>
            <w:tcW w:w="1999" w:type="dxa"/>
            <w:vMerge w:val="continue"/>
            <w:vAlign w:val="center"/>
          </w:tcPr>
          <w:p>
            <w:pPr>
              <w:snapToGrid w:val="0"/>
              <w:spacing w:line="240" w:lineRule="auto"/>
              <w:jc w:val="center"/>
              <w:rPr>
                <w:rFonts w:hAnsi="宋体"/>
                <w:kern w:val="0"/>
                <w:sz w:val="21"/>
                <w:szCs w:val="21"/>
              </w:rPr>
            </w:pPr>
          </w:p>
        </w:tc>
        <w:tc>
          <w:tcPr>
            <w:tcW w:w="1152"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.01mg/m</w:t>
            </w:r>
            <w:r>
              <w:rPr>
                <w:rFonts w:hAnsi="宋体"/>
                <w:kern w:val="0"/>
                <w:sz w:val="21"/>
                <w:szCs w:val="21"/>
                <w:vertAlign w:val="superscript"/>
              </w:rPr>
              <w:t>3</w:t>
            </w:r>
          </w:p>
        </w:tc>
        <w:tc>
          <w:tcPr>
            <w:tcW w:w="110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.010t/a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分娩舍</w:t>
            </w: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2647" w:type="dxa"/>
            <w:vMerge w:val="continue"/>
          </w:tcPr>
          <w:p>
            <w:pPr>
              <w:snapToGrid w:val="0"/>
              <w:spacing w:line="240" w:lineRule="auto"/>
              <w:jc w:val="center"/>
              <w:rPr>
                <w:rFonts w:hAnsi="宋体"/>
                <w:kern w:val="0"/>
                <w:sz w:val="21"/>
                <w:szCs w:val="21"/>
              </w:rPr>
            </w:pPr>
          </w:p>
        </w:tc>
        <w:tc>
          <w:tcPr>
            <w:tcW w:w="1999" w:type="dxa"/>
            <w:vMerge w:val="continue"/>
            <w:vAlign w:val="center"/>
          </w:tcPr>
          <w:p>
            <w:pPr>
              <w:snapToGrid w:val="0"/>
              <w:spacing w:line="240" w:lineRule="auto"/>
              <w:jc w:val="center"/>
              <w:rPr>
                <w:rFonts w:hAnsi="宋体"/>
                <w:kern w:val="0"/>
                <w:sz w:val="21"/>
                <w:szCs w:val="21"/>
              </w:rPr>
            </w:pPr>
          </w:p>
        </w:tc>
        <w:tc>
          <w:tcPr>
            <w:tcW w:w="1152"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.2mg/m</w:t>
            </w:r>
            <w:r>
              <w:rPr>
                <w:rFonts w:hAnsi="宋体"/>
                <w:kern w:val="0"/>
                <w:sz w:val="21"/>
                <w:szCs w:val="21"/>
                <w:vertAlign w:val="superscript"/>
              </w:rPr>
              <w:t>3</w:t>
            </w:r>
          </w:p>
        </w:tc>
        <w:tc>
          <w:tcPr>
            <w:tcW w:w="110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.36t/a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continue"/>
            <w:vAlign w:val="center"/>
          </w:tcPr>
          <w:p>
            <w:pPr>
              <w:snapToGrid w:val="0"/>
              <w:spacing w:line="240" w:lineRule="auto"/>
              <w:jc w:val="center"/>
              <w:rPr>
                <w:rFonts w:hAnsi="宋体"/>
                <w:kern w:val="0"/>
                <w:sz w:val="21"/>
                <w:szCs w:val="21"/>
              </w:rPr>
            </w:pP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H</w:t>
            </w:r>
            <w:r>
              <w:rPr>
                <w:rFonts w:hAnsi="宋体"/>
                <w:kern w:val="0"/>
                <w:sz w:val="21"/>
                <w:szCs w:val="21"/>
                <w:vertAlign w:val="subscript"/>
              </w:rPr>
              <w:t>2</w:t>
            </w:r>
            <w:r>
              <w:rPr>
                <w:rFonts w:hAnsi="宋体"/>
                <w:kern w:val="0"/>
                <w:sz w:val="21"/>
                <w:szCs w:val="21"/>
              </w:rPr>
              <w:t>S</w:t>
            </w:r>
          </w:p>
        </w:tc>
        <w:tc>
          <w:tcPr>
            <w:tcW w:w="2647" w:type="dxa"/>
            <w:vMerge w:val="continue"/>
          </w:tcPr>
          <w:p>
            <w:pPr>
              <w:snapToGrid w:val="0"/>
              <w:spacing w:line="240" w:lineRule="auto"/>
              <w:jc w:val="center"/>
              <w:rPr>
                <w:rFonts w:hAnsi="宋体"/>
                <w:kern w:val="0"/>
                <w:sz w:val="21"/>
                <w:szCs w:val="21"/>
              </w:rPr>
            </w:pPr>
          </w:p>
        </w:tc>
        <w:tc>
          <w:tcPr>
            <w:tcW w:w="1999" w:type="dxa"/>
            <w:vMerge w:val="continue"/>
            <w:vAlign w:val="center"/>
          </w:tcPr>
          <w:p>
            <w:pPr>
              <w:snapToGrid w:val="0"/>
              <w:spacing w:line="240" w:lineRule="auto"/>
              <w:jc w:val="center"/>
              <w:rPr>
                <w:rFonts w:hAnsi="宋体"/>
                <w:kern w:val="0"/>
                <w:sz w:val="21"/>
                <w:szCs w:val="21"/>
              </w:rPr>
            </w:pPr>
          </w:p>
        </w:tc>
        <w:tc>
          <w:tcPr>
            <w:tcW w:w="1152"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.01mg/m</w:t>
            </w:r>
            <w:r>
              <w:rPr>
                <w:rFonts w:hAnsi="宋体"/>
                <w:kern w:val="0"/>
                <w:sz w:val="21"/>
                <w:szCs w:val="21"/>
                <w:vertAlign w:val="superscript"/>
              </w:rPr>
              <w:t>3</w:t>
            </w:r>
          </w:p>
        </w:tc>
        <w:tc>
          <w:tcPr>
            <w:tcW w:w="110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.006t/a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80" w:type="dxa"/>
            <w:vMerge w:val="restart"/>
            <w:vAlign w:val="center"/>
          </w:tcPr>
          <w:p>
            <w:pPr>
              <w:snapToGrid w:val="0"/>
              <w:spacing w:line="240" w:lineRule="auto"/>
              <w:jc w:val="center"/>
              <w:rPr>
                <w:rFonts w:hAnsi="宋体"/>
                <w:kern w:val="0"/>
                <w:sz w:val="21"/>
                <w:szCs w:val="21"/>
              </w:rPr>
            </w:pPr>
            <w:r>
              <w:rPr>
                <w:rFonts w:hint="eastAsia" w:hAnsi="宋体"/>
                <w:kern w:val="0"/>
                <w:sz w:val="21"/>
                <w:szCs w:val="21"/>
              </w:rPr>
              <w:t>排放口合计</w:t>
            </w: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N</w:t>
            </w:r>
            <w:r>
              <w:rPr>
                <w:rFonts w:hAnsi="宋体"/>
                <w:kern w:val="0"/>
                <w:sz w:val="21"/>
                <w:szCs w:val="21"/>
              </w:rPr>
              <w:t>H</w:t>
            </w:r>
            <w:r>
              <w:rPr>
                <w:rFonts w:hAnsi="宋体"/>
                <w:kern w:val="0"/>
                <w:sz w:val="21"/>
                <w:szCs w:val="21"/>
                <w:vertAlign w:val="subscript"/>
              </w:rPr>
              <w:t>3</w:t>
            </w:r>
          </w:p>
        </w:tc>
        <w:tc>
          <w:tcPr>
            <w:tcW w:w="2647" w:type="dxa"/>
          </w:tcPr>
          <w:p>
            <w:pPr>
              <w:snapToGrid w:val="0"/>
              <w:spacing w:line="240" w:lineRule="auto"/>
              <w:jc w:val="center"/>
              <w:rPr>
                <w:rFonts w:hAnsi="宋体"/>
                <w:kern w:val="0"/>
                <w:sz w:val="21"/>
                <w:szCs w:val="21"/>
              </w:rPr>
            </w:pPr>
          </w:p>
        </w:tc>
        <w:tc>
          <w:tcPr>
            <w:tcW w:w="1999" w:type="dxa"/>
            <w:vAlign w:val="center"/>
          </w:tcPr>
          <w:p>
            <w:pPr>
              <w:snapToGrid w:val="0"/>
              <w:spacing w:line="240" w:lineRule="auto"/>
              <w:jc w:val="center"/>
              <w:rPr>
                <w:rFonts w:hAnsi="宋体"/>
                <w:kern w:val="0"/>
                <w:sz w:val="21"/>
                <w:szCs w:val="21"/>
              </w:rPr>
            </w:pPr>
          </w:p>
        </w:tc>
        <w:tc>
          <w:tcPr>
            <w:tcW w:w="1152" w:type="dxa"/>
            <w:vAlign w:val="center"/>
          </w:tcPr>
          <w:p>
            <w:pPr>
              <w:snapToGrid w:val="0"/>
              <w:spacing w:line="240" w:lineRule="auto"/>
              <w:jc w:val="center"/>
              <w:rPr>
                <w:rFonts w:hAnsi="宋体"/>
                <w:kern w:val="0"/>
                <w:sz w:val="21"/>
                <w:szCs w:val="21"/>
              </w:rPr>
            </w:pPr>
          </w:p>
        </w:tc>
        <w:tc>
          <w:tcPr>
            <w:tcW w:w="1109" w:type="dxa"/>
            <w:vAlign w:val="center"/>
          </w:tcPr>
          <w:p>
            <w:pPr>
              <w:snapToGrid w:val="0"/>
              <w:spacing w:line="240" w:lineRule="auto"/>
              <w:jc w:val="center"/>
              <w:rPr>
                <w:rFonts w:hAnsi="宋体"/>
                <w:kern w:val="0"/>
                <w:sz w:val="21"/>
                <w:szCs w:val="21"/>
              </w:rPr>
            </w:pPr>
            <w:r>
              <w:rPr>
                <w:rFonts w:hAnsi="宋体"/>
                <w:kern w:val="0"/>
                <w:sz w:val="21"/>
                <w:szCs w:val="21"/>
              </w:rPr>
              <w:t>1.73t/a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980" w:type="dxa"/>
            <w:vMerge w:val="continue"/>
            <w:vAlign w:val="center"/>
          </w:tcPr>
          <w:p>
            <w:pPr>
              <w:snapToGrid w:val="0"/>
              <w:spacing w:line="240" w:lineRule="auto"/>
              <w:jc w:val="center"/>
              <w:rPr>
                <w:rFonts w:hAnsi="宋体"/>
                <w:kern w:val="0"/>
                <w:sz w:val="21"/>
                <w:szCs w:val="21"/>
              </w:rPr>
            </w:pPr>
          </w:p>
        </w:tc>
        <w:tc>
          <w:tcPr>
            <w:tcW w:w="844" w:type="dxa"/>
            <w:vAlign w:val="center"/>
          </w:tcPr>
          <w:p>
            <w:pPr>
              <w:snapToGrid w:val="0"/>
              <w:spacing w:line="240" w:lineRule="auto"/>
              <w:jc w:val="center"/>
              <w:rPr>
                <w:rFonts w:hAnsi="宋体"/>
                <w:kern w:val="0"/>
                <w:sz w:val="21"/>
                <w:szCs w:val="21"/>
              </w:rPr>
            </w:pPr>
            <w:r>
              <w:rPr>
                <w:rFonts w:hint="eastAsia" w:hAnsi="宋体"/>
                <w:kern w:val="0"/>
                <w:sz w:val="21"/>
                <w:szCs w:val="21"/>
              </w:rPr>
              <w:t>H</w:t>
            </w:r>
            <w:r>
              <w:rPr>
                <w:rFonts w:hAnsi="宋体"/>
                <w:kern w:val="0"/>
                <w:sz w:val="21"/>
                <w:szCs w:val="21"/>
                <w:vertAlign w:val="subscript"/>
              </w:rPr>
              <w:t>2</w:t>
            </w:r>
            <w:r>
              <w:rPr>
                <w:rFonts w:hAnsi="宋体"/>
                <w:kern w:val="0"/>
                <w:sz w:val="21"/>
                <w:szCs w:val="21"/>
              </w:rPr>
              <w:t>S</w:t>
            </w:r>
          </w:p>
        </w:tc>
        <w:tc>
          <w:tcPr>
            <w:tcW w:w="2647" w:type="dxa"/>
          </w:tcPr>
          <w:p>
            <w:pPr>
              <w:snapToGrid w:val="0"/>
              <w:spacing w:line="240" w:lineRule="auto"/>
              <w:jc w:val="center"/>
              <w:rPr>
                <w:rFonts w:hAnsi="宋体"/>
                <w:kern w:val="0"/>
                <w:sz w:val="21"/>
                <w:szCs w:val="21"/>
              </w:rPr>
            </w:pPr>
          </w:p>
        </w:tc>
        <w:tc>
          <w:tcPr>
            <w:tcW w:w="1999" w:type="dxa"/>
            <w:vAlign w:val="center"/>
          </w:tcPr>
          <w:p>
            <w:pPr>
              <w:snapToGrid w:val="0"/>
              <w:spacing w:line="240" w:lineRule="auto"/>
              <w:jc w:val="center"/>
              <w:rPr>
                <w:rFonts w:hAnsi="宋体"/>
                <w:kern w:val="0"/>
                <w:sz w:val="21"/>
                <w:szCs w:val="21"/>
              </w:rPr>
            </w:pPr>
          </w:p>
        </w:tc>
        <w:tc>
          <w:tcPr>
            <w:tcW w:w="1152" w:type="dxa"/>
            <w:vAlign w:val="center"/>
          </w:tcPr>
          <w:p>
            <w:pPr>
              <w:snapToGrid w:val="0"/>
              <w:spacing w:line="240" w:lineRule="auto"/>
              <w:jc w:val="center"/>
              <w:rPr>
                <w:rFonts w:hAnsi="宋体"/>
                <w:kern w:val="0"/>
                <w:sz w:val="21"/>
                <w:szCs w:val="21"/>
              </w:rPr>
            </w:pPr>
          </w:p>
        </w:tc>
        <w:tc>
          <w:tcPr>
            <w:tcW w:w="1109" w:type="dxa"/>
            <w:vAlign w:val="center"/>
          </w:tcPr>
          <w:p>
            <w:pPr>
              <w:snapToGrid w:val="0"/>
              <w:spacing w:line="240" w:lineRule="auto"/>
              <w:jc w:val="center"/>
              <w:rPr>
                <w:rFonts w:hAnsi="宋体"/>
                <w:kern w:val="0"/>
                <w:sz w:val="21"/>
                <w:szCs w:val="21"/>
              </w:rPr>
            </w:pPr>
            <w:r>
              <w:rPr>
                <w:rFonts w:hint="eastAsia" w:hAnsi="宋体"/>
                <w:kern w:val="0"/>
                <w:sz w:val="21"/>
                <w:szCs w:val="21"/>
              </w:rPr>
              <w:t>0</w:t>
            </w:r>
            <w:r>
              <w:rPr>
                <w:rFonts w:hAnsi="宋体"/>
                <w:kern w:val="0"/>
                <w:sz w:val="21"/>
                <w:szCs w:val="21"/>
              </w:rPr>
              <w:t>.016</w:t>
            </w:r>
            <w:r>
              <w:rPr>
                <w:rFonts w:hint="eastAsia" w:hAnsi="宋体"/>
                <w:kern w:val="0"/>
                <w:sz w:val="21"/>
                <w:szCs w:val="21"/>
              </w:rPr>
              <w:t>t/a</w:t>
            </w:r>
          </w:p>
        </w:tc>
      </w:tr>
    </w:tbl>
    <w:p>
      <w:pPr>
        <w:pStyle w:val="2"/>
        <w:ind w:firstLine="480"/>
        <w:rPr>
          <w:rFonts w:hint="default"/>
        </w:rPr>
      </w:pPr>
    </w:p>
    <w:p>
      <w:pPr>
        <w:pStyle w:val="970"/>
        <w:snapToGrid w:val="0"/>
        <w:ind w:firstLine="0"/>
        <w:outlineLvl w:val="3"/>
        <w:rPr>
          <w:rFonts w:eastAsia="黑体"/>
          <w:bCs/>
          <w:szCs w:val="24"/>
        </w:rPr>
      </w:pPr>
      <w:r>
        <w:rPr>
          <w:rFonts w:eastAsia="黑体"/>
          <w:bCs/>
          <w:szCs w:val="24"/>
        </w:rPr>
        <w:t>7.2.1.6</w:t>
      </w:r>
      <w:r>
        <w:rPr>
          <w:rFonts w:hint="eastAsia" w:eastAsia="黑体"/>
          <w:bCs/>
          <w:szCs w:val="24"/>
        </w:rPr>
        <w:t>建设项目</w:t>
      </w:r>
      <w:r>
        <w:rPr>
          <w:rFonts w:eastAsia="黑体"/>
          <w:bCs/>
          <w:szCs w:val="24"/>
        </w:rPr>
        <w:t>大气环境影响评价自查表</w:t>
      </w:r>
    </w:p>
    <w:p>
      <w:pPr>
        <w:adjustRightInd w:val="0"/>
        <w:snapToGrid w:val="0"/>
        <w:ind w:firstLine="480" w:firstLineChars="200"/>
      </w:pPr>
      <w:r>
        <w:rPr>
          <w:rFonts w:hint="eastAsia"/>
        </w:rPr>
        <w:t>建设项目大气环境影响评价自查表见表</w:t>
      </w:r>
      <w:r>
        <w:t>7.2</w:t>
      </w:r>
      <w:r>
        <w:rPr>
          <w:rFonts w:hint="eastAsia"/>
        </w:rPr>
        <w:t>-</w:t>
      </w:r>
      <w:r>
        <w:t>8</w:t>
      </w:r>
      <w:r>
        <w:rPr>
          <w:rFonts w:hint="eastAsia"/>
        </w:rPr>
        <w:t>。</w:t>
      </w:r>
    </w:p>
    <w:p>
      <w:pPr>
        <w:widowControl/>
        <w:spacing w:line="240" w:lineRule="auto"/>
        <w:ind w:firstLine="1440" w:firstLineChars="600"/>
        <w:rPr>
          <w:rFonts w:eastAsia="黑体"/>
        </w:rPr>
      </w:pPr>
    </w:p>
    <w:p>
      <w:pPr>
        <w:widowControl/>
        <w:spacing w:line="240" w:lineRule="auto"/>
        <w:ind w:firstLine="1440" w:firstLineChars="600"/>
        <w:rPr>
          <w:rFonts w:eastAsia="黑体"/>
        </w:rPr>
      </w:pPr>
    </w:p>
    <w:p>
      <w:pPr>
        <w:widowControl/>
        <w:spacing w:line="240" w:lineRule="auto"/>
        <w:ind w:firstLine="1440" w:firstLineChars="600"/>
        <w:rPr>
          <w:rFonts w:eastAsia="黑体"/>
        </w:rPr>
      </w:pPr>
      <w:r>
        <w:rPr>
          <w:rFonts w:eastAsia="黑体"/>
        </w:rPr>
        <w:t>表7.2</w:t>
      </w:r>
      <w:r>
        <w:rPr>
          <w:rFonts w:hint="eastAsia" w:eastAsia="黑体"/>
        </w:rPr>
        <w:t>-</w:t>
      </w:r>
      <w:r>
        <w:rPr>
          <w:rFonts w:eastAsia="黑体"/>
        </w:rPr>
        <w:t>8</w:t>
      </w:r>
      <w:r>
        <w:rPr>
          <w:rFonts w:eastAsia="黑体"/>
        </w:rPr>
        <w:tab/>
      </w:r>
      <w:r>
        <w:rPr>
          <w:rFonts w:hint="eastAsia" w:eastAsia="黑体"/>
        </w:rPr>
        <w:t>建设项目大气环境影响评价自查表</w:t>
      </w:r>
    </w:p>
    <w:tbl>
      <w:tblPr>
        <w:tblStyle w:val="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176"/>
        <w:gridCol w:w="997"/>
        <w:gridCol w:w="827"/>
        <w:gridCol w:w="90"/>
        <w:gridCol w:w="291"/>
        <w:gridCol w:w="76"/>
        <w:gridCol w:w="1243"/>
        <w:gridCol w:w="34"/>
        <w:gridCol w:w="28"/>
        <w:gridCol w:w="41"/>
        <w:gridCol w:w="726"/>
        <w:gridCol w:w="344"/>
        <w:gridCol w:w="395"/>
        <w:gridCol w:w="181"/>
        <w:gridCol w:w="285"/>
        <w:gridCol w:w="374"/>
        <w:gridCol w:w="576"/>
        <w:gridCol w:w="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tcBorders>
              <w:top w:val="single" w:color="auto" w:sz="12"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工作内容</w:t>
            </w:r>
          </w:p>
        </w:tc>
        <w:tc>
          <w:tcPr>
            <w:tcW w:w="6854" w:type="dxa"/>
            <w:gridSpan w:val="17"/>
            <w:tcBorders>
              <w:top w:val="single" w:color="auto" w:sz="12"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评价等级与范围</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评价等级</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一级□</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二级√</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评价范围</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边长=</w:t>
            </w:r>
            <w:r>
              <w:rPr>
                <w:rFonts w:hAnsi="宋体"/>
                <w:kern w:val="0"/>
                <w:sz w:val="18"/>
                <w:szCs w:val="18"/>
              </w:rPr>
              <w:t>50km</w:t>
            </w:r>
            <w:r>
              <w:rPr>
                <w:rFonts w:hint="eastAsia" w:hAnsi="宋体"/>
                <w:kern w:val="0"/>
                <w:sz w:val="18"/>
                <w:szCs w:val="18"/>
              </w:rPr>
              <w:t>□</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边长5~</w:t>
            </w:r>
            <w:r>
              <w:rPr>
                <w:rFonts w:hAnsi="宋体"/>
                <w:kern w:val="0"/>
                <w:sz w:val="18"/>
                <w:szCs w:val="18"/>
              </w:rPr>
              <w:t>50km</w:t>
            </w:r>
            <w:r>
              <w:rPr>
                <w:rFonts w:hint="eastAsia" w:hAnsi="宋体"/>
                <w:kern w:val="0"/>
                <w:sz w:val="18"/>
                <w:szCs w:val="18"/>
              </w:rPr>
              <w:t>□</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边长=</w:t>
            </w:r>
            <w:r>
              <w:rPr>
                <w:rFonts w:hAnsi="宋体"/>
                <w:kern w:val="0"/>
                <w:sz w:val="18"/>
                <w:szCs w:val="18"/>
              </w:rPr>
              <w:t>5</w:t>
            </w:r>
            <w:r>
              <w:rPr>
                <w:rFonts w:hint="eastAsia" w:hAnsi="宋体"/>
                <w:kern w:val="0"/>
                <w:sz w:val="18"/>
                <w:szCs w:val="18"/>
              </w:rPr>
              <w:t>k</w:t>
            </w:r>
            <w:r>
              <w:rPr>
                <w:rFonts w:hAnsi="宋体"/>
                <w:kern w:val="0"/>
                <w:sz w:val="18"/>
                <w:szCs w:val="18"/>
              </w:rPr>
              <w:t>m</w:t>
            </w:r>
            <w:r>
              <w:rPr>
                <w:rFonts w:hint="eastAsia" w:hAnsi="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评价因子</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S</w:t>
            </w:r>
            <w:r>
              <w:rPr>
                <w:rFonts w:hAnsi="宋体"/>
                <w:kern w:val="0"/>
                <w:sz w:val="18"/>
                <w:szCs w:val="18"/>
              </w:rPr>
              <w:t>O</w:t>
            </w:r>
            <w:r>
              <w:rPr>
                <w:rFonts w:hAnsi="宋体"/>
                <w:kern w:val="0"/>
                <w:sz w:val="18"/>
                <w:szCs w:val="18"/>
                <w:vertAlign w:val="subscript"/>
              </w:rPr>
              <w:t>2</w:t>
            </w:r>
            <w:r>
              <w:rPr>
                <w:rFonts w:hAnsi="宋体"/>
                <w:kern w:val="0"/>
                <w:sz w:val="18"/>
                <w:szCs w:val="18"/>
              </w:rPr>
              <w:t>+NO</w:t>
            </w:r>
            <w:r>
              <w:rPr>
                <w:rFonts w:hAnsi="宋体"/>
                <w:kern w:val="0"/>
                <w:sz w:val="18"/>
                <w:szCs w:val="18"/>
                <w:vertAlign w:val="subscript"/>
              </w:rPr>
              <w:t>X</w:t>
            </w:r>
            <w:r>
              <w:rPr>
                <w:rFonts w:hint="eastAsia" w:hAnsi="宋体"/>
                <w:kern w:val="0"/>
                <w:sz w:val="18"/>
                <w:szCs w:val="18"/>
              </w:rPr>
              <w:t>排放量</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≥2</w:t>
            </w:r>
            <w:r>
              <w:rPr>
                <w:rFonts w:hAnsi="宋体"/>
                <w:kern w:val="0"/>
                <w:sz w:val="18"/>
                <w:szCs w:val="18"/>
              </w:rPr>
              <w:t>000t/a</w:t>
            </w:r>
            <w:r>
              <w:rPr>
                <w:rFonts w:hint="eastAsia" w:hAnsi="宋体"/>
                <w:kern w:val="0"/>
                <w:sz w:val="18"/>
                <w:szCs w:val="18"/>
              </w:rPr>
              <w:t>□</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5</w:t>
            </w:r>
            <w:r>
              <w:rPr>
                <w:rFonts w:hAnsi="宋体"/>
                <w:kern w:val="0"/>
                <w:sz w:val="18"/>
                <w:szCs w:val="18"/>
              </w:rPr>
              <w:t>00</w:t>
            </w:r>
            <w:r>
              <w:rPr>
                <w:rFonts w:hint="eastAsia" w:hAnsi="宋体"/>
                <w:kern w:val="0"/>
                <w:sz w:val="18"/>
                <w:szCs w:val="18"/>
              </w:rPr>
              <w:t>~</w:t>
            </w:r>
            <w:r>
              <w:rPr>
                <w:rFonts w:hAnsi="宋体"/>
                <w:kern w:val="0"/>
                <w:sz w:val="18"/>
                <w:szCs w:val="18"/>
              </w:rPr>
              <w:t>2000t/a</w:t>
            </w:r>
            <w:r>
              <w:rPr>
                <w:rFonts w:hint="eastAsia" w:hAnsi="宋体"/>
                <w:kern w:val="0"/>
                <w:sz w:val="18"/>
                <w:szCs w:val="18"/>
              </w:rPr>
              <w:t>□</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＜5</w:t>
            </w:r>
            <w:r>
              <w:rPr>
                <w:rFonts w:hAnsi="宋体"/>
                <w:kern w:val="0"/>
                <w:sz w:val="18"/>
                <w:szCs w:val="18"/>
              </w:rPr>
              <w:t>00</w:t>
            </w:r>
            <w:r>
              <w:rPr>
                <w:rFonts w:hint="eastAsia" w:hAnsi="宋体"/>
                <w:kern w:val="0"/>
                <w:sz w:val="18"/>
                <w:szCs w:val="18"/>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评价因子</w:t>
            </w:r>
          </w:p>
        </w:tc>
        <w:tc>
          <w:tcPr>
            <w:tcW w:w="3317"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基本污染物（SO</w:t>
            </w:r>
            <w:r>
              <w:rPr>
                <w:rFonts w:hint="eastAsia" w:hAnsi="宋体"/>
                <w:kern w:val="0"/>
                <w:sz w:val="18"/>
                <w:szCs w:val="18"/>
                <w:vertAlign w:val="subscript"/>
              </w:rPr>
              <w:t>2</w:t>
            </w:r>
            <w:r>
              <w:rPr>
                <w:rFonts w:hint="eastAsia" w:hAnsi="宋体"/>
                <w:kern w:val="0"/>
                <w:sz w:val="18"/>
                <w:szCs w:val="18"/>
              </w:rPr>
              <w:t>、NO</w:t>
            </w:r>
            <w:r>
              <w:rPr>
                <w:rFonts w:hint="eastAsia" w:hAnsi="宋体"/>
                <w:kern w:val="0"/>
                <w:sz w:val="18"/>
                <w:szCs w:val="18"/>
                <w:vertAlign w:val="subscript"/>
              </w:rPr>
              <w:t>X</w:t>
            </w:r>
            <w:r>
              <w:rPr>
                <w:rFonts w:hint="eastAsia" w:hAnsi="宋体"/>
                <w:kern w:val="0"/>
                <w:sz w:val="18"/>
                <w:szCs w:val="18"/>
              </w:rPr>
              <w:t>、PM</w:t>
            </w:r>
            <w:r>
              <w:rPr>
                <w:rFonts w:hint="eastAsia" w:hAnsi="宋体"/>
                <w:kern w:val="0"/>
                <w:sz w:val="18"/>
                <w:szCs w:val="18"/>
                <w:vertAlign w:val="subscript"/>
              </w:rPr>
              <w:t>2.5</w:t>
            </w:r>
            <w:r>
              <w:rPr>
                <w:rFonts w:hint="eastAsia" w:hAnsi="宋体"/>
                <w:kern w:val="0"/>
                <w:sz w:val="18"/>
                <w:szCs w:val="18"/>
              </w:rPr>
              <w:t>、PM</w:t>
            </w:r>
            <w:r>
              <w:rPr>
                <w:rFonts w:hint="eastAsia" w:hAnsi="宋体"/>
                <w:kern w:val="0"/>
                <w:sz w:val="18"/>
                <w:szCs w:val="18"/>
                <w:vertAlign w:val="subscript"/>
              </w:rPr>
              <w:t>10</w:t>
            </w:r>
            <w:r>
              <w:rPr>
                <w:rFonts w:hint="eastAsia" w:hAnsi="宋体"/>
                <w:kern w:val="0"/>
                <w:sz w:val="18"/>
                <w:szCs w:val="18"/>
              </w:rPr>
              <w:t>、 CO、O</w:t>
            </w:r>
            <w:r>
              <w:rPr>
                <w:rFonts w:hint="eastAsia" w:hAnsi="宋体"/>
                <w:kern w:val="0"/>
                <w:sz w:val="18"/>
                <w:szCs w:val="18"/>
                <w:vertAlign w:val="subscript"/>
              </w:rPr>
              <w:t>3</w:t>
            </w:r>
            <w:r>
              <w:rPr>
                <w:rFonts w:hint="eastAsia" w:hAnsi="宋体"/>
                <w:kern w:val="0"/>
                <w:sz w:val="18"/>
                <w:szCs w:val="18"/>
              </w:rPr>
              <w:t>）其他污染物（氨气、硫化氢</w:t>
            </w:r>
          </w:p>
        </w:tc>
        <w:tc>
          <w:tcPr>
            <w:tcW w:w="3537" w:type="dxa"/>
            <w:gridSpan w:val="9"/>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PM2.5□  不包括二次PM2.5√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评价标准</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评价标准</w:t>
            </w:r>
          </w:p>
        </w:tc>
        <w:tc>
          <w:tcPr>
            <w:tcW w:w="1884" w:type="dxa"/>
            <w:gridSpan w:val="4"/>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国家标准□</w:t>
            </w:r>
          </w:p>
        </w:tc>
        <w:tc>
          <w:tcPr>
            <w:tcW w:w="1433" w:type="dxa"/>
            <w:gridSpan w:val="4"/>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地方标准□</w:t>
            </w:r>
          </w:p>
        </w:tc>
        <w:tc>
          <w:tcPr>
            <w:tcW w:w="2090" w:type="dxa"/>
            <w:gridSpan w:val="6"/>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b/>
                <w:kern w:val="0"/>
                <w:sz w:val="18"/>
                <w:szCs w:val="18"/>
              </w:rPr>
            </w:pPr>
            <w:r>
              <w:rPr>
                <w:rFonts w:hint="eastAsia" w:hAnsi="宋体"/>
                <w:kern w:val="0"/>
                <w:sz w:val="18"/>
                <w:szCs w:val="18"/>
              </w:rPr>
              <w:t>附录√</w:t>
            </w:r>
          </w:p>
        </w:tc>
        <w:tc>
          <w:tcPr>
            <w:tcW w:w="1447" w:type="dxa"/>
            <w:gridSpan w:val="3"/>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b/>
                <w:kern w:val="0"/>
                <w:sz w:val="18"/>
                <w:szCs w:val="18"/>
              </w:rPr>
            </w:pPr>
            <w:r>
              <w:rPr>
                <w:rFonts w:hint="eastAsia" w:hAnsi="宋体"/>
                <w:kern w:val="0"/>
                <w:sz w:val="18"/>
                <w:szCs w:val="18"/>
              </w:rPr>
              <w:t>其他标准□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现状评价</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环境功能区</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一类区□</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二类区□</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评价基准年</w:t>
            </w:r>
          </w:p>
        </w:tc>
        <w:tc>
          <w:tcPr>
            <w:tcW w:w="6854" w:type="dxa"/>
            <w:gridSpan w:val="17"/>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2</w:t>
            </w:r>
            <w:r>
              <w:rPr>
                <w:rFonts w:hAnsi="宋体"/>
                <w:kern w:val="0"/>
                <w:sz w:val="18"/>
                <w:szCs w:val="18"/>
              </w:rPr>
              <w:t>018</w:t>
            </w:r>
            <w:r>
              <w:rPr>
                <w:rFonts w:hint="eastAsia" w:hAnsi="宋体"/>
                <w:kern w:val="0"/>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环境空气质量现状调查数据来源</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长期例行监测数据□</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主管部门发布的数据√</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现状补充监测√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现状评价</w:t>
            </w:r>
          </w:p>
        </w:tc>
        <w:tc>
          <w:tcPr>
            <w:tcW w:w="3317"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达标区</w:t>
            </w:r>
          </w:p>
        </w:tc>
        <w:tc>
          <w:tcPr>
            <w:tcW w:w="3537" w:type="dxa"/>
            <w:gridSpan w:val="9"/>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不达标区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污染源调查</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调查内容</w:t>
            </w:r>
          </w:p>
        </w:tc>
        <w:tc>
          <w:tcPr>
            <w:tcW w:w="1963" w:type="dxa"/>
            <w:gridSpan w:val="5"/>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本项目正常排放源√ 本项目非正常排放源√ 现有污染源□</w:t>
            </w:r>
          </w:p>
        </w:tc>
        <w:tc>
          <w:tcPr>
            <w:tcW w:w="2137" w:type="dxa"/>
            <w:gridSpan w:val="5"/>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拟替代的污染源□</w:t>
            </w:r>
          </w:p>
        </w:tc>
        <w:tc>
          <w:tcPr>
            <w:tcW w:w="1725" w:type="dxa"/>
            <w:gridSpan w:val="5"/>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其他在建、拟建项 目污染源□</w:t>
            </w:r>
          </w:p>
        </w:tc>
        <w:tc>
          <w:tcPr>
            <w:tcW w:w="1029" w:type="dxa"/>
            <w:gridSpan w:val="2"/>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区域污染源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大气环境影响预测与评价</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预测模型</w:t>
            </w:r>
          </w:p>
        </w:tc>
        <w:tc>
          <w:tcPr>
            <w:tcW w:w="810"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AERMOD □</w:t>
            </w:r>
          </w:p>
        </w:tc>
        <w:tc>
          <w:tcPr>
            <w:tcW w:w="772" w:type="dxa"/>
            <w:gridSpan w:val="2"/>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ADMS□</w:t>
            </w:r>
          </w:p>
        </w:tc>
        <w:tc>
          <w:tcPr>
            <w:tcW w:w="1673"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Ansi="宋体"/>
                <w:kern w:val="0"/>
                <w:sz w:val="18"/>
                <w:szCs w:val="18"/>
              </w:rPr>
              <w:t>AUSTAL2000</w:t>
            </w:r>
            <w:r>
              <w:rPr>
                <w:rFonts w:hint="eastAsia" w:hAnsi="宋体"/>
                <w:kern w:val="0"/>
                <w:sz w:val="18"/>
                <w:szCs w:val="18"/>
              </w:rPr>
              <w:t>□</w:t>
            </w:r>
          </w:p>
        </w:tc>
        <w:tc>
          <w:tcPr>
            <w:tcW w:w="1189" w:type="dxa"/>
            <w:gridSpan w:val="5"/>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EDMS/AED T□</w:t>
            </w:r>
          </w:p>
        </w:tc>
        <w:tc>
          <w:tcPr>
            <w:tcW w:w="1381" w:type="dxa"/>
            <w:gridSpan w:val="4"/>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CALPUF F□</w:t>
            </w:r>
          </w:p>
        </w:tc>
        <w:tc>
          <w:tcPr>
            <w:tcW w:w="529"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网格模型□</w:t>
            </w:r>
          </w:p>
        </w:tc>
        <w:tc>
          <w:tcPr>
            <w:tcW w:w="500" w:type="dxa"/>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预测范围</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边长≥5</w:t>
            </w:r>
            <w:r>
              <w:rPr>
                <w:rFonts w:hAnsi="宋体"/>
                <w:kern w:val="0"/>
                <w:sz w:val="18"/>
                <w:szCs w:val="18"/>
              </w:rPr>
              <w:t>0km</w:t>
            </w:r>
            <w:r>
              <w:rPr>
                <w:rFonts w:hint="eastAsia" w:hAnsi="宋体"/>
                <w:kern w:val="0"/>
                <w:sz w:val="18"/>
                <w:szCs w:val="18"/>
              </w:rPr>
              <w:t>□</w:t>
            </w:r>
          </w:p>
        </w:tc>
        <w:tc>
          <w:tcPr>
            <w:tcW w:w="3304" w:type="dxa"/>
            <w:gridSpan w:val="9"/>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边长5~</w:t>
            </w:r>
            <w:r>
              <w:rPr>
                <w:rFonts w:hAnsi="宋体"/>
                <w:kern w:val="0"/>
                <w:sz w:val="18"/>
                <w:szCs w:val="18"/>
              </w:rPr>
              <w:t>50km</w:t>
            </w:r>
            <w:r>
              <w:rPr>
                <w:rFonts w:hint="eastAsia" w:hAnsi="宋体"/>
                <w:kern w:val="0"/>
                <w:sz w:val="18"/>
                <w:szCs w:val="18"/>
              </w:rPr>
              <w:t>□</w:t>
            </w:r>
          </w:p>
        </w:tc>
        <w:tc>
          <w:tcPr>
            <w:tcW w:w="1968" w:type="dxa"/>
            <w:gridSpan w:val="5"/>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边长=</w:t>
            </w:r>
            <w:r>
              <w:rPr>
                <w:rFonts w:hAnsi="宋体"/>
                <w:kern w:val="0"/>
                <w:sz w:val="18"/>
                <w:szCs w:val="18"/>
              </w:rPr>
              <w:t>5</w:t>
            </w:r>
            <w:r>
              <w:rPr>
                <w:rFonts w:hint="eastAsia" w:hAnsi="宋体"/>
                <w:kern w:val="0"/>
                <w:sz w:val="18"/>
                <w:szCs w:val="18"/>
              </w:rPr>
              <w:t>k</w:t>
            </w:r>
            <w:r>
              <w:rPr>
                <w:rFonts w:hAnsi="宋体"/>
                <w:kern w:val="0"/>
                <w:sz w:val="18"/>
                <w:szCs w:val="18"/>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预测因子</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预测因子</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 xml:space="preserve">包括二次 PM2.5□ </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不包括二次 PM2.5□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正常排放短期浓度 贡献值</w:t>
            </w:r>
          </w:p>
          <w:p>
            <w:pPr>
              <w:snapToGrid w:val="0"/>
              <w:spacing w:line="240" w:lineRule="auto"/>
              <w:jc w:val="center"/>
              <w:rPr>
                <w:rFonts w:hAnsi="宋体"/>
                <w:kern w:val="0"/>
                <w:sz w:val="18"/>
                <w:szCs w:val="18"/>
              </w:rPr>
            </w:pPr>
          </w:p>
          <w:p>
            <w:pPr>
              <w:snapToGrid w:val="0"/>
              <w:spacing w:line="240" w:lineRule="auto"/>
              <w:jc w:val="center"/>
              <w:rPr>
                <w:rFonts w:hAnsi="宋体"/>
                <w:kern w:val="0"/>
                <w:sz w:val="18"/>
                <w:szCs w:val="18"/>
              </w:rPr>
            </w:pPr>
          </w:p>
        </w:tc>
        <w:tc>
          <w:tcPr>
            <w:tcW w:w="3359" w:type="dxa"/>
            <w:gridSpan w:val="9"/>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本项目最大占标率≤100%□</w:t>
            </w:r>
          </w:p>
        </w:tc>
        <w:tc>
          <w:tcPr>
            <w:tcW w:w="3495" w:type="dxa"/>
            <w:gridSpan w:val="8"/>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正常排放年均浓度 贡献值</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一类区</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本项目最大占标率≤10%□</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vMerge w:val="continue"/>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二类区</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本项目最大占标率≤30%□</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本项目最大标率＞30%□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非正常排放 1h 浓度 贡献值</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非正常持续时长 （）h</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非正常占标率≤100%□</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ascii="Cambria Math" w:hAnsi="Cambria Math" w:cs="Cambria Math"/>
                <w:kern w:val="0"/>
                <w:sz w:val="18"/>
                <w:szCs w:val="18"/>
              </w:rPr>
              <w:t>𝐶</w:t>
            </w:r>
            <w:r>
              <w:rPr>
                <w:rFonts w:hint="eastAsia" w:hAnsi="宋体"/>
                <w:kern w:val="0"/>
                <w:sz w:val="18"/>
                <w:szCs w:val="18"/>
              </w:rPr>
              <w:t>非正常占标率＞100%□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保证率日平均浓度 和年平均浓度叠加 值</w:t>
            </w:r>
          </w:p>
        </w:tc>
        <w:tc>
          <w:tcPr>
            <w:tcW w:w="3359" w:type="dxa"/>
            <w:gridSpan w:val="9"/>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叠加达标□</w:t>
            </w:r>
          </w:p>
        </w:tc>
        <w:tc>
          <w:tcPr>
            <w:tcW w:w="3495" w:type="dxa"/>
            <w:gridSpan w:val="8"/>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叠加不达标□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区域环境质量的整 体变化情</w:t>
            </w:r>
          </w:p>
        </w:tc>
        <w:tc>
          <w:tcPr>
            <w:tcW w:w="3359" w:type="dxa"/>
            <w:gridSpan w:val="9"/>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K≤-</w:t>
            </w:r>
            <w:r>
              <w:rPr>
                <w:rFonts w:hAnsi="宋体"/>
                <w:kern w:val="0"/>
                <w:sz w:val="18"/>
                <w:szCs w:val="18"/>
              </w:rPr>
              <w:t>20</w:t>
            </w:r>
            <w:r>
              <w:rPr>
                <w:rFonts w:hint="eastAsia" w:hAnsi="宋体"/>
                <w:kern w:val="0"/>
                <w:sz w:val="18"/>
                <w:szCs w:val="18"/>
              </w:rPr>
              <w:t>%□</w:t>
            </w:r>
          </w:p>
        </w:tc>
        <w:tc>
          <w:tcPr>
            <w:tcW w:w="3495" w:type="dxa"/>
            <w:gridSpan w:val="8"/>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K＞-</w:t>
            </w:r>
            <w:r>
              <w:rPr>
                <w:rFonts w:hAnsi="宋体"/>
                <w:kern w:val="0"/>
                <w:sz w:val="18"/>
                <w:szCs w:val="18"/>
              </w:rPr>
              <w:t>20</w:t>
            </w:r>
            <w:r>
              <w:rPr>
                <w:rFonts w:hint="eastAsia" w:hAnsi="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环境监测计划</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污染源监测</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监测因子：（NH</w:t>
            </w:r>
            <w:r>
              <w:rPr>
                <w:rFonts w:hint="eastAsia" w:hAnsi="宋体"/>
                <w:kern w:val="0"/>
                <w:sz w:val="18"/>
                <w:szCs w:val="18"/>
                <w:vertAlign w:val="subscript"/>
              </w:rPr>
              <w:t>3</w:t>
            </w:r>
            <w:r>
              <w:rPr>
                <w:rFonts w:hint="eastAsia" w:hAnsi="宋体"/>
                <w:kern w:val="0"/>
                <w:sz w:val="18"/>
                <w:szCs w:val="18"/>
              </w:rPr>
              <w:t>、H</w:t>
            </w:r>
            <w:r>
              <w:rPr>
                <w:rFonts w:hint="eastAsia" w:hAnsi="宋体"/>
                <w:kern w:val="0"/>
                <w:sz w:val="18"/>
                <w:szCs w:val="18"/>
                <w:vertAlign w:val="subscript"/>
              </w:rPr>
              <w:t>2</w:t>
            </w:r>
            <w:r>
              <w:rPr>
                <w:rFonts w:hint="eastAsia" w:hAnsi="宋体"/>
                <w:kern w:val="0"/>
                <w:sz w:val="18"/>
                <w:szCs w:val="18"/>
              </w:rPr>
              <w:t xml:space="preserve">S、臭气浓度） </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 xml:space="preserve">有组织废气监测□ 无组织废气监测√ </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环境质量监测</w:t>
            </w:r>
          </w:p>
        </w:tc>
        <w:tc>
          <w:tcPr>
            <w:tcW w:w="1582" w:type="dxa"/>
            <w:gridSpan w:val="3"/>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监测因子：（NH</w:t>
            </w:r>
            <w:r>
              <w:rPr>
                <w:rFonts w:hint="eastAsia" w:hAnsi="宋体"/>
                <w:kern w:val="0"/>
                <w:sz w:val="18"/>
                <w:szCs w:val="18"/>
                <w:vertAlign w:val="subscript"/>
              </w:rPr>
              <w:t>3</w:t>
            </w:r>
            <w:r>
              <w:rPr>
                <w:rFonts w:hint="eastAsia" w:hAnsi="宋体"/>
                <w:kern w:val="0"/>
                <w:sz w:val="18"/>
                <w:szCs w:val="18"/>
              </w:rPr>
              <w:t>、H</w:t>
            </w:r>
            <w:r>
              <w:rPr>
                <w:rFonts w:hint="eastAsia" w:hAnsi="宋体"/>
                <w:kern w:val="0"/>
                <w:sz w:val="18"/>
                <w:szCs w:val="18"/>
                <w:vertAlign w:val="subscript"/>
              </w:rPr>
              <w:t>2</w:t>
            </w:r>
            <w:r>
              <w:rPr>
                <w:rFonts w:hint="eastAsia" w:hAnsi="宋体"/>
                <w:kern w:val="0"/>
                <w:sz w:val="18"/>
                <w:szCs w:val="18"/>
              </w:rPr>
              <w:t>S、臭气浓度）</w:t>
            </w:r>
          </w:p>
        </w:tc>
        <w:tc>
          <w:tcPr>
            <w:tcW w:w="2862" w:type="dxa"/>
            <w:gridSpan w:val="8"/>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监测点位数(</w:t>
            </w:r>
            <w:r>
              <w:rPr>
                <w:rFonts w:hAnsi="宋体"/>
                <w:kern w:val="0"/>
                <w:sz w:val="18"/>
                <w:szCs w:val="18"/>
              </w:rPr>
              <w:t>4)</w:t>
            </w:r>
          </w:p>
        </w:tc>
        <w:tc>
          <w:tcPr>
            <w:tcW w:w="2410" w:type="dxa"/>
            <w:gridSpan w:val="6"/>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评价结论</w:t>
            </w: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环境影响</w:t>
            </w:r>
          </w:p>
        </w:tc>
        <w:tc>
          <w:tcPr>
            <w:tcW w:w="6854" w:type="dxa"/>
            <w:gridSpan w:val="17"/>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可以接受√ 不可以接受□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17" w:type="dxa"/>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大气环境防护距离</w:t>
            </w:r>
          </w:p>
        </w:tc>
        <w:tc>
          <w:tcPr>
            <w:tcW w:w="6854" w:type="dxa"/>
            <w:gridSpan w:val="17"/>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距厂界最远（）m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6" w:space="0"/>
              <w:left w:val="nil"/>
              <w:bottom w:val="single" w:color="auto" w:sz="6" w:space="0"/>
              <w:right w:val="single" w:color="auto" w:sz="6" w:space="0"/>
            </w:tcBorders>
            <w:vAlign w:val="center"/>
          </w:tcPr>
          <w:p>
            <w:pPr>
              <w:snapToGrid w:val="0"/>
              <w:spacing w:line="240" w:lineRule="auto"/>
              <w:jc w:val="center"/>
              <w:rPr>
                <w:rFonts w:hAnsi="宋体"/>
                <w:kern w:val="0"/>
                <w:sz w:val="18"/>
                <w:szCs w:val="18"/>
              </w:rPr>
            </w:pPr>
          </w:p>
        </w:tc>
        <w:tc>
          <w:tcPr>
            <w:tcW w:w="1276" w:type="dxa"/>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污染源年排放量</w:t>
            </w:r>
          </w:p>
        </w:tc>
        <w:tc>
          <w:tcPr>
            <w:tcW w:w="1507" w:type="dxa"/>
            <w:gridSpan w:val="2"/>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 xml:space="preserve">SO2:（）t/a </w:t>
            </w:r>
          </w:p>
        </w:tc>
        <w:tc>
          <w:tcPr>
            <w:tcW w:w="1782" w:type="dxa"/>
            <w:gridSpan w:val="5"/>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 xml:space="preserve">NOx:（）t/a </w:t>
            </w:r>
          </w:p>
        </w:tc>
        <w:tc>
          <w:tcPr>
            <w:tcW w:w="1799" w:type="dxa"/>
            <w:gridSpan w:val="6"/>
            <w:tcBorders>
              <w:top w:val="single" w:color="auto" w:sz="6" w:space="0"/>
              <w:left w:val="single" w:color="auto" w:sz="6" w:space="0"/>
              <w:bottom w:val="single" w:color="auto" w:sz="6" w:space="0"/>
              <w:right w:val="single" w:color="auto" w:sz="6" w:space="0"/>
            </w:tcBorders>
            <w:vAlign w:val="center"/>
          </w:tcPr>
          <w:p>
            <w:pPr>
              <w:snapToGrid w:val="0"/>
              <w:spacing w:line="240" w:lineRule="auto"/>
              <w:jc w:val="center"/>
              <w:rPr>
                <w:rFonts w:hAnsi="宋体"/>
                <w:kern w:val="0"/>
                <w:sz w:val="18"/>
                <w:szCs w:val="18"/>
              </w:rPr>
            </w:pPr>
            <w:r>
              <w:rPr>
                <w:rFonts w:hint="eastAsia" w:hAnsi="宋体"/>
                <w:kern w:val="0"/>
                <w:sz w:val="18"/>
                <w:szCs w:val="18"/>
              </w:rPr>
              <w:t xml:space="preserve">颗粒物:（）t/a </w:t>
            </w:r>
          </w:p>
        </w:tc>
        <w:tc>
          <w:tcPr>
            <w:tcW w:w="1766" w:type="dxa"/>
            <w:gridSpan w:val="4"/>
            <w:tcBorders>
              <w:top w:val="single" w:color="auto" w:sz="6" w:space="0"/>
              <w:left w:val="single" w:color="auto" w:sz="6" w:space="0"/>
              <w:bottom w:val="single" w:color="auto" w:sz="6"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VOCs:（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7" w:type="dxa"/>
            <w:gridSpan w:val="19"/>
            <w:tcBorders>
              <w:top w:val="single" w:color="auto" w:sz="6" w:space="0"/>
              <w:left w:val="nil"/>
              <w:bottom w:val="single" w:color="auto" w:sz="12" w:space="0"/>
              <w:right w:val="nil"/>
            </w:tcBorders>
            <w:vAlign w:val="center"/>
          </w:tcPr>
          <w:p>
            <w:pPr>
              <w:snapToGrid w:val="0"/>
              <w:spacing w:line="240" w:lineRule="auto"/>
              <w:jc w:val="center"/>
              <w:rPr>
                <w:rFonts w:hAnsi="宋体"/>
                <w:kern w:val="0"/>
                <w:sz w:val="18"/>
                <w:szCs w:val="18"/>
              </w:rPr>
            </w:pPr>
            <w:r>
              <w:rPr>
                <w:rFonts w:hint="eastAsia" w:hAnsi="宋体"/>
                <w:kern w:val="0"/>
                <w:sz w:val="18"/>
                <w:szCs w:val="18"/>
              </w:rPr>
              <w:t>注：“□”为勾选项，填“√”；“（ ）”为内容填写项</w:t>
            </w:r>
          </w:p>
        </w:tc>
      </w:tr>
    </w:tbl>
    <w:p>
      <w:pPr>
        <w:pStyle w:val="2"/>
        <w:ind w:firstLine="480"/>
        <w:rPr>
          <w:rFonts w:hint="default"/>
        </w:rPr>
      </w:pPr>
    </w:p>
    <w:p>
      <w:pPr>
        <w:pStyle w:val="970"/>
        <w:snapToGrid w:val="0"/>
        <w:ind w:firstLine="0"/>
        <w:outlineLvl w:val="3"/>
        <w:rPr>
          <w:rFonts w:eastAsia="黑体"/>
          <w:bCs/>
          <w:szCs w:val="24"/>
        </w:rPr>
      </w:pPr>
      <w:r>
        <w:rPr>
          <w:rFonts w:eastAsia="黑体"/>
          <w:bCs/>
          <w:szCs w:val="24"/>
        </w:rPr>
        <w:t>7.2.1.7</w:t>
      </w:r>
      <w:r>
        <w:rPr>
          <w:rFonts w:hint="eastAsia" w:eastAsia="黑体"/>
          <w:bCs/>
          <w:szCs w:val="24"/>
        </w:rPr>
        <w:t>防护</w:t>
      </w:r>
      <w:r>
        <w:rPr>
          <w:rFonts w:eastAsia="黑体"/>
          <w:bCs/>
          <w:szCs w:val="24"/>
        </w:rPr>
        <w:t>距离</w:t>
      </w:r>
    </w:p>
    <w:p>
      <w:pPr>
        <w:pStyle w:val="2"/>
        <w:ind w:firstLine="480"/>
        <w:rPr>
          <w:rFonts w:hint="default"/>
        </w:rPr>
      </w:pPr>
      <w:r>
        <w:t>（1）大气</w:t>
      </w:r>
      <w:r>
        <w:rPr>
          <w:rFonts w:hint="default"/>
        </w:rPr>
        <w:t>环境防护距离</w:t>
      </w:r>
    </w:p>
    <w:p>
      <w:pPr>
        <w:pStyle w:val="320"/>
        <w:snapToGrid w:val="0"/>
        <w:spacing w:line="360" w:lineRule="auto"/>
        <w:ind w:firstLine="480"/>
        <w:rPr>
          <w:rFonts w:ascii="Times New Roman" w:hAnsi="Times New Roman"/>
        </w:rPr>
      </w:pPr>
      <w:r>
        <w:rPr>
          <w:rFonts w:ascii="Times New Roman" w:hAnsi="Times New Roman"/>
        </w:rPr>
        <w:t>本评价采用《环境影响评价技术导则》（HJ2.2-2018）推荐的大气环境防护距离模式计算项目运营期恶臭气体无组织排放的大气环境防护距离，通过计算结果显示NH</w:t>
      </w:r>
      <w:r>
        <w:rPr>
          <w:rFonts w:ascii="Times New Roman" w:hAnsi="Times New Roman"/>
          <w:vertAlign w:val="subscript"/>
        </w:rPr>
        <w:t>3</w:t>
      </w:r>
      <w:r>
        <w:rPr>
          <w:rFonts w:ascii="Times New Roman" w:hAnsi="Times New Roman"/>
        </w:rPr>
        <w:t>及H</w:t>
      </w:r>
      <w:r>
        <w:rPr>
          <w:rFonts w:ascii="Times New Roman" w:hAnsi="Times New Roman"/>
          <w:vertAlign w:val="subscript"/>
        </w:rPr>
        <w:t>2</w:t>
      </w:r>
      <w:r>
        <w:rPr>
          <w:rFonts w:ascii="Times New Roman" w:hAnsi="Times New Roman"/>
        </w:rPr>
        <w:t>S均无超标点，不需设置大气环境防护距离。</w:t>
      </w:r>
    </w:p>
    <w:p>
      <w:pPr>
        <w:pStyle w:val="2"/>
        <w:ind w:firstLine="480"/>
        <w:rPr>
          <w:rFonts w:hint="default"/>
        </w:rPr>
      </w:pPr>
      <w:r>
        <w:t>（2）</w:t>
      </w:r>
      <w:r>
        <w:rPr>
          <w:rFonts w:hint="default"/>
        </w:rPr>
        <w:t>卫生防护距离</w:t>
      </w:r>
    </w:p>
    <w:p>
      <w:pPr>
        <w:ind w:firstLine="496" w:firstLineChars="200"/>
        <w:textAlignment w:val="baseline"/>
        <w:rPr>
          <w:rFonts w:hAnsi="宋体"/>
          <w:bCs/>
          <w:spacing w:val="4"/>
        </w:rPr>
      </w:pPr>
      <w:r>
        <w:rPr>
          <w:rFonts w:hAnsi="宋体"/>
          <w:bCs/>
          <w:spacing w:val="4"/>
        </w:rPr>
        <w:fldChar w:fldCharType="begin"/>
      </w:r>
      <w:r>
        <w:rPr>
          <w:rFonts w:hAnsi="宋体"/>
          <w:bCs/>
          <w:spacing w:val="4"/>
        </w:rPr>
        <w:instrText xml:space="preserve"> </w:instrText>
      </w:r>
      <w:r>
        <w:rPr>
          <w:rFonts w:hint="eastAsia" w:hAnsi="宋体"/>
          <w:bCs/>
          <w:spacing w:val="4"/>
        </w:rPr>
        <w:instrText xml:space="preserve">= 1 \* GB3</w:instrText>
      </w:r>
      <w:r>
        <w:rPr>
          <w:rFonts w:hAnsi="宋体"/>
          <w:bCs/>
          <w:spacing w:val="4"/>
        </w:rPr>
        <w:instrText xml:space="preserve"> </w:instrText>
      </w:r>
      <w:r>
        <w:rPr>
          <w:rFonts w:hAnsi="宋体"/>
          <w:bCs/>
          <w:spacing w:val="4"/>
        </w:rPr>
        <w:fldChar w:fldCharType="separate"/>
      </w:r>
      <w:r>
        <w:rPr>
          <w:rFonts w:hint="eastAsia" w:hAnsi="宋体"/>
          <w:bCs/>
          <w:spacing w:val="4"/>
        </w:rPr>
        <w:t>①</w:t>
      </w:r>
      <w:r>
        <w:rPr>
          <w:rFonts w:hAnsi="宋体"/>
          <w:bCs/>
          <w:spacing w:val="4"/>
        </w:rPr>
        <w:fldChar w:fldCharType="end"/>
      </w:r>
      <w:r>
        <w:rPr>
          <w:rFonts w:hint="eastAsia" w:hAnsi="宋体"/>
          <w:bCs/>
          <w:spacing w:val="4"/>
        </w:rPr>
        <w:t>卫生防护距离确定</w:t>
      </w:r>
    </w:p>
    <w:p>
      <w:pPr>
        <w:ind w:firstLine="496" w:firstLineChars="200"/>
        <w:textAlignment w:val="baseline"/>
        <w:rPr>
          <w:rFonts w:hAnsi="宋体"/>
          <w:bCs/>
          <w:spacing w:val="4"/>
        </w:rPr>
      </w:pPr>
      <w:r>
        <w:rPr>
          <w:rFonts w:hint="eastAsia" w:hAnsi="宋体"/>
          <w:bCs/>
          <w:spacing w:val="4"/>
        </w:rPr>
        <w:t>本项目位于乐山市井研县高凤乡，项目所在地区域地形属于丘陵地形。根据《村镇规划卫生规范》（GB18055-2012）可知，在复杂地形条件下的住宅区与产生有害因素场所之间的卫生防护距离，应根据环境影响报告，由建设单位主管部门与建设项目所在省、市、自治区的卫生、环境保护部门共同确定。据查该规范未定义“复杂地形”定义。根据</w:t>
      </w:r>
      <w:r>
        <w:rPr>
          <w:rFonts w:hint="eastAsia" w:hAnsi="宋体"/>
          <w:bCs/>
          <w:spacing w:val="4"/>
          <w:lang w:val="en-US" w:eastAsia="zh-CN"/>
        </w:rPr>
        <w:t>中华</w:t>
      </w:r>
      <w:bookmarkStart w:id="900" w:name="_GoBack"/>
      <w:bookmarkEnd w:id="900"/>
      <w:r>
        <w:rPr>
          <w:rFonts w:hint="eastAsia" w:hAnsi="宋体"/>
          <w:bCs/>
          <w:spacing w:val="4"/>
        </w:rPr>
        <w:t>人民共和国卫生部在2011-2012 年提出并归口的多个标准均定义了复杂地形定义，如：《农副食品工业卫生防护距离 第 1 部分：屠宰及肉类加工业》（GB1807.1-2012）中定义的复杂地形为：山区、丘陵、沿海等；《石油加工业卫生防护距离》（GB8195-2011）中定义的复杂地形也为：山区、 丘陵、沿海等；《皮革、毛皮及其制品业卫生防护距离 第 1 部分：皮革鞣 制加工业》（GB18082.1-2012）中定义的复杂地形也为：山区、丘陵、沿海等； 《 交 通 运 输 设 备 制 造 业 卫 生 防 护 距 离 第 1 部 分 ： 汽 车 制 造 业 》（GB18075.1-2012）中定义的复杂地形也为：山区、丘陵、沿海等；《非金属 矿物制品业卫生防护距离 第 1 部分：水泥制造业》（GB18068.1-2012）中定义的复杂地形也为：山区、丘陵、沿海等；《基础化学原料制造业卫生防护距 离 第 1 部分：烧碱制造业》（GB18071.1-2012）中定义的复杂地形也为：山区、丘陵、沿海等。故本评价可认为，中</w:t>
      </w:r>
      <w:r>
        <w:rPr>
          <w:rFonts w:hint="eastAsia" w:hAnsi="宋体"/>
          <w:bCs/>
          <w:spacing w:val="4"/>
          <w:lang w:val="en-US" w:eastAsia="zh-CN"/>
        </w:rPr>
        <w:t>华</w:t>
      </w:r>
      <w:r>
        <w:rPr>
          <w:rFonts w:hint="eastAsia" w:hAnsi="宋体"/>
          <w:bCs/>
          <w:spacing w:val="4"/>
        </w:rPr>
        <w:t>人民共和国卫生部提出并归口的《村镇规划卫生规范》（GB18055-2012）中的复杂地形定义也可以定义为山区、丘陵、沿海等，故本项目所在区域为丘陵地形，即复杂地形，本项目的卫生防护距离应根据环境影响报告，由建设单位主管部门与建设项目所在省、市、自治区的卫生、环境保护部门共同确定。 因此本次评价评价认将按照GB/T3840-1991中的7.6规定确定卫生防护距离。</w:t>
      </w:r>
    </w:p>
    <w:p>
      <w:pPr>
        <w:ind w:firstLine="496" w:firstLineChars="200"/>
        <w:textAlignment w:val="baseline"/>
        <w:rPr>
          <w:rFonts w:hAnsi="宋体"/>
          <w:bCs/>
          <w:spacing w:val="4"/>
        </w:rPr>
      </w:pPr>
      <w:r>
        <w:rPr>
          <w:rFonts w:hint="eastAsia" w:hAnsi="宋体"/>
          <w:bCs/>
          <w:spacing w:val="4"/>
        </w:rPr>
        <w:t>根据工程分析，项目主要恶臭源为项目产生的各栋厂房。评价采用环评导则推荐的计算卫生防护距离的方法，其计算公式如下：</w:t>
      </w:r>
    </w:p>
    <w:p>
      <w:pPr>
        <w:snapToGrid w:val="0"/>
        <w:jc w:val="center"/>
        <w:textAlignment w:val="baseline"/>
      </w:pPr>
      <w:r>
        <w:rPr>
          <w:spacing w:val="4"/>
          <w:position w:val="-30"/>
        </w:rPr>
        <w:object>
          <v:shape id="_x0000_i1033" o:spt="75" type="#_x0000_t75" style="height:35.65pt;width:141.3pt;" o:ole="t" filled="f" o:preferrelative="t" stroked="f" coordsize="21600,21600">
            <v:path/>
            <v:fill on="f" focussize="0,0"/>
            <v:stroke on="f" joinstyle="miter"/>
            <v:imagedata r:id="rId33" o:title=""/>
            <o:lock v:ext="edit" aspectratio="t"/>
            <w10:wrap type="none"/>
            <w10:anchorlock/>
          </v:shape>
          <o:OLEObject Type="Embed" ProgID="Equation.3" ShapeID="_x0000_i1033" DrawAspect="Content" ObjectID="_1468075733" r:id="rId32">
            <o:LockedField>false</o:LockedField>
          </o:OLEObject>
        </w:object>
      </w:r>
    </w:p>
    <w:p>
      <w:pPr>
        <w:ind w:firstLine="425"/>
        <w:rPr>
          <w:spacing w:val="4"/>
        </w:rPr>
      </w:pPr>
      <w:r>
        <w:rPr>
          <w:rFonts w:hAnsi="宋体"/>
          <w:spacing w:val="4"/>
        </w:rPr>
        <w:t>式中：</w:t>
      </w:r>
      <w:r>
        <w:rPr>
          <w:spacing w:val="4"/>
        </w:rPr>
        <w:t>C</w:t>
      </w:r>
      <w:r>
        <w:rPr>
          <w:spacing w:val="4"/>
          <w:vertAlign w:val="subscript"/>
        </w:rPr>
        <w:t>m</w:t>
      </w:r>
      <w:r>
        <w:rPr>
          <w:spacing w:val="4"/>
        </w:rPr>
        <w:t xml:space="preserve">—— </w:t>
      </w:r>
      <w:r>
        <w:rPr>
          <w:rFonts w:hAnsi="宋体"/>
          <w:spacing w:val="4"/>
        </w:rPr>
        <w:t>标准标准浓度限值，</w:t>
      </w:r>
      <w:r>
        <w:rPr>
          <w:spacing w:val="4"/>
        </w:rPr>
        <w:t>mg/m</w:t>
      </w:r>
      <w:r>
        <w:rPr>
          <w:spacing w:val="4"/>
          <w:vertAlign w:val="superscript"/>
        </w:rPr>
        <w:t>3</w:t>
      </w:r>
      <w:r>
        <w:rPr>
          <w:rFonts w:hAnsi="宋体"/>
          <w:spacing w:val="4"/>
        </w:rPr>
        <w:t>；</w:t>
      </w:r>
    </w:p>
    <w:p>
      <w:pPr>
        <w:ind w:firstLine="1165" w:firstLineChars="470"/>
        <w:rPr>
          <w:spacing w:val="4"/>
        </w:rPr>
      </w:pPr>
      <w:r>
        <w:rPr>
          <w:spacing w:val="4"/>
        </w:rPr>
        <w:t xml:space="preserve">L —— </w:t>
      </w:r>
      <w:r>
        <w:rPr>
          <w:rFonts w:hAnsi="宋体"/>
          <w:spacing w:val="4"/>
        </w:rPr>
        <w:t>工业企业所需卫生防护距离，</w:t>
      </w:r>
      <w:r>
        <w:rPr>
          <w:spacing w:val="4"/>
        </w:rPr>
        <w:t>m</w:t>
      </w:r>
      <w:r>
        <w:rPr>
          <w:rFonts w:hAnsi="宋体"/>
          <w:spacing w:val="4"/>
        </w:rPr>
        <w:t>；</w:t>
      </w:r>
    </w:p>
    <w:p>
      <w:pPr>
        <w:rPr>
          <w:spacing w:val="4"/>
        </w:rPr>
      </w:pPr>
      <w:r>
        <w:rPr>
          <w:spacing w:val="4"/>
        </w:rPr>
        <w:t xml:space="preserve">         r —— </w:t>
      </w:r>
      <w:r>
        <w:rPr>
          <w:rFonts w:hAnsi="宋体"/>
          <w:spacing w:val="4"/>
        </w:rPr>
        <w:t>有害气体无组织排放源生产单元的等效半径，</w:t>
      </w:r>
      <w:r>
        <w:rPr>
          <w:spacing w:val="4"/>
        </w:rPr>
        <w:t>m</w:t>
      </w:r>
      <w:r>
        <w:rPr>
          <w:rFonts w:hAnsi="宋体"/>
          <w:spacing w:val="4"/>
        </w:rPr>
        <w:t>。根据该生产单位占地面积</w:t>
      </w:r>
      <w:r>
        <w:rPr>
          <w:spacing w:val="4"/>
        </w:rPr>
        <w:t>S</w:t>
      </w:r>
      <w:r>
        <w:rPr>
          <w:rFonts w:hAnsi="宋体"/>
          <w:spacing w:val="4"/>
        </w:rPr>
        <w:t>（</w:t>
      </w:r>
      <w:r>
        <w:rPr>
          <w:spacing w:val="4"/>
        </w:rPr>
        <w:t>m</w:t>
      </w:r>
      <w:r>
        <w:rPr>
          <w:spacing w:val="4"/>
          <w:vertAlign w:val="superscript"/>
        </w:rPr>
        <w:t>2</w:t>
      </w:r>
      <w:r>
        <w:rPr>
          <w:rFonts w:hAnsi="宋体"/>
          <w:spacing w:val="4"/>
        </w:rPr>
        <w:t>）计算，</w:t>
      </w:r>
      <w:r>
        <w:rPr>
          <w:spacing w:val="4"/>
        </w:rPr>
        <w:t>r =</w:t>
      </w:r>
      <w:r>
        <w:rPr>
          <w:rFonts w:hAnsi="宋体"/>
          <w:spacing w:val="4"/>
        </w:rPr>
        <w:t>（</w:t>
      </w:r>
      <w:r>
        <w:rPr>
          <w:spacing w:val="4"/>
        </w:rPr>
        <w:t>S/</w:t>
      </w:r>
      <w:r>
        <w:rPr>
          <w:spacing w:val="4"/>
          <w:position w:val="-6"/>
        </w:rPr>
        <w:object>
          <v:shape id="_x0000_i1034" o:spt="75" type="#_x0000_t75" style="height:11.45pt;width:11.45pt;" o:ole="t" filled="f" o:preferrelative="t" stroked="f" coordsize="21600,21600">
            <v:path/>
            <v:fill on="f" focussize="0,0"/>
            <v:stroke on="f" joinstyle="miter"/>
            <v:imagedata r:id="rId35" o:title=""/>
            <o:lock v:ext="edit" aspectratio="t"/>
            <w10:wrap type="none"/>
            <w10:anchorlock/>
          </v:shape>
          <o:OLEObject Type="Embed" ProgID="Equation.3" ShapeID="_x0000_i1034" DrawAspect="Content" ObjectID="_1468075734" r:id="rId34">
            <o:LockedField>false</o:LockedField>
          </o:OLEObject>
        </w:object>
      </w:r>
      <w:r>
        <w:rPr>
          <w:rFonts w:hAnsi="宋体"/>
          <w:spacing w:val="4"/>
        </w:rPr>
        <w:t>）</w:t>
      </w:r>
      <w:r>
        <w:rPr>
          <w:spacing w:val="4"/>
          <w:vertAlign w:val="superscript"/>
        </w:rPr>
        <w:t>0.5</w:t>
      </w:r>
      <w:r>
        <w:rPr>
          <w:rFonts w:hAnsi="宋体"/>
          <w:spacing w:val="4"/>
        </w:rPr>
        <w:t>；</w:t>
      </w:r>
    </w:p>
    <w:p>
      <w:pPr>
        <w:ind w:firstLine="576"/>
        <w:rPr>
          <w:rFonts w:hAnsi="宋体"/>
        </w:rPr>
      </w:pPr>
      <w:r>
        <w:rPr>
          <w:rFonts w:hAnsi="宋体"/>
        </w:rPr>
        <w:t xml:space="preserve">     A、B、C、D——卫生防护距离计算系数。由《制定地方大气污染物排放标准的技术方法》</w:t>
      </w:r>
      <w:r>
        <w:rPr>
          <w:rFonts w:hAnsi="宋体"/>
          <w:snapToGrid w:val="0"/>
          <w:kern w:val="0"/>
        </w:rPr>
        <w:t>（GB/T3840-91）</w:t>
      </w:r>
      <w:r>
        <w:rPr>
          <w:rFonts w:hAnsi="宋体"/>
        </w:rPr>
        <w:t>中表5查取；</w:t>
      </w:r>
    </w:p>
    <w:p>
      <w:pPr>
        <w:snapToGrid w:val="0"/>
        <w:ind w:firstLine="480" w:firstLineChars="200"/>
        <w:textAlignment w:val="baseline"/>
      </w:pPr>
      <w:r>
        <w:t xml:space="preserve">     Qc—— </w:t>
      </w:r>
      <w:r>
        <w:rPr>
          <w:rFonts w:hAnsi="宋体"/>
        </w:rPr>
        <w:t>工业企业有害气体无组织排放量可达到的控制水平，</w:t>
      </w:r>
      <w:r>
        <w:t>kg/h</w:t>
      </w:r>
      <w:r>
        <w:rPr>
          <w:rFonts w:hAnsi="宋体"/>
        </w:rPr>
        <w:t>。</w:t>
      </w:r>
    </w:p>
    <w:p>
      <w:pPr>
        <w:spacing w:line="240" w:lineRule="auto"/>
        <w:jc w:val="center"/>
        <w:rPr>
          <w:rFonts w:eastAsia="黑体"/>
        </w:rPr>
      </w:pPr>
      <w:r>
        <w:rPr>
          <w:rFonts w:eastAsia="黑体"/>
        </w:rPr>
        <w:t>表7</w:t>
      </w:r>
      <w:r>
        <w:rPr>
          <w:rFonts w:hint="eastAsia" w:eastAsia="黑体"/>
        </w:rPr>
        <w:t>.</w:t>
      </w:r>
      <w:r>
        <w:rPr>
          <w:rFonts w:eastAsia="黑体"/>
        </w:rPr>
        <w:t>2-9  卫生防护距离计算系数</w:t>
      </w:r>
    </w:p>
    <w:tbl>
      <w:tblPr>
        <w:tblStyle w:val="88"/>
        <w:tblW w:w="874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87"/>
        <w:gridCol w:w="1120"/>
        <w:gridCol w:w="759"/>
        <w:gridCol w:w="760"/>
        <w:gridCol w:w="761"/>
        <w:gridCol w:w="760"/>
        <w:gridCol w:w="760"/>
        <w:gridCol w:w="761"/>
        <w:gridCol w:w="760"/>
        <w:gridCol w:w="760"/>
        <w:gridCol w:w="75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1" w:hRule="atLeast"/>
          <w:jc w:val="center"/>
        </w:trPr>
        <w:tc>
          <w:tcPr>
            <w:tcW w:w="787" w:type="dxa"/>
            <w:vMerge w:val="restart"/>
            <w:tcBorders>
              <w:top w:val="single" w:color="auto" w:sz="12" w:space="0"/>
              <w:left w:val="nil"/>
              <w:bottom w:val="single" w:color="auto" w:sz="6" w:space="0"/>
              <w:right w:val="single" w:color="auto" w:sz="6" w:space="0"/>
            </w:tcBorders>
            <w:vAlign w:val="center"/>
          </w:tcPr>
          <w:p>
            <w:pPr>
              <w:spacing w:line="240" w:lineRule="auto"/>
              <w:ind w:left="420" w:hanging="420" w:hangingChars="200"/>
              <w:rPr>
                <w:rFonts w:hAnsi="宋体"/>
                <w:sz w:val="21"/>
                <w:szCs w:val="21"/>
                <w:lang w:val="zh-CN"/>
              </w:rPr>
            </w:pPr>
            <w:r>
              <w:rPr>
                <w:rFonts w:hAnsi="宋体"/>
                <w:sz w:val="21"/>
                <w:szCs w:val="21"/>
                <w:lang w:val="zh-CN"/>
              </w:rPr>
              <w:t>计算</w:t>
            </w:r>
          </w:p>
          <w:p>
            <w:pPr>
              <w:spacing w:line="240" w:lineRule="auto"/>
              <w:ind w:left="420" w:hanging="420" w:hangingChars="200"/>
              <w:rPr>
                <w:sz w:val="21"/>
                <w:szCs w:val="21"/>
                <w:lang w:val="zh-CN"/>
              </w:rPr>
            </w:pPr>
            <w:r>
              <w:rPr>
                <w:rFonts w:hAnsi="宋体"/>
                <w:sz w:val="21"/>
                <w:szCs w:val="21"/>
                <w:lang w:val="zh-CN"/>
              </w:rPr>
              <w:t>系数</w:t>
            </w:r>
          </w:p>
        </w:tc>
        <w:tc>
          <w:tcPr>
            <w:tcW w:w="1120" w:type="dxa"/>
            <w:vMerge w:val="restart"/>
            <w:tcBorders>
              <w:top w:val="single" w:color="auto" w:sz="12" w:space="0"/>
              <w:left w:val="single" w:color="auto" w:sz="6" w:space="0"/>
              <w:bottom w:val="single" w:color="auto" w:sz="6" w:space="0"/>
              <w:right w:val="single" w:color="auto" w:sz="6" w:space="0"/>
            </w:tcBorders>
            <w:vAlign w:val="center"/>
          </w:tcPr>
          <w:p>
            <w:pPr>
              <w:spacing w:line="240" w:lineRule="auto"/>
              <w:ind w:left="420" w:hanging="420" w:hangingChars="200"/>
              <w:rPr>
                <w:rFonts w:hAnsi="宋体"/>
                <w:sz w:val="21"/>
                <w:szCs w:val="21"/>
                <w:lang w:val="zh-CN"/>
              </w:rPr>
            </w:pPr>
            <w:r>
              <w:rPr>
                <w:sz w:val="21"/>
                <w:szCs w:val="21"/>
                <w:lang w:val="zh-CN"/>
              </w:rPr>
              <w:t>5</w:t>
            </w:r>
            <w:r>
              <w:rPr>
                <w:rFonts w:hAnsi="宋体"/>
                <w:sz w:val="21"/>
                <w:szCs w:val="21"/>
                <w:lang w:val="zh-CN"/>
              </w:rPr>
              <w:t>年平均</w:t>
            </w:r>
          </w:p>
          <w:p>
            <w:pPr>
              <w:spacing w:line="240" w:lineRule="auto"/>
              <w:ind w:left="420" w:hanging="420" w:hangingChars="200"/>
              <w:rPr>
                <w:sz w:val="21"/>
                <w:szCs w:val="21"/>
                <w:lang w:val="zh-CN"/>
              </w:rPr>
            </w:pPr>
            <w:r>
              <w:rPr>
                <w:rFonts w:hAnsi="宋体"/>
                <w:sz w:val="21"/>
                <w:szCs w:val="21"/>
                <w:lang w:val="zh-CN"/>
              </w:rPr>
              <w:t>风速</w:t>
            </w:r>
            <w:r>
              <w:rPr>
                <w:sz w:val="21"/>
                <w:szCs w:val="21"/>
                <w:lang w:val="zh-CN"/>
              </w:rPr>
              <w:t>m/s</w:t>
            </w:r>
          </w:p>
        </w:tc>
        <w:tc>
          <w:tcPr>
            <w:tcW w:w="6840" w:type="dxa"/>
            <w:gridSpan w:val="9"/>
            <w:tcBorders>
              <w:top w:val="single" w:color="auto" w:sz="12"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rFonts w:hAnsi="宋体"/>
                <w:sz w:val="21"/>
                <w:szCs w:val="21"/>
                <w:lang w:val="zh-CN"/>
              </w:rPr>
              <w:t>卫生防护距离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8"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40" w:lineRule="auto"/>
              <w:jc w:val="left"/>
              <w:rPr>
                <w:szCs w:val="21"/>
                <w:lang w:val="zh-CN"/>
              </w:rPr>
            </w:pP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L≤1000</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1000</w:t>
            </w:r>
            <w:r>
              <w:rPr>
                <w:rFonts w:hAnsi="宋体"/>
                <w:sz w:val="21"/>
                <w:szCs w:val="21"/>
                <w:lang w:val="zh-CN"/>
              </w:rPr>
              <w:t>＜</w:t>
            </w:r>
            <w:r>
              <w:rPr>
                <w:sz w:val="21"/>
                <w:szCs w:val="21"/>
                <w:lang w:val="zh-CN"/>
              </w:rPr>
              <w:t>L≤2000</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L</w:t>
            </w:r>
            <w:r>
              <w:rPr>
                <w:rFonts w:hAnsi="宋体"/>
                <w:sz w:val="21"/>
                <w:szCs w:val="21"/>
                <w:lang w:val="zh-CN"/>
              </w:rPr>
              <w:t>＞</w:t>
            </w:r>
            <w:r>
              <w:rPr>
                <w:sz w:val="21"/>
                <w:szCs w:val="21"/>
                <w:lang w:val="zh-CN"/>
              </w:rPr>
              <w:t>2000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8"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40" w:lineRule="auto"/>
              <w:jc w:val="left"/>
              <w:rPr>
                <w:szCs w:val="21"/>
                <w:lang w:val="zh-CN"/>
              </w:rPr>
            </w:pPr>
          </w:p>
        </w:tc>
        <w:tc>
          <w:tcPr>
            <w:tcW w:w="6840" w:type="dxa"/>
            <w:gridSpan w:val="9"/>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rFonts w:hAnsi="宋体"/>
                <w:sz w:val="21"/>
                <w:szCs w:val="21"/>
                <w:lang w:val="zh-CN"/>
              </w:rPr>
              <w:t>工业大气污染源构成类别</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1"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40" w:lineRule="auto"/>
              <w:jc w:val="left"/>
              <w:rPr>
                <w:szCs w:val="21"/>
                <w:lang w:val="zh-CN"/>
              </w:rPr>
            </w:pPr>
          </w:p>
        </w:tc>
        <w:tc>
          <w:tcPr>
            <w:tcW w:w="759"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II</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III</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II</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III</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II</w:t>
            </w:r>
          </w:p>
        </w:tc>
        <w:tc>
          <w:tcPr>
            <w:tcW w:w="759" w:type="dxa"/>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III</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1" w:hRule="atLeast"/>
          <w:jc w:val="center"/>
        </w:trPr>
        <w:tc>
          <w:tcPr>
            <w:tcW w:w="787" w:type="dxa"/>
            <w:vMerge w:val="restart"/>
            <w:tcBorders>
              <w:top w:val="single" w:color="auto" w:sz="6" w:space="0"/>
              <w:left w:val="nil"/>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A</w:t>
            </w: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759"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80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80</w:t>
            </w:r>
          </w:p>
        </w:tc>
        <w:tc>
          <w:tcPr>
            <w:tcW w:w="759" w:type="dxa"/>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80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9"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2-4</w:t>
            </w:r>
          </w:p>
        </w:tc>
        <w:tc>
          <w:tcPr>
            <w:tcW w:w="759"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700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470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350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700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470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350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380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250</w:t>
            </w:r>
          </w:p>
        </w:tc>
        <w:tc>
          <w:tcPr>
            <w:tcW w:w="759" w:type="dxa"/>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190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9"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4</w:t>
            </w:r>
          </w:p>
        </w:tc>
        <w:tc>
          <w:tcPr>
            <w:tcW w:w="759"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530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350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260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530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350</w:t>
            </w:r>
          </w:p>
        </w:tc>
        <w:tc>
          <w:tcPr>
            <w:tcW w:w="761"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260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290</w:t>
            </w:r>
          </w:p>
        </w:tc>
        <w:tc>
          <w:tcPr>
            <w:tcW w:w="76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190</w:t>
            </w:r>
          </w:p>
        </w:tc>
        <w:tc>
          <w:tcPr>
            <w:tcW w:w="759" w:type="dxa"/>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140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2" w:hRule="atLeast"/>
          <w:jc w:val="center"/>
        </w:trPr>
        <w:tc>
          <w:tcPr>
            <w:tcW w:w="787" w:type="dxa"/>
            <w:vMerge w:val="restart"/>
            <w:tcBorders>
              <w:top w:val="single" w:color="auto" w:sz="6" w:space="0"/>
              <w:left w:val="nil"/>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B</w:t>
            </w: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0.01</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0.015</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0.015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9"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0.021</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0.036</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0.036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6" w:hRule="atLeast"/>
          <w:jc w:val="center"/>
        </w:trPr>
        <w:tc>
          <w:tcPr>
            <w:tcW w:w="787" w:type="dxa"/>
            <w:vMerge w:val="restart"/>
            <w:tcBorders>
              <w:top w:val="single" w:color="auto" w:sz="6" w:space="0"/>
              <w:left w:val="nil"/>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C</w:t>
            </w: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1.85</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1.79</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1.79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9" w:hRule="atLeast"/>
          <w:jc w:val="center"/>
        </w:trPr>
        <w:tc>
          <w:tcPr>
            <w:tcW w:w="787" w:type="dxa"/>
            <w:vMerge w:val="continue"/>
            <w:tcBorders>
              <w:top w:val="single" w:color="auto" w:sz="6" w:space="0"/>
              <w:left w:val="nil"/>
              <w:bottom w:val="single" w:color="auto" w:sz="6" w:space="0"/>
              <w:right w:val="single" w:color="auto" w:sz="6" w:space="0"/>
            </w:tcBorders>
            <w:vAlign w:val="center"/>
          </w:tcPr>
          <w:p>
            <w:pPr>
              <w:widowControl/>
              <w:spacing w:line="240" w:lineRule="auto"/>
              <w:jc w:val="left"/>
              <w:rPr>
                <w:szCs w:val="21"/>
                <w:lang w:val="zh-CN"/>
              </w:rPr>
            </w:pP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1.82</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1.77</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1.77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42" w:hRule="atLeast"/>
          <w:jc w:val="center"/>
        </w:trPr>
        <w:tc>
          <w:tcPr>
            <w:tcW w:w="787" w:type="dxa"/>
            <w:vMerge w:val="restart"/>
            <w:tcBorders>
              <w:top w:val="single" w:color="auto" w:sz="6" w:space="0"/>
              <w:left w:val="nil"/>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D</w:t>
            </w:r>
          </w:p>
        </w:tc>
        <w:tc>
          <w:tcPr>
            <w:tcW w:w="1120" w:type="dxa"/>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0.78</w:t>
            </w:r>
          </w:p>
        </w:tc>
        <w:tc>
          <w:tcPr>
            <w:tcW w:w="2281" w:type="dxa"/>
            <w:gridSpan w:val="3"/>
            <w:tcBorders>
              <w:top w:val="single" w:color="auto" w:sz="6" w:space="0"/>
              <w:left w:val="single" w:color="auto" w:sz="6" w:space="0"/>
              <w:bottom w:val="single" w:color="auto" w:sz="6" w:space="0"/>
              <w:right w:val="single" w:color="auto" w:sz="6" w:space="0"/>
            </w:tcBorders>
            <w:vAlign w:val="center"/>
          </w:tcPr>
          <w:p>
            <w:pPr>
              <w:spacing w:line="240" w:lineRule="auto"/>
              <w:ind w:left="420" w:hanging="420" w:hangingChars="200"/>
              <w:rPr>
                <w:sz w:val="21"/>
                <w:szCs w:val="21"/>
                <w:lang w:val="zh-CN"/>
              </w:rPr>
            </w:pPr>
            <w:r>
              <w:rPr>
                <w:sz w:val="21"/>
                <w:szCs w:val="21"/>
                <w:lang w:val="zh-CN"/>
              </w:rPr>
              <w:t>0.78</w:t>
            </w:r>
          </w:p>
        </w:tc>
        <w:tc>
          <w:tcPr>
            <w:tcW w:w="2279" w:type="dxa"/>
            <w:gridSpan w:val="3"/>
            <w:tcBorders>
              <w:top w:val="single" w:color="auto" w:sz="6" w:space="0"/>
              <w:left w:val="single" w:color="auto" w:sz="6" w:space="0"/>
              <w:bottom w:val="single" w:color="auto" w:sz="6" w:space="0"/>
              <w:right w:val="nil"/>
            </w:tcBorders>
            <w:vAlign w:val="center"/>
          </w:tcPr>
          <w:p>
            <w:pPr>
              <w:spacing w:line="240" w:lineRule="auto"/>
              <w:ind w:left="420" w:hanging="420" w:hangingChars="200"/>
              <w:rPr>
                <w:sz w:val="21"/>
                <w:szCs w:val="21"/>
                <w:lang w:val="zh-CN"/>
              </w:rPr>
            </w:pPr>
            <w:r>
              <w:rPr>
                <w:sz w:val="21"/>
                <w:szCs w:val="21"/>
                <w:lang w:val="zh-CN"/>
              </w:rPr>
              <w:t>0.57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9" w:hRule="atLeast"/>
          <w:jc w:val="center"/>
        </w:trPr>
        <w:tc>
          <w:tcPr>
            <w:tcW w:w="787" w:type="dxa"/>
            <w:vMerge w:val="continue"/>
            <w:tcBorders>
              <w:top w:val="single" w:color="auto" w:sz="6" w:space="0"/>
              <w:left w:val="nil"/>
              <w:bottom w:val="single" w:color="auto" w:sz="12" w:space="0"/>
              <w:right w:val="single" w:color="auto" w:sz="6" w:space="0"/>
            </w:tcBorders>
            <w:vAlign w:val="center"/>
          </w:tcPr>
          <w:p>
            <w:pPr>
              <w:widowControl/>
              <w:spacing w:line="240" w:lineRule="auto"/>
              <w:jc w:val="left"/>
              <w:rPr>
                <w:szCs w:val="21"/>
                <w:lang w:val="zh-CN"/>
              </w:rPr>
            </w:pPr>
          </w:p>
        </w:tc>
        <w:tc>
          <w:tcPr>
            <w:tcW w:w="1120" w:type="dxa"/>
            <w:tcBorders>
              <w:top w:val="single" w:color="auto" w:sz="6" w:space="0"/>
              <w:left w:val="single" w:color="auto" w:sz="6" w:space="0"/>
              <w:bottom w:val="single" w:color="auto" w:sz="12" w:space="0"/>
              <w:right w:val="single" w:color="auto" w:sz="6" w:space="0"/>
            </w:tcBorders>
            <w:vAlign w:val="center"/>
          </w:tcPr>
          <w:p>
            <w:pPr>
              <w:spacing w:line="240" w:lineRule="auto"/>
              <w:ind w:left="420" w:hanging="420" w:hangingChars="200"/>
              <w:rPr>
                <w:sz w:val="21"/>
                <w:szCs w:val="21"/>
                <w:lang w:val="zh-CN"/>
              </w:rPr>
            </w:pPr>
            <w:r>
              <w:rPr>
                <w:rFonts w:hAnsi="宋体"/>
                <w:sz w:val="21"/>
                <w:szCs w:val="21"/>
                <w:lang w:val="zh-CN"/>
              </w:rPr>
              <w:t>＞</w:t>
            </w:r>
            <w:r>
              <w:rPr>
                <w:sz w:val="21"/>
                <w:szCs w:val="21"/>
                <w:lang w:val="zh-CN"/>
              </w:rPr>
              <w:t>2</w:t>
            </w:r>
          </w:p>
        </w:tc>
        <w:tc>
          <w:tcPr>
            <w:tcW w:w="2280" w:type="dxa"/>
            <w:gridSpan w:val="3"/>
            <w:tcBorders>
              <w:top w:val="single" w:color="auto" w:sz="6" w:space="0"/>
              <w:left w:val="single" w:color="auto" w:sz="6" w:space="0"/>
              <w:bottom w:val="single" w:color="auto" w:sz="12" w:space="0"/>
              <w:right w:val="single" w:color="auto" w:sz="6" w:space="0"/>
            </w:tcBorders>
            <w:vAlign w:val="center"/>
          </w:tcPr>
          <w:p>
            <w:pPr>
              <w:spacing w:line="240" w:lineRule="auto"/>
              <w:ind w:left="420" w:hanging="420" w:hangingChars="200"/>
              <w:rPr>
                <w:sz w:val="21"/>
                <w:szCs w:val="21"/>
                <w:lang w:val="zh-CN"/>
              </w:rPr>
            </w:pPr>
            <w:r>
              <w:rPr>
                <w:sz w:val="21"/>
                <w:szCs w:val="21"/>
                <w:lang w:val="zh-CN"/>
              </w:rPr>
              <w:t>0.84</w:t>
            </w:r>
          </w:p>
        </w:tc>
        <w:tc>
          <w:tcPr>
            <w:tcW w:w="2281" w:type="dxa"/>
            <w:gridSpan w:val="3"/>
            <w:tcBorders>
              <w:top w:val="single" w:color="auto" w:sz="6" w:space="0"/>
              <w:left w:val="single" w:color="auto" w:sz="6" w:space="0"/>
              <w:bottom w:val="single" w:color="auto" w:sz="12" w:space="0"/>
              <w:right w:val="single" w:color="auto" w:sz="6" w:space="0"/>
            </w:tcBorders>
            <w:vAlign w:val="center"/>
          </w:tcPr>
          <w:p>
            <w:pPr>
              <w:spacing w:line="240" w:lineRule="auto"/>
              <w:ind w:left="420" w:hanging="420" w:hangingChars="200"/>
              <w:rPr>
                <w:sz w:val="21"/>
                <w:szCs w:val="21"/>
                <w:lang w:val="zh-CN"/>
              </w:rPr>
            </w:pPr>
            <w:r>
              <w:rPr>
                <w:sz w:val="21"/>
                <w:szCs w:val="21"/>
                <w:lang w:val="zh-CN"/>
              </w:rPr>
              <w:t>0.84</w:t>
            </w:r>
          </w:p>
        </w:tc>
        <w:tc>
          <w:tcPr>
            <w:tcW w:w="2279" w:type="dxa"/>
            <w:gridSpan w:val="3"/>
            <w:tcBorders>
              <w:top w:val="single" w:color="auto" w:sz="6" w:space="0"/>
              <w:left w:val="single" w:color="auto" w:sz="6" w:space="0"/>
              <w:bottom w:val="single" w:color="auto" w:sz="12" w:space="0"/>
              <w:right w:val="nil"/>
            </w:tcBorders>
            <w:vAlign w:val="center"/>
          </w:tcPr>
          <w:p>
            <w:pPr>
              <w:spacing w:line="240" w:lineRule="auto"/>
              <w:ind w:left="420" w:hanging="420" w:hangingChars="200"/>
              <w:rPr>
                <w:sz w:val="21"/>
                <w:szCs w:val="21"/>
                <w:lang w:val="zh-CN"/>
              </w:rPr>
            </w:pPr>
            <w:r>
              <w:rPr>
                <w:sz w:val="21"/>
                <w:szCs w:val="21"/>
                <w:lang w:val="zh-CN"/>
              </w:rPr>
              <w:t>0.76</w:t>
            </w:r>
          </w:p>
        </w:tc>
      </w:tr>
    </w:tbl>
    <w:p>
      <w:pPr>
        <w:spacing w:line="240" w:lineRule="auto"/>
        <w:jc w:val="center"/>
        <w:rPr>
          <w:rFonts w:eastAsia="黑体"/>
          <w:color w:val="FF0000"/>
        </w:rPr>
      </w:pPr>
    </w:p>
    <w:p>
      <w:pPr>
        <w:spacing w:line="240" w:lineRule="auto"/>
        <w:jc w:val="center"/>
        <w:rPr>
          <w:rFonts w:eastAsia="黑体"/>
        </w:rPr>
      </w:pPr>
      <w:r>
        <w:rPr>
          <w:rFonts w:eastAsia="黑体"/>
        </w:rPr>
        <w:t>表7</w:t>
      </w:r>
      <w:r>
        <w:rPr>
          <w:rFonts w:hint="eastAsia" w:eastAsia="黑体"/>
        </w:rPr>
        <w:t>.</w:t>
      </w:r>
      <w:r>
        <w:rPr>
          <w:rFonts w:eastAsia="黑体"/>
        </w:rPr>
        <w:t>2-10  卫生防护距离计算</w:t>
      </w:r>
      <w:r>
        <w:rPr>
          <w:rFonts w:hint="eastAsia" w:eastAsia="黑体"/>
        </w:rPr>
        <w:t>结果</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1"/>
        <w:gridCol w:w="1232"/>
        <w:gridCol w:w="758"/>
        <w:gridCol w:w="1710"/>
        <w:gridCol w:w="1134"/>
        <w:gridCol w:w="1134"/>
        <w:gridCol w:w="915"/>
        <w:gridCol w:w="15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709" w:type="dxa"/>
            <w:gridSpan w:val="2"/>
            <w:vAlign w:val="center"/>
          </w:tcPr>
          <w:p>
            <w:pPr>
              <w:adjustRightInd w:val="0"/>
              <w:snapToGrid w:val="0"/>
              <w:spacing w:line="240" w:lineRule="auto"/>
              <w:jc w:val="center"/>
              <w:rPr>
                <w:b/>
                <w:kern w:val="0"/>
                <w:sz w:val="21"/>
                <w:szCs w:val="21"/>
              </w:rPr>
            </w:pPr>
            <w:r>
              <w:rPr>
                <w:rFonts w:hAnsi="宋体"/>
                <w:b/>
                <w:kern w:val="0"/>
                <w:sz w:val="21"/>
                <w:szCs w:val="21"/>
              </w:rPr>
              <w:t>区域</w:t>
            </w:r>
          </w:p>
        </w:tc>
        <w:tc>
          <w:tcPr>
            <w:tcW w:w="740" w:type="dxa"/>
            <w:vAlign w:val="center"/>
          </w:tcPr>
          <w:p>
            <w:pPr>
              <w:adjustRightInd w:val="0"/>
              <w:snapToGrid w:val="0"/>
              <w:spacing w:line="240" w:lineRule="auto"/>
              <w:jc w:val="center"/>
              <w:rPr>
                <w:b/>
                <w:kern w:val="0"/>
                <w:sz w:val="21"/>
                <w:szCs w:val="21"/>
              </w:rPr>
            </w:pPr>
            <w:r>
              <w:rPr>
                <w:rFonts w:hAnsi="宋体"/>
                <w:b/>
                <w:kern w:val="0"/>
                <w:sz w:val="21"/>
                <w:szCs w:val="21"/>
              </w:rPr>
              <w:t>污染物</w:t>
            </w:r>
          </w:p>
        </w:tc>
        <w:tc>
          <w:tcPr>
            <w:tcW w:w="1669" w:type="dxa"/>
            <w:vAlign w:val="center"/>
          </w:tcPr>
          <w:p>
            <w:pPr>
              <w:adjustRightInd w:val="0"/>
              <w:snapToGrid w:val="0"/>
              <w:spacing w:line="240" w:lineRule="auto"/>
              <w:jc w:val="center"/>
              <w:rPr>
                <w:b/>
                <w:kern w:val="0"/>
                <w:sz w:val="21"/>
                <w:szCs w:val="21"/>
              </w:rPr>
            </w:pPr>
            <w:r>
              <w:rPr>
                <w:rFonts w:hAnsi="宋体"/>
                <w:b/>
                <w:kern w:val="0"/>
                <w:sz w:val="21"/>
                <w:szCs w:val="21"/>
              </w:rPr>
              <w:t>排放面积</w:t>
            </w:r>
            <w:r>
              <w:rPr>
                <w:b/>
                <w:kern w:val="0"/>
                <w:sz w:val="21"/>
                <w:szCs w:val="21"/>
              </w:rPr>
              <w:t>m</w:t>
            </w:r>
            <w:r>
              <w:rPr>
                <w:b/>
                <w:kern w:val="0"/>
                <w:sz w:val="21"/>
                <w:szCs w:val="21"/>
                <w:vertAlign w:val="superscript"/>
              </w:rPr>
              <w:t>2</w:t>
            </w:r>
          </w:p>
        </w:tc>
        <w:tc>
          <w:tcPr>
            <w:tcW w:w="1107" w:type="dxa"/>
            <w:vAlign w:val="center"/>
          </w:tcPr>
          <w:p>
            <w:pPr>
              <w:adjustRightInd w:val="0"/>
              <w:snapToGrid w:val="0"/>
              <w:spacing w:line="240" w:lineRule="auto"/>
              <w:jc w:val="center"/>
              <w:rPr>
                <w:b/>
                <w:kern w:val="0"/>
                <w:sz w:val="21"/>
                <w:szCs w:val="21"/>
              </w:rPr>
            </w:pPr>
            <w:r>
              <w:rPr>
                <w:rFonts w:hAnsi="宋体"/>
                <w:b/>
                <w:kern w:val="0"/>
                <w:sz w:val="21"/>
                <w:szCs w:val="21"/>
              </w:rPr>
              <w:t>排放源强</w:t>
            </w:r>
          </w:p>
          <w:p>
            <w:pPr>
              <w:adjustRightInd w:val="0"/>
              <w:snapToGrid w:val="0"/>
              <w:spacing w:line="240" w:lineRule="auto"/>
              <w:jc w:val="center"/>
              <w:rPr>
                <w:b/>
                <w:kern w:val="0"/>
                <w:sz w:val="21"/>
                <w:szCs w:val="21"/>
              </w:rPr>
            </w:pPr>
            <w:r>
              <w:rPr>
                <w:rFonts w:hAnsi="宋体"/>
                <w:kern w:val="0"/>
                <w:sz w:val="21"/>
                <w:szCs w:val="21"/>
              </w:rPr>
              <w:t>（</w:t>
            </w:r>
            <w:r>
              <w:rPr>
                <w:kern w:val="0"/>
                <w:sz w:val="21"/>
                <w:szCs w:val="21"/>
              </w:rPr>
              <w:t>g/h</w:t>
            </w:r>
            <w:r>
              <w:rPr>
                <w:rFonts w:hAnsi="宋体"/>
                <w:kern w:val="0"/>
                <w:sz w:val="21"/>
                <w:szCs w:val="21"/>
              </w:rPr>
              <w:t>）</w:t>
            </w:r>
          </w:p>
        </w:tc>
        <w:tc>
          <w:tcPr>
            <w:tcW w:w="1107" w:type="dxa"/>
            <w:vAlign w:val="center"/>
          </w:tcPr>
          <w:p>
            <w:pPr>
              <w:adjustRightInd w:val="0"/>
              <w:snapToGrid w:val="0"/>
              <w:spacing w:line="240" w:lineRule="auto"/>
              <w:jc w:val="center"/>
              <w:rPr>
                <w:b/>
                <w:kern w:val="0"/>
                <w:sz w:val="21"/>
                <w:szCs w:val="21"/>
              </w:rPr>
            </w:pPr>
            <w:r>
              <w:rPr>
                <w:rFonts w:hAnsi="宋体"/>
                <w:b/>
                <w:kern w:val="0"/>
                <w:sz w:val="21"/>
                <w:szCs w:val="21"/>
              </w:rPr>
              <w:t>评价标准</w:t>
            </w:r>
          </w:p>
          <w:p>
            <w:pPr>
              <w:adjustRightInd w:val="0"/>
              <w:snapToGrid w:val="0"/>
              <w:spacing w:line="240" w:lineRule="auto"/>
              <w:jc w:val="center"/>
              <w:rPr>
                <w:b/>
                <w:kern w:val="0"/>
                <w:sz w:val="21"/>
                <w:szCs w:val="21"/>
              </w:rPr>
            </w:pPr>
            <w:r>
              <w:rPr>
                <w:snapToGrid w:val="0"/>
                <w:kern w:val="0"/>
                <w:sz w:val="21"/>
                <w:szCs w:val="21"/>
              </w:rPr>
              <w:t>mg/m</w:t>
            </w:r>
            <w:r>
              <w:rPr>
                <w:snapToGrid w:val="0"/>
                <w:kern w:val="0"/>
                <w:sz w:val="21"/>
                <w:szCs w:val="21"/>
                <w:vertAlign w:val="superscript"/>
              </w:rPr>
              <w:t>3</w:t>
            </w:r>
          </w:p>
        </w:tc>
        <w:tc>
          <w:tcPr>
            <w:tcW w:w="893" w:type="dxa"/>
            <w:vAlign w:val="center"/>
          </w:tcPr>
          <w:p>
            <w:pPr>
              <w:adjustRightInd w:val="0"/>
              <w:snapToGrid w:val="0"/>
              <w:spacing w:line="240" w:lineRule="auto"/>
              <w:jc w:val="center"/>
              <w:rPr>
                <w:b/>
                <w:kern w:val="0"/>
                <w:sz w:val="21"/>
                <w:szCs w:val="21"/>
              </w:rPr>
            </w:pPr>
            <w:r>
              <w:rPr>
                <w:rFonts w:hAnsi="宋体"/>
                <w:b/>
                <w:kern w:val="0"/>
                <w:sz w:val="21"/>
                <w:szCs w:val="21"/>
              </w:rPr>
              <w:t>计算结果</w:t>
            </w:r>
            <w:r>
              <w:rPr>
                <w:b/>
                <w:kern w:val="0"/>
                <w:sz w:val="21"/>
                <w:szCs w:val="21"/>
              </w:rPr>
              <w:t>m</w:t>
            </w:r>
          </w:p>
        </w:tc>
        <w:tc>
          <w:tcPr>
            <w:tcW w:w="1506" w:type="dxa"/>
            <w:vAlign w:val="center"/>
          </w:tcPr>
          <w:p>
            <w:pPr>
              <w:adjustRightInd w:val="0"/>
              <w:snapToGrid w:val="0"/>
              <w:spacing w:line="240" w:lineRule="auto"/>
              <w:jc w:val="center"/>
              <w:rPr>
                <w:b/>
                <w:kern w:val="0"/>
                <w:sz w:val="21"/>
                <w:szCs w:val="21"/>
              </w:rPr>
            </w:pPr>
            <w:r>
              <w:rPr>
                <w:rFonts w:hAnsi="宋体"/>
                <w:b/>
                <w:kern w:val="0"/>
                <w:sz w:val="21"/>
                <w:szCs w:val="21"/>
              </w:rPr>
              <w:t>卫生环境防护距离（</w:t>
            </w:r>
            <w:r>
              <w:rPr>
                <w:b/>
                <w:kern w:val="0"/>
                <w:sz w:val="21"/>
                <w:szCs w:val="21"/>
              </w:rPr>
              <w:t>m</w:t>
            </w:r>
            <w:r>
              <w:rPr>
                <w:rFonts w:hAnsi="宋体"/>
                <w:b/>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7" w:type="dxa"/>
            <w:vMerge w:val="restart"/>
            <w:vAlign w:val="center"/>
          </w:tcPr>
          <w:p>
            <w:pPr>
              <w:adjustRightInd w:val="0"/>
              <w:snapToGrid w:val="0"/>
              <w:spacing w:line="240" w:lineRule="auto"/>
              <w:jc w:val="center"/>
              <w:rPr>
                <w:kern w:val="0"/>
                <w:sz w:val="21"/>
                <w:szCs w:val="21"/>
              </w:rPr>
            </w:pPr>
            <w:r>
              <w:rPr>
                <w:rFonts w:hint="eastAsia"/>
                <w:kern w:val="0"/>
                <w:sz w:val="21"/>
                <w:szCs w:val="21"/>
              </w:rPr>
              <w:t>生产车间</w:t>
            </w:r>
          </w:p>
        </w:tc>
        <w:tc>
          <w:tcPr>
            <w:tcW w:w="1202" w:type="dxa"/>
            <w:vMerge w:val="restart"/>
            <w:vAlign w:val="center"/>
          </w:tcPr>
          <w:p>
            <w:pPr>
              <w:adjustRightInd w:val="0"/>
              <w:snapToGrid w:val="0"/>
              <w:spacing w:line="240" w:lineRule="auto"/>
              <w:jc w:val="center"/>
              <w:rPr>
                <w:kern w:val="0"/>
                <w:sz w:val="21"/>
                <w:szCs w:val="21"/>
              </w:rPr>
            </w:pPr>
            <w:r>
              <w:rPr>
                <w:rFonts w:hint="eastAsia"/>
                <w:kern w:val="0"/>
                <w:sz w:val="21"/>
                <w:szCs w:val="21"/>
              </w:rPr>
              <w:t>妊娠舍</w:t>
            </w:r>
          </w:p>
        </w:tc>
        <w:tc>
          <w:tcPr>
            <w:tcW w:w="740" w:type="dxa"/>
            <w:vAlign w:val="center"/>
          </w:tcPr>
          <w:p>
            <w:pPr>
              <w:adjustRightInd w:val="0"/>
              <w:snapToGrid w:val="0"/>
              <w:spacing w:line="240" w:lineRule="auto"/>
              <w:jc w:val="center"/>
              <w:rPr>
                <w:kern w:val="0"/>
                <w:sz w:val="21"/>
                <w:szCs w:val="21"/>
              </w:rPr>
            </w:pPr>
            <w:r>
              <w:rPr>
                <w:kern w:val="0"/>
                <w:sz w:val="21"/>
                <w:szCs w:val="21"/>
              </w:rPr>
              <w:t>NH</w:t>
            </w:r>
            <w:r>
              <w:rPr>
                <w:kern w:val="0"/>
                <w:sz w:val="21"/>
                <w:szCs w:val="21"/>
                <w:vertAlign w:val="subscript"/>
              </w:rPr>
              <w:t>3</w:t>
            </w:r>
          </w:p>
        </w:tc>
        <w:tc>
          <w:tcPr>
            <w:tcW w:w="1669" w:type="dxa"/>
            <w:vMerge w:val="restart"/>
            <w:vAlign w:val="center"/>
          </w:tcPr>
          <w:p>
            <w:pPr>
              <w:adjustRightInd w:val="0"/>
              <w:snapToGrid w:val="0"/>
              <w:spacing w:line="240" w:lineRule="auto"/>
              <w:rPr>
                <w:kern w:val="0"/>
                <w:sz w:val="21"/>
                <w:szCs w:val="21"/>
              </w:rPr>
            </w:pPr>
            <w:r>
              <w:rPr>
                <w:kern w:val="0"/>
                <w:sz w:val="21"/>
                <w:szCs w:val="21"/>
              </w:rPr>
              <w:t>158.44m*42.7m</w:t>
            </w:r>
          </w:p>
        </w:tc>
        <w:tc>
          <w:tcPr>
            <w:tcW w:w="1107" w:type="dxa"/>
            <w:vAlign w:val="center"/>
          </w:tcPr>
          <w:p>
            <w:pPr>
              <w:adjustRightInd w:val="0"/>
              <w:snapToGrid w:val="0"/>
              <w:spacing w:line="240" w:lineRule="auto"/>
              <w:jc w:val="center"/>
              <w:rPr>
                <w:kern w:val="0"/>
                <w:sz w:val="21"/>
                <w:szCs w:val="21"/>
              </w:rPr>
            </w:pPr>
            <w:r>
              <w:rPr>
                <w:kern w:val="0"/>
                <w:sz w:val="21"/>
                <w:szCs w:val="21"/>
              </w:rPr>
              <w:t>156.86</w:t>
            </w:r>
          </w:p>
        </w:tc>
        <w:tc>
          <w:tcPr>
            <w:tcW w:w="1107" w:type="dxa"/>
            <w:vAlign w:val="center"/>
          </w:tcPr>
          <w:p>
            <w:pPr>
              <w:adjustRightInd w:val="0"/>
              <w:snapToGrid w:val="0"/>
              <w:spacing w:line="240" w:lineRule="auto"/>
              <w:jc w:val="center"/>
              <w:rPr>
                <w:snapToGrid w:val="0"/>
                <w:kern w:val="0"/>
                <w:sz w:val="21"/>
                <w:szCs w:val="21"/>
              </w:rPr>
            </w:pPr>
            <w:r>
              <w:rPr>
                <w:snapToGrid w:val="0"/>
                <w:kern w:val="0"/>
                <w:sz w:val="21"/>
                <w:szCs w:val="21"/>
              </w:rPr>
              <w:t>0.2</w:t>
            </w:r>
          </w:p>
        </w:tc>
        <w:tc>
          <w:tcPr>
            <w:tcW w:w="893" w:type="dxa"/>
            <w:vAlign w:val="center"/>
          </w:tcPr>
          <w:p>
            <w:pPr>
              <w:widowControl/>
              <w:spacing w:line="240" w:lineRule="auto"/>
              <w:jc w:val="center"/>
              <w:rPr>
                <w:kern w:val="0"/>
                <w:sz w:val="21"/>
                <w:szCs w:val="21"/>
              </w:rPr>
            </w:pPr>
            <w:r>
              <w:rPr>
                <w:kern w:val="0"/>
                <w:sz w:val="21"/>
                <w:szCs w:val="21"/>
              </w:rPr>
              <w:t>27.99</w:t>
            </w:r>
          </w:p>
        </w:tc>
        <w:tc>
          <w:tcPr>
            <w:tcW w:w="1506" w:type="dxa"/>
            <w:vAlign w:val="center"/>
          </w:tcPr>
          <w:p>
            <w:pPr>
              <w:spacing w:line="240" w:lineRule="auto"/>
              <w:jc w:val="center"/>
              <w:rPr>
                <w:kern w:val="0"/>
                <w:sz w:val="21"/>
                <w:szCs w:val="21"/>
              </w:rPr>
            </w:pPr>
            <w:r>
              <w:rPr>
                <w:kern w:val="0"/>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7" w:type="dxa"/>
            <w:vMerge w:val="continue"/>
            <w:vAlign w:val="center"/>
          </w:tcPr>
          <w:p>
            <w:pPr>
              <w:adjustRightInd w:val="0"/>
              <w:snapToGrid w:val="0"/>
              <w:spacing w:line="240" w:lineRule="auto"/>
              <w:jc w:val="center"/>
              <w:rPr>
                <w:kern w:val="0"/>
                <w:sz w:val="21"/>
                <w:szCs w:val="21"/>
              </w:rPr>
            </w:pPr>
          </w:p>
        </w:tc>
        <w:tc>
          <w:tcPr>
            <w:tcW w:w="1202" w:type="dxa"/>
            <w:vMerge w:val="continue"/>
            <w:vAlign w:val="center"/>
          </w:tcPr>
          <w:p>
            <w:pPr>
              <w:adjustRightInd w:val="0"/>
              <w:snapToGrid w:val="0"/>
              <w:spacing w:line="240" w:lineRule="auto"/>
              <w:jc w:val="center"/>
              <w:rPr>
                <w:kern w:val="0"/>
                <w:sz w:val="21"/>
                <w:szCs w:val="21"/>
              </w:rPr>
            </w:pPr>
          </w:p>
        </w:tc>
        <w:tc>
          <w:tcPr>
            <w:tcW w:w="740" w:type="dxa"/>
            <w:vAlign w:val="center"/>
          </w:tcPr>
          <w:p>
            <w:pPr>
              <w:adjustRightInd w:val="0"/>
              <w:snapToGrid w:val="0"/>
              <w:spacing w:line="240" w:lineRule="auto"/>
              <w:jc w:val="center"/>
              <w:rPr>
                <w:kern w:val="0"/>
                <w:sz w:val="21"/>
                <w:szCs w:val="21"/>
              </w:rPr>
            </w:pPr>
            <w:r>
              <w:rPr>
                <w:rFonts w:hint="eastAsia"/>
                <w:kern w:val="0"/>
                <w:sz w:val="21"/>
                <w:szCs w:val="21"/>
              </w:rPr>
              <w:t>H</w:t>
            </w:r>
            <w:r>
              <w:rPr>
                <w:rFonts w:hint="eastAsia"/>
                <w:kern w:val="0"/>
                <w:sz w:val="21"/>
                <w:szCs w:val="21"/>
                <w:vertAlign w:val="subscript"/>
              </w:rPr>
              <w:t>2</w:t>
            </w:r>
            <w:r>
              <w:rPr>
                <w:rFonts w:hint="eastAsia"/>
                <w:kern w:val="0"/>
                <w:sz w:val="21"/>
                <w:szCs w:val="21"/>
              </w:rPr>
              <w:t>S</w:t>
            </w:r>
          </w:p>
        </w:tc>
        <w:tc>
          <w:tcPr>
            <w:tcW w:w="1669" w:type="dxa"/>
            <w:vMerge w:val="continue"/>
            <w:vAlign w:val="center"/>
          </w:tcPr>
          <w:p>
            <w:pPr>
              <w:adjustRightInd w:val="0"/>
              <w:snapToGrid w:val="0"/>
              <w:spacing w:line="240" w:lineRule="auto"/>
              <w:jc w:val="center"/>
              <w:rPr>
                <w:kern w:val="0"/>
                <w:sz w:val="21"/>
                <w:szCs w:val="21"/>
              </w:rPr>
            </w:pPr>
          </w:p>
        </w:tc>
        <w:tc>
          <w:tcPr>
            <w:tcW w:w="1107" w:type="dxa"/>
            <w:vAlign w:val="center"/>
          </w:tcPr>
          <w:p>
            <w:pPr>
              <w:adjustRightInd w:val="0"/>
              <w:snapToGrid w:val="0"/>
              <w:spacing w:line="240" w:lineRule="auto"/>
              <w:jc w:val="center"/>
              <w:rPr>
                <w:kern w:val="0"/>
                <w:sz w:val="21"/>
                <w:szCs w:val="21"/>
              </w:rPr>
            </w:pPr>
            <w:r>
              <w:rPr>
                <w:kern w:val="0"/>
                <w:sz w:val="21"/>
                <w:szCs w:val="21"/>
              </w:rPr>
              <w:t>1.14</w:t>
            </w:r>
          </w:p>
        </w:tc>
        <w:tc>
          <w:tcPr>
            <w:tcW w:w="1107" w:type="dxa"/>
            <w:vAlign w:val="center"/>
          </w:tcPr>
          <w:p>
            <w:pPr>
              <w:adjustRightInd w:val="0"/>
              <w:snapToGrid w:val="0"/>
              <w:spacing w:line="240" w:lineRule="auto"/>
              <w:jc w:val="center"/>
              <w:rPr>
                <w:snapToGrid w:val="0"/>
                <w:kern w:val="0"/>
                <w:sz w:val="21"/>
                <w:szCs w:val="21"/>
              </w:rPr>
            </w:pPr>
            <w:r>
              <w:rPr>
                <w:snapToGrid w:val="0"/>
                <w:kern w:val="0"/>
                <w:sz w:val="21"/>
                <w:szCs w:val="21"/>
              </w:rPr>
              <w:t>0.</w:t>
            </w:r>
            <w:r>
              <w:rPr>
                <w:rFonts w:hint="eastAsia"/>
                <w:snapToGrid w:val="0"/>
                <w:kern w:val="0"/>
                <w:sz w:val="21"/>
                <w:szCs w:val="21"/>
              </w:rPr>
              <w:t>01</w:t>
            </w:r>
          </w:p>
        </w:tc>
        <w:tc>
          <w:tcPr>
            <w:tcW w:w="893" w:type="dxa"/>
            <w:vAlign w:val="center"/>
          </w:tcPr>
          <w:p>
            <w:pPr>
              <w:adjustRightInd w:val="0"/>
              <w:snapToGrid w:val="0"/>
              <w:spacing w:line="240" w:lineRule="auto"/>
              <w:jc w:val="center"/>
              <w:rPr>
                <w:kern w:val="0"/>
                <w:sz w:val="21"/>
                <w:szCs w:val="21"/>
              </w:rPr>
            </w:pPr>
            <w:r>
              <w:rPr>
                <w:kern w:val="0"/>
                <w:sz w:val="21"/>
                <w:szCs w:val="21"/>
              </w:rPr>
              <w:t>2.54</w:t>
            </w:r>
          </w:p>
        </w:tc>
        <w:tc>
          <w:tcPr>
            <w:tcW w:w="1506" w:type="dxa"/>
            <w:vAlign w:val="center"/>
          </w:tcPr>
          <w:p>
            <w:pPr>
              <w:widowControl/>
              <w:spacing w:line="240" w:lineRule="auto"/>
              <w:jc w:val="center"/>
              <w:rPr>
                <w:sz w:val="21"/>
                <w:szCs w:val="21"/>
              </w:rPr>
            </w:pPr>
            <w:r>
              <w:rPr>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7" w:type="dxa"/>
            <w:vMerge w:val="continue"/>
            <w:vAlign w:val="center"/>
          </w:tcPr>
          <w:p>
            <w:pPr>
              <w:adjustRightInd w:val="0"/>
              <w:snapToGrid w:val="0"/>
              <w:spacing w:line="240" w:lineRule="auto"/>
              <w:jc w:val="center"/>
              <w:rPr>
                <w:kern w:val="0"/>
                <w:sz w:val="21"/>
                <w:szCs w:val="21"/>
              </w:rPr>
            </w:pPr>
          </w:p>
        </w:tc>
        <w:tc>
          <w:tcPr>
            <w:tcW w:w="1202" w:type="dxa"/>
            <w:vMerge w:val="restart"/>
            <w:vAlign w:val="center"/>
          </w:tcPr>
          <w:p>
            <w:pPr>
              <w:adjustRightInd w:val="0"/>
              <w:snapToGrid w:val="0"/>
              <w:spacing w:line="240" w:lineRule="auto"/>
              <w:jc w:val="center"/>
              <w:rPr>
                <w:kern w:val="0"/>
                <w:sz w:val="21"/>
                <w:szCs w:val="21"/>
              </w:rPr>
            </w:pPr>
            <w:r>
              <w:rPr>
                <w:kern w:val="0"/>
                <w:sz w:val="21"/>
                <w:szCs w:val="21"/>
              </w:rPr>
              <w:t>分娩</w:t>
            </w:r>
            <w:r>
              <w:rPr>
                <w:rFonts w:hint="eastAsia"/>
                <w:kern w:val="0"/>
                <w:sz w:val="21"/>
                <w:szCs w:val="21"/>
              </w:rPr>
              <w:t>舍</w:t>
            </w:r>
          </w:p>
        </w:tc>
        <w:tc>
          <w:tcPr>
            <w:tcW w:w="740" w:type="dxa"/>
            <w:vAlign w:val="center"/>
          </w:tcPr>
          <w:p>
            <w:pPr>
              <w:adjustRightInd w:val="0"/>
              <w:snapToGrid w:val="0"/>
              <w:spacing w:line="240" w:lineRule="auto"/>
              <w:jc w:val="center"/>
              <w:rPr>
                <w:kern w:val="0"/>
                <w:sz w:val="21"/>
                <w:szCs w:val="21"/>
              </w:rPr>
            </w:pPr>
            <w:r>
              <w:rPr>
                <w:kern w:val="0"/>
                <w:sz w:val="21"/>
                <w:szCs w:val="21"/>
              </w:rPr>
              <w:t>NH</w:t>
            </w:r>
            <w:r>
              <w:rPr>
                <w:kern w:val="0"/>
                <w:sz w:val="21"/>
                <w:szCs w:val="21"/>
                <w:vertAlign w:val="subscript"/>
              </w:rPr>
              <w:t>3</w:t>
            </w:r>
          </w:p>
        </w:tc>
        <w:tc>
          <w:tcPr>
            <w:tcW w:w="1669" w:type="dxa"/>
            <w:vMerge w:val="restart"/>
            <w:vAlign w:val="center"/>
          </w:tcPr>
          <w:p>
            <w:pPr>
              <w:adjustRightInd w:val="0"/>
              <w:snapToGrid w:val="0"/>
              <w:spacing w:line="240" w:lineRule="auto"/>
              <w:jc w:val="center"/>
              <w:rPr>
                <w:kern w:val="0"/>
                <w:sz w:val="21"/>
                <w:szCs w:val="21"/>
              </w:rPr>
            </w:pPr>
            <w:r>
              <w:rPr>
                <w:kern w:val="0"/>
                <w:sz w:val="21"/>
                <w:szCs w:val="21"/>
              </w:rPr>
              <w:t>124.74m*36.59m</w:t>
            </w:r>
          </w:p>
        </w:tc>
        <w:tc>
          <w:tcPr>
            <w:tcW w:w="1107" w:type="dxa"/>
            <w:vAlign w:val="center"/>
          </w:tcPr>
          <w:p>
            <w:pPr>
              <w:adjustRightInd w:val="0"/>
              <w:snapToGrid w:val="0"/>
              <w:spacing w:line="240" w:lineRule="auto"/>
              <w:jc w:val="center"/>
              <w:rPr>
                <w:kern w:val="0"/>
                <w:sz w:val="21"/>
                <w:szCs w:val="21"/>
              </w:rPr>
            </w:pPr>
            <w:r>
              <w:rPr>
                <w:kern w:val="0"/>
                <w:sz w:val="21"/>
                <w:szCs w:val="21"/>
              </w:rPr>
              <w:t>41.15</w:t>
            </w:r>
          </w:p>
        </w:tc>
        <w:tc>
          <w:tcPr>
            <w:tcW w:w="1107" w:type="dxa"/>
            <w:vAlign w:val="center"/>
          </w:tcPr>
          <w:p>
            <w:pPr>
              <w:adjustRightInd w:val="0"/>
              <w:snapToGrid w:val="0"/>
              <w:spacing w:line="240" w:lineRule="auto"/>
              <w:jc w:val="center"/>
              <w:rPr>
                <w:snapToGrid w:val="0"/>
                <w:kern w:val="0"/>
                <w:sz w:val="21"/>
                <w:szCs w:val="21"/>
              </w:rPr>
            </w:pPr>
            <w:r>
              <w:rPr>
                <w:snapToGrid w:val="0"/>
                <w:kern w:val="0"/>
                <w:sz w:val="21"/>
                <w:szCs w:val="21"/>
              </w:rPr>
              <w:t>0.2</w:t>
            </w:r>
          </w:p>
        </w:tc>
        <w:tc>
          <w:tcPr>
            <w:tcW w:w="893" w:type="dxa"/>
            <w:vAlign w:val="center"/>
          </w:tcPr>
          <w:p>
            <w:pPr>
              <w:adjustRightInd w:val="0"/>
              <w:snapToGrid w:val="0"/>
              <w:spacing w:line="240" w:lineRule="auto"/>
              <w:jc w:val="center"/>
              <w:rPr>
                <w:snapToGrid w:val="0"/>
                <w:kern w:val="0"/>
                <w:sz w:val="21"/>
                <w:szCs w:val="21"/>
              </w:rPr>
            </w:pPr>
            <w:r>
              <w:rPr>
                <w:kern w:val="0"/>
                <w:sz w:val="21"/>
                <w:szCs w:val="21"/>
              </w:rPr>
              <w:t>6.52</w:t>
            </w:r>
          </w:p>
        </w:tc>
        <w:tc>
          <w:tcPr>
            <w:tcW w:w="1506" w:type="dxa"/>
            <w:vAlign w:val="center"/>
          </w:tcPr>
          <w:p>
            <w:pPr>
              <w:widowControl/>
              <w:spacing w:line="240" w:lineRule="auto"/>
              <w:jc w:val="center"/>
              <w:rPr>
                <w:sz w:val="21"/>
                <w:szCs w:val="21"/>
              </w:rPr>
            </w:pPr>
            <w:r>
              <w:rPr>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7" w:type="dxa"/>
            <w:vMerge w:val="continue"/>
            <w:vAlign w:val="center"/>
          </w:tcPr>
          <w:p>
            <w:pPr>
              <w:adjustRightInd w:val="0"/>
              <w:snapToGrid w:val="0"/>
              <w:spacing w:line="240" w:lineRule="auto"/>
              <w:jc w:val="center"/>
              <w:rPr>
                <w:kern w:val="0"/>
                <w:sz w:val="21"/>
                <w:szCs w:val="21"/>
              </w:rPr>
            </w:pPr>
          </w:p>
        </w:tc>
        <w:tc>
          <w:tcPr>
            <w:tcW w:w="1202" w:type="dxa"/>
            <w:vMerge w:val="continue"/>
            <w:vAlign w:val="center"/>
          </w:tcPr>
          <w:p>
            <w:pPr>
              <w:adjustRightInd w:val="0"/>
              <w:snapToGrid w:val="0"/>
              <w:spacing w:line="240" w:lineRule="auto"/>
              <w:jc w:val="center"/>
              <w:rPr>
                <w:kern w:val="0"/>
                <w:sz w:val="21"/>
                <w:szCs w:val="21"/>
              </w:rPr>
            </w:pPr>
          </w:p>
        </w:tc>
        <w:tc>
          <w:tcPr>
            <w:tcW w:w="740" w:type="dxa"/>
            <w:vAlign w:val="center"/>
          </w:tcPr>
          <w:p>
            <w:pPr>
              <w:adjustRightInd w:val="0"/>
              <w:snapToGrid w:val="0"/>
              <w:spacing w:line="240" w:lineRule="auto"/>
              <w:jc w:val="center"/>
              <w:rPr>
                <w:kern w:val="0"/>
                <w:sz w:val="21"/>
                <w:szCs w:val="21"/>
              </w:rPr>
            </w:pPr>
            <w:r>
              <w:rPr>
                <w:rFonts w:hint="eastAsia"/>
                <w:kern w:val="0"/>
                <w:sz w:val="21"/>
                <w:szCs w:val="21"/>
              </w:rPr>
              <w:t>H</w:t>
            </w:r>
            <w:r>
              <w:rPr>
                <w:rFonts w:hint="eastAsia"/>
                <w:kern w:val="0"/>
                <w:sz w:val="21"/>
                <w:szCs w:val="21"/>
                <w:vertAlign w:val="subscript"/>
              </w:rPr>
              <w:t>2</w:t>
            </w:r>
            <w:r>
              <w:rPr>
                <w:rFonts w:hint="eastAsia"/>
                <w:kern w:val="0"/>
                <w:sz w:val="21"/>
                <w:szCs w:val="21"/>
              </w:rPr>
              <w:t>S</w:t>
            </w:r>
          </w:p>
        </w:tc>
        <w:tc>
          <w:tcPr>
            <w:tcW w:w="1669" w:type="dxa"/>
            <w:vMerge w:val="continue"/>
            <w:vAlign w:val="center"/>
          </w:tcPr>
          <w:p>
            <w:pPr>
              <w:adjustRightInd w:val="0"/>
              <w:snapToGrid w:val="0"/>
              <w:spacing w:line="240" w:lineRule="auto"/>
              <w:jc w:val="center"/>
              <w:rPr>
                <w:kern w:val="0"/>
                <w:sz w:val="21"/>
                <w:szCs w:val="21"/>
              </w:rPr>
            </w:pPr>
          </w:p>
        </w:tc>
        <w:tc>
          <w:tcPr>
            <w:tcW w:w="1107" w:type="dxa"/>
            <w:vAlign w:val="center"/>
          </w:tcPr>
          <w:p>
            <w:pPr>
              <w:adjustRightInd w:val="0"/>
              <w:snapToGrid w:val="0"/>
              <w:spacing w:line="240" w:lineRule="auto"/>
              <w:jc w:val="center"/>
              <w:rPr>
                <w:kern w:val="0"/>
                <w:sz w:val="21"/>
                <w:szCs w:val="21"/>
              </w:rPr>
            </w:pPr>
            <w:r>
              <w:rPr>
                <w:kern w:val="0"/>
                <w:sz w:val="21"/>
                <w:szCs w:val="21"/>
              </w:rPr>
              <w:t>0.64</w:t>
            </w:r>
          </w:p>
        </w:tc>
        <w:tc>
          <w:tcPr>
            <w:tcW w:w="1107" w:type="dxa"/>
            <w:vAlign w:val="center"/>
          </w:tcPr>
          <w:p>
            <w:pPr>
              <w:adjustRightInd w:val="0"/>
              <w:snapToGrid w:val="0"/>
              <w:spacing w:line="240" w:lineRule="auto"/>
              <w:jc w:val="center"/>
              <w:rPr>
                <w:snapToGrid w:val="0"/>
                <w:kern w:val="0"/>
                <w:sz w:val="21"/>
                <w:szCs w:val="21"/>
              </w:rPr>
            </w:pPr>
            <w:r>
              <w:rPr>
                <w:snapToGrid w:val="0"/>
                <w:kern w:val="0"/>
                <w:sz w:val="21"/>
                <w:szCs w:val="21"/>
              </w:rPr>
              <w:t>0.</w:t>
            </w:r>
            <w:r>
              <w:rPr>
                <w:rFonts w:hint="eastAsia"/>
                <w:snapToGrid w:val="0"/>
                <w:kern w:val="0"/>
                <w:sz w:val="21"/>
                <w:szCs w:val="21"/>
              </w:rPr>
              <w:t>01</w:t>
            </w:r>
          </w:p>
        </w:tc>
        <w:tc>
          <w:tcPr>
            <w:tcW w:w="893" w:type="dxa"/>
            <w:vAlign w:val="center"/>
          </w:tcPr>
          <w:p>
            <w:pPr>
              <w:adjustRightInd w:val="0"/>
              <w:snapToGrid w:val="0"/>
              <w:spacing w:line="240" w:lineRule="auto"/>
              <w:jc w:val="center"/>
              <w:rPr>
                <w:snapToGrid w:val="0"/>
                <w:kern w:val="0"/>
                <w:sz w:val="21"/>
                <w:szCs w:val="21"/>
              </w:rPr>
            </w:pPr>
            <w:r>
              <w:rPr>
                <w:kern w:val="0"/>
                <w:sz w:val="21"/>
                <w:szCs w:val="21"/>
              </w:rPr>
              <w:t>1.72</w:t>
            </w:r>
          </w:p>
        </w:tc>
        <w:tc>
          <w:tcPr>
            <w:tcW w:w="1506" w:type="dxa"/>
            <w:vAlign w:val="center"/>
          </w:tcPr>
          <w:p>
            <w:pPr>
              <w:widowControl/>
              <w:spacing w:line="240" w:lineRule="auto"/>
              <w:jc w:val="center"/>
              <w:rPr>
                <w:sz w:val="21"/>
                <w:szCs w:val="21"/>
              </w:rPr>
            </w:pPr>
            <w:r>
              <w:rPr>
                <w:sz w:val="21"/>
                <w:szCs w:val="21"/>
              </w:rPr>
              <w:t>50</w:t>
            </w:r>
          </w:p>
        </w:tc>
      </w:tr>
    </w:tbl>
    <w:p>
      <w:pPr>
        <w:shd w:val="solid" w:color="FFFFFF" w:fill="auto"/>
        <w:autoSpaceDN w:val="0"/>
        <w:ind w:firstLine="480" w:firstLineChars="200"/>
        <w:textAlignment w:val="baseline"/>
        <w:rPr>
          <w:rFonts w:hAnsi="宋体"/>
        </w:rPr>
      </w:pPr>
    </w:p>
    <w:p>
      <w:pPr>
        <w:shd w:val="solid" w:color="FFFFFF" w:fill="auto"/>
        <w:autoSpaceDN w:val="0"/>
        <w:ind w:firstLine="480" w:firstLineChars="200"/>
        <w:textAlignment w:val="baseline"/>
      </w:pPr>
      <w:r>
        <w:rPr>
          <w:rFonts w:hAnsi="宋体"/>
        </w:rPr>
        <w:t>卫生防护距离是居住区边界与无组织排放源之间的距离，目的是给恶臭提供一段稀释距离，使污染物到达居住区时符合环境质量标准。本项目为</w:t>
      </w:r>
      <w:r>
        <w:rPr>
          <w:rFonts w:hint="eastAsia" w:hAnsi="宋体"/>
        </w:rPr>
        <w:t>生猪养殖</w:t>
      </w:r>
      <w:r>
        <w:rPr>
          <w:rFonts w:hAnsi="宋体"/>
        </w:rPr>
        <w:t>项目，恶臭主要污染物为硫化氢和氨，</w:t>
      </w:r>
      <w:r>
        <w:t>Cm</w:t>
      </w:r>
      <w:r>
        <w:rPr>
          <w:rFonts w:hint="eastAsia" w:hAnsi="宋体"/>
        </w:rPr>
        <w:t>参照</w:t>
      </w:r>
      <w:r>
        <w:rPr>
          <w:rFonts w:hint="eastAsia"/>
        </w:rPr>
        <w:t>《环境影响评价技术导则-大气环境》（H</w:t>
      </w:r>
      <w:r>
        <w:t>J2.2-2018</w:t>
      </w:r>
      <w:r>
        <w:rPr>
          <w:rFonts w:hint="eastAsia"/>
        </w:rPr>
        <w:t>）附录D</w:t>
      </w:r>
      <w:r>
        <w:t xml:space="preserve"> </w:t>
      </w:r>
      <w:r>
        <w:rPr>
          <w:rFonts w:hint="eastAsia"/>
        </w:rPr>
        <w:t>其他污染物空气质量浓度参考限值</w:t>
      </w:r>
      <w:r>
        <w:rPr>
          <w:rFonts w:hAnsi="宋体"/>
        </w:rPr>
        <w:t>，硫化氢：</w:t>
      </w:r>
      <w:r>
        <w:t>0.01mg/m</w:t>
      </w:r>
      <w:r>
        <w:rPr>
          <w:vertAlign w:val="superscript"/>
        </w:rPr>
        <w:t>3</w:t>
      </w:r>
      <w:r>
        <w:rPr>
          <w:rFonts w:hAnsi="宋体"/>
        </w:rPr>
        <w:t>，氨：</w:t>
      </w:r>
      <w:r>
        <w:t>0.2mg/m</w:t>
      </w:r>
      <w:r>
        <w:rPr>
          <w:vertAlign w:val="superscript"/>
        </w:rPr>
        <w:t>3</w:t>
      </w:r>
      <w:r>
        <w:rPr>
          <w:rFonts w:hAnsi="宋体"/>
        </w:rPr>
        <w:t>，按</w:t>
      </w:r>
      <w:r>
        <w:t>GB/T3840-91</w:t>
      </w:r>
      <w:r>
        <w:rPr>
          <w:rFonts w:hAnsi="宋体"/>
        </w:rPr>
        <w:t>规定，</w:t>
      </w:r>
      <w:r>
        <w:t>L</w:t>
      </w:r>
      <w:r>
        <w:rPr>
          <w:rFonts w:hAnsi="宋体"/>
        </w:rPr>
        <w:t>值为</w:t>
      </w:r>
      <w:r>
        <w:t>100m</w:t>
      </w:r>
      <w:r>
        <w:rPr>
          <w:rFonts w:hAnsi="宋体"/>
        </w:rPr>
        <w:t>以内时，级差为</w:t>
      </w:r>
      <w:r>
        <w:t>50m</w:t>
      </w:r>
      <w:r>
        <w:rPr>
          <w:rFonts w:hAnsi="宋体"/>
        </w:rPr>
        <w:t>；超过</w:t>
      </w:r>
      <w:r>
        <w:t>100m</w:t>
      </w:r>
      <w:r>
        <w:rPr>
          <w:rFonts w:hAnsi="宋体"/>
        </w:rPr>
        <w:t>，小于或等于</w:t>
      </w:r>
      <w:r>
        <w:t>1000m</w:t>
      </w:r>
      <w:r>
        <w:rPr>
          <w:rFonts w:hAnsi="宋体"/>
        </w:rPr>
        <w:t>时，级差为</w:t>
      </w:r>
      <w:r>
        <w:t>100m</w:t>
      </w:r>
      <w:r>
        <w:rPr>
          <w:rFonts w:hAnsi="宋体"/>
        </w:rPr>
        <w:t>；超过</w:t>
      </w:r>
      <w:r>
        <w:t>1000m</w:t>
      </w:r>
      <w:r>
        <w:rPr>
          <w:rFonts w:hAnsi="宋体"/>
        </w:rPr>
        <w:t>以上，级差为</w:t>
      </w:r>
      <w:r>
        <w:t>200m</w:t>
      </w:r>
      <w:r>
        <w:rPr>
          <w:rFonts w:hAnsi="宋体"/>
        </w:rPr>
        <w:t>。采用趋近法计算</w:t>
      </w:r>
      <w:r>
        <w:t>L</w:t>
      </w:r>
      <w:r>
        <w:rPr>
          <w:rFonts w:hAnsi="宋体"/>
        </w:rPr>
        <w:t>值，按最大</w:t>
      </w:r>
      <w:r>
        <w:t>QC/Cm</w:t>
      </w:r>
      <w:r>
        <w:rPr>
          <w:rFonts w:hAnsi="宋体"/>
        </w:rPr>
        <w:t>计，但当按两种或两种以上的有害气体的</w:t>
      </w:r>
      <w:r>
        <w:t>Q</w:t>
      </w:r>
      <w:r>
        <w:rPr>
          <w:vertAlign w:val="subscript"/>
        </w:rPr>
        <w:t>C</w:t>
      </w:r>
      <w:r>
        <w:t>/Cm</w:t>
      </w:r>
      <w:r>
        <w:rPr>
          <w:rFonts w:hAnsi="宋体"/>
        </w:rPr>
        <w:t>值计算的卫生防护距离在同一级别时，该类工业企业的卫生防护距离级别应该高一级。根据计算本项目各大气污染源卫生防护距离见表</w:t>
      </w:r>
      <w:r>
        <w:t>7.2-11</w:t>
      </w:r>
      <w:r>
        <w:rPr>
          <w:rFonts w:hint="eastAsia" w:hAnsi="宋体"/>
        </w:rPr>
        <w:t>，因此本项目最终确定的卫生防护距离为妊娠舍及分娩舍外围</w:t>
      </w:r>
      <w:r>
        <w:rPr>
          <w:rFonts w:hAnsi="宋体"/>
        </w:rPr>
        <w:t>1</w:t>
      </w:r>
      <w:r>
        <w:rPr>
          <w:rFonts w:hint="eastAsia" w:hAnsi="宋体"/>
        </w:rPr>
        <w:t>00m范围为本项目卫生防护距离。</w:t>
      </w:r>
    </w:p>
    <w:p>
      <w:pPr>
        <w:spacing w:line="240" w:lineRule="auto"/>
        <w:jc w:val="center"/>
        <w:rPr>
          <w:rFonts w:eastAsia="黑体"/>
        </w:rPr>
      </w:pPr>
      <w:r>
        <w:rPr>
          <w:rFonts w:eastAsia="黑体"/>
        </w:rPr>
        <w:t>表7</w:t>
      </w:r>
      <w:r>
        <w:rPr>
          <w:rFonts w:hint="eastAsia" w:eastAsia="黑体"/>
        </w:rPr>
        <w:t>.</w:t>
      </w:r>
      <w:r>
        <w:rPr>
          <w:rFonts w:eastAsia="黑体"/>
        </w:rPr>
        <w:t>2-11    最终确定的卫生防护距离</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3312"/>
        <w:gridCol w:w="1961"/>
        <w:gridCol w:w="2249"/>
        <w:gridCol w:w="142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3231" w:type="dxa"/>
            <w:vMerge w:val="restart"/>
            <w:vAlign w:val="center"/>
          </w:tcPr>
          <w:p>
            <w:pPr>
              <w:snapToGrid w:val="0"/>
              <w:spacing w:line="240" w:lineRule="auto"/>
              <w:jc w:val="center"/>
              <w:rPr>
                <w:sz w:val="21"/>
                <w:szCs w:val="21"/>
              </w:rPr>
            </w:pPr>
            <w:r>
              <w:rPr>
                <w:rFonts w:hAnsi="宋体"/>
                <w:sz w:val="21"/>
                <w:szCs w:val="21"/>
              </w:rPr>
              <w:t>产污单元</w:t>
            </w:r>
          </w:p>
        </w:tc>
        <w:tc>
          <w:tcPr>
            <w:tcW w:w="5500" w:type="dxa"/>
            <w:gridSpan w:val="3"/>
            <w:vAlign w:val="center"/>
          </w:tcPr>
          <w:p>
            <w:pPr>
              <w:snapToGrid w:val="0"/>
              <w:spacing w:line="240" w:lineRule="auto"/>
              <w:jc w:val="center"/>
              <w:rPr>
                <w:sz w:val="21"/>
                <w:szCs w:val="21"/>
              </w:rPr>
            </w:pPr>
            <w:r>
              <w:rPr>
                <w:rFonts w:hAnsi="宋体"/>
                <w:sz w:val="21"/>
                <w:szCs w:val="21"/>
              </w:rPr>
              <w:t>卫生防护距离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3231" w:type="dxa"/>
            <w:vMerge w:val="continue"/>
            <w:vAlign w:val="center"/>
          </w:tcPr>
          <w:p>
            <w:pPr>
              <w:snapToGrid w:val="0"/>
              <w:spacing w:line="240" w:lineRule="auto"/>
              <w:jc w:val="center"/>
              <w:rPr>
                <w:sz w:val="21"/>
                <w:szCs w:val="21"/>
              </w:rPr>
            </w:pPr>
          </w:p>
        </w:tc>
        <w:tc>
          <w:tcPr>
            <w:tcW w:w="1914" w:type="dxa"/>
            <w:vAlign w:val="center"/>
          </w:tcPr>
          <w:p>
            <w:pPr>
              <w:snapToGrid w:val="0"/>
              <w:spacing w:line="240" w:lineRule="auto"/>
              <w:jc w:val="center"/>
              <w:rPr>
                <w:sz w:val="21"/>
                <w:szCs w:val="21"/>
              </w:rPr>
            </w:pPr>
            <w:r>
              <w:rPr>
                <w:rFonts w:hAnsi="宋体"/>
                <w:sz w:val="21"/>
                <w:szCs w:val="21"/>
              </w:rPr>
              <w:t>氨（</w:t>
            </w:r>
            <w:r>
              <w:rPr>
                <w:rFonts w:hint="eastAsia" w:hAnsi="宋体"/>
                <w:sz w:val="21"/>
                <w:szCs w:val="21"/>
              </w:rPr>
              <w:t>划定</w:t>
            </w:r>
            <w:r>
              <w:rPr>
                <w:rFonts w:hAnsi="宋体"/>
                <w:sz w:val="21"/>
                <w:szCs w:val="21"/>
              </w:rPr>
              <w:t>距离）</w:t>
            </w:r>
          </w:p>
        </w:tc>
        <w:tc>
          <w:tcPr>
            <w:tcW w:w="2195" w:type="dxa"/>
            <w:vAlign w:val="center"/>
          </w:tcPr>
          <w:p>
            <w:pPr>
              <w:snapToGrid w:val="0"/>
              <w:spacing w:line="240" w:lineRule="auto"/>
              <w:jc w:val="center"/>
              <w:rPr>
                <w:sz w:val="21"/>
                <w:szCs w:val="21"/>
              </w:rPr>
            </w:pPr>
            <w:r>
              <w:rPr>
                <w:rFonts w:hAnsi="宋体"/>
                <w:sz w:val="21"/>
                <w:szCs w:val="21"/>
              </w:rPr>
              <w:t>硫化氢（</w:t>
            </w:r>
            <w:r>
              <w:rPr>
                <w:rFonts w:hint="eastAsia" w:hAnsi="宋体"/>
                <w:sz w:val="21"/>
                <w:szCs w:val="21"/>
              </w:rPr>
              <w:t>划定</w:t>
            </w:r>
            <w:r>
              <w:rPr>
                <w:rFonts w:hAnsi="宋体"/>
                <w:sz w:val="21"/>
                <w:szCs w:val="21"/>
              </w:rPr>
              <w:t>距离）</w:t>
            </w:r>
          </w:p>
        </w:tc>
        <w:tc>
          <w:tcPr>
            <w:tcW w:w="1391" w:type="dxa"/>
            <w:vAlign w:val="center"/>
          </w:tcPr>
          <w:p>
            <w:pPr>
              <w:snapToGrid w:val="0"/>
              <w:spacing w:line="240" w:lineRule="auto"/>
              <w:jc w:val="center"/>
              <w:rPr>
                <w:sz w:val="21"/>
                <w:szCs w:val="21"/>
              </w:rPr>
            </w:pPr>
            <w:r>
              <w:rPr>
                <w:rFonts w:hAnsi="宋体"/>
                <w:sz w:val="21"/>
                <w:szCs w:val="21"/>
              </w:rPr>
              <w:t>最终距离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3231" w:type="dxa"/>
            <w:vAlign w:val="center"/>
          </w:tcPr>
          <w:p>
            <w:pPr>
              <w:snapToGrid w:val="0"/>
              <w:spacing w:line="240" w:lineRule="auto"/>
              <w:jc w:val="center"/>
              <w:rPr>
                <w:sz w:val="21"/>
                <w:szCs w:val="21"/>
              </w:rPr>
            </w:pPr>
            <w:r>
              <w:rPr>
                <w:rFonts w:hint="eastAsia" w:hAnsi="宋体"/>
                <w:sz w:val="21"/>
                <w:szCs w:val="21"/>
              </w:rPr>
              <w:t>妊娠舍</w:t>
            </w:r>
          </w:p>
        </w:tc>
        <w:tc>
          <w:tcPr>
            <w:tcW w:w="1914" w:type="dxa"/>
            <w:vAlign w:val="center"/>
          </w:tcPr>
          <w:p>
            <w:pPr>
              <w:snapToGrid w:val="0"/>
              <w:spacing w:line="240" w:lineRule="auto"/>
              <w:jc w:val="center"/>
              <w:rPr>
                <w:sz w:val="21"/>
                <w:szCs w:val="21"/>
              </w:rPr>
            </w:pPr>
            <w:r>
              <w:rPr>
                <w:rFonts w:hint="eastAsia"/>
                <w:sz w:val="21"/>
                <w:szCs w:val="21"/>
              </w:rPr>
              <w:t>50m</w:t>
            </w:r>
          </w:p>
        </w:tc>
        <w:tc>
          <w:tcPr>
            <w:tcW w:w="2195" w:type="dxa"/>
            <w:vAlign w:val="center"/>
          </w:tcPr>
          <w:p>
            <w:pPr>
              <w:snapToGrid w:val="0"/>
              <w:spacing w:line="240" w:lineRule="auto"/>
              <w:jc w:val="center"/>
              <w:rPr>
                <w:sz w:val="21"/>
                <w:szCs w:val="21"/>
              </w:rPr>
            </w:pPr>
            <w:r>
              <w:rPr>
                <w:rFonts w:hint="eastAsia"/>
                <w:sz w:val="21"/>
                <w:szCs w:val="21"/>
              </w:rPr>
              <w:t>50m</w:t>
            </w:r>
          </w:p>
        </w:tc>
        <w:tc>
          <w:tcPr>
            <w:tcW w:w="1391" w:type="dxa"/>
            <w:vAlign w:val="center"/>
          </w:tcPr>
          <w:p>
            <w:pPr>
              <w:snapToGrid w:val="0"/>
              <w:spacing w:line="240" w:lineRule="auto"/>
              <w:jc w:val="center"/>
              <w:rPr>
                <w:sz w:val="21"/>
                <w:szCs w:val="21"/>
              </w:rPr>
            </w:pPr>
            <w:r>
              <w:rPr>
                <w:sz w:val="21"/>
                <w:szCs w:val="21"/>
              </w:rPr>
              <w:t>100m</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3231" w:type="dxa"/>
            <w:vAlign w:val="center"/>
          </w:tcPr>
          <w:p>
            <w:pPr>
              <w:snapToGrid w:val="0"/>
              <w:spacing w:line="240" w:lineRule="auto"/>
              <w:jc w:val="center"/>
              <w:rPr>
                <w:rFonts w:hAnsi="宋体"/>
                <w:sz w:val="21"/>
                <w:szCs w:val="21"/>
              </w:rPr>
            </w:pPr>
            <w:r>
              <w:rPr>
                <w:rFonts w:hint="eastAsia" w:hAnsi="宋体"/>
                <w:sz w:val="21"/>
                <w:szCs w:val="21"/>
              </w:rPr>
              <w:t>分娩舍</w:t>
            </w:r>
          </w:p>
        </w:tc>
        <w:tc>
          <w:tcPr>
            <w:tcW w:w="1914" w:type="dxa"/>
            <w:vAlign w:val="center"/>
          </w:tcPr>
          <w:p>
            <w:pPr>
              <w:snapToGrid w:val="0"/>
              <w:spacing w:line="240" w:lineRule="auto"/>
              <w:jc w:val="center"/>
              <w:rPr>
                <w:sz w:val="21"/>
                <w:szCs w:val="21"/>
              </w:rPr>
            </w:pPr>
            <w:r>
              <w:rPr>
                <w:rFonts w:hint="eastAsia"/>
                <w:sz w:val="21"/>
                <w:szCs w:val="21"/>
              </w:rPr>
              <w:t>5</w:t>
            </w:r>
            <w:r>
              <w:rPr>
                <w:sz w:val="21"/>
                <w:szCs w:val="21"/>
              </w:rPr>
              <w:t>0m</w:t>
            </w:r>
          </w:p>
        </w:tc>
        <w:tc>
          <w:tcPr>
            <w:tcW w:w="2195" w:type="dxa"/>
            <w:vAlign w:val="center"/>
          </w:tcPr>
          <w:p>
            <w:pPr>
              <w:snapToGrid w:val="0"/>
              <w:spacing w:line="240" w:lineRule="auto"/>
              <w:jc w:val="center"/>
              <w:rPr>
                <w:sz w:val="21"/>
                <w:szCs w:val="21"/>
              </w:rPr>
            </w:pPr>
            <w:r>
              <w:rPr>
                <w:rFonts w:hint="eastAsia"/>
                <w:sz w:val="21"/>
                <w:szCs w:val="21"/>
              </w:rPr>
              <w:t>5</w:t>
            </w:r>
            <w:r>
              <w:rPr>
                <w:sz w:val="21"/>
                <w:szCs w:val="21"/>
              </w:rPr>
              <w:t>0m</w:t>
            </w:r>
          </w:p>
        </w:tc>
        <w:tc>
          <w:tcPr>
            <w:tcW w:w="1391" w:type="dxa"/>
            <w:vAlign w:val="center"/>
          </w:tcPr>
          <w:p>
            <w:pPr>
              <w:snapToGrid w:val="0"/>
              <w:spacing w:line="240" w:lineRule="auto"/>
              <w:jc w:val="center"/>
              <w:rPr>
                <w:sz w:val="21"/>
                <w:szCs w:val="21"/>
              </w:rPr>
            </w:pPr>
            <w:r>
              <w:rPr>
                <w:rFonts w:hint="eastAsia"/>
                <w:sz w:val="21"/>
                <w:szCs w:val="21"/>
              </w:rPr>
              <w:t>1</w:t>
            </w:r>
            <w:r>
              <w:rPr>
                <w:sz w:val="21"/>
                <w:szCs w:val="21"/>
              </w:rPr>
              <w:t>00m</w:t>
            </w:r>
          </w:p>
        </w:tc>
      </w:tr>
    </w:tbl>
    <w:p>
      <w:pPr>
        <w:ind w:firstLine="480"/>
        <w:contextualSpacing/>
        <w:rPr>
          <w:bCs/>
        </w:rPr>
      </w:pPr>
    </w:p>
    <w:p>
      <w:pPr>
        <w:shd w:val="clear" w:color="auto" w:fill="FFFFFF"/>
        <w:ind w:firstLine="480" w:firstLineChars="200"/>
        <w:textAlignment w:val="baseline"/>
      </w:pPr>
      <w:r>
        <w:rPr>
          <w:rFonts w:ascii="宋体" w:hAnsi="宋体"/>
        </w:rPr>
        <w:fldChar w:fldCharType="begin"/>
      </w:r>
      <w:r>
        <w:rPr>
          <w:rFonts w:ascii="宋体" w:hAnsi="宋体"/>
        </w:rPr>
        <w:instrText xml:space="preserve"> </w:instrText>
      </w:r>
      <w:r>
        <w:rPr>
          <w:rFonts w:hint="eastAsia" w:ascii="宋体" w:hAnsi="宋体"/>
        </w:rPr>
        <w:instrText xml:space="preserve">= 2 \* GB3</w:instrText>
      </w:r>
      <w:r>
        <w:rPr>
          <w:rFonts w:ascii="宋体" w:hAnsi="宋体"/>
        </w:rPr>
        <w:instrText xml:space="preserve"> </w:instrText>
      </w:r>
      <w:r>
        <w:rPr>
          <w:rFonts w:ascii="宋体" w:hAnsi="宋体"/>
        </w:rPr>
        <w:fldChar w:fldCharType="separate"/>
      </w:r>
      <w:r>
        <w:rPr>
          <w:rFonts w:hint="eastAsia" w:ascii="宋体" w:hAnsi="宋体"/>
        </w:rPr>
        <w:t>②</w:t>
      </w:r>
      <w:r>
        <w:rPr>
          <w:rFonts w:ascii="宋体" w:hAnsi="宋体"/>
        </w:rPr>
        <w:fldChar w:fldCharType="end"/>
      </w:r>
      <w:r>
        <w:rPr>
          <w:rFonts w:ascii="宋体" w:hAnsi="宋体"/>
        </w:rPr>
        <w:t>防护距离范围用地控制：</w:t>
      </w:r>
    </w:p>
    <w:p>
      <w:pPr>
        <w:snapToGrid w:val="0"/>
        <w:ind w:firstLine="480" w:firstLineChars="200"/>
        <w:textAlignment w:val="baseline"/>
      </w:pPr>
      <w:r>
        <w:t>A</w:t>
      </w:r>
      <w:r>
        <w:rPr>
          <w:rFonts w:hint="eastAsia"/>
        </w:rPr>
        <w:t>、</w:t>
      </w:r>
      <w:r>
        <w:rPr>
          <w:rFonts w:ascii="宋体" w:hAnsi="宋体"/>
        </w:rPr>
        <w:t>卫生防护距离范围内敏感点保护措施</w:t>
      </w:r>
    </w:p>
    <w:p>
      <w:pPr>
        <w:snapToGrid w:val="0"/>
        <w:ind w:firstLine="480" w:firstLineChars="200"/>
        <w:textAlignment w:val="baseline"/>
        <w:rPr>
          <w:rFonts w:ascii="宋体" w:hAnsi="宋体"/>
        </w:rPr>
      </w:pPr>
      <w:r>
        <w:rPr>
          <w:rFonts w:ascii="宋体" w:hAnsi="宋体"/>
        </w:rPr>
        <w:t>根据现场调查，项目拟划定的卫生防护距离范围内</w:t>
      </w:r>
      <w:r>
        <w:t>分布有1户居民</w:t>
      </w:r>
      <w:r>
        <w:rPr>
          <w:rFonts w:hint="eastAsia"/>
        </w:rPr>
        <w:t>（居民情况见表7</w:t>
      </w:r>
      <w:r>
        <w:t>.2</w:t>
      </w:r>
      <w:r>
        <w:rPr>
          <w:rFonts w:hint="eastAsia"/>
        </w:rPr>
        <w:t>-</w:t>
      </w:r>
      <w:r>
        <w:t>12</w:t>
      </w:r>
      <w:r>
        <w:rPr>
          <w:rFonts w:hint="eastAsia"/>
        </w:rPr>
        <w:t>），其为星星亮村3组</w:t>
      </w:r>
      <w:r>
        <w:t>居民，</w:t>
      </w:r>
      <w:r>
        <w:rPr>
          <w:rFonts w:hint="eastAsia"/>
        </w:rPr>
        <w:t>目前建设单位已与该户居民签订了房屋租赁协议，协议明确，租赁农户在养殖场经营期间，不返回原房屋居住，因此项目运营期间，项目卫生防护距离范围内无居民分布</w:t>
      </w:r>
      <w:r>
        <w:rPr>
          <w:rFonts w:hint="eastAsia" w:ascii="宋体" w:hAnsi="宋体"/>
        </w:rPr>
        <w:t>。</w:t>
      </w:r>
    </w:p>
    <w:p>
      <w:pPr>
        <w:spacing w:line="240" w:lineRule="auto"/>
        <w:jc w:val="center"/>
        <w:rPr>
          <w:rFonts w:eastAsia="黑体"/>
        </w:rPr>
      </w:pPr>
      <w:r>
        <w:rPr>
          <w:rFonts w:eastAsia="黑体"/>
        </w:rPr>
        <w:t>表7</w:t>
      </w:r>
      <w:r>
        <w:rPr>
          <w:rFonts w:hint="eastAsia" w:eastAsia="黑体"/>
        </w:rPr>
        <w:t>.</w:t>
      </w:r>
      <w:r>
        <w:rPr>
          <w:rFonts w:eastAsia="黑体"/>
        </w:rPr>
        <w:t xml:space="preserve">2-12    </w:t>
      </w:r>
      <w:r>
        <w:rPr>
          <w:rFonts w:hint="eastAsia" w:eastAsia="黑体"/>
        </w:rPr>
        <w:t>项目卫生防护距离范围内居民分布情况</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102"/>
        <w:gridCol w:w="1338"/>
        <w:gridCol w:w="3475"/>
        <w:gridCol w:w="1516"/>
        <w:gridCol w:w="151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276" w:type="dxa"/>
            <w:vAlign w:val="center"/>
          </w:tcPr>
          <w:p>
            <w:pPr>
              <w:snapToGrid w:val="0"/>
              <w:spacing w:line="240" w:lineRule="auto"/>
              <w:jc w:val="center"/>
              <w:rPr>
                <w:sz w:val="21"/>
                <w:szCs w:val="21"/>
              </w:rPr>
            </w:pPr>
            <w:r>
              <w:rPr>
                <w:rFonts w:hint="eastAsia"/>
                <w:sz w:val="21"/>
                <w:szCs w:val="21"/>
              </w:rPr>
              <w:t>序号</w:t>
            </w:r>
          </w:p>
        </w:tc>
        <w:tc>
          <w:tcPr>
            <w:tcW w:w="1559" w:type="dxa"/>
            <w:vAlign w:val="center"/>
          </w:tcPr>
          <w:p>
            <w:pPr>
              <w:snapToGrid w:val="0"/>
              <w:spacing w:line="240" w:lineRule="auto"/>
              <w:jc w:val="center"/>
              <w:rPr>
                <w:sz w:val="21"/>
                <w:szCs w:val="21"/>
              </w:rPr>
            </w:pPr>
            <w:r>
              <w:rPr>
                <w:rFonts w:hint="eastAsia" w:hAnsi="宋体"/>
                <w:sz w:val="21"/>
                <w:szCs w:val="21"/>
              </w:rPr>
              <w:t>户主姓名</w:t>
            </w:r>
          </w:p>
        </w:tc>
        <w:tc>
          <w:tcPr>
            <w:tcW w:w="4124" w:type="dxa"/>
            <w:vAlign w:val="center"/>
          </w:tcPr>
          <w:p>
            <w:pPr>
              <w:snapToGrid w:val="0"/>
              <w:spacing w:line="240" w:lineRule="auto"/>
              <w:jc w:val="center"/>
              <w:rPr>
                <w:rFonts w:hAnsi="宋体"/>
                <w:sz w:val="21"/>
                <w:szCs w:val="21"/>
              </w:rPr>
            </w:pPr>
            <w:r>
              <w:rPr>
                <w:rFonts w:hint="eastAsia" w:hAnsi="宋体"/>
                <w:sz w:val="21"/>
                <w:szCs w:val="21"/>
              </w:rPr>
              <w:t>所在村民小组</w:t>
            </w:r>
          </w:p>
        </w:tc>
        <w:tc>
          <w:tcPr>
            <w:tcW w:w="1772" w:type="dxa"/>
            <w:vAlign w:val="center"/>
          </w:tcPr>
          <w:p>
            <w:pPr>
              <w:snapToGrid w:val="0"/>
              <w:spacing w:line="240" w:lineRule="auto"/>
              <w:jc w:val="center"/>
              <w:rPr>
                <w:rFonts w:hAnsi="宋体"/>
                <w:sz w:val="21"/>
                <w:szCs w:val="21"/>
              </w:rPr>
            </w:pPr>
            <w:r>
              <w:rPr>
                <w:rFonts w:hint="eastAsia" w:hAnsi="宋体"/>
                <w:sz w:val="21"/>
                <w:szCs w:val="21"/>
              </w:rPr>
              <w:t>家庭人数</w:t>
            </w:r>
          </w:p>
        </w:tc>
        <w:tc>
          <w:tcPr>
            <w:tcW w:w="1772" w:type="dxa"/>
            <w:vAlign w:val="center"/>
          </w:tcPr>
          <w:p>
            <w:pPr>
              <w:snapToGrid w:val="0"/>
              <w:spacing w:line="240" w:lineRule="auto"/>
              <w:jc w:val="center"/>
              <w:rPr>
                <w:sz w:val="21"/>
                <w:szCs w:val="21"/>
              </w:rPr>
            </w:pPr>
            <w:r>
              <w:rPr>
                <w:rFonts w:hint="eastAsia" w:hAnsi="宋体"/>
                <w:sz w:val="21"/>
                <w:szCs w:val="21"/>
              </w:rPr>
              <w:t>距离圈舍距离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276" w:type="dxa"/>
            <w:vAlign w:val="center"/>
          </w:tcPr>
          <w:p>
            <w:pPr>
              <w:snapToGrid w:val="0"/>
              <w:spacing w:line="240" w:lineRule="auto"/>
              <w:jc w:val="center"/>
              <w:rPr>
                <w:sz w:val="21"/>
                <w:szCs w:val="21"/>
              </w:rPr>
            </w:pPr>
            <w:r>
              <w:rPr>
                <w:sz w:val="21"/>
                <w:szCs w:val="21"/>
              </w:rPr>
              <w:t>1</w:t>
            </w:r>
          </w:p>
        </w:tc>
        <w:tc>
          <w:tcPr>
            <w:tcW w:w="1559" w:type="dxa"/>
            <w:vAlign w:val="center"/>
          </w:tcPr>
          <w:p>
            <w:pPr>
              <w:snapToGrid w:val="0"/>
              <w:spacing w:line="240" w:lineRule="auto"/>
              <w:jc w:val="center"/>
              <w:rPr>
                <w:sz w:val="21"/>
                <w:szCs w:val="21"/>
              </w:rPr>
            </w:pPr>
            <w:r>
              <w:rPr>
                <w:rFonts w:hint="eastAsia"/>
                <w:sz w:val="21"/>
                <w:szCs w:val="21"/>
              </w:rPr>
              <w:t>张永易</w:t>
            </w:r>
          </w:p>
        </w:tc>
        <w:tc>
          <w:tcPr>
            <w:tcW w:w="4124" w:type="dxa"/>
            <w:vAlign w:val="center"/>
          </w:tcPr>
          <w:p>
            <w:pPr>
              <w:snapToGrid w:val="0"/>
              <w:spacing w:line="240" w:lineRule="auto"/>
              <w:jc w:val="center"/>
              <w:rPr>
                <w:sz w:val="21"/>
                <w:szCs w:val="21"/>
              </w:rPr>
            </w:pPr>
            <w:r>
              <w:rPr>
                <w:rFonts w:hint="eastAsia"/>
                <w:sz w:val="21"/>
                <w:szCs w:val="21"/>
              </w:rPr>
              <w:t>星星亮村3组</w:t>
            </w:r>
          </w:p>
        </w:tc>
        <w:tc>
          <w:tcPr>
            <w:tcW w:w="1772" w:type="dxa"/>
            <w:vAlign w:val="center"/>
          </w:tcPr>
          <w:p>
            <w:pPr>
              <w:snapToGrid w:val="0"/>
              <w:spacing w:line="240" w:lineRule="auto"/>
              <w:jc w:val="center"/>
              <w:rPr>
                <w:sz w:val="21"/>
                <w:szCs w:val="21"/>
              </w:rPr>
            </w:pPr>
            <w:r>
              <w:rPr>
                <w:rFonts w:hint="eastAsia"/>
                <w:sz w:val="21"/>
                <w:szCs w:val="21"/>
              </w:rPr>
              <w:t>4人</w:t>
            </w:r>
          </w:p>
        </w:tc>
        <w:tc>
          <w:tcPr>
            <w:tcW w:w="1772" w:type="dxa"/>
            <w:vAlign w:val="center"/>
          </w:tcPr>
          <w:p>
            <w:pPr>
              <w:snapToGrid w:val="0"/>
              <w:spacing w:line="240" w:lineRule="auto"/>
              <w:jc w:val="center"/>
              <w:rPr>
                <w:sz w:val="21"/>
                <w:szCs w:val="21"/>
              </w:rPr>
            </w:pPr>
            <w:r>
              <w:rPr>
                <w:sz w:val="21"/>
                <w:szCs w:val="21"/>
              </w:rPr>
              <w:t>38m</w:t>
            </w:r>
          </w:p>
        </w:tc>
      </w:tr>
    </w:tbl>
    <w:p>
      <w:pPr>
        <w:pStyle w:val="2"/>
        <w:ind w:firstLine="480"/>
        <w:rPr>
          <w:rFonts w:hint="default"/>
        </w:rPr>
      </w:pPr>
    </w:p>
    <w:p>
      <w:pPr>
        <w:snapToGrid w:val="0"/>
        <w:ind w:firstLine="480" w:firstLineChars="200"/>
        <w:textAlignment w:val="baseline"/>
      </w:pPr>
      <w:r>
        <w:t>B</w:t>
      </w:r>
      <w:r>
        <w:rPr>
          <w:rFonts w:hint="eastAsia"/>
        </w:rPr>
        <w:t>、</w:t>
      </w:r>
      <w:r>
        <w:rPr>
          <w:rFonts w:ascii="宋体" w:hAnsi="宋体"/>
        </w:rPr>
        <w:t>为了避免本项目可能产生的影响，在厂区内</w:t>
      </w:r>
      <w:r>
        <w:rPr>
          <w:rFonts w:hint="eastAsia" w:ascii="宋体" w:hAnsi="宋体"/>
        </w:rPr>
        <w:t>各车间外</w:t>
      </w:r>
      <w:r>
        <w:rPr>
          <w:rFonts w:ascii="宋体" w:hAnsi="宋体"/>
        </w:rPr>
        <w:t>修建</w:t>
      </w:r>
      <w:r>
        <w:t>5</w:t>
      </w:r>
      <w:r>
        <w:rPr>
          <w:rFonts w:ascii="宋体" w:hAnsi="宋体"/>
        </w:rPr>
        <w:t>～</w:t>
      </w:r>
      <w:r>
        <w:t>10</w:t>
      </w:r>
      <w:r>
        <w:rPr>
          <w:rFonts w:ascii="宋体" w:hAnsi="宋体"/>
        </w:rPr>
        <w:t>米的绿化隔离带、种植乔木以阻挡恶臭污染物的扩散，选择的树种有泡桐、龙柏、女贞等。</w:t>
      </w:r>
    </w:p>
    <w:p>
      <w:pPr>
        <w:snapToGrid w:val="0"/>
        <w:ind w:firstLine="480" w:firstLineChars="200"/>
        <w:textAlignment w:val="baseline"/>
      </w:pPr>
      <w:r>
        <w:t>C</w:t>
      </w:r>
      <w:r>
        <w:rPr>
          <w:rFonts w:hint="eastAsia"/>
        </w:rPr>
        <w:t>、</w:t>
      </w:r>
      <w:r>
        <w:t>环评要求将</w:t>
      </w:r>
      <w:r>
        <w:rPr>
          <w:rFonts w:hint="eastAsia"/>
        </w:rPr>
        <w:t>卫生</w:t>
      </w:r>
      <w:r>
        <w:t>防护距离范围</w:t>
      </w:r>
      <w:r>
        <w:rPr>
          <w:rFonts w:hint="eastAsia"/>
        </w:rPr>
        <w:t>内</w:t>
      </w:r>
      <w:r>
        <w:t>做为控制发展区域，该区域内不得新修建集中式居民区、学校、医院、幼儿园等设施</w:t>
      </w:r>
      <w:r>
        <w:rPr>
          <w:rFonts w:hint="eastAsia"/>
        </w:rPr>
        <w:t>；</w:t>
      </w:r>
    </w:p>
    <w:p>
      <w:pPr>
        <w:snapToGrid w:val="0"/>
        <w:ind w:firstLine="480" w:firstLineChars="200"/>
        <w:textAlignment w:val="baseline"/>
      </w:pPr>
      <w:r>
        <w:t>D</w:t>
      </w:r>
      <w:r>
        <w:rPr>
          <w:rFonts w:hint="eastAsia"/>
        </w:rPr>
        <w:t>、项目卫生防护距离范围内空地范围内不得引进与本项目环境不相容的企业。</w:t>
      </w:r>
    </w:p>
    <w:bookmarkEnd w:id="698"/>
    <w:bookmarkEnd w:id="699"/>
    <w:p>
      <w:pPr>
        <w:spacing w:before="240" w:after="60"/>
        <w:jc w:val="left"/>
        <w:outlineLvl w:val="2"/>
        <w:rPr>
          <w:rFonts w:eastAsia="黑体"/>
          <w:bCs/>
          <w:sz w:val="28"/>
          <w:szCs w:val="28"/>
        </w:rPr>
      </w:pPr>
      <w:bookmarkStart w:id="711" w:name="_Toc114997836"/>
      <w:bookmarkStart w:id="712" w:name="_Toc115259913"/>
      <w:bookmarkStart w:id="713" w:name="_Toc423336763"/>
      <w:bookmarkStart w:id="714" w:name="_Toc88466801"/>
      <w:bookmarkStart w:id="715" w:name="_Toc457481017"/>
      <w:bookmarkStart w:id="716" w:name="_Toc124222452"/>
      <w:bookmarkStart w:id="717" w:name="_Toc180151129"/>
      <w:bookmarkStart w:id="718" w:name="_Toc82857298"/>
      <w:bookmarkStart w:id="719" w:name="_Toc76139437"/>
      <w:bookmarkStart w:id="720" w:name="_Toc115259932"/>
      <w:bookmarkStart w:id="721" w:name="_Toc182293603"/>
      <w:bookmarkStart w:id="722" w:name="_Toc114997855"/>
      <w:bookmarkStart w:id="723" w:name="_Toc88466820"/>
      <w:bookmarkStart w:id="724" w:name="_Toc82857317"/>
      <w:bookmarkStart w:id="725" w:name="_Toc66118777"/>
      <w:bookmarkStart w:id="726" w:name="_Toc182293614"/>
      <w:r>
        <w:rPr>
          <w:rFonts w:eastAsia="黑体"/>
          <w:bCs/>
          <w:sz w:val="28"/>
          <w:szCs w:val="28"/>
        </w:rPr>
        <w:t>7.2.2地表水环境影响</w:t>
      </w:r>
      <w:r>
        <w:rPr>
          <w:rFonts w:hint="eastAsia" w:eastAsia="黑体"/>
          <w:bCs/>
          <w:sz w:val="28"/>
          <w:szCs w:val="28"/>
        </w:rPr>
        <w:t>预测与</w:t>
      </w:r>
      <w:r>
        <w:rPr>
          <w:rFonts w:eastAsia="黑体"/>
          <w:bCs/>
          <w:sz w:val="28"/>
          <w:szCs w:val="28"/>
        </w:rPr>
        <w:t>分析</w:t>
      </w:r>
    </w:p>
    <w:p>
      <w:pPr>
        <w:snapToGrid w:val="0"/>
        <w:ind w:firstLine="480" w:firstLineChars="200"/>
        <w:rPr>
          <w:rFonts w:hAnsi="宋体"/>
        </w:rPr>
      </w:pPr>
      <w:r>
        <w:rPr>
          <w:rFonts w:hint="eastAsia" w:hAnsi="宋体"/>
        </w:rPr>
        <w:t>本项目污废水全部运至</w:t>
      </w:r>
      <w:r>
        <w:rPr>
          <w:rFonts w:hint="eastAsia"/>
          <w:szCs w:val="21"/>
        </w:rPr>
        <w:t>乐山乐高勤力生物质能源</w:t>
      </w:r>
      <w:r>
        <w:rPr>
          <w:szCs w:val="21"/>
        </w:rPr>
        <w:t>综合利用有限公司井研县2018年畜禽粪污资源化利用整县推进项目规模化大型沼气工程</w:t>
      </w:r>
      <w:r>
        <w:rPr>
          <w:rFonts w:hint="eastAsia"/>
          <w:szCs w:val="21"/>
        </w:rPr>
        <w:t>用于沼气发电，经发电后的沼液全部用于液态有机肥用于耕地施肥，</w:t>
      </w:r>
      <w:r>
        <w:rPr>
          <w:rFonts w:hint="eastAsia" w:hAnsi="宋体"/>
        </w:rPr>
        <w:t>不外排，根据《环境影响评价技术导则—地表水环境》（HJ2.3—2018），本项目评价等级为水污染影响型三级 B 评价，可不进行水环境影响预测，主要评价内容包括：</w:t>
      </w:r>
    </w:p>
    <w:p>
      <w:pPr>
        <w:snapToGrid w:val="0"/>
        <w:ind w:firstLine="480" w:firstLineChars="200"/>
        <w:rPr>
          <w:rFonts w:hAnsi="宋体"/>
        </w:rPr>
      </w:pPr>
      <w:r>
        <w:rPr>
          <w:rFonts w:hint="eastAsia" w:hAnsi="宋体"/>
        </w:rPr>
        <w:t>a）水污染控制和水环境影响减缓措施有效性评价；</w:t>
      </w:r>
    </w:p>
    <w:p>
      <w:pPr>
        <w:snapToGrid w:val="0"/>
        <w:ind w:firstLine="480" w:firstLineChars="200"/>
        <w:rPr>
          <w:rFonts w:hAnsi="宋体"/>
        </w:rPr>
      </w:pPr>
      <w:r>
        <w:rPr>
          <w:rFonts w:hint="eastAsia" w:hAnsi="宋体"/>
        </w:rPr>
        <w:t>b）污水处理设施的环境可行性评价。”</w:t>
      </w:r>
    </w:p>
    <w:p>
      <w:pPr>
        <w:pStyle w:val="970"/>
        <w:snapToGrid w:val="0"/>
        <w:ind w:firstLine="0"/>
        <w:outlineLvl w:val="3"/>
        <w:rPr>
          <w:rFonts w:eastAsia="黑体"/>
          <w:bCs/>
          <w:szCs w:val="24"/>
        </w:rPr>
      </w:pPr>
      <w:r>
        <w:rPr>
          <w:rFonts w:eastAsia="黑体"/>
          <w:bCs/>
          <w:szCs w:val="24"/>
        </w:rPr>
        <w:t xml:space="preserve">7.2.2.1 </w:t>
      </w:r>
      <w:r>
        <w:rPr>
          <w:rFonts w:hint="eastAsia" w:eastAsia="黑体"/>
          <w:bCs/>
          <w:szCs w:val="24"/>
        </w:rPr>
        <w:t>水污染控制和水环境影响减缓措施有效性评价</w:t>
      </w:r>
    </w:p>
    <w:p>
      <w:pPr>
        <w:adjustRightInd w:val="0"/>
        <w:snapToGrid w:val="0"/>
        <w:ind w:firstLine="480" w:firstLineChars="200"/>
        <w:textAlignment w:val="baseline"/>
      </w:pPr>
      <w:r>
        <w:rPr>
          <w:rFonts w:hint="eastAsia"/>
        </w:rPr>
        <w:t>（1）水污染控制和水环境影响减缓措施</w:t>
      </w:r>
    </w:p>
    <w:p>
      <w:pPr>
        <w:adjustRightInd w:val="0"/>
        <w:snapToGrid w:val="0"/>
        <w:ind w:firstLine="480" w:firstLineChars="200"/>
        <w:textAlignment w:val="baseline"/>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rPr>
          <w:rFonts w:hint="eastAsia"/>
        </w:rPr>
        <w:t>正常工况</w:t>
      </w:r>
    </w:p>
    <w:p>
      <w:pPr>
        <w:adjustRightInd w:val="0"/>
        <w:snapToGrid w:val="0"/>
        <w:ind w:firstLine="480" w:firstLineChars="200"/>
        <w:textAlignment w:val="baseline"/>
        <w:rPr>
          <w:szCs w:val="21"/>
        </w:rPr>
      </w:pPr>
      <w:r>
        <w:rPr>
          <w:rFonts w:hint="eastAsia"/>
        </w:rPr>
        <w:t>项目正常工况下（即</w:t>
      </w:r>
      <w:r>
        <w:rPr>
          <w:rFonts w:hint="eastAsia"/>
          <w:szCs w:val="21"/>
        </w:rPr>
        <w:t>乐山乐高勤力生物质能源</w:t>
      </w:r>
      <w:r>
        <w:rPr>
          <w:szCs w:val="21"/>
        </w:rPr>
        <w:t>综合利用有限公司</w:t>
      </w:r>
      <w:r>
        <w:rPr>
          <w:rFonts w:hint="eastAsia"/>
          <w:szCs w:val="21"/>
        </w:rPr>
        <w:t xml:space="preserve"> “大沼工程”正常运行），项目设置一集污池（池容</w:t>
      </w:r>
      <w:r>
        <w:rPr>
          <w:szCs w:val="21"/>
        </w:rPr>
        <w:t>500m</w:t>
      </w:r>
      <w:r>
        <w:rPr>
          <w:szCs w:val="21"/>
          <w:vertAlign w:val="superscript"/>
        </w:rPr>
        <w:t>3</w:t>
      </w:r>
      <w:r>
        <w:rPr>
          <w:rFonts w:hint="eastAsia"/>
          <w:szCs w:val="21"/>
        </w:rPr>
        <w:t>，加盖封闭），项目妊娠舍粪污经泵抽至集污池，分娩舍粪污依靠重力抽至集污池，</w:t>
      </w:r>
      <w:r>
        <w:rPr>
          <w:rFonts w:hint="eastAsia"/>
        </w:rPr>
        <w:t>每日由</w:t>
      </w:r>
      <w:r>
        <w:rPr>
          <w:rFonts w:hint="eastAsia"/>
          <w:szCs w:val="21"/>
        </w:rPr>
        <w:t>乐山乐高勤力生物质能源</w:t>
      </w:r>
      <w:r>
        <w:rPr>
          <w:szCs w:val="21"/>
        </w:rPr>
        <w:t>综合利用有限公司</w:t>
      </w:r>
      <w:r>
        <w:rPr>
          <w:rFonts w:hint="eastAsia"/>
          <w:szCs w:val="21"/>
        </w:rPr>
        <w:t>运输车辆进行清运至“大沼工程”进行综合利用。</w:t>
      </w:r>
    </w:p>
    <w:p>
      <w:pPr>
        <w:adjustRightInd w:val="0"/>
        <w:snapToGrid w:val="0"/>
        <w:ind w:firstLine="480" w:firstLineChars="200"/>
        <w:textAlignment w:val="baseline"/>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rPr>
          <w:rFonts w:hint="eastAsia"/>
        </w:rPr>
        <w:t>非正常工况</w:t>
      </w:r>
    </w:p>
    <w:p>
      <w:pPr>
        <w:pStyle w:val="2"/>
        <w:ind w:firstLine="480"/>
        <w:rPr>
          <w:rFonts w:hint="default"/>
          <w:szCs w:val="21"/>
        </w:rPr>
      </w:pPr>
      <w:r>
        <w:t>当</w:t>
      </w:r>
      <w:r>
        <w:rPr>
          <w:szCs w:val="21"/>
        </w:rPr>
        <w:t>乐山乐高勤力生物质能源综合利用有限公司 “大沼工程”处于非正常运行时，项目配备建设一台干湿分离机及沼气池（1</w:t>
      </w:r>
      <w:r>
        <w:rPr>
          <w:rFonts w:hint="default"/>
          <w:szCs w:val="21"/>
        </w:rPr>
        <w:t>00m</w:t>
      </w:r>
      <w:r>
        <w:rPr>
          <w:rFonts w:hint="default"/>
          <w:szCs w:val="21"/>
          <w:vertAlign w:val="superscript"/>
        </w:rPr>
        <w:t>3</w:t>
      </w:r>
      <w:r>
        <w:rPr>
          <w:szCs w:val="21"/>
        </w:rPr>
        <w:t>），当乐山乐高勤力生物质能源综合利用有限公司出现不能正常运行时，项目将集污池内的粪污经干湿分离机进行处理后，废水经沼气池进行厌氧处理后排至暂存池（池容5</w:t>
      </w:r>
      <w:r>
        <w:rPr>
          <w:rFonts w:hint="default"/>
          <w:szCs w:val="21"/>
        </w:rPr>
        <w:t>00m</w:t>
      </w:r>
      <w:r>
        <w:rPr>
          <w:rFonts w:hint="default"/>
          <w:szCs w:val="21"/>
          <w:vertAlign w:val="superscript"/>
        </w:rPr>
        <w:t>3</w:t>
      </w:r>
      <w:r>
        <w:rPr>
          <w:szCs w:val="21"/>
        </w:rPr>
        <w:t>）利用管道将沼液排至田间池（共1</w:t>
      </w:r>
      <w:r>
        <w:rPr>
          <w:rFonts w:hint="default"/>
          <w:szCs w:val="21"/>
        </w:rPr>
        <w:t>2</w:t>
      </w:r>
      <w:r>
        <w:rPr>
          <w:szCs w:val="21"/>
        </w:rPr>
        <w:t>个，单个1</w:t>
      </w:r>
      <w:r>
        <w:rPr>
          <w:rFonts w:hint="default"/>
          <w:szCs w:val="21"/>
        </w:rPr>
        <w:t>50m</w:t>
      </w:r>
      <w:r>
        <w:rPr>
          <w:rFonts w:hint="default"/>
          <w:szCs w:val="21"/>
          <w:vertAlign w:val="superscript"/>
        </w:rPr>
        <w:t>3</w:t>
      </w:r>
      <w:r>
        <w:rPr>
          <w:szCs w:val="21"/>
        </w:rPr>
        <w:t>），各田间暂存池管道采用阀门控制，便于用于周边耕地施肥。</w:t>
      </w:r>
    </w:p>
    <w:p>
      <w:pPr>
        <w:adjustRightInd w:val="0"/>
        <w:snapToGrid w:val="0"/>
        <w:ind w:firstLine="480" w:firstLineChars="200"/>
        <w:textAlignment w:val="baseline"/>
      </w:pPr>
      <w:r>
        <w:rPr>
          <w:rFonts w:hint="eastAsia"/>
        </w:rPr>
        <w:t>（2）措施有效性评价</w:t>
      </w:r>
    </w:p>
    <w:p>
      <w:pPr>
        <w:adjustRightInd w:val="0"/>
        <w:snapToGrid w:val="0"/>
        <w:ind w:firstLine="480" w:firstLineChars="200"/>
        <w:textAlignment w:val="baseline"/>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rPr>
          <w:rFonts w:hint="eastAsia"/>
        </w:rPr>
        <w:t>正常工况</w:t>
      </w:r>
    </w:p>
    <w:p>
      <w:pPr>
        <w:adjustRightInd w:val="0"/>
        <w:snapToGrid w:val="0"/>
        <w:ind w:firstLine="480" w:firstLineChars="200"/>
        <w:textAlignment w:val="baseline"/>
      </w:pPr>
      <w:r>
        <w:rPr>
          <w:rFonts w:hint="eastAsia"/>
          <w:szCs w:val="21"/>
        </w:rPr>
        <w:t>经工程分析计算，项目养殖废水产生量为3</w:t>
      </w:r>
      <w:r>
        <w:rPr>
          <w:szCs w:val="21"/>
        </w:rPr>
        <w:t>0.99m</w:t>
      </w:r>
      <w:r>
        <w:rPr>
          <w:szCs w:val="21"/>
          <w:vertAlign w:val="superscript"/>
        </w:rPr>
        <w:t>3</w:t>
      </w:r>
      <w:r>
        <w:rPr>
          <w:rFonts w:hint="eastAsia"/>
          <w:szCs w:val="21"/>
        </w:rPr>
        <w:t>/</w:t>
      </w:r>
      <w:r>
        <w:rPr>
          <w:szCs w:val="21"/>
        </w:rPr>
        <w:t>d</w:t>
      </w:r>
      <w:r>
        <w:rPr>
          <w:rFonts w:hint="eastAsia"/>
          <w:szCs w:val="21"/>
        </w:rPr>
        <w:t>，</w:t>
      </w:r>
      <w:r>
        <w:rPr>
          <w:rFonts w:hint="eastAsia"/>
        </w:rPr>
        <w:t>本项目拟设置的集污池池容为5</w:t>
      </w:r>
      <w:r>
        <w:t>00m</w:t>
      </w:r>
      <w:r>
        <w:rPr>
          <w:vertAlign w:val="superscript"/>
        </w:rPr>
        <w:t>3</w:t>
      </w:r>
      <w:r>
        <w:rPr>
          <w:rFonts w:hint="eastAsia"/>
        </w:rPr>
        <w:t>，可存储1</w:t>
      </w:r>
      <w:r>
        <w:t>6</w:t>
      </w:r>
      <w:r>
        <w:rPr>
          <w:rFonts w:hint="eastAsia"/>
        </w:rPr>
        <w:t>d的污水，</w:t>
      </w:r>
      <w:r>
        <w:t>乐山乐高勤力生物质能源综合利用有限公司</w:t>
      </w:r>
      <w:r>
        <w:rPr>
          <w:rFonts w:hint="eastAsia"/>
        </w:rPr>
        <w:t>每日采用</w:t>
      </w:r>
      <w:r>
        <w:t>5m</w:t>
      </w:r>
      <w:r>
        <w:rPr>
          <w:vertAlign w:val="superscript"/>
        </w:rPr>
        <w:t>3</w:t>
      </w:r>
      <w:r>
        <w:rPr>
          <w:rFonts w:hint="eastAsia"/>
        </w:rPr>
        <w:t>的吸粪车进行运输，根据</w:t>
      </w:r>
      <w:r>
        <w:t>乐山乐高勤力生物质能源综合利用有限公司</w:t>
      </w:r>
      <w:r>
        <w:rPr>
          <w:rFonts w:hint="eastAsia"/>
        </w:rPr>
        <w:t>运营模式，由公司负责每日负责清运，因此项目在正常工况下，暂存池规模具有合理性。</w:t>
      </w:r>
    </w:p>
    <w:p>
      <w:pPr>
        <w:pStyle w:val="2"/>
        <w:ind w:firstLine="480"/>
        <w:rPr>
          <w:rFonts w:hint="default"/>
        </w:rPr>
      </w:pPr>
      <w:r>
        <w:rPr>
          <w:rFonts w:hint="default"/>
        </w:rPr>
        <w:fldChar w:fldCharType="begin"/>
      </w:r>
      <w:r>
        <w:rPr>
          <w:rFonts w:hint="default"/>
        </w:rPr>
        <w:instrText xml:space="preserve"> </w:instrText>
      </w:r>
      <w:r>
        <w:instrText xml:space="preserve">= 2 \* GB3</w:instrText>
      </w:r>
      <w:r>
        <w:rPr>
          <w:rFonts w:hint="default"/>
        </w:rPr>
        <w:instrText xml:space="preserve"> </w:instrText>
      </w:r>
      <w:r>
        <w:rPr>
          <w:rFonts w:hint="default"/>
        </w:rPr>
        <w:fldChar w:fldCharType="separate"/>
      </w:r>
      <w:r>
        <w:t>②</w:t>
      </w:r>
      <w:r>
        <w:rPr>
          <w:rFonts w:hint="default"/>
        </w:rPr>
        <w:fldChar w:fldCharType="end"/>
      </w:r>
      <w:r>
        <w:t>非正常工况</w:t>
      </w:r>
    </w:p>
    <w:p>
      <w:pPr>
        <w:pStyle w:val="2"/>
        <w:ind w:firstLine="480"/>
        <w:rPr>
          <w:rFonts w:hint="default"/>
          <w:szCs w:val="21"/>
        </w:rPr>
      </w:pPr>
      <w:r>
        <w:t>当</w:t>
      </w:r>
      <w:r>
        <w:rPr>
          <w:szCs w:val="21"/>
        </w:rPr>
        <w:t>乐山乐高勤力生物质能源综合利用有限公司 “大沼工程”处于非正常运行时且维修期大于1</w:t>
      </w:r>
      <w:r>
        <w:rPr>
          <w:rFonts w:hint="default"/>
          <w:szCs w:val="21"/>
        </w:rPr>
        <w:t>6</w:t>
      </w:r>
      <w:r>
        <w:rPr>
          <w:szCs w:val="21"/>
        </w:rPr>
        <w:t>天情况下时即为本项目非正常工况，根据项目建设方案，项目同时配备建设一台干湿分离机+沼气池（1</w:t>
      </w:r>
      <w:r>
        <w:rPr>
          <w:rFonts w:hint="default"/>
          <w:szCs w:val="21"/>
        </w:rPr>
        <w:t>00m</w:t>
      </w:r>
      <w:r>
        <w:rPr>
          <w:rFonts w:hint="default"/>
          <w:szCs w:val="21"/>
          <w:vertAlign w:val="superscript"/>
        </w:rPr>
        <w:t>3</w:t>
      </w:r>
      <w:r>
        <w:rPr>
          <w:szCs w:val="21"/>
        </w:rPr>
        <w:t>）+暂存池（1个5</w:t>
      </w:r>
      <w:r>
        <w:rPr>
          <w:rFonts w:hint="default"/>
          <w:szCs w:val="21"/>
        </w:rPr>
        <w:t>00m</w:t>
      </w:r>
      <w:r>
        <w:rPr>
          <w:rFonts w:hint="default"/>
          <w:szCs w:val="21"/>
          <w:vertAlign w:val="superscript"/>
        </w:rPr>
        <w:t>3</w:t>
      </w:r>
      <w:r>
        <w:rPr>
          <w:szCs w:val="21"/>
        </w:rPr>
        <w:t>厂区暂存池+</w:t>
      </w:r>
      <w:r>
        <w:rPr>
          <w:rFonts w:hint="default"/>
          <w:szCs w:val="21"/>
        </w:rPr>
        <w:t>12</w:t>
      </w:r>
      <w:r>
        <w:rPr>
          <w:szCs w:val="21"/>
        </w:rPr>
        <w:t>个</w:t>
      </w:r>
      <w:r>
        <w:rPr>
          <w:rFonts w:hint="default"/>
          <w:szCs w:val="21"/>
        </w:rPr>
        <w:t>150m</w:t>
      </w:r>
      <w:r>
        <w:rPr>
          <w:rFonts w:hint="default"/>
          <w:szCs w:val="21"/>
          <w:vertAlign w:val="superscript"/>
        </w:rPr>
        <w:t>3</w:t>
      </w:r>
      <w:r>
        <w:rPr>
          <w:szCs w:val="21"/>
        </w:rPr>
        <w:t>田间暂存池）作为项目应急措施，当乐山乐高勤力生物质能源综合利用有限公司出现不能正常运行时，项目将集污池内的粪污经干湿分离机进行干湿分离后，废水排至沼气池进行厌氧处理后排入厂区暂存池，再经管道自流至田间暂存池内，项目拟建</w:t>
      </w:r>
      <w:r>
        <w:rPr>
          <w:rFonts w:hint="default"/>
          <w:szCs w:val="21"/>
        </w:rPr>
        <w:t>10</w:t>
      </w:r>
      <w:r>
        <w:rPr>
          <w:szCs w:val="21"/>
        </w:rPr>
        <w:t>个田间暂存池，各田间暂存池管道采用阀门控制，便于用于周边耕地施肥。</w:t>
      </w:r>
    </w:p>
    <w:p>
      <w:pPr>
        <w:pStyle w:val="2"/>
        <w:ind w:firstLine="480"/>
        <w:rPr>
          <w:rFonts w:hint="default"/>
        </w:rPr>
      </w:pPr>
      <w:r>
        <w:t>A、污水处理效果分析</w:t>
      </w:r>
    </w:p>
    <w:p>
      <w:pPr>
        <w:pStyle w:val="2"/>
        <w:ind w:firstLine="480"/>
        <w:rPr>
          <w:rFonts w:hint="default"/>
        </w:rPr>
      </w:pPr>
      <w:r>
        <w:t>根据《规模化畜禽养殖场沼气工程设计规范》及设计单位设计可知，本项目废水处理预测结果见表</w:t>
      </w:r>
      <w:r>
        <w:rPr>
          <w:rFonts w:hint="default"/>
        </w:rPr>
        <w:t>7</w:t>
      </w:r>
      <w:r>
        <w:t xml:space="preserve">.2-1 所示。 </w:t>
      </w:r>
    </w:p>
    <w:p>
      <w:pPr>
        <w:spacing w:line="240" w:lineRule="auto"/>
        <w:jc w:val="center"/>
        <w:rPr>
          <w:rFonts w:eastAsia="黑体"/>
        </w:rPr>
      </w:pPr>
      <w:r>
        <w:rPr>
          <w:rFonts w:eastAsia="黑体"/>
        </w:rPr>
        <w:t>表7.2-1 废水处理各工段处理效率及预测结果</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61"/>
        <w:gridCol w:w="1017"/>
        <w:gridCol w:w="1017"/>
        <w:gridCol w:w="1162"/>
        <w:gridCol w:w="1017"/>
        <w:gridCol w:w="1162"/>
        <w:gridCol w:w="1017"/>
        <w:gridCol w:w="139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127" w:type="dxa"/>
            <w:gridSpan w:val="2"/>
            <w:vMerge w:val="restart"/>
            <w:vAlign w:val="center"/>
          </w:tcPr>
          <w:p>
            <w:pPr>
              <w:pStyle w:val="2"/>
              <w:snapToGrid w:val="0"/>
              <w:spacing w:line="240" w:lineRule="auto"/>
              <w:ind w:firstLine="0" w:firstLineChars="0"/>
              <w:jc w:val="center"/>
              <w:rPr>
                <w:rFonts w:hint="default"/>
                <w:kern w:val="0"/>
                <w:sz w:val="21"/>
                <w:szCs w:val="21"/>
              </w:rPr>
            </w:pPr>
            <w:r>
              <w:rPr>
                <w:kern w:val="0"/>
                <w:sz w:val="21"/>
                <w:szCs w:val="21"/>
              </w:rPr>
              <w:t>处理工段</w:t>
            </w:r>
          </w:p>
        </w:tc>
        <w:tc>
          <w:tcPr>
            <w:tcW w:w="6604" w:type="dxa"/>
            <w:gridSpan w:val="6"/>
            <w:vAlign w:val="center"/>
          </w:tcPr>
          <w:p>
            <w:pPr>
              <w:pStyle w:val="2"/>
              <w:snapToGrid w:val="0"/>
              <w:spacing w:line="240" w:lineRule="auto"/>
              <w:ind w:firstLine="0" w:firstLineChars="0"/>
              <w:jc w:val="center"/>
              <w:rPr>
                <w:rFonts w:hint="default"/>
                <w:kern w:val="0"/>
                <w:sz w:val="21"/>
                <w:szCs w:val="21"/>
              </w:rPr>
            </w:pPr>
            <w:r>
              <w:rPr>
                <w:kern w:val="0"/>
                <w:sz w:val="21"/>
                <w:szCs w:val="21"/>
              </w:rPr>
              <w:t>主要污染物浓度m</w:t>
            </w:r>
            <w:r>
              <w:rPr>
                <w:rFonts w:hint="default"/>
                <w:kern w:val="0"/>
                <w:sz w:val="21"/>
                <w:szCs w:val="21"/>
              </w:rPr>
              <w:t>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127" w:type="dxa"/>
            <w:gridSpan w:val="2"/>
            <w:vMerge w:val="continue"/>
            <w:vAlign w:val="center"/>
          </w:tcPr>
          <w:p>
            <w:pPr>
              <w:pStyle w:val="2"/>
              <w:snapToGrid w:val="0"/>
              <w:spacing w:line="240" w:lineRule="auto"/>
              <w:ind w:firstLine="0" w:firstLineChars="0"/>
              <w:jc w:val="center"/>
              <w:rPr>
                <w:rFonts w:hint="default"/>
                <w:kern w:val="0"/>
                <w:sz w:val="21"/>
                <w:szCs w:val="21"/>
              </w:rPr>
            </w:pP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C</w:t>
            </w:r>
            <w:r>
              <w:rPr>
                <w:rFonts w:hint="default"/>
                <w:kern w:val="0"/>
                <w:sz w:val="21"/>
                <w:szCs w:val="21"/>
              </w:rPr>
              <w:t>OD</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B</w:t>
            </w:r>
            <w:r>
              <w:rPr>
                <w:rFonts w:hint="default"/>
                <w:kern w:val="0"/>
                <w:sz w:val="21"/>
                <w:szCs w:val="21"/>
              </w:rPr>
              <w:t>OD</w:t>
            </w:r>
            <w:r>
              <w:rPr>
                <w:rFonts w:hint="default"/>
                <w:kern w:val="0"/>
                <w:sz w:val="21"/>
                <w:szCs w:val="21"/>
                <w:vertAlign w:val="subscript"/>
              </w:rPr>
              <w:t>5</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S</w:t>
            </w:r>
            <w:r>
              <w:rPr>
                <w:rFonts w:hint="default"/>
                <w:kern w:val="0"/>
                <w:sz w:val="21"/>
                <w:szCs w:val="21"/>
              </w:rPr>
              <w:t>S</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N</w:t>
            </w:r>
            <w:r>
              <w:rPr>
                <w:rFonts w:hint="default"/>
                <w:kern w:val="0"/>
                <w:sz w:val="21"/>
                <w:szCs w:val="21"/>
              </w:rPr>
              <w:t>H</w:t>
            </w:r>
            <w:r>
              <w:rPr>
                <w:rFonts w:hint="default"/>
                <w:kern w:val="0"/>
                <w:sz w:val="21"/>
                <w:szCs w:val="21"/>
                <w:vertAlign w:val="subscript"/>
              </w:rPr>
              <w:t>3</w:t>
            </w:r>
            <w:r>
              <w:rPr>
                <w:rFonts w:hint="default"/>
                <w:kern w:val="0"/>
                <w:sz w:val="21"/>
                <w:szCs w:val="21"/>
              </w:rPr>
              <w:t>-N</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T</w:t>
            </w:r>
            <w:r>
              <w:rPr>
                <w:rFonts w:hint="default"/>
                <w:kern w:val="0"/>
                <w:sz w:val="21"/>
                <w:szCs w:val="21"/>
              </w:rPr>
              <w:t>N</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T</w:t>
            </w:r>
            <w:r>
              <w:rPr>
                <w:rFonts w:hint="default"/>
                <w:kern w:val="0"/>
                <w:sz w:val="21"/>
                <w:szCs w:val="21"/>
              </w:rPr>
              <w:t>P</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restart"/>
            <w:vAlign w:val="center"/>
          </w:tcPr>
          <w:p>
            <w:pPr>
              <w:pStyle w:val="2"/>
              <w:snapToGrid w:val="0"/>
              <w:spacing w:line="240" w:lineRule="auto"/>
              <w:ind w:firstLine="0" w:firstLineChars="0"/>
              <w:jc w:val="center"/>
              <w:rPr>
                <w:rFonts w:hint="default"/>
                <w:kern w:val="0"/>
                <w:sz w:val="21"/>
                <w:szCs w:val="21"/>
              </w:rPr>
            </w:pPr>
            <w:r>
              <w:rPr>
                <w:kern w:val="0"/>
                <w:sz w:val="21"/>
                <w:szCs w:val="21"/>
              </w:rPr>
              <w:t>固液</w:t>
            </w:r>
          </w:p>
          <w:p>
            <w:pPr>
              <w:pStyle w:val="2"/>
              <w:snapToGrid w:val="0"/>
              <w:spacing w:line="240" w:lineRule="auto"/>
              <w:ind w:firstLine="0" w:firstLineChars="0"/>
              <w:jc w:val="center"/>
              <w:rPr>
                <w:rFonts w:hint="default"/>
                <w:kern w:val="0"/>
                <w:sz w:val="21"/>
                <w:szCs w:val="21"/>
              </w:rPr>
            </w:pPr>
            <w:r>
              <w:rPr>
                <w:kern w:val="0"/>
                <w:sz w:val="21"/>
                <w:szCs w:val="21"/>
              </w:rPr>
              <w:t>分离机</w:t>
            </w: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进水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640</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1348</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5000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61</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70</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4</w:t>
            </w:r>
            <w:r>
              <w:rPr>
                <w:rFonts w:hint="default"/>
                <w:kern w:val="0"/>
                <w:sz w:val="21"/>
                <w:szCs w:val="21"/>
              </w:rPr>
              <w:t>3.5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去除率</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25</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95</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10</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1360"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10</w:t>
            </w: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出水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848</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011</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500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35</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33</w:t>
            </w:r>
          </w:p>
        </w:tc>
        <w:tc>
          <w:tcPr>
            <w:tcW w:w="1360"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39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restart"/>
            <w:vAlign w:val="center"/>
          </w:tcPr>
          <w:p>
            <w:pPr>
              <w:pStyle w:val="2"/>
              <w:snapToGrid w:val="0"/>
              <w:spacing w:line="240" w:lineRule="auto"/>
              <w:ind w:firstLine="0" w:firstLineChars="0"/>
              <w:jc w:val="center"/>
              <w:rPr>
                <w:rFonts w:hint="default"/>
                <w:kern w:val="0"/>
                <w:sz w:val="21"/>
                <w:szCs w:val="21"/>
              </w:rPr>
            </w:pPr>
            <w:r>
              <w:rPr>
                <w:kern w:val="0"/>
                <w:sz w:val="21"/>
                <w:szCs w:val="21"/>
              </w:rPr>
              <w:t>沼气池</w:t>
            </w: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去除率</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6</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6</w:t>
            </w:r>
            <w:r>
              <w:rPr>
                <w:rFonts w:hint="default"/>
                <w:kern w:val="0"/>
                <w:sz w:val="21"/>
                <w:szCs w:val="21"/>
              </w:rPr>
              <w:t>5</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出水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7</w:t>
            </w:r>
            <w:r>
              <w:rPr>
                <w:rFonts w:hint="default"/>
                <w:kern w:val="0"/>
                <w:sz w:val="21"/>
                <w:szCs w:val="21"/>
              </w:rPr>
              <w:t>39</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54</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400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12</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00</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7</w:t>
            </w:r>
          </w:p>
        </w:tc>
      </w:tr>
    </w:tbl>
    <w:p>
      <w:pPr>
        <w:pStyle w:val="2"/>
        <w:ind w:firstLine="0" w:firstLineChars="0"/>
        <w:rPr>
          <w:rFonts w:hint="default"/>
        </w:rPr>
      </w:pPr>
    </w:p>
    <w:p>
      <w:pPr>
        <w:pStyle w:val="2"/>
        <w:ind w:firstLine="480"/>
        <w:rPr>
          <w:rFonts w:hint="default"/>
        </w:rPr>
      </w:pPr>
      <w:r>
        <w:t>当非正常工况下，项目粪污经固液分离、沼气池进行处理后由管道排至沼液暂存池，再经管道排至田间池，然后由农户根据其种植要求在田间池内抽取沼液进行施肥。</w:t>
      </w:r>
    </w:p>
    <w:p>
      <w:pPr>
        <w:pStyle w:val="2"/>
        <w:ind w:firstLine="480"/>
        <w:rPr>
          <w:rFonts w:hint="default"/>
        </w:rPr>
      </w:pPr>
      <w:r>
        <w:rPr>
          <w:rFonts w:hint="default"/>
        </w:rPr>
        <w:t>B</w:t>
      </w:r>
      <w:r>
        <w:t>、污水利用措施有效性分析</w:t>
      </w:r>
    </w:p>
    <w:p>
      <w:pPr>
        <w:pStyle w:val="2"/>
        <w:ind w:firstLine="480"/>
        <w:rPr>
          <w:rFonts w:hint="default"/>
          <w:color w:val="auto"/>
        </w:rPr>
      </w:pPr>
      <w:r>
        <w:rPr>
          <w:szCs w:val="21"/>
        </w:rPr>
        <w:t>根据对乐山乐高勤力生物质能源综合利用有限公司井研县2018年畜禽粪污资源化利用整县推进项目规模化大型沼气工程的调查了解，大沼工程日常检修期为1</w:t>
      </w:r>
      <w:r>
        <w:rPr>
          <w:rFonts w:hint="default"/>
          <w:szCs w:val="21"/>
        </w:rPr>
        <w:t>~3d</w:t>
      </w:r>
      <w:r>
        <w:rPr>
          <w:szCs w:val="21"/>
        </w:rPr>
        <w:t>，当</w:t>
      </w:r>
      <w:r>
        <w:rPr>
          <w:color w:val="auto"/>
          <w:szCs w:val="21"/>
        </w:rPr>
        <w:t>出现设备损坏等极端情况，本次评价将其维修及调试时间等按照3个月（一个季度）计，则本项目3个月内产生的粪污将不能及时运至乐山乐高勤力生物质能源综合利用有限公司，本项目3个月粪污产生量为2</w:t>
      </w:r>
      <w:r>
        <w:rPr>
          <w:rFonts w:hint="default"/>
          <w:color w:val="auto"/>
          <w:szCs w:val="21"/>
        </w:rPr>
        <w:t>729.7</w:t>
      </w:r>
      <w:r>
        <w:rPr>
          <w:color w:val="auto"/>
          <w:szCs w:val="21"/>
        </w:rPr>
        <w:t>m</w:t>
      </w:r>
      <w:r>
        <w:rPr>
          <w:color w:val="auto"/>
          <w:szCs w:val="21"/>
          <w:vertAlign w:val="superscript"/>
        </w:rPr>
        <w:t>3</w:t>
      </w:r>
      <w:r>
        <w:rPr>
          <w:color w:val="auto"/>
          <w:szCs w:val="21"/>
        </w:rPr>
        <w:t>。</w:t>
      </w:r>
      <w:r>
        <w:rPr>
          <w:rFonts w:hint="default"/>
          <w:color w:val="auto"/>
        </w:rPr>
        <w:t xml:space="preserve"> </w:t>
      </w:r>
    </w:p>
    <w:p>
      <w:pPr>
        <w:pStyle w:val="2"/>
        <w:ind w:firstLine="480"/>
        <w:rPr>
          <w:rFonts w:hint="default"/>
          <w:color w:val="auto"/>
        </w:rPr>
      </w:pPr>
      <w:r>
        <w:rPr>
          <w:color w:val="auto"/>
        </w:rPr>
        <w:t>本项目沼液消纳区域农作物种植结构主要以油菜、小麦、水稻、玉米、当季蔬菜为主。根据《四川省 2013-2014 年主要作物科学施肥指导意见》，本项目沼液消纳单位所种植的农作物所需的最低氮肥量为 6kg/亩（萝卜），最高氮肥量为 20kg/亩（玉米），同时根据表7</w:t>
      </w:r>
      <w:r>
        <w:rPr>
          <w:rFonts w:hint="default"/>
          <w:color w:val="auto"/>
        </w:rPr>
        <w:t>.2</w:t>
      </w:r>
      <w:r>
        <w:rPr>
          <w:color w:val="auto"/>
        </w:rPr>
        <w:t>-</w:t>
      </w:r>
      <w:r>
        <w:rPr>
          <w:rFonts w:hint="default"/>
          <w:color w:val="auto"/>
        </w:rPr>
        <w:t>3</w:t>
      </w:r>
      <w:r>
        <w:rPr>
          <w:color w:val="auto"/>
        </w:rPr>
        <w:t>可知，本项目废水处理后氮的浓度为3</w:t>
      </w:r>
      <w:r>
        <w:rPr>
          <w:rFonts w:hint="default"/>
          <w:color w:val="auto"/>
        </w:rPr>
        <w:t>00m</w:t>
      </w:r>
      <w:r>
        <w:rPr>
          <w:color w:val="auto"/>
        </w:rPr>
        <w:t>g</w:t>
      </w:r>
      <w:r>
        <w:rPr>
          <w:rFonts w:hint="default"/>
          <w:color w:val="auto"/>
        </w:rPr>
        <w:t>/L</w:t>
      </w:r>
      <w:r>
        <w:rPr>
          <w:color w:val="auto"/>
        </w:rPr>
        <w:t>，本项目建成后3个月内，养殖废水及生活污水废水量为</w:t>
      </w:r>
      <w:r>
        <w:rPr>
          <w:rFonts w:hint="default"/>
          <w:color w:val="auto"/>
        </w:rPr>
        <w:t>2972.7</w:t>
      </w:r>
      <w:r>
        <w:rPr>
          <w:color w:val="auto"/>
        </w:rPr>
        <w:t>t，则本项目3个月内全氮排放量为</w:t>
      </w:r>
      <w:r>
        <w:rPr>
          <w:rFonts w:hint="default"/>
          <w:color w:val="auto"/>
        </w:rPr>
        <w:t>891.81k</w:t>
      </w:r>
      <w:r>
        <w:rPr>
          <w:color w:val="auto"/>
        </w:rPr>
        <w:t>g，按本项目沼液消纳单位所种植的农作物所需的最低氮肥量为6kg/亩计算，需要的土地量为</w:t>
      </w:r>
      <w:r>
        <w:rPr>
          <w:rFonts w:hint="default"/>
          <w:color w:val="auto"/>
        </w:rPr>
        <w:t>149</w:t>
      </w:r>
      <w:r>
        <w:rPr>
          <w:color w:val="auto"/>
        </w:rPr>
        <w:t>亩土地，要求一倍轮作面积，则需要消纳的土地应为</w:t>
      </w:r>
      <w:r>
        <w:rPr>
          <w:rFonts w:hint="default"/>
          <w:color w:val="auto"/>
        </w:rPr>
        <w:t>298</w:t>
      </w:r>
      <w:r>
        <w:rPr>
          <w:color w:val="auto"/>
        </w:rPr>
        <w:t>亩土地。</w:t>
      </w:r>
    </w:p>
    <w:p>
      <w:pPr>
        <w:pStyle w:val="2"/>
        <w:ind w:firstLineChars="175"/>
        <w:rPr>
          <w:rFonts w:hint="default"/>
          <w:color w:val="auto"/>
        </w:rPr>
      </w:pPr>
      <w:r>
        <w:rPr>
          <w:color w:val="auto"/>
        </w:rPr>
        <w:t>建设单位目前已对场地周边流转5</w:t>
      </w:r>
      <w:r>
        <w:rPr>
          <w:rFonts w:hint="default"/>
          <w:color w:val="auto"/>
        </w:rPr>
        <w:t>60</w:t>
      </w:r>
      <w:r>
        <w:rPr>
          <w:color w:val="auto"/>
        </w:rPr>
        <w:t>亩耕地（见流转协议），足以消纳本项目在“大沼工程”大修状态下的沼液。</w:t>
      </w:r>
      <w:r>
        <w:rPr>
          <w:rFonts w:hint="default"/>
          <w:color w:val="auto"/>
        </w:rPr>
        <w:t xml:space="preserve"> </w:t>
      </w:r>
    </w:p>
    <w:p>
      <w:pPr>
        <w:pStyle w:val="970"/>
        <w:snapToGrid w:val="0"/>
        <w:ind w:firstLine="0"/>
        <w:outlineLvl w:val="3"/>
        <w:rPr>
          <w:rFonts w:eastAsia="黑体"/>
          <w:bCs/>
          <w:szCs w:val="24"/>
        </w:rPr>
      </w:pPr>
      <w:r>
        <w:rPr>
          <w:rFonts w:eastAsia="黑体"/>
          <w:bCs/>
          <w:szCs w:val="24"/>
        </w:rPr>
        <w:t>7.2.2.2</w:t>
      </w:r>
      <w:r>
        <w:rPr>
          <w:rFonts w:hint="eastAsia" w:eastAsia="黑体"/>
          <w:bCs/>
          <w:szCs w:val="24"/>
        </w:rPr>
        <w:t>污水</w:t>
      </w:r>
      <w:r>
        <w:rPr>
          <w:rFonts w:eastAsia="黑体"/>
          <w:bCs/>
          <w:szCs w:val="24"/>
        </w:rPr>
        <w:t>处理设施的环境可行性评价</w:t>
      </w:r>
    </w:p>
    <w:p>
      <w:pPr>
        <w:pStyle w:val="2"/>
        <w:snapToGrid w:val="0"/>
        <w:ind w:firstLine="480"/>
        <w:rPr>
          <w:rFonts w:hint="default"/>
        </w:rPr>
      </w:pPr>
      <w:r>
        <w:t>（1</w:t>
      </w:r>
      <w:r>
        <w:rPr>
          <w:rFonts w:hint="default"/>
        </w:rPr>
        <w:t>）</w:t>
      </w:r>
      <w:r>
        <w:t>井研县大沼</w:t>
      </w:r>
      <w:r>
        <w:rPr>
          <w:rFonts w:hint="default"/>
        </w:rPr>
        <w:t>工程服务对象</w:t>
      </w:r>
      <w:r>
        <w:t>、</w:t>
      </w:r>
      <w:r>
        <w:rPr>
          <w:rFonts w:hint="default"/>
        </w:rPr>
        <w:t>服务范围</w:t>
      </w:r>
    </w:p>
    <w:p>
      <w:pPr>
        <w:pStyle w:val="2"/>
        <w:snapToGrid w:val="0"/>
        <w:ind w:firstLine="480"/>
        <w:rPr>
          <w:rFonts w:hint="default"/>
        </w:rPr>
      </w:pPr>
      <w:r>
        <w:t>乐山乐高勤力生物质能源综合利用有限公司“大沼”工程由</w:t>
      </w:r>
      <w:r>
        <w:rPr>
          <w:rFonts w:hint="default"/>
        </w:rPr>
        <w:t>乐山乐高</w:t>
      </w:r>
      <w:r>
        <w:t>勤</w:t>
      </w:r>
      <w:r>
        <w:rPr>
          <w:rFonts w:hint="default"/>
        </w:rPr>
        <w:t>力生物质能源综合利用有限公司建设，</w:t>
      </w:r>
      <w:r>
        <w:t>接纳</w:t>
      </w:r>
      <w:r>
        <w:rPr>
          <w:rFonts w:hint="default"/>
        </w:rPr>
        <w:t>县境内茫溪河两岸农村面源</w:t>
      </w:r>
      <w:r>
        <w:t>以及周边养殖场</w:t>
      </w:r>
      <w:r>
        <w:rPr>
          <w:rFonts w:hint="default"/>
        </w:rPr>
        <w:t>。</w:t>
      </w:r>
      <w:r>
        <w:t>本项目在乐山乐高勤力生物质能源综合利用有限公司“大沼”工程接纳范围内。（</w:t>
      </w:r>
      <w:r>
        <w:rPr>
          <w:rFonts w:hint="default"/>
        </w:rPr>
        <w:t>本项目</w:t>
      </w:r>
      <w:r>
        <w:t>已与</w:t>
      </w:r>
      <w:r>
        <w:rPr>
          <w:rFonts w:hint="default"/>
        </w:rPr>
        <w:t>大沼工程</w:t>
      </w:r>
      <w:r>
        <w:t>签订合同</w:t>
      </w:r>
      <w:r>
        <w:rPr>
          <w:rFonts w:hint="default"/>
        </w:rPr>
        <w:t>）</w:t>
      </w:r>
    </w:p>
    <w:p>
      <w:pPr>
        <w:pStyle w:val="2"/>
        <w:snapToGrid w:val="0"/>
        <w:ind w:firstLine="480"/>
        <w:rPr>
          <w:rFonts w:hint="default"/>
        </w:rPr>
      </w:pPr>
      <w:r>
        <w:t>（2）</w:t>
      </w:r>
      <w:r>
        <w:rPr>
          <w:rFonts w:hint="default"/>
        </w:rPr>
        <w:t>井研县大沼工程处理规模</w:t>
      </w:r>
    </w:p>
    <w:p>
      <w:pPr>
        <w:pStyle w:val="2"/>
        <w:snapToGrid w:val="0"/>
        <w:ind w:firstLine="480"/>
        <w:rPr>
          <w:rFonts w:hint="default"/>
        </w:rPr>
      </w:pPr>
      <w:r>
        <w:t>井研县大沼</w:t>
      </w:r>
      <w:r>
        <w:rPr>
          <w:rFonts w:hint="default"/>
        </w:rPr>
        <w:t>工程占地</w:t>
      </w:r>
      <w:r>
        <w:t>42亩</w:t>
      </w:r>
      <w:r>
        <w:rPr>
          <w:rFonts w:hint="default"/>
        </w:rPr>
        <w:t>，总投资</w:t>
      </w:r>
      <w:r>
        <w:t>1.01亿元</w:t>
      </w:r>
      <w:r>
        <w:rPr>
          <w:rFonts w:hint="default"/>
        </w:rPr>
        <w:t>，设计规模为年集中处理畜禽粪污</w:t>
      </w:r>
      <w:r>
        <w:t>27.4万吨（</w:t>
      </w:r>
      <w:r>
        <w:rPr>
          <w:rFonts w:hint="default"/>
        </w:rPr>
        <w:t>日处理</w:t>
      </w:r>
      <w:r>
        <w:t>760吨</w:t>
      </w:r>
      <w:r>
        <w:rPr>
          <w:rFonts w:hint="default"/>
        </w:rPr>
        <w:t>）</w:t>
      </w:r>
      <w:r>
        <w:t>，其中</w:t>
      </w:r>
      <w:r>
        <w:rPr>
          <w:rFonts w:hint="default"/>
        </w:rPr>
        <w:t>秸秆</w:t>
      </w:r>
      <w:r>
        <w:t>0.4万吨</w:t>
      </w:r>
      <w:r>
        <w:rPr>
          <w:rFonts w:hint="default"/>
        </w:rPr>
        <w:t>，</w:t>
      </w:r>
      <w:r>
        <w:t>年产</w:t>
      </w:r>
      <w:r>
        <w:rPr>
          <w:rFonts w:hint="default"/>
        </w:rPr>
        <w:t>沼气</w:t>
      </w:r>
      <w:r>
        <w:t>576万</w:t>
      </w:r>
      <w:r>
        <w:rPr>
          <w:rFonts w:hint="default"/>
        </w:rPr>
        <w:t>立方米（日产沼气</w:t>
      </w:r>
      <w:r>
        <w:t>16000立方米</w:t>
      </w:r>
      <w:r>
        <w:rPr>
          <w:rFonts w:hint="default"/>
        </w:rPr>
        <w:t>），年沼气发电量</w:t>
      </w:r>
      <w:r>
        <w:t>1152万度</w:t>
      </w:r>
      <w:r>
        <w:rPr>
          <w:rFonts w:hint="default"/>
        </w:rPr>
        <w:t>（“余电上网”模式）；年产高品质固态有机</w:t>
      </w:r>
      <w:r>
        <w:t>复混肥2.5万吨、</w:t>
      </w:r>
      <w:r>
        <w:rPr>
          <w:rFonts w:hint="default"/>
        </w:rPr>
        <w:t>沼液肥</w:t>
      </w:r>
      <w:r>
        <w:t>24.9万吨</w:t>
      </w:r>
      <w:r>
        <w:rPr>
          <w:rFonts w:hint="default"/>
        </w:rPr>
        <w:t>。</w:t>
      </w:r>
    </w:p>
    <w:p>
      <w:pPr>
        <w:pStyle w:val="2"/>
        <w:snapToGrid w:val="0"/>
        <w:ind w:firstLine="480"/>
        <w:rPr>
          <w:rFonts w:hint="default"/>
        </w:rPr>
      </w:pPr>
      <w:r>
        <w:t>（3）井研县</w:t>
      </w:r>
      <w:r>
        <w:rPr>
          <w:rFonts w:hint="default"/>
        </w:rPr>
        <w:t>大沼工程依托可行性</w:t>
      </w:r>
    </w:p>
    <w:p>
      <w:pPr>
        <w:pStyle w:val="2"/>
        <w:snapToGrid w:val="0"/>
        <w:ind w:firstLine="480"/>
        <w:rPr>
          <w:rFonts w:hint="default"/>
        </w:rPr>
      </w:pPr>
      <w:r>
        <w:t>本项目</w:t>
      </w:r>
      <w:r>
        <w:rPr>
          <w:rFonts w:hint="default"/>
        </w:rPr>
        <w:t>的</w:t>
      </w:r>
      <w:r>
        <w:t>总</w:t>
      </w:r>
      <w:r>
        <w:rPr>
          <w:rFonts w:hint="default"/>
        </w:rPr>
        <w:t>废水量为33.03</w:t>
      </w:r>
      <w:r>
        <w:t>t/d。井研县</w:t>
      </w:r>
      <w:r>
        <w:rPr>
          <w:rFonts w:hint="default"/>
        </w:rPr>
        <w:t>大沼工程</w:t>
      </w:r>
      <w:r>
        <w:t>目前</w:t>
      </w:r>
      <w:r>
        <w:rPr>
          <w:rFonts w:hint="default"/>
        </w:rPr>
        <w:t>剩余能力为36</w:t>
      </w:r>
      <w:r>
        <w:t>0</w:t>
      </w:r>
      <w:r>
        <w:rPr>
          <w:rFonts w:hint="default"/>
        </w:rPr>
        <w:t>t/d</w:t>
      </w:r>
      <w:r>
        <w:t>，因此</w:t>
      </w:r>
      <w:r>
        <w:rPr>
          <w:rFonts w:hint="default"/>
        </w:rPr>
        <w:t>井研县大沼工程完全有能力接纳本项目产生的废水</w:t>
      </w:r>
      <w:r>
        <w:t>。井研县</w:t>
      </w:r>
      <w:r>
        <w:rPr>
          <w:rFonts w:hint="default"/>
        </w:rPr>
        <w:t>大沼工程每日派吸污车抽吸集污池内粪污运往大沼工程，</w:t>
      </w:r>
      <w:r>
        <w:t>吸污车容量</w:t>
      </w:r>
      <w:r>
        <w:rPr>
          <w:rFonts w:hint="default"/>
        </w:rPr>
        <w:t>为</w:t>
      </w:r>
      <w:r>
        <w:t>5t/车</w:t>
      </w:r>
      <w:r>
        <w:rPr>
          <w:rFonts w:hint="default"/>
        </w:rPr>
        <w:t>，约需7</w:t>
      </w:r>
      <w:r>
        <w:t>辆</w:t>
      </w:r>
      <w:r>
        <w:rPr>
          <w:rFonts w:hint="default"/>
        </w:rPr>
        <w:t>。</w:t>
      </w:r>
    </w:p>
    <w:p>
      <w:pPr>
        <w:pStyle w:val="2"/>
        <w:snapToGrid w:val="0"/>
        <w:ind w:firstLineChars="175"/>
        <w:rPr>
          <w:rFonts w:hint="default"/>
          <w:color w:val="FF0000"/>
        </w:rPr>
      </w:pPr>
      <w:r>
        <w:rPr>
          <w:color w:val="FF0000"/>
        </w:rPr>
        <w:t>（</w:t>
      </w:r>
      <w:r>
        <w:rPr>
          <w:rFonts w:hint="default"/>
          <w:color w:val="FF0000"/>
        </w:rPr>
        <w:t>4</w:t>
      </w:r>
      <w:r>
        <w:rPr>
          <w:color w:val="FF0000"/>
        </w:rPr>
        <w:t>）“大沼工程”事故状态下的环境可行性</w:t>
      </w:r>
    </w:p>
    <w:p>
      <w:pPr>
        <w:pStyle w:val="2"/>
        <w:snapToGrid w:val="0"/>
        <w:ind w:firstLine="480"/>
        <w:rPr>
          <w:rFonts w:hint="default"/>
          <w:color w:val="FF0000"/>
        </w:rPr>
      </w:pPr>
      <w:r>
        <w:rPr>
          <w:color w:val="FF0000"/>
        </w:rPr>
        <w:t>根据前述分析，项目拟配套建设固液分离机+沼气池+暂存池（含田间池）作为本项目在“大沼工程”事故状态下的环境可行性，项目已流转土地560亩作为本项目在“大沼工程”事故状态下的消纳土地，同时配套建设5</w:t>
      </w:r>
      <w:r>
        <w:rPr>
          <w:rFonts w:hint="default"/>
          <w:color w:val="FF0000"/>
        </w:rPr>
        <w:t>00m</w:t>
      </w:r>
      <w:r>
        <w:rPr>
          <w:rFonts w:hint="default"/>
          <w:color w:val="FF0000"/>
          <w:vertAlign w:val="superscript"/>
        </w:rPr>
        <w:t>3</w:t>
      </w:r>
      <w:r>
        <w:rPr>
          <w:color w:val="FF0000"/>
        </w:rPr>
        <w:t>的沼液储存池及1</w:t>
      </w:r>
      <w:r>
        <w:rPr>
          <w:rFonts w:hint="default"/>
          <w:color w:val="FF0000"/>
        </w:rPr>
        <w:t>2</w:t>
      </w:r>
      <w:r>
        <w:rPr>
          <w:color w:val="FF0000"/>
        </w:rPr>
        <w:t>座1</w:t>
      </w:r>
      <w:r>
        <w:rPr>
          <w:rFonts w:hint="default"/>
          <w:color w:val="FF0000"/>
        </w:rPr>
        <w:t>50m</w:t>
      </w:r>
      <w:r>
        <w:rPr>
          <w:rFonts w:hint="default"/>
          <w:color w:val="FF0000"/>
          <w:vertAlign w:val="superscript"/>
        </w:rPr>
        <w:t>3</w:t>
      </w:r>
      <w:r>
        <w:rPr>
          <w:color w:val="FF0000"/>
        </w:rPr>
        <w:t>的田间暂存池，因此项目的集污池5</w:t>
      </w:r>
      <w:r>
        <w:rPr>
          <w:rFonts w:hint="default"/>
          <w:color w:val="FF0000"/>
        </w:rPr>
        <w:t>00m</w:t>
      </w:r>
      <w:r>
        <w:rPr>
          <w:rFonts w:hint="default"/>
          <w:color w:val="FF0000"/>
          <w:vertAlign w:val="superscript"/>
        </w:rPr>
        <w:t>3</w:t>
      </w:r>
      <w:r>
        <w:rPr>
          <w:color w:val="FF0000"/>
        </w:rPr>
        <w:t>连同沼液储存池及田间暂存池可暂存项目废水3个月的废水，因此项目在“大沼工程”出现设备大修状态下，项目污水也无外排。</w:t>
      </w:r>
    </w:p>
    <w:p>
      <w:pPr>
        <w:pStyle w:val="320"/>
        <w:snapToGrid w:val="0"/>
        <w:spacing w:before="0" w:line="360" w:lineRule="auto"/>
        <w:ind w:firstLine="480"/>
        <w:rPr>
          <w:rFonts w:ascii="Times New Roman" w:hAnsi="Times New Roman"/>
          <w:color w:val="FF0000"/>
        </w:rPr>
      </w:pPr>
      <w:r>
        <w:rPr>
          <w:rFonts w:hint="eastAsia" w:ascii="Times New Roman" w:hAnsi="Times New Roman"/>
          <w:color w:val="FF0000"/>
        </w:rPr>
        <w:t>综合以上</w:t>
      </w:r>
      <w:r>
        <w:rPr>
          <w:rFonts w:ascii="Times New Roman" w:hAnsi="Times New Roman"/>
          <w:color w:val="FF0000"/>
        </w:rPr>
        <w:t>，本项目依托井研县大沼工程，</w:t>
      </w:r>
      <w:r>
        <w:rPr>
          <w:rFonts w:hint="eastAsia" w:ascii="Times New Roman" w:hAnsi="Times New Roman"/>
          <w:color w:val="FF0000"/>
        </w:rPr>
        <w:t>具有</w:t>
      </w:r>
      <w:r>
        <w:rPr>
          <w:rFonts w:ascii="Times New Roman" w:hAnsi="Times New Roman"/>
          <w:color w:val="FF0000"/>
        </w:rPr>
        <w:t>环境可行性。</w:t>
      </w:r>
    </w:p>
    <w:p>
      <w:pPr>
        <w:pStyle w:val="970"/>
        <w:snapToGrid w:val="0"/>
        <w:ind w:firstLine="0"/>
        <w:outlineLvl w:val="3"/>
        <w:rPr>
          <w:rFonts w:eastAsia="黑体"/>
          <w:bCs/>
          <w:szCs w:val="24"/>
        </w:rPr>
      </w:pPr>
      <w:r>
        <w:rPr>
          <w:rFonts w:eastAsia="黑体"/>
          <w:bCs/>
          <w:szCs w:val="24"/>
        </w:rPr>
        <w:t>7.2.2.3</w:t>
      </w:r>
      <w:r>
        <w:rPr>
          <w:rFonts w:hint="eastAsia" w:eastAsia="黑体"/>
          <w:bCs/>
          <w:szCs w:val="24"/>
        </w:rPr>
        <w:t>建设项目</w:t>
      </w:r>
      <w:r>
        <w:rPr>
          <w:rFonts w:eastAsia="黑体"/>
          <w:bCs/>
          <w:szCs w:val="24"/>
        </w:rPr>
        <w:t>地表水环境影响评价自查表</w:t>
      </w:r>
    </w:p>
    <w:p>
      <w:pPr>
        <w:adjustRightInd w:val="0"/>
        <w:snapToGrid w:val="0"/>
        <w:ind w:firstLine="480" w:firstLineChars="200"/>
      </w:pPr>
      <w:r>
        <w:rPr>
          <w:rFonts w:hint="eastAsia"/>
        </w:rPr>
        <w:t>建设项目地表水环境影响评价自查表见表</w:t>
      </w:r>
      <w:r>
        <w:t>7.2</w:t>
      </w:r>
      <w:r>
        <w:rPr>
          <w:rFonts w:hint="eastAsia"/>
        </w:rPr>
        <w:t>-</w:t>
      </w:r>
      <w:r>
        <w:t>13</w:t>
      </w:r>
      <w:r>
        <w:rPr>
          <w:rFonts w:hint="eastAsia"/>
        </w:rPr>
        <w:t>。</w:t>
      </w:r>
    </w:p>
    <w:p>
      <w:pPr>
        <w:widowControl/>
        <w:spacing w:line="240" w:lineRule="auto"/>
        <w:ind w:firstLine="1440" w:firstLineChars="600"/>
        <w:rPr>
          <w:rFonts w:eastAsia="黑体"/>
        </w:rPr>
      </w:pPr>
      <w:r>
        <w:rPr>
          <w:rFonts w:eastAsia="黑体"/>
        </w:rPr>
        <w:t>表7.2</w:t>
      </w:r>
      <w:r>
        <w:rPr>
          <w:rFonts w:hint="eastAsia" w:eastAsia="黑体"/>
        </w:rPr>
        <w:t>-</w:t>
      </w:r>
      <w:r>
        <w:rPr>
          <w:rFonts w:eastAsia="黑体"/>
        </w:rPr>
        <w:t>13</w:t>
      </w:r>
      <w:r>
        <w:rPr>
          <w:rFonts w:eastAsia="黑体"/>
        </w:rPr>
        <w:tab/>
      </w:r>
      <w:r>
        <w:rPr>
          <w:rFonts w:hint="eastAsia" w:eastAsia="黑体"/>
        </w:rPr>
        <w:t>建设项目地表水环境影响评价自查表</w:t>
      </w:r>
    </w:p>
    <w:tbl>
      <w:tblPr>
        <w:tblStyle w:val="89"/>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75"/>
        <w:gridCol w:w="1701"/>
        <w:gridCol w:w="1230"/>
        <w:gridCol w:w="330"/>
        <w:gridCol w:w="491"/>
        <w:gridCol w:w="109"/>
        <w:gridCol w:w="301"/>
        <w:gridCol w:w="1230"/>
        <w:gridCol w:w="137"/>
        <w:gridCol w:w="274"/>
        <w:gridCol w:w="820"/>
        <w:gridCol w:w="164"/>
        <w:gridCol w:w="10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376"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工作内容</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自查项目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影响识别</w:t>
            </w: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影响类型</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水污染影响型√；水文要素影响型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水环境保护目标</w:t>
            </w:r>
          </w:p>
        </w:tc>
        <w:tc>
          <w:tcPr>
            <w:tcW w:w="6153" w:type="dxa"/>
            <w:gridSpan w:val="11"/>
            <w:vAlign w:val="center"/>
          </w:tcPr>
          <w:p>
            <w:pPr>
              <w:widowControl/>
              <w:spacing w:line="240" w:lineRule="auto"/>
              <w:textAlignment w:val="center"/>
              <w:rPr>
                <w:kern w:val="0"/>
                <w:sz w:val="18"/>
                <w:szCs w:val="18"/>
                <w:lang w:bidi="ar"/>
              </w:rPr>
            </w:pPr>
            <w:r>
              <w:rPr>
                <w:rFonts w:hint="eastAsia"/>
                <w:kern w:val="0"/>
                <w:sz w:val="18"/>
                <w:szCs w:val="18"/>
                <w:lang w:bidi="ar"/>
              </w:rPr>
              <w:t xml:space="preserve">饮用水水源保护区□； </w:t>
            </w:r>
            <w:r>
              <w:rPr>
                <w:kern w:val="0"/>
                <w:sz w:val="18"/>
                <w:szCs w:val="18"/>
                <w:lang w:bidi="ar"/>
              </w:rPr>
              <w:t xml:space="preserve"> </w:t>
            </w:r>
            <w:r>
              <w:rPr>
                <w:rFonts w:hint="eastAsia"/>
                <w:kern w:val="0"/>
                <w:sz w:val="18"/>
                <w:szCs w:val="18"/>
                <w:lang w:bidi="ar"/>
              </w:rPr>
              <w:t xml:space="preserve"> </w:t>
            </w:r>
            <w:r>
              <w:rPr>
                <w:kern w:val="0"/>
                <w:sz w:val="18"/>
                <w:szCs w:val="18"/>
                <w:lang w:bidi="ar"/>
              </w:rPr>
              <w:t xml:space="preserve"> </w:t>
            </w:r>
            <w:r>
              <w:rPr>
                <w:rFonts w:hint="eastAsia"/>
                <w:kern w:val="0"/>
                <w:sz w:val="18"/>
                <w:szCs w:val="18"/>
                <w:lang w:bidi="ar"/>
              </w:rPr>
              <w:t xml:space="preserve">饮用水取水口； </w:t>
            </w:r>
            <w:r>
              <w:rPr>
                <w:kern w:val="0"/>
                <w:sz w:val="18"/>
                <w:szCs w:val="18"/>
                <w:lang w:bidi="ar"/>
              </w:rPr>
              <w:t xml:space="preserve">  </w:t>
            </w:r>
            <w:r>
              <w:rPr>
                <w:rFonts w:hint="eastAsia"/>
                <w:kern w:val="0"/>
                <w:sz w:val="18"/>
                <w:szCs w:val="18"/>
                <w:lang w:bidi="ar"/>
              </w:rPr>
              <w:t xml:space="preserve"> </w:t>
            </w:r>
            <w:r>
              <w:rPr>
                <w:kern w:val="0"/>
                <w:sz w:val="18"/>
                <w:szCs w:val="18"/>
                <w:lang w:bidi="ar"/>
              </w:rPr>
              <w:t xml:space="preserve"> </w:t>
            </w:r>
            <w:r>
              <w:rPr>
                <w:rFonts w:hint="eastAsia"/>
                <w:kern w:val="0"/>
                <w:sz w:val="18"/>
                <w:szCs w:val="18"/>
                <w:lang w:bidi="ar"/>
              </w:rPr>
              <w:t>涉水的自然保护区□；</w:t>
            </w:r>
          </w:p>
          <w:p>
            <w:pPr>
              <w:widowControl/>
              <w:spacing w:line="240" w:lineRule="auto"/>
              <w:textAlignment w:val="center"/>
              <w:rPr>
                <w:kern w:val="0"/>
                <w:sz w:val="18"/>
                <w:szCs w:val="18"/>
                <w:lang w:bidi="ar"/>
              </w:rPr>
            </w:pPr>
            <w:r>
              <w:rPr>
                <w:rFonts w:hint="eastAsia"/>
                <w:kern w:val="0"/>
                <w:sz w:val="18"/>
                <w:szCs w:val="18"/>
                <w:lang w:bidi="ar"/>
              </w:rPr>
              <w:t xml:space="preserve">重要湿地□； </w:t>
            </w:r>
            <w:r>
              <w:rPr>
                <w:kern w:val="0"/>
                <w:sz w:val="18"/>
                <w:szCs w:val="18"/>
                <w:lang w:bidi="ar"/>
              </w:rPr>
              <w:t xml:space="preserve">  </w:t>
            </w:r>
            <w:r>
              <w:rPr>
                <w:rFonts w:hint="eastAsia"/>
                <w:kern w:val="0"/>
                <w:sz w:val="18"/>
                <w:szCs w:val="18"/>
                <w:lang w:bidi="ar"/>
              </w:rPr>
              <w:t xml:space="preserve"> 重点保护与珍稀水生生物的栖息地□；</w:t>
            </w:r>
          </w:p>
          <w:p>
            <w:pPr>
              <w:widowControl/>
              <w:spacing w:line="240" w:lineRule="auto"/>
              <w:textAlignment w:val="center"/>
              <w:rPr>
                <w:kern w:val="0"/>
                <w:sz w:val="18"/>
                <w:szCs w:val="18"/>
                <w:lang w:bidi="ar"/>
              </w:rPr>
            </w:pPr>
            <w:r>
              <w:rPr>
                <w:rFonts w:hint="eastAsia"/>
                <w:kern w:val="0"/>
                <w:sz w:val="18"/>
                <w:szCs w:val="18"/>
                <w:lang w:bidi="ar"/>
              </w:rPr>
              <w:t xml:space="preserve">重要水生生物的自然产卵场及索饵场、越冬 场和洄游通道、天然渔场等渔业水体□； </w:t>
            </w:r>
            <w:r>
              <w:rPr>
                <w:kern w:val="0"/>
                <w:sz w:val="18"/>
                <w:szCs w:val="18"/>
                <w:lang w:bidi="ar"/>
              </w:rPr>
              <w:t xml:space="preserve">       </w:t>
            </w:r>
            <w:r>
              <w:rPr>
                <w:rFonts w:hint="eastAsia"/>
                <w:kern w:val="0"/>
                <w:sz w:val="18"/>
                <w:szCs w:val="18"/>
                <w:lang w:bidi="ar"/>
              </w:rPr>
              <w:t xml:space="preserve">涉水的风景名胜区□； </w:t>
            </w:r>
            <w:r>
              <w:rPr>
                <w:kern w:val="0"/>
                <w:sz w:val="18"/>
                <w:szCs w:val="18"/>
                <w:lang w:bidi="ar"/>
              </w:rPr>
              <w:t xml:space="preserve">       </w:t>
            </w:r>
            <w:r>
              <w:rPr>
                <w:rFonts w:hint="eastAsia"/>
                <w:kern w:val="0"/>
                <w:sz w:val="18"/>
                <w:szCs w:val="18"/>
                <w:lang w:bidi="ar"/>
              </w:rPr>
              <w:t>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影响途径</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水污染影响型</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水文要素影响型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直接排放□；间接排放□；其他√</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水温□；径流□；</w:t>
            </w:r>
          </w:p>
          <w:p>
            <w:pPr>
              <w:widowControl/>
              <w:spacing w:line="240" w:lineRule="auto"/>
              <w:jc w:val="center"/>
              <w:textAlignment w:val="center"/>
              <w:rPr>
                <w:kern w:val="0"/>
                <w:sz w:val="18"/>
                <w:szCs w:val="18"/>
                <w:lang w:bidi="ar"/>
              </w:rPr>
            </w:pPr>
            <w:r>
              <w:rPr>
                <w:rFonts w:hint="eastAsia"/>
                <w:kern w:val="0"/>
                <w:sz w:val="18"/>
                <w:szCs w:val="18"/>
                <w:lang w:bidi="ar"/>
              </w:rPr>
              <w:t>水域面积□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影响因子</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 xml:space="preserve">持久性污染物□； </w:t>
            </w:r>
            <w:r>
              <w:rPr>
                <w:kern w:val="0"/>
                <w:sz w:val="18"/>
                <w:szCs w:val="18"/>
                <w:lang w:bidi="ar"/>
              </w:rPr>
              <w:t xml:space="preserve"> </w:t>
            </w:r>
            <w:r>
              <w:rPr>
                <w:rFonts w:hint="eastAsia"/>
                <w:kern w:val="0"/>
                <w:sz w:val="18"/>
                <w:szCs w:val="18"/>
                <w:lang w:bidi="ar"/>
              </w:rPr>
              <w:t xml:space="preserve">有毒有害污染物□； </w:t>
            </w:r>
          </w:p>
          <w:p>
            <w:pPr>
              <w:widowControl/>
              <w:spacing w:line="240" w:lineRule="auto"/>
              <w:jc w:val="center"/>
              <w:textAlignment w:val="center"/>
              <w:rPr>
                <w:kern w:val="0"/>
                <w:sz w:val="18"/>
                <w:szCs w:val="18"/>
                <w:lang w:bidi="ar"/>
              </w:rPr>
            </w:pPr>
            <w:r>
              <w:rPr>
                <w:rFonts w:hint="eastAsia"/>
                <w:kern w:val="0"/>
                <w:sz w:val="18"/>
                <w:szCs w:val="18"/>
                <w:lang w:bidi="ar"/>
              </w:rPr>
              <w:t xml:space="preserve">非持久性污染物√； pH值□； 热污染□；富营养化□； </w:t>
            </w:r>
            <w:r>
              <w:rPr>
                <w:kern w:val="0"/>
                <w:sz w:val="18"/>
                <w:szCs w:val="18"/>
                <w:lang w:bidi="ar"/>
              </w:rPr>
              <w:t xml:space="preserve"> </w:t>
            </w:r>
            <w:r>
              <w:rPr>
                <w:rFonts w:hint="eastAsia"/>
                <w:kern w:val="0"/>
                <w:sz w:val="18"/>
                <w:szCs w:val="18"/>
                <w:lang w:bidi="ar"/>
              </w:rPr>
              <w:t>其他□</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水温□；水位(水深) □；流速□；流量□； 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376" w:type="dxa"/>
            <w:gridSpan w:val="2"/>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评价等级</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水污染影响型</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水文要素影响型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376" w:type="dxa"/>
            <w:gridSpan w:val="2"/>
            <w:vMerge w:val="continue"/>
            <w:vAlign w:val="center"/>
          </w:tcPr>
          <w:p>
            <w:pPr>
              <w:widowControl/>
              <w:spacing w:line="240" w:lineRule="auto"/>
              <w:jc w:val="center"/>
              <w:textAlignment w:val="center"/>
              <w:rPr>
                <w:kern w:val="0"/>
                <w:sz w:val="18"/>
                <w:szCs w:val="18"/>
                <w:lang w:bidi="ar"/>
              </w:rPr>
            </w:pP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一级□；二级□；三级 A□；三级 B√；</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一级□；二级□；三级□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现状评价</w:t>
            </w: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区域污染源</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调查项目</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2160" w:type="dxa"/>
            <w:gridSpan w:val="4"/>
            <w:vAlign w:val="center"/>
          </w:tcPr>
          <w:p>
            <w:pPr>
              <w:widowControl/>
              <w:spacing w:line="240" w:lineRule="auto"/>
              <w:textAlignment w:val="center"/>
              <w:rPr>
                <w:kern w:val="0"/>
                <w:sz w:val="18"/>
                <w:szCs w:val="18"/>
                <w:lang w:bidi="ar"/>
              </w:rPr>
            </w:pPr>
            <w:r>
              <w:rPr>
                <w:rFonts w:hint="eastAsia"/>
                <w:kern w:val="0"/>
                <w:sz w:val="18"/>
                <w:szCs w:val="18"/>
                <w:lang w:bidi="ar"/>
              </w:rPr>
              <w:t xml:space="preserve">已建□； </w:t>
            </w:r>
            <w:r>
              <w:rPr>
                <w:kern w:val="0"/>
                <w:sz w:val="18"/>
                <w:szCs w:val="18"/>
                <w:lang w:bidi="ar"/>
              </w:rPr>
              <w:t xml:space="preserve">   </w:t>
            </w:r>
            <w:r>
              <w:rPr>
                <w:rFonts w:hint="eastAsia"/>
                <w:kern w:val="0"/>
                <w:sz w:val="18"/>
                <w:szCs w:val="18"/>
                <w:lang w:bidi="ar"/>
              </w:rPr>
              <w:t>在建□；</w:t>
            </w:r>
          </w:p>
          <w:p>
            <w:pPr>
              <w:widowControl/>
              <w:spacing w:line="240" w:lineRule="auto"/>
              <w:textAlignment w:val="center"/>
              <w:rPr>
                <w:kern w:val="0"/>
                <w:sz w:val="18"/>
                <w:szCs w:val="18"/>
                <w:lang w:bidi="ar"/>
              </w:rPr>
            </w:pPr>
            <w:r>
              <w:rPr>
                <w:rFonts w:hint="eastAsia"/>
                <w:kern w:val="0"/>
                <w:sz w:val="18"/>
                <w:szCs w:val="18"/>
                <w:lang w:bidi="ar"/>
              </w:rPr>
              <w:t>拟建□；</w:t>
            </w:r>
            <w:r>
              <w:rPr>
                <w:kern w:val="0"/>
                <w:lang w:bidi="ar"/>
              </w:rPr>
              <w:t xml:space="preserve"> </w:t>
            </w:r>
            <w:r>
              <w:rPr>
                <w:rFonts w:hint="eastAsia"/>
                <w:kern w:val="0"/>
                <w:sz w:val="18"/>
                <w:szCs w:val="18"/>
                <w:lang w:bidi="ar"/>
              </w:rPr>
              <w:t xml:space="preserve"> </w:t>
            </w:r>
            <w:r>
              <w:rPr>
                <w:kern w:val="0"/>
                <w:sz w:val="18"/>
                <w:szCs w:val="18"/>
                <w:lang w:bidi="ar"/>
              </w:rPr>
              <w:t xml:space="preserve">  </w:t>
            </w:r>
            <w:r>
              <w:rPr>
                <w:rFonts w:hint="eastAsia"/>
                <w:kern w:val="0"/>
                <w:sz w:val="18"/>
                <w:szCs w:val="18"/>
                <w:lang w:bidi="ar"/>
              </w:rPr>
              <w:t>其他□</w:t>
            </w:r>
          </w:p>
        </w:tc>
        <w:tc>
          <w:tcPr>
            <w:tcW w:w="1668"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拟替代的污染源□</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排污许可证□；环评□；环保验收□； 既有实测□；现场监测√；入河排放口 数据□；其他□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受影响水体水环境质量</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调查时期</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丰水期□；平水期□；枯水期√；冰封期□；春 季□；夏季□；秋季□；冬季□</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生态环境保护主管部门□；补充监测√； 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评价标准区域水资源开发利用状况</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 xml:space="preserve">未开发√； </w:t>
            </w:r>
            <w:r>
              <w:rPr>
                <w:kern w:val="0"/>
                <w:sz w:val="18"/>
                <w:szCs w:val="18"/>
                <w:lang w:bidi="ar"/>
              </w:rPr>
              <w:t xml:space="preserve"> </w:t>
            </w:r>
            <w:r>
              <w:rPr>
                <w:rFonts w:hint="eastAsia"/>
                <w:kern w:val="0"/>
                <w:sz w:val="18"/>
                <w:szCs w:val="18"/>
                <w:lang w:bidi="ar"/>
              </w:rPr>
              <w:t xml:space="preserve">开发量40%以下□； </w:t>
            </w:r>
            <w:r>
              <w:rPr>
                <w:kern w:val="0"/>
                <w:sz w:val="18"/>
                <w:szCs w:val="18"/>
                <w:lang w:bidi="ar"/>
              </w:rPr>
              <w:t xml:space="preserve"> </w:t>
            </w:r>
            <w:r>
              <w:rPr>
                <w:rFonts w:hint="eastAsia"/>
                <w:kern w:val="0"/>
                <w:sz w:val="18"/>
                <w:szCs w:val="18"/>
                <w:lang w:bidi="ar"/>
              </w:rPr>
              <w:t>开发量 40%以上□</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水文情势调查</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调查时期</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数据来源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丰水期□；平水期□；枯水期□；冰封期□；春季□；夏季□；秋季□；冬季√</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生态环境保护主管部门□；补充监测□； 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补充监测</w:t>
            </w: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监测时期</w:t>
            </w:r>
          </w:p>
        </w:tc>
        <w:tc>
          <w:tcPr>
            <w:tcW w:w="1258"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监测因子</w:t>
            </w:r>
          </w:p>
        </w:tc>
        <w:tc>
          <w:tcPr>
            <w:tcW w:w="1067"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监测断面或点位</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3828" w:type="dxa"/>
            <w:gridSpan w:val="7"/>
            <w:vAlign w:val="center"/>
          </w:tcPr>
          <w:p>
            <w:pPr>
              <w:widowControl/>
              <w:spacing w:line="240" w:lineRule="auto"/>
              <w:jc w:val="center"/>
              <w:textAlignment w:val="center"/>
              <w:rPr>
                <w:kern w:val="0"/>
                <w:sz w:val="18"/>
                <w:szCs w:val="18"/>
                <w:lang w:bidi="ar"/>
              </w:rPr>
            </w:pPr>
            <w:r>
              <w:rPr>
                <w:rFonts w:hint="eastAsia"/>
                <w:kern w:val="0"/>
                <w:sz w:val="18"/>
                <w:szCs w:val="18"/>
                <w:lang w:bidi="ar"/>
              </w:rPr>
              <w:t>丰水期□；平水期□；枯水期□；冰封期□；春季□；夏季□；秋季□；冬季□</w:t>
            </w:r>
          </w:p>
        </w:tc>
        <w:tc>
          <w:tcPr>
            <w:tcW w:w="1258"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rPr>
              <w:t>pH、BOD</w:t>
            </w:r>
            <w:r>
              <w:rPr>
                <w:kern w:val="0"/>
                <w:sz w:val="18"/>
                <w:szCs w:val="18"/>
                <w:vertAlign w:val="subscript"/>
              </w:rPr>
              <w:t>5</w:t>
            </w:r>
            <w:r>
              <w:rPr>
                <w:kern w:val="0"/>
                <w:sz w:val="18"/>
                <w:szCs w:val="18"/>
              </w:rPr>
              <w:t>、COD</w:t>
            </w:r>
            <w:r>
              <w:rPr>
                <w:kern w:val="0"/>
                <w:sz w:val="18"/>
                <w:szCs w:val="18"/>
                <w:vertAlign w:val="subscript"/>
              </w:rPr>
              <w:t>Cr</w:t>
            </w:r>
            <w:r>
              <w:rPr>
                <w:kern w:val="0"/>
                <w:sz w:val="18"/>
                <w:szCs w:val="18"/>
              </w:rPr>
              <w:t>、NH</w:t>
            </w:r>
            <w:r>
              <w:rPr>
                <w:kern w:val="0"/>
                <w:sz w:val="18"/>
                <w:szCs w:val="18"/>
                <w:vertAlign w:val="subscript"/>
              </w:rPr>
              <w:t>3</w:t>
            </w:r>
            <w:r>
              <w:rPr>
                <w:kern w:val="0"/>
                <w:sz w:val="18"/>
                <w:szCs w:val="18"/>
              </w:rPr>
              <w:t>-N、SS、动植物油、粪大肠菌群</w:t>
            </w:r>
            <w:r>
              <w:rPr>
                <w:rFonts w:hint="eastAsia"/>
                <w:kern w:val="0"/>
                <w:sz w:val="18"/>
                <w:szCs w:val="18"/>
              </w:rPr>
              <w:t>、总磷、总氮</w:t>
            </w:r>
            <w:r>
              <w:rPr>
                <w:rFonts w:hint="eastAsia"/>
                <w:kern w:val="0"/>
                <w:sz w:val="18"/>
                <w:szCs w:val="18"/>
                <w:lang w:bidi="ar"/>
              </w:rPr>
              <w:t>）</w:t>
            </w:r>
          </w:p>
        </w:tc>
        <w:tc>
          <w:tcPr>
            <w:tcW w:w="1067"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监测断面或点位个数（2）个</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评价范围</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河流：长度（3）km；湖库、河口及近岸海域：面积（）km2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评价因子</w:t>
            </w:r>
          </w:p>
        </w:tc>
        <w:tc>
          <w:tcPr>
            <w:tcW w:w="6153" w:type="dxa"/>
            <w:gridSpan w:val="11"/>
            <w:vAlign w:val="center"/>
          </w:tcPr>
          <w:p>
            <w:pPr>
              <w:widowControl/>
              <w:spacing w:line="240" w:lineRule="auto"/>
              <w:jc w:val="center"/>
              <w:textAlignment w:val="center"/>
              <w:rPr>
                <w:kern w:val="0"/>
                <w:sz w:val="18"/>
                <w:szCs w:val="18"/>
                <w:lang w:bidi="ar"/>
              </w:rPr>
            </w:pPr>
            <w:r>
              <w:rPr>
                <w:kern w:val="0"/>
                <w:sz w:val="18"/>
                <w:szCs w:val="18"/>
              </w:rPr>
              <w:t>H、BOD</w:t>
            </w:r>
            <w:r>
              <w:rPr>
                <w:kern w:val="0"/>
                <w:sz w:val="18"/>
                <w:szCs w:val="18"/>
                <w:vertAlign w:val="subscript"/>
              </w:rPr>
              <w:t>5</w:t>
            </w:r>
            <w:r>
              <w:rPr>
                <w:kern w:val="0"/>
                <w:sz w:val="18"/>
                <w:szCs w:val="18"/>
              </w:rPr>
              <w:t>、COD</w:t>
            </w:r>
            <w:r>
              <w:rPr>
                <w:kern w:val="0"/>
                <w:sz w:val="18"/>
                <w:szCs w:val="18"/>
                <w:vertAlign w:val="subscript"/>
              </w:rPr>
              <w:t>Cr</w:t>
            </w:r>
            <w:r>
              <w:rPr>
                <w:kern w:val="0"/>
                <w:sz w:val="18"/>
                <w:szCs w:val="18"/>
              </w:rPr>
              <w:t>、NH</w:t>
            </w:r>
            <w:r>
              <w:rPr>
                <w:kern w:val="0"/>
                <w:sz w:val="18"/>
                <w:szCs w:val="18"/>
                <w:vertAlign w:val="subscript"/>
              </w:rPr>
              <w:t>3</w:t>
            </w:r>
            <w:r>
              <w:rPr>
                <w:kern w:val="0"/>
                <w:sz w:val="18"/>
                <w:szCs w:val="18"/>
              </w:rPr>
              <w:t>-N、SS、动植物油、粪大肠菌群</w:t>
            </w:r>
            <w:r>
              <w:rPr>
                <w:rFonts w:hint="eastAsia"/>
                <w:kern w:val="0"/>
                <w:sz w:val="18"/>
                <w:szCs w:val="18"/>
              </w:rPr>
              <w:t>、总磷、总氮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评价时期</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河流、湖库、河口：I 类□；II 类□；IlI 类√；IV 类□；V 类□； 近岸海域：第一类□；第二类□；第三类□；第四类□ 规划年评价标准（）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评价结论</w:t>
            </w:r>
          </w:p>
        </w:tc>
        <w:tc>
          <w:tcPr>
            <w:tcW w:w="3828" w:type="dxa"/>
            <w:gridSpan w:val="7"/>
            <w:vAlign w:val="center"/>
          </w:tcPr>
          <w:p>
            <w:pPr>
              <w:widowControl/>
              <w:spacing w:line="240" w:lineRule="auto"/>
              <w:jc w:val="left"/>
              <w:textAlignment w:val="center"/>
              <w:rPr>
                <w:kern w:val="0"/>
                <w:sz w:val="18"/>
                <w:szCs w:val="18"/>
                <w:lang w:bidi="ar"/>
              </w:rPr>
            </w:pPr>
            <w:r>
              <w:rPr>
                <w:rFonts w:hint="eastAsia"/>
                <w:kern w:val="0"/>
                <w:sz w:val="18"/>
                <w:szCs w:val="18"/>
                <w:lang w:bidi="ar"/>
              </w:rPr>
              <w:t xml:space="preserve">水环境功能区或水功能区、近岸海域环境功能区水质达标状况：达标□；不达标□ </w:t>
            </w:r>
          </w:p>
          <w:p>
            <w:pPr>
              <w:widowControl/>
              <w:spacing w:line="240" w:lineRule="auto"/>
              <w:jc w:val="left"/>
              <w:textAlignment w:val="center"/>
              <w:rPr>
                <w:kern w:val="0"/>
                <w:sz w:val="18"/>
                <w:szCs w:val="18"/>
                <w:lang w:bidi="ar"/>
              </w:rPr>
            </w:pPr>
            <w:r>
              <w:rPr>
                <w:rFonts w:hint="eastAsia"/>
                <w:kern w:val="0"/>
                <w:sz w:val="18"/>
                <w:szCs w:val="18"/>
                <w:lang w:bidi="ar"/>
              </w:rPr>
              <w:t>水环境控制单元或断面水质达标状况：</w:t>
            </w:r>
          </w:p>
          <w:p>
            <w:pPr>
              <w:widowControl/>
              <w:spacing w:line="240" w:lineRule="auto"/>
              <w:ind w:firstLine="360" w:firstLineChars="200"/>
              <w:jc w:val="left"/>
              <w:textAlignment w:val="center"/>
              <w:rPr>
                <w:kern w:val="0"/>
                <w:sz w:val="18"/>
                <w:szCs w:val="18"/>
                <w:lang w:bidi="ar"/>
              </w:rPr>
            </w:pPr>
            <w:r>
              <w:rPr>
                <w:rFonts w:hint="eastAsia"/>
                <w:kern w:val="0"/>
                <w:sz w:val="18"/>
                <w:szCs w:val="18"/>
                <w:lang w:bidi="ar"/>
              </w:rPr>
              <w:t>达标√；不达标□</w:t>
            </w:r>
          </w:p>
          <w:p>
            <w:pPr>
              <w:widowControl/>
              <w:spacing w:line="240" w:lineRule="auto"/>
              <w:jc w:val="left"/>
              <w:textAlignment w:val="center"/>
              <w:rPr>
                <w:kern w:val="0"/>
                <w:sz w:val="18"/>
                <w:szCs w:val="18"/>
                <w:lang w:bidi="ar"/>
              </w:rPr>
            </w:pPr>
            <w:r>
              <w:rPr>
                <w:rFonts w:hint="eastAsia"/>
                <w:kern w:val="0"/>
                <w:sz w:val="18"/>
                <w:szCs w:val="18"/>
                <w:lang w:bidi="ar"/>
              </w:rPr>
              <w:t>水环境保护目标质量状况：达标√；不达标□对照断面、控制断面等代表性断面的水质状况：达标□； 不达标□ 底泥污染评价□ 水资源与开发利用程度及其水文情势评价□ 水环境质量回顾评价□ 流域(区域)水资源(包括水能资源)与开发利用总体状况、 生态流量管理要求与现状满足程度、建设项目占，用水域空间的水流状况与河湖演变状况□</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达标区√；不达标区□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影响预测</w:t>
            </w: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预测范围</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河流：长度（）km；湖库、河口及近岸海域：面积（）km2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5" w:hRule="atLeast"/>
        </w:trPr>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预测因子</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预测时期</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丰水期□；平水期□；枯水期□；冰封期□；春季□；夏季□；秋季□；</w:t>
            </w:r>
          </w:p>
          <w:p>
            <w:pPr>
              <w:widowControl/>
              <w:spacing w:line="240" w:lineRule="auto"/>
              <w:jc w:val="center"/>
              <w:textAlignment w:val="center"/>
              <w:rPr>
                <w:kern w:val="0"/>
                <w:sz w:val="18"/>
                <w:szCs w:val="18"/>
                <w:lang w:bidi="ar"/>
              </w:rPr>
            </w:pPr>
            <w:r>
              <w:rPr>
                <w:rFonts w:hint="eastAsia"/>
                <w:kern w:val="0"/>
                <w:sz w:val="18"/>
                <w:szCs w:val="18"/>
                <w:lang w:bidi="ar"/>
              </w:rPr>
              <w:t xml:space="preserve">冬季□ </w:t>
            </w:r>
            <w:r>
              <w:rPr>
                <w:kern w:val="0"/>
                <w:sz w:val="18"/>
                <w:szCs w:val="18"/>
                <w:lang w:bidi="ar"/>
              </w:rPr>
              <w:t xml:space="preserve"> </w:t>
            </w:r>
            <w:r>
              <w:rPr>
                <w:rFonts w:hint="eastAsia"/>
                <w:kern w:val="0"/>
                <w:sz w:val="18"/>
                <w:szCs w:val="18"/>
                <w:lang w:bidi="ar"/>
              </w:rPr>
              <w:t>设计水文条件□</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预测情景</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建设期□；生产运行期□；服务期满后□ 正常工况□；非正常工况□ 污染控制和减缓措施方案□ 区(流)域环境质量改善目标要求情景□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预测方法</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数值解□；解析解□；其他□</w:t>
            </w:r>
          </w:p>
          <w:p>
            <w:pPr>
              <w:widowControl/>
              <w:spacing w:line="240" w:lineRule="auto"/>
              <w:jc w:val="center"/>
              <w:textAlignment w:val="center"/>
              <w:rPr>
                <w:kern w:val="0"/>
                <w:sz w:val="18"/>
                <w:szCs w:val="18"/>
                <w:lang w:bidi="ar"/>
              </w:rPr>
            </w:pPr>
            <w:r>
              <w:rPr>
                <w:rFonts w:hint="eastAsia"/>
                <w:kern w:val="0"/>
                <w:sz w:val="18"/>
                <w:szCs w:val="18"/>
                <w:lang w:bidi="ar"/>
              </w:rPr>
              <w:t>导则推荐模式□；其他□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水污染控制和水环境影响减缓措施有效性评价</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区(流)域水环境质量改善目标√；替代削减源□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水环境影响评价</w:t>
            </w:r>
          </w:p>
        </w:tc>
        <w:tc>
          <w:tcPr>
            <w:tcW w:w="6153" w:type="dxa"/>
            <w:gridSpan w:val="11"/>
            <w:vAlign w:val="center"/>
          </w:tcPr>
          <w:p>
            <w:pPr>
              <w:widowControl/>
              <w:spacing w:line="240" w:lineRule="auto"/>
              <w:jc w:val="left"/>
              <w:textAlignment w:val="center"/>
              <w:rPr>
                <w:kern w:val="0"/>
                <w:sz w:val="18"/>
                <w:szCs w:val="18"/>
                <w:lang w:bidi="ar"/>
              </w:rPr>
            </w:pPr>
            <w:r>
              <w:rPr>
                <w:rFonts w:hint="eastAsia"/>
                <w:kern w:val="0"/>
                <w:sz w:val="18"/>
                <w:szCs w:val="18"/>
                <w:lang w:bidi="ar"/>
              </w:rPr>
              <w:t xml:space="preserve">排放口混合区外满足水环境管理要求√ </w:t>
            </w:r>
          </w:p>
          <w:p>
            <w:pPr>
              <w:widowControl/>
              <w:spacing w:line="240" w:lineRule="auto"/>
              <w:jc w:val="left"/>
              <w:textAlignment w:val="center"/>
              <w:rPr>
                <w:kern w:val="0"/>
                <w:sz w:val="18"/>
                <w:szCs w:val="18"/>
                <w:lang w:bidi="ar"/>
              </w:rPr>
            </w:pPr>
            <w:r>
              <w:rPr>
                <w:rFonts w:hint="eastAsia"/>
                <w:kern w:val="0"/>
                <w:sz w:val="18"/>
                <w:szCs w:val="18"/>
                <w:lang w:bidi="ar"/>
              </w:rPr>
              <w:t xml:space="preserve">水环境功能区或水功能区、近岸海域环境功能区水质达标□ 满足水环境保护目标水域水环境质量要求□ </w:t>
            </w:r>
          </w:p>
          <w:p>
            <w:pPr>
              <w:widowControl/>
              <w:spacing w:line="240" w:lineRule="auto"/>
              <w:jc w:val="left"/>
              <w:textAlignment w:val="center"/>
              <w:rPr>
                <w:kern w:val="0"/>
                <w:sz w:val="18"/>
                <w:szCs w:val="18"/>
                <w:lang w:bidi="ar"/>
              </w:rPr>
            </w:pPr>
            <w:r>
              <w:rPr>
                <w:rFonts w:hint="eastAsia"/>
                <w:kern w:val="0"/>
                <w:sz w:val="18"/>
                <w:szCs w:val="18"/>
                <w:lang w:bidi="ar"/>
              </w:rPr>
              <w:t>水环境控制单元或断面水质达标□</w:t>
            </w:r>
          </w:p>
          <w:p>
            <w:pPr>
              <w:widowControl/>
              <w:spacing w:line="240" w:lineRule="auto"/>
              <w:jc w:val="left"/>
              <w:textAlignment w:val="center"/>
              <w:rPr>
                <w:kern w:val="0"/>
                <w:sz w:val="18"/>
                <w:szCs w:val="18"/>
                <w:lang w:bidi="ar"/>
              </w:rPr>
            </w:pPr>
            <w:r>
              <w:rPr>
                <w:rFonts w:hint="eastAsia"/>
                <w:kern w:val="0"/>
                <w:sz w:val="18"/>
                <w:szCs w:val="18"/>
                <w:lang w:bidi="ar"/>
              </w:rPr>
              <w:t xml:space="preserve"> 满足重点水污染物排放总量控制指标要求，重点行业建设项目，主要污染物排放满足等量或减量替代要求□ </w:t>
            </w:r>
          </w:p>
          <w:p>
            <w:pPr>
              <w:widowControl/>
              <w:spacing w:line="240" w:lineRule="auto"/>
              <w:jc w:val="left"/>
              <w:textAlignment w:val="center"/>
              <w:rPr>
                <w:kern w:val="0"/>
                <w:sz w:val="18"/>
                <w:szCs w:val="18"/>
                <w:lang w:bidi="ar"/>
              </w:rPr>
            </w:pPr>
            <w:r>
              <w:rPr>
                <w:rFonts w:hint="eastAsia"/>
                <w:kern w:val="0"/>
                <w:sz w:val="18"/>
                <w:szCs w:val="18"/>
                <w:lang w:bidi="ar"/>
              </w:rPr>
              <w:t xml:space="preserve">满足区(流)域水环境质量改善目标要求√    </w:t>
            </w:r>
          </w:p>
          <w:p>
            <w:pPr>
              <w:widowControl/>
              <w:spacing w:line="240" w:lineRule="auto"/>
              <w:jc w:val="left"/>
              <w:textAlignment w:val="center"/>
              <w:rPr>
                <w:kern w:val="0"/>
                <w:sz w:val="18"/>
                <w:szCs w:val="18"/>
                <w:lang w:bidi="ar"/>
              </w:rPr>
            </w:pPr>
            <w:r>
              <w:rPr>
                <w:rFonts w:hint="eastAsia"/>
                <w:kern w:val="0"/>
                <w:sz w:val="18"/>
                <w:szCs w:val="18"/>
                <w:lang w:bidi="ar"/>
              </w:rPr>
              <w:t>水文要素影响型建没项目同时应包括水文情势变化评价、主要水文特征值影响评 价、生态流量符合性评价□ 对于新设或调整入河(湖库、近岸海域)排放口的建设项目，应包括排放口设置的环境合理性评价□</w:t>
            </w:r>
          </w:p>
          <w:p>
            <w:pPr>
              <w:widowControl/>
              <w:spacing w:line="240" w:lineRule="auto"/>
              <w:jc w:val="left"/>
              <w:textAlignment w:val="center"/>
              <w:rPr>
                <w:kern w:val="0"/>
                <w:sz w:val="18"/>
                <w:szCs w:val="18"/>
                <w:lang w:bidi="ar"/>
              </w:rPr>
            </w:pPr>
            <w:r>
              <w:rPr>
                <w:rFonts w:hint="eastAsia"/>
                <w:kern w:val="0"/>
                <w:sz w:val="18"/>
                <w:szCs w:val="18"/>
                <w:lang w:bidi="ar"/>
              </w:rPr>
              <w:t>满足生态保护红线、水环境质量底线、资源利用上线和环境准入清单管理要求√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4" w:hRule="atLeast"/>
        </w:trPr>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污染源排放核算</w:t>
            </w:r>
          </w:p>
        </w:tc>
        <w:tc>
          <w:tcPr>
            <w:tcW w:w="205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污染物名称</w:t>
            </w:r>
          </w:p>
        </w:tc>
        <w:tc>
          <w:tcPr>
            <w:tcW w:w="2051"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排放量</w:t>
            </w:r>
          </w:p>
        </w:tc>
        <w:tc>
          <w:tcPr>
            <w:tcW w:w="205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排放浓度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4" w:hRule="atLeast"/>
        </w:trPr>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205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（C</w:t>
            </w:r>
            <w:r>
              <w:rPr>
                <w:kern w:val="0"/>
                <w:sz w:val="18"/>
                <w:szCs w:val="18"/>
                <w:lang w:bidi="ar"/>
              </w:rPr>
              <w:t>OD</w:t>
            </w:r>
            <w:r>
              <w:rPr>
                <w:rFonts w:hint="eastAsia"/>
                <w:kern w:val="0"/>
                <w:sz w:val="18"/>
                <w:szCs w:val="18"/>
                <w:lang w:bidi="ar"/>
              </w:rPr>
              <w:t>、氨氮、总磷、总氮）</w:t>
            </w:r>
          </w:p>
        </w:tc>
        <w:tc>
          <w:tcPr>
            <w:tcW w:w="2051"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外排</w:t>
            </w:r>
          </w:p>
        </w:tc>
        <w:tc>
          <w:tcPr>
            <w:tcW w:w="205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不外排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2" w:hRule="atLeast"/>
        </w:trPr>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替代源排放情况</w:t>
            </w:r>
          </w:p>
        </w:tc>
        <w:tc>
          <w:tcPr>
            <w:tcW w:w="1230"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污染源名称</w:t>
            </w:r>
          </w:p>
        </w:tc>
        <w:tc>
          <w:tcPr>
            <w:tcW w:w="1231"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排污许可证编号</w:t>
            </w:r>
          </w:p>
        </w:tc>
        <w:tc>
          <w:tcPr>
            <w:tcW w:w="1230"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污染物名称</w:t>
            </w:r>
          </w:p>
        </w:tc>
        <w:tc>
          <w:tcPr>
            <w:tcW w:w="123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排放量（t</w:t>
            </w:r>
            <w:r>
              <w:rPr>
                <w:kern w:val="0"/>
                <w:sz w:val="18"/>
                <w:szCs w:val="18"/>
                <w:lang w:bidi="ar"/>
              </w:rPr>
              <w:t>/a</w:t>
            </w:r>
            <w:r>
              <w:rPr>
                <w:rFonts w:hint="eastAsia"/>
                <w:kern w:val="0"/>
                <w:sz w:val="18"/>
                <w:szCs w:val="18"/>
                <w:lang w:bidi="ar"/>
              </w:rPr>
              <w:t>）</w:t>
            </w:r>
          </w:p>
        </w:tc>
        <w:tc>
          <w:tcPr>
            <w:tcW w:w="1231"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排放浓度/mg</w:t>
            </w:r>
            <w:r>
              <w:rPr>
                <w:kern w:val="0"/>
                <w:sz w:val="18"/>
                <w:szCs w:val="18"/>
                <w:lang w:bidi="ar"/>
              </w:rPr>
              <w:t>/L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2" w:hRule="atLeast"/>
        </w:trPr>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1230"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lang w:bidi="ar"/>
              </w:rPr>
              <w:t>)</w:t>
            </w:r>
          </w:p>
        </w:tc>
        <w:tc>
          <w:tcPr>
            <w:tcW w:w="1231"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lang w:bidi="ar"/>
              </w:rPr>
              <w:t>)</w:t>
            </w:r>
          </w:p>
        </w:tc>
        <w:tc>
          <w:tcPr>
            <w:tcW w:w="1230"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lang w:bidi="ar"/>
              </w:rPr>
              <w:t>)</w:t>
            </w:r>
          </w:p>
        </w:tc>
        <w:tc>
          <w:tcPr>
            <w:tcW w:w="1231" w:type="dxa"/>
            <w:gridSpan w:val="3"/>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lang w:bidi="ar"/>
              </w:rPr>
              <w:t>)</w:t>
            </w:r>
          </w:p>
        </w:tc>
        <w:tc>
          <w:tcPr>
            <w:tcW w:w="1231"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r>
              <w:rPr>
                <w:kern w:val="0"/>
                <w:sz w:val="18"/>
                <w:szCs w:val="18"/>
                <w:lang w:bidi="ar"/>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生态流量确定</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生态流量：一般水期（）m</w:t>
            </w:r>
            <w:r>
              <w:rPr>
                <w:rFonts w:hint="eastAsia"/>
                <w:kern w:val="0"/>
                <w:sz w:val="18"/>
                <w:szCs w:val="18"/>
                <w:vertAlign w:val="superscript"/>
                <w:lang w:bidi="ar"/>
              </w:rPr>
              <w:t>3</w:t>
            </w:r>
            <w:r>
              <w:rPr>
                <w:rFonts w:hint="eastAsia"/>
                <w:kern w:val="0"/>
                <w:sz w:val="18"/>
                <w:szCs w:val="18"/>
                <w:lang w:bidi="ar"/>
              </w:rPr>
              <w:t>/s；鱼类繁殖期（）m</w:t>
            </w:r>
            <w:r>
              <w:rPr>
                <w:rFonts w:hint="eastAsia"/>
                <w:kern w:val="0"/>
                <w:sz w:val="18"/>
                <w:szCs w:val="18"/>
                <w:vertAlign w:val="superscript"/>
                <w:lang w:bidi="ar"/>
              </w:rPr>
              <w:t>3</w:t>
            </w:r>
            <w:r>
              <w:rPr>
                <w:rFonts w:hint="eastAsia"/>
                <w:kern w:val="0"/>
                <w:sz w:val="18"/>
                <w:szCs w:val="18"/>
                <w:lang w:bidi="ar"/>
              </w:rPr>
              <w:t>/s；其他（）m</w:t>
            </w:r>
            <w:r>
              <w:rPr>
                <w:rFonts w:hint="eastAsia"/>
                <w:kern w:val="0"/>
                <w:sz w:val="18"/>
                <w:szCs w:val="18"/>
                <w:vertAlign w:val="superscript"/>
                <w:lang w:bidi="ar"/>
              </w:rPr>
              <w:t>3</w:t>
            </w:r>
            <w:r>
              <w:rPr>
                <w:rFonts w:hint="eastAsia"/>
                <w:kern w:val="0"/>
                <w:sz w:val="18"/>
                <w:szCs w:val="18"/>
                <w:lang w:bidi="ar"/>
              </w:rPr>
              <w:t>/s 生态水位：--般水期（）m；鱼类繁殖期（）m；其他（）m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防治措施</w:t>
            </w: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环保措施</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污水处理设施√；水文减缓设施□；生态流量保障设施□；区域削减□；依托其他工 程措施□；其他□</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restart"/>
            <w:vAlign w:val="center"/>
          </w:tcPr>
          <w:p>
            <w:pPr>
              <w:widowControl/>
              <w:spacing w:line="240" w:lineRule="auto"/>
              <w:jc w:val="center"/>
              <w:textAlignment w:val="center"/>
              <w:rPr>
                <w:kern w:val="0"/>
                <w:sz w:val="18"/>
                <w:szCs w:val="18"/>
                <w:lang w:bidi="ar"/>
              </w:rPr>
            </w:pPr>
            <w:r>
              <w:rPr>
                <w:rFonts w:hint="eastAsia"/>
                <w:kern w:val="0"/>
                <w:sz w:val="18"/>
                <w:szCs w:val="18"/>
                <w:lang w:bidi="ar"/>
              </w:rPr>
              <w:t>监测计划</w:t>
            </w:r>
          </w:p>
        </w:tc>
        <w:tc>
          <w:tcPr>
            <w:tcW w:w="1560" w:type="dxa"/>
            <w:gridSpan w:val="2"/>
            <w:vAlign w:val="center"/>
          </w:tcPr>
          <w:p>
            <w:pPr>
              <w:widowControl/>
              <w:spacing w:line="240" w:lineRule="auto"/>
              <w:jc w:val="center"/>
              <w:textAlignment w:val="center"/>
              <w:rPr>
                <w:kern w:val="0"/>
                <w:sz w:val="18"/>
                <w:szCs w:val="18"/>
                <w:lang w:bidi="ar"/>
              </w:rPr>
            </w:pPr>
          </w:p>
        </w:tc>
        <w:tc>
          <w:tcPr>
            <w:tcW w:w="2268"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环境质量</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污染源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1560"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监测方式</w:t>
            </w:r>
          </w:p>
        </w:tc>
        <w:tc>
          <w:tcPr>
            <w:tcW w:w="2268"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手动□；自动□；无监测√</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手动□；自动□；无监测√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1560"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监测点位</w:t>
            </w:r>
          </w:p>
        </w:tc>
        <w:tc>
          <w:tcPr>
            <w:tcW w:w="2268"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污水处理站出口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Merge w:val="continue"/>
            <w:vAlign w:val="center"/>
          </w:tcPr>
          <w:p>
            <w:pPr>
              <w:widowControl/>
              <w:spacing w:line="240" w:lineRule="auto"/>
              <w:jc w:val="center"/>
              <w:textAlignment w:val="center"/>
              <w:rPr>
                <w:kern w:val="0"/>
                <w:sz w:val="18"/>
                <w:szCs w:val="18"/>
                <w:lang w:bidi="ar"/>
              </w:rPr>
            </w:pPr>
          </w:p>
        </w:tc>
        <w:tc>
          <w:tcPr>
            <w:tcW w:w="1560"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监测因子</w:t>
            </w:r>
          </w:p>
        </w:tc>
        <w:tc>
          <w:tcPr>
            <w:tcW w:w="2268" w:type="dxa"/>
            <w:gridSpan w:val="5"/>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p>
        </w:tc>
        <w:tc>
          <w:tcPr>
            <w:tcW w:w="2325" w:type="dxa"/>
            <w:gridSpan w:val="4"/>
            <w:vAlign w:val="center"/>
          </w:tcPr>
          <w:p>
            <w:pPr>
              <w:widowControl/>
              <w:spacing w:line="240" w:lineRule="auto"/>
              <w:jc w:val="center"/>
              <w:textAlignment w:val="center"/>
              <w:rPr>
                <w:kern w:val="0"/>
                <w:sz w:val="18"/>
                <w:szCs w:val="18"/>
                <w:lang w:bidi="ar"/>
              </w:rPr>
            </w:pPr>
            <w:r>
              <w:rPr>
                <w:rFonts w:hint="eastAsia"/>
                <w:kern w:val="0"/>
                <w:sz w:val="18"/>
                <w:szCs w:val="18"/>
                <w:lang w:bidi="ar"/>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75" w:type="dxa"/>
            <w:vMerge w:val="continue"/>
            <w:vAlign w:val="center"/>
          </w:tcPr>
          <w:p>
            <w:pPr>
              <w:widowControl/>
              <w:spacing w:line="240" w:lineRule="auto"/>
              <w:jc w:val="center"/>
              <w:textAlignment w:val="center"/>
              <w:rPr>
                <w:kern w:val="0"/>
                <w:sz w:val="18"/>
                <w:szCs w:val="18"/>
                <w:lang w:bidi="ar"/>
              </w:rPr>
            </w:pPr>
          </w:p>
        </w:tc>
        <w:tc>
          <w:tcPr>
            <w:tcW w:w="1701" w:type="dxa"/>
            <w:vAlign w:val="center"/>
          </w:tcPr>
          <w:p>
            <w:pPr>
              <w:widowControl/>
              <w:spacing w:line="240" w:lineRule="auto"/>
              <w:jc w:val="center"/>
              <w:textAlignment w:val="center"/>
              <w:rPr>
                <w:kern w:val="0"/>
                <w:sz w:val="18"/>
                <w:szCs w:val="18"/>
                <w:lang w:bidi="ar"/>
              </w:rPr>
            </w:pPr>
            <w:r>
              <w:rPr>
                <w:rFonts w:hint="eastAsia"/>
                <w:kern w:val="0"/>
                <w:sz w:val="18"/>
                <w:szCs w:val="18"/>
                <w:lang w:bidi="ar"/>
              </w:rPr>
              <w:t>污染物排放清单</w:t>
            </w:r>
          </w:p>
        </w:tc>
        <w:tc>
          <w:tcPr>
            <w:tcW w:w="3828" w:type="dxa"/>
            <w:gridSpan w:val="7"/>
            <w:vAlign w:val="center"/>
          </w:tcPr>
          <w:p>
            <w:pPr>
              <w:widowControl/>
              <w:spacing w:line="240" w:lineRule="auto"/>
              <w:jc w:val="center"/>
              <w:textAlignment w:val="center"/>
              <w:rPr>
                <w:kern w:val="0"/>
                <w:sz w:val="18"/>
                <w:szCs w:val="18"/>
                <w:lang w:bidi="ar"/>
              </w:rPr>
            </w:pPr>
          </w:p>
        </w:tc>
        <w:tc>
          <w:tcPr>
            <w:tcW w:w="2325" w:type="dxa"/>
            <w:gridSpan w:val="4"/>
            <w:vAlign w:val="center"/>
          </w:tcPr>
          <w:p>
            <w:pPr>
              <w:widowControl/>
              <w:spacing w:line="240" w:lineRule="auto"/>
              <w:jc w:val="center"/>
              <w:textAlignment w:val="center"/>
              <w:rPr>
                <w:kern w:val="0"/>
                <w:sz w:val="18"/>
                <w:szCs w:val="18"/>
                <w:lang w:bidi="ar"/>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376" w:type="dxa"/>
            <w:gridSpan w:val="2"/>
            <w:vAlign w:val="center"/>
          </w:tcPr>
          <w:p>
            <w:pPr>
              <w:widowControl/>
              <w:spacing w:line="240" w:lineRule="auto"/>
              <w:jc w:val="center"/>
              <w:textAlignment w:val="center"/>
              <w:rPr>
                <w:kern w:val="0"/>
                <w:sz w:val="18"/>
                <w:szCs w:val="18"/>
                <w:lang w:bidi="ar"/>
              </w:rPr>
            </w:pPr>
            <w:r>
              <w:rPr>
                <w:rFonts w:hint="eastAsia"/>
                <w:kern w:val="0"/>
                <w:sz w:val="18"/>
                <w:szCs w:val="18"/>
                <w:lang w:bidi="ar"/>
              </w:rPr>
              <w:t>评价结论</w:t>
            </w:r>
          </w:p>
        </w:tc>
        <w:tc>
          <w:tcPr>
            <w:tcW w:w="6153" w:type="dxa"/>
            <w:gridSpan w:val="11"/>
            <w:vAlign w:val="center"/>
          </w:tcPr>
          <w:p>
            <w:pPr>
              <w:widowControl/>
              <w:spacing w:line="240" w:lineRule="auto"/>
              <w:jc w:val="center"/>
              <w:textAlignment w:val="center"/>
              <w:rPr>
                <w:kern w:val="0"/>
                <w:sz w:val="18"/>
                <w:szCs w:val="18"/>
                <w:lang w:bidi="ar"/>
              </w:rPr>
            </w:pPr>
            <w:r>
              <w:rPr>
                <w:rFonts w:hint="eastAsia"/>
                <w:kern w:val="0"/>
                <w:sz w:val="18"/>
                <w:szCs w:val="18"/>
                <w:lang w:bidi="ar"/>
              </w:rPr>
              <w:t>可以接受√；不可以接受</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9" w:type="dxa"/>
            <w:gridSpan w:val="13"/>
            <w:vAlign w:val="center"/>
          </w:tcPr>
          <w:p>
            <w:pPr>
              <w:widowControl/>
              <w:spacing w:line="240" w:lineRule="auto"/>
              <w:jc w:val="center"/>
              <w:textAlignment w:val="center"/>
              <w:rPr>
                <w:kern w:val="0"/>
                <w:sz w:val="18"/>
                <w:szCs w:val="18"/>
                <w:lang w:bidi="ar"/>
              </w:rPr>
            </w:pPr>
            <w:r>
              <w:rPr>
                <w:rFonts w:hint="eastAsia"/>
                <w:kern w:val="0"/>
                <w:sz w:val="18"/>
                <w:szCs w:val="18"/>
                <w:lang w:bidi="ar"/>
              </w:rPr>
              <w:t>注：“□”为勾选项，填“√”；“（ ）”为内容填写项；“备注”为其他补充内容</w:t>
            </w:r>
          </w:p>
        </w:tc>
      </w:tr>
    </w:tbl>
    <w:p>
      <w:pPr>
        <w:adjustRightInd w:val="0"/>
        <w:snapToGrid w:val="0"/>
      </w:pPr>
    </w:p>
    <w:p>
      <w:pPr>
        <w:spacing w:before="240" w:after="60"/>
        <w:jc w:val="left"/>
        <w:outlineLvl w:val="2"/>
        <w:rPr>
          <w:rFonts w:eastAsia="黑体"/>
          <w:bCs/>
          <w:sz w:val="28"/>
          <w:szCs w:val="28"/>
        </w:rPr>
      </w:pPr>
      <w:r>
        <w:rPr>
          <w:rFonts w:eastAsia="黑体"/>
          <w:bCs/>
          <w:sz w:val="28"/>
          <w:szCs w:val="28"/>
        </w:rPr>
        <w:t>7.2.3地</w:t>
      </w:r>
      <w:r>
        <w:rPr>
          <w:rFonts w:hint="eastAsia" w:eastAsia="黑体"/>
          <w:bCs/>
          <w:sz w:val="28"/>
          <w:szCs w:val="28"/>
        </w:rPr>
        <w:t>下</w:t>
      </w:r>
      <w:r>
        <w:rPr>
          <w:rFonts w:eastAsia="黑体"/>
          <w:bCs/>
          <w:sz w:val="28"/>
          <w:szCs w:val="28"/>
        </w:rPr>
        <w:t>水环境影响分析</w:t>
      </w:r>
    </w:p>
    <w:p>
      <w:pPr>
        <w:pStyle w:val="970"/>
        <w:snapToGrid w:val="0"/>
        <w:ind w:firstLine="0"/>
        <w:outlineLvl w:val="3"/>
        <w:rPr>
          <w:rFonts w:eastAsia="黑体"/>
          <w:bCs/>
          <w:szCs w:val="24"/>
        </w:rPr>
      </w:pPr>
      <w:r>
        <w:rPr>
          <w:rFonts w:eastAsia="黑体"/>
          <w:bCs/>
          <w:szCs w:val="24"/>
        </w:rPr>
        <w:t>7.2.3.1</w:t>
      </w:r>
      <w:r>
        <w:rPr>
          <w:rFonts w:hint="eastAsia" w:eastAsia="黑体"/>
          <w:bCs/>
          <w:szCs w:val="24"/>
        </w:rPr>
        <w:t>区域水文</w:t>
      </w:r>
      <w:r>
        <w:rPr>
          <w:rFonts w:eastAsia="黑体"/>
          <w:bCs/>
          <w:szCs w:val="24"/>
        </w:rPr>
        <w:t>地质条件</w:t>
      </w:r>
    </w:p>
    <w:p>
      <w:pPr>
        <w:ind w:firstLine="480" w:firstLineChars="200"/>
        <w:rPr>
          <w:szCs w:val="21"/>
        </w:rPr>
      </w:pPr>
      <w:r>
        <w:rPr>
          <w:rFonts w:hint="eastAsia"/>
          <w:szCs w:val="21"/>
        </w:rPr>
        <w:t>井研县属川中红层地区，岩性单一，地质构造简单。工程区域地面出露为中生界侏罗系中统沙溪庙组（J2s），为绿灰色粉砂岩、细粒岩屑砂岩与紫红色泥岩略等厚互层，与下伏地层呈整合接触，地层厚度为390m。</w:t>
      </w:r>
    </w:p>
    <w:p>
      <w:pPr>
        <w:ind w:firstLine="480" w:firstLineChars="200"/>
        <w:rPr>
          <w:szCs w:val="21"/>
        </w:rPr>
      </w:pPr>
      <w:r>
        <w:rPr>
          <w:rFonts w:hint="eastAsia"/>
          <w:szCs w:val="21"/>
        </w:rPr>
        <w:t>（1）地质构造</w:t>
      </w:r>
    </w:p>
    <w:p>
      <w:pPr>
        <w:ind w:firstLine="480" w:firstLineChars="200"/>
        <w:rPr>
          <w:szCs w:val="21"/>
        </w:rPr>
      </w:pPr>
      <w:r>
        <w:rPr>
          <w:rFonts w:hint="eastAsia"/>
          <w:szCs w:val="21"/>
        </w:rPr>
        <w:t>县境区域地质构造属于杨子准地台西部之四川台坳，次一级构造为威远穹隆构造和龙泉山褶皱断裂。出露的主要地层为中生界侏罗系、白垩系和新生界的第四系。侏罗系以砂岩、长石石英砂岩与粘土岩互层出现，白垩系以砖红色砂岩为主，第四系以粘土和砂质粘土为主。全区除少量含水岩层灰岩分布于东部外，余皆属于隔水岩层，地下水主要分布于断裂带、破碎带岩石裂隙之中。</w:t>
      </w:r>
    </w:p>
    <w:p>
      <w:pPr>
        <w:ind w:firstLine="480" w:firstLineChars="200"/>
        <w:rPr>
          <w:szCs w:val="21"/>
        </w:rPr>
      </w:pPr>
      <w:r>
        <w:rPr>
          <w:rFonts w:hint="eastAsia"/>
          <w:szCs w:val="21"/>
        </w:rPr>
        <w:t>（2）地下水类型</w:t>
      </w:r>
    </w:p>
    <w:p>
      <w:pPr>
        <w:ind w:firstLine="480" w:firstLineChars="200"/>
        <w:rPr>
          <w:szCs w:val="21"/>
        </w:rPr>
      </w:pPr>
      <w:r>
        <w:rPr>
          <w:rFonts w:hint="eastAsia"/>
          <w:szCs w:val="21"/>
        </w:rPr>
        <w:t>根据区域水文地质普查报告和项目区域水文地质资料，项目场区地下水主要为岩层裂隙水，主要赋存于红层砂泥岩层中，属红层砂泥岩风化带孔隙裂隙水，主要受大气降水补给。分布普遍，埋藏深度小于 60m，水量较小，单孔出水量小于 100m</w:t>
      </w:r>
      <w:r>
        <w:rPr>
          <w:rFonts w:hint="eastAsia"/>
          <w:szCs w:val="21"/>
          <w:vertAlign w:val="superscript"/>
        </w:rPr>
        <w:t>3</w:t>
      </w:r>
      <w:r>
        <w:rPr>
          <w:rFonts w:hint="eastAsia"/>
          <w:szCs w:val="21"/>
        </w:rPr>
        <w:t>/d。</w:t>
      </w:r>
    </w:p>
    <w:p>
      <w:pPr>
        <w:ind w:firstLine="480" w:firstLineChars="200"/>
        <w:rPr>
          <w:szCs w:val="21"/>
        </w:rPr>
      </w:pPr>
      <w:r>
        <w:rPr>
          <w:rFonts w:hint="eastAsia"/>
          <w:szCs w:val="21"/>
        </w:rPr>
        <w:t>（3）地下水补给、径流、排泄及动态特征</w:t>
      </w:r>
    </w:p>
    <w:p>
      <w:pPr>
        <w:ind w:firstLine="480" w:firstLineChars="200"/>
        <w:rPr>
          <w:szCs w:val="21"/>
        </w:rPr>
      </w:pPr>
      <w:r>
        <w:rPr>
          <w:rFonts w:hint="eastAsia"/>
          <w:szCs w:val="21"/>
        </w:rPr>
        <w:t>总体而言，区内地下水径流受地形条件控制，区域地下水径流方向为由西北向东南向的地表水补充。评价区上层地下水的主要补给来源于降水入渗、灌溉水入渗及河谷砂砾石地下径流入渗等。</w:t>
      </w:r>
    </w:p>
    <w:p>
      <w:pPr>
        <w:ind w:firstLine="480" w:firstLineChars="200"/>
        <w:rPr>
          <w:szCs w:val="21"/>
        </w:rPr>
      </w:pPr>
      <w:r>
        <w:rPr>
          <w:rFonts w:hint="eastAsia"/>
          <w:szCs w:val="21"/>
        </w:rPr>
        <w:t>其地下水获得雨水补给后一部分赋存并迳流于渗透性相对较强的上部土层中，部分以蒸发形式排泄，少量于低洼处汇成溪流，向下游排泄；另一部分则渗入基岩风化、构造裂隙中赋存。地下水流向总趋势与地形坡向一致。</w:t>
      </w:r>
    </w:p>
    <w:p>
      <w:pPr>
        <w:ind w:firstLine="480" w:firstLineChars="200"/>
        <w:rPr>
          <w:szCs w:val="21"/>
        </w:rPr>
      </w:pPr>
      <w:r>
        <w:rPr>
          <w:rFonts w:hint="eastAsia"/>
          <w:szCs w:val="21"/>
        </w:rPr>
        <w:t>项目区地下水接受降雨补给后，将由项目区北侧向西北侧径流，呈泄流方式排泄至评价区最低排泄基准面。</w:t>
      </w:r>
    </w:p>
    <w:p>
      <w:pPr>
        <w:pStyle w:val="970"/>
        <w:snapToGrid w:val="0"/>
        <w:ind w:firstLine="0"/>
        <w:outlineLvl w:val="3"/>
        <w:rPr>
          <w:rFonts w:eastAsia="黑体"/>
          <w:bCs/>
          <w:szCs w:val="24"/>
        </w:rPr>
      </w:pPr>
      <w:r>
        <w:rPr>
          <w:rFonts w:eastAsia="黑体"/>
          <w:bCs/>
          <w:szCs w:val="24"/>
        </w:rPr>
        <w:t>7.2.3.2</w:t>
      </w:r>
      <w:r>
        <w:rPr>
          <w:rFonts w:hint="eastAsia" w:eastAsia="黑体"/>
          <w:bCs/>
          <w:szCs w:val="24"/>
        </w:rPr>
        <w:t>地下水污染</w:t>
      </w:r>
      <w:r>
        <w:rPr>
          <w:rFonts w:eastAsia="黑体"/>
          <w:bCs/>
          <w:szCs w:val="24"/>
        </w:rPr>
        <w:t>途径</w:t>
      </w:r>
    </w:p>
    <w:p>
      <w:pPr>
        <w:pStyle w:val="192"/>
        <w:rPr>
          <w:szCs w:val="21"/>
        </w:rPr>
      </w:pPr>
      <w:r>
        <w:rPr>
          <w:szCs w:val="21"/>
        </w:rPr>
        <w:t>污染物对地下水的影响主要是由于降雨或废水排放等通过垂直渗透进入包气带，进入包气带的污染物在物理、化学和生物作用下经吸附、转化、迁移和分解后输入地下水。因此，包气带是联接地面污染物与地下含水层的主要通道和过渡带，既是污染物媒介体，又是污染物的净化场所和防护层。地下水能否被污染以及污染物的种类和性质。一般说来，包气带越厚，污染物达到含水层的阻滞力就越强，污染物的稀释机会就越多。同时，土壤粒细而紧密，渗透性差，则污染慢；反之，颗粒大松散，渗透性能良好则污染重。</w:t>
      </w:r>
    </w:p>
    <w:p>
      <w:pPr>
        <w:pStyle w:val="192"/>
        <w:rPr>
          <w:szCs w:val="21"/>
        </w:rPr>
      </w:pPr>
      <w:r>
        <w:rPr>
          <w:szCs w:val="21"/>
        </w:rPr>
        <w:t>据本项目特点进行分析，可能造成的地下水污染途径有以下几种：</w:t>
      </w:r>
    </w:p>
    <w:p>
      <w:pPr>
        <w:pStyle w:val="192"/>
        <w:rPr>
          <w:szCs w:val="21"/>
        </w:rPr>
      </w:pPr>
      <w:r>
        <w:rPr>
          <w:szCs w:val="21"/>
        </w:rPr>
        <w:t>①集污管出现裂隙等破损，造成污水下渗污染地下水；</w:t>
      </w:r>
    </w:p>
    <w:p>
      <w:pPr>
        <w:pStyle w:val="192"/>
        <w:rPr>
          <w:szCs w:val="21"/>
        </w:rPr>
      </w:pPr>
      <w:r>
        <w:rPr>
          <w:szCs w:val="21"/>
        </w:rPr>
        <w:t>②</w:t>
      </w:r>
      <w:r>
        <w:rPr>
          <w:rFonts w:hint="eastAsia"/>
        </w:rPr>
        <w:t>集污池</w:t>
      </w:r>
      <w:r>
        <w:rPr>
          <w:szCs w:val="21"/>
        </w:rPr>
        <w:t>出现裂隙或废水外流造成</w:t>
      </w:r>
      <w:r>
        <w:rPr>
          <w:rFonts w:hint="eastAsia"/>
          <w:szCs w:val="21"/>
        </w:rPr>
        <w:t>粪污</w:t>
      </w:r>
      <w:r>
        <w:rPr>
          <w:szCs w:val="21"/>
        </w:rPr>
        <w:t>下渗。</w:t>
      </w:r>
    </w:p>
    <w:p>
      <w:pPr>
        <w:pStyle w:val="192"/>
        <w:rPr>
          <w:szCs w:val="21"/>
        </w:rPr>
      </w:pPr>
      <w:r>
        <w:rPr>
          <w:szCs w:val="21"/>
        </w:rPr>
        <w:t>本项目</w:t>
      </w:r>
      <w:r>
        <w:rPr>
          <w:rFonts w:hint="eastAsia"/>
        </w:rPr>
        <w:t>集污池</w:t>
      </w:r>
      <w:r>
        <w:rPr>
          <w:szCs w:val="21"/>
        </w:rPr>
        <w:t>收集的废水主要为</w:t>
      </w:r>
      <w:r>
        <w:rPr>
          <w:rFonts w:hint="eastAsia"/>
          <w:szCs w:val="21"/>
        </w:rPr>
        <w:t>粪污</w:t>
      </w:r>
      <w:r>
        <w:rPr>
          <w:szCs w:val="21"/>
        </w:rPr>
        <w:t>，污水水质较简单。本次环境影响评价主要分析项目运营过程中最坏情况下（</w:t>
      </w:r>
      <w:r>
        <w:rPr>
          <w:rFonts w:hint="eastAsia"/>
        </w:rPr>
        <w:t>集污池</w:t>
      </w:r>
      <w:r>
        <w:rPr>
          <w:szCs w:val="21"/>
        </w:rPr>
        <w:t>泄漏）的地下水影响情况。</w:t>
      </w:r>
    </w:p>
    <w:p>
      <w:pPr>
        <w:pStyle w:val="320"/>
        <w:snapToGrid w:val="0"/>
        <w:spacing w:before="0" w:line="360" w:lineRule="auto"/>
        <w:ind w:firstLine="480"/>
        <w:rPr>
          <w:rFonts w:ascii="Times New Roman" w:hAnsi="Times New Roman"/>
        </w:rPr>
      </w:pPr>
      <w:r>
        <w:rPr>
          <w:rFonts w:ascii="Times New Roman"/>
          <w:szCs w:val="21"/>
        </w:rPr>
        <w:t>项目区无不良地质现象，因此，因相关自然等因素导致的废水渗透因素较小。项目废水</w:t>
      </w:r>
      <w:r>
        <w:rPr>
          <w:rFonts w:hint="eastAsia" w:ascii="Times New Roman"/>
          <w:szCs w:val="21"/>
        </w:rPr>
        <w:t>送至</w:t>
      </w:r>
      <w:r>
        <w:rPr>
          <w:rFonts w:ascii="Times New Roman"/>
          <w:szCs w:val="21"/>
        </w:rPr>
        <w:t>井研县大沼工程经沼气发酵罐处理后沼液用于果树施肥，不外排。同时，项目对猪舍、集污管道、</w:t>
      </w:r>
      <w:r>
        <w:rPr>
          <w:rFonts w:hint="eastAsia" w:ascii="Times New Roman" w:hAnsi="Times New Roman"/>
        </w:rPr>
        <w:t>集污池</w:t>
      </w:r>
      <w:r>
        <w:rPr>
          <w:rFonts w:ascii="Times New Roman"/>
          <w:szCs w:val="21"/>
        </w:rPr>
        <w:t>进行防渗措施处理，可有效避免由于废水下渗地下水引起地下水的污染影响，加上有粘土层的阻隔及过滤作用，基本不对地下水产生影响。</w:t>
      </w:r>
    </w:p>
    <w:p>
      <w:pPr>
        <w:pStyle w:val="970"/>
        <w:snapToGrid w:val="0"/>
        <w:ind w:firstLine="0"/>
        <w:outlineLvl w:val="3"/>
        <w:rPr>
          <w:rFonts w:eastAsia="黑体"/>
          <w:bCs/>
          <w:szCs w:val="24"/>
        </w:rPr>
      </w:pPr>
      <w:r>
        <w:rPr>
          <w:rFonts w:eastAsia="黑体"/>
          <w:bCs/>
          <w:szCs w:val="24"/>
        </w:rPr>
        <w:t>7.2.3.3</w:t>
      </w:r>
      <w:r>
        <w:rPr>
          <w:rFonts w:hint="eastAsia" w:eastAsia="黑体"/>
          <w:bCs/>
          <w:szCs w:val="24"/>
        </w:rPr>
        <w:t>污染源分析及主要评价因子</w:t>
      </w:r>
    </w:p>
    <w:p>
      <w:pPr>
        <w:pStyle w:val="320"/>
        <w:snapToGrid w:val="0"/>
        <w:ind w:firstLine="480"/>
        <w:rPr>
          <w:rFonts w:ascii="Times New Roman" w:hAnsi="Times New Roman"/>
        </w:rPr>
      </w:pPr>
      <w:r>
        <w:rPr>
          <w:rFonts w:hint="eastAsia" w:ascii="Times New Roman" w:hAnsi="Times New Roman"/>
        </w:rPr>
        <w:t>项目实施后，运行过程中产生的生产废水、生活区污水经场内污水处理设施处理后由</w:t>
      </w:r>
      <w:r>
        <w:t>乐山乐高勤力生物质能源综合利用有限公司</w:t>
      </w:r>
      <w:r>
        <w:rPr>
          <w:rFonts w:hint="eastAsia"/>
        </w:rPr>
        <w:t>清运至</w:t>
      </w:r>
      <w:r>
        <w:t>“大沼”工程</w:t>
      </w:r>
      <w:r>
        <w:rPr>
          <w:rFonts w:hint="eastAsia"/>
        </w:rPr>
        <w:t>用于沼气发电，</w:t>
      </w:r>
      <w:r>
        <w:rPr>
          <w:rFonts w:hint="eastAsia" w:ascii="Times New Roman" w:hAnsi="Times New Roman"/>
        </w:rPr>
        <w:t>项目猪舍、隔离区、污水处理设施、粪便临时堆存间、医疗废物暂存间、危险废物暂存间均作为重点 防渗区进行防渗，防渗措施为：防渗混泥土+2mm 厚高密度聚乙烯或至少 2mm 厚的其它人工材料，渗透系数≤10</w:t>
      </w:r>
      <w:r>
        <w:rPr>
          <w:rFonts w:hint="eastAsia" w:ascii="Times New Roman" w:hAnsi="Times New Roman"/>
          <w:vertAlign w:val="superscript"/>
        </w:rPr>
        <w:t>-10</w:t>
      </w:r>
      <w:r>
        <w:rPr>
          <w:rFonts w:hint="eastAsia" w:ascii="Times New Roman" w:hAnsi="Times New Roman"/>
        </w:rPr>
        <w:t>cm/s，采取防渗措施后正常情况下不会对地下水产生影响。</w:t>
      </w:r>
    </w:p>
    <w:p>
      <w:pPr>
        <w:pStyle w:val="320"/>
        <w:snapToGrid w:val="0"/>
        <w:ind w:firstLine="480"/>
        <w:rPr>
          <w:rFonts w:ascii="Times New Roman" w:hAnsi="Times New Roman"/>
        </w:rPr>
      </w:pPr>
      <w:r>
        <w:rPr>
          <w:rFonts w:hint="eastAsia" w:ascii="Times New Roman" w:hAnsi="Times New Roman"/>
        </w:rPr>
        <w:t>事故情况下，企业在长期生产运行中，由于外力作用（地基不均匀沉降或地质营力作用等）或防渗处理不当（防渗层局部老化、破损），污水处理设施防渗层有可能出现破损，存在潜在泄露的风险，污水有可能通过漏洞渗漏，如泄漏不能及时发现和处理，长此下去有可能造成地下水污染，一旦发生地下水污染，对其修复、恢复都是极其困难的。因此，本次评价将项目污水处理设施作为地下水的主要污染源考虑。 本项目的水质预测因子主要为 CODcr 和氨氮。本次评价因子及浓度见表7</w:t>
      </w:r>
      <w:r>
        <w:rPr>
          <w:rFonts w:ascii="Times New Roman" w:hAnsi="Times New Roman"/>
        </w:rPr>
        <w:t>.2</w:t>
      </w:r>
      <w:r>
        <w:rPr>
          <w:rFonts w:hint="eastAsia" w:ascii="Times New Roman" w:hAnsi="Times New Roman"/>
        </w:rPr>
        <w:t>-</w:t>
      </w:r>
      <w:r>
        <w:rPr>
          <w:rFonts w:ascii="Times New Roman" w:hAnsi="Times New Roman"/>
        </w:rPr>
        <w:t>14</w:t>
      </w:r>
      <w:r>
        <w:rPr>
          <w:rFonts w:hint="eastAsia" w:ascii="Times New Roman" w:hAnsi="Times New Roman"/>
        </w:rPr>
        <w:t>。</w:t>
      </w:r>
    </w:p>
    <w:p>
      <w:pPr>
        <w:widowControl/>
        <w:spacing w:line="240" w:lineRule="auto"/>
        <w:jc w:val="center"/>
        <w:rPr>
          <w:rFonts w:eastAsia="黑体"/>
        </w:rPr>
      </w:pPr>
    </w:p>
    <w:p>
      <w:pPr>
        <w:widowControl/>
        <w:spacing w:line="240" w:lineRule="auto"/>
        <w:jc w:val="center"/>
        <w:rPr>
          <w:rFonts w:eastAsia="黑体"/>
        </w:rPr>
      </w:pPr>
      <w:r>
        <w:rPr>
          <w:rFonts w:hint="eastAsia" w:eastAsia="黑体"/>
        </w:rPr>
        <w:t>表 7.2-</w:t>
      </w:r>
      <w:r>
        <w:rPr>
          <w:rFonts w:eastAsia="黑体"/>
        </w:rPr>
        <w:t>14</w:t>
      </w:r>
      <w:r>
        <w:rPr>
          <w:rFonts w:hint="eastAsia" w:eastAsia="黑体"/>
        </w:rPr>
        <w:t xml:space="preserve"> 地下水评价因子及源强浓度</w:t>
      </w:r>
    </w:p>
    <w:tbl>
      <w:tblPr>
        <w:tblStyle w:val="88"/>
        <w:tblW w:w="878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3749"/>
        <w:gridCol w:w="2550"/>
        <w:gridCol w:w="248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30" w:hRule="atLeast"/>
          <w:jc w:val="center"/>
        </w:trPr>
        <w:tc>
          <w:tcPr>
            <w:tcW w:w="3749" w:type="dxa"/>
            <w:tcBorders>
              <w:tl2br w:val="nil"/>
              <w:tr2bl w:val="nil"/>
            </w:tcBorders>
            <w:vAlign w:val="center"/>
          </w:tcPr>
          <w:p>
            <w:pPr>
              <w:spacing w:line="240" w:lineRule="auto"/>
              <w:jc w:val="center"/>
              <w:rPr>
                <w:sz w:val="21"/>
                <w:szCs w:val="21"/>
              </w:rPr>
            </w:pPr>
            <w:r>
              <w:rPr>
                <w:sz w:val="21"/>
                <w:szCs w:val="21"/>
              </w:rPr>
              <w:t>评价因子</w:t>
            </w:r>
          </w:p>
        </w:tc>
        <w:tc>
          <w:tcPr>
            <w:tcW w:w="2550" w:type="dxa"/>
            <w:tcBorders>
              <w:tl2br w:val="nil"/>
              <w:tr2bl w:val="nil"/>
            </w:tcBorders>
            <w:vAlign w:val="center"/>
          </w:tcPr>
          <w:p>
            <w:pPr>
              <w:spacing w:line="240" w:lineRule="auto"/>
              <w:jc w:val="center"/>
              <w:rPr>
                <w:sz w:val="21"/>
                <w:szCs w:val="21"/>
              </w:rPr>
            </w:pPr>
            <w:r>
              <w:rPr>
                <w:sz w:val="21"/>
                <w:szCs w:val="21"/>
              </w:rPr>
              <w:t>COD</w:t>
            </w:r>
          </w:p>
        </w:tc>
        <w:tc>
          <w:tcPr>
            <w:tcW w:w="2488" w:type="dxa"/>
            <w:tcBorders>
              <w:tl2br w:val="nil"/>
              <w:tr2bl w:val="nil"/>
            </w:tcBorders>
            <w:vAlign w:val="center"/>
          </w:tcPr>
          <w:p>
            <w:pPr>
              <w:spacing w:line="240" w:lineRule="auto"/>
              <w:jc w:val="center"/>
              <w:rPr>
                <w:sz w:val="21"/>
                <w:szCs w:val="21"/>
              </w:rPr>
            </w:pPr>
            <w:r>
              <w:rPr>
                <w:sz w:val="21"/>
                <w:szCs w:val="21"/>
              </w:rPr>
              <w:t>氨氮</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3749" w:type="dxa"/>
            <w:tcBorders>
              <w:tl2br w:val="nil"/>
              <w:tr2bl w:val="nil"/>
            </w:tcBorders>
            <w:vAlign w:val="center"/>
          </w:tcPr>
          <w:p>
            <w:pPr>
              <w:spacing w:line="240" w:lineRule="auto"/>
              <w:jc w:val="center"/>
              <w:rPr>
                <w:sz w:val="21"/>
                <w:szCs w:val="21"/>
              </w:rPr>
            </w:pPr>
            <w:r>
              <w:rPr>
                <w:sz w:val="21"/>
                <w:szCs w:val="21"/>
              </w:rPr>
              <w:t>源强浓度（mg/L）</w:t>
            </w:r>
          </w:p>
        </w:tc>
        <w:tc>
          <w:tcPr>
            <w:tcW w:w="2550" w:type="dxa"/>
            <w:tcBorders>
              <w:tl2br w:val="nil"/>
              <w:tr2bl w:val="nil"/>
            </w:tcBorders>
            <w:vAlign w:val="center"/>
          </w:tcPr>
          <w:p>
            <w:pPr>
              <w:spacing w:line="240" w:lineRule="auto"/>
              <w:jc w:val="center"/>
              <w:rPr>
                <w:sz w:val="21"/>
                <w:szCs w:val="21"/>
              </w:rPr>
            </w:pPr>
            <w:r>
              <w:rPr>
                <w:sz w:val="21"/>
                <w:szCs w:val="21"/>
              </w:rPr>
              <w:t>2640</w:t>
            </w:r>
          </w:p>
        </w:tc>
        <w:tc>
          <w:tcPr>
            <w:tcW w:w="2488" w:type="dxa"/>
            <w:tcBorders>
              <w:tl2br w:val="nil"/>
              <w:tr2bl w:val="nil"/>
            </w:tcBorders>
            <w:vAlign w:val="center"/>
          </w:tcPr>
          <w:p>
            <w:pPr>
              <w:spacing w:line="240" w:lineRule="auto"/>
              <w:jc w:val="center"/>
              <w:rPr>
                <w:sz w:val="21"/>
                <w:szCs w:val="21"/>
              </w:rPr>
            </w:pPr>
            <w:r>
              <w:rPr>
                <w:sz w:val="21"/>
                <w:szCs w:val="21"/>
              </w:rPr>
              <w:t>261</w:t>
            </w:r>
          </w:p>
        </w:tc>
      </w:tr>
    </w:tbl>
    <w:p>
      <w:pPr>
        <w:pStyle w:val="320"/>
        <w:snapToGrid w:val="0"/>
        <w:spacing w:line="360" w:lineRule="auto"/>
        <w:ind w:firstLine="480"/>
        <w:rPr>
          <w:rFonts w:ascii="Times New Roman" w:hAnsi="Times New Roman"/>
        </w:rPr>
      </w:pPr>
    </w:p>
    <w:p>
      <w:pPr>
        <w:pStyle w:val="970"/>
        <w:snapToGrid w:val="0"/>
        <w:ind w:firstLine="0"/>
        <w:outlineLvl w:val="3"/>
        <w:rPr>
          <w:rFonts w:eastAsia="黑体"/>
          <w:bCs/>
          <w:szCs w:val="24"/>
        </w:rPr>
      </w:pPr>
      <w:r>
        <w:rPr>
          <w:rFonts w:hint="eastAsia" w:eastAsia="黑体"/>
          <w:bCs/>
          <w:szCs w:val="24"/>
        </w:rPr>
        <w:t>7.2.</w:t>
      </w:r>
      <w:r>
        <w:rPr>
          <w:rFonts w:eastAsia="黑体"/>
          <w:bCs/>
          <w:szCs w:val="24"/>
        </w:rPr>
        <w:t>3</w:t>
      </w:r>
      <w:r>
        <w:rPr>
          <w:rFonts w:hint="eastAsia" w:eastAsia="黑体"/>
          <w:bCs/>
          <w:szCs w:val="24"/>
        </w:rPr>
        <w:t>.</w:t>
      </w:r>
      <w:r>
        <w:rPr>
          <w:rFonts w:eastAsia="黑体"/>
          <w:bCs/>
          <w:szCs w:val="24"/>
        </w:rPr>
        <w:t>4</w:t>
      </w:r>
      <w:r>
        <w:rPr>
          <w:rFonts w:hint="eastAsia" w:eastAsia="黑体"/>
          <w:bCs/>
          <w:szCs w:val="24"/>
        </w:rPr>
        <w:t xml:space="preserve"> 地下水水质影响预测与评价 </w:t>
      </w:r>
    </w:p>
    <w:p>
      <w:pPr>
        <w:pStyle w:val="320"/>
        <w:snapToGrid w:val="0"/>
        <w:ind w:firstLine="480"/>
        <w:rPr>
          <w:rFonts w:ascii="Times New Roman" w:hAnsi="Times New Roman"/>
        </w:rPr>
      </w:pPr>
      <w:r>
        <w:rPr>
          <w:rFonts w:hint="eastAsia" w:ascii="Times New Roman" w:hAnsi="Times New Roman"/>
        </w:rPr>
        <w:t>（1）地下水数学模型</w:t>
      </w:r>
    </w:p>
    <w:p>
      <w:pPr>
        <w:pStyle w:val="320"/>
        <w:snapToGrid w:val="0"/>
        <w:ind w:firstLine="480"/>
        <w:rPr>
          <w:rFonts w:ascii="Times New Roman" w:hAnsi="Times New Roman"/>
        </w:rPr>
      </w:pPr>
      <w:r>
        <w:rPr>
          <w:rFonts w:hint="eastAsia" w:ascii="Times New Roman" w:hAnsi="Times New Roman"/>
        </w:rPr>
        <w:t>本项目位于农村环境，厂区的水文地质条件较为简单，因此可通过解析法预测地下水的环境影响。计算时不考虑水流的源汇项，且对污染物在含水层中的吸附、挥发、生物化学反应等不做考虑，从而可简化地下水水流及水质模型。</w:t>
      </w:r>
    </w:p>
    <w:p>
      <w:pPr>
        <w:pStyle w:val="320"/>
        <w:snapToGrid w:val="0"/>
        <w:ind w:firstLine="480"/>
        <w:rPr>
          <w:rFonts w:ascii="Times New Roman" w:hAnsi="Times New Roman"/>
        </w:rPr>
      </w:pPr>
      <w:r>
        <w:rPr>
          <w:rFonts w:hint="eastAsia" w:ascii="Times New Roman" w:hAnsi="Times New Roman"/>
        </w:rPr>
        <w:t>主要考虑防渗层破裂出现孔隙和微裂隙等非正常工况时，污水站废水发生渗漏对地下水可能造成的影响。因此将污染源视为连续稳定释放的点源，对非正常 工况的污染物进行正向推算，分别计算 100 天、1000 天、5 年、10 年、20 年和 30 年后的污染物的超标扩散距离和最大运移距离。 本项目地下水环境影响预测采用《环境影响评价技术导则-地下水环境》 （HJ610-2016）推荐的一维稳定流动一维水动力弥散问题，概化条件为一维半无限长多孔介质柱体，一端为定浓度边界，则一维连续污染物运移预测方程为：</w:t>
      </w:r>
    </w:p>
    <w:p>
      <w:pPr>
        <w:pStyle w:val="320"/>
        <w:snapToGrid w:val="0"/>
        <w:spacing w:line="360" w:lineRule="auto"/>
        <w:ind w:firstLine="0" w:firstLineChars="0"/>
        <w:rPr>
          <w:rFonts w:ascii="Times New Roman" w:hAnsi="Times New Roman"/>
        </w:rPr>
      </w:pPr>
    </w:p>
    <w:p>
      <w:pPr>
        <w:pStyle w:val="320"/>
        <w:snapToGrid w:val="0"/>
        <w:spacing w:line="360" w:lineRule="auto"/>
        <w:ind w:firstLine="0" w:firstLineChars="0"/>
        <w:rPr>
          <w:rFonts w:ascii="Times New Roman" w:hAnsi="Times New Roman"/>
        </w:rPr>
      </w:pPr>
    </w:p>
    <w:p>
      <w:pPr>
        <w:tabs>
          <w:tab w:val="left" w:pos="377"/>
        </w:tabs>
        <w:ind w:firstLine="1440" w:firstLineChars="600"/>
        <w:rPr>
          <w:szCs w:val="20"/>
        </w:rPr>
      </w:pPr>
      <w:r>
        <w:rPr>
          <w:position w:val="-38"/>
          <w:szCs w:val="20"/>
        </w:rPr>
        <w:object>
          <v:shape id="_x0000_i1035" o:spt="75" type="#_x0000_t75" style="height:43.05pt;width:244.95pt;" o:ole="t" filled="f" o:preferrelative="t" stroked="f" coordsize="21600,21600">
            <v:path/>
            <v:fill on="f" focussize="0,0"/>
            <v:stroke on="f" joinstyle="miter"/>
            <v:imagedata r:id="rId37" o:title=""/>
            <o:lock v:ext="edit" aspectratio="t"/>
            <w10:wrap type="none"/>
            <w10:anchorlock/>
          </v:shape>
          <o:OLEObject Type="Embed" ProgID="Equation.3" ShapeID="_x0000_i1035" DrawAspect="Content" ObjectID="_1468075735" r:id="rId36">
            <o:LockedField>false</o:LockedField>
          </o:OLEObject>
        </w:object>
      </w:r>
    </w:p>
    <w:p>
      <w:pPr>
        <w:tabs>
          <w:tab w:val="left" w:pos="377"/>
        </w:tabs>
        <w:rPr>
          <w:szCs w:val="20"/>
        </w:rPr>
      </w:pPr>
      <w:r>
        <w:rPr>
          <w:szCs w:val="20"/>
        </w:rPr>
        <w:t>式中：</w:t>
      </w:r>
    </w:p>
    <w:p>
      <w:pPr>
        <w:tabs>
          <w:tab w:val="left" w:pos="377"/>
        </w:tabs>
        <w:ind w:firstLine="480" w:firstLineChars="200"/>
        <w:rPr>
          <w:szCs w:val="20"/>
        </w:rPr>
      </w:pPr>
      <w:r>
        <w:rPr>
          <w:i/>
          <w:szCs w:val="20"/>
        </w:rPr>
        <w:t>x——</w:t>
      </w:r>
      <w:r>
        <w:rPr>
          <w:szCs w:val="20"/>
        </w:rPr>
        <w:t>预测点距污染源强的距离，m</w:t>
      </w:r>
    </w:p>
    <w:p>
      <w:pPr>
        <w:tabs>
          <w:tab w:val="left" w:pos="377"/>
        </w:tabs>
        <w:ind w:firstLine="480" w:firstLineChars="200"/>
        <w:rPr>
          <w:szCs w:val="20"/>
        </w:rPr>
      </w:pPr>
      <w:r>
        <w:rPr>
          <w:i/>
          <w:szCs w:val="20"/>
        </w:rPr>
        <w:t>t——</w:t>
      </w:r>
      <w:r>
        <w:rPr>
          <w:szCs w:val="20"/>
        </w:rPr>
        <w:t>为预测时间，d</w:t>
      </w:r>
    </w:p>
    <w:p>
      <w:pPr>
        <w:tabs>
          <w:tab w:val="left" w:pos="377"/>
        </w:tabs>
        <w:ind w:firstLine="480" w:firstLineChars="200"/>
        <w:rPr>
          <w:szCs w:val="20"/>
        </w:rPr>
      </w:pPr>
      <w:r>
        <w:rPr>
          <w:i/>
          <w:szCs w:val="20"/>
        </w:rPr>
        <w:t>C</w:t>
      </w:r>
      <w:r>
        <w:rPr>
          <w:szCs w:val="20"/>
        </w:rPr>
        <w:t>——为t时刻x处的污染物浓度，mg/L</w:t>
      </w:r>
    </w:p>
    <w:p>
      <w:pPr>
        <w:tabs>
          <w:tab w:val="left" w:pos="377"/>
        </w:tabs>
        <w:ind w:firstLine="480" w:firstLineChars="200"/>
        <w:rPr>
          <w:szCs w:val="20"/>
        </w:rPr>
      </w:pPr>
      <w:r>
        <w:rPr>
          <w:i/>
          <w:szCs w:val="20"/>
        </w:rPr>
        <w:t>C</w:t>
      </w:r>
      <w:r>
        <w:rPr>
          <w:i/>
          <w:sz w:val="16"/>
          <w:szCs w:val="16"/>
          <w:vertAlign w:val="subscript"/>
        </w:rPr>
        <w:t>0</w:t>
      </w:r>
      <w:r>
        <w:rPr>
          <w:szCs w:val="20"/>
        </w:rPr>
        <w:t>——为地下水污染源强浓度，mg/L</w:t>
      </w:r>
    </w:p>
    <w:p>
      <w:pPr>
        <w:tabs>
          <w:tab w:val="left" w:pos="377"/>
        </w:tabs>
        <w:ind w:firstLine="480" w:firstLineChars="200"/>
        <w:rPr>
          <w:szCs w:val="20"/>
        </w:rPr>
      </w:pPr>
      <w:r>
        <w:rPr>
          <w:i/>
          <w:szCs w:val="20"/>
        </w:rPr>
        <w:t>erfc</w:t>
      </w:r>
      <w:r>
        <w:rPr>
          <w:szCs w:val="20"/>
        </w:rPr>
        <w:t>（）——为余误差函数</w:t>
      </w:r>
    </w:p>
    <w:p>
      <w:pPr>
        <w:tabs>
          <w:tab w:val="left" w:pos="377"/>
        </w:tabs>
        <w:ind w:firstLine="480" w:firstLineChars="200"/>
        <w:rPr>
          <w:szCs w:val="20"/>
        </w:rPr>
      </w:pPr>
      <w:r>
        <w:rPr>
          <w:i/>
          <w:szCs w:val="20"/>
        </w:rPr>
        <w:t>u</w:t>
      </w:r>
      <w:r>
        <w:rPr>
          <w:szCs w:val="20"/>
        </w:rPr>
        <w:t>——水流速度，m/d</w:t>
      </w:r>
    </w:p>
    <w:p>
      <w:pPr>
        <w:tabs>
          <w:tab w:val="left" w:pos="377"/>
        </w:tabs>
        <w:ind w:firstLine="480" w:firstLineChars="200"/>
        <w:jc w:val="center"/>
        <w:rPr>
          <w:iCs/>
          <w:szCs w:val="20"/>
        </w:rPr>
      </w:pPr>
      <w:r>
        <w:rPr>
          <w:szCs w:val="20"/>
        </w:rPr>
        <w:t xml:space="preserve">u = </w:t>
      </w:r>
      <w:r>
        <w:rPr>
          <w:iCs/>
          <w:szCs w:val="20"/>
        </w:rPr>
        <w:t xml:space="preserve">K </w:t>
      </w:r>
      <w:r>
        <w:rPr>
          <w:szCs w:val="20"/>
        </w:rPr>
        <w:sym w:font="Symbol" w:char="F0B4"/>
      </w:r>
      <w:r>
        <w:rPr>
          <w:szCs w:val="20"/>
        </w:rPr>
        <w:t xml:space="preserve"> </w:t>
      </w:r>
      <w:r>
        <w:rPr>
          <w:iCs/>
          <w:szCs w:val="20"/>
        </w:rPr>
        <w:t>I</w:t>
      </w:r>
    </w:p>
    <w:p>
      <w:pPr>
        <w:tabs>
          <w:tab w:val="left" w:pos="377"/>
        </w:tabs>
        <w:ind w:firstLine="480" w:firstLineChars="200"/>
        <w:rPr>
          <w:szCs w:val="20"/>
        </w:rPr>
      </w:pPr>
      <w:r>
        <w:rPr>
          <w:i/>
          <w:szCs w:val="20"/>
        </w:rPr>
        <w:t>K</w:t>
      </w:r>
      <w:r>
        <w:rPr>
          <w:szCs w:val="20"/>
        </w:rPr>
        <w:t>——为渗透系数，m/d</w:t>
      </w:r>
    </w:p>
    <w:p>
      <w:pPr>
        <w:tabs>
          <w:tab w:val="left" w:pos="377"/>
        </w:tabs>
        <w:ind w:firstLine="480" w:firstLineChars="200"/>
        <w:rPr>
          <w:i/>
          <w:szCs w:val="20"/>
        </w:rPr>
      </w:pPr>
      <w:r>
        <w:rPr>
          <w:i/>
          <w:szCs w:val="20"/>
        </w:rPr>
        <w:t>I</w:t>
      </w:r>
      <w:r>
        <w:rPr>
          <w:szCs w:val="20"/>
        </w:rPr>
        <w:t>——为水力坡度</w:t>
      </w:r>
    </w:p>
    <w:p>
      <w:pPr>
        <w:tabs>
          <w:tab w:val="left" w:pos="377"/>
        </w:tabs>
        <w:ind w:firstLine="480" w:firstLineChars="200"/>
        <w:rPr>
          <w:szCs w:val="20"/>
        </w:rPr>
      </w:pPr>
      <w:r>
        <w:rPr>
          <w:i/>
          <w:szCs w:val="20"/>
        </w:rPr>
        <w:t>D</w:t>
      </w:r>
      <w:r>
        <w:rPr>
          <w:i/>
          <w:szCs w:val="20"/>
          <w:vertAlign w:val="subscript"/>
        </w:rPr>
        <w:t>L</w:t>
      </w:r>
      <w:r>
        <w:rPr>
          <w:i/>
          <w:sz w:val="16"/>
          <w:szCs w:val="16"/>
        </w:rPr>
        <w:t>——</w:t>
      </w:r>
      <w:r>
        <w:rPr>
          <w:szCs w:val="20"/>
        </w:rPr>
        <w:t>为纵向弥散系数(m</w:t>
      </w:r>
      <w:r>
        <w:rPr>
          <w:szCs w:val="20"/>
          <w:vertAlign w:val="superscript"/>
        </w:rPr>
        <w:t>2</w:t>
      </w:r>
      <w:r>
        <w:rPr>
          <w:szCs w:val="20"/>
        </w:rPr>
        <w:t>/d)</w:t>
      </w:r>
    </w:p>
    <w:p>
      <w:pPr>
        <w:tabs>
          <w:tab w:val="left" w:pos="377"/>
        </w:tabs>
        <w:ind w:firstLine="480" w:firstLineChars="200"/>
        <w:jc w:val="center"/>
        <w:rPr>
          <w:szCs w:val="20"/>
        </w:rPr>
      </w:pPr>
      <w:r>
        <w:rPr>
          <w:szCs w:val="20"/>
        </w:rPr>
        <w:t>D</w:t>
      </w:r>
      <w:r>
        <w:rPr>
          <w:szCs w:val="20"/>
          <w:vertAlign w:val="subscript"/>
        </w:rPr>
        <w:t>L</w:t>
      </w:r>
      <w:r>
        <w:rPr>
          <w:szCs w:val="20"/>
        </w:rPr>
        <w:t xml:space="preserve"> = a</w:t>
      </w:r>
      <w:r>
        <w:rPr>
          <w:szCs w:val="20"/>
          <w:vertAlign w:val="subscript"/>
        </w:rPr>
        <w:t>L</w:t>
      </w:r>
      <w:r>
        <w:rPr>
          <w:szCs w:val="20"/>
        </w:rPr>
        <w:t>×u</w:t>
      </w:r>
    </w:p>
    <w:p>
      <w:pPr>
        <w:tabs>
          <w:tab w:val="left" w:pos="377"/>
        </w:tabs>
        <w:ind w:firstLine="480" w:firstLineChars="200"/>
        <w:rPr>
          <w:szCs w:val="20"/>
        </w:rPr>
      </w:pPr>
      <w:r>
        <w:rPr>
          <w:i/>
          <w:szCs w:val="20"/>
        </w:rPr>
        <w:t>a</w:t>
      </w:r>
      <w:r>
        <w:rPr>
          <w:i/>
          <w:szCs w:val="20"/>
          <w:vertAlign w:val="subscript"/>
        </w:rPr>
        <w:t>L</w:t>
      </w:r>
      <w:r>
        <w:rPr>
          <w:i/>
          <w:szCs w:val="20"/>
        </w:rPr>
        <w:t>——</w:t>
      </w:r>
      <w:r>
        <w:rPr>
          <w:szCs w:val="20"/>
        </w:rPr>
        <w:t>为纵向弥散度m</w:t>
      </w:r>
    </w:p>
    <w:p>
      <w:pPr>
        <w:tabs>
          <w:tab w:val="left" w:pos="377"/>
        </w:tabs>
        <w:snapToGrid w:val="0"/>
        <w:ind w:firstLine="480" w:firstLineChars="200"/>
        <w:rPr>
          <w:szCs w:val="20"/>
        </w:rPr>
      </w:pPr>
      <w:r>
        <w:rPr>
          <w:rFonts w:hint="eastAsia"/>
        </w:rPr>
        <w:t>（2）</w:t>
      </w:r>
      <w:r>
        <w:rPr>
          <w:szCs w:val="20"/>
        </w:rPr>
        <w:t>水文地质参数确定</w:t>
      </w:r>
    </w:p>
    <w:p>
      <w:pPr>
        <w:pStyle w:val="320"/>
        <w:snapToGrid w:val="0"/>
        <w:spacing w:before="0" w:line="360" w:lineRule="auto"/>
        <w:ind w:firstLine="480"/>
        <w:rPr>
          <w:rFonts w:ascii="Times New Roman" w:hAnsi="Times New Roman"/>
        </w:rPr>
      </w:pPr>
      <w:r>
        <w:rPr>
          <w:rFonts w:hint="eastAsia" w:ascii="Times New Roman" w:hAnsi="Times New Roman"/>
        </w:rPr>
        <w:t>①渗透系数</w:t>
      </w:r>
    </w:p>
    <w:p>
      <w:pPr>
        <w:pStyle w:val="320"/>
        <w:snapToGrid w:val="0"/>
        <w:spacing w:before="0" w:line="360" w:lineRule="auto"/>
        <w:ind w:firstLine="480"/>
        <w:rPr>
          <w:rFonts w:ascii="Times New Roman" w:hAnsi="Times New Roman"/>
        </w:rPr>
      </w:pPr>
      <w:r>
        <w:rPr>
          <w:rFonts w:hint="eastAsia" w:ascii="Times New Roman" w:hAnsi="Times New Roman"/>
        </w:rPr>
        <w:t>从区域水文地质来看，本项目区域出露地层岩性为泥石，属于粉土质砂层。 依据《环境影响评价技术导则-地下水环境》（HJ610-2016）表 B.1，粉土质砂渗 透系数为 0.5～1.0m/d，本次评价按照保守考虑，取渗透系数为 0.5m/d。</w:t>
      </w:r>
    </w:p>
    <w:p>
      <w:pPr>
        <w:pStyle w:val="320"/>
        <w:snapToGrid w:val="0"/>
        <w:spacing w:before="0" w:line="360" w:lineRule="auto"/>
        <w:ind w:firstLine="480"/>
        <w:rPr>
          <w:rFonts w:ascii="Times New Roman" w:hAnsi="Times New Roman"/>
        </w:rPr>
      </w:pPr>
      <w:r>
        <w:rPr>
          <w:rFonts w:hint="eastAsia" w:ascii="Times New Roman" w:hAnsi="Times New Roman"/>
        </w:rPr>
        <w:t>②水力坡度及水流速度</w:t>
      </w:r>
    </w:p>
    <w:p>
      <w:pPr>
        <w:pStyle w:val="320"/>
        <w:snapToGrid w:val="0"/>
        <w:spacing w:before="0" w:line="360" w:lineRule="auto"/>
        <w:ind w:firstLine="480"/>
        <w:rPr>
          <w:rFonts w:ascii="Times New Roman" w:hAnsi="Times New Roman"/>
        </w:rPr>
      </w:pPr>
      <w:r>
        <w:rPr>
          <w:rFonts w:hint="eastAsia" w:ascii="Times New Roman" w:hAnsi="Times New Roman"/>
        </w:rPr>
        <w:t>本区域地下水径流方向为由北向南向的地表水补充，结合地下水井的水位调查情况，通过两口水井的水位高差可计算出两口水井之间的水力坡度。计算结果见表7</w:t>
      </w:r>
      <w:r>
        <w:rPr>
          <w:rFonts w:ascii="Times New Roman" w:hAnsi="Times New Roman"/>
        </w:rPr>
        <w:t>.2</w:t>
      </w:r>
      <w:r>
        <w:rPr>
          <w:rFonts w:hint="eastAsia" w:ascii="Times New Roman" w:hAnsi="Times New Roman"/>
        </w:rPr>
        <w:t>-</w:t>
      </w:r>
      <w:r>
        <w:rPr>
          <w:rFonts w:ascii="Times New Roman" w:hAnsi="Times New Roman"/>
        </w:rPr>
        <w:t>15</w:t>
      </w:r>
      <w:r>
        <w:rPr>
          <w:rFonts w:hint="eastAsia" w:ascii="Times New Roman" w:hAnsi="Times New Roman"/>
        </w:rPr>
        <w:t>。</w:t>
      </w:r>
    </w:p>
    <w:p>
      <w:pPr>
        <w:widowControl/>
        <w:spacing w:line="240" w:lineRule="auto"/>
        <w:jc w:val="center"/>
        <w:rPr>
          <w:rFonts w:eastAsia="黑体"/>
        </w:rPr>
      </w:pPr>
      <w:r>
        <w:rPr>
          <w:rFonts w:hint="eastAsia" w:eastAsia="黑体"/>
        </w:rPr>
        <w:t>表 7.2-</w:t>
      </w:r>
      <w:r>
        <w:rPr>
          <w:rFonts w:eastAsia="黑体"/>
        </w:rPr>
        <w:t>15</w:t>
      </w:r>
      <w:r>
        <w:rPr>
          <w:rFonts w:hint="eastAsia" w:eastAsia="黑体"/>
        </w:rPr>
        <w:t xml:space="preserve"> 水力坡度计算结果</w:t>
      </w:r>
    </w:p>
    <w:tbl>
      <w:tblPr>
        <w:tblStyle w:val="88"/>
        <w:tblW w:w="878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590"/>
        <w:gridCol w:w="2870"/>
        <w:gridCol w:w="1972"/>
        <w:gridCol w:w="235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590" w:type="dxa"/>
            <w:tcBorders>
              <w:tl2br w:val="nil"/>
              <w:tr2bl w:val="nil"/>
            </w:tcBorders>
            <w:vAlign w:val="center"/>
          </w:tcPr>
          <w:p>
            <w:pPr>
              <w:tabs>
                <w:tab w:val="left" w:pos="377"/>
              </w:tabs>
              <w:spacing w:line="0" w:lineRule="atLeast"/>
              <w:jc w:val="center"/>
              <w:rPr>
                <w:b/>
                <w:sz w:val="21"/>
                <w:szCs w:val="21"/>
              </w:rPr>
            </w:pPr>
            <w:r>
              <w:rPr>
                <w:b/>
                <w:sz w:val="21"/>
                <w:szCs w:val="21"/>
              </w:rPr>
              <w:t>监测水井编号</w:t>
            </w:r>
          </w:p>
        </w:tc>
        <w:tc>
          <w:tcPr>
            <w:tcW w:w="2870" w:type="dxa"/>
            <w:tcBorders>
              <w:tl2br w:val="nil"/>
              <w:tr2bl w:val="nil"/>
            </w:tcBorders>
            <w:vAlign w:val="center"/>
          </w:tcPr>
          <w:p>
            <w:pPr>
              <w:tabs>
                <w:tab w:val="left" w:pos="377"/>
              </w:tabs>
              <w:spacing w:line="0" w:lineRule="atLeast"/>
              <w:jc w:val="center"/>
              <w:rPr>
                <w:b/>
                <w:sz w:val="21"/>
                <w:szCs w:val="21"/>
              </w:rPr>
            </w:pPr>
            <w:r>
              <w:rPr>
                <w:b/>
                <w:sz w:val="21"/>
                <w:szCs w:val="21"/>
              </w:rPr>
              <w:t>两口井地下水水位差（m）</w:t>
            </w:r>
          </w:p>
        </w:tc>
        <w:tc>
          <w:tcPr>
            <w:tcW w:w="1972" w:type="dxa"/>
            <w:tcBorders>
              <w:tl2br w:val="nil"/>
              <w:tr2bl w:val="nil"/>
            </w:tcBorders>
            <w:vAlign w:val="center"/>
          </w:tcPr>
          <w:p>
            <w:pPr>
              <w:tabs>
                <w:tab w:val="left" w:pos="377"/>
              </w:tabs>
              <w:spacing w:line="0" w:lineRule="atLeast"/>
              <w:jc w:val="center"/>
              <w:rPr>
                <w:b/>
                <w:sz w:val="21"/>
                <w:szCs w:val="21"/>
              </w:rPr>
            </w:pPr>
            <w:r>
              <w:rPr>
                <w:b/>
                <w:sz w:val="21"/>
                <w:szCs w:val="21"/>
              </w:rPr>
              <w:t>两口水井间距(m)</w:t>
            </w:r>
          </w:p>
        </w:tc>
        <w:tc>
          <w:tcPr>
            <w:tcW w:w="2355" w:type="dxa"/>
            <w:tcBorders>
              <w:tl2br w:val="nil"/>
              <w:tr2bl w:val="nil"/>
            </w:tcBorders>
            <w:vAlign w:val="center"/>
          </w:tcPr>
          <w:p>
            <w:pPr>
              <w:tabs>
                <w:tab w:val="left" w:pos="377"/>
              </w:tabs>
              <w:spacing w:line="0" w:lineRule="atLeast"/>
              <w:jc w:val="center"/>
              <w:rPr>
                <w:b/>
                <w:sz w:val="21"/>
                <w:szCs w:val="21"/>
              </w:rPr>
            </w:pPr>
            <w:r>
              <w:rPr>
                <w:b/>
                <w:sz w:val="21"/>
                <w:szCs w:val="21"/>
              </w:rPr>
              <w:t>两口水井的水力坡度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590" w:type="dxa"/>
            <w:tcBorders>
              <w:tl2br w:val="nil"/>
              <w:tr2bl w:val="nil"/>
            </w:tcBorders>
            <w:vAlign w:val="center"/>
          </w:tcPr>
          <w:p>
            <w:pPr>
              <w:tabs>
                <w:tab w:val="left" w:pos="377"/>
              </w:tabs>
              <w:spacing w:line="0" w:lineRule="atLeast"/>
              <w:jc w:val="center"/>
              <w:rPr>
                <w:sz w:val="21"/>
                <w:szCs w:val="21"/>
              </w:rPr>
            </w:pPr>
            <w:r>
              <w:rPr>
                <w:sz w:val="21"/>
                <w:szCs w:val="21"/>
              </w:rPr>
              <w:t>1#</w:t>
            </w:r>
          </w:p>
        </w:tc>
        <w:tc>
          <w:tcPr>
            <w:tcW w:w="2870" w:type="dxa"/>
            <w:vMerge w:val="restart"/>
            <w:tcBorders>
              <w:tl2br w:val="nil"/>
              <w:tr2bl w:val="nil"/>
            </w:tcBorders>
            <w:vAlign w:val="center"/>
          </w:tcPr>
          <w:p>
            <w:pPr>
              <w:tabs>
                <w:tab w:val="left" w:pos="377"/>
              </w:tabs>
              <w:spacing w:line="0" w:lineRule="atLeast"/>
              <w:jc w:val="center"/>
              <w:rPr>
                <w:sz w:val="21"/>
                <w:szCs w:val="21"/>
              </w:rPr>
            </w:pPr>
            <w:r>
              <w:rPr>
                <w:sz w:val="21"/>
                <w:szCs w:val="21"/>
              </w:rPr>
              <w:t>0.5</w:t>
            </w:r>
          </w:p>
        </w:tc>
        <w:tc>
          <w:tcPr>
            <w:tcW w:w="1972" w:type="dxa"/>
            <w:vMerge w:val="restart"/>
            <w:tcBorders>
              <w:tl2br w:val="nil"/>
              <w:tr2bl w:val="nil"/>
            </w:tcBorders>
            <w:vAlign w:val="center"/>
          </w:tcPr>
          <w:p>
            <w:pPr>
              <w:tabs>
                <w:tab w:val="left" w:pos="377"/>
              </w:tabs>
              <w:spacing w:line="0" w:lineRule="atLeast"/>
              <w:jc w:val="center"/>
              <w:rPr>
                <w:sz w:val="21"/>
                <w:szCs w:val="21"/>
              </w:rPr>
            </w:pPr>
            <w:r>
              <w:rPr>
                <w:sz w:val="21"/>
                <w:szCs w:val="21"/>
              </w:rPr>
              <w:t>600</w:t>
            </w:r>
          </w:p>
        </w:tc>
        <w:tc>
          <w:tcPr>
            <w:tcW w:w="2355" w:type="dxa"/>
            <w:vMerge w:val="restart"/>
            <w:tcBorders>
              <w:tl2br w:val="nil"/>
              <w:tr2bl w:val="nil"/>
            </w:tcBorders>
            <w:vAlign w:val="center"/>
          </w:tcPr>
          <w:p>
            <w:pPr>
              <w:tabs>
                <w:tab w:val="left" w:pos="377"/>
              </w:tabs>
              <w:spacing w:line="0" w:lineRule="atLeast"/>
              <w:jc w:val="center"/>
              <w:rPr>
                <w:sz w:val="21"/>
                <w:szCs w:val="21"/>
              </w:rPr>
            </w:pPr>
            <w:r>
              <w:rPr>
                <w:sz w:val="21"/>
                <w:szCs w:val="21"/>
              </w:rPr>
              <w:t>0.0008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590" w:type="dxa"/>
            <w:tcBorders>
              <w:tl2br w:val="nil"/>
              <w:tr2bl w:val="nil"/>
            </w:tcBorders>
            <w:vAlign w:val="center"/>
          </w:tcPr>
          <w:p>
            <w:pPr>
              <w:tabs>
                <w:tab w:val="left" w:pos="377"/>
              </w:tabs>
              <w:spacing w:line="0" w:lineRule="atLeast"/>
              <w:jc w:val="center"/>
              <w:rPr>
                <w:sz w:val="21"/>
                <w:szCs w:val="21"/>
              </w:rPr>
            </w:pPr>
            <w:r>
              <w:rPr>
                <w:sz w:val="21"/>
                <w:szCs w:val="21"/>
              </w:rPr>
              <w:t>2#</w:t>
            </w:r>
          </w:p>
        </w:tc>
        <w:tc>
          <w:tcPr>
            <w:tcW w:w="2870" w:type="dxa"/>
            <w:vMerge w:val="continue"/>
            <w:tcBorders>
              <w:tl2br w:val="nil"/>
              <w:tr2bl w:val="nil"/>
            </w:tcBorders>
            <w:vAlign w:val="center"/>
          </w:tcPr>
          <w:p>
            <w:pPr>
              <w:tabs>
                <w:tab w:val="left" w:pos="377"/>
              </w:tabs>
              <w:spacing w:line="0" w:lineRule="atLeast"/>
              <w:jc w:val="center"/>
              <w:rPr>
                <w:sz w:val="21"/>
                <w:szCs w:val="21"/>
              </w:rPr>
            </w:pPr>
          </w:p>
        </w:tc>
        <w:tc>
          <w:tcPr>
            <w:tcW w:w="1972" w:type="dxa"/>
            <w:vMerge w:val="continue"/>
            <w:tcBorders>
              <w:tl2br w:val="nil"/>
              <w:tr2bl w:val="nil"/>
            </w:tcBorders>
            <w:vAlign w:val="center"/>
          </w:tcPr>
          <w:p>
            <w:pPr>
              <w:tabs>
                <w:tab w:val="left" w:pos="377"/>
              </w:tabs>
              <w:rPr>
                <w:sz w:val="21"/>
                <w:szCs w:val="21"/>
                <w:lang w:val="zh-CN"/>
              </w:rPr>
            </w:pPr>
          </w:p>
        </w:tc>
        <w:tc>
          <w:tcPr>
            <w:tcW w:w="2355" w:type="dxa"/>
            <w:vMerge w:val="continue"/>
            <w:tcBorders>
              <w:tl2br w:val="nil"/>
              <w:tr2bl w:val="nil"/>
            </w:tcBorders>
            <w:vAlign w:val="center"/>
          </w:tcPr>
          <w:p>
            <w:pPr>
              <w:tabs>
                <w:tab w:val="left" w:pos="377"/>
              </w:tabs>
              <w:rPr>
                <w:sz w:val="21"/>
                <w:szCs w:val="21"/>
                <w:lang w:val="zh-CN"/>
              </w:rPr>
            </w:pPr>
          </w:p>
        </w:tc>
      </w:tr>
    </w:tbl>
    <w:p>
      <w:pPr>
        <w:tabs>
          <w:tab w:val="left" w:pos="377"/>
        </w:tabs>
        <w:ind w:firstLine="480" w:firstLineChars="200"/>
        <w:rPr>
          <w:szCs w:val="20"/>
        </w:rPr>
      </w:pPr>
    </w:p>
    <w:p>
      <w:pPr>
        <w:tabs>
          <w:tab w:val="left" w:pos="377"/>
        </w:tabs>
        <w:ind w:firstLine="480" w:firstLineChars="200"/>
        <w:rPr>
          <w:szCs w:val="20"/>
        </w:rPr>
      </w:pPr>
      <w:r>
        <w:rPr>
          <w:szCs w:val="20"/>
        </w:rPr>
        <w:t>由计算公式可知，水流速度=渗透系数×水力坡度=0.5×0.0008=4.2×10</w:t>
      </w:r>
      <w:r>
        <w:rPr>
          <w:szCs w:val="20"/>
          <w:vertAlign w:val="superscript"/>
        </w:rPr>
        <w:t>-4</w:t>
      </w:r>
      <w:r>
        <w:rPr>
          <w:szCs w:val="20"/>
        </w:rPr>
        <w:t xml:space="preserve"> m/d。</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3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弥散度及弥散系数</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弥散度是一个和试验规模有关的参数，即弥散度随着试验尺度的增大而增大。D. S. Makuch（2005）综合了其他人的研究成果，对不同岩性和不同尺度条件下介质的弥散度大小进行了统计，获得了污染物在不同岩性中迁移的纵向弥散度，并存在尺度效应现象，松散沉积物纵向弥散度与研究区尺度关系见下图（数据来源于：Dirk Schulze-Makuch. Longitudinal Dispersivity Data and Implicationsfor Scaling Behavior[J]. Ground water.2005，43（3）：450）。</w:t>
      </w:r>
    </w:p>
    <w:p>
      <w:pPr>
        <w:pStyle w:val="2"/>
        <w:ind w:firstLine="0" w:firstLineChars="0"/>
        <w:rPr>
          <w:rFonts w:hint="default"/>
        </w:rPr>
      </w:pPr>
      <w:r>
        <w:drawing>
          <wp:inline distT="0" distB="0" distL="0" distR="0">
            <wp:extent cx="5196840" cy="2560320"/>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8"/>
                    <a:stretch>
                      <a:fillRect/>
                    </a:stretch>
                  </pic:blipFill>
                  <pic:spPr>
                    <a:xfrm>
                      <a:off x="0" y="0"/>
                      <a:ext cx="5197290" cy="2560542"/>
                    </a:xfrm>
                    <a:prstGeom prst="rect">
                      <a:avLst/>
                    </a:prstGeom>
                  </pic:spPr>
                </pic:pic>
              </a:graphicData>
            </a:graphic>
          </wp:inline>
        </w:drawing>
      </w:r>
    </w:p>
    <w:p>
      <w:pPr>
        <w:pStyle w:val="2"/>
        <w:ind w:firstLine="0" w:firstLineChars="0"/>
        <w:jc w:val="center"/>
        <w:rPr>
          <w:rFonts w:hint="default" w:eastAsia="黑体"/>
        </w:rPr>
      </w:pPr>
      <w:r>
        <w:rPr>
          <w:rFonts w:hint="default" w:eastAsia="黑体"/>
        </w:rPr>
        <w:t>图 7</w:t>
      </w:r>
      <w:r>
        <w:rPr>
          <w:rFonts w:eastAsia="黑体"/>
        </w:rPr>
        <w:t>.2</w:t>
      </w:r>
      <w:r>
        <w:rPr>
          <w:rFonts w:hint="default" w:eastAsia="黑体"/>
        </w:rPr>
        <w:t>-1 松散沉积物纵向弥散度与研究区尺度关系</w:t>
      </w:r>
    </w:p>
    <w:p>
      <w:pPr>
        <w:pStyle w:val="2"/>
        <w:ind w:firstLine="480"/>
        <w:rPr>
          <w:rFonts w:hint="default"/>
        </w:rPr>
      </w:pPr>
      <w:r>
        <w:t>根据区域岩土体透水性、地层岩性、颗粒大小、颗粒均匀度和排列情况类比， 本次评价粉土质砂质层的纵向弥散度 aL取 50m。 由 计 算 公 式 可 知 ， 纵 向 弥 散 系 数 = 纵 向 弥 散 度 × 水 流 速 度 =50×4.2×10</w:t>
      </w:r>
      <w:r>
        <w:rPr>
          <w:vertAlign w:val="superscript"/>
        </w:rPr>
        <w:t>-4</w:t>
      </w:r>
      <w:r>
        <w:t>=0.02m</w:t>
      </w:r>
      <w:r>
        <w:rPr>
          <w:vertAlign w:val="superscript"/>
        </w:rPr>
        <w:t>2</w:t>
      </w:r>
      <w:r>
        <w:t>/d。</w:t>
      </w:r>
    </w:p>
    <w:p>
      <w:pPr>
        <w:tabs>
          <w:tab w:val="left" w:pos="1535"/>
        </w:tabs>
        <w:ind w:firstLine="48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4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计算参数取值统计</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计算间隔距离为1m，计算时渗透系数、水力坡度、水流速度、纵向弥散度、纵向弥散系数及污染源强见表</w:t>
      </w:r>
      <w:r>
        <w:rPr>
          <w:color w:val="000000" w:themeColor="text1"/>
          <w14:textFill>
            <w14:solidFill>
              <w14:schemeClr w14:val="tx1"/>
            </w14:solidFill>
          </w14:textFill>
        </w:rPr>
        <w:t>7.2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pPr>
        <w:snapToGrid w:val="0"/>
        <w:spacing w:line="240" w:lineRule="auto"/>
        <w:jc w:val="center"/>
        <w:rPr>
          <w:rFonts w:eastAsia="黑体"/>
          <w:bCs/>
        </w:rPr>
      </w:pPr>
      <w:r>
        <w:rPr>
          <w:rFonts w:hint="eastAsia" w:eastAsia="黑体"/>
          <w:bCs/>
        </w:rPr>
        <w:t>表</w:t>
      </w:r>
      <w:r>
        <w:rPr>
          <w:rFonts w:eastAsia="黑体"/>
          <w:bCs/>
        </w:rPr>
        <w:t>7.2</w:t>
      </w:r>
      <w:r>
        <w:rPr>
          <w:rFonts w:hint="eastAsia" w:eastAsia="黑体"/>
          <w:bCs/>
        </w:rPr>
        <w:t>-</w:t>
      </w:r>
      <w:r>
        <w:rPr>
          <w:rFonts w:eastAsia="黑体"/>
          <w:bCs/>
        </w:rPr>
        <w:t>16</w:t>
      </w:r>
      <w:r>
        <w:rPr>
          <w:rFonts w:hint="eastAsia" w:eastAsia="黑体"/>
          <w:bCs/>
        </w:rPr>
        <w:t xml:space="preserve">  计算参数统计表</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788"/>
        <w:gridCol w:w="1781"/>
        <w:gridCol w:w="1795"/>
        <w:gridCol w:w="1788"/>
        <w:gridCol w:w="179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1661" w:type="dxa"/>
            <w:vAlign w:val="center"/>
          </w:tcPr>
          <w:p>
            <w:pPr>
              <w:pStyle w:val="3085"/>
              <w:spacing w:before="0" w:after="0"/>
              <w:jc w:val="both"/>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渗透参数K（</w:t>
            </w:r>
            <w:r>
              <w:rPr>
                <w:color w:val="000000" w:themeColor="text1"/>
                <w:kern w:val="0"/>
                <w:szCs w:val="21"/>
                <w14:textFill>
                  <w14:solidFill>
                    <w14:schemeClr w14:val="tx1"/>
                  </w14:solidFill>
                </w14:textFill>
              </w:rPr>
              <w:t>m/</w:t>
            </w:r>
            <w:r>
              <w:rPr>
                <w:rFonts w:hint="eastAsia"/>
                <w:color w:val="000000" w:themeColor="text1"/>
                <w:kern w:val="0"/>
                <w:szCs w:val="21"/>
                <w14:textFill>
                  <w14:solidFill>
                    <w14:schemeClr w14:val="tx1"/>
                  </w14:solidFill>
                </w14:textFill>
              </w:rPr>
              <w:t>d）</w:t>
            </w:r>
          </w:p>
        </w:tc>
        <w:tc>
          <w:tcPr>
            <w:tcW w:w="1655" w:type="dxa"/>
            <w:vAlign w:val="center"/>
          </w:tcPr>
          <w:p>
            <w:pPr>
              <w:pStyle w:val="3085"/>
              <w:spacing w:before="0" w:after="0"/>
              <w:ind w:firstLine="48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水力坡度I</w:t>
            </w:r>
          </w:p>
        </w:tc>
        <w:tc>
          <w:tcPr>
            <w:tcW w:w="1668" w:type="dxa"/>
            <w:vAlign w:val="center"/>
          </w:tcPr>
          <w:p>
            <w:pPr>
              <w:pStyle w:val="3085"/>
              <w:spacing w:before="0" w:after="0"/>
              <w:jc w:val="both"/>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水流速度u（m/d）</w:t>
            </w:r>
          </w:p>
        </w:tc>
        <w:tc>
          <w:tcPr>
            <w:tcW w:w="1661" w:type="dxa"/>
            <w:vAlign w:val="center"/>
          </w:tcPr>
          <w:p>
            <w:pPr>
              <w:pStyle w:val="3085"/>
              <w:spacing w:before="0" w:after="0"/>
              <w:jc w:val="both"/>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纵向弥散系数（m</w:t>
            </w:r>
            <w:r>
              <w:rPr>
                <w:rFonts w:hint="eastAsia"/>
                <w:color w:val="000000" w:themeColor="text1"/>
                <w:kern w:val="0"/>
                <w:szCs w:val="21"/>
                <w:vertAlign w:val="superscript"/>
                <w14:textFill>
                  <w14:solidFill>
                    <w14:schemeClr w14:val="tx1"/>
                  </w14:solidFill>
                </w14:textFill>
              </w:rPr>
              <w:t>2</w:t>
            </w:r>
            <w:r>
              <w:rPr>
                <w:rFonts w:hint="eastAsia"/>
                <w:color w:val="000000" w:themeColor="text1"/>
                <w:kern w:val="0"/>
                <w:szCs w:val="21"/>
                <w14:textFill>
                  <w14:solidFill>
                    <w14:schemeClr w14:val="tx1"/>
                  </w14:solidFill>
                </w14:textFill>
              </w:rPr>
              <w:t>/d）</w:t>
            </w:r>
          </w:p>
        </w:tc>
        <w:tc>
          <w:tcPr>
            <w:tcW w:w="1668" w:type="dxa"/>
            <w:vAlign w:val="center"/>
          </w:tcPr>
          <w:p>
            <w:pPr>
              <w:pStyle w:val="3085"/>
              <w:spacing w:before="0" w:after="0"/>
              <w:jc w:val="both"/>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横向弥散系数（m</w:t>
            </w:r>
            <w:r>
              <w:rPr>
                <w:rFonts w:hint="eastAsia"/>
                <w:color w:val="000000" w:themeColor="text1"/>
                <w:kern w:val="0"/>
                <w:szCs w:val="21"/>
                <w:vertAlign w:val="superscript"/>
                <w14:textFill>
                  <w14:solidFill>
                    <w14:schemeClr w14:val="tx1"/>
                  </w14:solidFill>
                </w14:textFill>
              </w:rPr>
              <w:t>2</w:t>
            </w:r>
            <w:r>
              <w:rPr>
                <w:rFonts w:hint="eastAsia"/>
                <w:color w:val="000000" w:themeColor="text1"/>
                <w:kern w:val="0"/>
                <w:szCs w:val="21"/>
                <w14:textFill>
                  <w14:solidFill>
                    <w14:schemeClr w14:val="tx1"/>
                  </w14:solidFill>
                </w14:textFill>
              </w:rPr>
              <w:t>/d）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 w:hRule="atLeast"/>
          <w:jc w:val="center"/>
        </w:trPr>
        <w:tc>
          <w:tcPr>
            <w:tcW w:w="1661" w:type="dxa"/>
            <w:vAlign w:val="center"/>
          </w:tcPr>
          <w:p>
            <w:pPr>
              <w:pStyle w:val="3085"/>
              <w:spacing w:before="0" w:after="0"/>
              <w:ind w:firstLine="480"/>
              <w:rPr>
                <w:color w:val="000000" w:themeColor="text1"/>
                <w:kern w:val="0"/>
                <w:szCs w:val="21"/>
                <w14:textFill>
                  <w14:solidFill>
                    <w14:schemeClr w14:val="tx1"/>
                  </w14:solidFill>
                </w14:textFill>
              </w:rPr>
            </w:pPr>
            <w:r>
              <w:rPr>
                <w:kern w:val="0"/>
                <w:szCs w:val="21"/>
              </w:rPr>
              <w:t>0.5</w:t>
            </w:r>
          </w:p>
        </w:tc>
        <w:tc>
          <w:tcPr>
            <w:tcW w:w="1655" w:type="dxa"/>
            <w:vAlign w:val="center"/>
          </w:tcPr>
          <w:p>
            <w:pPr>
              <w:pStyle w:val="3085"/>
              <w:spacing w:before="0" w:after="0"/>
              <w:ind w:firstLine="480"/>
              <w:rPr>
                <w:color w:val="000000" w:themeColor="text1"/>
                <w:kern w:val="0"/>
                <w:szCs w:val="21"/>
                <w14:textFill>
                  <w14:solidFill>
                    <w14:schemeClr w14:val="tx1"/>
                  </w14:solidFill>
                </w14:textFill>
              </w:rPr>
            </w:pPr>
            <w:r>
              <w:rPr>
                <w:kern w:val="0"/>
                <w:szCs w:val="21"/>
              </w:rPr>
              <w:t>0.0008</w:t>
            </w:r>
          </w:p>
        </w:tc>
        <w:tc>
          <w:tcPr>
            <w:tcW w:w="1668" w:type="dxa"/>
            <w:vAlign w:val="center"/>
          </w:tcPr>
          <w:p>
            <w:pPr>
              <w:pStyle w:val="3085"/>
              <w:spacing w:before="0" w:after="0"/>
              <w:ind w:firstLine="480"/>
              <w:rPr>
                <w:color w:val="000000" w:themeColor="text1"/>
                <w:kern w:val="0"/>
                <w:szCs w:val="21"/>
                <w14:textFill>
                  <w14:solidFill>
                    <w14:schemeClr w14:val="tx1"/>
                  </w14:solidFill>
                </w14:textFill>
              </w:rPr>
            </w:pPr>
            <w:r>
              <w:rPr>
                <w:kern w:val="0"/>
                <w:szCs w:val="21"/>
              </w:rPr>
              <w:t>4.2×10</w:t>
            </w:r>
            <w:r>
              <w:rPr>
                <w:kern w:val="0"/>
                <w:szCs w:val="21"/>
                <w:vertAlign w:val="superscript"/>
              </w:rPr>
              <w:t>-4</w:t>
            </w:r>
            <w:r>
              <w:rPr>
                <w:kern w:val="0"/>
              </w:rPr>
              <w:t xml:space="preserve"> </w:t>
            </w:r>
          </w:p>
        </w:tc>
        <w:tc>
          <w:tcPr>
            <w:tcW w:w="1661" w:type="dxa"/>
            <w:vAlign w:val="center"/>
          </w:tcPr>
          <w:p>
            <w:pPr>
              <w:pStyle w:val="3085"/>
              <w:spacing w:before="0" w:after="0"/>
              <w:ind w:firstLine="480"/>
              <w:rPr>
                <w:color w:val="000000" w:themeColor="text1"/>
                <w:kern w:val="0"/>
                <w:szCs w:val="21"/>
                <w14:textFill>
                  <w14:solidFill>
                    <w14:schemeClr w14:val="tx1"/>
                  </w14:solidFill>
                </w14:textFill>
              </w:rPr>
            </w:pPr>
            <w:r>
              <w:rPr>
                <w:kern w:val="0"/>
                <w:szCs w:val="21"/>
              </w:rPr>
              <w:t>50</w:t>
            </w:r>
          </w:p>
        </w:tc>
        <w:tc>
          <w:tcPr>
            <w:tcW w:w="1668" w:type="dxa"/>
            <w:vAlign w:val="center"/>
          </w:tcPr>
          <w:p>
            <w:pPr>
              <w:pStyle w:val="3085"/>
              <w:spacing w:before="0" w:after="0"/>
              <w:ind w:firstLine="480"/>
              <w:rPr>
                <w:color w:val="000000" w:themeColor="text1"/>
                <w:kern w:val="0"/>
                <w:szCs w:val="21"/>
                <w14:textFill>
                  <w14:solidFill>
                    <w14:schemeClr w14:val="tx1"/>
                  </w14:solidFill>
                </w14:textFill>
              </w:rPr>
            </w:pPr>
            <w:r>
              <w:rPr>
                <w:kern w:val="0"/>
                <w:szCs w:val="21"/>
              </w:rPr>
              <w:t>0.02</w:t>
            </w:r>
          </w:p>
        </w:tc>
      </w:tr>
    </w:tbl>
    <w:p>
      <w:pPr>
        <w:pStyle w:val="3085"/>
        <w:ind w:firstLine="480"/>
        <w:rPr>
          <w:color w:val="00B050"/>
        </w:rPr>
      </w:pP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依据污染源分析和地下水现状监测情况，各污染物的源强和背景浓度取值见表</w:t>
      </w:r>
      <w:r>
        <w:rPr>
          <w:color w:val="000000" w:themeColor="text1"/>
          <w14:textFill>
            <w14:solidFill>
              <w14:schemeClr w14:val="tx1"/>
            </w14:solidFill>
          </w14:textFill>
        </w:rPr>
        <w:t>7.2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17</w:t>
      </w:r>
      <w:r>
        <w:rPr>
          <w:rFonts w:hint="eastAsia"/>
          <w:color w:val="000000" w:themeColor="text1"/>
          <w14:textFill>
            <w14:solidFill>
              <w14:schemeClr w14:val="tx1"/>
            </w14:solidFill>
          </w14:textFill>
        </w:rPr>
        <w:t>。</w:t>
      </w:r>
    </w:p>
    <w:p>
      <w:pPr>
        <w:snapToGrid w:val="0"/>
        <w:spacing w:line="240" w:lineRule="auto"/>
        <w:jc w:val="center"/>
        <w:rPr>
          <w:rFonts w:eastAsia="黑体"/>
          <w:bCs/>
        </w:rPr>
      </w:pPr>
      <w:r>
        <w:rPr>
          <w:rFonts w:hint="eastAsia" w:eastAsia="黑体"/>
          <w:bCs/>
        </w:rPr>
        <w:t>表</w:t>
      </w:r>
      <w:r>
        <w:rPr>
          <w:rFonts w:eastAsia="黑体"/>
          <w:bCs/>
        </w:rPr>
        <w:t>7.2</w:t>
      </w:r>
      <w:r>
        <w:rPr>
          <w:rFonts w:hint="eastAsia" w:eastAsia="黑体"/>
          <w:bCs/>
        </w:rPr>
        <w:t>-</w:t>
      </w:r>
      <w:r>
        <w:rPr>
          <w:rFonts w:eastAsia="黑体"/>
          <w:bCs/>
        </w:rPr>
        <w:t>17</w:t>
      </w:r>
      <w:r>
        <w:rPr>
          <w:rFonts w:hint="eastAsia" w:eastAsia="黑体"/>
          <w:bCs/>
        </w:rPr>
        <w:t xml:space="preserve">  地下水评价因子及源强浓度</w:t>
      </w:r>
    </w:p>
    <w:tbl>
      <w:tblPr>
        <w:tblStyle w:val="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9"/>
        <w:gridCol w:w="2990"/>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8" w:type="dxa"/>
            <w:tcBorders>
              <w:top w:val="single" w:color="auto" w:sz="12" w:space="0"/>
              <w:left w:val="nil"/>
              <w:bottom w:val="single" w:color="auto" w:sz="6" w:space="0"/>
              <w:right w:val="single" w:color="auto" w:sz="6" w:space="0"/>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评价因子</w:t>
            </w:r>
          </w:p>
        </w:tc>
        <w:tc>
          <w:tcPr>
            <w:tcW w:w="2778" w:type="dxa"/>
            <w:tcBorders>
              <w:top w:val="single" w:color="auto" w:sz="12" w:space="0"/>
              <w:left w:val="single" w:color="auto" w:sz="6" w:space="0"/>
              <w:bottom w:val="single" w:color="auto" w:sz="6" w:space="0"/>
              <w:right w:val="single" w:color="auto" w:sz="6" w:space="0"/>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COD</w:t>
            </w:r>
            <w:r>
              <w:rPr>
                <w:rFonts w:hint="eastAsia"/>
                <w:color w:val="000000" w:themeColor="text1"/>
                <w:kern w:val="0"/>
                <w:vertAlign w:val="subscript"/>
                <w14:textFill>
                  <w14:solidFill>
                    <w14:schemeClr w14:val="tx1"/>
                  </w14:solidFill>
                </w14:textFill>
              </w:rPr>
              <w:t>Mn</w:t>
            </w:r>
          </w:p>
        </w:tc>
        <w:tc>
          <w:tcPr>
            <w:tcW w:w="2767" w:type="dxa"/>
            <w:tcBorders>
              <w:top w:val="single" w:color="auto" w:sz="12" w:space="0"/>
              <w:left w:val="single" w:color="auto" w:sz="6" w:space="0"/>
              <w:bottom w:val="single" w:color="auto" w:sz="6" w:space="0"/>
              <w:right w:val="nil"/>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氨氮（以NH</w:t>
            </w:r>
            <w:r>
              <w:rPr>
                <w:rFonts w:hint="eastAsia"/>
                <w:color w:val="000000" w:themeColor="text1"/>
                <w:kern w:val="0"/>
                <w:vertAlign w:val="subscript"/>
                <w14:textFill>
                  <w14:solidFill>
                    <w14:schemeClr w14:val="tx1"/>
                  </w14:solidFill>
                </w14:textFill>
              </w:rPr>
              <w:t>4</w:t>
            </w:r>
            <w:r>
              <w:rPr>
                <w:rFonts w:hint="eastAsia"/>
                <w:color w:val="000000" w:themeColor="text1"/>
                <w:kern w:val="0"/>
                <w14:textFill>
                  <w14:solidFill>
                    <w14:schemeClr w14:val="tx1"/>
                  </w14:solidFill>
                </w14:textFill>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8" w:type="dxa"/>
            <w:tcBorders>
              <w:top w:val="single" w:color="auto" w:sz="6" w:space="0"/>
              <w:left w:val="nil"/>
              <w:bottom w:val="single" w:color="auto" w:sz="6" w:space="0"/>
              <w:right w:val="single" w:color="auto" w:sz="6" w:space="0"/>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源强浓度（mg/L）</w:t>
            </w:r>
          </w:p>
        </w:tc>
        <w:tc>
          <w:tcPr>
            <w:tcW w:w="2778" w:type="dxa"/>
            <w:tcBorders>
              <w:top w:val="single" w:color="auto" w:sz="6" w:space="0"/>
              <w:left w:val="single" w:color="auto" w:sz="6" w:space="0"/>
              <w:bottom w:val="single" w:color="auto" w:sz="6" w:space="0"/>
              <w:right w:val="single" w:color="auto" w:sz="6" w:space="0"/>
            </w:tcBorders>
          </w:tcPr>
          <w:p>
            <w:pPr>
              <w:pStyle w:val="3085"/>
              <w:spacing w:before="0" w:after="0"/>
              <w:ind w:firstLine="482"/>
              <w:rPr>
                <w:kern w:val="0"/>
              </w:rPr>
            </w:pPr>
            <w:r>
              <w:rPr>
                <w:kern w:val="0"/>
              </w:rPr>
              <w:t>2640</w:t>
            </w:r>
          </w:p>
        </w:tc>
        <w:tc>
          <w:tcPr>
            <w:tcW w:w="2767" w:type="dxa"/>
            <w:tcBorders>
              <w:top w:val="single" w:color="auto" w:sz="6" w:space="0"/>
              <w:left w:val="single" w:color="auto" w:sz="6" w:space="0"/>
              <w:bottom w:val="single" w:color="auto" w:sz="6" w:space="0"/>
              <w:right w:val="nil"/>
            </w:tcBorders>
          </w:tcPr>
          <w:p>
            <w:pPr>
              <w:pStyle w:val="3085"/>
              <w:spacing w:before="0" w:after="0"/>
              <w:ind w:firstLine="482"/>
              <w:rPr>
                <w:kern w:val="0"/>
              </w:rPr>
            </w:pPr>
            <w:r>
              <w:rPr>
                <w:kern w:val="0"/>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8" w:type="dxa"/>
            <w:tcBorders>
              <w:top w:val="single" w:color="auto" w:sz="6" w:space="0"/>
              <w:left w:val="nil"/>
              <w:bottom w:val="single" w:color="auto" w:sz="6" w:space="0"/>
              <w:right w:val="single" w:color="auto" w:sz="6" w:space="0"/>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评价标准（mg/L）</w:t>
            </w:r>
          </w:p>
        </w:tc>
        <w:tc>
          <w:tcPr>
            <w:tcW w:w="2778" w:type="dxa"/>
            <w:tcBorders>
              <w:top w:val="single" w:color="auto" w:sz="6" w:space="0"/>
              <w:left w:val="single" w:color="auto" w:sz="6" w:space="0"/>
              <w:bottom w:val="single" w:color="auto" w:sz="6" w:space="0"/>
              <w:right w:val="single" w:color="auto" w:sz="6" w:space="0"/>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3.0</w:t>
            </w:r>
          </w:p>
        </w:tc>
        <w:tc>
          <w:tcPr>
            <w:tcW w:w="2767" w:type="dxa"/>
            <w:tcBorders>
              <w:top w:val="single" w:color="auto" w:sz="6" w:space="0"/>
              <w:left w:val="single" w:color="auto" w:sz="6" w:space="0"/>
              <w:bottom w:val="single" w:color="auto" w:sz="6" w:space="0"/>
              <w:right w:val="nil"/>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313" w:type="dxa"/>
            <w:gridSpan w:val="3"/>
            <w:tcBorders>
              <w:top w:val="single" w:color="auto" w:sz="6" w:space="0"/>
              <w:left w:val="nil"/>
              <w:bottom w:val="single" w:color="auto" w:sz="12" w:space="0"/>
              <w:right w:val="nil"/>
            </w:tcBorders>
          </w:tcPr>
          <w:p>
            <w:pPr>
              <w:pStyle w:val="3085"/>
              <w:spacing w:before="0" w:after="0"/>
              <w:ind w:firstLine="482"/>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注：评价标准为《地下水质量标准》（GB/T14848-2017）III 类标准；</w:t>
            </w:r>
          </w:p>
        </w:tc>
      </w:tr>
    </w:tbl>
    <w:p>
      <w:pPr>
        <w:pStyle w:val="3085"/>
        <w:ind w:firstLine="480"/>
        <w:rPr>
          <w:color w:val="00B050"/>
        </w:rPr>
      </w:pPr>
    </w:p>
    <w:p>
      <w:pPr>
        <w:tabs>
          <w:tab w:val="left" w:pos="377"/>
        </w:tabs>
        <w:ind w:firstLine="480" w:firstLineChars="200"/>
        <w:rPr>
          <w:szCs w:val="20"/>
        </w:rPr>
      </w:pPr>
      <w:r>
        <w:rPr>
          <w:szCs w:val="20"/>
        </w:rPr>
        <w:t>（3）污染物预测结果分析</w:t>
      </w:r>
    </w:p>
    <w:p>
      <w:pPr>
        <w:tabs>
          <w:tab w:val="left" w:pos="377"/>
        </w:tabs>
        <w:ind w:firstLine="480" w:firstLineChars="200"/>
        <w:rPr>
          <w:b/>
          <w:sz w:val="21"/>
          <w:szCs w:val="20"/>
        </w:rPr>
      </w:pPr>
      <w:r>
        <w:rPr>
          <w:szCs w:val="20"/>
        </w:rPr>
        <w:t>非正常工况下，厂房渗漏持续100天、1000天、5年、10年、20年和30年时，计算各污染物的最远超标距离和对应的超标浓度，其计算结果见表</w:t>
      </w:r>
      <w:r>
        <w:rPr>
          <w:rFonts w:hint="eastAsia"/>
          <w:szCs w:val="20"/>
        </w:rPr>
        <w:t>7</w:t>
      </w:r>
      <w:r>
        <w:rPr>
          <w:szCs w:val="20"/>
        </w:rPr>
        <w:t>.2</w:t>
      </w:r>
      <w:r>
        <w:rPr>
          <w:rFonts w:hint="eastAsia"/>
          <w:szCs w:val="20"/>
        </w:rPr>
        <w:t>-</w:t>
      </w:r>
      <w:r>
        <w:rPr>
          <w:szCs w:val="20"/>
        </w:rPr>
        <w:t>17。</w:t>
      </w:r>
    </w:p>
    <w:p>
      <w:pPr>
        <w:adjustRightInd w:val="0"/>
        <w:snapToGrid w:val="0"/>
        <w:spacing w:line="240" w:lineRule="auto"/>
        <w:ind w:firstLine="480" w:firstLineChars="200"/>
        <w:jc w:val="center"/>
        <w:rPr>
          <w:rFonts w:eastAsia="黑体"/>
          <w:bCs/>
        </w:rPr>
      </w:pPr>
      <w:r>
        <w:rPr>
          <w:rFonts w:eastAsia="黑体"/>
          <w:bCs/>
        </w:rPr>
        <w:t>表7.2-17  非正常工况下污染物的最远超标距离和超标浓度</w:t>
      </w:r>
    </w:p>
    <w:tbl>
      <w:tblPr>
        <w:tblStyle w:val="89"/>
        <w:tblW w:w="878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02"/>
        <w:gridCol w:w="2251"/>
        <w:gridCol w:w="900"/>
        <w:gridCol w:w="971"/>
        <w:gridCol w:w="791"/>
        <w:gridCol w:w="791"/>
        <w:gridCol w:w="790"/>
        <w:gridCol w:w="79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3753" w:type="dxa"/>
            <w:gridSpan w:val="2"/>
            <w:tcBorders>
              <w:tl2br w:val="nil"/>
              <w:tr2bl w:val="nil"/>
            </w:tcBorders>
            <w:vAlign w:val="center"/>
          </w:tcPr>
          <w:p>
            <w:pPr>
              <w:tabs>
                <w:tab w:val="left" w:pos="377"/>
              </w:tabs>
              <w:spacing w:line="240" w:lineRule="auto"/>
              <w:jc w:val="center"/>
              <w:rPr>
                <w:kern w:val="0"/>
                <w:sz w:val="21"/>
                <w:szCs w:val="21"/>
              </w:rPr>
            </w:pPr>
            <w:r>
              <w:rPr>
                <w:kern w:val="0"/>
                <w:sz w:val="21"/>
                <w:szCs w:val="21"/>
              </w:rPr>
              <w:t>项目</w:t>
            </w:r>
          </w:p>
        </w:tc>
        <w:tc>
          <w:tcPr>
            <w:tcW w:w="900" w:type="dxa"/>
            <w:tcBorders>
              <w:tl2br w:val="nil"/>
              <w:tr2bl w:val="nil"/>
            </w:tcBorders>
            <w:vAlign w:val="center"/>
          </w:tcPr>
          <w:p>
            <w:pPr>
              <w:tabs>
                <w:tab w:val="left" w:pos="377"/>
              </w:tabs>
              <w:spacing w:line="240" w:lineRule="auto"/>
              <w:jc w:val="center"/>
              <w:rPr>
                <w:kern w:val="0"/>
                <w:sz w:val="21"/>
                <w:szCs w:val="21"/>
              </w:rPr>
            </w:pPr>
            <w:r>
              <w:rPr>
                <w:kern w:val="0"/>
                <w:sz w:val="21"/>
                <w:szCs w:val="21"/>
              </w:rPr>
              <w:t>100天</w:t>
            </w:r>
          </w:p>
        </w:tc>
        <w:tc>
          <w:tcPr>
            <w:tcW w:w="97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1000天</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5年</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10年</w:t>
            </w:r>
          </w:p>
        </w:tc>
        <w:tc>
          <w:tcPr>
            <w:tcW w:w="790" w:type="dxa"/>
            <w:tcBorders>
              <w:tl2br w:val="nil"/>
              <w:tr2bl w:val="nil"/>
            </w:tcBorders>
            <w:vAlign w:val="center"/>
          </w:tcPr>
          <w:p>
            <w:pPr>
              <w:tabs>
                <w:tab w:val="left" w:pos="377"/>
              </w:tabs>
              <w:spacing w:line="240" w:lineRule="auto"/>
              <w:jc w:val="center"/>
              <w:rPr>
                <w:kern w:val="0"/>
                <w:sz w:val="21"/>
                <w:szCs w:val="21"/>
              </w:rPr>
            </w:pPr>
            <w:r>
              <w:rPr>
                <w:kern w:val="0"/>
                <w:sz w:val="21"/>
                <w:szCs w:val="21"/>
              </w:rPr>
              <w:t>20年</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1502" w:type="dxa"/>
            <w:vMerge w:val="restart"/>
            <w:tcBorders>
              <w:tl2br w:val="nil"/>
              <w:tr2bl w:val="nil"/>
            </w:tcBorders>
            <w:vAlign w:val="center"/>
          </w:tcPr>
          <w:p>
            <w:pPr>
              <w:tabs>
                <w:tab w:val="left" w:pos="377"/>
              </w:tabs>
              <w:spacing w:line="240" w:lineRule="auto"/>
              <w:jc w:val="center"/>
              <w:rPr>
                <w:kern w:val="0"/>
                <w:sz w:val="21"/>
                <w:szCs w:val="21"/>
              </w:rPr>
            </w:pPr>
            <w:r>
              <w:rPr>
                <w:kern w:val="0"/>
                <w:sz w:val="21"/>
                <w:szCs w:val="21"/>
              </w:rPr>
              <w:t>COD</w:t>
            </w:r>
          </w:p>
        </w:tc>
        <w:tc>
          <w:tcPr>
            <w:tcW w:w="2251" w:type="dxa"/>
            <w:tcBorders>
              <w:tl2br w:val="nil"/>
              <w:tr2bl w:val="nil"/>
            </w:tcBorders>
            <w:vAlign w:val="center"/>
          </w:tcPr>
          <w:p>
            <w:pPr>
              <w:tabs>
                <w:tab w:val="left" w:pos="377"/>
              </w:tabs>
              <w:spacing w:line="240" w:lineRule="auto"/>
              <w:jc w:val="center"/>
              <w:rPr>
                <w:kern w:val="0"/>
                <w:sz w:val="21"/>
                <w:szCs w:val="21"/>
              </w:rPr>
            </w:pPr>
            <w:r>
              <w:rPr>
                <w:kern w:val="0"/>
                <w:sz w:val="21"/>
                <w:szCs w:val="21"/>
              </w:rPr>
              <w:t>最远超标距离（m）</w:t>
            </w:r>
          </w:p>
        </w:tc>
        <w:tc>
          <w:tcPr>
            <w:tcW w:w="900"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300</w:t>
            </w:r>
          </w:p>
        </w:tc>
        <w:tc>
          <w:tcPr>
            <w:tcW w:w="97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1070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1450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2050</w:t>
            </w:r>
          </w:p>
        </w:tc>
        <w:tc>
          <w:tcPr>
            <w:tcW w:w="790" w:type="dxa"/>
            <w:tcBorders>
              <w:tl2br w:val="nil"/>
              <w:tr2bl w:val="nil"/>
            </w:tcBorders>
            <w:vAlign w:val="center"/>
          </w:tcPr>
          <w:p>
            <w:pPr>
              <w:tabs>
                <w:tab w:val="left" w:pos="377"/>
              </w:tabs>
              <w:spacing w:line="240" w:lineRule="auto"/>
              <w:jc w:val="center"/>
              <w:rPr>
                <w:kern w:val="0"/>
                <w:sz w:val="21"/>
                <w:szCs w:val="21"/>
              </w:rPr>
            </w:pPr>
            <w:r>
              <w:rPr>
                <w:kern w:val="0"/>
                <w:sz w:val="21"/>
                <w:szCs w:val="21"/>
              </w:rPr>
              <w:t>2900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3550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1502" w:type="dxa"/>
            <w:vMerge w:val="continue"/>
            <w:tcBorders>
              <w:tl2br w:val="nil"/>
              <w:tr2bl w:val="nil"/>
            </w:tcBorders>
            <w:vAlign w:val="center"/>
          </w:tcPr>
          <w:p>
            <w:pPr>
              <w:tabs>
                <w:tab w:val="left" w:pos="377"/>
              </w:tabs>
              <w:spacing w:line="240" w:lineRule="auto"/>
              <w:jc w:val="center"/>
              <w:rPr>
                <w:kern w:val="0"/>
                <w:sz w:val="21"/>
                <w:szCs w:val="21"/>
              </w:rPr>
            </w:pPr>
          </w:p>
        </w:tc>
        <w:tc>
          <w:tcPr>
            <w:tcW w:w="2251" w:type="dxa"/>
            <w:tcBorders>
              <w:tl2br w:val="nil"/>
              <w:tr2bl w:val="nil"/>
            </w:tcBorders>
            <w:vAlign w:val="center"/>
          </w:tcPr>
          <w:p>
            <w:pPr>
              <w:tabs>
                <w:tab w:val="left" w:pos="377"/>
              </w:tabs>
              <w:spacing w:line="240" w:lineRule="auto"/>
              <w:jc w:val="center"/>
              <w:rPr>
                <w:kern w:val="0"/>
                <w:sz w:val="21"/>
                <w:szCs w:val="21"/>
              </w:rPr>
            </w:pPr>
            <w:r>
              <w:rPr>
                <w:kern w:val="0"/>
                <w:sz w:val="21"/>
                <w:szCs w:val="21"/>
              </w:rPr>
              <w:t>超标浓度（mg/L）</w:t>
            </w:r>
          </w:p>
        </w:tc>
        <w:tc>
          <w:tcPr>
            <w:tcW w:w="900" w:type="dxa"/>
            <w:tcBorders>
              <w:tl2br w:val="nil"/>
              <w:tr2bl w:val="nil"/>
            </w:tcBorders>
            <w:vAlign w:val="center"/>
          </w:tcPr>
          <w:p>
            <w:pPr>
              <w:tabs>
                <w:tab w:val="left" w:pos="377"/>
              </w:tabs>
              <w:spacing w:line="240" w:lineRule="auto"/>
              <w:jc w:val="center"/>
              <w:rPr>
                <w:kern w:val="0"/>
                <w:sz w:val="21"/>
                <w:szCs w:val="21"/>
              </w:rPr>
            </w:pPr>
            <w:r>
              <w:rPr>
                <w:kern w:val="0"/>
                <w:sz w:val="21"/>
                <w:szCs w:val="21"/>
              </w:rPr>
              <w:t>3.75</w:t>
            </w:r>
          </w:p>
        </w:tc>
        <w:tc>
          <w:tcPr>
            <w:tcW w:w="97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3.09</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3.02</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3.03</w:t>
            </w:r>
          </w:p>
        </w:tc>
        <w:tc>
          <w:tcPr>
            <w:tcW w:w="790"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3.03</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4" w:hRule="atLeast"/>
          <w:jc w:val="center"/>
        </w:trPr>
        <w:tc>
          <w:tcPr>
            <w:tcW w:w="1502" w:type="dxa"/>
            <w:vMerge w:val="restart"/>
            <w:tcBorders>
              <w:tl2br w:val="nil"/>
              <w:tr2bl w:val="nil"/>
            </w:tcBorders>
            <w:vAlign w:val="center"/>
          </w:tcPr>
          <w:p>
            <w:pPr>
              <w:tabs>
                <w:tab w:val="left" w:pos="377"/>
              </w:tabs>
              <w:spacing w:line="240" w:lineRule="auto"/>
              <w:jc w:val="center"/>
              <w:rPr>
                <w:kern w:val="0"/>
                <w:sz w:val="21"/>
                <w:szCs w:val="21"/>
              </w:rPr>
            </w:pPr>
            <w:r>
              <w:rPr>
                <w:kern w:val="0"/>
                <w:sz w:val="21"/>
                <w:szCs w:val="21"/>
              </w:rPr>
              <w:t>氨氮（以NH</w:t>
            </w:r>
            <w:r>
              <w:rPr>
                <w:kern w:val="0"/>
                <w:sz w:val="21"/>
                <w:szCs w:val="21"/>
                <w:vertAlign w:val="subscript"/>
              </w:rPr>
              <w:t>4</w:t>
            </w:r>
            <w:r>
              <w:rPr>
                <w:kern w:val="0"/>
                <w:sz w:val="21"/>
                <w:szCs w:val="21"/>
                <w:vertAlign w:val="superscript"/>
              </w:rPr>
              <w:t>+</w:t>
            </w:r>
            <w:r>
              <w:rPr>
                <w:kern w:val="0"/>
                <w:sz w:val="21"/>
                <w:szCs w:val="21"/>
              </w:rPr>
              <w:t>计）</w:t>
            </w:r>
          </w:p>
        </w:tc>
        <w:tc>
          <w:tcPr>
            <w:tcW w:w="2251" w:type="dxa"/>
            <w:tcBorders>
              <w:tl2br w:val="nil"/>
              <w:tr2bl w:val="nil"/>
            </w:tcBorders>
            <w:vAlign w:val="center"/>
          </w:tcPr>
          <w:p>
            <w:pPr>
              <w:tabs>
                <w:tab w:val="left" w:pos="377"/>
              </w:tabs>
              <w:spacing w:line="240" w:lineRule="auto"/>
              <w:jc w:val="center"/>
              <w:rPr>
                <w:kern w:val="0"/>
                <w:sz w:val="21"/>
                <w:szCs w:val="21"/>
              </w:rPr>
            </w:pPr>
            <w:r>
              <w:rPr>
                <w:kern w:val="0"/>
                <w:sz w:val="21"/>
                <w:szCs w:val="21"/>
              </w:rPr>
              <w:t>最远超标距离（m）</w:t>
            </w:r>
          </w:p>
        </w:tc>
        <w:tc>
          <w:tcPr>
            <w:tcW w:w="900" w:type="dxa"/>
            <w:tcBorders>
              <w:tl2br w:val="nil"/>
              <w:tr2bl w:val="nil"/>
            </w:tcBorders>
            <w:vAlign w:val="center"/>
          </w:tcPr>
          <w:p>
            <w:pPr>
              <w:tabs>
                <w:tab w:val="left" w:pos="377"/>
              </w:tabs>
              <w:spacing w:line="240" w:lineRule="auto"/>
              <w:jc w:val="center"/>
              <w:rPr>
                <w:kern w:val="0"/>
                <w:sz w:val="21"/>
                <w:szCs w:val="21"/>
              </w:rPr>
            </w:pPr>
            <w:r>
              <w:rPr>
                <w:kern w:val="0"/>
                <w:sz w:val="21"/>
                <w:szCs w:val="21"/>
              </w:rPr>
              <w:t>220</w:t>
            </w:r>
          </w:p>
        </w:tc>
        <w:tc>
          <w:tcPr>
            <w:tcW w:w="971" w:type="dxa"/>
            <w:tcBorders>
              <w:tl2br w:val="nil"/>
              <w:tr2bl w:val="nil"/>
            </w:tcBorders>
            <w:vAlign w:val="center"/>
          </w:tcPr>
          <w:p>
            <w:pPr>
              <w:tabs>
                <w:tab w:val="left" w:pos="377"/>
              </w:tabs>
              <w:spacing w:line="240" w:lineRule="auto"/>
              <w:jc w:val="center"/>
              <w:rPr>
                <w:kern w:val="0"/>
                <w:sz w:val="21"/>
                <w:szCs w:val="21"/>
              </w:rPr>
            </w:pPr>
            <w:r>
              <w:rPr>
                <w:kern w:val="0"/>
                <w:sz w:val="21"/>
                <w:szCs w:val="21"/>
              </w:rPr>
              <w:t>710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1010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1610</w:t>
            </w:r>
          </w:p>
        </w:tc>
        <w:tc>
          <w:tcPr>
            <w:tcW w:w="790" w:type="dxa"/>
            <w:tcBorders>
              <w:tl2br w:val="nil"/>
              <w:tr2bl w:val="nil"/>
            </w:tcBorders>
            <w:vAlign w:val="center"/>
          </w:tcPr>
          <w:p>
            <w:pPr>
              <w:tabs>
                <w:tab w:val="left" w:pos="377"/>
              </w:tabs>
              <w:spacing w:line="240" w:lineRule="auto"/>
              <w:jc w:val="center"/>
              <w:rPr>
                <w:kern w:val="0"/>
                <w:sz w:val="21"/>
                <w:szCs w:val="21"/>
              </w:rPr>
            </w:pPr>
            <w:r>
              <w:rPr>
                <w:kern w:val="0"/>
                <w:sz w:val="21"/>
                <w:szCs w:val="21"/>
              </w:rPr>
              <w:t>2290</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3030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4" w:hRule="atLeast"/>
          <w:jc w:val="center"/>
        </w:trPr>
        <w:tc>
          <w:tcPr>
            <w:tcW w:w="1502" w:type="dxa"/>
            <w:vMerge w:val="continue"/>
            <w:tcBorders>
              <w:tl2br w:val="nil"/>
              <w:tr2bl w:val="nil"/>
            </w:tcBorders>
            <w:vAlign w:val="center"/>
          </w:tcPr>
          <w:p>
            <w:pPr>
              <w:tabs>
                <w:tab w:val="left" w:pos="377"/>
              </w:tabs>
              <w:spacing w:line="240" w:lineRule="auto"/>
              <w:jc w:val="center"/>
              <w:rPr>
                <w:kern w:val="0"/>
                <w:sz w:val="21"/>
                <w:szCs w:val="21"/>
              </w:rPr>
            </w:pPr>
          </w:p>
        </w:tc>
        <w:tc>
          <w:tcPr>
            <w:tcW w:w="2251" w:type="dxa"/>
            <w:tcBorders>
              <w:tl2br w:val="nil"/>
              <w:tr2bl w:val="nil"/>
            </w:tcBorders>
            <w:vAlign w:val="center"/>
          </w:tcPr>
          <w:p>
            <w:pPr>
              <w:tabs>
                <w:tab w:val="left" w:pos="377"/>
              </w:tabs>
              <w:spacing w:line="240" w:lineRule="auto"/>
              <w:jc w:val="center"/>
              <w:rPr>
                <w:kern w:val="0"/>
                <w:sz w:val="21"/>
                <w:szCs w:val="21"/>
              </w:rPr>
            </w:pPr>
            <w:r>
              <w:rPr>
                <w:kern w:val="0"/>
                <w:sz w:val="21"/>
                <w:szCs w:val="21"/>
              </w:rPr>
              <w:t>超标浓度（mg/L）</w:t>
            </w:r>
          </w:p>
        </w:tc>
        <w:tc>
          <w:tcPr>
            <w:tcW w:w="900" w:type="dxa"/>
            <w:tcBorders>
              <w:tl2br w:val="nil"/>
              <w:tr2bl w:val="nil"/>
            </w:tcBorders>
            <w:vAlign w:val="center"/>
          </w:tcPr>
          <w:p>
            <w:pPr>
              <w:tabs>
                <w:tab w:val="left" w:pos="377"/>
              </w:tabs>
              <w:spacing w:line="240" w:lineRule="auto"/>
              <w:jc w:val="center"/>
              <w:rPr>
                <w:kern w:val="0"/>
                <w:sz w:val="21"/>
                <w:szCs w:val="21"/>
              </w:rPr>
            </w:pPr>
            <w:r>
              <w:rPr>
                <w:kern w:val="0"/>
                <w:sz w:val="21"/>
                <w:szCs w:val="21"/>
              </w:rPr>
              <w:t>0.302</w:t>
            </w:r>
          </w:p>
        </w:tc>
        <w:tc>
          <w:tcPr>
            <w:tcW w:w="971" w:type="dxa"/>
            <w:tcBorders>
              <w:tl2br w:val="nil"/>
              <w:tr2bl w:val="nil"/>
            </w:tcBorders>
            <w:vAlign w:val="center"/>
          </w:tcPr>
          <w:p>
            <w:pPr>
              <w:tabs>
                <w:tab w:val="left" w:pos="377"/>
              </w:tabs>
              <w:spacing w:line="240" w:lineRule="auto"/>
              <w:jc w:val="center"/>
              <w:rPr>
                <w:kern w:val="0"/>
                <w:sz w:val="21"/>
                <w:szCs w:val="21"/>
              </w:rPr>
            </w:pPr>
            <w:r>
              <w:rPr>
                <w:kern w:val="0"/>
                <w:sz w:val="21"/>
                <w:szCs w:val="21"/>
              </w:rPr>
              <w:t>0.24</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0.23</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0.21</w:t>
            </w:r>
          </w:p>
        </w:tc>
        <w:tc>
          <w:tcPr>
            <w:tcW w:w="790" w:type="dxa"/>
            <w:tcBorders>
              <w:tl2br w:val="nil"/>
              <w:tr2bl w:val="nil"/>
            </w:tcBorders>
            <w:vAlign w:val="center"/>
          </w:tcPr>
          <w:p>
            <w:pPr>
              <w:tabs>
                <w:tab w:val="left" w:pos="377"/>
              </w:tabs>
              <w:spacing w:line="240" w:lineRule="auto"/>
              <w:jc w:val="center"/>
              <w:rPr>
                <w:kern w:val="0"/>
                <w:sz w:val="21"/>
                <w:szCs w:val="21"/>
              </w:rPr>
            </w:pPr>
            <w:r>
              <w:rPr>
                <w:kern w:val="0"/>
                <w:sz w:val="21"/>
                <w:szCs w:val="21"/>
              </w:rPr>
              <w:t>0.21</w:t>
            </w:r>
          </w:p>
        </w:tc>
        <w:tc>
          <w:tcPr>
            <w:tcW w:w="791" w:type="dxa"/>
            <w:tcBorders>
              <w:tl2br w:val="nil"/>
              <w:tr2bl w:val="nil"/>
            </w:tcBorders>
            <w:vAlign w:val="center"/>
          </w:tcPr>
          <w:p>
            <w:pPr>
              <w:tabs>
                <w:tab w:val="left" w:pos="377"/>
              </w:tabs>
              <w:spacing w:line="240" w:lineRule="auto"/>
              <w:jc w:val="center"/>
              <w:rPr>
                <w:kern w:val="0"/>
                <w:sz w:val="21"/>
                <w:szCs w:val="21"/>
              </w:rPr>
            </w:pPr>
            <w:r>
              <w:rPr>
                <w:kern w:val="0"/>
                <w:sz w:val="21"/>
                <w:szCs w:val="21"/>
              </w:rPr>
              <w:t>0.21</w:t>
            </w:r>
          </w:p>
        </w:tc>
      </w:tr>
    </w:tbl>
    <w:p>
      <w:pPr>
        <w:tabs>
          <w:tab w:val="left" w:pos="377"/>
        </w:tabs>
        <w:ind w:firstLine="480" w:firstLineChars="200"/>
        <w:rPr>
          <w:szCs w:val="20"/>
        </w:rPr>
      </w:pPr>
      <w:r>
        <w:rPr>
          <w:szCs w:val="20"/>
        </w:rPr>
        <w:t>由计算结果可知，非正常工况下，随着时间的增加，污染物的最远超标扩散距离越来越大。项目运营5年内，各污染物的最远超标扩散距离在1640m范围内，项目运营30年内，各污染物的最远超标扩散距离在4030m范围内。</w:t>
      </w:r>
      <w:r>
        <w:t>环评要求本项目运行过程中，于项目</w:t>
      </w:r>
      <w:r>
        <w:rPr>
          <w:rFonts w:hint="eastAsia"/>
        </w:rPr>
        <w:t>暂存池</w:t>
      </w:r>
      <w:r>
        <w:t>下游布设地下水水质监测井，定期对地下水水质进行监测，如发现水质异常，立刻采取有效措施（如水动力隔离技术）阻止污染羽的扩散迁移，将地下水控制在局部范围，避免对厂区下游地下水造成污染。</w:t>
      </w:r>
    </w:p>
    <w:p>
      <w:pPr>
        <w:pStyle w:val="320"/>
        <w:tabs>
          <w:tab w:val="left" w:pos="1168"/>
        </w:tabs>
        <w:snapToGrid w:val="0"/>
        <w:spacing w:line="360" w:lineRule="auto"/>
        <w:ind w:firstLine="480"/>
        <w:rPr>
          <w:rFonts w:ascii="Times New Roman" w:hAnsi="Times New Roman"/>
        </w:rPr>
      </w:pPr>
      <w:r>
        <w:rPr>
          <w:szCs w:val="20"/>
        </w:rPr>
        <w:t>综上所述，建设项目在非正常情况下废水泄漏将造成污水处理设施地下水环境质量标准出现超标现象。</w:t>
      </w:r>
    </w:p>
    <w:p>
      <w:pPr>
        <w:pStyle w:val="970"/>
        <w:snapToGrid w:val="0"/>
        <w:ind w:firstLine="0"/>
        <w:outlineLvl w:val="3"/>
        <w:rPr>
          <w:rFonts w:eastAsia="黑体"/>
          <w:bCs/>
          <w:szCs w:val="24"/>
        </w:rPr>
      </w:pPr>
      <w:r>
        <w:rPr>
          <w:rFonts w:eastAsia="黑体"/>
          <w:bCs/>
          <w:szCs w:val="24"/>
        </w:rPr>
        <w:t xml:space="preserve">7.2.3.5 </w:t>
      </w:r>
      <w:r>
        <w:rPr>
          <w:rFonts w:hint="eastAsia" w:eastAsia="黑体"/>
          <w:bCs/>
          <w:szCs w:val="24"/>
        </w:rPr>
        <w:t>污水处理设施对分散居民饮用水的影响分析</w:t>
      </w:r>
    </w:p>
    <w:p>
      <w:pPr>
        <w:pStyle w:val="320"/>
        <w:snapToGrid w:val="0"/>
        <w:spacing w:line="360" w:lineRule="auto"/>
        <w:ind w:firstLine="480"/>
        <w:rPr>
          <w:rFonts w:ascii="Times New Roman" w:hAnsi="Times New Roman"/>
        </w:rPr>
      </w:pPr>
      <w:r>
        <w:rPr>
          <w:szCs w:val="20"/>
        </w:rPr>
        <w:t>本项目场界外分布有农户水井，正常情况下，项目</w:t>
      </w:r>
      <w:r>
        <w:rPr>
          <w:rFonts w:hint="eastAsia" w:ascii="Times New Roman" w:hAnsi="Times New Roman"/>
        </w:rPr>
        <w:t>集污池</w:t>
      </w:r>
      <w:r>
        <w:rPr>
          <w:szCs w:val="20"/>
        </w:rPr>
        <w:t>采取有效的防渗措施的前提下，项目运营期废水不会对周围敏感点地下水环境造成二次污染影响。若建设项目的防渗设施破裂，发生废水泄漏，外泄废水往低洼处漫流，可能会对区域低洼地区产生一定的影响。结合前文非正常工况下污染物的最远超标距离和超标浓度计算结果来</w:t>
      </w:r>
      <w:r>
        <w:rPr>
          <w:rFonts w:ascii="Times New Roman" w:hAnsi="Times New Roman"/>
          <w:szCs w:val="20"/>
        </w:rPr>
        <w:t>看，项目运营30年内，非正常工况下，各污染物的最远超标扩散距离在4030m范围内，将对场界外分散居民饮用井水质造成影响。</w:t>
      </w:r>
      <w:r>
        <w:rPr>
          <w:rFonts w:ascii="Times New Roman" w:hAnsi="Times New Roman"/>
          <w:b/>
          <w:bCs/>
          <w:szCs w:val="20"/>
        </w:rPr>
        <w:t>环评要求本项目运行过程中，于项目下游布设地下水水质监测井，故本项目不会发生长期污染地下水水质的情况，最远污染距离为380m，</w:t>
      </w:r>
      <w:r>
        <w:rPr>
          <w:rFonts w:ascii="Times New Roman" w:hAnsi="Times New Roman"/>
          <w:szCs w:val="20"/>
        </w:rPr>
        <w:t>在本项目对污水处理设施的防渗措施做好的情况下，且定期监测地下水，本项目对周边分散居民饮用水影响能够接受。</w:t>
      </w:r>
    </w:p>
    <w:p>
      <w:pPr>
        <w:spacing w:before="240" w:after="60"/>
        <w:jc w:val="left"/>
        <w:outlineLvl w:val="2"/>
        <w:rPr>
          <w:rFonts w:eastAsia="黑体"/>
          <w:bCs/>
          <w:sz w:val="28"/>
          <w:szCs w:val="28"/>
        </w:rPr>
      </w:pPr>
      <w:r>
        <w:rPr>
          <w:rFonts w:eastAsia="黑体"/>
          <w:bCs/>
          <w:sz w:val="28"/>
          <w:szCs w:val="28"/>
        </w:rPr>
        <w:t>7.2.4声环境影响分析</w:t>
      </w:r>
    </w:p>
    <w:p>
      <w:pPr>
        <w:pStyle w:val="970"/>
        <w:snapToGrid w:val="0"/>
        <w:ind w:firstLine="0"/>
        <w:outlineLvl w:val="3"/>
        <w:rPr>
          <w:rFonts w:eastAsia="黑体"/>
          <w:bCs/>
          <w:szCs w:val="24"/>
        </w:rPr>
      </w:pPr>
      <w:r>
        <w:rPr>
          <w:rFonts w:eastAsia="黑体"/>
          <w:bCs/>
          <w:szCs w:val="24"/>
        </w:rPr>
        <w:t>7.2.4.1噪声源强分析</w:t>
      </w:r>
    </w:p>
    <w:p>
      <w:pPr>
        <w:pStyle w:val="320"/>
        <w:snapToGrid w:val="0"/>
        <w:spacing w:line="360" w:lineRule="auto"/>
        <w:ind w:firstLine="480"/>
        <w:rPr>
          <w:rFonts w:ascii="Times New Roman" w:hAnsi="Times New Roman"/>
        </w:rPr>
      </w:pPr>
      <w:r>
        <w:rPr>
          <w:rFonts w:ascii="Times New Roman" w:hAnsi="Times New Roman"/>
        </w:rPr>
        <w:t>养殖场噪声主要来源于猪只生活叫声、猪舍配套水帘风机噪声、猪舍排气扇噪声及水泵噪声。工程主要噪声源强情况见表7.2</w:t>
      </w:r>
      <w:r>
        <w:rPr>
          <w:rFonts w:hint="eastAsia" w:ascii="Times New Roman" w:hAnsi="Times New Roman"/>
        </w:rPr>
        <w:t>-</w:t>
      </w:r>
      <w:r>
        <w:rPr>
          <w:rFonts w:ascii="Times New Roman" w:hAnsi="Times New Roman"/>
        </w:rPr>
        <w:t>18。</w:t>
      </w:r>
    </w:p>
    <w:p>
      <w:pPr>
        <w:pStyle w:val="462"/>
        <w:numPr>
          <w:ilvl w:val="2"/>
          <w:numId w:val="0"/>
        </w:numPr>
        <w:tabs>
          <w:tab w:val="clear" w:pos="2705"/>
        </w:tabs>
        <w:adjustRightInd w:val="0"/>
        <w:snapToGrid w:val="0"/>
        <w:spacing w:line="240" w:lineRule="auto"/>
        <w:ind w:left="1985"/>
        <w:jc w:val="both"/>
        <w:outlineLvl w:val="9"/>
        <w:rPr>
          <w:rFonts w:eastAsia="黑体"/>
          <w:color w:val="auto"/>
        </w:rPr>
      </w:pPr>
      <w:r>
        <w:rPr>
          <w:rFonts w:eastAsia="黑体"/>
          <w:b w:val="0"/>
          <w:bCs w:val="0"/>
          <w:color w:val="auto"/>
          <w:sz w:val="24"/>
          <w:szCs w:val="24"/>
        </w:rPr>
        <w:t>表7.2</w:t>
      </w:r>
      <w:r>
        <w:rPr>
          <w:rFonts w:hint="eastAsia" w:eastAsia="黑体"/>
          <w:b w:val="0"/>
          <w:bCs w:val="0"/>
          <w:color w:val="auto"/>
          <w:sz w:val="24"/>
          <w:szCs w:val="24"/>
        </w:rPr>
        <w:t>-</w:t>
      </w:r>
      <w:r>
        <w:rPr>
          <w:rFonts w:eastAsia="黑体"/>
          <w:b w:val="0"/>
          <w:bCs w:val="0"/>
          <w:color w:val="auto"/>
          <w:sz w:val="24"/>
          <w:szCs w:val="24"/>
        </w:rPr>
        <w:t>18   主要噪声源强一览表</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660"/>
        <w:gridCol w:w="850"/>
        <w:gridCol w:w="1495"/>
        <w:gridCol w:w="1180"/>
        <w:gridCol w:w="1337"/>
        <w:gridCol w:w="1606"/>
        <w:gridCol w:w="165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cantSplit/>
          <w:trHeight w:val="369" w:hRule="atLeast"/>
          <w:jc w:val="center"/>
        </w:trPr>
        <w:tc>
          <w:tcPr>
            <w:tcW w:w="66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项目</w:t>
            </w:r>
          </w:p>
        </w:tc>
        <w:tc>
          <w:tcPr>
            <w:tcW w:w="85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种类</w:t>
            </w:r>
          </w:p>
        </w:tc>
        <w:tc>
          <w:tcPr>
            <w:tcW w:w="1495"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污染物来源</w:t>
            </w:r>
          </w:p>
        </w:tc>
        <w:tc>
          <w:tcPr>
            <w:tcW w:w="118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产生方式</w:t>
            </w:r>
          </w:p>
        </w:tc>
        <w:tc>
          <w:tcPr>
            <w:tcW w:w="1337"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1m处噪声级/dB（A）</w:t>
            </w:r>
          </w:p>
        </w:tc>
        <w:tc>
          <w:tcPr>
            <w:tcW w:w="1606"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防治设施</w:t>
            </w:r>
          </w:p>
        </w:tc>
        <w:tc>
          <w:tcPr>
            <w:tcW w:w="1659" w:type="dxa"/>
            <w:tcBorders>
              <w:tl2br w:val="nil"/>
              <w:tr2bl w:val="nil"/>
            </w:tcBorders>
            <w:vAlign w:val="center"/>
          </w:tcPr>
          <w:p>
            <w:pPr>
              <w:pStyle w:val="3163"/>
              <w:spacing w:line="240" w:lineRule="auto"/>
              <w:ind w:leftChars="0" w:firstLineChars="0"/>
              <w:rPr>
                <w:color w:val="auto"/>
                <w:sz w:val="21"/>
              </w:rPr>
            </w:pPr>
            <w:r>
              <w:rPr>
                <w:color w:val="auto"/>
                <w:sz w:val="21"/>
              </w:rPr>
              <w:t>采取措施后的噪声源dB（A）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cantSplit/>
          <w:trHeight w:val="369" w:hRule="atLeast"/>
          <w:jc w:val="center"/>
        </w:trPr>
        <w:tc>
          <w:tcPr>
            <w:tcW w:w="660" w:type="dxa"/>
            <w:vMerge w:val="restart"/>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噪声</w:t>
            </w:r>
          </w:p>
        </w:tc>
        <w:tc>
          <w:tcPr>
            <w:tcW w:w="85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猪叫</w:t>
            </w:r>
          </w:p>
        </w:tc>
        <w:tc>
          <w:tcPr>
            <w:tcW w:w="1495"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全部猪舍</w:t>
            </w:r>
          </w:p>
        </w:tc>
        <w:tc>
          <w:tcPr>
            <w:tcW w:w="118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昼间</w:t>
            </w:r>
            <w:r>
              <w:rPr>
                <w:rFonts w:hint="eastAsia"/>
                <w:color w:val="auto"/>
                <w:sz w:val="21"/>
              </w:rPr>
              <w:t>及夜间</w:t>
            </w:r>
            <w:r>
              <w:rPr>
                <w:color w:val="auto"/>
                <w:sz w:val="21"/>
              </w:rPr>
              <w:t>间断</w:t>
            </w:r>
          </w:p>
        </w:tc>
        <w:tc>
          <w:tcPr>
            <w:tcW w:w="1337"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70</w:t>
            </w:r>
          </w:p>
        </w:tc>
        <w:tc>
          <w:tcPr>
            <w:tcW w:w="1606"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rFonts w:hint="eastAsia"/>
                <w:color w:val="auto"/>
                <w:sz w:val="21"/>
              </w:rPr>
              <w:t>1、</w:t>
            </w:r>
            <w:r>
              <w:rPr>
                <w:color w:val="auto"/>
                <w:sz w:val="21"/>
              </w:rPr>
              <w:t>满足饮食及饮水，避免突发性噪声</w:t>
            </w:r>
            <w:r>
              <w:rPr>
                <w:rFonts w:hint="eastAsia"/>
                <w:color w:val="auto"/>
                <w:sz w:val="21"/>
              </w:rPr>
              <w:t>；</w:t>
            </w:r>
          </w:p>
          <w:p>
            <w:pPr>
              <w:pStyle w:val="3163"/>
              <w:spacing w:line="240" w:lineRule="auto"/>
              <w:ind w:leftChars="0" w:firstLineChars="0"/>
              <w:jc w:val="both"/>
              <w:rPr>
                <w:color w:val="auto"/>
                <w:sz w:val="21"/>
              </w:rPr>
            </w:pPr>
            <w:r>
              <w:rPr>
                <w:color w:val="auto"/>
                <w:sz w:val="21"/>
              </w:rPr>
              <w:t>2</w:t>
            </w:r>
            <w:r>
              <w:rPr>
                <w:rFonts w:hint="eastAsia"/>
                <w:color w:val="auto"/>
                <w:sz w:val="21"/>
              </w:rPr>
              <w:t>、猪舍隔声</w:t>
            </w:r>
          </w:p>
        </w:tc>
        <w:tc>
          <w:tcPr>
            <w:tcW w:w="1659" w:type="dxa"/>
            <w:tcBorders>
              <w:tl2br w:val="nil"/>
              <w:tr2bl w:val="nil"/>
            </w:tcBorders>
            <w:vAlign w:val="center"/>
          </w:tcPr>
          <w:p>
            <w:pPr>
              <w:pStyle w:val="3163"/>
              <w:spacing w:line="240" w:lineRule="auto"/>
              <w:ind w:leftChars="0" w:firstLineChars="0"/>
              <w:rPr>
                <w:color w:val="auto"/>
                <w:sz w:val="21"/>
              </w:rPr>
            </w:pPr>
            <w:r>
              <w:rPr>
                <w:color w:val="auto"/>
                <w:sz w:val="21"/>
              </w:rPr>
              <w:t>&lt;60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cantSplit/>
          <w:trHeight w:val="369" w:hRule="atLeast"/>
          <w:jc w:val="center"/>
        </w:trPr>
        <w:tc>
          <w:tcPr>
            <w:tcW w:w="660" w:type="dxa"/>
            <w:vMerge w:val="continue"/>
            <w:tcBorders>
              <w:tl2br w:val="nil"/>
              <w:tr2bl w:val="nil"/>
            </w:tcBorders>
            <w:tcMar>
              <w:left w:w="28" w:type="dxa"/>
              <w:right w:w="28" w:type="dxa"/>
            </w:tcMar>
            <w:vAlign w:val="center"/>
          </w:tcPr>
          <w:p>
            <w:pPr>
              <w:pStyle w:val="3163"/>
              <w:spacing w:line="240" w:lineRule="auto"/>
              <w:ind w:left="900" w:hanging="420"/>
              <w:rPr>
                <w:color w:val="auto"/>
                <w:sz w:val="21"/>
              </w:rPr>
            </w:pPr>
          </w:p>
        </w:tc>
        <w:tc>
          <w:tcPr>
            <w:tcW w:w="85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排气扇</w:t>
            </w:r>
          </w:p>
        </w:tc>
        <w:tc>
          <w:tcPr>
            <w:tcW w:w="1495"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全部猪舍</w:t>
            </w:r>
          </w:p>
        </w:tc>
        <w:tc>
          <w:tcPr>
            <w:tcW w:w="118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昼间及夜间连续</w:t>
            </w:r>
          </w:p>
        </w:tc>
        <w:tc>
          <w:tcPr>
            <w:tcW w:w="1337"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70</w:t>
            </w:r>
          </w:p>
        </w:tc>
        <w:tc>
          <w:tcPr>
            <w:tcW w:w="1606"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选低噪声设备，建筑、围墙及绿化隔声</w:t>
            </w:r>
          </w:p>
        </w:tc>
        <w:tc>
          <w:tcPr>
            <w:tcW w:w="1659" w:type="dxa"/>
            <w:tcBorders>
              <w:tl2br w:val="nil"/>
              <w:tr2bl w:val="nil"/>
            </w:tcBorders>
            <w:vAlign w:val="center"/>
          </w:tcPr>
          <w:p>
            <w:pPr>
              <w:pStyle w:val="3163"/>
              <w:spacing w:line="240" w:lineRule="auto"/>
              <w:ind w:leftChars="0" w:firstLineChars="0"/>
              <w:rPr>
                <w:color w:val="auto"/>
                <w:sz w:val="21"/>
              </w:rPr>
            </w:pPr>
            <w:r>
              <w:rPr>
                <w:color w:val="auto"/>
                <w:sz w:val="21"/>
              </w:rPr>
              <w:t>&lt;60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cantSplit/>
          <w:trHeight w:val="369" w:hRule="atLeast"/>
          <w:jc w:val="center"/>
        </w:trPr>
        <w:tc>
          <w:tcPr>
            <w:tcW w:w="660" w:type="dxa"/>
            <w:vMerge w:val="continue"/>
            <w:tcBorders>
              <w:tl2br w:val="nil"/>
              <w:tr2bl w:val="nil"/>
            </w:tcBorders>
            <w:tcMar>
              <w:left w:w="28" w:type="dxa"/>
              <w:right w:w="28" w:type="dxa"/>
            </w:tcMar>
            <w:vAlign w:val="center"/>
          </w:tcPr>
          <w:p>
            <w:pPr>
              <w:pStyle w:val="3163"/>
              <w:spacing w:line="240" w:lineRule="auto"/>
              <w:ind w:left="900" w:hanging="420"/>
              <w:rPr>
                <w:color w:val="auto"/>
                <w:sz w:val="21"/>
              </w:rPr>
            </w:pPr>
          </w:p>
        </w:tc>
        <w:tc>
          <w:tcPr>
            <w:tcW w:w="85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水泵</w:t>
            </w:r>
          </w:p>
        </w:tc>
        <w:tc>
          <w:tcPr>
            <w:tcW w:w="1495"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污水处理设施</w:t>
            </w:r>
          </w:p>
        </w:tc>
        <w:tc>
          <w:tcPr>
            <w:tcW w:w="118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昼间连续</w:t>
            </w:r>
          </w:p>
        </w:tc>
        <w:tc>
          <w:tcPr>
            <w:tcW w:w="1337"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85</w:t>
            </w:r>
          </w:p>
        </w:tc>
        <w:tc>
          <w:tcPr>
            <w:tcW w:w="1606"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位于</w:t>
            </w:r>
            <w:r>
              <w:rPr>
                <w:rFonts w:hint="eastAsia"/>
                <w:color w:val="auto"/>
                <w:sz w:val="21"/>
              </w:rPr>
              <w:t>地下</w:t>
            </w:r>
          </w:p>
        </w:tc>
        <w:tc>
          <w:tcPr>
            <w:tcW w:w="1659" w:type="dxa"/>
            <w:tcBorders>
              <w:tl2br w:val="nil"/>
              <w:tr2bl w:val="nil"/>
            </w:tcBorders>
            <w:vAlign w:val="center"/>
          </w:tcPr>
          <w:p>
            <w:pPr>
              <w:pStyle w:val="3163"/>
              <w:spacing w:line="240" w:lineRule="auto"/>
              <w:ind w:leftChars="0" w:firstLineChars="0"/>
              <w:rPr>
                <w:color w:val="auto"/>
                <w:sz w:val="21"/>
              </w:rPr>
            </w:pPr>
            <w:r>
              <w:rPr>
                <w:color w:val="auto"/>
                <w:sz w:val="21"/>
              </w:rPr>
              <w:t>&lt;60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cantSplit/>
          <w:trHeight w:val="369" w:hRule="atLeast"/>
          <w:jc w:val="center"/>
        </w:trPr>
        <w:tc>
          <w:tcPr>
            <w:tcW w:w="660" w:type="dxa"/>
            <w:vMerge w:val="continue"/>
            <w:tcBorders>
              <w:tl2br w:val="nil"/>
              <w:tr2bl w:val="nil"/>
            </w:tcBorders>
            <w:tcMar>
              <w:left w:w="28" w:type="dxa"/>
              <w:right w:w="28" w:type="dxa"/>
            </w:tcMar>
            <w:vAlign w:val="center"/>
          </w:tcPr>
          <w:p>
            <w:pPr>
              <w:pStyle w:val="3163"/>
              <w:spacing w:line="240" w:lineRule="auto"/>
              <w:ind w:left="900" w:hanging="420"/>
              <w:rPr>
                <w:color w:val="auto"/>
                <w:sz w:val="21"/>
              </w:rPr>
            </w:pPr>
          </w:p>
        </w:tc>
        <w:tc>
          <w:tcPr>
            <w:tcW w:w="85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风机</w:t>
            </w:r>
          </w:p>
        </w:tc>
        <w:tc>
          <w:tcPr>
            <w:tcW w:w="1495"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全部猪舍</w:t>
            </w:r>
          </w:p>
        </w:tc>
        <w:tc>
          <w:tcPr>
            <w:tcW w:w="1180"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昼间连续</w:t>
            </w:r>
          </w:p>
        </w:tc>
        <w:tc>
          <w:tcPr>
            <w:tcW w:w="1337" w:type="dxa"/>
            <w:tcBorders>
              <w:tl2br w:val="nil"/>
              <w:tr2bl w:val="nil"/>
            </w:tcBorders>
            <w:tcMar>
              <w:left w:w="28" w:type="dxa"/>
              <w:right w:w="28" w:type="dxa"/>
            </w:tcMar>
            <w:vAlign w:val="center"/>
          </w:tcPr>
          <w:p>
            <w:pPr>
              <w:pStyle w:val="3163"/>
              <w:spacing w:line="240" w:lineRule="auto"/>
              <w:ind w:leftChars="0" w:firstLineChars="0"/>
              <w:rPr>
                <w:color w:val="auto"/>
                <w:sz w:val="21"/>
              </w:rPr>
            </w:pPr>
            <w:r>
              <w:rPr>
                <w:color w:val="auto"/>
                <w:sz w:val="21"/>
              </w:rPr>
              <w:t>80</w:t>
            </w:r>
          </w:p>
        </w:tc>
        <w:tc>
          <w:tcPr>
            <w:tcW w:w="1606" w:type="dxa"/>
            <w:tcBorders>
              <w:tl2br w:val="nil"/>
              <w:tr2bl w:val="nil"/>
            </w:tcBorders>
            <w:tcMar>
              <w:left w:w="28" w:type="dxa"/>
              <w:right w:w="28" w:type="dxa"/>
            </w:tcMar>
            <w:vAlign w:val="center"/>
          </w:tcPr>
          <w:p>
            <w:pPr>
              <w:pStyle w:val="3163"/>
              <w:spacing w:line="240" w:lineRule="auto"/>
              <w:ind w:leftChars="0" w:firstLineChars="0"/>
              <w:jc w:val="left"/>
              <w:rPr>
                <w:color w:val="auto"/>
                <w:sz w:val="21"/>
              </w:rPr>
            </w:pPr>
            <w:r>
              <w:rPr>
                <w:rFonts w:hint="eastAsia"/>
                <w:color w:val="auto"/>
                <w:sz w:val="21"/>
              </w:rPr>
              <w:t>1、</w:t>
            </w:r>
            <w:r>
              <w:rPr>
                <w:color w:val="auto"/>
                <w:sz w:val="21"/>
              </w:rPr>
              <w:t>选低噪声设备</w:t>
            </w:r>
            <w:r>
              <w:rPr>
                <w:rFonts w:hint="eastAsia"/>
                <w:color w:val="auto"/>
                <w:sz w:val="21"/>
              </w:rPr>
              <w:t>；</w:t>
            </w:r>
          </w:p>
          <w:p>
            <w:pPr>
              <w:pStyle w:val="3163"/>
              <w:spacing w:line="240" w:lineRule="auto"/>
              <w:ind w:leftChars="0" w:firstLineChars="0"/>
              <w:jc w:val="left"/>
              <w:rPr>
                <w:color w:val="auto"/>
                <w:sz w:val="21"/>
              </w:rPr>
            </w:pPr>
            <w:r>
              <w:rPr>
                <w:rFonts w:hint="eastAsia"/>
                <w:color w:val="auto"/>
                <w:sz w:val="21"/>
              </w:rPr>
              <w:t>2、风口采用消声装置；</w:t>
            </w:r>
          </w:p>
          <w:p>
            <w:pPr>
              <w:pStyle w:val="3163"/>
              <w:spacing w:line="240" w:lineRule="auto"/>
              <w:ind w:leftChars="0" w:firstLineChars="0"/>
              <w:jc w:val="left"/>
              <w:rPr>
                <w:color w:val="auto"/>
                <w:sz w:val="21"/>
              </w:rPr>
            </w:pPr>
            <w:r>
              <w:rPr>
                <w:rFonts w:hint="eastAsia"/>
                <w:color w:val="auto"/>
                <w:sz w:val="21"/>
              </w:rPr>
              <w:t>3、加装隔声罩；</w:t>
            </w:r>
          </w:p>
          <w:p>
            <w:pPr>
              <w:pStyle w:val="3163"/>
              <w:spacing w:line="240" w:lineRule="auto"/>
              <w:ind w:leftChars="0" w:firstLineChars="0"/>
              <w:jc w:val="left"/>
              <w:rPr>
                <w:color w:val="auto"/>
                <w:sz w:val="21"/>
              </w:rPr>
            </w:pPr>
            <w:r>
              <w:rPr>
                <w:rFonts w:hint="eastAsia"/>
                <w:color w:val="auto"/>
                <w:sz w:val="21"/>
              </w:rPr>
              <w:t>4、基础减振</w:t>
            </w:r>
          </w:p>
        </w:tc>
        <w:tc>
          <w:tcPr>
            <w:tcW w:w="1659" w:type="dxa"/>
            <w:tcBorders>
              <w:tl2br w:val="nil"/>
              <w:tr2bl w:val="nil"/>
            </w:tcBorders>
            <w:vAlign w:val="center"/>
          </w:tcPr>
          <w:p>
            <w:pPr>
              <w:pStyle w:val="3163"/>
              <w:spacing w:line="240" w:lineRule="auto"/>
              <w:ind w:leftChars="0" w:firstLineChars="0"/>
              <w:rPr>
                <w:color w:val="auto"/>
                <w:sz w:val="21"/>
              </w:rPr>
            </w:pPr>
            <w:r>
              <w:rPr>
                <w:color w:val="auto"/>
                <w:sz w:val="21"/>
              </w:rPr>
              <w:t>&lt;70</w:t>
            </w:r>
          </w:p>
        </w:tc>
      </w:tr>
    </w:tbl>
    <w:p>
      <w:pPr>
        <w:pStyle w:val="970"/>
        <w:snapToGrid w:val="0"/>
        <w:ind w:firstLine="0"/>
        <w:outlineLvl w:val="3"/>
        <w:rPr>
          <w:rFonts w:eastAsia="黑体"/>
          <w:bCs/>
          <w:szCs w:val="24"/>
        </w:rPr>
      </w:pPr>
      <w:r>
        <w:rPr>
          <w:rFonts w:eastAsia="黑体"/>
          <w:bCs/>
          <w:szCs w:val="24"/>
        </w:rPr>
        <w:t>7.2.4.2预测方法</w:t>
      </w:r>
    </w:p>
    <w:p>
      <w:pPr>
        <w:pStyle w:val="320"/>
        <w:snapToGrid w:val="0"/>
        <w:spacing w:line="360" w:lineRule="auto"/>
        <w:ind w:firstLine="480"/>
        <w:rPr>
          <w:rFonts w:ascii="Times New Roman" w:hAnsi="Times New Roman"/>
        </w:rPr>
      </w:pPr>
      <w:r>
        <w:rPr>
          <w:rFonts w:ascii="Times New Roman" w:hAnsi="Times New Roman"/>
        </w:rPr>
        <w:t>根据《环境影响评价技术导则 声环境》（HJ2.4-2009）的技术要求，本次评价采取导则上推荐工业模式。</w:t>
      </w:r>
    </w:p>
    <w:p>
      <w:pPr>
        <w:pStyle w:val="320"/>
        <w:snapToGrid w:val="0"/>
        <w:spacing w:line="360" w:lineRule="auto"/>
        <w:ind w:firstLine="480"/>
        <w:rPr>
          <w:rFonts w:ascii="Times New Roman" w:hAnsi="Times New Roman"/>
        </w:rPr>
      </w:pPr>
      <w:r>
        <w:rPr>
          <w:rFonts w:hint="eastAsia" w:ascii="Times New Roman" w:hAnsi="Times New Roman"/>
        </w:rPr>
        <w:t>（1）</w:t>
      </w:r>
      <w:r>
        <w:rPr>
          <w:rFonts w:ascii="Times New Roman" w:hAnsi="Times New Roman"/>
        </w:rPr>
        <w:t>声级计算</w:t>
      </w:r>
    </w:p>
    <w:p>
      <w:pPr>
        <w:pStyle w:val="320"/>
        <w:snapToGrid w:val="0"/>
        <w:spacing w:line="360" w:lineRule="auto"/>
        <w:ind w:firstLine="480"/>
        <w:rPr>
          <w:rFonts w:ascii="Times New Roman" w:hAnsi="Times New Roman"/>
        </w:rPr>
      </w:pPr>
      <w:r>
        <w:rPr>
          <w:rFonts w:ascii="Times New Roman" w:hAnsi="Times New Roman"/>
        </w:rPr>
        <w:t>建设项目声源在预测点产生的等效声级贡献值(Leqg)计算公式：</w:t>
      </w:r>
    </w:p>
    <w:p>
      <w:pPr>
        <w:pStyle w:val="320"/>
        <w:snapToGrid w:val="0"/>
        <w:spacing w:line="360" w:lineRule="auto"/>
        <w:ind w:firstLine="480"/>
        <w:rPr>
          <w:rFonts w:ascii="Times New Roman" w:hAnsi="Times New Roman"/>
        </w:rPr>
      </w:pPr>
      <w:r>
        <w:rPr>
          <w:rFonts w:ascii="Times New Roman" w:hAnsi="Times New Roman"/>
        </w:rPr>
        <w:object>
          <v:shape id="_x0000_i1036" o:spt="75" type="#_x0000_t75" style="height:36.35pt;width:129.2pt;" o:ole="t" filled="f" o:preferrelative="t" stroked="f" coordsize="21600,21600">
            <v:path/>
            <v:fill on="f" focussize="0,0"/>
            <v:stroke on="f" joinstyle="miter"/>
            <v:imagedata r:id="rId40" o:title=""/>
            <o:lock v:ext="edit" aspectratio="t"/>
            <w10:wrap type="none"/>
            <w10:anchorlock/>
          </v:shape>
          <o:OLEObject Type="Embed" ProgID="Equation.3" ShapeID="_x0000_i1036" DrawAspect="Content" ObjectID="_1468075736" r:id="rId39">
            <o:LockedField>false</o:LockedField>
          </o:OLEObject>
        </w:object>
      </w:r>
    </w:p>
    <w:p>
      <w:pPr>
        <w:pStyle w:val="320"/>
        <w:snapToGrid w:val="0"/>
        <w:spacing w:line="360" w:lineRule="auto"/>
        <w:ind w:firstLine="420"/>
        <w:rPr>
          <w:rFonts w:ascii="Times New Roman" w:hAnsi="Times New Roman"/>
          <w:sz w:val="21"/>
          <w:szCs w:val="21"/>
        </w:rPr>
      </w:pPr>
      <w:r>
        <w:rPr>
          <w:rFonts w:ascii="Times New Roman" w:hAnsi="Times New Roman"/>
          <w:sz w:val="21"/>
          <w:szCs w:val="21"/>
        </w:rPr>
        <w:t>式中：Leqg—建设项目声源在预测点的等效声级贡献值，dB(A)；</w:t>
      </w:r>
    </w:p>
    <w:p>
      <w:pPr>
        <w:pStyle w:val="320"/>
        <w:snapToGrid w:val="0"/>
        <w:spacing w:line="360" w:lineRule="auto"/>
        <w:ind w:firstLine="945" w:firstLineChars="450"/>
        <w:rPr>
          <w:rFonts w:ascii="Times New Roman" w:hAnsi="Times New Roman"/>
          <w:sz w:val="21"/>
          <w:szCs w:val="21"/>
        </w:rPr>
      </w:pPr>
      <w:r>
        <w:rPr>
          <w:rFonts w:ascii="Times New Roman" w:hAnsi="Times New Roman"/>
          <w:sz w:val="21"/>
          <w:szCs w:val="21"/>
        </w:rPr>
        <w:t>LAi— i声源在预测点产生的A 声级，dB(A)；</w:t>
      </w:r>
    </w:p>
    <w:p>
      <w:pPr>
        <w:pStyle w:val="320"/>
        <w:snapToGrid w:val="0"/>
        <w:spacing w:line="360" w:lineRule="auto"/>
        <w:ind w:firstLine="945" w:firstLineChars="450"/>
        <w:rPr>
          <w:rFonts w:ascii="Times New Roman" w:hAnsi="Times New Roman"/>
          <w:sz w:val="21"/>
          <w:szCs w:val="21"/>
        </w:rPr>
      </w:pPr>
      <w:r>
        <w:rPr>
          <w:rFonts w:ascii="Times New Roman" w:hAnsi="Times New Roman"/>
          <w:sz w:val="21"/>
          <w:szCs w:val="21"/>
        </w:rPr>
        <w:t>T — 预测计算的时间段，s；</w:t>
      </w:r>
    </w:p>
    <w:p>
      <w:pPr>
        <w:pStyle w:val="320"/>
        <w:snapToGrid w:val="0"/>
        <w:spacing w:line="360" w:lineRule="auto"/>
        <w:ind w:firstLine="945" w:firstLineChars="450"/>
        <w:rPr>
          <w:rFonts w:ascii="Times New Roman" w:hAnsi="Times New Roman"/>
        </w:rPr>
      </w:pPr>
      <w:r>
        <w:rPr>
          <w:rFonts w:ascii="Times New Roman" w:hAnsi="Times New Roman"/>
          <w:sz w:val="21"/>
          <w:szCs w:val="21"/>
        </w:rPr>
        <w:t>ti— i声源在T 时段内的运行时间，s。</w:t>
      </w:r>
    </w:p>
    <w:p>
      <w:pPr>
        <w:pStyle w:val="320"/>
        <w:snapToGrid w:val="0"/>
        <w:spacing w:line="360" w:lineRule="auto"/>
        <w:ind w:firstLine="480"/>
        <w:rPr>
          <w:rFonts w:ascii="Times New Roman" w:hAnsi="Times New Roman"/>
        </w:rPr>
      </w:pPr>
      <w:r>
        <w:rPr>
          <w:rFonts w:hint="eastAsia" w:ascii="Times New Roman" w:hAnsi="Times New Roman"/>
        </w:rPr>
        <w:t>（2）</w:t>
      </w:r>
      <w:r>
        <w:rPr>
          <w:rFonts w:ascii="Times New Roman" w:hAnsi="Times New Roman"/>
        </w:rPr>
        <w:t>预测点的预测等效声级(Leq )计算公式</w:t>
      </w:r>
    </w:p>
    <w:p>
      <w:pPr>
        <w:pStyle w:val="320"/>
        <w:snapToGrid w:val="0"/>
        <w:spacing w:line="360" w:lineRule="auto"/>
        <w:ind w:firstLine="480"/>
        <w:rPr>
          <w:rFonts w:ascii="Times New Roman" w:hAnsi="Times New Roman"/>
        </w:rPr>
      </w:pPr>
      <w:r>
        <w:rPr>
          <w:rFonts w:ascii="Times New Roman" w:hAnsi="Times New Roman"/>
        </w:rPr>
        <w:object>
          <v:shape id="_x0000_i1037" o:spt="75" type="#_x0000_t75" style="height:21.55pt;width:136.6pt;" o:ole="t" filled="f" o:preferrelative="t" stroked="f" coordsize="21600,21600">
            <v:path/>
            <v:fill on="f" focussize="0,0"/>
            <v:stroke on="f" joinstyle="miter"/>
            <v:imagedata r:id="rId42" o:title=""/>
            <o:lock v:ext="edit" aspectratio="t"/>
            <w10:wrap type="none"/>
            <w10:anchorlock/>
          </v:shape>
          <o:OLEObject Type="Embed" ProgID="Equation.3" ShapeID="_x0000_i1037" DrawAspect="Content" ObjectID="_1468075737" r:id="rId41">
            <o:LockedField>false</o:LockedField>
          </o:OLEObject>
        </w:object>
      </w:r>
    </w:p>
    <w:p>
      <w:pPr>
        <w:pStyle w:val="320"/>
        <w:snapToGrid w:val="0"/>
        <w:spacing w:line="360" w:lineRule="auto"/>
        <w:ind w:firstLine="420"/>
        <w:rPr>
          <w:rFonts w:ascii="Times New Roman" w:hAnsi="Times New Roman"/>
          <w:sz w:val="21"/>
          <w:szCs w:val="21"/>
        </w:rPr>
      </w:pPr>
      <w:r>
        <w:rPr>
          <w:rFonts w:ascii="Times New Roman" w:hAnsi="Times New Roman"/>
          <w:sz w:val="21"/>
          <w:szCs w:val="21"/>
        </w:rPr>
        <w:t>式中：Leqg —建设项目声源在预测点的等效声级贡献值，dB(A)；</w:t>
      </w:r>
    </w:p>
    <w:p>
      <w:pPr>
        <w:pStyle w:val="320"/>
        <w:snapToGrid w:val="0"/>
        <w:spacing w:line="360" w:lineRule="auto"/>
        <w:ind w:firstLine="1050" w:firstLineChars="500"/>
        <w:rPr>
          <w:rFonts w:ascii="Times New Roman" w:hAnsi="Times New Roman"/>
          <w:sz w:val="21"/>
          <w:szCs w:val="21"/>
        </w:rPr>
      </w:pPr>
      <w:r>
        <w:rPr>
          <w:rFonts w:ascii="Times New Roman" w:hAnsi="Times New Roman"/>
          <w:sz w:val="21"/>
          <w:szCs w:val="21"/>
        </w:rPr>
        <w:t>Leqb — 预测点的背景值，dB(A)</w:t>
      </w:r>
    </w:p>
    <w:p>
      <w:pPr>
        <w:pStyle w:val="320"/>
        <w:snapToGrid w:val="0"/>
        <w:spacing w:line="360" w:lineRule="auto"/>
        <w:ind w:firstLine="480"/>
        <w:rPr>
          <w:rFonts w:ascii="Times New Roman" w:hAnsi="Times New Roman"/>
        </w:rPr>
      </w:pPr>
      <w:r>
        <w:rPr>
          <w:rFonts w:hint="eastAsia" w:ascii="Times New Roman" w:hAnsi="Times New Roman"/>
        </w:rPr>
        <w:t>（3）</w:t>
      </w:r>
      <w:r>
        <w:rPr>
          <w:rFonts w:ascii="Times New Roman" w:hAnsi="Times New Roman"/>
        </w:rPr>
        <w:t>户外声传播衰减计算</w:t>
      </w:r>
    </w:p>
    <w:p>
      <w:pPr>
        <w:pStyle w:val="320"/>
        <w:snapToGrid w:val="0"/>
        <w:spacing w:line="360" w:lineRule="auto"/>
        <w:ind w:firstLine="480"/>
        <w:rPr>
          <w:rFonts w:ascii="Times New Roman" w:hAnsi="Times New Roman"/>
        </w:rPr>
      </w:pPr>
      <w:r>
        <w:rPr>
          <w:rFonts w:ascii="Times New Roman" w:hAnsi="Times New Roman"/>
        </w:rPr>
        <w:t>户外声传播衰减包括几何发散（Adiv）、大气吸收（Aatm）、地面效应（Agr）、屏障屏蔽（Abar）、其他多方面效应（Amisc）引起的衰减。</w:t>
      </w:r>
    </w:p>
    <w:p>
      <w:pPr>
        <w:pStyle w:val="320"/>
        <w:snapToGrid w:val="0"/>
        <w:spacing w:line="360" w:lineRule="auto"/>
        <w:ind w:firstLine="480"/>
        <w:rPr>
          <w:rFonts w:ascii="Times New Roman" w:hAnsi="Times New Roman"/>
        </w:rPr>
      </w:pPr>
      <w:r>
        <w:rPr>
          <w:rFonts w:ascii="Times New Roman" w:hAnsi="Times New Roman"/>
        </w:rPr>
        <w:t>距声源点r处的A声级按下式计算：</w:t>
      </w:r>
    </w:p>
    <w:p>
      <w:pPr>
        <w:pStyle w:val="320"/>
        <w:snapToGrid w:val="0"/>
        <w:spacing w:line="360" w:lineRule="auto"/>
        <w:ind w:firstLine="480"/>
        <w:rPr>
          <w:rFonts w:ascii="Times New Roman" w:hAnsi="Times New Roman"/>
        </w:rPr>
      </w:pPr>
      <w:r>
        <w:rPr>
          <w:rFonts w:ascii="Times New Roman" w:hAnsi="Times New Roman"/>
        </w:rPr>
        <w:object>
          <v:shape id="_x0000_i1038" o:spt="75" type="#_x0000_t75" style="height:21.55pt;width:230.8pt;" o:ole="t" filled="f" o:preferrelative="t" stroked="f" coordsize="21600,21600">
            <v:path/>
            <v:fill on="f" focussize="0,0"/>
            <v:stroke on="f" joinstyle="miter"/>
            <v:imagedata r:id="rId44" o:title=""/>
            <o:lock v:ext="edit" aspectratio="t"/>
            <w10:wrap type="none"/>
            <w10:anchorlock/>
          </v:shape>
          <o:OLEObject Type="Embed" ProgID="Equation.3" ShapeID="_x0000_i1038" DrawAspect="Content" ObjectID="_1468075738" r:id="rId43">
            <o:LockedField>false</o:LockedField>
          </o:OLEObject>
        </w:object>
      </w:r>
    </w:p>
    <w:p>
      <w:pPr>
        <w:pStyle w:val="320"/>
        <w:snapToGrid w:val="0"/>
        <w:spacing w:line="360" w:lineRule="auto"/>
        <w:ind w:firstLine="480"/>
        <w:rPr>
          <w:rFonts w:ascii="Times New Roman" w:hAnsi="Times New Roman"/>
        </w:rPr>
      </w:pPr>
      <w:r>
        <w:rPr>
          <w:rFonts w:ascii="Times New Roman" w:hAnsi="Times New Roman"/>
        </w:rPr>
        <w:t>在预测中考虑反射引起的修正、屏障引起的衰减、双绕射、室内声源等效室外声源等影响和计算方法。</w:t>
      </w:r>
    </w:p>
    <w:p>
      <w:pPr>
        <w:pStyle w:val="970"/>
        <w:snapToGrid w:val="0"/>
        <w:ind w:firstLine="0"/>
        <w:outlineLvl w:val="3"/>
        <w:rPr>
          <w:rFonts w:eastAsia="黑体"/>
          <w:bCs/>
          <w:szCs w:val="24"/>
        </w:rPr>
      </w:pPr>
      <w:r>
        <w:rPr>
          <w:rFonts w:eastAsia="黑体"/>
          <w:bCs/>
          <w:szCs w:val="24"/>
        </w:rPr>
        <w:t>7.2.4.3预测评价内容</w:t>
      </w:r>
    </w:p>
    <w:p>
      <w:pPr>
        <w:pStyle w:val="320"/>
        <w:snapToGrid w:val="0"/>
        <w:spacing w:line="360" w:lineRule="auto"/>
        <w:ind w:firstLine="480"/>
        <w:rPr>
          <w:rFonts w:ascii="Times New Roman" w:hAnsi="Times New Roman"/>
        </w:rPr>
      </w:pPr>
      <w:r>
        <w:rPr>
          <w:rFonts w:ascii="Times New Roman" w:hAnsi="Times New Roman"/>
        </w:rPr>
        <w:t>根据项目周边外环境情况，在项目投入运营后拟建项目厂界以外200m范围内分布有散户，因此，本评价通过对本工程运行期噪声源源强进行类比调查，预测本工程噪声源对厂界外1m和距离项目较近的敏感点中散户的影响程度。</w:t>
      </w:r>
    </w:p>
    <w:p>
      <w:pPr>
        <w:pStyle w:val="970"/>
        <w:snapToGrid w:val="0"/>
        <w:ind w:firstLine="0"/>
        <w:outlineLvl w:val="3"/>
        <w:rPr>
          <w:rFonts w:eastAsia="黑体"/>
          <w:bCs/>
          <w:szCs w:val="24"/>
        </w:rPr>
      </w:pPr>
      <w:r>
        <w:rPr>
          <w:rFonts w:eastAsia="黑体"/>
          <w:bCs/>
          <w:szCs w:val="24"/>
        </w:rPr>
        <w:t>7.2.4.4预测结果及分析</w:t>
      </w:r>
    </w:p>
    <w:p>
      <w:pPr>
        <w:ind w:firstLine="561"/>
      </w:pPr>
      <w:r>
        <w:rPr>
          <w:rFonts w:hint="eastAsia"/>
        </w:rPr>
        <w:t>（1）厂界达标预测</w:t>
      </w:r>
    </w:p>
    <w:p>
      <w:pPr>
        <w:ind w:firstLine="561"/>
      </w:pPr>
      <w:r>
        <w:t>根据项目所处的地理位置及平面布置情况，各生产车间与厂界距离详见表7.2</w:t>
      </w:r>
      <w:r>
        <w:rPr>
          <w:rFonts w:hint="eastAsia"/>
        </w:rPr>
        <w:t>-</w:t>
      </w:r>
      <w:r>
        <w:t>19。</w:t>
      </w:r>
    </w:p>
    <w:p>
      <w:pPr>
        <w:spacing w:line="240" w:lineRule="auto"/>
        <w:ind w:firstLine="1080" w:firstLineChars="450"/>
        <w:jc w:val="right"/>
        <w:rPr>
          <w:rFonts w:eastAsia="黑体"/>
          <w:bCs/>
          <w:szCs w:val="21"/>
        </w:rPr>
      </w:pPr>
    </w:p>
    <w:p>
      <w:pPr>
        <w:spacing w:line="240" w:lineRule="auto"/>
        <w:ind w:firstLine="1080" w:firstLineChars="450"/>
        <w:jc w:val="right"/>
        <w:rPr>
          <w:rFonts w:eastAsia="黑体"/>
          <w:bCs/>
          <w:szCs w:val="21"/>
        </w:rPr>
      </w:pPr>
      <w:r>
        <w:rPr>
          <w:rFonts w:eastAsia="黑体"/>
          <w:bCs/>
          <w:szCs w:val="21"/>
        </w:rPr>
        <w:t>表7.2-19   生产车间距厂界距离 （最近距离）          单位：m</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36"/>
        <w:gridCol w:w="1681"/>
        <w:gridCol w:w="1680"/>
        <w:gridCol w:w="1609"/>
        <w:gridCol w:w="148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2336" w:type="dxa"/>
            <w:tcBorders>
              <w:tl2br w:val="nil"/>
              <w:tr2bl w:val="nil"/>
            </w:tcBorders>
            <w:vAlign w:val="center"/>
          </w:tcPr>
          <w:p>
            <w:pPr>
              <w:spacing w:line="240" w:lineRule="auto"/>
              <w:jc w:val="center"/>
              <w:rPr>
                <w:b/>
                <w:sz w:val="21"/>
                <w:szCs w:val="21"/>
              </w:rPr>
            </w:pPr>
            <w:r>
              <w:rPr>
                <w:b/>
                <w:sz w:val="21"/>
                <w:szCs w:val="21"/>
              </w:rPr>
              <w:t>名称</w:t>
            </w:r>
          </w:p>
        </w:tc>
        <w:tc>
          <w:tcPr>
            <w:tcW w:w="1681" w:type="dxa"/>
            <w:tcBorders>
              <w:tl2br w:val="nil"/>
              <w:tr2bl w:val="nil"/>
            </w:tcBorders>
            <w:vAlign w:val="center"/>
          </w:tcPr>
          <w:p>
            <w:pPr>
              <w:spacing w:line="240" w:lineRule="auto"/>
              <w:jc w:val="center"/>
              <w:rPr>
                <w:b/>
                <w:sz w:val="21"/>
                <w:szCs w:val="21"/>
              </w:rPr>
            </w:pPr>
            <w:r>
              <w:rPr>
                <w:b/>
                <w:sz w:val="21"/>
                <w:szCs w:val="21"/>
              </w:rPr>
              <w:t>东厂界</w:t>
            </w:r>
          </w:p>
        </w:tc>
        <w:tc>
          <w:tcPr>
            <w:tcW w:w="1680" w:type="dxa"/>
            <w:tcBorders>
              <w:tl2br w:val="nil"/>
              <w:tr2bl w:val="nil"/>
            </w:tcBorders>
            <w:vAlign w:val="center"/>
          </w:tcPr>
          <w:p>
            <w:pPr>
              <w:spacing w:line="240" w:lineRule="auto"/>
              <w:jc w:val="center"/>
              <w:rPr>
                <w:b/>
                <w:sz w:val="21"/>
                <w:szCs w:val="21"/>
              </w:rPr>
            </w:pPr>
            <w:r>
              <w:rPr>
                <w:b/>
                <w:sz w:val="21"/>
                <w:szCs w:val="21"/>
              </w:rPr>
              <w:t>南厂界</w:t>
            </w:r>
          </w:p>
        </w:tc>
        <w:tc>
          <w:tcPr>
            <w:tcW w:w="1609" w:type="dxa"/>
            <w:tcBorders>
              <w:tl2br w:val="nil"/>
              <w:tr2bl w:val="nil"/>
            </w:tcBorders>
            <w:vAlign w:val="center"/>
          </w:tcPr>
          <w:p>
            <w:pPr>
              <w:spacing w:line="240" w:lineRule="auto"/>
              <w:jc w:val="center"/>
              <w:rPr>
                <w:b/>
                <w:sz w:val="21"/>
                <w:szCs w:val="21"/>
              </w:rPr>
            </w:pPr>
            <w:r>
              <w:rPr>
                <w:b/>
                <w:sz w:val="21"/>
                <w:szCs w:val="21"/>
              </w:rPr>
              <w:t>西厂界</w:t>
            </w:r>
          </w:p>
        </w:tc>
        <w:tc>
          <w:tcPr>
            <w:tcW w:w="1481" w:type="dxa"/>
            <w:tcBorders>
              <w:tl2br w:val="nil"/>
              <w:tr2bl w:val="nil"/>
            </w:tcBorders>
            <w:vAlign w:val="center"/>
          </w:tcPr>
          <w:p>
            <w:pPr>
              <w:spacing w:line="240" w:lineRule="auto"/>
              <w:jc w:val="center"/>
              <w:rPr>
                <w:b/>
                <w:sz w:val="21"/>
                <w:szCs w:val="21"/>
              </w:rPr>
            </w:pPr>
            <w:r>
              <w:rPr>
                <w:b/>
                <w:sz w:val="21"/>
                <w:szCs w:val="21"/>
              </w:rPr>
              <w:t>北厂界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2" w:hRule="atLeast"/>
          <w:jc w:val="center"/>
        </w:trPr>
        <w:tc>
          <w:tcPr>
            <w:tcW w:w="2336" w:type="dxa"/>
            <w:tcBorders>
              <w:tl2br w:val="nil"/>
              <w:tr2bl w:val="nil"/>
            </w:tcBorders>
            <w:vAlign w:val="center"/>
          </w:tcPr>
          <w:p>
            <w:pPr>
              <w:spacing w:line="240" w:lineRule="auto"/>
              <w:jc w:val="center"/>
              <w:rPr>
                <w:sz w:val="21"/>
                <w:szCs w:val="21"/>
              </w:rPr>
            </w:pPr>
            <w:r>
              <w:rPr>
                <w:sz w:val="21"/>
                <w:szCs w:val="21"/>
              </w:rPr>
              <w:t>猪舍</w:t>
            </w:r>
          </w:p>
        </w:tc>
        <w:tc>
          <w:tcPr>
            <w:tcW w:w="1681" w:type="dxa"/>
            <w:tcBorders>
              <w:tl2br w:val="nil"/>
              <w:tr2bl w:val="nil"/>
            </w:tcBorders>
            <w:vAlign w:val="center"/>
          </w:tcPr>
          <w:p>
            <w:pPr>
              <w:pStyle w:val="71"/>
              <w:tabs>
                <w:tab w:val="left" w:pos="6912"/>
              </w:tabs>
              <w:spacing w:line="240" w:lineRule="auto"/>
              <w:ind w:firstLine="525" w:firstLineChars="250"/>
              <w:rPr>
                <w:sz w:val="21"/>
                <w:szCs w:val="21"/>
              </w:rPr>
            </w:pPr>
            <w:r>
              <w:rPr>
                <w:rFonts w:hint="eastAsia"/>
                <w:sz w:val="21"/>
                <w:szCs w:val="21"/>
              </w:rPr>
              <w:t>1</w:t>
            </w:r>
            <w:r>
              <w:rPr>
                <w:sz w:val="21"/>
                <w:szCs w:val="21"/>
              </w:rPr>
              <w:t>0</w:t>
            </w:r>
          </w:p>
        </w:tc>
        <w:tc>
          <w:tcPr>
            <w:tcW w:w="1680" w:type="dxa"/>
            <w:tcBorders>
              <w:tl2br w:val="nil"/>
              <w:tr2bl w:val="nil"/>
            </w:tcBorders>
            <w:vAlign w:val="center"/>
          </w:tcPr>
          <w:p>
            <w:pPr>
              <w:pStyle w:val="71"/>
              <w:tabs>
                <w:tab w:val="left" w:pos="6912"/>
              </w:tabs>
              <w:spacing w:line="240" w:lineRule="auto"/>
              <w:ind w:firstLine="525" w:firstLineChars="250"/>
              <w:rPr>
                <w:sz w:val="21"/>
                <w:szCs w:val="21"/>
              </w:rPr>
            </w:pPr>
            <w:r>
              <w:rPr>
                <w:sz w:val="21"/>
                <w:szCs w:val="21"/>
              </w:rPr>
              <w:t>22</w:t>
            </w:r>
          </w:p>
        </w:tc>
        <w:tc>
          <w:tcPr>
            <w:tcW w:w="1609" w:type="dxa"/>
            <w:tcBorders>
              <w:tl2br w:val="nil"/>
              <w:tr2bl w:val="nil"/>
            </w:tcBorders>
            <w:vAlign w:val="center"/>
          </w:tcPr>
          <w:p>
            <w:pPr>
              <w:pStyle w:val="71"/>
              <w:tabs>
                <w:tab w:val="left" w:pos="6912"/>
              </w:tabs>
              <w:spacing w:line="240" w:lineRule="auto"/>
              <w:ind w:firstLine="420" w:firstLineChars="200"/>
              <w:rPr>
                <w:sz w:val="21"/>
                <w:szCs w:val="21"/>
              </w:rPr>
            </w:pPr>
            <w:r>
              <w:rPr>
                <w:sz w:val="21"/>
                <w:szCs w:val="21"/>
              </w:rPr>
              <w:t>5</w:t>
            </w:r>
          </w:p>
        </w:tc>
        <w:tc>
          <w:tcPr>
            <w:tcW w:w="1481" w:type="dxa"/>
            <w:tcBorders>
              <w:tl2br w:val="nil"/>
              <w:tr2bl w:val="nil"/>
            </w:tcBorders>
            <w:vAlign w:val="center"/>
          </w:tcPr>
          <w:p>
            <w:pPr>
              <w:pStyle w:val="71"/>
              <w:tabs>
                <w:tab w:val="left" w:pos="6912"/>
              </w:tabs>
              <w:spacing w:line="240" w:lineRule="auto"/>
              <w:ind w:firstLine="0"/>
              <w:jc w:val="center"/>
              <w:rPr>
                <w:sz w:val="21"/>
                <w:szCs w:val="21"/>
              </w:rPr>
            </w:pPr>
            <w:r>
              <w:rPr>
                <w:sz w:val="21"/>
                <w:szCs w:val="21"/>
              </w:rPr>
              <w:t>74</w:t>
            </w:r>
          </w:p>
        </w:tc>
      </w:tr>
    </w:tbl>
    <w:p>
      <w:pPr>
        <w:pStyle w:val="320"/>
        <w:snapToGrid w:val="0"/>
        <w:spacing w:line="360" w:lineRule="auto"/>
        <w:ind w:firstLine="480"/>
        <w:rPr>
          <w:rFonts w:ascii="Times New Roman" w:hAnsi="Times New Roman"/>
        </w:rPr>
      </w:pPr>
      <w:r>
        <w:rPr>
          <w:rFonts w:ascii="Times New Roman" w:hAnsi="Times New Roman"/>
        </w:rPr>
        <w:t>本项目评价方法是对厂界噪声进行预测，分析厂界噪声的达标情况，以分析拟建项目对厂界及声环境的影响程度。厂界噪声预测结果见表7.2</w:t>
      </w:r>
      <w:r>
        <w:rPr>
          <w:rFonts w:hint="eastAsia" w:ascii="Times New Roman" w:hAnsi="Times New Roman"/>
        </w:rPr>
        <w:t>-</w:t>
      </w:r>
      <w:r>
        <w:rPr>
          <w:rFonts w:ascii="Times New Roman" w:hAnsi="Times New Roman"/>
        </w:rPr>
        <w:t>20。</w:t>
      </w:r>
    </w:p>
    <w:p>
      <w:pPr>
        <w:pStyle w:val="462"/>
        <w:numPr>
          <w:ilvl w:val="2"/>
          <w:numId w:val="0"/>
        </w:numPr>
        <w:tabs>
          <w:tab w:val="clear" w:pos="2705"/>
        </w:tabs>
        <w:adjustRightInd w:val="0"/>
        <w:snapToGrid w:val="0"/>
        <w:spacing w:line="240" w:lineRule="auto"/>
        <w:jc w:val="center"/>
        <w:outlineLvl w:val="9"/>
        <w:rPr>
          <w:rFonts w:eastAsia="黑体"/>
          <w:b w:val="0"/>
          <w:bCs w:val="0"/>
          <w:color w:val="auto"/>
          <w:sz w:val="24"/>
          <w:szCs w:val="24"/>
        </w:rPr>
      </w:pPr>
      <w:r>
        <w:rPr>
          <w:rFonts w:eastAsia="黑体"/>
          <w:b w:val="0"/>
          <w:bCs w:val="0"/>
          <w:color w:val="auto"/>
          <w:sz w:val="24"/>
          <w:szCs w:val="24"/>
        </w:rPr>
        <w:t>表7.2-20 本项目厂界噪声贡献值结果单位：Leq[dB(A)]</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299"/>
        <w:gridCol w:w="1730"/>
        <w:gridCol w:w="1344"/>
        <w:gridCol w:w="1466"/>
        <w:gridCol w:w="1509"/>
        <w:gridCol w:w="1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cantSplit/>
          <w:trHeight w:val="20" w:hRule="atLeast"/>
          <w:jc w:val="center"/>
        </w:trPr>
        <w:tc>
          <w:tcPr>
            <w:tcW w:w="1085" w:type="dxa"/>
            <w:tcBorders>
              <w:tl2br w:val="nil"/>
              <w:tr2bl w:val="nil"/>
            </w:tcBorders>
            <w:vAlign w:val="center"/>
          </w:tcPr>
          <w:p>
            <w:pPr>
              <w:spacing w:line="240" w:lineRule="exact"/>
              <w:jc w:val="center"/>
              <w:rPr>
                <w:b/>
                <w:snapToGrid w:val="0"/>
                <w:sz w:val="21"/>
                <w:szCs w:val="21"/>
              </w:rPr>
            </w:pPr>
            <w:r>
              <w:rPr>
                <w:b/>
                <w:snapToGrid w:val="0"/>
                <w:sz w:val="21"/>
                <w:szCs w:val="21"/>
              </w:rPr>
              <w:t>序号</w:t>
            </w:r>
          </w:p>
        </w:tc>
        <w:tc>
          <w:tcPr>
            <w:tcW w:w="1444" w:type="dxa"/>
            <w:tcBorders>
              <w:tl2br w:val="nil"/>
              <w:tr2bl w:val="nil"/>
            </w:tcBorders>
            <w:vAlign w:val="center"/>
          </w:tcPr>
          <w:p>
            <w:pPr>
              <w:spacing w:line="240" w:lineRule="exact"/>
              <w:jc w:val="center"/>
              <w:rPr>
                <w:b/>
                <w:snapToGrid w:val="0"/>
                <w:sz w:val="21"/>
                <w:szCs w:val="21"/>
              </w:rPr>
            </w:pPr>
            <w:r>
              <w:rPr>
                <w:b/>
                <w:snapToGrid w:val="0"/>
                <w:sz w:val="21"/>
                <w:szCs w:val="21"/>
              </w:rPr>
              <w:t>位置</w:t>
            </w:r>
          </w:p>
        </w:tc>
        <w:tc>
          <w:tcPr>
            <w:tcW w:w="1122" w:type="dxa"/>
            <w:tcBorders>
              <w:tl2br w:val="nil"/>
              <w:tr2bl w:val="nil"/>
            </w:tcBorders>
            <w:vAlign w:val="center"/>
          </w:tcPr>
          <w:p>
            <w:pPr>
              <w:spacing w:line="240" w:lineRule="exact"/>
              <w:jc w:val="center"/>
              <w:rPr>
                <w:b/>
                <w:snapToGrid w:val="0"/>
                <w:sz w:val="21"/>
                <w:szCs w:val="21"/>
              </w:rPr>
            </w:pPr>
            <w:r>
              <w:rPr>
                <w:b/>
                <w:snapToGrid w:val="0"/>
                <w:sz w:val="21"/>
                <w:szCs w:val="21"/>
              </w:rPr>
              <w:t>时间</w:t>
            </w:r>
          </w:p>
        </w:tc>
        <w:tc>
          <w:tcPr>
            <w:tcW w:w="1224" w:type="dxa"/>
            <w:tcBorders>
              <w:tl2br w:val="nil"/>
              <w:tr2bl w:val="nil"/>
            </w:tcBorders>
            <w:vAlign w:val="center"/>
          </w:tcPr>
          <w:p>
            <w:pPr>
              <w:spacing w:line="240" w:lineRule="exact"/>
              <w:jc w:val="center"/>
              <w:rPr>
                <w:b/>
                <w:snapToGrid w:val="0"/>
                <w:sz w:val="21"/>
                <w:szCs w:val="21"/>
              </w:rPr>
            </w:pPr>
            <w:r>
              <w:rPr>
                <w:b/>
                <w:snapToGrid w:val="0"/>
                <w:sz w:val="21"/>
                <w:szCs w:val="21"/>
              </w:rPr>
              <w:t>最大贡献值</w:t>
            </w:r>
          </w:p>
        </w:tc>
        <w:tc>
          <w:tcPr>
            <w:tcW w:w="1260" w:type="dxa"/>
            <w:tcBorders>
              <w:tl2br w:val="nil"/>
              <w:tr2bl w:val="nil"/>
            </w:tcBorders>
            <w:vAlign w:val="center"/>
          </w:tcPr>
          <w:p>
            <w:pPr>
              <w:spacing w:line="240" w:lineRule="exact"/>
              <w:jc w:val="center"/>
              <w:rPr>
                <w:b/>
                <w:snapToGrid w:val="0"/>
                <w:sz w:val="21"/>
                <w:szCs w:val="21"/>
              </w:rPr>
            </w:pPr>
            <w:r>
              <w:rPr>
                <w:b/>
                <w:snapToGrid w:val="0"/>
                <w:sz w:val="21"/>
                <w:szCs w:val="21"/>
              </w:rPr>
              <w:t>达标情况</w:t>
            </w:r>
          </w:p>
        </w:tc>
        <w:tc>
          <w:tcPr>
            <w:tcW w:w="1335" w:type="dxa"/>
            <w:tcBorders>
              <w:tl2br w:val="nil"/>
              <w:tr2bl w:val="nil"/>
            </w:tcBorders>
            <w:vAlign w:val="center"/>
          </w:tcPr>
          <w:p>
            <w:pPr>
              <w:spacing w:line="240" w:lineRule="exact"/>
              <w:jc w:val="center"/>
              <w:rPr>
                <w:b/>
                <w:snapToGrid w:val="0"/>
                <w:sz w:val="21"/>
                <w:szCs w:val="21"/>
              </w:rPr>
            </w:pPr>
            <w:r>
              <w:rPr>
                <w:b/>
                <w:snapToGrid w:val="0"/>
                <w:sz w:val="21"/>
                <w:szCs w:val="21"/>
              </w:rPr>
              <w:t>评价执行标准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restart"/>
            <w:tcBorders>
              <w:tl2br w:val="nil"/>
              <w:tr2bl w:val="nil"/>
            </w:tcBorders>
            <w:vAlign w:val="center"/>
          </w:tcPr>
          <w:p>
            <w:pPr>
              <w:spacing w:line="240" w:lineRule="exact"/>
              <w:ind w:right="-2" w:rightChars="-1"/>
              <w:jc w:val="center"/>
              <w:rPr>
                <w:snapToGrid w:val="0"/>
                <w:sz w:val="21"/>
                <w:szCs w:val="21"/>
              </w:rPr>
            </w:pPr>
            <w:r>
              <w:rPr>
                <w:snapToGrid w:val="0"/>
                <w:sz w:val="21"/>
                <w:szCs w:val="21"/>
              </w:rPr>
              <w:t>1</w:t>
            </w:r>
          </w:p>
        </w:tc>
        <w:tc>
          <w:tcPr>
            <w:tcW w:w="1444" w:type="dxa"/>
            <w:vMerge w:val="restart"/>
            <w:tcBorders>
              <w:tl2br w:val="nil"/>
              <w:tr2bl w:val="nil"/>
            </w:tcBorders>
            <w:vAlign w:val="center"/>
          </w:tcPr>
          <w:p>
            <w:pPr>
              <w:spacing w:line="240" w:lineRule="exact"/>
              <w:jc w:val="center"/>
              <w:rPr>
                <w:snapToGrid w:val="0"/>
                <w:sz w:val="21"/>
                <w:szCs w:val="21"/>
              </w:rPr>
            </w:pPr>
            <w:r>
              <w:rPr>
                <w:snapToGrid w:val="0"/>
                <w:sz w:val="21"/>
                <w:szCs w:val="21"/>
              </w:rPr>
              <w:t>本项目东侧厂界</w:t>
            </w: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昼间</w:t>
            </w:r>
          </w:p>
        </w:tc>
        <w:tc>
          <w:tcPr>
            <w:tcW w:w="1224" w:type="dxa"/>
            <w:vMerge w:val="restart"/>
            <w:tcBorders>
              <w:tl2br w:val="nil"/>
              <w:tr2bl w:val="nil"/>
            </w:tcBorders>
            <w:vAlign w:val="center"/>
          </w:tcPr>
          <w:p>
            <w:pPr>
              <w:spacing w:line="240" w:lineRule="exact"/>
              <w:jc w:val="center"/>
              <w:rPr>
                <w:snapToGrid w:val="0"/>
                <w:sz w:val="21"/>
                <w:szCs w:val="21"/>
              </w:rPr>
            </w:pPr>
            <w:r>
              <w:rPr>
                <w:snapToGrid w:val="0"/>
                <w:sz w:val="21"/>
                <w:szCs w:val="21"/>
              </w:rPr>
              <w:t>51.46</w:t>
            </w:r>
          </w:p>
        </w:tc>
        <w:tc>
          <w:tcPr>
            <w:tcW w:w="1260" w:type="dxa"/>
            <w:tcBorders>
              <w:tl2br w:val="nil"/>
              <w:tr2bl w:val="nil"/>
            </w:tcBorders>
            <w:vAlign w:val="center"/>
          </w:tcPr>
          <w:p>
            <w:pPr>
              <w:adjustRightInd w:val="0"/>
              <w:snapToGrid w:val="0"/>
              <w:spacing w:line="240" w:lineRule="auto"/>
              <w:jc w:val="center"/>
              <w:rPr>
                <w:sz w:val="21"/>
                <w:szCs w:val="21"/>
              </w:rPr>
            </w:pPr>
            <w:r>
              <w:rPr>
                <w:sz w:val="21"/>
                <w:szCs w:val="21"/>
              </w:rPr>
              <w:t>达标</w:t>
            </w:r>
          </w:p>
        </w:tc>
        <w:tc>
          <w:tcPr>
            <w:tcW w:w="1335" w:type="dxa"/>
            <w:vMerge w:val="restart"/>
            <w:tcBorders>
              <w:tl2br w:val="nil"/>
              <w:tr2bl w:val="nil"/>
            </w:tcBorders>
            <w:vAlign w:val="center"/>
          </w:tcPr>
          <w:p>
            <w:pPr>
              <w:adjustRightInd w:val="0"/>
              <w:snapToGrid w:val="0"/>
              <w:spacing w:line="276" w:lineRule="auto"/>
              <w:jc w:val="center"/>
              <w:rPr>
                <w:sz w:val="21"/>
                <w:szCs w:val="21"/>
              </w:rPr>
            </w:pPr>
            <w:r>
              <w:rPr>
                <w:sz w:val="21"/>
                <w:szCs w:val="21"/>
              </w:rPr>
              <w:t>GB12348-2008</w:t>
            </w:r>
          </w:p>
          <w:p>
            <w:pPr>
              <w:spacing w:line="240" w:lineRule="exact"/>
              <w:jc w:val="center"/>
              <w:rPr>
                <w:snapToGrid w:val="0"/>
                <w:sz w:val="21"/>
                <w:szCs w:val="21"/>
              </w:rPr>
            </w:pPr>
            <w:r>
              <w:rPr>
                <w:snapToGrid w:val="0"/>
                <w:sz w:val="21"/>
                <w:szCs w:val="21"/>
              </w:rPr>
              <w:t>2类</w:t>
            </w:r>
          </w:p>
          <w:p>
            <w:pPr>
              <w:spacing w:line="240" w:lineRule="exact"/>
              <w:jc w:val="center"/>
              <w:rPr>
                <w:snapToGrid w:val="0"/>
                <w:sz w:val="21"/>
                <w:szCs w:val="21"/>
              </w:rPr>
            </w:pPr>
            <w:r>
              <w:rPr>
                <w:snapToGrid w:val="0"/>
                <w:sz w:val="21"/>
                <w:szCs w:val="21"/>
              </w:rPr>
              <w:t>昼间60dB（A）</w:t>
            </w:r>
          </w:p>
          <w:p>
            <w:pPr>
              <w:spacing w:line="240" w:lineRule="exact"/>
              <w:jc w:val="center"/>
              <w:rPr>
                <w:snapToGrid w:val="0"/>
                <w:sz w:val="21"/>
                <w:szCs w:val="21"/>
              </w:rPr>
            </w:pPr>
            <w:r>
              <w:rPr>
                <w:snapToGrid w:val="0"/>
                <w:sz w:val="21"/>
                <w:szCs w:val="21"/>
              </w:rPr>
              <w:t>夜间50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continue"/>
            <w:tcBorders>
              <w:tl2br w:val="nil"/>
              <w:tr2bl w:val="nil"/>
            </w:tcBorders>
            <w:vAlign w:val="center"/>
          </w:tcPr>
          <w:p>
            <w:pPr>
              <w:spacing w:line="240" w:lineRule="exact"/>
              <w:jc w:val="center"/>
              <w:rPr>
                <w:snapToGrid w:val="0"/>
                <w:sz w:val="21"/>
                <w:szCs w:val="21"/>
              </w:rPr>
            </w:pPr>
          </w:p>
        </w:tc>
        <w:tc>
          <w:tcPr>
            <w:tcW w:w="1444" w:type="dxa"/>
            <w:vMerge w:val="continue"/>
            <w:tcBorders>
              <w:tl2br w:val="nil"/>
              <w:tr2bl w:val="nil"/>
            </w:tcBorders>
            <w:vAlign w:val="center"/>
          </w:tcPr>
          <w:p>
            <w:pPr>
              <w:spacing w:line="240" w:lineRule="exact"/>
              <w:jc w:val="center"/>
              <w:rPr>
                <w:snapToGrid w:val="0"/>
                <w:sz w:val="21"/>
                <w:szCs w:val="21"/>
              </w:rPr>
            </w:pP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夜间</w:t>
            </w:r>
          </w:p>
        </w:tc>
        <w:tc>
          <w:tcPr>
            <w:tcW w:w="1224" w:type="dxa"/>
            <w:vMerge w:val="continue"/>
            <w:tcBorders>
              <w:tl2br w:val="nil"/>
              <w:tr2bl w:val="nil"/>
            </w:tcBorders>
            <w:vAlign w:val="center"/>
          </w:tcPr>
          <w:p>
            <w:pPr>
              <w:spacing w:line="240" w:lineRule="exact"/>
              <w:jc w:val="center"/>
              <w:rPr>
                <w:snapToGrid w:val="0"/>
                <w:sz w:val="21"/>
                <w:szCs w:val="21"/>
              </w:rPr>
            </w:pPr>
          </w:p>
        </w:tc>
        <w:tc>
          <w:tcPr>
            <w:tcW w:w="1260" w:type="dxa"/>
            <w:tcBorders>
              <w:tl2br w:val="nil"/>
              <w:tr2bl w:val="nil"/>
            </w:tcBorders>
            <w:vAlign w:val="center"/>
          </w:tcPr>
          <w:p>
            <w:pPr>
              <w:snapToGrid w:val="0"/>
              <w:spacing w:line="240" w:lineRule="auto"/>
              <w:jc w:val="center"/>
              <w:rPr>
                <w:sz w:val="21"/>
                <w:szCs w:val="21"/>
              </w:rPr>
            </w:pPr>
            <w:r>
              <w:rPr>
                <w:rFonts w:hint="eastAsia"/>
                <w:sz w:val="21"/>
                <w:szCs w:val="21"/>
              </w:rPr>
              <w:t>超标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restart"/>
            <w:tcBorders>
              <w:tl2br w:val="nil"/>
              <w:tr2bl w:val="nil"/>
            </w:tcBorders>
            <w:vAlign w:val="center"/>
          </w:tcPr>
          <w:p>
            <w:pPr>
              <w:spacing w:line="240" w:lineRule="exact"/>
              <w:jc w:val="center"/>
              <w:rPr>
                <w:snapToGrid w:val="0"/>
                <w:sz w:val="21"/>
                <w:szCs w:val="21"/>
              </w:rPr>
            </w:pPr>
            <w:r>
              <w:rPr>
                <w:snapToGrid w:val="0"/>
                <w:sz w:val="21"/>
                <w:szCs w:val="21"/>
              </w:rPr>
              <w:t>2</w:t>
            </w:r>
          </w:p>
        </w:tc>
        <w:tc>
          <w:tcPr>
            <w:tcW w:w="1444" w:type="dxa"/>
            <w:vMerge w:val="restart"/>
            <w:tcBorders>
              <w:tl2br w:val="nil"/>
              <w:tr2bl w:val="nil"/>
            </w:tcBorders>
            <w:vAlign w:val="center"/>
          </w:tcPr>
          <w:p>
            <w:pPr>
              <w:spacing w:line="240" w:lineRule="exact"/>
              <w:jc w:val="center"/>
              <w:rPr>
                <w:snapToGrid w:val="0"/>
                <w:sz w:val="21"/>
                <w:szCs w:val="21"/>
              </w:rPr>
            </w:pPr>
            <w:r>
              <w:rPr>
                <w:snapToGrid w:val="0"/>
                <w:sz w:val="21"/>
                <w:szCs w:val="21"/>
              </w:rPr>
              <w:t>本项目南侧厂界</w:t>
            </w: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昼间</w:t>
            </w:r>
          </w:p>
        </w:tc>
        <w:tc>
          <w:tcPr>
            <w:tcW w:w="1224" w:type="dxa"/>
            <w:vMerge w:val="restart"/>
            <w:tcBorders>
              <w:tl2br w:val="nil"/>
              <w:tr2bl w:val="nil"/>
            </w:tcBorders>
            <w:vAlign w:val="center"/>
          </w:tcPr>
          <w:p>
            <w:pPr>
              <w:spacing w:line="240" w:lineRule="exact"/>
              <w:jc w:val="center"/>
              <w:rPr>
                <w:snapToGrid w:val="0"/>
                <w:sz w:val="21"/>
                <w:szCs w:val="21"/>
              </w:rPr>
            </w:pPr>
            <w:r>
              <w:rPr>
                <w:snapToGrid w:val="0"/>
                <w:sz w:val="21"/>
                <w:szCs w:val="21"/>
              </w:rPr>
              <w:t>44.61</w:t>
            </w:r>
          </w:p>
        </w:tc>
        <w:tc>
          <w:tcPr>
            <w:tcW w:w="1260" w:type="dxa"/>
            <w:tcBorders>
              <w:tl2br w:val="nil"/>
              <w:tr2bl w:val="nil"/>
            </w:tcBorders>
            <w:vAlign w:val="center"/>
          </w:tcPr>
          <w:p>
            <w:pPr>
              <w:snapToGrid w:val="0"/>
              <w:spacing w:line="240" w:lineRule="auto"/>
              <w:jc w:val="center"/>
              <w:rPr>
                <w:sz w:val="21"/>
                <w:szCs w:val="21"/>
              </w:rPr>
            </w:pPr>
            <w:r>
              <w:rPr>
                <w:sz w:val="21"/>
                <w:szCs w:val="21"/>
              </w:rPr>
              <w:t>达标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continue"/>
            <w:tcBorders>
              <w:tl2br w:val="nil"/>
              <w:tr2bl w:val="nil"/>
            </w:tcBorders>
            <w:vAlign w:val="center"/>
          </w:tcPr>
          <w:p>
            <w:pPr>
              <w:spacing w:line="240" w:lineRule="exact"/>
              <w:jc w:val="center"/>
              <w:rPr>
                <w:snapToGrid w:val="0"/>
                <w:sz w:val="21"/>
                <w:szCs w:val="21"/>
              </w:rPr>
            </w:pPr>
          </w:p>
        </w:tc>
        <w:tc>
          <w:tcPr>
            <w:tcW w:w="1444" w:type="dxa"/>
            <w:vMerge w:val="continue"/>
            <w:tcBorders>
              <w:tl2br w:val="nil"/>
              <w:tr2bl w:val="nil"/>
            </w:tcBorders>
            <w:vAlign w:val="center"/>
          </w:tcPr>
          <w:p>
            <w:pPr>
              <w:spacing w:line="240" w:lineRule="exact"/>
              <w:jc w:val="center"/>
              <w:rPr>
                <w:snapToGrid w:val="0"/>
                <w:sz w:val="21"/>
                <w:szCs w:val="21"/>
              </w:rPr>
            </w:pP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夜间</w:t>
            </w:r>
          </w:p>
        </w:tc>
        <w:tc>
          <w:tcPr>
            <w:tcW w:w="1224" w:type="dxa"/>
            <w:vMerge w:val="continue"/>
            <w:tcBorders>
              <w:tl2br w:val="nil"/>
              <w:tr2bl w:val="nil"/>
            </w:tcBorders>
            <w:vAlign w:val="center"/>
          </w:tcPr>
          <w:p>
            <w:pPr>
              <w:spacing w:line="240" w:lineRule="exact"/>
              <w:jc w:val="center"/>
              <w:rPr>
                <w:snapToGrid w:val="0"/>
                <w:sz w:val="21"/>
                <w:szCs w:val="21"/>
              </w:rPr>
            </w:pPr>
          </w:p>
        </w:tc>
        <w:tc>
          <w:tcPr>
            <w:tcW w:w="1260" w:type="dxa"/>
            <w:tcBorders>
              <w:tl2br w:val="nil"/>
              <w:tr2bl w:val="nil"/>
            </w:tcBorders>
            <w:vAlign w:val="center"/>
          </w:tcPr>
          <w:p>
            <w:pPr>
              <w:snapToGrid w:val="0"/>
              <w:spacing w:line="240" w:lineRule="auto"/>
              <w:jc w:val="center"/>
              <w:rPr>
                <w:sz w:val="21"/>
                <w:szCs w:val="21"/>
              </w:rPr>
            </w:pPr>
            <w:r>
              <w:rPr>
                <w:sz w:val="21"/>
                <w:szCs w:val="21"/>
              </w:rPr>
              <w:t>达标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restart"/>
            <w:tcBorders>
              <w:tl2br w:val="nil"/>
              <w:tr2bl w:val="nil"/>
            </w:tcBorders>
            <w:vAlign w:val="center"/>
          </w:tcPr>
          <w:p>
            <w:pPr>
              <w:spacing w:line="240" w:lineRule="exact"/>
              <w:jc w:val="center"/>
              <w:rPr>
                <w:snapToGrid w:val="0"/>
                <w:sz w:val="21"/>
                <w:szCs w:val="21"/>
              </w:rPr>
            </w:pPr>
            <w:r>
              <w:rPr>
                <w:snapToGrid w:val="0"/>
                <w:sz w:val="21"/>
                <w:szCs w:val="21"/>
              </w:rPr>
              <w:t>3</w:t>
            </w:r>
          </w:p>
        </w:tc>
        <w:tc>
          <w:tcPr>
            <w:tcW w:w="1444" w:type="dxa"/>
            <w:vMerge w:val="restart"/>
            <w:tcBorders>
              <w:tl2br w:val="nil"/>
              <w:tr2bl w:val="nil"/>
            </w:tcBorders>
            <w:vAlign w:val="center"/>
          </w:tcPr>
          <w:p>
            <w:pPr>
              <w:spacing w:line="240" w:lineRule="exact"/>
              <w:jc w:val="center"/>
              <w:rPr>
                <w:snapToGrid w:val="0"/>
                <w:sz w:val="21"/>
                <w:szCs w:val="21"/>
              </w:rPr>
            </w:pPr>
            <w:r>
              <w:rPr>
                <w:snapToGrid w:val="0"/>
                <w:sz w:val="21"/>
                <w:szCs w:val="21"/>
              </w:rPr>
              <w:t>本项目西侧厂界</w:t>
            </w: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昼间</w:t>
            </w:r>
          </w:p>
        </w:tc>
        <w:tc>
          <w:tcPr>
            <w:tcW w:w="1224" w:type="dxa"/>
            <w:vMerge w:val="restart"/>
            <w:tcBorders>
              <w:tl2br w:val="nil"/>
              <w:tr2bl w:val="nil"/>
            </w:tcBorders>
            <w:vAlign w:val="center"/>
          </w:tcPr>
          <w:p>
            <w:pPr>
              <w:spacing w:line="240" w:lineRule="exact"/>
              <w:jc w:val="center"/>
              <w:rPr>
                <w:snapToGrid w:val="0"/>
                <w:sz w:val="21"/>
                <w:szCs w:val="21"/>
              </w:rPr>
            </w:pPr>
            <w:r>
              <w:rPr>
                <w:snapToGrid w:val="0"/>
                <w:sz w:val="21"/>
                <w:szCs w:val="21"/>
              </w:rPr>
              <w:t>57.48</w:t>
            </w:r>
          </w:p>
        </w:tc>
        <w:tc>
          <w:tcPr>
            <w:tcW w:w="1260" w:type="dxa"/>
            <w:tcBorders>
              <w:tl2br w:val="nil"/>
              <w:tr2bl w:val="nil"/>
            </w:tcBorders>
            <w:vAlign w:val="center"/>
          </w:tcPr>
          <w:p>
            <w:pPr>
              <w:snapToGrid w:val="0"/>
              <w:spacing w:line="240" w:lineRule="auto"/>
              <w:jc w:val="center"/>
              <w:rPr>
                <w:sz w:val="21"/>
                <w:szCs w:val="21"/>
              </w:rPr>
            </w:pPr>
            <w:r>
              <w:rPr>
                <w:sz w:val="21"/>
                <w:szCs w:val="21"/>
              </w:rPr>
              <w:t>达标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continue"/>
            <w:tcBorders>
              <w:tl2br w:val="nil"/>
              <w:tr2bl w:val="nil"/>
            </w:tcBorders>
            <w:vAlign w:val="center"/>
          </w:tcPr>
          <w:p>
            <w:pPr>
              <w:spacing w:line="240" w:lineRule="exact"/>
              <w:jc w:val="center"/>
              <w:rPr>
                <w:snapToGrid w:val="0"/>
                <w:sz w:val="21"/>
                <w:szCs w:val="21"/>
              </w:rPr>
            </w:pPr>
          </w:p>
        </w:tc>
        <w:tc>
          <w:tcPr>
            <w:tcW w:w="1444" w:type="dxa"/>
            <w:vMerge w:val="continue"/>
            <w:tcBorders>
              <w:tl2br w:val="nil"/>
              <w:tr2bl w:val="nil"/>
            </w:tcBorders>
            <w:vAlign w:val="center"/>
          </w:tcPr>
          <w:p>
            <w:pPr>
              <w:spacing w:line="240" w:lineRule="exact"/>
              <w:jc w:val="center"/>
              <w:rPr>
                <w:snapToGrid w:val="0"/>
                <w:sz w:val="21"/>
                <w:szCs w:val="21"/>
              </w:rPr>
            </w:pP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夜间</w:t>
            </w:r>
          </w:p>
        </w:tc>
        <w:tc>
          <w:tcPr>
            <w:tcW w:w="1224" w:type="dxa"/>
            <w:vMerge w:val="continue"/>
            <w:tcBorders>
              <w:tl2br w:val="nil"/>
              <w:tr2bl w:val="nil"/>
            </w:tcBorders>
            <w:vAlign w:val="center"/>
          </w:tcPr>
          <w:p>
            <w:pPr>
              <w:spacing w:line="240" w:lineRule="exact"/>
              <w:jc w:val="center"/>
              <w:rPr>
                <w:snapToGrid w:val="0"/>
                <w:sz w:val="21"/>
                <w:szCs w:val="21"/>
              </w:rPr>
            </w:pPr>
          </w:p>
        </w:tc>
        <w:tc>
          <w:tcPr>
            <w:tcW w:w="1260" w:type="dxa"/>
            <w:tcBorders>
              <w:tl2br w:val="nil"/>
              <w:tr2bl w:val="nil"/>
            </w:tcBorders>
            <w:vAlign w:val="center"/>
          </w:tcPr>
          <w:p>
            <w:pPr>
              <w:snapToGrid w:val="0"/>
              <w:spacing w:line="240" w:lineRule="auto"/>
              <w:jc w:val="center"/>
              <w:rPr>
                <w:sz w:val="21"/>
                <w:szCs w:val="21"/>
              </w:rPr>
            </w:pPr>
            <w:r>
              <w:rPr>
                <w:rFonts w:hint="eastAsia"/>
                <w:sz w:val="21"/>
                <w:szCs w:val="21"/>
              </w:rPr>
              <w:t>超标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restart"/>
            <w:tcBorders>
              <w:tl2br w:val="nil"/>
              <w:tr2bl w:val="nil"/>
            </w:tcBorders>
            <w:vAlign w:val="center"/>
          </w:tcPr>
          <w:p>
            <w:pPr>
              <w:spacing w:line="240" w:lineRule="exact"/>
              <w:jc w:val="center"/>
              <w:rPr>
                <w:snapToGrid w:val="0"/>
                <w:sz w:val="21"/>
                <w:szCs w:val="21"/>
              </w:rPr>
            </w:pPr>
            <w:r>
              <w:rPr>
                <w:snapToGrid w:val="0"/>
                <w:sz w:val="21"/>
                <w:szCs w:val="21"/>
              </w:rPr>
              <w:t>4</w:t>
            </w:r>
          </w:p>
        </w:tc>
        <w:tc>
          <w:tcPr>
            <w:tcW w:w="1444" w:type="dxa"/>
            <w:vMerge w:val="restart"/>
            <w:tcBorders>
              <w:tl2br w:val="nil"/>
              <w:tr2bl w:val="nil"/>
            </w:tcBorders>
            <w:vAlign w:val="center"/>
          </w:tcPr>
          <w:p>
            <w:pPr>
              <w:spacing w:line="240" w:lineRule="exact"/>
              <w:jc w:val="center"/>
              <w:rPr>
                <w:snapToGrid w:val="0"/>
                <w:sz w:val="21"/>
                <w:szCs w:val="21"/>
              </w:rPr>
            </w:pPr>
            <w:r>
              <w:rPr>
                <w:snapToGrid w:val="0"/>
                <w:sz w:val="21"/>
                <w:szCs w:val="21"/>
              </w:rPr>
              <w:t>本项目北侧厂界</w:t>
            </w: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昼间</w:t>
            </w:r>
          </w:p>
        </w:tc>
        <w:tc>
          <w:tcPr>
            <w:tcW w:w="1224" w:type="dxa"/>
            <w:vMerge w:val="restart"/>
            <w:tcBorders>
              <w:tl2br w:val="nil"/>
              <w:tr2bl w:val="nil"/>
            </w:tcBorders>
            <w:vAlign w:val="center"/>
          </w:tcPr>
          <w:p>
            <w:pPr>
              <w:spacing w:line="240" w:lineRule="exact"/>
              <w:jc w:val="center"/>
              <w:rPr>
                <w:snapToGrid w:val="0"/>
                <w:sz w:val="21"/>
                <w:szCs w:val="21"/>
              </w:rPr>
            </w:pPr>
            <w:r>
              <w:rPr>
                <w:snapToGrid w:val="0"/>
                <w:sz w:val="21"/>
                <w:szCs w:val="21"/>
              </w:rPr>
              <w:t>34.08</w:t>
            </w:r>
          </w:p>
        </w:tc>
        <w:tc>
          <w:tcPr>
            <w:tcW w:w="1260" w:type="dxa"/>
            <w:tcBorders>
              <w:tl2br w:val="nil"/>
              <w:tr2bl w:val="nil"/>
            </w:tcBorders>
            <w:vAlign w:val="center"/>
          </w:tcPr>
          <w:p>
            <w:pPr>
              <w:snapToGrid w:val="0"/>
              <w:spacing w:line="240" w:lineRule="auto"/>
              <w:jc w:val="center"/>
              <w:rPr>
                <w:sz w:val="21"/>
                <w:szCs w:val="21"/>
              </w:rPr>
            </w:pPr>
            <w:r>
              <w:rPr>
                <w:sz w:val="21"/>
                <w:szCs w:val="21"/>
              </w:rPr>
              <w:t>达标</w:t>
            </w:r>
          </w:p>
        </w:tc>
        <w:tc>
          <w:tcPr>
            <w:tcW w:w="1335" w:type="dxa"/>
            <w:vMerge w:val="continue"/>
            <w:tcBorders>
              <w:tl2br w:val="nil"/>
              <w:tr2bl w:val="nil"/>
            </w:tcBorders>
            <w:vAlign w:val="center"/>
          </w:tcPr>
          <w:p>
            <w:pPr>
              <w:spacing w:line="240" w:lineRule="exact"/>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1085" w:type="dxa"/>
            <w:vMerge w:val="continue"/>
            <w:tcBorders>
              <w:tl2br w:val="nil"/>
              <w:tr2bl w:val="nil"/>
            </w:tcBorders>
            <w:vAlign w:val="center"/>
          </w:tcPr>
          <w:p>
            <w:pPr>
              <w:spacing w:line="240" w:lineRule="exact"/>
              <w:jc w:val="center"/>
              <w:rPr>
                <w:snapToGrid w:val="0"/>
                <w:sz w:val="21"/>
                <w:szCs w:val="21"/>
              </w:rPr>
            </w:pPr>
          </w:p>
        </w:tc>
        <w:tc>
          <w:tcPr>
            <w:tcW w:w="1444" w:type="dxa"/>
            <w:vMerge w:val="continue"/>
            <w:tcBorders>
              <w:tl2br w:val="nil"/>
              <w:tr2bl w:val="nil"/>
            </w:tcBorders>
            <w:vAlign w:val="center"/>
          </w:tcPr>
          <w:p>
            <w:pPr>
              <w:spacing w:line="240" w:lineRule="exact"/>
              <w:jc w:val="center"/>
              <w:rPr>
                <w:snapToGrid w:val="0"/>
                <w:sz w:val="21"/>
                <w:szCs w:val="21"/>
              </w:rPr>
            </w:pPr>
          </w:p>
        </w:tc>
        <w:tc>
          <w:tcPr>
            <w:tcW w:w="1122" w:type="dxa"/>
            <w:tcBorders>
              <w:tl2br w:val="nil"/>
              <w:tr2bl w:val="nil"/>
            </w:tcBorders>
            <w:vAlign w:val="center"/>
          </w:tcPr>
          <w:p>
            <w:pPr>
              <w:spacing w:line="240" w:lineRule="exact"/>
              <w:jc w:val="center"/>
              <w:rPr>
                <w:snapToGrid w:val="0"/>
                <w:sz w:val="21"/>
                <w:szCs w:val="21"/>
              </w:rPr>
            </w:pPr>
            <w:r>
              <w:rPr>
                <w:snapToGrid w:val="0"/>
                <w:sz w:val="21"/>
                <w:szCs w:val="21"/>
              </w:rPr>
              <w:t>夜间</w:t>
            </w:r>
          </w:p>
        </w:tc>
        <w:tc>
          <w:tcPr>
            <w:tcW w:w="1224" w:type="dxa"/>
            <w:vMerge w:val="continue"/>
            <w:tcBorders>
              <w:tl2br w:val="nil"/>
              <w:tr2bl w:val="nil"/>
            </w:tcBorders>
            <w:vAlign w:val="center"/>
          </w:tcPr>
          <w:p>
            <w:pPr>
              <w:spacing w:line="240" w:lineRule="exact"/>
              <w:jc w:val="center"/>
              <w:rPr>
                <w:snapToGrid w:val="0"/>
                <w:sz w:val="21"/>
                <w:szCs w:val="21"/>
              </w:rPr>
            </w:pPr>
          </w:p>
        </w:tc>
        <w:tc>
          <w:tcPr>
            <w:tcW w:w="1260" w:type="dxa"/>
            <w:tcBorders>
              <w:tl2br w:val="nil"/>
              <w:tr2bl w:val="nil"/>
            </w:tcBorders>
            <w:vAlign w:val="center"/>
          </w:tcPr>
          <w:p>
            <w:pPr>
              <w:snapToGrid w:val="0"/>
              <w:spacing w:line="240" w:lineRule="auto"/>
              <w:jc w:val="center"/>
              <w:rPr>
                <w:sz w:val="21"/>
                <w:szCs w:val="21"/>
              </w:rPr>
            </w:pPr>
            <w:r>
              <w:rPr>
                <w:sz w:val="21"/>
                <w:szCs w:val="21"/>
              </w:rPr>
              <w:t>达标</w:t>
            </w:r>
          </w:p>
        </w:tc>
        <w:tc>
          <w:tcPr>
            <w:tcW w:w="1335" w:type="dxa"/>
            <w:vMerge w:val="continue"/>
            <w:tcBorders>
              <w:tl2br w:val="nil"/>
              <w:tr2bl w:val="nil"/>
            </w:tcBorders>
            <w:vAlign w:val="center"/>
          </w:tcPr>
          <w:p>
            <w:pPr>
              <w:spacing w:line="240" w:lineRule="exact"/>
              <w:jc w:val="center"/>
              <w:rPr>
                <w:snapToGrid w:val="0"/>
                <w:sz w:val="21"/>
                <w:szCs w:val="21"/>
              </w:rPr>
            </w:pPr>
          </w:p>
        </w:tc>
      </w:tr>
    </w:tbl>
    <w:p>
      <w:pPr>
        <w:pStyle w:val="320"/>
        <w:snapToGrid w:val="0"/>
        <w:spacing w:line="360" w:lineRule="auto"/>
        <w:ind w:firstLine="422"/>
        <w:rPr>
          <w:rFonts w:ascii="Times New Roman" w:hAnsi="Times New Roman"/>
          <w:b/>
          <w:bCs/>
          <w:sz w:val="21"/>
          <w:szCs w:val="21"/>
        </w:rPr>
      </w:pPr>
      <w:r>
        <w:rPr>
          <w:rFonts w:hint="eastAsia" w:ascii="Times New Roman" w:hAnsi="Times New Roman"/>
          <w:b/>
          <w:bCs/>
          <w:sz w:val="21"/>
          <w:szCs w:val="21"/>
        </w:rPr>
        <w:t>注：项目为新建项目，厂界噪声以贡献值作为本项目预测值。</w:t>
      </w:r>
    </w:p>
    <w:p>
      <w:pPr>
        <w:pStyle w:val="320"/>
        <w:snapToGrid w:val="0"/>
        <w:spacing w:line="360" w:lineRule="auto"/>
        <w:ind w:firstLine="480"/>
        <w:rPr>
          <w:rFonts w:ascii="Times New Roman" w:hAnsi="Times New Roman"/>
        </w:rPr>
      </w:pPr>
      <w:r>
        <w:rPr>
          <w:rFonts w:hint="eastAsia" w:ascii="Times New Roman" w:hAnsi="Times New Roman"/>
        </w:rPr>
        <w:t>根据表7</w:t>
      </w:r>
      <w:r>
        <w:rPr>
          <w:rFonts w:ascii="Times New Roman" w:hAnsi="Times New Roman"/>
        </w:rPr>
        <w:t>.2</w:t>
      </w:r>
      <w:r>
        <w:rPr>
          <w:rFonts w:hint="eastAsia" w:ascii="Times New Roman" w:hAnsi="Times New Roman"/>
        </w:rPr>
        <w:t>-</w:t>
      </w:r>
      <w:r>
        <w:rPr>
          <w:rFonts w:ascii="Times New Roman" w:hAnsi="Times New Roman"/>
        </w:rPr>
        <w:t>20</w:t>
      </w:r>
      <w:r>
        <w:rPr>
          <w:rFonts w:hint="eastAsia" w:ascii="Times New Roman" w:hAnsi="Times New Roman"/>
        </w:rPr>
        <w:t>可知，项目厂界噪声昼间均达标，但厂界西侧和东侧厂界夜间超标，根据项目平面布置可知，项目车间布置受基本农田制约，车间距离西侧及东侧距离较近，为此本次评价要求在西侧及东侧靠近车间处分别修建2m高的实心围墙，通过实心墙隔声后，厂界外噪声可衰减</w:t>
      </w:r>
      <w:r>
        <w:rPr>
          <w:rFonts w:ascii="Times New Roman" w:hAnsi="Times New Roman"/>
        </w:rPr>
        <w:t>5~</w:t>
      </w:r>
      <w:r>
        <w:rPr>
          <w:rFonts w:hint="eastAsia" w:ascii="Times New Roman" w:hAnsi="Times New Roman"/>
        </w:rPr>
        <w:t>1</w:t>
      </w:r>
      <w:r>
        <w:rPr>
          <w:rFonts w:ascii="Times New Roman" w:hAnsi="Times New Roman"/>
        </w:rPr>
        <w:t>0</w:t>
      </w:r>
      <w:r>
        <w:rPr>
          <w:rFonts w:hint="eastAsia" w:ascii="Times New Roman" w:hAnsi="Times New Roman"/>
        </w:rPr>
        <w:t>d</w:t>
      </w:r>
      <w:r>
        <w:rPr>
          <w:rFonts w:ascii="Times New Roman" w:hAnsi="Times New Roman"/>
        </w:rPr>
        <w:t>B(A)</w:t>
      </w:r>
      <w:r>
        <w:rPr>
          <w:rFonts w:hint="eastAsia" w:ascii="Times New Roman" w:hAnsi="Times New Roman"/>
        </w:rPr>
        <w:t>，其厂界噪声可达到《工业企业厂界环境噪声排放标准G</w:t>
      </w:r>
      <w:r>
        <w:rPr>
          <w:rFonts w:ascii="Times New Roman" w:hAnsi="Times New Roman"/>
        </w:rPr>
        <w:t>B12348-2008</w:t>
      </w:r>
      <w:r>
        <w:rPr>
          <w:rFonts w:hint="eastAsia" w:ascii="Times New Roman" w:hAnsi="Times New Roman"/>
        </w:rPr>
        <w:t>》2类标准。</w:t>
      </w:r>
    </w:p>
    <w:p>
      <w:pPr>
        <w:ind w:firstLine="561"/>
      </w:pPr>
      <w:r>
        <w:rPr>
          <w:rFonts w:hint="eastAsia"/>
        </w:rPr>
        <w:t>（</w:t>
      </w:r>
      <w:r>
        <w:t>2</w:t>
      </w:r>
      <w:r>
        <w:rPr>
          <w:rFonts w:hint="eastAsia"/>
        </w:rPr>
        <w:t>）敏感点噪声预测</w:t>
      </w:r>
    </w:p>
    <w:p>
      <w:pPr>
        <w:pStyle w:val="320"/>
        <w:snapToGrid w:val="0"/>
        <w:spacing w:line="360" w:lineRule="auto"/>
        <w:ind w:firstLine="480"/>
        <w:rPr>
          <w:rFonts w:ascii="Times New Roman" w:hAnsi="Times New Roman"/>
        </w:rPr>
      </w:pPr>
      <w:r>
        <w:rPr>
          <w:rFonts w:ascii="Times New Roman" w:hAnsi="Times New Roman"/>
        </w:rPr>
        <w:t>项目营运期，100m卫生防护距离范围内的住户已与本项目签订了拆迁协议，因此主要预测项目运营时对评价范围内卫生防护距离外的敏感保护目标的影响。敏感保护目标的现状值取临近住户的现状监测值，本项目敏感点噪声预测值见表7.2</w:t>
      </w:r>
      <w:r>
        <w:rPr>
          <w:rFonts w:hint="eastAsia" w:ascii="Times New Roman" w:hAnsi="Times New Roman"/>
        </w:rPr>
        <w:t>-</w:t>
      </w:r>
      <w:r>
        <w:rPr>
          <w:rFonts w:ascii="Times New Roman" w:hAnsi="Times New Roman"/>
        </w:rPr>
        <w:t>21。</w:t>
      </w:r>
    </w:p>
    <w:p>
      <w:pPr>
        <w:pStyle w:val="462"/>
        <w:numPr>
          <w:ilvl w:val="2"/>
          <w:numId w:val="0"/>
        </w:numPr>
        <w:tabs>
          <w:tab w:val="clear" w:pos="2705"/>
        </w:tabs>
        <w:adjustRightInd w:val="0"/>
        <w:snapToGrid w:val="0"/>
        <w:spacing w:line="240" w:lineRule="auto"/>
        <w:jc w:val="center"/>
        <w:outlineLvl w:val="9"/>
        <w:rPr>
          <w:rFonts w:eastAsia="黑体"/>
          <w:b w:val="0"/>
          <w:bCs w:val="0"/>
          <w:color w:val="auto"/>
          <w:sz w:val="24"/>
          <w:szCs w:val="24"/>
        </w:rPr>
      </w:pPr>
      <w:r>
        <w:rPr>
          <w:rFonts w:eastAsia="黑体"/>
          <w:b w:val="0"/>
          <w:bCs w:val="0"/>
          <w:color w:val="auto"/>
          <w:sz w:val="24"/>
          <w:szCs w:val="24"/>
        </w:rPr>
        <w:t>表7.2</w:t>
      </w:r>
      <w:r>
        <w:rPr>
          <w:rFonts w:hint="eastAsia" w:eastAsia="黑体"/>
          <w:b w:val="0"/>
          <w:bCs w:val="0"/>
          <w:color w:val="auto"/>
          <w:sz w:val="24"/>
          <w:szCs w:val="24"/>
        </w:rPr>
        <w:t>-</w:t>
      </w:r>
      <w:r>
        <w:rPr>
          <w:rFonts w:eastAsia="黑体"/>
          <w:b w:val="0"/>
          <w:bCs w:val="0"/>
          <w:color w:val="auto"/>
          <w:sz w:val="24"/>
          <w:szCs w:val="24"/>
        </w:rPr>
        <w:t>21 本项目敏感点噪声预测值结果单位：Leq[dB(A)]</w:t>
      </w:r>
    </w:p>
    <w:tbl>
      <w:tblPr>
        <w:tblStyle w:val="88"/>
        <w:tblW w:w="878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735"/>
        <w:gridCol w:w="1373"/>
        <w:gridCol w:w="947"/>
        <w:gridCol w:w="1080"/>
        <w:gridCol w:w="966"/>
        <w:gridCol w:w="1053"/>
        <w:gridCol w:w="1144"/>
        <w:gridCol w:w="1489"/>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tcBorders>
              <w:tl2br w:val="nil"/>
              <w:tr2bl w:val="nil"/>
            </w:tcBorders>
            <w:vAlign w:val="center"/>
          </w:tcPr>
          <w:p>
            <w:pPr>
              <w:spacing w:line="240" w:lineRule="auto"/>
              <w:jc w:val="center"/>
              <w:rPr>
                <w:b/>
                <w:snapToGrid w:val="0"/>
                <w:sz w:val="21"/>
                <w:szCs w:val="21"/>
              </w:rPr>
            </w:pPr>
            <w:r>
              <w:rPr>
                <w:b/>
                <w:snapToGrid w:val="0"/>
                <w:sz w:val="21"/>
                <w:szCs w:val="21"/>
              </w:rPr>
              <w:t>序号</w:t>
            </w:r>
          </w:p>
        </w:tc>
        <w:tc>
          <w:tcPr>
            <w:tcW w:w="1373" w:type="dxa"/>
            <w:tcBorders>
              <w:tl2br w:val="nil"/>
              <w:tr2bl w:val="nil"/>
            </w:tcBorders>
            <w:vAlign w:val="center"/>
          </w:tcPr>
          <w:p>
            <w:pPr>
              <w:spacing w:line="240" w:lineRule="auto"/>
              <w:jc w:val="center"/>
              <w:rPr>
                <w:b/>
                <w:snapToGrid w:val="0"/>
                <w:sz w:val="21"/>
                <w:szCs w:val="21"/>
              </w:rPr>
            </w:pPr>
            <w:r>
              <w:rPr>
                <w:b/>
                <w:snapToGrid w:val="0"/>
                <w:sz w:val="21"/>
                <w:szCs w:val="21"/>
              </w:rPr>
              <w:t>位置</w:t>
            </w:r>
          </w:p>
        </w:tc>
        <w:tc>
          <w:tcPr>
            <w:tcW w:w="947" w:type="dxa"/>
            <w:tcBorders>
              <w:tl2br w:val="nil"/>
              <w:tr2bl w:val="nil"/>
            </w:tcBorders>
            <w:vAlign w:val="center"/>
          </w:tcPr>
          <w:p>
            <w:pPr>
              <w:spacing w:line="240" w:lineRule="auto"/>
              <w:jc w:val="center"/>
              <w:rPr>
                <w:b/>
                <w:snapToGrid w:val="0"/>
                <w:sz w:val="21"/>
                <w:szCs w:val="21"/>
              </w:rPr>
            </w:pPr>
            <w:r>
              <w:rPr>
                <w:b/>
                <w:snapToGrid w:val="0"/>
                <w:sz w:val="21"/>
                <w:szCs w:val="21"/>
              </w:rPr>
              <w:t>时间</w:t>
            </w:r>
          </w:p>
        </w:tc>
        <w:tc>
          <w:tcPr>
            <w:tcW w:w="1080" w:type="dxa"/>
            <w:tcBorders>
              <w:tl2br w:val="nil"/>
              <w:tr2bl w:val="nil"/>
            </w:tcBorders>
            <w:vAlign w:val="center"/>
          </w:tcPr>
          <w:p>
            <w:pPr>
              <w:spacing w:line="240" w:lineRule="auto"/>
              <w:jc w:val="center"/>
              <w:rPr>
                <w:b/>
                <w:snapToGrid w:val="0"/>
                <w:sz w:val="21"/>
                <w:szCs w:val="21"/>
              </w:rPr>
            </w:pPr>
            <w:r>
              <w:rPr>
                <w:b/>
                <w:snapToGrid w:val="0"/>
                <w:sz w:val="21"/>
                <w:szCs w:val="21"/>
              </w:rPr>
              <w:t>最大贡献值</w:t>
            </w:r>
          </w:p>
        </w:tc>
        <w:tc>
          <w:tcPr>
            <w:tcW w:w="966" w:type="dxa"/>
            <w:tcBorders>
              <w:tl2br w:val="nil"/>
              <w:tr2bl w:val="nil"/>
            </w:tcBorders>
            <w:vAlign w:val="center"/>
          </w:tcPr>
          <w:p>
            <w:pPr>
              <w:spacing w:line="240" w:lineRule="auto"/>
              <w:jc w:val="center"/>
              <w:rPr>
                <w:b/>
                <w:snapToGrid w:val="0"/>
                <w:sz w:val="21"/>
                <w:szCs w:val="21"/>
              </w:rPr>
            </w:pPr>
            <w:r>
              <w:rPr>
                <w:b/>
                <w:snapToGrid w:val="0"/>
                <w:sz w:val="21"/>
                <w:szCs w:val="21"/>
              </w:rPr>
              <w:t>现状值</w:t>
            </w:r>
          </w:p>
        </w:tc>
        <w:tc>
          <w:tcPr>
            <w:tcW w:w="1053" w:type="dxa"/>
            <w:tcBorders>
              <w:tl2br w:val="nil"/>
              <w:tr2bl w:val="nil"/>
            </w:tcBorders>
            <w:vAlign w:val="center"/>
          </w:tcPr>
          <w:p>
            <w:pPr>
              <w:spacing w:line="240" w:lineRule="auto"/>
              <w:jc w:val="center"/>
              <w:rPr>
                <w:b/>
                <w:snapToGrid w:val="0"/>
                <w:sz w:val="21"/>
                <w:szCs w:val="21"/>
              </w:rPr>
            </w:pPr>
            <w:r>
              <w:rPr>
                <w:b/>
                <w:snapToGrid w:val="0"/>
                <w:sz w:val="21"/>
                <w:szCs w:val="21"/>
              </w:rPr>
              <w:t>预测值</w:t>
            </w:r>
          </w:p>
        </w:tc>
        <w:tc>
          <w:tcPr>
            <w:tcW w:w="1144" w:type="dxa"/>
            <w:tcBorders>
              <w:tl2br w:val="nil"/>
              <w:tr2bl w:val="nil"/>
            </w:tcBorders>
            <w:vAlign w:val="center"/>
          </w:tcPr>
          <w:p>
            <w:pPr>
              <w:spacing w:line="240" w:lineRule="auto"/>
              <w:jc w:val="center"/>
              <w:rPr>
                <w:b/>
                <w:snapToGrid w:val="0"/>
                <w:sz w:val="21"/>
                <w:szCs w:val="21"/>
              </w:rPr>
            </w:pPr>
            <w:r>
              <w:rPr>
                <w:b/>
                <w:snapToGrid w:val="0"/>
                <w:sz w:val="21"/>
                <w:szCs w:val="21"/>
              </w:rPr>
              <w:t>达标情况</w:t>
            </w:r>
          </w:p>
        </w:tc>
        <w:tc>
          <w:tcPr>
            <w:tcW w:w="1489" w:type="dxa"/>
            <w:tcBorders>
              <w:tl2br w:val="nil"/>
              <w:tr2bl w:val="nil"/>
            </w:tcBorders>
            <w:vAlign w:val="center"/>
          </w:tcPr>
          <w:p>
            <w:pPr>
              <w:spacing w:line="240" w:lineRule="auto"/>
              <w:jc w:val="center"/>
              <w:rPr>
                <w:b/>
                <w:snapToGrid w:val="0"/>
                <w:sz w:val="21"/>
                <w:szCs w:val="21"/>
              </w:rPr>
            </w:pPr>
            <w:r>
              <w:rPr>
                <w:b/>
                <w:snapToGrid w:val="0"/>
                <w:sz w:val="21"/>
                <w:szCs w:val="21"/>
              </w:rPr>
              <w:t>评价执行标准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48" w:hRule="atLeast"/>
          <w:jc w:val="center"/>
        </w:trPr>
        <w:tc>
          <w:tcPr>
            <w:tcW w:w="735" w:type="dxa"/>
            <w:vMerge w:val="restart"/>
            <w:tcBorders>
              <w:tl2br w:val="nil"/>
              <w:tr2bl w:val="nil"/>
            </w:tcBorders>
            <w:vAlign w:val="center"/>
          </w:tcPr>
          <w:p>
            <w:pPr>
              <w:spacing w:line="240" w:lineRule="auto"/>
              <w:jc w:val="center"/>
              <w:rPr>
                <w:snapToGrid w:val="0"/>
                <w:sz w:val="21"/>
                <w:szCs w:val="21"/>
              </w:rPr>
            </w:pPr>
            <w:r>
              <w:rPr>
                <w:snapToGrid w:val="0"/>
                <w:sz w:val="21"/>
                <w:szCs w:val="21"/>
              </w:rPr>
              <w:t>1</w:t>
            </w:r>
          </w:p>
        </w:tc>
        <w:tc>
          <w:tcPr>
            <w:tcW w:w="1373" w:type="dxa"/>
            <w:vMerge w:val="restart"/>
            <w:tcBorders>
              <w:tl2br w:val="nil"/>
              <w:tr2bl w:val="nil"/>
            </w:tcBorders>
            <w:vAlign w:val="center"/>
          </w:tcPr>
          <w:p>
            <w:pPr>
              <w:spacing w:line="240" w:lineRule="auto"/>
              <w:jc w:val="center"/>
              <w:rPr>
                <w:sz w:val="21"/>
                <w:szCs w:val="21"/>
              </w:rPr>
            </w:pPr>
            <w:r>
              <w:rPr>
                <w:sz w:val="21"/>
                <w:szCs w:val="21"/>
              </w:rPr>
              <w:t>16户</w:t>
            </w:r>
            <w:r>
              <w:rPr>
                <w:rFonts w:hint="eastAsia"/>
                <w:sz w:val="21"/>
                <w:szCs w:val="21"/>
              </w:rPr>
              <w:t>红星村4组村民</w:t>
            </w:r>
            <w:r>
              <w:rPr>
                <w:sz w:val="21"/>
                <w:szCs w:val="21"/>
              </w:rPr>
              <w:t>（</w:t>
            </w:r>
            <w:r>
              <w:rPr>
                <w:rFonts w:hint="eastAsia"/>
                <w:sz w:val="21"/>
                <w:szCs w:val="21"/>
              </w:rPr>
              <w:t>东北侧，与厂界最近距离</w:t>
            </w:r>
            <w:r>
              <w:rPr>
                <w:sz w:val="21"/>
                <w:szCs w:val="21"/>
              </w:rPr>
              <w:t>66m）</w:t>
            </w:r>
          </w:p>
        </w:tc>
        <w:tc>
          <w:tcPr>
            <w:tcW w:w="947" w:type="dxa"/>
            <w:tcBorders>
              <w:tl2br w:val="nil"/>
              <w:tr2bl w:val="nil"/>
            </w:tcBorders>
            <w:vAlign w:val="center"/>
          </w:tcPr>
          <w:p>
            <w:pPr>
              <w:spacing w:line="240" w:lineRule="auto"/>
              <w:jc w:val="center"/>
              <w:rPr>
                <w:sz w:val="21"/>
                <w:szCs w:val="21"/>
              </w:rPr>
            </w:pPr>
            <w:r>
              <w:rPr>
                <w:sz w:val="21"/>
                <w:szCs w:val="21"/>
              </w:rPr>
              <w:t>昼间</w:t>
            </w:r>
          </w:p>
        </w:tc>
        <w:tc>
          <w:tcPr>
            <w:tcW w:w="1080" w:type="dxa"/>
            <w:vMerge w:val="restart"/>
            <w:tcBorders>
              <w:tl2br w:val="nil"/>
              <w:tr2bl w:val="nil"/>
            </w:tcBorders>
            <w:vAlign w:val="center"/>
          </w:tcPr>
          <w:p>
            <w:pPr>
              <w:spacing w:line="240" w:lineRule="auto"/>
              <w:jc w:val="center"/>
              <w:rPr>
                <w:sz w:val="21"/>
                <w:szCs w:val="21"/>
              </w:rPr>
            </w:pPr>
            <w:r>
              <w:rPr>
                <w:sz w:val="21"/>
                <w:szCs w:val="21"/>
              </w:rPr>
              <w:t>35.07</w:t>
            </w:r>
          </w:p>
        </w:tc>
        <w:tc>
          <w:tcPr>
            <w:tcW w:w="966" w:type="dxa"/>
            <w:tcBorders>
              <w:tl2br w:val="nil"/>
              <w:tr2bl w:val="nil"/>
            </w:tcBorders>
            <w:vAlign w:val="center"/>
          </w:tcPr>
          <w:p>
            <w:pPr>
              <w:spacing w:line="240" w:lineRule="auto"/>
              <w:jc w:val="center"/>
              <w:rPr>
                <w:sz w:val="21"/>
                <w:szCs w:val="21"/>
              </w:rPr>
            </w:pPr>
            <w:r>
              <w:rPr>
                <w:sz w:val="21"/>
                <w:szCs w:val="21"/>
              </w:rPr>
              <w:t>52.6</w:t>
            </w:r>
          </w:p>
        </w:tc>
        <w:tc>
          <w:tcPr>
            <w:tcW w:w="1053" w:type="dxa"/>
            <w:tcBorders>
              <w:tl2br w:val="nil"/>
              <w:tr2bl w:val="nil"/>
            </w:tcBorders>
            <w:vAlign w:val="center"/>
          </w:tcPr>
          <w:p>
            <w:pPr>
              <w:spacing w:line="240" w:lineRule="auto"/>
              <w:jc w:val="center"/>
              <w:rPr>
                <w:snapToGrid w:val="0"/>
                <w:sz w:val="21"/>
                <w:szCs w:val="21"/>
              </w:rPr>
            </w:pPr>
            <w:r>
              <w:rPr>
                <w:rFonts w:hint="eastAsia"/>
                <w:snapToGrid w:val="0"/>
                <w:sz w:val="21"/>
                <w:szCs w:val="21"/>
              </w:rPr>
              <w:t>5</w:t>
            </w:r>
            <w:r>
              <w:rPr>
                <w:snapToGrid w:val="0"/>
                <w:sz w:val="21"/>
                <w:szCs w:val="21"/>
              </w:rPr>
              <w:t>2.68</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restart"/>
            <w:tcBorders>
              <w:tl2br w:val="nil"/>
              <w:tr2bl w:val="nil"/>
            </w:tcBorders>
            <w:vAlign w:val="center"/>
          </w:tcPr>
          <w:p>
            <w:pPr>
              <w:adjustRightInd w:val="0"/>
              <w:snapToGrid w:val="0"/>
              <w:spacing w:line="240" w:lineRule="auto"/>
              <w:jc w:val="center"/>
              <w:rPr>
                <w:sz w:val="21"/>
                <w:szCs w:val="21"/>
              </w:rPr>
            </w:pPr>
            <w:r>
              <w:rPr>
                <w:sz w:val="21"/>
                <w:szCs w:val="21"/>
              </w:rPr>
              <w:t>GB3096-2008</w:t>
            </w:r>
          </w:p>
          <w:p>
            <w:pPr>
              <w:spacing w:line="240" w:lineRule="auto"/>
              <w:jc w:val="center"/>
              <w:rPr>
                <w:snapToGrid w:val="0"/>
                <w:sz w:val="21"/>
                <w:szCs w:val="21"/>
              </w:rPr>
            </w:pPr>
            <w:r>
              <w:rPr>
                <w:snapToGrid w:val="0"/>
                <w:sz w:val="21"/>
                <w:szCs w:val="21"/>
              </w:rPr>
              <w:t>2类</w:t>
            </w:r>
          </w:p>
          <w:p>
            <w:pPr>
              <w:spacing w:line="240" w:lineRule="auto"/>
              <w:jc w:val="center"/>
              <w:rPr>
                <w:snapToGrid w:val="0"/>
                <w:sz w:val="21"/>
                <w:szCs w:val="21"/>
              </w:rPr>
            </w:pPr>
            <w:r>
              <w:rPr>
                <w:snapToGrid w:val="0"/>
                <w:sz w:val="21"/>
                <w:szCs w:val="21"/>
              </w:rPr>
              <w:t>昼间60dB（A）夜间50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vMerge w:val="continue"/>
            <w:tcBorders>
              <w:tl2br w:val="nil"/>
              <w:tr2bl w:val="nil"/>
            </w:tcBorders>
            <w:vAlign w:val="center"/>
          </w:tcPr>
          <w:p>
            <w:pPr>
              <w:spacing w:line="240" w:lineRule="auto"/>
              <w:jc w:val="center"/>
              <w:rPr>
                <w:snapToGrid w:val="0"/>
                <w:sz w:val="21"/>
                <w:szCs w:val="21"/>
              </w:rPr>
            </w:pPr>
          </w:p>
        </w:tc>
        <w:tc>
          <w:tcPr>
            <w:tcW w:w="1373" w:type="dxa"/>
            <w:vMerge w:val="continue"/>
            <w:tcBorders>
              <w:tl2br w:val="nil"/>
              <w:tr2bl w:val="nil"/>
            </w:tcBorders>
            <w:vAlign w:val="center"/>
          </w:tcPr>
          <w:p>
            <w:pPr>
              <w:spacing w:line="240" w:lineRule="auto"/>
              <w:jc w:val="center"/>
              <w:rPr>
                <w:snapToGrid w:val="0"/>
                <w:sz w:val="21"/>
                <w:szCs w:val="21"/>
              </w:rPr>
            </w:pPr>
          </w:p>
        </w:tc>
        <w:tc>
          <w:tcPr>
            <w:tcW w:w="947" w:type="dxa"/>
            <w:tcBorders>
              <w:tl2br w:val="nil"/>
              <w:tr2bl w:val="nil"/>
            </w:tcBorders>
            <w:vAlign w:val="center"/>
          </w:tcPr>
          <w:p>
            <w:pPr>
              <w:spacing w:line="240" w:lineRule="auto"/>
              <w:jc w:val="center"/>
              <w:rPr>
                <w:snapToGrid w:val="0"/>
                <w:sz w:val="21"/>
                <w:szCs w:val="21"/>
              </w:rPr>
            </w:pPr>
            <w:r>
              <w:rPr>
                <w:sz w:val="21"/>
                <w:szCs w:val="21"/>
              </w:rPr>
              <w:t>夜间</w:t>
            </w:r>
          </w:p>
        </w:tc>
        <w:tc>
          <w:tcPr>
            <w:tcW w:w="1080" w:type="dxa"/>
            <w:vMerge w:val="continue"/>
            <w:tcBorders>
              <w:tl2br w:val="nil"/>
              <w:tr2bl w:val="nil"/>
            </w:tcBorders>
            <w:vAlign w:val="center"/>
          </w:tcPr>
          <w:p>
            <w:pPr>
              <w:spacing w:line="240" w:lineRule="auto"/>
              <w:jc w:val="center"/>
              <w:rPr>
                <w:snapToGrid w:val="0"/>
                <w:sz w:val="21"/>
                <w:szCs w:val="21"/>
              </w:rPr>
            </w:pPr>
          </w:p>
        </w:tc>
        <w:tc>
          <w:tcPr>
            <w:tcW w:w="966" w:type="dxa"/>
            <w:tcBorders>
              <w:tl2br w:val="nil"/>
              <w:tr2bl w:val="nil"/>
            </w:tcBorders>
            <w:vAlign w:val="center"/>
          </w:tcPr>
          <w:p>
            <w:pPr>
              <w:spacing w:line="240" w:lineRule="auto"/>
              <w:jc w:val="center"/>
              <w:rPr>
                <w:snapToGrid w:val="0"/>
                <w:sz w:val="21"/>
                <w:szCs w:val="21"/>
              </w:rPr>
            </w:pPr>
            <w:r>
              <w:rPr>
                <w:snapToGrid w:val="0"/>
                <w:sz w:val="21"/>
                <w:szCs w:val="21"/>
              </w:rPr>
              <w:t>40.9</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41.91</w:t>
            </w:r>
            <w:r>
              <w:rPr>
                <w:rFonts w:hint="eastAsia"/>
                <w:snapToGrid w:val="0"/>
                <w:sz w:val="21"/>
                <w:szCs w:val="21"/>
              </w:rPr>
              <w:t xml:space="preserve"> </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cantSplit/>
          <w:trHeight w:val="20" w:hRule="atLeast"/>
          <w:jc w:val="center"/>
        </w:trPr>
        <w:tc>
          <w:tcPr>
            <w:tcW w:w="735" w:type="dxa"/>
            <w:vMerge w:val="restart"/>
            <w:tcBorders>
              <w:tl2br w:val="nil"/>
              <w:tr2bl w:val="nil"/>
            </w:tcBorders>
            <w:vAlign w:val="center"/>
          </w:tcPr>
          <w:p>
            <w:pPr>
              <w:spacing w:line="240" w:lineRule="auto"/>
              <w:jc w:val="center"/>
              <w:rPr>
                <w:snapToGrid w:val="0"/>
                <w:sz w:val="21"/>
                <w:szCs w:val="21"/>
              </w:rPr>
            </w:pPr>
            <w:r>
              <w:rPr>
                <w:snapToGrid w:val="0"/>
                <w:sz w:val="21"/>
                <w:szCs w:val="21"/>
              </w:rPr>
              <w:t>2</w:t>
            </w:r>
          </w:p>
        </w:tc>
        <w:tc>
          <w:tcPr>
            <w:tcW w:w="1373" w:type="dxa"/>
            <w:vMerge w:val="restart"/>
            <w:tcBorders>
              <w:tl2br w:val="nil"/>
              <w:tr2bl w:val="nil"/>
            </w:tcBorders>
            <w:vAlign w:val="center"/>
          </w:tcPr>
          <w:p>
            <w:pPr>
              <w:spacing w:line="240" w:lineRule="auto"/>
              <w:jc w:val="center"/>
              <w:rPr>
                <w:snapToGrid w:val="0"/>
                <w:sz w:val="21"/>
                <w:szCs w:val="21"/>
              </w:rPr>
            </w:pPr>
            <w:r>
              <w:rPr>
                <w:sz w:val="21"/>
                <w:szCs w:val="21"/>
              </w:rPr>
              <w:t>7户</w:t>
            </w:r>
            <w:r>
              <w:rPr>
                <w:rFonts w:hint="eastAsia"/>
                <w:sz w:val="21"/>
                <w:szCs w:val="21"/>
              </w:rPr>
              <w:t>红星村4组村民</w:t>
            </w:r>
            <w:r>
              <w:rPr>
                <w:sz w:val="21"/>
                <w:szCs w:val="21"/>
              </w:rPr>
              <w:t>（</w:t>
            </w:r>
            <w:r>
              <w:rPr>
                <w:rFonts w:hint="eastAsia"/>
                <w:sz w:val="21"/>
                <w:szCs w:val="21"/>
              </w:rPr>
              <w:t>东侧，与厂界最近距离</w:t>
            </w:r>
            <w:r>
              <w:rPr>
                <w:sz w:val="21"/>
                <w:szCs w:val="21"/>
              </w:rPr>
              <w:t>182m）</w:t>
            </w: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昼间</w:t>
            </w:r>
          </w:p>
        </w:tc>
        <w:tc>
          <w:tcPr>
            <w:tcW w:w="1080" w:type="dxa"/>
            <w:vMerge w:val="restart"/>
            <w:tcBorders>
              <w:tl2br w:val="nil"/>
              <w:tr2bl w:val="nil"/>
            </w:tcBorders>
            <w:vAlign w:val="center"/>
          </w:tcPr>
          <w:p>
            <w:pPr>
              <w:spacing w:line="240" w:lineRule="auto"/>
              <w:jc w:val="center"/>
              <w:rPr>
                <w:sz w:val="21"/>
                <w:szCs w:val="21"/>
              </w:rPr>
            </w:pPr>
            <w:r>
              <w:rPr>
                <w:rFonts w:hint="eastAsia"/>
                <w:sz w:val="21"/>
                <w:szCs w:val="21"/>
              </w:rPr>
              <w:t>2</w:t>
            </w:r>
            <w:r>
              <w:rPr>
                <w:sz w:val="21"/>
                <w:szCs w:val="21"/>
              </w:rPr>
              <w:t>6.26</w:t>
            </w:r>
          </w:p>
        </w:tc>
        <w:tc>
          <w:tcPr>
            <w:tcW w:w="966" w:type="dxa"/>
            <w:tcBorders>
              <w:tl2br w:val="nil"/>
              <w:tr2bl w:val="nil"/>
            </w:tcBorders>
            <w:vAlign w:val="center"/>
          </w:tcPr>
          <w:p>
            <w:pPr>
              <w:spacing w:line="240" w:lineRule="auto"/>
              <w:jc w:val="center"/>
              <w:rPr>
                <w:sz w:val="21"/>
                <w:szCs w:val="21"/>
              </w:rPr>
            </w:pPr>
            <w:r>
              <w:rPr>
                <w:sz w:val="21"/>
                <w:szCs w:val="21"/>
              </w:rPr>
              <w:t>52.6</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52.61</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vMerge w:val="continue"/>
            <w:tcBorders>
              <w:tl2br w:val="nil"/>
              <w:tr2bl w:val="nil"/>
            </w:tcBorders>
            <w:vAlign w:val="center"/>
          </w:tcPr>
          <w:p>
            <w:pPr>
              <w:spacing w:line="240" w:lineRule="auto"/>
              <w:jc w:val="center"/>
              <w:rPr>
                <w:snapToGrid w:val="0"/>
                <w:sz w:val="21"/>
                <w:szCs w:val="21"/>
              </w:rPr>
            </w:pPr>
          </w:p>
        </w:tc>
        <w:tc>
          <w:tcPr>
            <w:tcW w:w="1373" w:type="dxa"/>
            <w:vMerge w:val="continue"/>
            <w:tcBorders>
              <w:tl2br w:val="nil"/>
              <w:tr2bl w:val="nil"/>
            </w:tcBorders>
            <w:vAlign w:val="center"/>
          </w:tcPr>
          <w:p>
            <w:pPr>
              <w:spacing w:line="240" w:lineRule="auto"/>
              <w:jc w:val="center"/>
              <w:rPr>
                <w:snapToGrid w:val="0"/>
                <w:sz w:val="21"/>
                <w:szCs w:val="21"/>
              </w:rPr>
            </w:pP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夜间</w:t>
            </w:r>
          </w:p>
        </w:tc>
        <w:tc>
          <w:tcPr>
            <w:tcW w:w="1080" w:type="dxa"/>
            <w:vMerge w:val="continue"/>
            <w:tcBorders>
              <w:tl2br w:val="nil"/>
              <w:tr2bl w:val="nil"/>
            </w:tcBorders>
            <w:vAlign w:val="center"/>
          </w:tcPr>
          <w:p>
            <w:pPr>
              <w:spacing w:line="240" w:lineRule="auto"/>
              <w:jc w:val="center"/>
              <w:rPr>
                <w:snapToGrid w:val="0"/>
                <w:sz w:val="21"/>
                <w:szCs w:val="21"/>
              </w:rPr>
            </w:pPr>
          </w:p>
        </w:tc>
        <w:tc>
          <w:tcPr>
            <w:tcW w:w="966" w:type="dxa"/>
            <w:tcBorders>
              <w:tl2br w:val="nil"/>
              <w:tr2bl w:val="nil"/>
            </w:tcBorders>
            <w:vAlign w:val="center"/>
          </w:tcPr>
          <w:p>
            <w:pPr>
              <w:spacing w:line="240" w:lineRule="auto"/>
              <w:jc w:val="center"/>
              <w:rPr>
                <w:snapToGrid w:val="0"/>
                <w:sz w:val="21"/>
                <w:szCs w:val="21"/>
              </w:rPr>
            </w:pPr>
            <w:r>
              <w:rPr>
                <w:snapToGrid w:val="0"/>
                <w:sz w:val="21"/>
                <w:szCs w:val="21"/>
              </w:rPr>
              <w:t>40.9</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41.05</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vMerge w:val="restart"/>
            <w:tcBorders>
              <w:tl2br w:val="nil"/>
              <w:tr2bl w:val="nil"/>
            </w:tcBorders>
            <w:vAlign w:val="center"/>
          </w:tcPr>
          <w:p>
            <w:pPr>
              <w:spacing w:line="240" w:lineRule="auto"/>
              <w:jc w:val="center"/>
              <w:rPr>
                <w:snapToGrid w:val="0"/>
                <w:sz w:val="21"/>
                <w:szCs w:val="21"/>
              </w:rPr>
            </w:pPr>
            <w:r>
              <w:rPr>
                <w:snapToGrid w:val="0"/>
                <w:sz w:val="21"/>
                <w:szCs w:val="21"/>
              </w:rPr>
              <w:t>3</w:t>
            </w:r>
          </w:p>
        </w:tc>
        <w:tc>
          <w:tcPr>
            <w:tcW w:w="1373" w:type="dxa"/>
            <w:vMerge w:val="restart"/>
            <w:tcBorders>
              <w:tl2br w:val="nil"/>
              <w:tr2bl w:val="nil"/>
            </w:tcBorders>
            <w:vAlign w:val="center"/>
          </w:tcPr>
          <w:p>
            <w:pPr>
              <w:spacing w:line="240" w:lineRule="auto"/>
              <w:jc w:val="center"/>
              <w:rPr>
                <w:snapToGrid w:val="0"/>
                <w:sz w:val="21"/>
                <w:szCs w:val="21"/>
              </w:rPr>
            </w:pPr>
            <w:r>
              <w:rPr>
                <w:kern w:val="0"/>
                <w:sz w:val="21"/>
                <w:szCs w:val="21"/>
              </w:rPr>
              <w:t>3</w:t>
            </w:r>
            <w:r>
              <w:rPr>
                <w:sz w:val="21"/>
                <w:szCs w:val="21"/>
              </w:rPr>
              <w:t>户</w:t>
            </w:r>
            <w:r>
              <w:rPr>
                <w:rFonts w:hint="eastAsia"/>
                <w:sz w:val="21"/>
                <w:szCs w:val="21"/>
              </w:rPr>
              <w:t>星星亮村</w:t>
            </w:r>
            <w:r>
              <w:rPr>
                <w:sz w:val="21"/>
                <w:szCs w:val="21"/>
              </w:rPr>
              <w:t>3</w:t>
            </w:r>
            <w:r>
              <w:rPr>
                <w:rFonts w:hint="eastAsia"/>
                <w:sz w:val="21"/>
                <w:szCs w:val="21"/>
              </w:rPr>
              <w:t>组村民</w:t>
            </w:r>
            <w:r>
              <w:rPr>
                <w:sz w:val="21"/>
                <w:szCs w:val="21"/>
              </w:rPr>
              <w:t>（</w:t>
            </w:r>
            <w:r>
              <w:rPr>
                <w:rFonts w:hint="eastAsia"/>
                <w:sz w:val="21"/>
                <w:szCs w:val="21"/>
              </w:rPr>
              <w:t>南侧，与厂界最近距离</w:t>
            </w:r>
            <w:r>
              <w:rPr>
                <w:sz w:val="21"/>
                <w:szCs w:val="21"/>
              </w:rPr>
              <w:t>144m</w:t>
            </w: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昼间</w:t>
            </w:r>
          </w:p>
        </w:tc>
        <w:tc>
          <w:tcPr>
            <w:tcW w:w="1080" w:type="dxa"/>
            <w:vMerge w:val="restart"/>
            <w:tcBorders>
              <w:tl2br w:val="nil"/>
              <w:tr2bl w:val="nil"/>
            </w:tcBorders>
            <w:vAlign w:val="center"/>
          </w:tcPr>
          <w:p>
            <w:pPr>
              <w:spacing w:line="240" w:lineRule="auto"/>
              <w:jc w:val="center"/>
              <w:rPr>
                <w:sz w:val="21"/>
                <w:szCs w:val="21"/>
              </w:rPr>
            </w:pPr>
            <w:r>
              <w:rPr>
                <w:rFonts w:hint="eastAsia"/>
                <w:sz w:val="21"/>
                <w:szCs w:val="21"/>
              </w:rPr>
              <w:t>2</w:t>
            </w:r>
            <w:r>
              <w:rPr>
                <w:sz w:val="21"/>
                <w:szCs w:val="21"/>
              </w:rPr>
              <w:t>8.29</w:t>
            </w:r>
          </w:p>
        </w:tc>
        <w:tc>
          <w:tcPr>
            <w:tcW w:w="966" w:type="dxa"/>
            <w:tcBorders>
              <w:tl2br w:val="nil"/>
              <w:tr2bl w:val="nil"/>
            </w:tcBorders>
            <w:vAlign w:val="center"/>
          </w:tcPr>
          <w:p>
            <w:pPr>
              <w:spacing w:line="240" w:lineRule="auto"/>
              <w:jc w:val="center"/>
              <w:rPr>
                <w:sz w:val="21"/>
                <w:szCs w:val="21"/>
              </w:rPr>
            </w:pPr>
            <w:r>
              <w:rPr>
                <w:sz w:val="21"/>
                <w:szCs w:val="21"/>
              </w:rPr>
              <w:t>50.8</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50.82</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cantSplit/>
          <w:trHeight w:val="20" w:hRule="atLeast"/>
          <w:jc w:val="center"/>
        </w:trPr>
        <w:tc>
          <w:tcPr>
            <w:tcW w:w="735" w:type="dxa"/>
            <w:vMerge w:val="continue"/>
            <w:tcBorders>
              <w:tl2br w:val="nil"/>
              <w:tr2bl w:val="nil"/>
            </w:tcBorders>
            <w:vAlign w:val="center"/>
          </w:tcPr>
          <w:p>
            <w:pPr>
              <w:spacing w:line="240" w:lineRule="auto"/>
              <w:jc w:val="center"/>
              <w:rPr>
                <w:snapToGrid w:val="0"/>
                <w:sz w:val="21"/>
                <w:szCs w:val="21"/>
              </w:rPr>
            </w:pPr>
          </w:p>
        </w:tc>
        <w:tc>
          <w:tcPr>
            <w:tcW w:w="1373" w:type="dxa"/>
            <w:vMerge w:val="continue"/>
            <w:tcBorders>
              <w:tl2br w:val="nil"/>
              <w:tr2bl w:val="nil"/>
            </w:tcBorders>
            <w:vAlign w:val="center"/>
          </w:tcPr>
          <w:p>
            <w:pPr>
              <w:spacing w:line="240" w:lineRule="auto"/>
              <w:jc w:val="center"/>
              <w:rPr>
                <w:snapToGrid w:val="0"/>
                <w:sz w:val="21"/>
                <w:szCs w:val="21"/>
              </w:rPr>
            </w:pP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夜间</w:t>
            </w:r>
          </w:p>
        </w:tc>
        <w:tc>
          <w:tcPr>
            <w:tcW w:w="1080" w:type="dxa"/>
            <w:vMerge w:val="continue"/>
            <w:tcBorders>
              <w:tl2br w:val="nil"/>
              <w:tr2bl w:val="nil"/>
            </w:tcBorders>
            <w:vAlign w:val="center"/>
          </w:tcPr>
          <w:p>
            <w:pPr>
              <w:spacing w:line="240" w:lineRule="auto"/>
              <w:jc w:val="center"/>
              <w:rPr>
                <w:sz w:val="21"/>
                <w:szCs w:val="21"/>
              </w:rPr>
            </w:pPr>
          </w:p>
        </w:tc>
        <w:tc>
          <w:tcPr>
            <w:tcW w:w="966" w:type="dxa"/>
            <w:tcBorders>
              <w:tl2br w:val="nil"/>
              <w:tr2bl w:val="nil"/>
            </w:tcBorders>
            <w:vAlign w:val="center"/>
          </w:tcPr>
          <w:p>
            <w:pPr>
              <w:spacing w:line="240" w:lineRule="auto"/>
              <w:jc w:val="center"/>
              <w:rPr>
                <w:sz w:val="21"/>
                <w:szCs w:val="21"/>
              </w:rPr>
            </w:pPr>
            <w:r>
              <w:rPr>
                <w:sz w:val="21"/>
                <w:szCs w:val="21"/>
              </w:rPr>
              <w:t>44.3</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44.41</w:t>
            </w:r>
            <w:r>
              <w:rPr>
                <w:rFonts w:hint="eastAsia"/>
                <w:snapToGrid w:val="0"/>
                <w:sz w:val="21"/>
                <w:szCs w:val="21"/>
              </w:rPr>
              <w:t xml:space="preserve"> </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cantSplit/>
          <w:trHeight w:val="20" w:hRule="atLeast"/>
          <w:jc w:val="center"/>
        </w:trPr>
        <w:tc>
          <w:tcPr>
            <w:tcW w:w="735" w:type="dxa"/>
            <w:vMerge w:val="restart"/>
            <w:tcBorders>
              <w:tl2br w:val="nil"/>
              <w:tr2bl w:val="nil"/>
            </w:tcBorders>
            <w:vAlign w:val="center"/>
          </w:tcPr>
          <w:p>
            <w:pPr>
              <w:spacing w:line="240" w:lineRule="auto"/>
              <w:jc w:val="center"/>
              <w:rPr>
                <w:snapToGrid w:val="0"/>
                <w:sz w:val="21"/>
                <w:szCs w:val="21"/>
              </w:rPr>
            </w:pPr>
            <w:r>
              <w:rPr>
                <w:rFonts w:hint="eastAsia"/>
                <w:snapToGrid w:val="0"/>
                <w:sz w:val="21"/>
                <w:szCs w:val="21"/>
              </w:rPr>
              <w:t>4</w:t>
            </w:r>
          </w:p>
        </w:tc>
        <w:tc>
          <w:tcPr>
            <w:tcW w:w="1373" w:type="dxa"/>
            <w:vMerge w:val="restart"/>
            <w:tcBorders>
              <w:tl2br w:val="nil"/>
              <w:tr2bl w:val="nil"/>
            </w:tcBorders>
            <w:vAlign w:val="center"/>
          </w:tcPr>
          <w:p>
            <w:pPr>
              <w:spacing w:line="240" w:lineRule="auto"/>
              <w:jc w:val="center"/>
              <w:rPr>
                <w:snapToGrid w:val="0"/>
                <w:sz w:val="21"/>
                <w:szCs w:val="21"/>
              </w:rPr>
            </w:pPr>
            <w:r>
              <w:rPr>
                <w:kern w:val="0"/>
                <w:sz w:val="21"/>
                <w:szCs w:val="21"/>
              </w:rPr>
              <w:t>16户</w:t>
            </w:r>
            <w:r>
              <w:rPr>
                <w:rFonts w:hint="eastAsia"/>
                <w:sz w:val="21"/>
                <w:szCs w:val="21"/>
              </w:rPr>
              <w:t>星星亮村</w:t>
            </w:r>
            <w:r>
              <w:rPr>
                <w:sz w:val="21"/>
                <w:szCs w:val="21"/>
              </w:rPr>
              <w:t>3</w:t>
            </w:r>
            <w:r>
              <w:rPr>
                <w:rFonts w:hint="eastAsia"/>
                <w:sz w:val="21"/>
                <w:szCs w:val="21"/>
              </w:rPr>
              <w:t>组村民</w:t>
            </w:r>
            <w:r>
              <w:rPr>
                <w:snapToGrid w:val="0"/>
                <w:sz w:val="21"/>
                <w:szCs w:val="21"/>
              </w:rPr>
              <w:t>（</w:t>
            </w:r>
            <w:r>
              <w:rPr>
                <w:rFonts w:hint="eastAsia"/>
                <w:snapToGrid w:val="0"/>
                <w:sz w:val="21"/>
                <w:szCs w:val="21"/>
              </w:rPr>
              <w:t>西侧，与厂界相距</w:t>
            </w:r>
            <w:r>
              <w:rPr>
                <w:snapToGrid w:val="0"/>
                <w:sz w:val="21"/>
                <w:szCs w:val="21"/>
              </w:rPr>
              <w:t>104m）</w:t>
            </w: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昼间</w:t>
            </w:r>
          </w:p>
        </w:tc>
        <w:tc>
          <w:tcPr>
            <w:tcW w:w="1080" w:type="dxa"/>
            <w:vMerge w:val="restart"/>
            <w:tcBorders>
              <w:tl2br w:val="nil"/>
              <w:tr2bl w:val="nil"/>
            </w:tcBorders>
            <w:vAlign w:val="center"/>
          </w:tcPr>
          <w:p>
            <w:pPr>
              <w:spacing w:line="240" w:lineRule="auto"/>
              <w:jc w:val="center"/>
              <w:rPr>
                <w:sz w:val="21"/>
                <w:szCs w:val="21"/>
              </w:rPr>
            </w:pPr>
            <w:r>
              <w:rPr>
                <w:rFonts w:hint="eastAsia"/>
                <w:sz w:val="21"/>
                <w:szCs w:val="21"/>
              </w:rPr>
              <w:t>3</w:t>
            </w:r>
            <w:r>
              <w:rPr>
                <w:sz w:val="21"/>
                <w:szCs w:val="21"/>
              </w:rPr>
              <w:t>1.12</w:t>
            </w:r>
          </w:p>
        </w:tc>
        <w:tc>
          <w:tcPr>
            <w:tcW w:w="966" w:type="dxa"/>
            <w:tcBorders>
              <w:tl2br w:val="nil"/>
              <w:tr2bl w:val="nil"/>
            </w:tcBorders>
            <w:vAlign w:val="center"/>
          </w:tcPr>
          <w:p>
            <w:pPr>
              <w:spacing w:line="240" w:lineRule="auto"/>
              <w:jc w:val="center"/>
              <w:rPr>
                <w:snapToGrid w:val="0"/>
                <w:sz w:val="21"/>
                <w:szCs w:val="21"/>
              </w:rPr>
            </w:pPr>
            <w:r>
              <w:rPr>
                <w:sz w:val="21"/>
                <w:szCs w:val="21"/>
              </w:rPr>
              <w:t>51.7</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51.74</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cantSplit/>
          <w:trHeight w:val="20" w:hRule="atLeast"/>
          <w:jc w:val="center"/>
        </w:trPr>
        <w:tc>
          <w:tcPr>
            <w:tcW w:w="735" w:type="dxa"/>
            <w:vMerge w:val="continue"/>
            <w:tcBorders>
              <w:tl2br w:val="nil"/>
              <w:tr2bl w:val="nil"/>
            </w:tcBorders>
            <w:vAlign w:val="center"/>
          </w:tcPr>
          <w:p>
            <w:pPr>
              <w:spacing w:line="240" w:lineRule="auto"/>
              <w:jc w:val="center"/>
              <w:rPr>
                <w:snapToGrid w:val="0"/>
                <w:sz w:val="21"/>
                <w:szCs w:val="21"/>
              </w:rPr>
            </w:pPr>
          </w:p>
        </w:tc>
        <w:tc>
          <w:tcPr>
            <w:tcW w:w="1373" w:type="dxa"/>
            <w:vMerge w:val="continue"/>
            <w:tcBorders>
              <w:tl2br w:val="nil"/>
              <w:tr2bl w:val="nil"/>
            </w:tcBorders>
            <w:vAlign w:val="center"/>
          </w:tcPr>
          <w:p>
            <w:pPr>
              <w:spacing w:line="240" w:lineRule="auto"/>
              <w:jc w:val="center"/>
              <w:rPr>
                <w:kern w:val="0"/>
                <w:sz w:val="21"/>
                <w:szCs w:val="21"/>
              </w:rPr>
            </w:pP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夜间</w:t>
            </w:r>
          </w:p>
        </w:tc>
        <w:tc>
          <w:tcPr>
            <w:tcW w:w="1080" w:type="dxa"/>
            <w:vMerge w:val="continue"/>
            <w:tcBorders>
              <w:tl2br w:val="nil"/>
              <w:tr2bl w:val="nil"/>
            </w:tcBorders>
            <w:vAlign w:val="center"/>
          </w:tcPr>
          <w:p>
            <w:pPr>
              <w:spacing w:line="240" w:lineRule="auto"/>
              <w:jc w:val="center"/>
              <w:rPr>
                <w:sz w:val="21"/>
                <w:szCs w:val="21"/>
              </w:rPr>
            </w:pPr>
          </w:p>
        </w:tc>
        <w:tc>
          <w:tcPr>
            <w:tcW w:w="966" w:type="dxa"/>
            <w:tcBorders>
              <w:tl2br w:val="nil"/>
              <w:tr2bl w:val="nil"/>
            </w:tcBorders>
            <w:vAlign w:val="center"/>
          </w:tcPr>
          <w:p>
            <w:pPr>
              <w:spacing w:line="240" w:lineRule="auto"/>
              <w:jc w:val="center"/>
              <w:rPr>
                <w:snapToGrid w:val="0"/>
                <w:sz w:val="21"/>
                <w:szCs w:val="21"/>
              </w:rPr>
            </w:pPr>
            <w:r>
              <w:rPr>
                <w:sz w:val="21"/>
                <w:szCs w:val="21"/>
              </w:rPr>
              <w:t>45.0</w:t>
            </w:r>
          </w:p>
        </w:tc>
        <w:tc>
          <w:tcPr>
            <w:tcW w:w="1053" w:type="dxa"/>
            <w:tcBorders>
              <w:tl2br w:val="nil"/>
              <w:tr2bl w:val="nil"/>
            </w:tcBorders>
            <w:vAlign w:val="center"/>
          </w:tcPr>
          <w:p>
            <w:pPr>
              <w:spacing w:line="240" w:lineRule="auto"/>
              <w:jc w:val="center"/>
              <w:rPr>
                <w:snapToGrid w:val="0"/>
                <w:sz w:val="21"/>
                <w:szCs w:val="21"/>
              </w:rPr>
            </w:pPr>
            <w:r>
              <w:rPr>
                <w:snapToGrid w:val="0"/>
                <w:sz w:val="21"/>
                <w:szCs w:val="21"/>
              </w:rPr>
              <w:t>45.17</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vMerge w:val="restart"/>
            <w:tcBorders>
              <w:tl2br w:val="nil"/>
              <w:tr2bl w:val="nil"/>
            </w:tcBorders>
            <w:vAlign w:val="center"/>
          </w:tcPr>
          <w:p>
            <w:pPr>
              <w:spacing w:line="240" w:lineRule="auto"/>
              <w:jc w:val="center"/>
              <w:rPr>
                <w:snapToGrid w:val="0"/>
                <w:sz w:val="21"/>
                <w:szCs w:val="21"/>
              </w:rPr>
            </w:pPr>
            <w:r>
              <w:rPr>
                <w:rFonts w:hint="eastAsia"/>
                <w:snapToGrid w:val="0"/>
                <w:sz w:val="21"/>
                <w:szCs w:val="21"/>
              </w:rPr>
              <w:t>5</w:t>
            </w:r>
          </w:p>
        </w:tc>
        <w:tc>
          <w:tcPr>
            <w:tcW w:w="1373" w:type="dxa"/>
            <w:vMerge w:val="restart"/>
            <w:tcBorders>
              <w:tl2br w:val="nil"/>
              <w:tr2bl w:val="nil"/>
            </w:tcBorders>
            <w:vAlign w:val="center"/>
          </w:tcPr>
          <w:p>
            <w:pPr>
              <w:spacing w:line="240" w:lineRule="auto"/>
              <w:jc w:val="center"/>
              <w:rPr>
                <w:kern w:val="0"/>
                <w:sz w:val="21"/>
                <w:szCs w:val="21"/>
              </w:rPr>
            </w:pPr>
            <w:r>
              <w:rPr>
                <w:sz w:val="21"/>
                <w:szCs w:val="21"/>
              </w:rPr>
              <w:t>7户</w:t>
            </w:r>
            <w:r>
              <w:rPr>
                <w:rFonts w:hint="eastAsia"/>
                <w:sz w:val="21"/>
                <w:szCs w:val="21"/>
              </w:rPr>
              <w:t>红星村4组村民</w:t>
            </w:r>
            <w:r>
              <w:rPr>
                <w:sz w:val="21"/>
                <w:szCs w:val="21"/>
              </w:rPr>
              <w:t>（</w:t>
            </w:r>
            <w:r>
              <w:rPr>
                <w:rFonts w:hint="eastAsia"/>
                <w:sz w:val="21"/>
                <w:szCs w:val="21"/>
              </w:rPr>
              <w:t>东侧，与厂界最近距离</w:t>
            </w:r>
            <w:r>
              <w:rPr>
                <w:sz w:val="21"/>
                <w:szCs w:val="21"/>
              </w:rPr>
              <w:t>144m）</w:t>
            </w: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昼间</w:t>
            </w:r>
          </w:p>
        </w:tc>
        <w:tc>
          <w:tcPr>
            <w:tcW w:w="1080" w:type="dxa"/>
            <w:vMerge w:val="restart"/>
            <w:tcBorders>
              <w:tl2br w:val="nil"/>
              <w:tr2bl w:val="nil"/>
            </w:tcBorders>
            <w:vAlign w:val="center"/>
          </w:tcPr>
          <w:p>
            <w:pPr>
              <w:spacing w:line="240" w:lineRule="auto"/>
              <w:jc w:val="center"/>
              <w:rPr>
                <w:sz w:val="21"/>
                <w:szCs w:val="21"/>
              </w:rPr>
            </w:pPr>
            <w:r>
              <w:rPr>
                <w:rFonts w:hint="eastAsia"/>
                <w:sz w:val="21"/>
                <w:szCs w:val="21"/>
              </w:rPr>
              <w:t>2</w:t>
            </w:r>
            <w:r>
              <w:rPr>
                <w:sz w:val="21"/>
                <w:szCs w:val="21"/>
              </w:rPr>
              <w:t>8.29</w:t>
            </w:r>
          </w:p>
        </w:tc>
        <w:tc>
          <w:tcPr>
            <w:tcW w:w="966" w:type="dxa"/>
            <w:tcBorders>
              <w:tl2br w:val="nil"/>
              <w:tr2bl w:val="nil"/>
            </w:tcBorders>
            <w:vAlign w:val="center"/>
          </w:tcPr>
          <w:p>
            <w:pPr>
              <w:spacing w:line="240" w:lineRule="auto"/>
              <w:jc w:val="center"/>
              <w:rPr>
                <w:snapToGrid w:val="0"/>
                <w:sz w:val="21"/>
                <w:szCs w:val="21"/>
              </w:rPr>
            </w:pPr>
            <w:r>
              <w:rPr>
                <w:rFonts w:hint="eastAsia"/>
                <w:sz w:val="21"/>
                <w:szCs w:val="21"/>
              </w:rPr>
              <w:t>5</w:t>
            </w:r>
            <w:r>
              <w:rPr>
                <w:sz w:val="21"/>
                <w:szCs w:val="21"/>
              </w:rPr>
              <w:t>3.3</w:t>
            </w:r>
          </w:p>
        </w:tc>
        <w:tc>
          <w:tcPr>
            <w:tcW w:w="1053" w:type="dxa"/>
            <w:tcBorders>
              <w:tl2br w:val="nil"/>
              <w:tr2bl w:val="nil"/>
            </w:tcBorders>
            <w:vAlign w:val="center"/>
          </w:tcPr>
          <w:p>
            <w:pPr>
              <w:spacing w:line="240" w:lineRule="auto"/>
              <w:jc w:val="center"/>
              <w:rPr>
                <w:snapToGrid w:val="0"/>
                <w:sz w:val="21"/>
                <w:szCs w:val="21"/>
              </w:rPr>
            </w:pPr>
            <w:r>
              <w:rPr>
                <w:rFonts w:hint="eastAsia"/>
                <w:snapToGrid w:val="0"/>
                <w:sz w:val="21"/>
                <w:szCs w:val="21"/>
              </w:rPr>
              <w:t>5</w:t>
            </w:r>
            <w:r>
              <w:rPr>
                <w:snapToGrid w:val="0"/>
                <w:sz w:val="21"/>
                <w:szCs w:val="21"/>
              </w:rPr>
              <w:t>3.31</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20" w:hRule="atLeast"/>
          <w:jc w:val="center"/>
        </w:trPr>
        <w:tc>
          <w:tcPr>
            <w:tcW w:w="735" w:type="dxa"/>
            <w:vMerge w:val="continue"/>
            <w:tcBorders>
              <w:tl2br w:val="nil"/>
              <w:tr2bl w:val="nil"/>
            </w:tcBorders>
            <w:vAlign w:val="center"/>
          </w:tcPr>
          <w:p>
            <w:pPr>
              <w:spacing w:line="240" w:lineRule="auto"/>
              <w:jc w:val="center"/>
              <w:rPr>
                <w:snapToGrid w:val="0"/>
                <w:sz w:val="21"/>
                <w:szCs w:val="21"/>
              </w:rPr>
            </w:pPr>
          </w:p>
        </w:tc>
        <w:tc>
          <w:tcPr>
            <w:tcW w:w="1373" w:type="dxa"/>
            <w:vMerge w:val="continue"/>
            <w:tcBorders>
              <w:tl2br w:val="nil"/>
              <w:tr2bl w:val="nil"/>
            </w:tcBorders>
            <w:vAlign w:val="center"/>
          </w:tcPr>
          <w:p>
            <w:pPr>
              <w:spacing w:line="240" w:lineRule="auto"/>
              <w:jc w:val="center"/>
              <w:rPr>
                <w:sz w:val="21"/>
                <w:szCs w:val="21"/>
              </w:rPr>
            </w:pPr>
          </w:p>
        </w:tc>
        <w:tc>
          <w:tcPr>
            <w:tcW w:w="947" w:type="dxa"/>
            <w:tcBorders>
              <w:tl2br w:val="nil"/>
              <w:tr2bl w:val="nil"/>
            </w:tcBorders>
            <w:vAlign w:val="center"/>
          </w:tcPr>
          <w:p>
            <w:pPr>
              <w:spacing w:line="240" w:lineRule="auto"/>
              <w:jc w:val="center"/>
              <w:rPr>
                <w:snapToGrid w:val="0"/>
                <w:sz w:val="21"/>
                <w:szCs w:val="21"/>
              </w:rPr>
            </w:pPr>
            <w:r>
              <w:rPr>
                <w:snapToGrid w:val="0"/>
                <w:sz w:val="21"/>
                <w:szCs w:val="21"/>
              </w:rPr>
              <w:t>夜间</w:t>
            </w:r>
          </w:p>
        </w:tc>
        <w:tc>
          <w:tcPr>
            <w:tcW w:w="1080" w:type="dxa"/>
            <w:vMerge w:val="continue"/>
            <w:tcBorders>
              <w:tl2br w:val="nil"/>
              <w:tr2bl w:val="nil"/>
            </w:tcBorders>
            <w:vAlign w:val="center"/>
          </w:tcPr>
          <w:p>
            <w:pPr>
              <w:spacing w:line="240" w:lineRule="auto"/>
              <w:jc w:val="center"/>
              <w:rPr>
                <w:sz w:val="21"/>
                <w:szCs w:val="21"/>
              </w:rPr>
            </w:pPr>
          </w:p>
        </w:tc>
        <w:tc>
          <w:tcPr>
            <w:tcW w:w="966" w:type="dxa"/>
            <w:tcBorders>
              <w:tl2br w:val="nil"/>
              <w:tr2bl w:val="nil"/>
            </w:tcBorders>
            <w:vAlign w:val="center"/>
          </w:tcPr>
          <w:p>
            <w:pPr>
              <w:spacing w:line="240" w:lineRule="auto"/>
              <w:jc w:val="center"/>
              <w:rPr>
                <w:snapToGrid w:val="0"/>
                <w:sz w:val="21"/>
                <w:szCs w:val="21"/>
              </w:rPr>
            </w:pPr>
            <w:r>
              <w:rPr>
                <w:rFonts w:hint="eastAsia"/>
                <w:sz w:val="21"/>
                <w:szCs w:val="21"/>
              </w:rPr>
              <w:t>4</w:t>
            </w:r>
            <w:r>
              <w:rPr>
                <w:sz w:val="21"/>
                <w:szCs w:val="21"/>
              </w:rPr>
              <w:t>2.0</w:t>
            </w:r>
          </w:p>
        </w:tc>
        <w:tc>
          <w:tcPr>
            <w:tcW w:w="1053" w:type="dxa"/>
            <w:tcBorders>
              <w:tl2br w:val="nil"/>
              <w:tr2bl w:val="nil"/>
            </w:tcBorders>
            <w:vAlign w:val="center"/>
          </w:tcPr>
          <w:p>
            <w:pPr>
              <w:spacing w:line="240" w:lineRule="auto"/>
              <w:jc w:val="center"/>
              <w:rPr>
                <w:snapToGrid w:val="0"/>
                <w:sz w:val="21"/>
                <w:szCs w:val="21"/>
              </w:rPr>
            </w:pPr>
            <w:r>
              <w:rPr>
                <w:rFonts w:hint="eastAsia"/>
                <w:snapToGrid w:val="0"/>
                <w:sz w:val="21"/>
                <w:szCs w:val="21"/>
              </w:rPr>
              <w:t>5</w:t>
            </w:r>
            <w:r>
              <w:rPr>
                <w:snapToGrid w:val="0"/>
                <w:sz w:val="21"/>
                <w:szCs w:val="21"/>
              </w:rPr>
              <w:t>3.61</w:t>
            </w:r>
          </w:p>
        </w:tc>
        <w:tc>
          <w:tcPr>
            <w:tcW w:w="1144" w:type="dxa"/>
            <w:tcBorders>
              <w:tl2br w:val="nil"/>
              <w:tr2bl w:val="nil"/>
            </w:tcBorders>
            <w:vAlign w:val="center"/>
          </w:tcPr>
          <w:p>
            <w:pPr>
              <w:spacing w:line="240" w:lineRule="auto"/>
              <w:jc w:val="center"/>
              <w:rPr>
                <w:snapToGrid w:val="0"/>
                <w:sz w:val="21"/>
                <w:szCs w:val="21"/>
              </w:rPr>
            </w:pPr>
            <w:r>
              <w:rPr>
                <w:snapToGrid w:val="0"/>
                <w:sz w:val="21"/>
                <w:szCs w:val="21"/>
              </w:rPr>
              <w:t>达标</w:t>
            </w:r>
          </w:p>
        </w:tc>
        <w:tc>
          <w:tcPr>
            <w:tcW w:w="1489" w:type="dxa"/>
            <w:vMerge w:val="continue"/>
            <w:tcBorders>
              <w:tl2br w:val="nil"/>
              <w:tr2bl w:val="nil"/>
            </w:tcBorders>
            <w:vAlign w:val="center"/>
          </w:tcPr>
          <w:p>
            <w:pPr>
              <w:spacing w:line="240" w:lineRule="auto"/>
              <w:jc w:val="center"/>
              <w:rPr>
                <w:snapToGrid w:val="0"/>
                <w:sz w:val="21"/>
                <w:szCs w:val="21"/>
              </w:rPr>
            </w:pPr>
          </w:p>
        </w:tc>
      </w:tr>
    </w:tbl>
    <w:p>
      <w:pPr>
        <w:pStyle w:val="970"/>
        <w:snapToGrid w:val="0"/>
        <w:ind w:firstLine="0"/>
        <w:outlineLvl w:val="3"/>
        <w:rPr>
          <w:rFonts w:eastAsia="黑体"/>
          <w:bCs/>
          <w:szCs w:val="24"/>
        </w:rPr>
      </w:pPr>
      <w:r>
        <w:rPr>
          <w:rFonts w:eastAsia="黑体"/>
          <w:bCs/>
          <w:szCs w:val="24"/>
        </w:rPr>
        <w:t>7.2.4.5预测评价结论</w:t>
      </w:r>
    </w:p>
    <w:p>
      <w:pPr>
        <w:tabs>
          <w:tab w:val="left" w:pos="7380"/>
        </w:tabs>
        <w:ind w:firstLine="480" w:firstLineChars="200"/>
      </w:pPr>
      <w:r>
        <w:t>由表7.2</w:t>
      </w:r>
      <w:r>
        <w:rPr>
          <w:rFonts w:hint="eastAsia"/>
        </w:rPr>
        <w:t>-</w:t>
      </w:r>
      <w:r>
        <w:t>20噪声预测结果可以看出，营运期各场界的噪声值满足《工业企业厂界环境噪声排放标准》（GB12348-2008）中2类标准。同时企业应加强猪的饲养管理和猪售卖运输过程的管理，避免发生猪受惊吓时，猪叫声扰民现象。</w:t>
      </w:r>
    </w:p>
    <w:p>
      <w:pPr>
        <w:tabs>
          <w:tab w:val="left" w:pos="7380"/>
        </w:tabs>
        <w:ind w:firstLine="480" w:firstLineChars="200"/>
      </w:pPr>
      <w:r>
        <w:t>同时，项目场区周边有零星农户，无医院、疗养院、学校等声环境敏感点。根据表7.2</w:t>
      </w:r>
      <w:r>
        <w:rPr>
          <w:rFonts w:hint="eastAsia"/>
        </w:rPr>
        <w:t>-</w:t>
      </w:r>
      <w:r>
        <w:t>21敏感点噪声预测，本项目运营期噪声敏感点预测均满足《声环境质量标准》（GB3096-2008）中2类标准，不会造成噪声扰民。项目建设对区域内的声环境影响不明显，不会改变区域声环境。</w:t>
      </w:r>
    </w:p>
    <w:p>
      <w:pPr>
        <w:tabs>
          <w:tab w:val="left" w:pos="7380"/>
        </w:tabs>
        <w:ind w:firstLine="480" w:firstLineChars="200"/>
        <w:rPr>
          <w:szCs w:val="28"/>
        </w:rPr>
      </w:pPr>
      <w:r>
        <w:rPr>
          <w:szCs w:val="28"/>
        </w:rPr>
        <w:t>可见本工程的设备噪声对厂界声环境的影响较小，不会对厂界声环境产生明显影响。因此，本项目噪声影响是可被周围环境接受的。</w:t>
      </w:r>
    </w:p>
    <w:p>
      <w:pPr>
        <w:spacing w:before="240" w:after="60"/>
        <w:jc w:val="left"/>
        <w:outlineLvl w:val="2"/>
        <w:rPr>
          <w:rFonts w:eastAsia="黑体"/>
          <w:bCs/>
          <w:sz w:val="28"/>
          <w:szCs w:val="28"/>
        </w:rPr>
      </w:pPr>
      <w:r>
        <w:rPr>
          <w:rFonts w:eastAsia="黑体"/>
          <w:bCs/>
          <w:sz w:val="28"/>
          <w:szCs w:val="28"/>
        </w:rPr>
        <w:t>7.2.5固体废物环境影响分析</w:t>
      </w:r>
    </w:p>
    <w:p>
      <w:pPr>
        <w:widowControl/>
        <w:adjustRightInd w:val="0"/>
        <w:snapToGrid w:val="0"/>
        <w:ind w:firstLine="480" w:firstLineChars="200"/>
        <w:jc w:val="left"/>
        <w:rPr>
          <w:b/>
          <w:szCs w:val="28"/>
        </w:rPr>
      </w:pPr>
      <w:r>
        <w:rPr>
          <w:kern w:val="0"/>
        </w:rPr>
        <w:t>养殖场固体废物主要为猪粪、污泥、病死猪和母猪分娩物、办公区生活垃圾、少量医疗废物、少量废脱硫剂。</w:t>
      </w:r>
    </w:p>
    <w:p>
      <w:pPr>
        <w:widowControl/>
        <w:adjustRightInd w:val="0"/>
        <w:snapToGrid w:val="0"/>
        <w:ind w:firstLine="482" w:firstLineChars="200"/>
        <w:jc w:val="left"/>
        <w:rPr>
          <w:b/>
          <w:szCs w:val="28"/>
        </w:rPr>
      </w:pPr>
      <w:r>
        <w:rPr>
          <w:rFonts w:hint="eastAsia"/>
          <w:b/>
          <w:szCs w:val="28"/>
        </w:rPr>
        <w:t>（1）</w:t>
      </w:r>
      <w:r>
        <w:rPr>
          <w:b/>
          <w:szCs w:val="28"/>
        </w:rPr>
        <w:t>猪粪</w:t>
      </w:r>
    </w:p>
    <w:p>
      <w:pPr>
        <w:widowControl/>
        <w:adjustRightInd w:val="0"/>
        <w:snapToGrid w:val="0"/>
        <w:ind w:firstLine="480" w:firstLineChars="200"/>
        <w:jc w:val="left"/>
        <w:rPr>
          <w:szCs w:val="28"/>
        </w:rPr>
      </w:pPr>
      <w:r>
        <w:t>项目圈舍采用全漏缝地板，猪舍内产生的粪尿依靠重力进入缝隙地板下的集污沟，本项目养殖场</w:t>
      </w:r>
      <w:r>
        <w:rPr>
          <w:rFonts w:hint="eastAsia"/>
        </w:rPr>
        <w:t>产生的猪粪连同养殖废水一并进入到暂存池，每日由槽罐车运至</w:t>
      </w:r>
      <w:r>
        <w:t>乐山乐高勤力生物质能源综合利用有限公司“大沼”工程用于发电，</w:t>
      </w:r>
      <w:r>
        <w:rPr>
          <w:rFonts w:hint="eastAsia"/>
        </w:rPr>
        <w:t>根据</w:t>
      </w:r>
      <w:r>
        <w:t>乐山乐高勤力生物质能源综合利用有限公司</w:t>
      </w:r>
      <w:r>
        <w:rPr>
          <w:rFonts w:hint="eastAsia"/>
        </w:rPr>
        <w:t>流程可知，待产生沼气后，进行干湿分离，干粪生产为固态有机肥，猪粪可得到妥善处置。</w:t>
      </w:r>
    </w:p>
    <w:p>
      <w:pPr>
        <w:widowControl/>
        <w:adjustRightInd w:val="0"/>
        <w:snapToGrid w:val="0"/>
        <w:ind w:firstLine="482" w:firstLineChars="200"/>
        <w:jc w:val="left"/>
        <w:rPr>
          <w:b/>
          <w:szCs w:val="28"/>
        </w:rPr>
      </w:pPr>
      <w:r>
        <w:rPr>
          <w:rFonts w:hint="eastAsia"/>
          <w:b/>
          <w:szCs w:val="28"/>
        </w:rPr>
        <w:t>（2）</w:t>
      </w:r>
      <w:r>
        <w:rPr>
          <w:b/>
          <w:szCs w:val="28"/>
        </w:rPr>
        <w:t>生活垃圾</w:t>
      </w:r>
    </w:p>
    <w:p>
      <w:pPr>
        <w:widowControl/>
        <w:adjustRightInd w:val="0"/>
        <w:snapToGrid w:val="0"/>
        <w:ind w:firstLine="480" w:firstLineChars="200"/>
        <w:jc w:val="left"/>
        <w:rPr>
          <w:szCs w:val="28"/>
        </w:rPr>
      </w:pPr>
      <w:r>
        <w:rPr>
          <w:szCs w:val="28"/>
        </w:rPr>
        <w:t>营运期间本项目产生生活垃圾</w:t>
      </w:r>
      <w:r>
        <w:rPr>
          <w:rFonts w:hint="eastAsia"/>
          <w:szCs w:val="28"/>
        </w:rPr>
        <w:t>经垃圾桶收集后</w:t>
      </w:r>
      <w:r>
        <w:rPr>
          <w:szCs w:val="28"/>
        </w:rPr>
        <w:t>，由环卫部门定期清运，交由临济镇环卫部门处置，对环境影响小。</w:t>
      </w:r>
    </w:p>
    <w:p>
      <w:pPr>
        <w:widowControl/>
        <w:adjustRightInd w:val="0"/>
        <w:snapToGrid w:val="0"/>
        <w:ind w:firstLine="482" w:firstLineChars="200"/>
        <w:jc w:val="left"/>
        <w:rPr>
          <w:b/>
          <w:szCs w:val="28"/>
        </w:rPr>
      </w:pPr>
      <w:r>
        <w:rPr>
          <w:rFonts w:hint="eastAsia"/>
          <w:b/>
          <w:szCs w:val="28"/>
        </w:rPr>
        <w:t>（3）</w:t>
      </w:r>
      <w:r>
        <w:rPr>
          <w:b/>
          <w:szCs w:val="28"/>
        </w:rPr>
        <w:t>病死猪和母猪分娩物</w:t>
      </w:r>
    </w:p>
    <w:p>
      <w:pPr>
        <w:widowControl/>
        <w:adjustRightInd w:val="0"/>
        <w:snapToGrid w:val="0"/>
        <w:ind w:firstLine="480" w:firstLineChars="200"/>
        <w:jc w:val="left"/>
      </w:pPr>
      <w:r>
        <w:t>本项目营运期产生病死猪约6.48t/a，胎盘约97.2t/a。根据《畜禽养殖业污染治理工程技术规范》（HJ497-2009）及《畜禽养殖业污染防治技术规范》（HJ/T81-2001），病死猪只尸体要及时处理，严禁随意丢弃，严禁出售或作为饲料再利用。淘汰种猪量为900头/a。</w:t>
      </w:r>
    </w:p>
    <w:p>
      <w:pPr>
        <w:widowControl/>
        <w:adjustRightInd w:val="0"/>
        <w:snapToGrid w:val="0"/>
        <w:ind w:firstLine="480" w:firstLineChars="200"/>
        <w:jc w:val="left"/>
        <w:rPr>
          <w:szCs w:val="28"/>
        </w:rPr>
      </w:pPr>
      <w:r>
        <w:t>项目产生的病死猪及严格按照《乐山市人民政府办公室关于建立病死畜禽无害化处理机制的通知》（乐府办函[2016]24号）处置，交由乐山市无害化处理中心处置。通过以上措施，本项目病死猪固体废物得到了妥善处置和利用，符合《畜禽养殖业污染防治技术政策》（环发[2010]151号，2010年12月30日发布），固体废物的处置措施妥当，去向明确，不会对环境造成二次污染。</w:t>
      </w:r>
    </w:p>
    <w:p>
      <w:pPr>
        <w:widowControl/>
        <w:adjustRightInd w:val="0"/>
        <w:snapToGrid w:val="0"/>
        <w:ind w:firstLine="482" w:firstLineChars="200"/>
        <w:jc w:val="left"/>
        <w:rPr>
          <w:b/>
          <w:szCs w:val="28"/>
        </w:rPr>
      </w:pPr>
      <w:r>
        <w:rPr>
          <w:rFonts w:hint="eastAsia"/>
          <w:b/>
          <w:szCs w:val="28"/>
        </w:rPr>
        <w:t>（4）</w:t>
      </w:r>
      <w:r>
        <w:rPr>
          <w:b/>
          <w:szCs w:val="28"/>
        </w:rPr>
        <w:t>医疗废物</w:t>
      </w:r>
    </w:p>
    <w:p>
      <w:pPr>
        <w:widowControl/>
        <w:adjustRightInd w:val="0"/>
        <w:snapToGrid w:val="0"/>
        <w:ind w:firstLine="480" w:firstLineChars="200"/>
        <w:jc w:val="left"/>
        <w:rPr>
          <w:szCs w:val="28"/>
        </w:rPr>
      </w:pPr>
      <w:r>
        <w:rPr>
          <w:szCs w:val="28"/>
        </w:rPr>
        <w:t>项目设置医务室，会产生以废弃药品、废弃兽药包装袋、过期兽药等医疗废物，预计产生量约为5.44t/a。不得随意丢弃，场内设置医疗废物存储间，并用专用密闭容器收集后，交由具有医疗废物处理资质的单位处置。采取措施后，医疗废物处置对环境影响较小。</w:t>
      </w:r>
    </w:p>
    <w:p>
      <w:pPr>
        <w:widowControl/>
        <w:adjustRightInd w:val="0"/>
        <w:snapToGrid w:val="0"/>
        <w:ind w:firstLine="480" w:firstLineChars="200"/>
        <w:jc w:val="left"/>
        <w:rPr>
          <w:szCs w:val="28"/>
        </w:rPr>
      </w:pPr>
      <w:r>
        <w:rPr>
          <w:szCs w:val="28"/>
        </w:rPr>
        <w:t>综上，项目产生的固体废物对环境的影响小。</w:t>
      </w:r>
    </w:p>
    <w:p>
      <w:pPr>
        <w:spacing w:before="240" w:after="60"/>
        <w:jc w:val="left"/>
        <w:outlineLvl w:val="2"/>
        <w:rPr>
          <w:rFonts w:eastAsia="黑体"/>
          <w:bCs/>
          <w:sz w:val="28"/>
          <w:szCs w:val="28"/>
        </w:rPr>
      </w:pPr>
      <w:r>
        <w:rPr>
          <w:rFonts w:eastAsia="黑体"/>
          <w:bCs/>
          <w:sz w:val="28"/>
          <w:szCs w:val="28"/>
        </w:rPr>
        <w:t>7.2.6</w:t>
      </w:r>
      <w:r>
        <w:rPr>
          <w:rFonts w:hint="eastAsia" w:eastAsia="黑体"/>
          <w:bCs/>
          <w:sz w:val="28"/>
          <w:szCs w:val="28"/>
        </w:rPr>
        <w:t>土壤环境</w:t>
      </w:r>
      <w:r>
        <w:rPr>
          <w:rFonts w:eastAsia="黑体"/>
          <w:bCs/>
          <w:sz w:val="28"/>
          <w:szCs w:val="28"/>
        </w:rPr>
        <w:t>影响</w:t>
      </w:r>
      <w:r>
        <w:rPr>
          <w:rFonts w:hint="eastAsia" w:eastAsia="黑体"/>
          <w:bCs/>
          <w:sz w:val="28"/>
          <w:szCs w:val="28"/>
        </w:rPr>
        <w:t>预测与评价</w:t>
      </w:r>
    </w:p>
    <w:p>
      <w:pPr>
        <w:pStyle w:val="970"/>
        <w:snapToGrid w:val="0"/>
        <w:ind w:firstLine="0"/>
        <w:outlineLvl w:val="3"/>
        <w:rPr>
          <w:rFonts w:eastAsia="黑体"/>
          <w:bCs/>
          <w:szCs w:val="24"/>
        </w:rPr>
      </w:pPr>
      <w:r>
        <w:rPr>
          <w:rFonts w:eastAsia="黑体"/>
          <w:bCs/>
          <w:szCs w:val="24"/>
        </w:rPr>
        <w:t xml:space="preserve">7.2.6.1 </w:t>
      </w:r>
      <w:r>
        <w:rPr>
          <w:rFonts w:hint="eastAsia" w:eastAsia="黑体"/>
          <w:bCs/>
          <w:szCs w:val="24"/>
        </w:rPr>
        <w:t>评价目的</w:t>
      </w:r>
    </w:p>
    <w:p>
      <w:pPr>
        <w:pStyle w:val="3165"/>
        <w:ind w:firstLine="480"/>
        <w:rPr>
          <w:color w:val="auto"/>
        </w:rPr>
      </w:pPr>
      <w:r>
        <w:rPr>
          <w:rFonts w:hint="eastAsia"/>
          <w:color w:val="auto"/>
        </w:rPr>
        <w:t>（1）</w:t>
      </w:r>
      <w:r>
        <w:rPr>
          <w:color w:val="auto"/>
        </w:rPr>
        <w:t>结合国家、地方土壤相关资料和实地调查，掌握拟建项目地区土壤类型及理化特性等，查明土壤环境现状与土壤利用现状；</w:t>
      </w:r>
    </w:p>
    <w:p>
      <w:pPr>
        <w:pStyle w:val="3165"/>
        <w:ind w:firstLine="480"/>
        <w:rPr>
          <w:color w:val="auto"/>
        </w:rPr>
      </w:pPr>
      <w:r>
        <w:rPr>
          <w:rFonts w:hint="eastAsia"/>
          <w:color w:val="auto"/>
        </w:rPr>
        <w:t>（2）</w:t>
      </w:r>
      <w:r>
        <w:rPr>
          <w:color w:val="auto"/>
        </w:rPr>
        <w:t>根据拟建项目工程分析及与土壤污染相关的地表水、地下水、大气等评价结果，分析并识别出可能进入土壤的污染物种类、数量、方式等，预测拟建项目可能对土壤环境产生的影响，评价其影响程度和范围及其可能导致的土壤环境变化趋势；</w:t>
      </w:r>
    </w:p>
    <w:p>
      <w:pPr>
        <w:pStyle w:val="3165"/>
        <w:ind w:firstLine="480"/>
        <w:rPr>
          <w:color w:val="auto"/>
        </w:rPr>
      </w:pPr>
      <w:r>
        <w:rPr>
          <w:rFonts w:hint="eastAsia"/>
          <w:color w:val="auto"/>
        </w:rPr>
        <w:t>（3）</w:t>
      </w:r>
      <w:r>
        <w:rPr>
          <w:color w:val="auto"/>
        </w:rPr>
        <w:t>针对项目建设可能产生的不利影响，提出合理、可行、操作性强的土壤环境影响防控措施，使工程建设带来的负面环境影响降至最低程度，达到项目建设和环境保护的协调发展；</w:t>
      </w:r>
    </w:p>
    <w:p>
      <w:pPr>
        <w:pStyle w:val="3165"/>
        <w:ind w:firstLine="480"/>
        <w:rPr>
          <w:color w:val="auto"/>
        </w:rPr>
      </w:pPr>
      <w:r>
        <w:rPr>
          <w:rFonts w:hint="eastAsia"/>
          <w:color w:val="auto"/>
        </w:rPr>
        <w:t>（5）</w:t>
      </w:r>
      <w:r>
        <w:rPr>
          <w:color w:val="auto"/>
        </w:rPr>
        <w:t>从土壤环境保护角度论证项目建设的可行性，为工程建设决策和环境管理提供科学依据。</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2</w:t>
      </w:r>
      <w:r>
        <w:rPr>
          <w:rFonts w:eastAsia="黑体"/>
          <w:bCs/>
          <w:szCs w:val="24"/>
        </w:rPr>
        <w:t xml:space="preserve"> </w:t>
      </w:r>
      <w:r>
        <w:rPr>
          <w:rFonts w:hint="eastAsia" w:eastAsia="黑体"/>
          <w:bCs/>
          <w:szCs w:val="24"/>
        </w:rPr>
        <w:t>评价内容与评价重点</w:t>
      </w:r>
    </w:p>
    <w:p>
      <w:pPr>
        <w:pStyle w:val="3165"/>
        <w:ind w:firstLine="480"/>
        <w:rPr>
          <w:color w:val="auto"/>
        </w:rPr>
      </w:pPr>
      <w:r>
        <w:rPr>
          <w:rFonts w:hint="eastAsia"/>
          <w:color w:val="auto"/>
        </w:rPr>
        <w:t>（1）</w:t>
      </w:r>
      <w:r>
        <w:rPr>
          <w:color w:val="auto"/>
        </w:rPr>
        <w:t>评价内容</w:t>
      </w:r>
    </w:p>
    <w:p>
      <w:pPr>
        <w:pStyle w:val="3165"/>
        <w:ind w:firstLine="480"/>
        <w:rPr>
          <w:color w:val="auto"/>
        </w:rPr>
      </w:pPr>
      <w:r>
        <w:rPr>
          <w:color w:val="auto"/>
        </w:rPr>
        <w:t>土壤环境的现状调查、监测与评价，以及建设项目对土壤环境可能造成的直接和间接危害的预测与评价，并针对其造成的影响和危害提出防控措施与对策。</w:t>
      </w:r>
    </w:p>
    <w:p>
      <w:pPr>
        <w:pStyle w:val="3165"/>
        <w:ind w:firstLine="480"/>
        <w:rPr>
          <w:color w:val="auto"/>
        </w:rPr>
      </w:pPr>
      <w:r>
        <w:rPr>
          <w:rFonts w:hint="eastAsia"/>
          <w:color w:val="auto"/>
        </w:rPr>
        <w:t>（2）</w:t>
      </w:r>
      <w:r>
        <w:rPr>
          <w:color w:val="auto"/>
        </w:rPr>
        <w:t>评价重点</w:t>
      </w:r>
    </w:p>
    <w:p>
      <w:pPr>
        <w:pStyle w:val="3165"/>
        <w:ind w:firstLine="480"/>
        <w:rPr>
          <w:color w:val="auto"/>
        </w:rPr>
      </w:pPr>
      <w:r>
        <w:rPr>
          <w:color w:val="auto"/>
        </w:rPr>
        <w:t>结合工程的特点及区域环境特征，确定本次评价工作重点为：建设项目土壤环境影响类型与影响途径识别、建设项目周边土壤环境现状调查、土壤环境影响预测及评价、土壤环境污染防治措施及建议。</w:t>
      </w:r>
    </w:p>
    <w:p>
      <w:pPr>
        <w:pStyle w:val="3165"/>
        <w:ind w:firstLine="480"/>
        <w:rPr>
          <w:color w:val="auto"/>
        </w:rPr>
      </w:pPr>
      <w:r>
        <w:rPr>
          <w:rFonts w:hint="eastAsia"/>
          <w:color w:val="auto"/>
        </w:rPr>
        <w:t>（3）</w:t>
      </w:r>
      <w:r>
        <w:rPr>
          <w:color w:val="auto"/>
        </w:rPr>
        <w:t>评价工作程序</w:t>
      </w:r>
    </w:p>
    <w:p>
      <w:pPr>
        <w:pStyle w:val="3165"/>
        <w:ind w:firstLine="480"/>
        <w:rPr>
          <w:color w:val="auto"/>
        </w:rPr>
      </w:pPr>
      <w:r>
        <w:rPr>
          <w:color w:val="auto"/>
        </w:rPr>
        <w:drawing>
          <wp:anchor distT="0" distB="0" distL="114300" distR="114300" simplePos="0" relativeHeight="251642880" behindDoc="0" locked="0" layoutInCell="1" allowOverlap="1">
            <wp:simplePos x="0" y="0"/>
            <wp:positionH relativeFrom="column">
              <wp:posOffset>1221105</wp:posOffset>
            </wp:positionH>
            <wp:positionV relativeFrom="paragraph">
              <wp:posOffset>690880</wp:posOffset>
            </wp:positionV>
            <wp:extent cx="3634105" cy="4791075"/>
            <wp:effectExtent l="0" t="0" r="4445" b="9525"/>
            <wp:wrapTopAndBottom/>
            <wp:docPr id="2" name="图片 2" descr="W020190716418078065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020190716418078065651[1]"/>
                    <pic:cNvPicPr>
                      <a:picLocks noChangeAspect="1" noChangeArrowheads="1"/>
                    </pic:cNvPicPr>
                  </pic:nvPicPr>
                  <pic:blipFill>
                    <a:blip r:embed="rId45" cstate="print">
                      <a:extLst>
                        <a:ext uri="{28A0092B-C50C-407E-A947-70E740481C1C}">
                          <a14:useLocalDpi xmlns:a14="http://schemas.microsoft.com/office/drawing/2010/main" val="0"/>
                        </a:ext>
                      </a:extLst>
                    </a:blip>
                    <a:srcRect l="20757" t="33049" r="23344" b="14906"/>
                    <a:stretch>
                      <a:fillRect/>
                    </a:stretch>
                  </pic:blipFill>
                  <pic:spPr>
                    <a:xfrm>
                      <a:off x="0" y="0"/>
                      <a:ext cx="3634105" cy="4791075"/>
                    </a:xfrm>
                    <a:prstGeom prst="rect">
                      <a:avLst/>
                    </a:prstGeom>
                    <a:noFill/>
                    <a:ln>
                      <a:noFill/>
                    </a:ln>
                  </pic:spPr>
                </pic:pic>
              </a:graphicData>
            </a:graphic>
          </wp:anchor>
        </w:drawing>
      </w:r>
      <w:r>
        <w:rPr>
          <w:color w:val="auto"/>
        </w:rPr>
        <w:t>评价工作分为准备阶段、现状调查与评价阶段、预测分析与评价阶段和结论阶段。</w:t>
      </w:r>
    </w:p>
    <w:p>
      <w:pPr>
        <w:pStyle w:val="3165"/>
        <w:ind w:firstLine="0" w:firstLineChars="0"/>
        <w:jc w:val="center"/>
        <w:rPr>
          <w:rFonts w:eastAsia="黑体" w:cs="Times New Roman"/>
          <w:bCs/>
          <w:color w:val="auto"/>
          <w:szCs w:val="24"/>
        </w:rPr>
      </w:pPr>
      <w:r>
        <w:rPr>
          <w:rFonts w:eastAsia="黑体" w:cs="Times New Roman"/>
          <w:bCs/>
          <w:color w:val="auto"/>
          <w:szCs w:val="24"/>
        </w:rPr>
        <w:t>图7.2-2  项目土壤环境影响评价工作程序图</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3</w:t>
      </w:r>
      <w:r>
        <w:rPr>
          <w:rFonts w:eastAsia="黑体"/>
          <w:bCs/>
          <w:szCs w:val="24"/>
        </w:rPr>
        <w:t xml:space="preserve"> </w:t>
      </w:r>
      <w:r>
        <w:rPr>
          <w:rFonts w:hint="eastAsia" w:eastAsia="黑体"/>
          <w:bCs/>
          <w:szCs w:val="24"/>
        </w:rPr>
        <w:t>土壤环境影响识别及评价等级</w:t>
      </w:r>
    </w:p>
    <w:p>
      <w:pPr>
        <w:pStyle w:val="2"/>
        <w:ind w:firstLine="480"/>
        <w:rPr>
          <w:rFonts w:hint="default"/>
        </w:rPr>
      </w:pPr>
      <w:r>
        <w:t>本项目为生猪养殖项目，根据项目建设内容及其对土壤可能产生的影响，判定本项目土壤影响类型为</w:t>
      </w:r>
      <w:r>
        <w:rPr>
          <w:b/>
        </w:rPr>
        <w:t>污染影响型</w:t>
      </w:r>
      <w:r>
        <w:t>。</w:t>
      </w:r>
    </w:p>
    <w:p>
      <w:pPr>
        <w:pStyle w:val="3165"/>
        <w:ind w:firstLine="480"/>
        <w:rPr>
          <w:color w:val="auto"/>
        </w:rPr>
      </w:pPr>
      <w:r>
        <w:rPr>
          <w:rFonts w:hint="eastAsia"/>
          <w:color w:val="auto"/>
        </w:rPr>
        <w:t>（1）</w:t>
      </w:r>
      <w:r>
        <w:rPr>
          <w:color w:val="auto"/>
        </w:rPr>
        <w:t>评价等级</w:t>
      </w:r>
    </w:p>
    <w:p>
      <w:pPr>
        <w:pStyle w:val="3165"/>
        <w:ind w:firstLine="480"/>
        <w:rPr>
          <w:color w:val="auto"/>
        </w:rPr>
      </w:pPr>
      <w:r>
        <w:rPr>
          <w:color w:val="auto"/>
        </w:rPr>
        <w:t>根据行业特征、工业特点或规模大小等将建设项目类别分为I类、II类、III类、IV类，分类详见《环境影响评价技术导则—土壤环境》（HJ964-2018）附录A（以下简称附录A）。其中I类、II类及III类建设项目的土壤环境影响评价应执行导则要求，IV类建设项目可不开展土壤环境影响评价；自身为敏感目标的建设项目，可根据需要仅对土壤环境现状进行调查。</w:t>
      </w:r>
    </w:p>
    <w:p>
      <w:pPr>
        <w:pStyle w:val="3165"/>
        <w:ind w:firstLine="480"/>
        <w:rPr>
          <w:color w:val="auto"/>
        </w:rPr>
      </w:pPr>
      <w:r>
        <w:rPr>
          <w:color w:val="auto"/>
        </w:rPr>
        <w:t>①项目类型</w:t>
      </w:r>
    </w:p>
    <w:p>
      <w:pPr>
        <w:pStyle w:val="3165"/>
        <w:ind w:firstLine="480"/>
        <w:rPr>
          <w:color w:val="auto"/>
        </w:rPr>
      </w:pPr>
      <w:r>
        <w:rPr>
          <w:color w:val="auto"/>
        </w:rPr>
        <w:t>依据附录A，本项目归类为</w:t>
      </w:r>
      <w:r>
        <w:rPr>
          <w:rFonts w:hint="eastAsia"/>
          <w:color w:val="auto"/>
        </w:rPr>
        <w:t>农林牧渔业</w:t>
      </w:r>
      <w:r>
        <w:rPr>
          <w:color w:val="auto"/>
        </w:rPr>
        <w:t>类，</w:t>
      </w:r>
      <w:r>
        <w:rPr>
          <w:rFonts w:hint="eastAsia"/>
          <w:color w:val="auto"/>
        </w:rPr>
        <w:t>年母猪存栏量3</w:t>
      </w:r>
      <w:r>
        <w:rPr>
          <w:color w:val="auto"/>
        </w:rPr>
        <w:t>600</w:t>
      </w:r>
      <w:r>
        <w:rPr>
          <w:rFonts w:hint="eastAsia"/>
          <w:color w:val="auto"/>
        </w:rPr>
        <w:t>头，出栏商品小猪</w:t>
      </w:r>
      <w:r>
        <w:rPr>
          <w:color w:val="auto"/>
        </w:rPr>
        <w:t>6156</w:t>
      </w:r>
      <w:r>
        <w:rPr>
          <w:rFonts w:hint="eastAsia"/>
          <w:color w:val="auto"/>
        </w:rPr>
        <w:t>0头（折合成年猪</w:t>
      </w:r>
      <w:r>
        <w:rPr>
          <w:color w:val="auto"/>
        </w:rPr>
        <w:t>6156</w:t>
      </w:r>
      <w:r>
        <w:rPr>
          <w:rFonts w:hint="eastAsia"/>
          <w:color w:val="auto"/>
        </w:rPr>
        <w:t>头），</w:t>
      </w:r>
      <w:r>
        <w:rPr>
          <w:color w:val="auto"/>
        </w:rPr>
        <w:t>属</w:t>
      </w:r>
      <w:r>
        <w:rPr>
          <w:rFonts w:hint="eastAsia" w:ascii="宋体" w:hAnsi="宋体"/>
          <w:color w:val="auto"/>
        </w:rPr>
        <w:t>Ⅲ</w:t>
      </w:r>
      <w:r>
        <w:rPr>
          <w:color w:val="auto"/>
        </w:rPr>
        <w:t xml:space="preserve">类项目。详见下表。 </w:t>
      </w:r>
    </w:p>
    <w:p>
      <w:pPr>
        <w:pStyle w:val="3165"/>
        <w:spacing w:line="240" w:lineRule="auto"/>
        <w:ind w:firstLine="0" w:firstLineChars="0"/>
        <w:jc w:val="center"/>
        <w:rPr>
          <w:rFonts w:eastAsia="黑体" w:cs="Times New Roman"/>
          <w:bCs/>
          <w:color w:val="auto"/>
          <w:szCs w:val="24"/>
        </w:rPr>
      </w:pPr>
      <w:r>
        <w:rPr>
          <w:rFonts w:eastAsia="黑体" w:cs="Times New Roman"/>
          <w:bCs/>
          <w:color w:val="auto"/>
          <w:szCs w:val="24"/>
        </w:rPr>
        <w:t>表7.2-22  土壤环境影响评价项目类别</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603"/>
        <w:gridCol w:w="1860"/>
        <w:gridCol w:w="2455"/>
        <w:gridCol w:w="1938"/>
        <w:gridCol w:w="1091"/>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524" w:type="dxa"/>
            <w:tcBorders>
              <w:tl2br w:val="nil"/>
              <w:tr2bl w:val="nil"/>
            </w:tcBorders>
            <w:vAlign w:val="center"/>
          </w:tcPr>
          <w:p>
            <w:pPr>
              <w:snapToGrid w:val="0"/>
              <w:spacing w:line="240" w:lineRule="auto"/>
              <w:jc w:val="right"/>
              <w:rPr>
                <w:sz w:val="21"/>
                <w:szCs w:val="21"/>
              </w:rPr>
            </w:pPr>
            <w:r>
              <w:rPr>
                <w:sz w:val="21"/>
                <w:szCs w:val="21"/>
              </w:rPr>
              <w:t>项目类别</w:t>
            </w:r>
          </w:p>
          <w:p>
            <w:pPr>
              <w:snapToGrid w:val="0"/>
              <w:spacing w:line="240" w:lineRule="auto"/>
              <w:rPr>
                <w:sz w:val="21"/>
                <w:szCs w:val="21"/>
              </w:rPr>
            </w:pPr>
            <w:r>
              <w:rPr>
                <w:sz w:val="21"/>
                <w:szCs w:val="21"/>
              </w:rPr>
              <w:t>行业类别</w:t>
            </w:r>
          </w:p>
        </w:tc>
        <w:tc>
          <w:tcPr>
            <w:tcW w:w="1768" w:type="dxa"/>
            <w:tcBorders>
              <w:tl2br w:val="nil"/>
              <w:tr2bl w:val="nil"/>
            </w:tcBorders>
            <w:vAlign w:val="center"/>
          </w:tcPr>
          <w:p>
            <w:pPr>
              <w:snapToGrid w:val="0"/>
              <w:spacing w:line="240" w:lineRule="auto"/>
              <w:jc w:val="center"/>
              <w:rPr>
                <w:sz w:val="21"/>
                <w:szCs w:val="21"/>
              </w:rPr>
            </w:pPr>
            <w:r>
              <w:rPr>
                <w:sz w:val="21"/>
                <w:szCs w:val="21"/>
              </w:rPr>
              <w:t>I类</w:t>
            </w:r>
          </w:p>
        </w:tc>
        <w:tc>
          <w:tcPr>
            <w:tcW w:w="2333" w:type="dxa"/>
            <w:tcBorders>
              <w:tl2br w:val="nil"/>
              <w:tr2bl w:val="nil"/>
            </w:tcBorders>
            <w:vAlign w:val="center"/>
          </w:tcPr>
          <w:p>
            <w:pPr>
              <w:snapToGrid w:val="0"/>
              <w:spacing w:line="240" w:lineRule="auto"/>
              <w:jc w:val="center"/>
              <w:rPr>
                <w:sz w:val="21"/>
                <w:szCs w:val="21"/>
              </w:rPr>
            </w:pPr>
            <w:r>
              <w:rPr>
                <w:sz w:val="21"/>
                <w:szCs w:val="21"/>
              </w:rPr>
              <w:t>II类</w:t>
            </w:r>
          </w:p>
        </w:tc>
        <w:tc>
          <w:tcPr>
            <w:tcW w:w="1842" w:type="dxa"/>
            <w:tcBorders>
              <w:tl2br w:val="nil"/>
              <w:tr2bl w:val="nil"/>
            </w:tcBorders>
            <w:vAlign w:val="center"/>
          </w:tcPr>
          <w:p>
            <w:pPr>
              <w:snapToGrid w:val="0"/>
              <w:spacing w:line="240" w:lineRule="auto"/>
              <w:jc w:val="center"/>
              <w:rPr>
                <w:sz w:val="21"/>
                <w:szCs w:val="21"/>
              </w:rPr>
            </w:pPr>
            <w:r>
              <w:rPr>
                <w:sz w:val="21"/>
                <w:szCs w:val="21"/>
              </w:rPr>
              <w:t>III类</w:t>
            </w:r>
          </w:p>
        </w:tc>
        <w:tc>
          <w:tcPr>
            <w:tcW w:w="1037" w:type="dxa"/>
            <w:tcBorders>
              <w:tl2br w:val="nil"/>
              <w:tr2bl w:val="nil"/>
            </w:tcBorders>
            <w:vAlign w:val="center"/>
          </w:tcPr>
          <w:p>
            <w:pPr>
              <w:snapToGrid w:val="0"/>
              <w:spacing w:line="240" w:lineRule="auto"/>
              <w:jc w:val="center"/>
              <w:rPr>
                <w:sz w:val="21"/>
                <w:szCs w:val="21"/>
              </w:rPr>
            </w:pPr>
            <w:r>
              <w:rPr>
                <w:sz w:val="21"/>
                <w:szCs w:val="21"/>
              </w:rPr>
              <w:t>IV类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524" w:type="dxa"/>
            <w:tcBorders>
              <w:tl2br w:val="nil"/>
              <w:tr2bl w:val="nil"/>
            </w:tcBorders>
            <w:vAlign w:val="center"/>
          </w:tcPr>
          <w:p>
            <w:pPr>
              <w:snapToGrid w:val="0"/>
              <w:spacing w:line="240" w:lineRule="auto"/>
              <w:jc w:val="center"/>
              <w:rPr>
                <w:sz w:val="21"/>
                <w:szCs w:val="21"/>
              </w:rPr>
            </w:pPr>
            <w:r>
              <w:rPr>
                <w:rFonts w:hint="eastAsia"/>
                <w:sz w:val="21"/>
                <w:szCs w:val="21"/>
              </w:rPr>
              <w:t>农林牧渔业</w:t>
            </w:r>
          </w:p>
        </w:tc>
        <w:tc>
          <w:tcPr>
            <w:tcW w:w="1768" w:type="dxa"/>
            <w:tcBorders>
              <w:tl2br w:val="nil"/>
              <w:tr2bl w:val="nil"/>
            </w:tcBorders>
            <w:vAlign w:val="center"/>
          </w:tcPr>
          <w:p>
            <w:pPr>
              <w:snapToGrid w:val="0"/>
              <w:spacing w:line="240" w:lineRule="auto"/>
              <w:jc w:val="center"/>
              <w:rPr>
                <w:sz w:val="21"/>
                <w:szCs w:val="21"/>
              </w:rPr>
            </w:pPr>
            <w:r>
              <w:rPr>
                <w:rFonts w:hint="eastAsia"/>
                <w:sz w:val="21"/>
                <w:szCs w:val="21"/>
              </w:rPr>
              <w:t>灌溉面积大于50万亩的灌区工程</w:t>
            </w:r>
          </w:p>
        </w:tc>
        <w:tc>
          <w:tcPr>
            <w:tcW w:w="2333" w:type="dxa"/>
            <w:tcBorders>
              <w:tl2br w:val="nil"/>
              <w:tr2bl w:val="nil"/>
            </w:tcBorders>
            <w:vAlign w:val="center"/>
          </w:tcPr>
          <w:p>
            <w:pPr>
              <w:autoSpaceDE w:val="0"/>
              <w:autoSpaceDN w:val="0"/>
              <w:snapToGrid w:val="0"/>
              <w:spacing w:line="240" w:lineRule="auto"/>
              <w:jc w:val="center"/>
              <w:rPr>
                <w:sz w:val="21"/>
                <w:szCs w:val="21"/>
              </w:rPr>
            </w:pPr>
            <w:r>
              <w:rPr>
                <w:rFonts w:hint="eastAsia"/>
                <w:sz w:val="21"/>
                <w:szCs w:val="21"/>
              </w:rPr>
              <w:t>新建5万亩至50万亩的、改造30万亩及以上的灌区工程，年出栏生猪10万头（其他畜禽种类折合猪的养殖规模）及以上的畜禽养殖场或养殖小区</w:t>
            </w:r>
          </w:p>
        </w:tc>
        <w:tc>
          <w:tcPr>
            <w:tcW w:w="1842" w:type="dxa"/>
            <w:tcBorders>
              <w:tl2br w:val="nil"/>
              <w:tr2bl w:val="nil"/>
            </w:tcBorders>
            <w:vAlign w:val="center"/>
          </w:tcPr>
          <w:p>
            <w:pPr>
              <w:snapToGrid w:val="0"/>
              <w:spacing w:line="240" w:lineRule="auto"/>
              <w:jc w:val="center"/>
              <w:rPr>
                <w:b/>
                <w:sz w:val="21"/>
                <w:szCs w:val="21"/>
              </w:rPr>
            </w:pPr>
            <w:r>
              <w:rPr>
                <w:rFonts w:hint="eastAsia"/>
                <w:b/>
                <w:sz w:val="21"/>
                <w:szCs w:val="21"/>
              </w:rPr>
              <w:t>年出栏生猪5000头（其他畜禽种类折合猪的养殖规模）及以上的畜禽养殖场或养殖小区</w:t>
            </w:r>
          </w:p>
        </w:tc>
        <w:tc>
          <w:tcPr>
            <w:tcW w:w="1037" w:type="dxa"/>
            <w:tcBorders>
              <w:tl2br w:val="nil"/>
              <w:tr2bl w:val="nil"/>
            </w:tcBorders>
            <w:vAlign w:val="center"/>
          </w:tcPr>
          <w:p>
            <w:pPr>
              <w:snapToGrid w:val="0"/>
              <w:spacing w:line="240" w:lineRule="auto"/>
              <w:jc w:val="center"/>
              <w:rPr>
                <w:sz w:val="21"/>
                <w:szCs w:val="21"/>
              </w:rPr>
            </w:pPr>
            <w:r>
              <w:rPr>
                <w:sz w:val="21"/>
                <w:szCs w:val="21"/>
              </w:rPr>
              <w:t>其他</w:t>
            </w:r>
          </w:p>
        </w:tc>
      </w:tr>
    </w:tbl>
    <w:p>
      <w:pPr>
        <w:pStyle w:val="3165"/>
        <w:ind w:firstLine="480"/>
        <w:rPr>
          <w:color w:val="auto"/>
        </w:rPr>
      </w:pPr>
      <w:r>
        <w:rPr>
          <w:color w:val="auto"/>
        </w:rPr>
        <w:t>②项目占地规模</w:t>
      </w:r>
    </w:p>
    <w:p>
      <w:pPr>
        <w:pStyle w:val="3165"/>
        <w:ind w:firstLine="480"/>
        <w:rPr>
          <w:color w:val="auto"/>
        </w:rPr>
      </w:pPr>
      <w:r>
        <w:rPr>
          <w:color w:val="auto"/>
        </w:rPr>
        <w:t>本项目占地面积8.6</w:t>
      </w:r>
      <w:r>
        <w:rPr>
          <w:rFonts w:hint="eastAsia"/>
          <w:color w:val="auto"/>
        </w:rPr>
        <w:t>hm</w:t>
      </w:r>
      <w:r>
        <w:rPr>
          <w:color w:val="auto"/>
          <w:vertAlign w:val="superscript"/>
        </w:rPr>
        <w:t>2</w:t>
      </w:r>
      <w:r>
        <w:rPr>
          <w:rFonts w:hint="eastAsia"/>
          <w:color w:val="auto"/>
        </w:rPr>
        <w:t>＞5</w:t>
      </w:r>
      <w:r>
        <w:rPr>
          <w:color w:val="auto"/>
        </w:rPr>
        <w:t>hm</w:t>
      </w:r>
      <w:r>
        <w:rPr>
          <w:color w:val="auto"/>
          <w:vertAlign w:val="superscript"/>
        </w:rPr>
        <w:t>2</w:t>
      </w:r>
      <w:r>
        <w:rPr>
          <w:rFonts w:hint="eastAsia"/>
          <w:color w:val="auto"/>
        </w:rPr>
        <w:t>，</w:t>
      </w:r>
      <w:r>
        <w:rPr>
          <w:color w:val="auto"/>
        </w:rPr>
        <w:t>5</w:t>
      </w:r>
      <w:r>
        <w:rPr>
          <w:rFonts w:hint="eastAsia"/>
          <w:color w:val="auto"/>
        </w:rPr>
        <w:t>~50</w:t>
      </w:r>
      <w:r>
        <w:rPr>
          <w:color w:val="auto"/>
        </w:rPr>
        <w:t>hm</w:t>
      </w:r>
      <w:r>
        <w:rPr>
          <w:color w:val="auto"/>
          <w:vertAlign w:val="superscript"/>
        </w:rPr>
        <w:t>2</w:t>
      </w:r>
      <w:r>
        <w:rPr>
          <w:color w:val="auto"/>
        </w:rPr>
        <w:t>，占地规模属于</w:t>
      </w:r>
      <w:r>
        <w:rPr>
          <w:rFonts w:hint="eastAsia"/>
          <w:color w:val="auto"/>
        </w:rPr>
        <w:t>中</w:t>
      </w:r>
      <w:r>
        <w:rPr>
          <w:color w:val="auto"/>
        </w:rPr>
        <w:t>型。</w:t>
      </w:r>
    </w:p>
    <w:p>
      <w:pPr>
        <w:pStyle w:val="3165"/>
        <w:ind w:firstLine="480"/>
        <w:rPr>
          <w:color w:val="auto"/>
        </w:rPr>
      </w:pPr>
      <w:r>
        <w:rPr>
          <w:color w:val="auto"/>
        </w:rPr>
        <w:t>③项目所在地周边土壤环境敏感程度</w:t>
      </w:r>
    </w:p>
    <w:p>
      <w:pPr>
        <w:pStyle w:val="3165"/>
        <w:ind w:firstLine="480"/>
        <w:rPr>
          <w:color w:val="auto"/>
        </w:rPr>
      </w:pPr>
      <w:r>
        <w:rPr>
          <w:color w:val="auto"/>
        </w:rPr>
        <w:t>建设项目所在地周边的土壤环境敏感程度可分为敏感、较敏感、不敏感，判定依据见下表：</w:t>
      </w:r>
    </w:p>
    <w:p>
      <w:pPr>
        <w:pStyle w:val="3165"/>
        <w:spacing w:line="240" w:lineRule="auto"/>
        <w:ind w:firstLine="0" w:firstLineChars="0"/>
        <w:jc w:val="center"/>
        <w:rPr>
          <w:rFonts w:eastAsia="黑体" w:cs="Times New Roman"/>
          <w:bCs/>
          <w:color w:val="auto"/>
          <w:szCs w:val="24"/>
        </w:rPr>
      </w:pPr>
      <w:r>
        <w:rPr>
          <w:rFonts w:eastAsia="黑体" w:cs="Times New Roman"/>
          <w:bCs/>
          <w:color w:val="auto"/>
          <w:szCs w:val="24"/>
        </w:rPr>
        <w:t>表7</w:t>
      </w:r>
      <w:r>
        <w:rPr>
          <w:rFonts w:hint="eastAsia" w:eastAsia="黑体" w:cs="Times New Roman"/>
          <w:bCs/>
          <w:color w:val="auto"/>
          <w:szCs w:val="24"/>
        </w:rPr>
        <w:t>.</w:t>
      </w:r>
      <w:r>
        <w:rPr>
          <w:rFonts w:eastAsia="黑体" w:cs="Times New Roman"/>
          <w:bCs/>
          <w:color w:val="auto"/>
          <w:szCs w:val="24"/>
        </w:rPr>
        <w:t>2-2</w:t>
      </w:r>
      <w:r>
        <w:rPr>
          <w:rFonts w:hint="eastAsia" w:eastAsia="黑体" w:cs="Times New Roman"/>
          <w:bCs/>
          <w:color w:val="auto"/>
          <w:szCs w:val="24"/>
        </w:rPr>
        <w:t>3</w:t>
      </w:r>
      <w:r>
        <w:rPr>
          <w:rFonts w:eastAsia="黑体" w:cs="Times New Roman"/>
          <w:bCs/>
          <w:color w:val="auto"/>
          <w:szCs w:val="24"/>
        </w:rPr>
        <w:t xml:space="preserve">  污染影响型敏感程度分级</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261"/>
        <w:gridCol w:w="3843"/>
        <w:gridCol w:w="38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202" w:type="dxa"/>
            <w:tcBorders>
              <w:tl2br w:val="nil"/>
              <w:tr2bl w:val="nil"/>
            </w:tcBorders>
            <w:vAlign w:val="center"/>
          </w:tcPr>
          <w:p>
            <w:pPr>
              <w:snapToGrid w:val="0"/>
              <w:spacing w:line="240" w:lineRule="auto"/>
              <w:jc w:val="center"/>
              <w:rPr>
                <w:sz w:val="21"/>
                <w:szCs w:val="21"/>
              </w:rPr>
            </w:pPr>
            <w:r>
              <w:rPr>
                <w:sz w:val="21"/>
                <w:szCs w:val="21"/>
              </w:rPr>
              <w:t>敏感</w:t>
            </w:r>
          </w:p>
          <w:p>
            <w:pPr>
              <w:snapToGrid w:val="0"/>
              <w:spacing w:line="240" w:lineRule="auto"/>
              <w:jc w:val="center"/>
              <w:rPr>
                <w:sz w:val="21"/>
                <w:szCs w:val="21"/>
              </w:rPr>
            </w:pPr>
            <w:r>
              <w:rPr>
                <w:sz w:val="21"/>
                <w:szCs w:val="21"/>
              </w:rPr>
              <w:t>程度</w:t>
            </w:r>
          </w:p>
        </w:tc>
        <w:tc>
          <w:tcPr>
            <w:tcW w:w="3664" w:type="dxa"/>
            <w:tcBorders>
              <w:tl2br w:val="nil"/>
              <w:tr2bl w:val="nil"/>
            </w:tcBorders>
            <w:vAlign w:val="center"/>
          </w:tcPr>
          <w:p>
            <w:pPr>
              <w:snapToGrid w:val="0"/>
              <w:spacing w:line="240" w:lineRule="auto"/>
              <w:jc w:val="center"/>
              <w:rPr>
                <w:sz w:val="21"/>
                <w:szCs w:val="21"/>
              </w:rPr>
            </w:pPr>
            <w:r>
              <w:rPr>
                <w:sz w:val="21"/>
                <w:szCs w:val="21"/>
              </w:rPr>
              <w:t>判别依据</w:t>
            </w:r>
          </w:p>
        </w:tc>
        <w:tc>
          <w:tcPr>
            <w:tcW w:w="3664" w:type="dxa"/>
            <w:tcBorders>
              <w:tl2br w:val="nil"/>
              <w:tr2bl w:val="nil"/>
            </w:tcBorders>
            <w:vAlign w:val="center"/>
          </w:tcPr>
          <w:p>
            <w:pPr>
              <w:snapToGrid w:val="0"/>
              <w:spacing w:line="240" w:lineRule="auto"/>
              <w:jc w:val="center"/>
              <w:rPr>
                <w:sz w:val="21"/>
                <w:szCs w:val="21"/>
              </w:rPr>
            </w:pPr>
            <w:r>
              <w:rPr>
                <w:sz w:val="21"/>
                <w:szCs w:val="21"/>
              </w:rPr>
              <w:t>本项目</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202" w:type="dxa"/>
            <w:tcBorders>
              <w:tl2br w:val="nil"/>
              <w:tr2bl w:val="nil"/>
            </w:tcBorders>
            <w:vAlign w:val="center"/>
          </w:tcPr>
          <w:p>
            <w:pPr>
              <w:snapToGrid w:val="0"/>
              <w:spacing w:line="240" w:lineRule="auto"/>
              <w:jc w:val="center"/>
              <w:rPr>
                <w:b/>
                <w:sz w:val="21"/>
                <w:szCs w:val="21"/>
              </w:rPr>
            </w:pPr>
            <w:r>
              <w:rPr>
                <w:b/>
                <w:sz w:val="21"/>
                <w:szCs w:val="21"/>
              </w:rPr>
              <w:t>敏感</w:t>
            </w:r>
          </w:p>
        </w:tc>
        <w:tc>
          <w:tcPr>
            <w:tcW w:w="3664" w:type="dxa"/>
            <w:tcBorders>
              <w:tl2br w:val="nil"/>
              <w:tr2bl w:val="nil"/>
            </w:tcBorders>
            <w:vAlign w:val="center"/>
          </w:tcPr>
          <w:p>
            <w:pPr>
              <w:snapToGrid w:val="0"/>
              <w:spacing w:line="240" w:lineRule="auto"/>
              <w:jc w:val="center"/>
              <w:rPr>
                <w:sz w:val="21"/>
                <w:szCs w:val="21"/>
              </w:rPr>
            </w:pPr>
            <w:r>
              <w:rPr>
                <w:sz w:val="21"/>
                <w:szCs w:val="21"/>
              </w:rPr>
              <w:t>建设项目周边存在耕地、园地、牧草地、饮用水水源地或居民区、学校、医院、疗养院、养老院等土壤环境敏感目标的</w:t>
            </w:r>
          </w:p>
        </w:tc>
        <w:tc>
          <w:tcPr>
            <w:tcW w:w="3664" w:type="dxa"/>
            <w:vMerge w:val="restart"/>
            <w:tcBorders>
              <w:tl2br w:val="nil"/>
              <w:tr2bl w:val="nil"/>
            </w:tcBorders>
            <w:vAlign w:val="center"/>
          </w:tcPr>
          <w:p>
            <w:pPr>
              <w:autoSpaceDE w:val="0"/>
              <w:autoSpaceDN w:val="0"/>
              <w:snapToGrid w:val="0"/>
              <w:spacing w:line="240" w:lineRule="auto"/>
              <w:jc w:val="center"/>
              <w:rPr>
                <w:sz w:val="21"/>
                <w:szCs w:val="21"/>
              </w:rPr>
            </w:pPr>
            <w:r>
              <w:rPr>
                <w:sz w:val="21"/>
                <w:szCs w:val="21"/>
              </w:rPr>
              <w:t>本项目位于</w:t>
            </w:r>
            <w:r>
              <w:rPr>
                <w:rFonts w:hint="eastAsia"/>
                <w:sz w:val="21"/>
                <w:szCs w:val="21"/>
              </w:rPr>
              <w:t>乐山市井研县星星亮村</w:t>
            </w:r>
            <w:r>
              <w:rPr>
                <w:sz w:val="21"/>
                <w:szCs w:val="21"/>
              </w:rPr>
              <w:t>，根据现场调查，项目周围基本</w:t>
            </w:r>
            <w:r>
              <w:rPr>
                <w:rFonts w:hint="eastAsia"/>
                <w:sz w:val="21"/>
                <w:szCs w:val="21"/>
              </w:rPr>
              <w:t>有耕地及居民区</w:t>
            </w:r>
            <w:r>
              <w:rPr>
                <w:sz w:val="21"/>
                <w:szCs w:val="21"/>
              </w:rPr>
              <w:t>，所在区域土壤环境敏感程度为“敏感”。</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202" w:type="dxa"/>
            <w:tcBorders>
              <w:tl2br w:val="nil"/>
              <w:tr2bl w:val="nil"/>
            </w:tcBorders>
            <w:vAlign w:val="center"/>
          </w:tcPr>
          <w:p>
            <w:pPr>
              <w:snapToGrid w:val="0"/>
              <w:spacing w:line="240" w:lineRule="auto"/>
              <w:jc w:val="center"/>
              <w:rPr>
                <w:sz w:val="21"/>
                <w:szCs w:val="21"/>
              </w:rPr>
            </w:pPr>
            <w:r>
              <w:rPr>
                <w:sz w:val="21"/>
                <w:szCs w:val="21"/>
              </w:rPr>
              <w:t>较敏感</w:t>
            </w:r>
          </w:p>
        </w:tc>
        <w:tc>
          <w:tcPr>
            <w:tcW w:w="3664" w:type="dxa"/>
            <w:tcBorders>
              <w:tl2br w:val="nil"/>
              <w:tr2bl w:val="nil"/>
            </w:tcBorders>
            <w:vAlign w:val="center"/>
          </w:tcPr>
          <w:p>
            <w:pPr>
              <w:snapToGrid w:val="0"/>
              <w:spacing w:line="240" w:lineRule="auto"/>
              <w:jc w:val="center"/>
              <w:rPr>
                <w:sz w:val="21"/>
                <w:szCs w:val="21"/>
              </w:rPr>
            </w:pPr>
            <w:r>
              <w:rPr>
                <w:sz w:val="21"/>
                <w:szCs w:val="21"/>
              </w:rPr>
              <w:t>建设项目周边存在其他土壤环境敏感目标的</w:t>
            </w:r>
          </w:p>
        </w:tc>
        <w:tc>
          <w:tcPr>
            <w:tcW w:w="3664" w:type="dxa"/>
            <w:vMerge w:val="continue"/>
            <w:tcBorders>
              <w:tl2br w:val="nil"/>
              <w:tr2bl w:val="nil"/>
            </w:tcBorders>
            <w:vAlign w:val="center"/>
          </w:tcPr>
          <w:p>
            <w:pPr>
              <w:autoSpaceDE w:val="0"/>
              <w:autoSpaceDN w:val="0"/>
              <w:snapToGrid w:val="0"/>
              <w:spacing w:line="240" w:lineRule="auto"/>
              <w:jc w:val="center"/>
              <w:rPr>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20" w:hRule="atLeast"/>
          <w:jc w:val="center"/>
        </w:trPr>
        <w:tc>
          <w:tcPr>
            <w:tcW w:w="1202" w:type="dxa"/>
            <w:tcBorders>
              <w:tl2br w:val="nil"/>
              <w:tr2bl w:val="nil"/>
            </w:tcBorders>
            <w:vAlign w:val="center"/>
          </w:tcPr>
          <w:p>
            <w:pPr>
              <w:snapToGrid w:val="0"/>
              <w:spacing w:line="240" w:lineRule="auto"/>
              <w:jc w:val="center"/>
              <w:rPr>
                <w:sz w:val="21"/>
                <w:szCs w:val="21"/>
              </w:rPr>
            </w:pPr>
            <w:r>
              <w:rPr>
                <w:sz w:val="21"/>
                <w:szCs w:val="21"/>
              </w:rPr>
              <w:t>不敏感</w:t>
            </w:r>
          </w:p>
        </w:tc>
        <w:tc>
          <w:tcPr>
            <w:tcW w:w="3664" w:type="dxa"/>
            <w:tcBorders>
              <w:tl2br w:val="nil"/>
              <w:tr2bl w:val="nil"/>
            </w:tcBorders>
            <w:vAlign w:val="center"/>
          </w:tcPr>
          <w:p>
            <w:pPr>
              <w:snapToGrid w:val="0"/>
              <w:spacing w:line="240" w:lineRule="auto"/>
              <w:jc w:val="center"/>
              <w:rPr>
                <w:sz w:val="21"/>
                <w:szCs w:val="21"/>
              </w:rPr>
            </w:pPr>
            <w:r>
              <w:rPr>
                <w:sz w:val="21"/>
                <w:szCs w:val="21"/>
              </w:rPr>
              <w:t>其他情况</w:t>
            </w:r>
          </w:p>
        </w:tc>
        <w:tc>
          <w:tcPr>
            <w:tcW w:w="3664" w:type="dxa"/>
            <w:vMerge w:val="continue"/>
            <w:tcBorders>
              <w:tl2br w:val="nil"/>
              <w:tr2bl w:val="nil"/>
            </w:tcBorders>
            <w:vAlign w:val="center"/>
          </w:tcPr>
          <w:p>
            <w:pPr>
              <w:autoSpaceDE w:val="0"/>
              <w:autoSpaceDN w:val="0"/>
              <w:snapToGrid w:val="0"/>
              <w:spacing w:line="240" w:lineRule="auto"/>
              <w:jc w:val="center"/>
              <w:rPr>
                <w:sz w:val="21"/>
                <w:szCs w:val="21"/>
              </w:rPr>
            </w:pPr>
          </w:p>
        </w:tc>
      </w:tr>
    </w:tbl>
    <w:p>
      <w:pPr>
        <w:pStyle w:val="3165"/>
        <w:ind w:firstLine="480"/>
        <w:rPr>
          <w:color w:val="auto"/>
        </w:rPr>
      </w:pPr>
    </w:p>
    <w:p>
      <w:pPr>
        <w:pStyle w:val="3165"/>
        <w:ind w:firstLine="480"/>
        <w:rPr>
          <w:color w:val="auto"/>
        </w:rPr>
      </w:pPr>
      <w:r>
        <w:rPr>
          <w:color w:val="auto"/>
        </w:rPr>
        <w:t>④评价等级</w:t>
      </w:r>
    </w:p>
    <w:p>
      <w:pPr>
        <w:pStyle w:val="3165"/>
        <w:ind w:firstLine="480"/>
        <w:rPr>
          <w:color w:val="auto"/>
        </w:rPr>
      </w:pPr>
      <w:r>
        <w:rPr>
          <w:color w:val="auto"/>
        </w:rPr>
        <w:t>根据上述识别结果，本项目为污染影响型建设项目，归类为</w:t>
      </w:r>
      <w:r>
        <w:rPr>
          <w:rFonts w:hint="eastAsia"/>
          <w:color w:val="auto"/>
        </w:rPr>
        <w:t>农林牧渔业</w:t>
      </w:r>
      <w:r>
        <w:rPr>
          <w:color w:val="auto"/>
        </w:rPr>
        <w:t>中的</w:t>
      </w:r>
      <w:r>
        <w:rPr>
          <w:rFonts w:hint="eastAsia"/>
          <w:color w:val="auto"/>
        </w:rPr>
        <w:t>年出栏生猪5000头（其他畜禽种类折合猪的养殖规模）及以上的畜禽养殖场或养殖小区</w:t>
      </w:r>
      <w:r>
        <w:rPr>
          <w:color w:val="auto"/>
        </w:rPr>
        <w:t>类，属</w:t>
      </w:r>
      <w:r>
        <w:rPr>
          <w:rFonts w:hint="eastAsia" w:ascii="宋体" w:hAnsi="宋体"/>
          <w:color w:val="auto"/>
        </w:rPr>
        <w:t>Ⅲ</w:t>
      </w:r>
      <w:r>
        <w:rPr>
          <w:color w:val="auto"/>
        </w:rPr>
        <w:t>类项目。占地规模属</w:t>
      </w:r>
      <w:r>
        <w:rPr>
          <w:rFonts w:hint="eastAsia"/>
          <w:color w:val="auto"/>
        </w:rPr>
        <w:t>中</w:t>
      </w:r>
      <w:r>
        <w:rPr>
          <w:color w:val="auto"/>
        </w:rPr>
        <w:t>型，土壤环境敏感程度为敏感，综合判定评价等级为</w:t>
      </w:r>
      <w:r>
        <w:rPr>
          <w:b/>
          <w:color w:val="auto"/>
        </w:rPr>
        <w:t>“三级”</w:t>
      </w:r>
      <w:r>
        <w:rPr>
          <w:color w:val="auto"/>
        </w:rPr>
        <w:t>。</w:t>
      </w:r>
    </w:p>
    <w:p>
      <w:pPr>
        <w:pStyle w:val="3165"/>
        <w:ind w:firstLine="480"/>
        <w:rPr>
          <w:color w:val="auto"/>
        </w:rPr>
      </w:pPr>
      <w:r>
        <w:rPr>
          <w:rFonts w:hint="eastAsia"/>
          <w:color w:val="auto"/>
        </w:rPr>
        <w:t>（2）</w:t>
      </w:r>
      <w:r>
        <w:rPr>
          <w:color w:val="auto"/>
        </w:rPr>
        <w:t>土壤环境影响识别</w:t>
      </w:r>
    </w:p>
    <w:p>
      <w:pPr>
        <w:pStyle w:val="3165"/>
        <w:ind w:firstLine="480"/>
        <w:rPr>
          <w:color w:val="auto"/>
        </w:rPr>
      </w:pPr>
      <w:r>
        <w:rPr>
          <w:color w:val="auto"/>
        </w:rPr>
        <w:t>本项目属于</w:t>
      </w:r>
      <w:r>
        <w:rPr>
          <w:rFonts w:hint="eastAsia"/>
          <w:color w:val="auto"/>
        </w:rPr>
        <w:t>新建</w:t>
      </w:r>
      <w:r>
        <w:rPr>
          <w:color w:val="auto"/>
        </w:rPr>
        <w:t>项目，根据工程组成，可分为建设期、运营期两个阶段对土壤的环境影响。</w:t>
      </w:r>
    </w:p>
    <w:p>
      <w:pPr>
        <w:pStyle w:val="3165"/>
        <w:ind w:firstLine="480"/>
        <w:rPr>
          <w:color w:val="auto"/>
        </w:rPr>
      </w:pPr>
      <w:r>
        <w:rPr>
          <w:color w:val="auto"/>
        </w:rPr>
        <w:t>施工期环境影响识别主要针对施工过程中施工机械在使用过程中，施工人员在施工生活过程中，固体废物在临时储存过程中对土壤产生的影响等。</w:t>
      </w:r>
    </w:p>
    <w:p>
      <w:pPr>
        <w:pStyle w:val="3165"/>
        <w:ind w:firstLine="480"/>
        <w:rPr>
          <w:color w:val="auto"/>
        </w:rPr>
      </w:pPr>
      <w:r>
        <w:rPr>
          <w:color w:val="auto"/>
        </w:rPr>
        <w:t>运营期环境影响识别主要针对排放的</w:t>
      </w:r>
      <w:r>
        <w:rPr>
          <w:rFonts w:hint="eastAsia"/>
          <w:color w:val="auto"/>
        </w:rPr>
        <w:t>粪污</w:t>
      </w:r>
      <w:r>
        <w:rPr>
          <w:color w:val="auto"/>
        </w:rPr>
        <w:t>污染物等对土壤产生的影响。</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4</w:t>
      </w:r>
      <w:r>
        <w:rPr>
          <w:rFonts w:eastAsia="黑体"/>
          <w:bCs/>
          <w:szCs w:val="24"/>
        </w:rPr>
        <w:t xml:space="preserve"> </w:t>
      </w:r>
      <w:r>
        <w:rPr>
          <w:rFonts w:hint="eastAsia" w:eastAsia="黑体"/>
          <w:bCs/>
          <w:szCs w:val="24"/>
        </w:rPr>
        <w:t>评价范围</w:t>
      </w:r>
    </w:p>
    <w:p>
      <w:pPr>
        <w:adjustRightInd w:val="0"/>
        <w:snapToGrid w:val="0"/>
        <w:ind w:firstLine="480" w:firstLineChars="200"/>
        <w:rPr>
          <w:bCs/>
        </w:rPr>
      </w:pPr>
      <w:r>
        <w:t>根据《环境影响评价技术导则 土壤环境》（HJ 964-2018）“表 5 现状调查范围”，</w:t>
      </w:r>
      <w:r>
        <w:rPr>
          <w:bCs/>
        </w:rPr>
        <w:t>根据评价工作等级为</w:t>
      </w:r>
      <w:r>
        <w:rPr>
          <w:rFonts w:hint="eastAsia"/>
          <w:bCs/>
        </w:rPr>
        <w:t>三</w:t>
      </w:r>
      <w:r>
        <w:rPr>
          <w:bCs/>
        </w:rPr>
        <w:t>级的污染影响型项目，调查范围为厂界外扩</w:t>
      </w:r>
      <w:r>
        <w:rPr>
          <w:rFonts w:hint="eastAsia"/>
        </w:rPr>
        <w:t>0.05</w:t>
      </w:r>
      <w:r>
        <w:t>km</w:t>
      </w:r>
      <w:r>
        <w:rPr>
          <w:rFonts w:hint="eastAsia"/>
        </w:rPr>
        <w:t>。</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5</w:t>
      </w:r>
      <w:r>
        <w:rPr>
          <w:rFonts w:eastAsia="黑体"/>
          <w:bCs/>
          <w:szCs w:val="24"/>
        </w:rPr>
        <w:t xml:space="preserve"> </w:t>
      </w:r>
      <w:r>
        <w:rPr>
          <w:rFonts w:hint="eastAsia" w:eastAsia="黑体"/>
          <w:bCs/>
          <w:szCs w:val="24"/>
        </w:rPr>
        <w:t>土壤环境敏感目标</w:t>
      </w:r>
    </w:p>
    <w:p>
      <w:pPr>
        <w:pStyle w:val="3165"/>
        <w:ind w:firstLine="480"/>
        <w:rPr>
          <w:color w:val="auto"/>
        </w:rPr>
      </w:pPr>
      <w:r>
        <w:rPr>
          <w:color w:val="auto"/>
        </w:rPr>
        <w:t>项目调查评价范围内分布有农户，项目土壤环境敏感目标见表</w:t>
      </w:r>
      <w:r>
        <w:rPr>
          <w:rFonts w:hint="eastAsia"/>
          <w:color w:val="auto"/>
        </w:rPr>
        <w:t>7</w:t>
      </w:r>
      <w:r>
        <w:rPr>
          <w:color w:val="auto"/>
        </w:rPr>
        <w:t>.2-24。</w:t>
      </w:r>
    </w:p>
    <w:p>
      <w:pPr>
        <w:pStyle w:val="3165"/>
        <w:spacing w:line="240" w:lineRule="auto"/>
        <w:ind w:firstLine="0" w:firstLineChars="0"/>
        <w:jc w:val="center"/>
        <w:rPr>
          <w:rFonts w:eastAsia="黑体" w:cs="Times New Roman"/>
          <w:bCs/>
          <w:color w:val="auto"/>
          <w:szCs w:val="24"/>
        </w:rPr>
      </w:pPr>
      <w:r>
        <w:rPr>
          <w:rFonts w:eastAsia="黑体" w:cs="Times New Roman"/>
          <w:bCs/>
          <w:color w:val="auto"/>
          <w:szCs w:val="24"/>
        </w:rPr>
        <w:t>表7.2-24  项目土壤环境敏感目标</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2109"/>
        <w:gridCol w:w="1084"/>
        <w:gridCol w:w="3235"/>
        <w:gridCol w:w="2519"/>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367" w:type="dxa"/>
            <w:tcBorders>
              <w:tl2br w:val="nil"/>
              <w:tr2bl w:val="nil"/>
            </w:tcBorders>
            <w:vAlign w:val="center"/>
          </w:tcPr>
          <w:p>
            <w:pPr>
              <w:snapToGrid w:val="0"/>
              <w:spacing w:line="240" w:lineRule="auto"/>
              <w:jc w:val="center"/>
              <w:rPr>
                <w:sz w:val="21"/>
                <w:szCs w:val="21"/>
              </w:rPr>
            </w:pPr>
            <w:r>
              <w:rPr>
                <w:sz w:val="21"/>
                <w:szCs w:val="21"/>
              </w:rPr>
              <w:t>环境要素</w:t>
            </w:r>
          </w:p>
        </w:tc>
        <w:tc>
          <w:tcPr>
            <w:tcW w:w="703" w:type="dxa"/>
            <w:tcBorders>
              <w:tl2br w:val="nil"/>
              <w:tr2bl w:val="nil"/>
            </w:tcBorders>
            <w:vAlign w:val="center"/>
          </w:tcPr>
          <w:p>
            <w:pPr>
              <w:snapToGrid w:val="0"/>
              <w:spacing w:line="240" w:lineRule="auto"/>
              <w:jc w:val="center"/>
              <w:rPr>
                <w:sz w:val="21"/>
                <w:szCs w:val="21"/>
              </w:rPr>
            </w:pPr>
            <w:r>
              <w:rPr>
                <w:sz w:val="21"/>
                <w:szCs w:val="21"/>
              </w:rPr>
              <w:t>序号</w:t>
            </w:r>
          </w:p>
        </w:tc>
        <w:tc>
          <w:tcPr>
            <w:tcW w:w="2097" w:type="dxa"/>
            <w:tcBorders>
              <w:tl2br w:val="nil"/>
              <w:tr2bl w:val="nil"/>
            </w:tcBorders>
            <w:vAlign w:val="center"/>
          </w:tcPr>
          <w:p>
            <w:pPr>
              <w:snapToGrid w:val="0"/>
              <w:spacing w:line="240" w:lineRule="auto"/>
              <w:jc w:val="center"/>
              <w:rPr>
                <w:sz w:val="21"/>
                <w:szCs w:val="21"/>
              </w:rPr>
            </w:pPr>
            <w:r>
              <w:rPr>
                <w:sz w:val="21"/>
                <w:szCs w:val="21"/>
              </w:rPr>
              <w:t>保护目标名称</w:t>
            </w:r>
          </w:p>
        </w:tc>
        <w:tc>
          <w:tcPr>
            <w:tcW w:w="1633" w:type="dxa"/>
            <w:tcBorders>
              <w:tl2br w:val="nil"/>
              <w:tr2bl w:val="nil"/>
            </w:tcBorders>
            <w:vAlign w:val="center"/>
          </w:tcPr>
          <w:p>
            <w:pPr>
              <w:snapToGrid w:val="0"/>
              <w:spacing w:line="240" w:lineRule="auto"/>
              <w:jc w:val="center"/>
              <w:rPr>
                <w:sz w:val="21"/>
                <w:szCs w:val="21"/>
              </w:rPr>
            </w:pPr>
            <w:r>
              <w:rPr>
                <w:sz w:val="21"/>
                <w:szCs w:val="21"/>
              </w:rPr>
              <w:t>方位</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367" w:type="dxa"/>
            <w:vMerge w:val="restart"/>
            <w:tcBorders>
              <w:tl2br w:val="nil"/>
              <w:tr2bl w:val="nil"/>
            </w:tcBorders>
            <w:vAlign w:val="center"/>
          </w:tcPr>
          <w:p>
            <w:pPr>
              <w:snapToGrid w:val="0"/>
              <w:spacing w:line="240" w:lineRule="auto"/>
              <w:jc w:val="center"/>
              <w:rPr>
                <w:sz w:val="21"/>
                <w:szCs w:val="21"/>
              </w:rPr>
            </w:pPr>
            <w:r>
              <w:rPr>
                <w:sz w:val="21"/>
                <w:szCs w:val="21"/>
              </w:rPr>
              <w:t>土壤环境</w:t>
            </w:r>
          </w:p>
        </w:tc>
        <w:tc>
          <w:tcPr>
            <w:tcW w:w="703" w:type="dxa"/>
            <w:tcBorders>
              <w:tl2br w:val="nil"/>
              <w:tr2bl w:val="nil"/>
            </w:tcBorders>
            <w:vAlign w:val="center"/>
          </w:tcPr>
          <w:p>
            <w:pPr>
              <w:snapToGrid w:val="0"/>
              <w:spacing w:line="240" w:lineRule="auto"/>
              <w:jc w:val="center"/>
              <w:rPr>
                <w:sz w:val="21"/>
                <w:szCs w:val="21"/>
              </w:rPr>
            </w:pPr>
            <w:r>
              <w:rPr>
                <w:sz w:val="21"/>
                <w:szCs w:val="21"/>
              </w:rPr>
              <w:t>1</w:t>
            </w:r>
          </w:p>
        </w:tc>
        <w:tc>
          <w:tcPr>
            <w:tcW w:w="2097" w:type="dxa"/>
            <w:tcBorders>
              <w:tl2br w:val="nil"/>
              <w:tr2bl w:val="nil"/>
            </w:tcBorders>
            <w:vAlign w:val="center"/>
          </w:tcPr>
          <w:p>
            <w:pPr>
              <w:adjustRightInd w:val="0"/>
              <w:snapToGrid w:val="0"/>
              <w:spacing w:line="240" w:lineRule="auto"/>
              <w:jc w:val="center"/>
              <w:textAlignment w:val="center"/>
              <w:rPr>
                <w:sz w:val="21"/>
                <w:szCs w:val="21"/>
              </w:rPr>
            </w:pPr>
            <w:r>
              <w:rPr>
                <w:rFonts w:hint="eastAsia"/>
                <w:kern w:val="0"/>
                <w:sz w:val="21"/>
                <w:szCs w:val="21"/>
              </w:rPr>
              <w:t>农户</w:t>
            </w:r>
          </w:p>
        </w:tc>
        <w:tc>
          <w:tcPr>
            <w:tcW w:w="1633" w:type="dxa"/>
            <w:tcBorders>
              <w:tl2br w:val="nil"/>
              <w:tr2bl w:val="nil"/>
            </w:tcBorders>
            <w:vAlign w:val="center"/>
          </w:tcPr>
          <w:p>
            <w:pPr>
              <w:adjustRightInd w:val="0"/>
              <w:snapToGrid w:val="0"/>
              <w:spacing w:line="240" w:lineRule="auto"/>
              <w:jc w:val="center"/>
              <w:textAlignment w:val="center"/>
              <w:rPr>
                <w:sz w:val="21"/>
                <w:szCs w:val="21"/>
              </w:rPr>
            </w:pPr>
            <w:r>
              <w:rPr>
                <w:rFonts w:hint="eastAsia"/>
                <w:kern w:val="0"/>
                <w:sz w:val="21"/>
                <w:szCs w:val="21"/>
              </w:rPr>
              <w:t>东侧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367" w:type="dxa"/>
            <w:vMerge w:val="continue"/>
            <w:tcBorders>
              <w:tl2br w:val="nil"/>
              <w:tr2bl w:val="nil"/>
            </w:tcBorders>
            <w:vAlign w:val="center"/>
          </w:tcPr>
          <w:p>
            <w:pPr>
              <w:snapToGrid w:val="0"/>
              <w:spacing w:line="240" w:lineRule="auto"/>
              <w:jc w:val="center"/>
              <w:rPr>
                <w:sz w:val="21"/>
                <w:szCs w:val="21"/>
              </w:rPr>
            </w:pPr>
          </w:p>
        </w:tc>
        <w:tc>
          <w:tcPr>
            <w:tcW w:w="703" w:type="dxa"/>
            <w:tcBorders>
              <w:tl2br w:val="nil"/>
              <w:tr2bl w:val="nil"/>
            </w:tcBorders>
            <w:vAlign w:val="center"/>
          </w:tcPr>
          <w:p>
            <w:pPr>
              <w:snapToGrid w:val="0"/>
              <w:spacing w:line="240" w:lineRule="auto"/>
              <w:jc w:val="center"/>
              <w:rPr>
                <w:sz w:val="21"/>
                <w:szCs w:val="21"/>
              </w:rPr>
            </w:pPr>
            <w:r>
              <w:rPr>
                <w:rFonts w:hint="eastAsia"/>
                <w:sz w:val="21"/>
                <w:szCs w:val="21"/>
              </w:rPr>
              <w:t>2</w:t>
            </w:r>
          </w:p>
        </w:tc>
        <w:tc>
          <w:tcPr>
            <w:tcW w:w="2097" w:type="dxa"/>
            <w:tcBorders>
              <w:tl2br w:val="nil"/>
              <w:tr2bl w:val="nil"/>
            </w:tcBorders>
            <w:vAlign w:val="center"/>
          </w:tcPr>
          <w:p>
            <w:pPr>
              <w:adjustRightInd w:val="0"/>
              <w:snapToGrid w:val="0"/>
              <w:spacing w:line="240" w:lineRule="auto"/>
              <w:jc w:val="center"/>
              <w:textAlignment w:val="center"/>
              <w:rPr>
                <w:kern w:val="0"/>
                <w:sz w:val="21"/>
                <w:szCs w:val="21"/>
              </w:rPr>
            </w:pPr>
            <w:r>
              <w:rPr>
                <w:rFonts w:hint="eastAsia"/>
                <w:kern w:val="0"/>
                <w:sz w:val="21"/>
                <w:szCs w:val="21"/>
              </w:rPr>
              <w:t>耕地</w:t>
            </w:r>
          </w:p>
        </w:tc>
        <w:tc>
          <w:tcPr>
            <w:tcW w:w="1633" w:type="dxa"/>
            <w:tcBorders>
              <w:tl2br w:val="nil"/>
              <w:tr2bl w:val="nil"/>
            </w:tcBorders>
            <w:vAlign w:val="center"/>
          </w:tcPr>
          <w:p>
            <w:pPr>
              <w:adjustRightInd w:val="0"/>
              <w:snapToGrid w:val="0"/>
              <w:spacing w:line="240" w:lineRule="auto"/>
              <w:jc w:val="center"/>
              <w:textAlignment w:val="center"/>
              <w:rPr>
                <w:kern w:val="0"/>
                <w:sz w:val="21"/>
                <w:szCs w:val="21"/>
              </w:rPr>
            </w:pPr>
            <w:r>
              <w:rPr>
                <w:rFonts w:hint="eastAsia"/>
                <w:kern w:val="0"/>
                <w:sz w:val="21"/>
                <w:szCs w:val="21"/>
              </w:rPr>
              <w:t>项目四周</w:t>
            </w:r>
          </w:p>
        </w:tc>
      </w:tr>
    </w:tbl>
    <w:p>
      <w:pPr>
        <w:pStyle w:val="970"/>
        <w:snapToGrid w:val="0"/>
        <w:ind w:firstLine="0"/>
        <w:outlineLvl w:val="3"/>
        <w:rPr>
          <w:rFonts w:eastAsia="黑体"/>
          <w:bCs/>
          <w:szCs w:val="24"/>
        </w:rPr>
      </w:pPr>
      <w:r>
        <w:rPr>
          <w:rFonts w:eastAsia="黑体"/>
          <w:bCs/>
          <w:szCs w:val="24"/>
        </w:rPr>
        <w:t>7.2.6.</w:t>
      </w:r>
      <w:r>
        <w:rPr>
          <w:rFonts w:hint="eastAsia" w:eastAsia="黑体"/>
          <w:bCs/>
          <w:szCs w:val="24"/>
        </w:rPr>
        <w:t>6</w:t>
      </w:r>
      <w:r>
        <w:rPr>
          <w:rFonts w:eastAsia="黑体"/>
          <w:bCs/>
          <w:szCs w:val="24"/>
        </w:rPr>
        <w:t xml:space="preserve"> </w:t>
      </w:r>
      <w:r>
        <w:rPr>
          <w:rFonts w:hint="eastAsia" w:eastAsia="黑体"/>
          <w:bCs/>
          <w:szCs w:val="24"/>
        </w:rPr>
        <w:t>土壤环境质量现状</w:t>
      </w:r>
    </w:p>
    <w:p>
      <w:pPr>
        <w:pStyle w:val="2"/>
        <w:ind w:firstLine="480"/>
        <w:rPr>
          <w:rFonts w:hint="default"/>
        </w:rPr>
      </w:pPr>
      <w:r>
        <w:t>根据环境质量现状监测结果可知，在项目周围设置的监测点位各项监测指标均满足《土壤环境质量 农用地土壤污染风险管控标准（试行）》（GB15618-2018）表1基本项目筛选值，说明土壤环境质量良好。</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7</w:t>
      </w:r>
      <w:r>
        <w:rPr>
          <w:rFonts w:eastAsia="黑体"/>
          <w:bCs/>
          <w:szCs w:val="24"/>
        </w:rPr>
        <w:t xml:space="preserve"> </w:t>
      </w:r>
      <w:r>
        <w:rPr>
          <w:rFonts w:hint="eastAsia" w:eastAsia="黑体"/>
          <w:bCs/>
          <w:szCs w:val="24"/>
        </w:rPr>
        <w:t>土壤环境影响识别</w:t>
      </w:r>
    </w:p>
    <w:p>
      <w:pPr>
        <w:adjustRightInd w:val="0"/>
        <w:snapToGrid w:val="0"/>
        <w:ind w:firstLine="480" w:firstLineChars="200"/>
        <w:rPr>
          <w:bCs/>
        </w:rPr>
      </w:pPr>
      <w:r>
        <w:rPr>
          <w:bCs/>
        </w:rPr>
        <w:t>本项目属于</w:t>
      </w:r>
      <w:r>
        <w:rPr>
          <w:rFonts w:hint="eastAsia"/>
          <w:bCs/>
        </w:rPr>
        <w:t>新建</w:t>
      </w:r>
      <w:r>
        <w:rPr>
          <w:bCs/>
        </w:rPr>
        <w:t>项目，根据工程组成，主要为运营期对土壤的环境影响。</w:t>
      </w:r>
    </w:p>
    <w:p>
      <w:pPr>
        <w:adjustRightInd w:val="0"/>
        <w:snapToGrid w:val="0"/>
        <w:ind w:firstLine="480" w:firstLineChars="200"/>
        <w:rPr>
          <w:bCs/>
        </w:rPr>
      </w:pPr>
      <w:r>
        <w:rPr>
          <w:bCs/>
        </w:rPr>
        <w:t>运营期环境影响识别主要针对排放的大气污染物、废水事故排放等，本项目主要包含恶臭</w:t>
      </w:r>
      <w:r>
        <w:rPr>
          <w:rFonts w:hint="eastAsia"/>
          <w:bCs/>
        </w:rPr>
        <w:t>排放</w:t>
      </w:r>
      <w:r>
        <w:rPr>
          <w:bCs/>
        </w:rPr>
        <w:t>、废水事故排放等使用过程中对土壤产生的影响。</w:t>
      </w:r>
    </w:p>
    <w:p>
      <w:pPr>
        <w:adjustRightInd w:val="0"/>
        <w:snapToGrid w:val="0"/>
        <w:ind w:firstLine="480" w:firstLineChars="200"/>
        <w:rPr>
          <w:bCs/>
        </w:rPr>
      </w:pPr>
      <w:r>
        <w:rPr>
          <w:bCs/>
        </w:rPr>
        <w:t>本项目对土壤的影响类型和途径见表</w:t>
      </w:r>
      <w:r>
        <w:rPr>
          <w:rFonts w:hint="eastAsia"/>
          <w:bCs/>
        </w:rPr>
        <w:t>7</w:t>
      </w:r>
      <w:r>
        <w:rPr>
          <w:bCs/>
        </w:rPr>
        <w:t>.2</w:t>
      </w:r>
      <w:r>
        <w:rPr>
          <w:rFonts w:hint="eastAsia"/>
          <w:bCs/>
        </w:rPr>
        <w:t>-</w:t>
      </w:r>
      <w:r>
        <w:rPr>
          <w:bCs/>
        </w:rPr>
        <w:t>25。</w:t>
      </w:r>
    </w:p>
    <w:p>
      <w:pPr>
        <w:pStyle w:val="3165"/>
        <w:spacing w:line="240" w:lineRule="auto"/>
        <w:ind w:firstLine="0" w:firstLineChars="0"/>
        <w:jc w:val="center"/>
        <w:rPr>
          <w:rFonts w:eastAsia="黑体" w:cs="Times New Roman"/>
          <w:bCs/>
          <w:color w:val="auto"/>
          <w:szCs w:val="24"/>
        </w:rPr>
      </w:pPr>
      <w:r>
        <w:rPr>
          <w:rFonts w:eastAsia="黑体" w:cs="Times New Roman"/>
          <w:bCs/>
          <w:color w:val="auto"/>
          <w:szCs w:val="24"/>
        </w:rPr>
        <w:t>表7.2-25 土壤环境影响评价项目类别</w:t>
      </w:r>
    </w:p>
    <w:tbl>
      <w:tblPr>
        <w:tblStyle w:val="8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30"/>
        <w:gridCol w:w="2143"/>
        <w:gridCol w:w="1973"/>
        <w:gridCol w:w="16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30" w:type="dxa"/>
            <w:vMerge w:val="restart"/>
            <w:vAlign w:val="center"/>
          </w:tcPr>
          <w:p>
            <w:pPr>
              <w:adjustRightInd w:val="0"/>
              <w:snapToGrid w:val="0"/>
              <w:spacing w:line="240" w:lineRule="auto"/>
              <w:jc w:val="center"/>
              <w:rPr>
                <w:b/>
                <w:bCs/>
                <w:sz w:val="21"/>
                <w:szCs w:val="21"/>
              </w:rPr>
            </w:pPr>
            <w:r>
              <w:rPr>
                <w:b/>
                <w:bCs/>
                <w:sz w:val="21"/>
                <w:szCs w:val="21"/>
              </w:rPr>
              <w:t>不同时段</w:t>
            </w:r>
          </w:p>
        </w:tc>
        <w:tc>
          <w:tcPr>
            <w:tcW w:w="5757" w:type="dxa"/>
            <w:gridSpan w:val="3"/>
            <w:vAlign w:val="center"/>
          </w:tcPr>
          <w:p>
            <w:pPr>
              <w:adjustRightInd w:val="0"/>
              <w:snapToGrid w:val="0"/>
              <w:spacing w:line="240" w:lineRule="auto"/>
              <w:jc w:val="center"/>
              <w:rPr>
                <w:b/>
                <w:bCs/>
                <w:sz w:val="21"/>
                <w:szCs w:val="21"/>
              </w:rPr>
            </w:pPr>
            <w:r>
              <w:rPr>
                <w:b/>
                <w:bCs/>
                <w:sz w:val="21"/>
                <w:szCs w:val="21"/>
              </w:rPr>
              <w:t>污染影响型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3030" w:type="dxa"/>
            <w:vMerge w:val="continue"/>
            <w:vAlign w:val="center"/>
          </w:tcPr>
          <w:p>
            <w:pPr>
              <w:adjustRightInd w:val="0"/>
              <w:snapToGrid w:val="0"/>
              <w:spacing w:line="240" w:lineRule="auto"/>
              <w:jc w:val="center"/>
              <w:rPr>
                <w:b/>
                <w:bCs/>
                <w:sz w:val="21"/>
                <w:szCs w:val="21"/>
              </w:rPr>
            </w:pPr>
          </w:p>
        </w:tc>
        <w:tc>
          <w:tcPr>
            <w:tcW w:w="2143" w:type="dxa"/>
            <w:vAlign w:val="center"/>
          </w:tcPr>
          <w:p>
            <w:pPr>
              <w:adjustRightInd w:val="0"/>
              <w:snapToGrid w:val="0"/>
              <w:spacing w:line="240" w:lineRule="auto"/>
              <w:jc w:val="center"/>
              <w:rPr>
                <w:b/>
                <w:sz w:val="21"/>
                <w:szCs w:val="21"/>
              </w:rPr>
            </w:pPr>
            <w:r>
              <w:rPr>
                <w:b/>
                <w:sz w:val="21"/>
                <w:szCs w:val="21"/>
              </w:rPr>
              <w:t>大气沉降</w:t>
            </w:r>
          </w:p>
        </w:tc>
        <w:tc>
          <w:tcPr>
            <w:tcW w:w="1973" w:type="dxa"/>
            <w:vAlign w:val="center"/>
          </w:tcPr>
          <w:p>
            <w:pPr>
              <w:adjustRightInd w:val="0"/>
              <w:snapToGrid w:val="0"/>
              <w:spacing w:line="240" w:lineRule="auto"/>
              <w:jc w:val="center"/>
              <w:rPr>
                <w:b/>
                <w:sz w:val="21"/>
                <w:szCs w:val="21"/>
              </w:rPr>
            </w:pPr>
            <w:r>
              <w:rPr>
                <w:b/>
                <w:sz w:val="21"/>
                <w:szCs w:val="21"/>
              </w:rPr>
              <w:t>地面漫流</w:t>
            </w:r>
          </w:p>
        </w:tc>
        <w:tc>
          <w:tcPr>
            <w:tcW w:w="1641" w:type="dxa"/>
            <w:vAlign w:val="center"/>
          </w:tcPr>
          <w:p>
            <w:pPr>
              <w:adjustRightInd w:val="0"/>
              <w:snapToGrid w:val="0"/>
              <w:spacing w:line="240" w:lineRule="auto"/>
              <w:jc w:val="center"/>
              <w:rPr>
                <w:b/>
                <w:sz w:val="21"/>
                <w:szCs w:val="21"/>
              </w:rPr>
            </w:pPr>
            <w:r>
              <w:rPr>
                <w:b/>
                <w:sz w:val="21"/>
                <w:szCs w:val="21"/>
              </w:rPr>
              <w:t>垂直入渗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30" w:type="dxa"/>
            <w:vAlign w:val="center"/>
          </w:tcPr>
          <w:p>
            <w:pPr>
              <w:adjustRightInd w:val="0"/>
              <w:snapToGrid w:val="0"/>
              <w:spacing w:line="240" w:lineRule="auto"/>
              <w:jc w:val="center"/>
              <w:rPr>
                <w:bCs/>
                <w:sz w:val="21"/>
                <w:szCs w:val="21"/>
              </w:rPr>
            </w:pPr>
            <w:r>
              <w:rPr>
                <w:bCs/>
                <w:sz w:val="21"/>
                <w:szCs w:val="21"/>
              </w:rPr>
              <w:t>建设期</w:t>
            </w:r>
          </w:p>
        </w:tc>
        <w:tc>
          <w:tcPr>
            <w:tcW w:w="2143" w:type="dxa"/>
            <w:vAlign w:val="center"/>
          </w:tcPr>
          <w:p>
            <w:pPr>
              <w:adjustRightInd w:val="0"/>
              <w:snapToGrid w:val="0"/>
              <w:spacing w:line="240" w:lineRule="auto"/>
              <w:jc w:val="center"/>
              <w:rPr>
                <w:bCs/>
                <w:sz w:val="21"/>
                <w:szCs w:val="21"/>
              </w:rPr>
            </w:pPr>
            <w:r>
              <w:rPr>
                <w:bCs/>
                <w:sz w:val="21"/>
                <w:szCs w:val="21"/>
              </w:rPr>
              <w:t>/</w:t>
            </w:r>
          </w:p>
        </w:tc>
        <w:tc>
          <w:tcPr>
            <w:tcW w:w="1973" w:type="dxa"/>
            <w:vAlign w:val="center"/>
          </w:tcPr>
          <w:p>
            <w:pPr>
              <w:adjustRightInd w:val="0"/>
              <w:snapToGrid w:val="0"/>
              <w:spacing w:line="240" w:lineRule="auto"/>
              <w:jc w:val="center"/>
              <w:rPr>
                <w:bCs/>
                <w:sz w:val="21"/>
                <w:szCs w:val="21"/>
              </w:rPr>
            </w:pPr>
            <w:r>
              <w:rPr>
                <w:bCs/>
                <w:sz w:val="21"/>
                <w:szCs w:val="21"/>
              </w:rPr>
              <w:t>/</w:t>
            </w:r>
          </w:p>
        </w:tc>
        <w:tc>
          <w:tcPr>
            <w:tcW w:w="1641" w:type="dxa"/>
            <w:vAlign w:val="center"/>
          </w:tcPr>
          <w:p>
            <w:pPr>
              <w:adjustRightInd w:val="0"/>
              <w:snapToGrid w:val="0"/>
              <w:spacing w:line="240" w:lineRule="auto"/>
              <w:jc w:val="center"/>
              <w:rPr>
                <w:bCs/>
                <w:sz w:val="21"/>
                <w:szCs w:val="21"/>
              </w:rPr>
            </w:pPr>
            <w:r>
              <w:rPr>
                <w:bCs/>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3030" w:type="dxa"/>
            <w:vAlign w:val="center"/>
          </w:tcPr>
          <w:p>
            <w:pPr>
              <w:adjustRightInd w:val="0"/>
              <w:snapToGrid w:val="0"/>
              <w:spacing w:line="240" w:lineRule="auto"/>
              <w:jc w:val="center"/>
              <w:rPr>
                <w:bCs/>
                <w:sz w:val="21"/>
                <w:szCs w:val="21"/>
              </w:rPr>
            </w:pPr>
            <w:r>
              <w:rPr>
                <w:bCs/>
                <w:sz w:val="21"/>
                <w:szCs w:val="21"/>
              </w:rPr>
              <w:t>运营期</w:t>
            </w:r>
          </w:p>
        </w:tc>
        <w:tc>
          <w:tcPr>
            <w:tcW w:w="2143" w:type="dxa"/>
            <w:vAlign w:val="center"/>
          </w:tcPr>
          <w:p>
            <w:pPr>
              <w:adjustRightInd w:val="0"/>
              <w:snapToGrid w:val="0"/>
              <w:spacing w:line="240" w:lineRule="auto"/>
              <w:jc w:val="center"/>
              <w:rPr>
                <w:bCs/>
                <w:sz w:val="21"/>
                <w:szCs w:val="21"/>
              </w:rPr>
            </w:pPr>
            <w:r>
              <w:rPr>
                <w:bCs/>
                <w:sz w:val="21"/>
                <w:szCs w:val="21"/>
              </w:rPr>
              <w:t>/</w:t>
            </w:r>
          </w:p>
        </w:tc>
        <w:tc>
          <w:tcPr>
            <w:tcW w:w="1973" w:type="dxa"/>
            <w:vAlign w:val="center"/>
          </w:tcPr>
          <w:p>
            <w:pPr>
              <w:adjustRightInd w:val="0"/>
              <w:snapToGrid w:val="0"/>
              <w:spacing w:line="240" w:lineRule="auto"/>
              <w:jc w:val="center"/>
              <w:rPr>
                <w:bCs/>
                <w:sz w:val="21"/>
                <w:szCs w:val="21"/>
              </w:rPr>
            </w:pPr>
            <w:r>
              <w:rPr>
                <w:bCs/>
                <w:sz w:val="21"/>
                <w:szCs w:val="21"/>
              </w:rPr>
              <w:t>√</w:t>
            </w:r>
          </w:p>
        </w:tc>
        <w:tc>
          <w:tcPr>
            <w:tcW w:w="1641" w:type="dxa"/>
            <w:vAlign w:val="center"/>
          </w:tcPr>
          <w:p>
            <w:pPr>
              <w:adjustRightInd w:val="0"/>
              <w:snapToGrid w:val="0"/>
              <w:spacing w:line="240" w:lineRule="auto"/>
              <w:jc w:val="center"/>
              <w:rPr>
                <w:bCs/>
                <w:sz w:val="21"/>
                <w:szCs w:val="21"/>
              </w:rPr>
            </w:pPr>
            <w:r>
              <w:rPr>
                <w:bCs/>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30" w:type="dxa"/>
            <w:vAlign w:val="center"/>
          </w:tcPr>
          <w:p>
            <w:pPr>
              <w:adjustRightInd w:val="0"/>
              <w:snapToGrid w:val="0"/>
              <w:spacing w:line="240" w:lineRule="auto"/>
              <w:jc w:val="center"/>
              <w:rPr>
                <w:bCs/>
                <w:sz w:val="21"/>
                <w:szCs w:val="21"/>
              </w:rPr>
            </w:pPr>
            <w:r>
              <w:rPr>
                <w:bCs/>
                <w:sz w:val="21"/>
                <w:szCs w:val="21"/>
              </w:rPr>
              <w:t>服务期满后</w:t>
            </w:r>
          </w:p>
        </w:tc>
        <w:tc>
          <w:tcPr>
            <w:tcW w:w="2143" w:type="dxa"/>
            <w:vAlign w:val="center"/>
          </w:tcPr>
          <w:p>
            <w:pPr>
              <w:adjustRightInd w:val="0"/>
              <w:snapToGrid w:val="0"/>
              <w:spacing w:line="240" w:lineRule="auto"/>
              <w:jc w:val="center"/>
              <w:rPr>
                <w:bCs/>
                <w:sz w:val="21"/>
                <w:szCs w:val="21"/>
              </w:rPr>
            </w:pPr>
            <w:r>
              <w:rPr>
                <w:bCs/>
                <w:sz w:val="21"/>
                <w:szCs w:val="21"/>
              </w:rPr>
              <w:t>/</w:t>
            </w:r>
          </w:p>
        </w:tc>
        <w:tc>
          <w:tcPr>
            <w:tcW w:w="1973" w:type="dxa"/>
            <w:vAlign w:val="center"/>
          </w:tcPr>
          <w:p>
            <w:pPr>
              <w:adjustRightInd w:val="0"/>
              <w:snapToGrid w:val="0"/>
              <w:spacing w:line="240" w:lineRule="auto"/>
              <w:jc w:val="center"/>
              <w:rPr>
                <w:bCs/>
                <w:sz w:val="21"/>
                <w:szCs w:val="21"/>
              </w:rPr>
            </w:pPr>
            <w:r>
              <w:rPr>
                <w:bCs/>
                <w:sz w:val="21"/>
                <w:szCs w:val="21"/>
              </w:rPr>
              <w:t>/</w:t>
            </w:r>
          </w:p>
        </w:tc>
        <w:tc>
          <w:tcPr>
            <w:tcW w:w="1641" w:type="dxa"/>
            <w:vAlign w:val="center"/>
          </w:tcPr>
          <w:p>
            <w:pPr>
              <w:adjustRightInd w:val="0"/>
              <w:snapToGrid w:val="0"/>
              <w:spacing w:line="240" w:lineRule="auto"/>
              <w:jc w:val="center"/>
              <w:rPr>
                <w:bCs/>
                <w:sz w:val="21"/>
                <w:szCs w:val="21"/>
              </w:rPr>
            </w:pPr>
            <w:r>
              <w:rPr>
                <w:bCs/>
                <w:sz w:val="21"/>
                <w:szCs w:val="21"/>
              </w:rPr>
              <w:t>/</w:t>
            </w:r>
          </w:p>
        </w:tc>
      </w:tr>
    </w:tbl>
    <w:p>
      <w:pPr>
        <w:adjustRightInd w:val="0"/>
        <w:snapToGrid w:val="0"/>
        <w:ind w:firstLine="480" w:firstLineChars="200"/>
        <w:rPr>
          <w:bCs/>
        </w:rPr>
      </w:pPr>
    </w:p>
    <w:p>
      <w:pPr>
        <w:pStyle w:val="970"/>
        <w:snapToGrid w:val="0"/>
        <w:ind w:firstLine="0"/>
        <w:outlineLvl w:val="3"/>
        <w:rPr>
          <w:rFonts w:eastAsia="黑体"/>
          <w:bCs/>
          <w:szCs w:val="24"/>
        </w:rPr>
      </w:pPr>
      <w:r>
        <w:rPr>
          <w:rFonts w:eastAsia="黑体"/>
          <w:bCs/>
          <w:szCs w:val="24"/>
        </w:rPr>
        <w:t>7.2.6.</w:t>
      </w:r>
      <w:r>
        <w:rPr>
          <w:rFonts w:hint="eastAsia" w:eastAsia="黑体"/>
          <w:bCs/>
          <w:szCs w:val="24"/>
        </w:rPr>
        <w:t>8</w:t>
      </w:r>
      <w:r>
        <w:rPr>
          <w:rFonts w:eastAsia="黑体"/>
          <w:bCs/>
          <w:szCs w:val="24"/>
        </w:rPr>
        <w:t xml:space="preserve"> </w:t>
      </w:r>
      <w:r>
        <w:rPr>
          <w:rFonts w:hint="eastAsia" w:eastAsia="黑体"/>
          <w:bCs/>
          <w:szCs w:val="24"/>
        </w:rPr>
        <w:t>土壤预测与评价</w:t>
      </w:r>
    </w:p>
    <w:p>
      <w:pPr>
        <w:pStyle w:val="2"/>
        <w:ind w:firstLine="480"/>
        <w:rPr>
          <w:rFonts w:hint="default"/>
          <w:bCs/>
        </w:rPr>
      </w:pPr>
      <w:r>
        <w:t>（1）</w:t>
      </w:r>
      <w:r>
        <w:rPr>
          <w:bCs/>
        </w:rPr>
        <w:t>垂直入渗</w:t>
      </w:r>
    </w:p>
    <w:p>
      <w:pPr>
        <w:pStyle w:val="2"/>
        <w:ind w:firstLine="480"/>
        <w:rPr>
          <w:rFonts w:hint="default"/>
          <w:bCs/>
        </w:rPr>
      </w:pPr>
      <w:r>
        <w:rPr>
          <w:bCs/>
        </w:rPr>
        <w:t>对于厂区内的集污池，在事故情况下，会造成污染物的泄露，通过垂直入渗途径污染土壤。本项目根据《环境影响评价技术导则地下水环境》（HJ610-2016）防渗分区原则，对集污池和医疗废物暂存间及污水管道均采取重点防渗；在全面落实分区防渗措施的情况下，污染物的垂直入渗对土壤影响较小。</w:t>
      </w:r>
    </w:p>
    <w:p>
      <w:pPr>
        <w:pStyle w:val="2"/>
        <w:ind w:firstLine="480"/>
        <w:rPr>
          <w:rFonts w:hint="default"/>
          <w:bCs/>
        </w:rPr>
      </w:pPr>
      <w:r>
        <w:rPr>
          <w:bCs/>
        </w:rPr>
        <w:t>（</w:t>
      </w:r>
      <w:r>
        <w:rPr>
          <w:rFonts w:hint="default"/>
          <w:bCs/>
        </w:rPr>
        <w:t>2</w:t>
      </w:r>
      <w:r>
        <w:rPr>
          <w:bCs/>
        </w:rPr>
        <w:t>）地面漫流</w:t>
      </w:r>
    </w:p>
    <w:p>
      <w:pPr>
        <w:pStyle w:val="2"/>
        <w:ind w:firstLine="480"/>
        <w:rPr>
          <w:rFonts w:hint="default"/>
          <w:bCs/>
        </w:rPr>
      </w:pPr>
      <w:r>
        <w:rPr>
          <w:bCs/>
        </w:rPr>
        <w:t>对于集污池，在事故情况下产生的废水会发生地面漫流，进一步污染土壤。企业设置事故应急池，事故废水排入应急池，然后由乐山乐高乐勤</w:t>
      </w:r>
      <w:r>
        <w:rPr>
          <w:szCs w:val="21"/>
        </w:rPr>
        <w:t>力生物质能源综合利用有限公司派吸污车抽吸，防控事故废水发生地面漫流，进入土壤。严格执行以上防控措施的情况下，污染物的地面漫流对土壤影响较小。</w:t>
      </w:r>
    </w:p>
    <w:p>
      <w:pPr>
        <w:pStyle w:val="970"/>
        <w:snapToGrid w:val="0"/>
        <w:ind w:firstLine="0"/>
        <w:outlineLvl w:val="3"/>
        <w:rPr>
          <w:rFonts w:eastAsia="黑体"/>
          <w:bCs/>
          <w:szCs w:val="24"/>
        </w:rPr>
      </w:pPr>
      <w:r>
        <w:rPr>
          <w:rFonts w:eastAsia="黑体"/>
          <w:bCs/>
          <w:szCs w:val="24"/>
        </w:rPr>
        <w:t>7.2.6.</w:t>
      </w:r>
      <w:r>
        <w:rPr>
          <w:rFonts w:hint="eastAsia" w:eastAsia="黑体"/>
          <w:bCs/>
          <w:szCs w:val="24"/>
        </w:rPr>
        <w:t>9</w:t>
      </w:r>
      <w:r>
        <w:rPr>
          <w:rFonts w:eastAsia="黑体"/>
          <w:bCs/>
          <w:szCs w:val="24"/>
        </w:rPr>
        <w:t xml:space="preserve"> </w:t>
      </w:r>
      <w:r>
        <w:rPr>
          <w:rFonts w:hint="eastAsia" w:eastAsia="黑体"/>
          <w:bCs/>
          <w:szCs w:val="24"/>
        </w:rPr>
        <w:t>土壤环境保护措施与对策</w:t>
      </w:r>
    </w:p>
    <w:p>
      <w:pPr>
        <w:pStyle w:val="2"/>
        <w:ind w:firstLine="480"/>
        <w:rPr>
          <w:rFonts w:hint="default"/>
          <w:bCs/>
        </w:rPr>
      </w:pPr>
      <w:r>
        <w:rPr>
          <w:bCs/>
        </w:rPr>
        <w:t>（1）源头控制措施</w:t>
      </w:r>
    </w:p>
    <w:p>
      <w:pPr>
        <w:pStyle w:val="2"/>
        <w:ind w:firstLine="480"/>
        <w:rPr>
          <w:rFonts w:hint="default"/>
          <w:bCs/>
        </w:rPr>
      </w:pPr>
      <w:r>
        <w:rPr>
          <w:bCs/>
        </w:rPr>
        <w:t>从粪污收集、运输等全过程控制各种泄露（含跑、冒、滴、漏），同事对可能泄露到地面的区域采取防渗措施，阻止其进入土壤中，即从源头到末端全方位采取控制措施，防止项目的建设对土壤造成污染。</w:t>
      </w:r>
    </w:p>
    <w:p>
      <w:pPr>
        <w:pStyle w:val="2"/>
        <w:ind w:firstLine="480"/>
        <w:rPr>
          <w:rFonts w:hint="default"/>
          <w:bCs/>
        </w:rPr>
      </w:pPr>
      <w:r>
        <w:rPr>
          <w:bCs/>
        </w:rPr>
        <w:t>从生产过程入手，在管道、给排水等方面尽可能地采取泄露控制措施，从源头最大限度降低污染物质泄露的可能性和泄漏量，使项目区污染物对土壤的影响降至最低，一旦出现泄露等即可由区域内的各种配套措施进行收集、处置，同时经过硬化处理的地面有效阻止污染物的下渗。</w:t>
      </w:r>
    </w:p>
    <w:p>
      <w:pPr>
        <w:pStyle w:val="2"/>
        <w:ind w:firstLine="480"/>
        <w:rPr>
          <w:rFonts w:hint="default"/>
          <w:bCs/>
        </w:rPr>
      </w:pPr>
      <w:r>
        <w:rPr>
          <w:bCs/>
        </w:rPr>
        <w:t>（2）过程控制措施</w:t>
      </w:r>
    </w:p>
    <w:p>
      <w:pPr>
        <w:pStyle w:val="2"/>
        <w:ind w:firstLine="480"/>
        <w:rPr>
          <w:rFonts w:hint="default"/>
          <w:bCs/>
        </w:rPr>
      </w:pPr>
      <w:r>
        <w:rPr>
          <w:bCs/>
        </w:rPr>
        <w:t>从大气沉降物、地面漫流、垂直入渗三个途径分别进行控制。</w:t>
      </w:r>
    </w:p>
    <w:p>
      <w:pPr>
        <w:pStyle w:val="2"/>
        <w:numPr>
          <w:ilvl w:val="0"/>
          <w:numId w:val="81"/>
        </w:numPr>
        <w:ind w:firstLineChars="0"/>
        <w:rPr>
          <w:rFonts w:hint="default"/>
          <w:bCs/>
        </w:rPr>
      </w:pPr>
      <w:r>
        <w:rPr>
          <w:bCs/>
        </w:rPr>
        <w:t>大气沉降污染途径治理措施及效果</w:t>
      </w:r>
    </w:p>
    <w:p>
      <w:pPr>
        <w:pStyle w:val="2"/>
        <w:ind w:firstLine="480"/>
        <w:rPr>
          <w:rFonts w:hint="default"/>
        </w:rPr>
      </w:pPr>
      <w:r>
        <w:t>恶臭排放执行《恶臭污染物排放标准》（GB14554-93）二级标准。项目厂区内可种植对恶臭有较强吸附降解能力的植物，从而减轻大气沉降对土壤的影响。</w:t>
      </w:r>
    </w:p>
    <w:p>
      <w:pPr>
        <w:pStyle w:val="2"/>
        <w:numPr>
          <w:ilvl w:val="0"/>
          <w:numId w:val="81"/>
        </w:numPr>
        <w:ind w:firstLineChars="0"/>
        <w:rPr>
          <w:rFonts w:hint="default"/>
        </w:rPr>
      </w:pPr>
      <w:r>
        <w:t>地面漫流污染途径治理措施</w:t>
      </w:r>
    </w:p>
    <w:p>
      <w:pPr>
        <w:pStyle w:val="2"/>
        <w:ind w:firstLine="480"/>
        <w:rPr>
          <w:rFonts w:hint="default"/>
        </w:rPr>
      </w:pPr>
      <w:r>
        <w:t>项目设置事故应急池收集事故废水。对于项目事故状态的废水，必须保证在未经处理满足要求的前提下不得流出厂界。项目须贯彻“围、追、堵、截”的原则，采取多级防护措施，确保事故废水不外排。</w:t>
      </w:r>
    </w:p>
    <w:p>
      <w:pPr>
        <w:pStyle w:val="2"/>
        <w:numPr>
          <w:ilvl w:val="0"/>
          <w:numId w:val="81"/>
        </w:numPr>
        <w:ind w:firstLineChars="0"/>
        <w:rPr>
          <w:rFonts w:hint="default"/>
        </w:rPr>
      </w:pPr>
      <w:r>
        <w:t>垂直入渗污染途径治理措施</w:t>
      </w:r>
    </w:p>
    <w:p>
      <w:pPr>
        <w:pStyle w:val="3165"/>
        <w:ind w:firstLine="480"/>
        <w:rPr>
          <w:color w:val="auto"/>
        </w:rPr>
      </w:pPr>
      <w:r>
        <w:rPr>
          <w:color w:val="auto"/>
        </w:rPr>
        <w:t>项目按重点防渗区、简单防渗区分别采取不同等级的防渗措施。</w:t>
      </w:r>
    </w:p>
    <w:p>
      <w:pPr>
        <w:pStyle w:val="2"/>
        <w:ind w:firstLine="482"/>
        <w:rPr>
          <w:rFonts w:hint="default"/>
          <w:bCs/>
          <w:color w:val="auto"/>
        </w:rPr>
      </w:pPr>
      <w:r>
        <w:rPr>
          <w:b/>
          <w:bCs/>
          <w:color w:val="auto"/>
        </w:rPr>
        <w:t>重点污染防渗区：</w:t>
      </w:r>
      <w:r>
        <w:rPr>
          <w:bCs/>
          <w:color w:val="auto"/>
        </w:rPr>
        <w:t>在防渗区域内，依次铺设12cm防渗混凝土层，砂石基20~65cm，2mmHDPE土工膜，最下层为场平土填挖方材料及原始地层，设计方案需达到污染防渗区域地面等效黏土防渗层Mb≥6.0m，K≤1×10</w:t>
      </w:r>
      <w:r>
        <w:rPr>
          <w:bCs/>
          <w:color w:val="auto"/>
          <w:vertAlign w:val="superscript"/>
        </w:rPr>
        <w:t>-7</w:t>
      </w:r>
      <w:r>
        <w:rPr>
          <w:bCs/>
          <w:color w:val="auto"/>
        </w:rPr>
        <w:t>cm/s，切断污染地下水途径。</w:t>
      </w:r>
    </w:p>
    <w:p>
      <w:pPr>
        <w:pStyle w:val="970"/>
        <w:snapToGrid w:val="0"/>
        <w:ind w:firstLine="0"/>
        <w:outlineLvl w:val="3"/>
        <w:rPr>
          <w:rFonts w:eastAsia="黑体"/>
          <w:bCs/>
          <w:szCs w:val="24"/>
        </w:rPr>
      </w:pPr>
      <w:r>
        <w:rPr>
          <w:rFonts w:eastAsia="黑体"/>
          <w:bCs/>
          <w:szCs w:val="24"/>
        </w:rPr>
        <w:t>7.2.6.10</w:t>
      </w:r>
      <w:r>
        <w:rPr>
          <w:rFonts w:hint="eastAsia" w:eastAsia="黑体"/>
          <w:bCs/>
          <w:szCs w:val="24"/>
        </w:rPr>
        <w:t>小结</w:t>
      </w:r>
    </w:p>
    <w:p>
      <w:pPr>
        <w:pStyle w:val="2"/>
        <w:ind w:firstLine="480"/>
        <w:rPr>
          <w:rFonts w:hint="default"/>
          <w:bCs/>
          <w:color w:val="auto"/>
        </w:rPr>
      </w:pPr>
      <w:r>
        <w:rPr>
          <w:bCs/>
          <w:color w:val="auto"/>
        </w:rPr>
        <w:t>本项目选址于乐山市井研县高凤乡星星亮村3、6、9组，区域现状为农村环境，项目针对各类污染物均采取了对应的污染治理措施，可确保污染物的达标排放及防止渗漏发生，可从源头上控制项目对区域土壤环境的污染源强，确保项目对区域土壤环境的影响处于可接受水平。</w:t>
      </w:r>
    </w:p>
    <w:p>
      <w:pPr>
        <w:spacing w:before="240" w:after="60"/>
        <w:jc w:val="left"/>
        <w:outlineLvl w:val="2"/>
        <w:rPr>
          <w:rFonts w:eastAsia="黑体"/>
          <w:bCs/>
          <w:sz w:val="28"/>
          <w:szCs w:val="28"/>
        </w:rPr>
      </w:pPr>
      <w:r>
        <w:rPr>
          <w:rFonts w:eastAsia="黑体"/>
          <w:bCs/>
          <w:sz w:val="28"/>
          <w:szCs w:val="28"/>
        </w:rPr>
        <w:t>7.2.</w:t>
      </w:r>
      <w:r>
        <w:rPr>
          <w:rFonts w:hint="eastAsia" w:eastAsia="黑体"/>
          <w:bCs/>
          <w:sz w:val="28"/>
          <w:szCs w:val="28"/>
        </w:rPr>
        <w:t>7</w:t>
      </w:r>
      <w:r>
        <w:rPr>
          <w:rFonts w:eastAsia="黑体"/>
          <w:bCs/>
          <w:sz w:val="28"/>
          <w:szCs w:val="28"/>
        </w:rPr>
        <w:t>生态系统影响分析</w:t>
      </w:r>
    </w:p>
    <w:p>
      <w:pPr>
        <w:pStyle w:val="970"/>
        <w:snapToGrid w:val="0"/>
        <w:ind w:firstLine="0"/>
        <w:outlineLvl w:val="3"/>
        <w:rPr>
          <w:rFonts w:eastAsia="黑体"/>
          <w:bCs/>
          <w:szCs w:val="24"/>
        </w:rPr>
      </w:pPr>
      <w:r>
        <w:rPr>
          <w:rFonts w:eastAsia="黑体"/>
          <w:bCs/>
          <w:szCs w:val="24"/>
        </w:rPr>
        <w:t>7.2.</w:t>
      </w:r>
      <w:r>
        <w:rPr>
          <w:rFonts w:hint="eastAsia" w:eastAsia="黑体"/>
          <w:bCs/>
          <w:szCs w:val="24"/>
        </w:rPr>
        <w:t>7</w:t>
      </w:r>
      <w:r>
        <w:rPr>
          <w:rFonts w:eastAsia="黑体"/>
          <w:bCs/>
          <w:szCs w:val="24"/>
        </w:rPr>
        <w:t>.1 动植物</w:t>
      </w:r>
    </w:p>
    <w:p>
      <w:pPr>
        <w:adjustRightInd w:val="0"/>
        <w:snapToGrid w:val="0"/>
        <w:ind w:firstLine="480" w:firstLineChars="200"/>
        <w:rPr>
          <w:szCs w:val="28"/>
        </w:rPr>
      </w:pPr>
      <w:r>
        <w:rPr>
          <w:szCs w:val="28"/>
        </w:rPr>
        <w:t>据现场调查，项目所在地附近没有珍稀野生动物，只有一些小型啮齿类动物和鸟类。项目施工造成部分植被被损坏，对植物生态系统造成了一定程度的损坏。但建设完成后，养殖场内部空地和场界四周通过加强绿化，辅以乔、灌、草等相结合的形式，相对增加了植被生态系统的多样性。随着绿化种植，施工时的人为干扰消失，一部分外迁动物又会回归，对该地区动物生态系统影响不大。</w:t>
      </w:r>
    </w:p>
    <w:p>
      <w:pPr>
        <w:adjustRightInd w:val="0"/>
        <w:snapToGrid w:val="0"/>
        <w:ind w:firstLine="480" w:firstLineChars="200"/>
        <w:rPr>
          <w:szCs w:val="28"/>
        </w:rPr>
      </w:pPr>
      <w:r>
        <w:rPr>
          <w:szCs w:val="28"/>
        </w:rPr>
        <w:t>项目建成运营后，场界主要种植高大乔木辅以灌木，场内以灌木草坪为主，对氨和硫化氢有一定的吸收作用，可减轻猪舍臭气对大气环境的影响。</w:t>
      </w:r>
    </w:p>
    <w:p>
      <w:pPr>
        <w:adjustRightInd w:val="0"/>
        <w:snapToGrid w:val="0"/>
        <w:ind w:firstLine="480" w:firstLineChars="200"/>
      </w:pPr>
      <w:r>
        <w:rPr>
          <w:szCs w:val="28"/>
        </w:rPr>
        <w:t>由此分析可知，本项目实施后对当地动植物生态环境影响不大。</w:t>
      </w:r>
    </w:p>
    <w:p>
      <w:pPr>
        <w:pStyle w:val="970"/>
        <w:snapToGrid w:val="0"/>
        <w:ind w:firstLine="0"/>
        <w:outlineLvl w:val="3"/>
        <w:rPr>
          <w:rFonts w:eastAsia="黑体"/>
          <w:bCs/>
          <w:szCs w:val="24"/>
        </w:rPr>
      </w:pPr>
      <w:r>
        <w:rPr>
          <w:rFonts w:eastAsia="黑体"/>
          <w:bCs/>
          <w:szCs w:val="24"/>
        </w:rPr>
        <w:t>7.2.</w:t>
      </w:r>
      <w:r>
        <w:rPr>
          <w:rFonts w:hint="eastAsia" w:eastAsia="黑体"/>
          <w:bCs/>
          <w:szCs w:val="24"/>
        </w:rPr>
        <w:t>7</w:t>
      </w:r>
      <w:r>
        <w:rPr>
          <w:rFonts w:eastAsia="黑体"/>
          <w:bCs/>
          <w:szCs w:val="24"/>
        </w:rPr>
        <w:t>.</w:t>
      </w:r>
      <w:r>
        <w:rPr>
          <w:rFonts w:hint="eastAsia" w:eastAsia="黑体"/>
          <w:bCs/>
          <w:szCs w:val="24"/>
        </w:rPr>
        <w:t>2</w:t>
      </w:r>
      <w:r>
        <w:rPr>
          <w:rFonts w:eastAsia="黑体"/>
          <w:bCs/>
          <w:szCs w:val="24"/>
        </w:rPr>
        <w:t xml:space="preserve"> 运输环境影响分析</w:t>
      </w:r>
    </w:p>
    <w:p>
      <w:pPr>
        <w:adjustRightInd w:val="0"/>
        <w:snapToGrid w:val="0"/>
        <w:ind w:firstLine="480" w:firstLineChars="200"/>
        <w:rPr>
          <w:szCs w:val="28"/>
        </w:rPr>
      </w:pPr>
      <w:r>
        <w:rPr>
          <w:rFonts w:hint="eastAsia"/>
          <w:szCs w:val="28"/>
        </w:rPr>
        <w:t>本项目建成后年出栏量商品小猪</w:t>
      </w:r>
      <w:r>
        <w:t>61560</w:t>
      </w:r>
      <w:r>
        <w:rPr>
          <w:rFonts w:hint="eastAsia"/>
          <w:szCs w:val="28"/>
        </w:rPr>
        <w:t>头，</w:t>
      </w:r>
      <w:r>
        <w:rPr>
          <w:szCs w:val="28"/>
        </w:rPr>
        <w:t>类比同类型企业，一般运输猪只车辆的恶臭影响范围在道路两侧50m 内。因此项目运输对道路两侧50m范围内的居民有一定影响。因运输车辆处于动态，影响时间较短，1~2min 左右，随着运输车辆的离开，恶臭影响也逐渐消失。</w:t>
      </w:r>
    </w:p>
    <w:p>
      <w:pPr>
        <w:adjustRightInd w:val="0"/>
        <w:snapToGrid w:val="0"/>
        <w:ind w:firstLine="480" w:firstLineChars="200"/>
        <w:rPr>
          <w:szCs w:val="28"/>
        </w:rPr>
      </w:pPr>
      <w:r>
        <w:rPr>
          <w:szCs w:val="28"/>
        </w:rPr>
        <w:t>进出运输应全部安排在白天进行，减少车辆鸣笛次数，则对运输道路沿途的居民区影响不大。</w:t>
      </w:r>
    </w:p>
    <w:p>
      <w:pPr>
        <w:pStyle w:val="970"/>
        <w:snapToGrid w:val="0"/>
        <w:ind w:firstLine="0"/>
        <w:outlineLvl w:val="3"/>
        <w:rPr>
          <w:rFonts w:eastAsia="黑体"/>
          <w:bCs/>
          <w:szCs w:val="24"/>
        </w:rPr>
      </w:pPr>
      <w:r>
        <w:rPr>
          <w:rFonts w:eastAsia="黑体"/>
          <w:bCs/>
          <w:szCs w:val="24"/>
        </w:rPr>
        <w:t>7.2.</w:t>
      </w:r>
      <w:r>
        <w:rPr>
          <w:rFonts w:hint="eastAsia" w:eastAsia="黑体"/>
          <w:bCs/>
          <w:szCs w:val="24"/>
        </w:rPr>
        <w:t>7</w:t>
      </w:r>
      <w:r>
        <w:rPr>
          <w:rFonts w:eastAsia="黑体"/>
          <w:bCs/>
          <w:szCs w:val="24"/>
        </w:rPr>
        <w:t>.</w:t>
      </w:r>
      <w:r>
        <w:rPr>
          <w:rFonts w:hint="eastAsia" w:eastAsia="黑体"/>
          <w:bCs/>
          <w:szCs w:val="24"/>
        </w:rPr>
        <w:t>3</w:t>
      </w:r>
      <w:r>
        <w:rPr>
          <w:rFonts w:eastAsia="黑体"/>
          <w:bCs/>
          <w:szCs w:val="24"/>
        </w:rPr>
        <w:t xml:space="preserve"> 卫生防疫影响分析</w:t>
      </w:r>
    </w:p>
    <w:p>
      <w:pPr>
        <w:adjustRightInd w:val="0"/>
        <w:snapToGrid w:val="0"/>
        <w:ind w:firstLine="480" w:firstLineChars="200"/>
        <w:rPr>
          <w:szCs w:val="28"/>
        </w:rPr>
      </w:pPr>
      <w:r>
        <w:rPr>
          <w:szCs w:val="28"/>
        </w:rPr>
        <w:t>集约化猪场养殖规模大、密度高、传播速度快，疾病威胁严重，一旦发生很难控制，可直接导致牲畜死亡、产品低劣、产量下降，防治费用增加，经济损失巨大。因此，建设单位应积极做好卫生防疫工作。</w:t>
      </w:r>
    </w:p>
    <w:p>
      <w:pPr>
        <w:adjustRightInd w:val="0"/>
        <w:snapToGrid w:val="0"/>
        <w:ind w:firstLine="480" w:firstLineChars="200"/>
        <w:rPr>
          <w:szCs w:val="28"/>
        </w:rPr>
      </w:pPr>
      <w:r>
        <w:rPr>
          <w:szCs w:val="28"/>
        </w:rPr>
        <w:t>本项目采取以下措施进行卫生防疫：</w:t>
      </w:r>
    </w:p>
    <w:p>
      <w:pPr>
        <w:adjustRightInd w:val="0"/>
        <w:snapToGrid w:val="0"/>
        <w:ind w:firstLine="480" w:firstLineChars="200"/>
        <w:rPr>
          <w:szCs w:val="28"/>
        </w:rPr>
      </w:pPr>
      <w:r>
        <w:rPr>
          <w:szCs w:val="28"/>
        </w:rPr>
        <w:fldChar w:fldCharType="begin"/>
      </w:r>
      <w:r>
        <w:rPr>
          <w:szCs w:val="28"/>
        </w:rPr>
        <w:instrText xml:space="preserve">= 1 \* GB2</w:instrText>
      </w:r>
      <w:r>
        <w:rPr>
          <w:szCs w:val="28"/>
        </w:rPr>
        <w:fldChar w:fldCharType="separate"/>
      </w:r>
      <w:r>
        <w:rPr>
          <w:szCs w:val="28"/>
        </w:rPr>
        <w:t>⑴</w:t>
      </w:r>
      <w:r>
        <w:rPr>
          <w:szCs w:val="28"/>
        </w:rPr>
        <w:fldChar w:fldCharType="end"/>
      </w:r>
      <w:r>
        <w:rPr>
          <w:szCs w:val="28"/>
        </w:rPr>
        <w:t>按照生物安全防疫法规的要求结合地形实行全封闭管理，与外界隔离。</w:t>
      </w:r>
    </w:p>
    <w:p>
      <w:pPr>
        <w:adjustRightInd w:val="0"/>
        <w:snapToGrid w:val="0"/>
        <w:ind w:firstLine="480" w:firstLineChars="200"/>
        <w:rPr>
          <w:szCs w:val="28"/>
        </w:rPr>
      </w:pPr>
      <w:r>
        <w:rPr>
          <w:szCs w:val="28"/>
        </w:rPr>
        <w:fldChar w:fldCharType="begin"/>
      </w:r>
      <w:r>
        <w:rPr>
          <w:szCs w:val="28"/>
        </w:rPr>
        <w:instrText xml:space="preserve">= 2 \* GB2</w:instrText>
      </w:r>
      <w:r>
        <w:rPr>
          <w:szCs w:val="28"/>
        </w:rPr>
        <w:fldChar w:fldCharType="separate"/>
      </w:r>
      <w:r>
        <w:rPr>
          <w:szCs w:val="28"/>
        </w:rPr>
        <w:t>⑵</w:t>
      </w:r>
      <w:r>
        <w:rPr>
          <w:szCs w:val="28"/>
        </w:rPr>
        <w:fldChar w:fldCharType="end"/>
      </w:r>
      <w:r>
        <w:rPr>
          <w:szCs w:val="28"/>
        </w:rPr>
        <w:t>进入厂区的人及车辆均经过大门的消毒池消毒（容积为30m</w:t>
      </w:r>
      <w:r>
        <w:rPr>
          <w:szCs w:val="28"/>
          <w:vertAlign w:val="superscript"/>
        </w:rPr>
        <w:t>3</w:t>
      </w:r>
      <w:r>
        <w:rPr>
          <w:szCs w:val="28"/>
        </w:rPr>
        <w:t>），并严格控制非生产人员进入生产区。</w:t>
      </w:r>
    </w:p>
    <w:p>
      <w:pPr>
        <w:adjustRightInd w:val="0"/>
        <w:snapToGrid w:val="0"/>
        <w:ind w:firstLine="480" w:firstLineChars="200"/>
        <w:rPr>
          <w:szCs w:val="28"/>
        </w:rPr>
      </w:pPr>
      <w:r>
        <w:rPr>
          <w:szCs w:val="28"/>
        </w:rPr>
        <w:fldChar w:fldCharType="begin"/>
      </w:r>
      <w:r>
        <w:rPr>
          <w:szCs w:val="28"/>
        </w:rPr>
        <w:instrText xml:space="preserve">= 3 \* GB2</w:instrText>
      </w:r>
      <w:r>
        <w:rPr>
          <w:szCs w:val="28"/>
        </w:rPr>
        <w:fldChar w:fldCharType="separate"/>
      </w:r>
      <w:r>
        <w:rPr>
          <w:szCs w:val="28"/>
        </w:rPr>
        <w:t>⑶</w:t>
      </w:r>
      <w:r>
        <w:rPr>
          <w:szCs w:val="28"/>
        </w:rPr>
        <w:fldChar w:fldCharType="end"/>
      </w:r>
      <w:r>
        <w:rPr>
          <w:szCs w:val="28"/>
        </w:rPr>
        <w:t>进入生产区时，要求更换工作服及鞋帽，经消毒室消毒后才能进入，有效防止了人畜共患病。</w:t>
      </w:r>
    </w:p>
    <w:p>
      <w:pPr>
        <w:adjustRightInd w:val="0"/>
        <w:snapToGrid w:val="0"/>
        <w:ind w:firstLine="480" w:firstLineChars="200"/>
        <w:rPr>
          <w:szCs w:val="28"/>
        </w:rPr>
      </w:pPr>
      <w:r>
        <w:rPr>
          <w:szCs w:val="28"/>
        </w:rPr>
        <w:fldChar w:fldCharType="begin"/>
      </w:r>
      <w:r>
        <w:rPr>
          <w:szCs w:val="28"/>
        </w:rPr>
        <w:instrText xml:space="preserve">= 4 \* GB2</w:instrText>
      </w:r>
      <w:r>
        <w:rPr>
          <w:szCs w:val="28"/>
        </w:rPr>
        <w:fldChar w:fldCharType="separate"/>
      </w:r>
      <w:r>
        <w:rPr>
          <w:szCs w:val="28"/>
        </w:rPr>
        <w:t>⑷</w:t>
      </w:r>
      <w:r>
        <w:rPr>
          <w:szCs w:val="28"/>
        </w:rPr>
        <w:fldChar w:fldCharType="end"/>
      </w:r>
      <w:r>
        <w:rPr>
          <w:szCs w:val="28"/>
        </w:rPr>
        <w:t>同时购买的猪种取得官方的检疫证和非疫区证明，有效防止碳疽病及其它传染病传播。</w:t>
      </w:r>
    </w:p>
    <w:p>
      <w:pPr>
        <w:adjustRightInd w:val="0"/>
        <w:snapToGrid w:val="0"/>
        <w:ind w:firstLine="480" w:firstLineChars="200"/>
        <w:rPr>
          <w:szCs w:val="28"/>
        </w:rPr>
      </w:pPr>
      <w:r>
        <w:rPr>
          <w:szCs w:val="28"/>
        </w:rPr>
        <w:fldChar w:fldCharType="begin"/>
      </w:r>
      <w:r>
        <w:rPr>
          <w:szCs w:val="28"/>
        </w:rPr>
        <w:instrText xml:space="preserve">= 5 \* GB2</w:instrText>
      </w:r>
      <w:r>
        <w:rPr>
          <w:szCs w:val="28"/>
        </w:rPr>
        <w:fldChar w:fldCharType="separate"/>
      </w:r>
      <w:r>
        <w:rPr>
          <w:szCs w:val="28"/>
        </w:rPr>
        <w:t>⑸</w:t>
      </w:r>
      <w:r>
        <w:rPr>
          <w:szCs w:val="28"/>
        </w:rPr>
        <w:fldChar w:fldCharType="end"/>
      </w:r>
      <w:r>
        <w:rPr>
          <w:szCs w:val="28"/>
        </w:rPr>
        <w:t>项目病死猪及时清运安全处置。</w:t>
      </w:r>
    </w:p>
    <w:p>
      <w:pPr>
        <w:adjustRightInd w:val="0"/>
        <w:snapToGrid w:val="0"/>
        <w:ind w:firstLine="480" w:firstLineChars="200"/>
        <w:rPr>
          <w:szCs w:val="28"/>
        </w:rPr>
      </w:pPr>
      <w:r>
        <w:rPr>
          <w:szCs w:val="28"/>
        </w:rPr>
        <w:t>通过采取上述措施，可有效防止疫情。本环评要求若发生疫情，建设单位应立即隔离病猪，猪只停止进出调动，及时诊断治疗病猪及可疑病猪，并同步报告农业局、环保局、卫生防疫站等相关关部门，以便采取进一步的措施，防治疫情的扩散。</w:t>
      </w:r>
    </w:p>
    <w:p>
      <w:pPr>
        <w:adjustRightInd w:val="0"/>
        <w:snapToGrid w:val="0"/>
        <w:ind w:firstLine="480" w:firstLineChars="200"/>
      </w:pPr>
      <w:r>
        <w:rPr>
          <w:szCs w:val="28"/>
        </w:rPr>
        <w:t>综上所述，项目建成后，通过各种治污措施，做到达标排放。营运期所产生的“三废”只要严格按照本报告提出的治理措施和要求执行，其影响将会减小到最低程度，可以避免扰民现象的发生，对周围敏感点的影响不大。</w:t>
      </w:r>
    </w:p>
    <w:p>
      <w:pPr>
        <w:pStyle w:val="970"/>
        <w:snapToGrid w:val="0"/>
        <w:ind w:firstLine="0"/>
        <w:outlineLvl w:val="3"/>
        <w:rPr>
          <w:rFonts w:eastAsia="黑体"/>
          <w:bCs/>
          <w:szCs w:val="24"/>
        </w:rPr>
      </w:pPr>
      <w:bookmarkStart w:id="727" w:name="_Toc247357641"/>
      <w:bookmarkStart w:id="728" w:name="_Toc351706937"/>
      <w:bookmarkStart w:id="729" w:name="_Toc385491752"/>
      <w:r>
        <w:rPr>
          <w:rFonts w:eastAsia="黑体"/>
          <w:bCs/>
          <w:szCs w:val="24"/>
        </w:rPr>
        <w:t>7</w:t>
      </w:r>
      <w:r>
        <w:rPr>
          <w:rFonts w:hint="eastAsia" w:eastAsia="黑体"/>
          <w:bCs/>
          <w:szCs w:val="24"/>
        </w:rPr>
        <w:t>.</w:t>
      </w:r>
      <w:r>
        <w:rPr>
          <w:rFonts w:eastAsia="黑体"/>
          <w:bCs/>
          <w:szCs w:val="24"/>
        </w:rPr>
        <w:t>2.</w:t>
      </w:r>
      <w:r>
        <w:rPr>
          <w:rFonts w:hint="eastAsia" w:eastAsia="黑体"/>
          <w:bCs/>
          <w:szCs w:val="24"/>
        </w:rPr>
        <w:t>7</w:t>
      </w:r>
      <w:r>
        <w:rPr>
          <w:rFonts w:eastAsia="黑体"/>
          <w:bCs/>
          <w:szCs w:val="24"/>
        </w:rPr>
        <w:t>.</w:t>
      </w:r>
      <w:r>
        <w:rPr>
          <w:rFonts w:hint="eastAsia" w:eastAsia="黑体"/>
          <w:bCs/>
          <w:szCs w:val="24"/>
        </w:rPr>
        <w:t>4</w:t>
      </w:r>
      <w:r>
        <w:rPr>
          <w:rFonts w:eastAsia="黑体"/>
          <w:bCs/>
          <w:szCs w:val="24"/>
        </w:rPr>
        <w:t xml:space="preserve"> 外环境对本工程影响分析</w:t>
      </w:r>
      <w:bookmarkEnd w:id="727"/>
      <w:bookmarkEnd w:id="728"/>
      <w:bookmarkEnd w:id="729"/>
    </w:p>
    <w:p>
      <w:pPr>
        <w:adjustRightInd w:val="0"/>
        <w:snapToGrid w:val="0"/>
        <w:ind w:firstLine="480" w:firstLineChars="200"/>
        <w:rPr>
          <w:szCs w:val="28"/>
        </w:rPr>
      </w:pPr>
      <w:r>
        <w:rPr>
          <w:szCs w:val="28"/>
        </w:rPr>
        <w:t>项目所在地为农村地区，未受工业企业“三废”污染，区域环境质量较好，外环境对本工程的影响主要为乡村公路上车辆噪声，本工程选址远离交通主干道，场地周围没有大型噪声源，周边噪声主要是农户的生活噪声及</w:t>
      </w:r>
      <w:r>
        <w:rPr>
          <w:rFonts w:hint="eastAsia"/>
          <w:szCs w:val="28"/>
        </w:rPr>
        <w:t>周围</w:t>
      </w:r>
      <w:r>
        <w:rPr>
          <w:szCs w:val="28"/>
        </w:rPr>
        <w:t>乡村公路上的车辆噪声，乡村道路车流量小。总体而言外环境对养殖场内猪只的生活基本没有影响。</w:t>
      </w:r>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730" w:name="_Toc29110603"/>
      <w:r>
        <w:rPr>
          <w:rFonts w:ascii="Times New Roman" w:hAnsi="Times New Roman" w:eastAsia="黑体" w:cs="Times New Roman"/>
          <w:b w:val="0"/>
          <w:bCs/>
          <w:kern w:val="44"/>
          <w:sz w:val="36"/>
        </w:rPr>
        <w:t>环境风险分析</w:t>
      </w:r>
      <w:bookmarkEnd w:id="711"/>
      <w:bookmarkEnd w:id="712"/>
      <w:bookmarkEnd w:id="713"/>
      <w:bookmarkEnd w:id="714"/>
      <w:bookmarkEnd w:id="715"/>
      <w:bookmarkEnd w:id="716"/>
      <w:bookmarkEnd w:id="717"/>
      <w:bookmarkEnd w:id="718"/>
      <w:bookmarkEnd w:id="730"/>
    </w:p>
    <w:bookmarkEnd w:id="719"/>
    <w:bookmarkEnd w:id="720"/>
    <w:bookmarkEnd w:id="721"/>
    <w:bookmarkEnd w:id="722"/>
    <w:bookmarkEnd w:id="723"/>
    <w:bookmarkEnd w:id="724"/>
    <w:bookmarkEnd w:id="725"/>
    <w:bookmarkEnd w:id="726"/>
    <w:p>
      <w:pPr>
        <w:widowControl/>
        <w:ind w:firstLine="480" w:firstLineChars="200"/>
      </w:pPr>
      <w:bookmarkStart w:id="731" w:name="_Toc423336792"/>
      <w:bookmarkStart w:id="732" w:name="_Toc182293623"/>
      <w:bookmarkStart w:id="733" w:name="_Toc457481049"/>
      <w:bookmarkStart w:id="734" w:name="_Toc82857346"/>
      <w:bookmarkStart w:id="735" w:name="_Toc115259952"/>
      <w:bookmarkStart w:id="736" w:name="_Toc76139447"/>
      <w:bookmarkStart w:id="737" w:name="_Toc88466827"/>
      <w:bookmarkStart w:id="738" w:name="_Toc181979330"/>
      <w:bookmarkStart w:id="739" w:name="_Toc115259939"/>
      <w:bookmarkStart w:id="740" w:name="_Toc82857333"/>
      <w:bookmarkStart w:id="741" w:name="_Toc168076440"/>
      <w:bookmarkStart w:id="742" w:name="_Toc114997862"/>
      <w:bookmarkStart w:id="743" w:name="_Toc114997875"/>
      <w:bookmarkStart w:id="744" w:name="_Toc66473916"/>
      <w:bookmarkStart w:id="745" w:name="_Toc76139495"/>
      <w:bookmarkStart w:id="746" w:name="_Toc66118787"/>
      <w:bookmarkStart w:id="747" w:name="_Toc76139482"/>
      <w:bookmarkStart w:id="748" w:name="_Toc88466840"/>
      <w:bookmarkStart w:id="749" w:name="_Toc162777294"/>
      <w:r>
        <w:rPr>
          <w:rFonts w:hint="eastAsia"/>
        </w:rPr>
        <w:t>本项目属于生猪养殖项目，运营过程中存在危险因素主要为</w:t>
      </w:r>
      <w:r>
        <w:t>消毒剂的存储</w:t>
      </w:r>
      <w:r>
        <w:rPr>
          <w:rFonts w:hint="eastAsia"/>
        </w:rPr>
        <w:t>，</w:t>
      </w:r>
      <w:r>
        <w:t>项目猪场消毒需要使用到的消毒液有84消毒液</w:t>
      </w:r>
      <w:r>
        <w:rPr>
          <w:rFonts w:hint="eastAsia"/>
        </w:rPr>
        <w:t>（</w:t>
      </w:r>
      <w:r>
        <w:t>次氯酸钠）、</w:t>
      </w:r>
      <w:r>
        <w:rPr>
          <w:rFonts w:hint="eastAsia"/>
        </w:rPr>
        <w:t>过氧乙酸</w:t>
      </w:r>
      <w:r>
        <w:t>、安灭（戊二醛苯扎溴铵）等消毒液。</w:t>
      </w:r>
      <w:r>
        <w:rPr>
          <w:rFonts w:hint="eastAsia"/>
        </w:rPr>
        <w:t xml:space="preserve">为保证企业正常运行，防范风险事故发生，评价在分析项目事故发生概率和预测事故状态下的影响程度基础上，提出事故防范措施和事故后应急措施，使建设项目的环境风险影响尽可能降到最低，确保项目风险度达到可接受水平。 </w:t>
      </w:r>
    </w:p>
    <w:p>
      <w:pPr>
        <w:widowControl/>
        <w:ind w:firstLine="480" w:firstLineChars="200"/>
      </w:pPr>
      <w:r>
        <w:rPr>
          <w:rFonts w:hint="eastAsia"/>
        </w:rPr>
        <w:t>本次评价以中华人民共和国环境保护行业标准《建设项目环境风险评价技术导则》（HJ/T169-2018）的相关要求为依据，以期通过风险评价，认识本项目的风险程度、危险环节和事故后果影响大小，从而提高风险管理意识，采取必要的防范措施以减少环境危害，并提出事故应急措施和预案，达到安全生产、发展经济的目的。</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50" w:name="_Toc29110604"/>
      <w:r>
        <w:rPr>
          <w:rFonts w:ascii="Times New Roman" w:hAnsi="Times New Roman" w:eastAsia="黑体" w:cs="Times New Roman"/>
          <w:b w:val="0"/>
          <w:bCs/>
          <w:spacing w:val="4"/>
          <w:kern w:val="2"/>
          <w:sz w:val="32"/>
          <w:szCs w:val="32"/>
        </w:rPr>
        <w:t>8.1</w:t>
      </w:r>
      <w:r>
        <w:rPr>
          <w:rFonts w:hint="eastAsia" w:ascii="Times New Roman" w:hAnsi="Times New Roman" w:eastAsia="黑体" w:cs="Times New Roman"/>
          <w:b w:val="0"/>
          <w:bCs/>
          <w:spacing w:val="4"/>
          <w:kern w:val="2"/>
          <w:sz w:val="32"/>
          <w:szCs w:val="32"/>
        </w:rPr>
        <w:t>评价工作</w:t>
      </w:r>
      <w:r>
        <w:rPr>
          <w:rFonts w:ascii="Times New Roman" w:hAnsi="Times New Roman" w:eastAsia="黑体" w:cs="Times New Roman"/>
          <w:b w:val="0"/>
          <w:bCs/>
          <w:spacing w:val="4"/>
          <w:kern w:val="2"/>
          <w:sz w:val="32"/>
          <w:szCs w:val="32"/>
        </w:rPr>
        <w:t>等级和评价依据</w:t>
      </w:r>
      <w:bookmarkEnd w:id="750"/>
    </w:p>
    <w:p>
      <w:pPr>
        <w:widowControl/>
        <w:ind w:firstLine="480" w:firstLineChars="200"/>
      </w:pPr>
      <w:r>
        <w:rPr>
          <w:rFonts w:hint="eastAsia"/>
        </w:rPr>
        <w:t>根据《建设项目环境风险评价技术导则》（HJ 169—2018），根据建设项目涉及的物质及工艺系统危险性和所在地的环境敏感性确定环境风险潜势。</w:t>
      </w:r>
    </w:p>
    <w:p>
      <w:pPr>
        <w:spacing w:line="240" w:lineRule="auto"/>
        <w:jc w:val="center"/>
        <w:rPr>
          <w:rFonts w:eastAsia="黑体"/>
        </w:rPr>
      </w:pPr>
      <w:r>
        <w:rPr>
          <w:rFonts w:hint="eastAsia" w:eastAsia="黑体"/>
        </w:rPr>
        <w:t>表</w:t>
      </w:r>
      <w:r>
        <w:rPr>
          <w:rFonts w:eastAsia="黑体"/>
        </w:rPr>
        <w:t>8</w:t>
      </w:r>
      <w:r>
        <w:rPr>
          <w:rFonts w:hint="eastAsia" w:eastAsia="黑体"/>
        </w:rPr>
        <w:t>.</w:t>
      </w:r>
      <w:r>
        <w:rPr>
          <w:rFonts w:eastAsia="黑体"/>
        </w:rPr>
        <w:t xml:space="preserve">1-1 </w:t>
      </w:r>
      <w:r>
        <w:rPr>
          <w:rFonts w:hint="eastAsia" w:eastAsia="黑体"/>
        </w:rPr>
        <w:t>评价工作等级划分</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1706"/>
        <w:gridCol w:w="1706"/>
        <w:gridCol w:w="1706"/>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12" w:space="0"/>
              <w:left w:val="nil"/>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环境风险潜势</w:t>
            </w:r>
          </w:p>
        </w:tc>
        <w:tc>
          <w:tcPr>
            <w:tcW w:w="1706"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r>
              <w:rPr>
                <w:rFonts w:hint="eastAsia"/>
                <w:kern w:val="0"/>
                <w:sz w:val="21"/>
                <w:szCs w:val="21"/>
              </w:rPr>
              <w:t>、I</w:t>
            </w:r>
            <w:r>
              <w:rPr>
                <w:kern w:val="0"/>
                <w:sz w:val="21"/>
                <w:szCs w:val="21"/>
              </w:rPr>
              <w:t>V</w:t>
            </w:r>
            <w:r>
              <w:rPr>
                <w:rFonts w:hint="eastAsia"/>
                <w:kern w:val="0"/>
                <w:sz w:val="21"/>
                <w:szCs w:val="21"/>
                <w:vertAlign w:val="superscript"/>
              </w:rPr>
              <w:t>+</w:t>
            </w:r>
          </w:p>
        </w:tc>
        <w:tc>
          <w:tcPr>
            <w:tcW w:w="1706"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12"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c>
          <w:tcPr>
            <w:tcW w:w="1706" w:type="dxa"/>
            <w:tcBorders>
              <w:top w:val="single" w:color="auto" w:sz="12" w:space="0"/>
              <w:left w:val="single" w:color="auto" w:sz="6" w:space="0"/>
              <w:bottom w:val="single" w:color="auto" w:sz="6" w:space="0"/>
              <w:right w:val="nil"/>
            </w:tcBorders>
          </w:tcPr>
          <w:p>
            <w:pPr>
              <w:widowControl/>
              <w:snapToGrid w:val="0"/>
              <w:spacing w:line="240" w:lineRule="auto"/>
              <w:jc w:val="center"/>
              <w:rPr>
                <w:kern w:val="0"/>
                <w:sz w:val="21"/>
                <w:szCs w:val="21"/>
              </w:rPr>
            </w:pPr>
            <w:r>
              <w:rPr>
                <w:rFonts w:hint="eastAsia"/>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评价工作等级</w:t>
            </w:r>
          </w:p>
        </w:tc>
        <w:tc>
          <w:tcPr>
            <w:tcW w:w="1706"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一</w:t>
            </w:r>
          </w:p>
        </w:tc>
        <w:tc>
          <w:tcPr>
            <w:tcW w:w="1706"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二</w:t>
            </w:r>
          </w:p>
        </w:tc>
        <w:tc>
          <w:tcPr>
            <w:tcW w:w="1706" w:type="dxa"/>
            <w:tcBorders>
              <w:top w:val="single" w:color="auto" w:sz="6" w:space="0"/>
              <w:left w:val="single" w:color="auto" w:sz="6" w:space="0"/>
              <w:bottom w:val="single" w:color="auto" w:sz="6" w:space="0"/>
              <w:right w:val="single" w:color="auto" w:sz="6" w:space="0"/>
            </w:tcBorders>
          </w:tcPr>
          <w:p>
            <w:pPr>
              <w:widowControl/>
              <w:snapToGrid w:val="0"/>
              <w:spacing w:line="240" w:lineRule="auto"/>
              <w:jc w:val="center"/>
              <w:rPr>
                <w:kern w:val="0"/>
                <w:sz w:val="21"/>
                <w:szCs w:val="21"/>
              </w:rPr>
            </w:pPr>
            <w:r>
              <w:rPr>
                <w:rFonts w:hint="eastAsia"/>
                <w:kern w:val="0"/>
                <w:sz w:val="21"/>
                <w:szCs w:val="21"/>
              </w:rPr>
              <w:t>三</w:t>
            </w:r>
          </w:p>
        </w:tc>
        <w:tc>
          <w:tcPr>
            <w:tcW w:w="1706" w:type="dxa"/>
            <w:tcBorders>
              <w:top w:val="single" w:color="auto" w:sz="6" w:space="0"/>
              <w:left w:val="single" w:color="auto" w:sz="6" w:space="0"/>
              <w:bottom w:val="single" w:color="auto" w:sz="6" w:space="0"/>
              <w:right w:val="nil"/>
            </w:tcBorders>
          </w:tcPr>
          <w:p>
            <w:pPr>
              <w:widowControl/>
              <w:snapToGrid w:val="0"/>
              <w:spacing w:line="240" w:lineRule="auto"/>
              <w:jc w:val="center"/>
              <w:rPr>
                <w:kern w:val="0"/>
                <w:sz w:val="21"/>
                <w:szCs w:val="21"/>
              </w:rPr>
            </w:pPr>
            <w:r>
              <w:rPr>
                <w:rFonts w:hint="eastAsia"/>
                <w:kern w:val="0"/>
                <w:sz w:val="21"/>
                <w:szCs w:val="21"/>
              </w:rPr>
              <w:t>简单分析a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9" w:type="dxa"/>
            <w:gridSpan w:val="5"/>
            <w:tcBorders>
              <w:top w:val="single" w:color="auto" w:sz="6" w:space="0"/>
              <w:left w:val="nil"/>
              <w:bottom w:val="single" w:color="auto" w:sz="12" w:space="0"/>
              <w:right w:val="nil"/>
            </w:tcBorders>
          </w:tcPr>
          <w:p>
            <w:pPr>
              <w:widowControl/>
              <w:snapToGrid w:val="0"/>
              <w:spacing w:line="240" w:lineRule="auto"/>
              <w:jc w:val="left"/>
              <w:rPr>
                <w:kern w:val="0"/>
                <w:sz w:val="21"/>
                <w:szCs w:val="21"/>
              </w:rPr>
            </w:pPr>
            <w:r>
              <w:rPr>
                <w:kern w:val="0"/>
                <w:sz w:val="21"/>
                <w:szCs w:val="21"/>
              </w:rPr>
              <w:t xml:space="preserve">a </w:t>
            </w:r>
            <w:r>
              <w:rPr>
                <w:rFonts w:hint="eastAsia"/>
                <w:kern w:val="0"/>
                <w:sz w:val="21"/>
                <w:szCs w:val="21"/>
              </w:rPr>
              <w:t>是相对于详细评价工作内容而言，在描述危险物质、环境影响途径、环境危害后果、风险防范措施等方面给出定性的说明。</w:t>
            </w:r>
          </w:p>
        </w:tc>
      </w:tr>
    </w:tbl>
    <w:p>
      <w:pPr>
        <w:widowControl/>
        <w:ind w:firstLine="480" w:firstLineChars="200"/>
      </w:pPr>
    </w:p>
    <w:p>
      <w:pPr>
        <w:widowControl/>
        <w:ind w:firstLine="480" w:firstLineChars="200"/>
      </w:pPr>
      <w:r>
        <w:rPr>
          <w:rFonts w:hint="eastAsia"/>
        </w:rPr>
        <w:t>建设项目环境风险潜势划分为Ⅰ、Ⅱ、Ⅲ、Ⅳ/Ⅳ</w:t>
      </w:r>
      <w:r>
        <w:rPr>
          <w:rFonts w:hint="eastAsia"/>
          <w:vertAlign w:val="superscript"/>
        </w:rPr>
        <w:t>+</w:t>
      </w:r>
      <w:r>
        <w:rPr>
          <w:rFonts w:hint="eastAsia"/>
        </w:rPr>
        <w:t>级。根据建设项目涉及的物质和工艺系统的危险性及其所在地的环境敏感程度，结合事故情形下环境影响途径，对建设项目潜在环境危害程度进行概化分析，按照下表确定环境风险潜势。</w:t>
      </w:r>
    </w:p>
    <w:p>
      <w:pPr>
        <w:spacing w:line="240" w:lineRule="auto"/>
        <w:jc w:val="center"/>
        <w:rPr>
          <w:rFonts w:eastAsia="黑体"/>
        </w:rPr>
      </w:pPr>
      <w:r>
        <w:rPr>
          <w:rFonts w:hint="eastAsia" w:eastAsia="黑体"/>
        </w:rPr>
        <w:t xml:space="preserve"> 表</w:t>
      </w:r>
      <w:r>
        <w:rPr>
          <w:rFonts w:eastAsia="黑体"/>
        </w:rPr>
        <w:t>8.1</w:t>
      </w:r>
      <w:r>
        <w:rPr>
          <w:rFonts w:hint="eastAsia" w:eastAsia="黑体"/>
        </w:rPr>
        <w:t>-2  建设项目环境风险潜势划分</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1706"/>
        <w:gridCol w:w="1706"/>
        <w:gridCol w:w="1706"/>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Merge w:val="restart"/>
            <w:tcBorders>
              <w:top w:val="single" w:color="auto" w:sz="12"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环境敏感程度（E）</w:t>
            </w:r>
          </w:p>
        </w:tc>
        <w:tc>
          <w:tcPr>
            <w:tcW w:w="6824" w:type="dxa"/>
            <w:gridSpan w:val="4"/>
            <w:tcBorders>
              <w:top w:val="single" w:color="auto" w:sz="12"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危险物质及工艺系统危险性（P）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5" w:type="dxa"/>
            <w:vMerge w:val="continue"/>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极高危害（P</w:t>
            </w:r>
            <w:r>
              <w:rPr>
                <w:kern w:val="0"/>
                <w:sz w:val="21"/>
                <w:szCs w:val="21"/>
              </w:rPr>
              <w:t>1</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高度危害（P</w:t>
            </w:r>
            <w:r>
              <w:rPr>
                <w:kern w:val="0"/>
                <w:sz w:val="21"/>
                <w:szCs w:val="21"/>
              </w:rPr>
              <w:t>2</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中度危害（P</w:t>
            </w:r>
            <w:r>
              <w:rPr>
                <w:kern w:val="0"/>
                <w:sz w:val="21"/>
                <w:szCs w:val="21"/>
              </w:rPr>
              <w:t>3</w:t>
            </w:r>
            <w:r>
              <w:rPr>
                <w:rFonts w:hint="eastAsia"/>
                <w:kern w:val="0"/>
                <w:sz w:val="21"/>
                <w:szCs w:val="21"/>
              </w:rPr>
              <w:t>）</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轻度危害（P</w:t>
            </w:r>
            <w:r>
              <w:rPr>
                <w:kern w:val="0"/>
                <w:sz w:val="21"/>
                <w:szCs w:val="21"/>
              </w:rPr>
              <w:t>4</w:t>
            </w:r>
            <w:r>
              <w:rPr>
                <w:rFonts w:hint="eastAsia"/>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环境高度敏感区（E</w:t>
            </w:r>
            <w:r>
              <w:rPr>
                <w:kern w:val="0"/>
                <w:sz w:val="21"/>
                <w:szCs w:val="21"/>
              </w:rPr>
              <w:t>1</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r>
              <w:rPr>
                <w:rFonts w:hint="eastAsia"/>
                <w:kern w:val="0"/>
                <w:sz w:val="21"/>
                <w:szCs w:val="21"/>
                <w:vertAlign w:val="superscript"/>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环境中度敏感区（E</w:t>
            </w:r>
            <w:r>
              <w:rPr>
                <w:kern w:val="0"/>
                <w:sz w:val="21"/>
                <w:szCs w:val="21"/>
              </w:rPr>
              <w:t>2</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V</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tcBorders>
              <w:top w:val="single" w:color="auto" w:sz="6" w:space="0"/>
              <w:left w:val="nil"/>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环境低度敏感区（E</w:t>
            </w:r>
            <w:r>
              <w:rPr>
                <w:kern w:val="0"/>
                <w:sz w:val="21"/>
                <w:szCs w:val="21"/>
              </w:rPr>
              <w:t>3</w:t>
            </w:r>
            <w:r>
              <w:rPr>
                <w:rFonts w:hint="eastAsia"/>
                <w:kern w:val="0"/>
                <w:sz w:val="21"/>
                <w:szCs w:val="21"/>
              </w:rPr>
              <w:t>）</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II</w:t>
            </w:r>
          </w:p>
        </w:tc>
        <w:tc>
          <w:tcPr>
            <w:tcW w:w="1706" w:type="dxa"/>
            <w:tcBorders>
              <w:top w:val="single" w:color="auto" w:sz="6" w:space="0"/>
              <w:left w:val="single" w:color="auto" w:sz="6" w:space="0"/>
              <w:bottom w:val="single" w:color="auto" w:sz="6" w:space="0"/>
              <w:right w:val="single" w:color="auto" w:sz="6" w:space="0"/>
            </w:tcBorders>
            <w:vAlign w:val="center"/>
          </w:tcPr>
          <w:p>
            <w:pPr>
              <w:widowControl/>
              <w:snapToGrid w:val="0"/>
              <w:spacing w:line="240" w:lineRule="auto"/>
              <w:jc w:val="center"/>
              <w:rPr>
                <w:kern w:val="0"/>
                <w:sz w:val="21"/>
                <w:szCs w:val="21"/>
              </w:rPr>
            </w:pPr>
            <w:r>
              <w:rPr>
                <w:rFonts w:hint="eastAsia"/>
                <w:kern w:val="0"/>
                <w:sz w:val="21"/>
                <w:szCs w:val="21"/>
              </w:rPr>
              <w:t>I</w:t>
            </w:r>
            <w:r>
              <w:rPr>
                <w:kern w:val="0"/>
                <w:sz w:val="21"/>
                <w:szCs w:val="21"/>
              </w:rPr>
              <w:t>I</w:t>
            </w:r>
          </w:p>
        </w:tc>
        <w:tc>
          <w:tcPr>
            <w:tcW w:w="1706" w:type="dxa"/>
            <w:tcBorders>
              <w:top w:val="single" w:color="auto" w:sz="6" w:space="0"/>
              <w:left w:val="single" w:color="auto" w:sz="6" w:space="0"/>
              <w:bottom w:val="single" w:color="auto" w:sz="6" w:space="0"/>
              <w:right w:val="nil"/>
            </w:tcBorders>
            <w:vAlign w:val="center"/>
          </w:tcPr>
          <w:p>
            <w:pPr>
              <w:widowControl/>
              <w:snapToGrid w:val="0"/>
              <w:spacing w:line="240" w:lineRule="auto"/>
              <w:jc w:val="center"/>
              <w:rPr>
                <w:kern w:val="0"/>
                <w:sz w:val="21"/>
                <w:szCs w:val="21"/>
              </w:rPr>
            </w:pPr>
            <w:r>
              <w:rPr>
                <w:rFonts w:hint="eastAsia"/>
                <w:kern w:val="0"/>
                <w:sz w:val="21"/>
                <w:szCs w:val="21"/>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9" w:type="dxa"/>
            <w:gridSpan w:val="5"/>
            <w:tcBorders>
              <w:top w:val="single" w:color="auto" w:sz="6" w:space="0"/>
              <w:left w:val="nil"/>
              <w:bottom w:val="single" w:color="auto" w:sz="12" w:space="0"/>
              <w:right w:val="nil"/>
            </w:tcBorders>
            <w:vAlign w:val="center"/>
          </w:tcPr>
          <w:p>
            <w:pPr>
              <w:widowControl/>
              <w:snapToGrid w:val="0"/>
              <w:spacing w:line="240" w:lineRule="auto"/>
              <w:jc w:val="center"/>
              <w:rPr>
                <w:kern w:val="0"/>
                <w:sz w:val="21"/>
                <w:szCs w:val="21"/>
              </w:rPr>
            </w:pPr>
            <w:r>
              <w:rPr>
                <w:rFonts w:hint="eastAsia"/>
                <w:kern w:val="0"/>
                <w:sz w:val="21"/>
                <w:szCs w:val="21"/>
              </w:rPr>
              <w:t>注：I</w:t>
            </w:r>
            <w:r>
              <w:rPr>
                <w:kern w:val="0"/>
                <w:sz w:val="21"/>
                <w:szCs w:val="21"/>
              </w:rPr>
              <w:t>V</w:t>
            </w:r>
            <w:r>
              <w:rPr>
                <w:rFonts w:hint="eastAsia"/>
                <w:kern w:val="0"/>
                <w:sz w:val="21"/>
                <w:szCs w:val="21"/>
                <w:vertAlign w:val="superscript"/>
              </w:rPr>
              <w:t>+</w:t>
            </w:r>
            <w:r>
              <w:rPr>
                <w:rFonts w:hint="eastAsia"/>
                <w:kern w:val="0"/>
                <w:sz w:val="21"/>
                <w:szCs w:val="21"/>
              </w:rPr>
              <w:t>为极高环境风险</w:t>
            </w:r>
          </w:p>
        </w:tc>
      </w:tr>
    </w:tbl>
    <w:p>
      <w:pPr>
        <w:adjustRightInd w:val="0"/>
        <w:ind w:firstLine="480" w:firstLineChars="200"/>
      </w:pPr>
    </w:p>
    <w:p>
      <w:pPr>
        <w:jc w:val="left"/>
        <w:outlineLvl w:val="2"/>
        <w:rPr>
          <w:rFonts w:eastAsia="黑体"/>
          <w:bCs/>
          <w:spacing w:val="4"/>
          <w:sz w:val="30"/>
          <w:szCs w:val="30"/>
        </w:rPr>
      </w:pPr>
      <w:bookmarkStart w:id="751" w:name="_Toc191271307"/>
      <w:bookmarkStart w:id="752" w:name="_Toc191176277"/>
      <w:bookmarkStart w:id="753" w:name="_Toc194229596"/>
      <w:bookmarkStart w:id="754" w:name="_Toc192588030"/>
      <w:bookmarkStart w:id="755" w:name="_Toc244960259"/>
      <w:bookmarkStart w:id="756" w:name="_Toc453585610"/>
      <w:bookmarkStart w:id="757" w:name="_Toc396141837"/>
      <w:bookmarkStart w:id="758" w:name="_Toc452621843"/>
      <w:bookmarkStart w:id="759" w:name="_Toc304221793"/>
      <w:bookmarkStart w:id="760" w:name="_Toc454369690"/>
      <w:r>
        <w:rPr>
          <w:rFonts w:eastAsia="黑体"/>
          <w:bCs/>
          <w:spacing w:val="4"/>
          <w:sz w:val="30"/>
          <w:szCs w:val="30"/>
        </w:rPr>
        <w:t>8.</w:t>
      </w:r>
      <w:bookmarkEnd w:id="751"/>
      <w:bookmarkEnd w:id="752"/>
      <w:bookmarkEnd w:id="753"/>
      <w:bookmarkEnd w:id="754"/>
      <w:bookmarkEnd w:id="755"/>
      <w:bookmarkStart w:id="761" w:name="_Toc244960260"/>
      <w:r>
        <w:rPr>
          <w:rFonts w:eastAsia="黑体"/>
          <w:bCs/>
          <w:spacing w:val="4"/>
          <w:sz w:val="30"/>
          <w:szCs w:val="30"/>
        </w:rPr>
        <w:t xml:space="preserve">1.1 </w:t>
      </w:r>
      <w:bookmarkEnd w:id="756"/>
      <w:bookmarkEnd w:id="757"/>
      <w:bookmarkEnd w:id="758"/>
      <w:bookmarkEnd w:id="759"/>
      <w:bookmarkEnd w:id="760"/>
      <w:bookmarkEnd w:id="761"/>
      <w:r>
        <w:rPr>
          <w:rFonts w:hint="eastAsia" w:eastAsia="黑体"/>
          <w:bCs/>
          <w:spacing w:val="4"/>
          <w:sz w:val="30"/>
          <w:szCs w:val="30"/>
        </w:rPr>
        <w:t>危险物质</w:t>
      </w:r>
      <w:r>
        <w:rPr>
          <w:rFonts w:eastAsia="黑体"/>
          <w:bCs/>
          <w:spacing w:val="4"/>
          <w:sz w:val="30"/>
          <w:szCs w:val="30"/>
        </w:rPr>
        <w:t>及工艺系统危险性（</w:t>
      </w:r>
      <w:r>
        <w:rPr>
          <w:rFonts w:hint="eastAsia" w:eastAsia="黑体"/>
          <w:bCs/>
          <w:spacing w:val="4"/>
          <w:sz w:val="30"/>
          <w:szCs w:val="30"/>
        </w:rPr>
        <w:t>P）分级</w:t>
      </w:r>
    </w:p>
    <w:p>
      <w:pPr>
        <w:widowControl/>
        <w:ind w:firstLine="480" w:firstLineChars="200"/>
      </w:pPr>
      <w:r>
        <w:rPr>
          <w:rFonts w:hint="eastAsia"/>
        </w:rPr>
        <w:t xml:space="preserve">分析建设项目生产、使用、储存过程中涉及的有毒有害、易燃易爆物质，参见《建设项目环境风险评价技术导则》（HJ169-2018）附录 B 确定危险物质的临界量。定量分析危险物质数量与临界量的比值（Q）和所属行业及生产工艺特点（M），对危险物质及工艺系统危险性（P）等级进行判断。 </w:t>
      </w:r>
    </w:p>
    <w:p>
      <w:pPr>
        <w:spacing w:line="240" w:lineRule="auto"/>
        <w:jc w:val="center"/>
        <w:rPr>
          <w:rFonts w:eastAsia="黑体"/>
        </w:rPr>
      </w:pPr>
      <w:r>
        <w:rPr>
          <w:rFonts w:hint="eastAsia" w:eastAsia="黑体"/>
        </w:rPr>
        <w:t>表</w:t>
      </w:r>
      <w:r>
        <w:rPr>
          <w:rFonts w:eastAsia="黑体"/>
        </w:rPr>
        <w:t>8.1</w:t>
      </w:r>
      <w:r>
        <w:rPr>
          <w:rFonts w:hint="eastAsia" w:eastAsia="黑体"/>
        </w:rPr>
        <w:t>-</w:t>
      </w:r>
      <w:r>
        <w:rPr>
          <w:rFonts w:eastAsia="黑体"/>
        </w:rPr>
        <w:t>3</w:t>
      </w:r>
      <w:r>
        <w:rPr>
          <w:rFonts w:hint="eastAsia" w:eastAsia="黑体"/>
        </w:rPr>
        <w:t xml:space="preserve">  危险物质及工艺系统危险性等级判断（P）</w:t>
      </w:r>
    </w:p>
    <w:tbl>
      <w:tblPr>
        <w:tblStyle w:val="89"/>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705"/>
        <w:gridCol w:w="1706"/>
        <w:gridCol w:w="1706"/>
        <w:gridCol w:w="1706"/>
        <w:gridCol w:w="170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705" w:type="dxa"/>
            <w:vMerge w:val="restart"/>
          </w:tcPr>
          <w:p>
            <w:pPr>
              <w:widowControl/>
              <w:snapToGrid w:val="0"/>
              <w:spacing w:line="240" w:lineRule="auto"/>
              <w:jc w:val="center"/>
              <w:rPr>
                <w:kern w:val="0"/>
                <w:sz w:val="21"/>
                <w:szCs w:val="21"/>
              </w:rPr>
            </w:pPr>
            <w:r>
              <w:rPr>
                <w:rFonts w:hint="eastAsia"/>
                <w:kern w:val="0"/>
                <w:sz w:val="21"/>
                <w:szCs w:val="21"/>
              </w:rPr>
              <w:t>危险物质数量与临界量比值（Q）</w:t>
            </w:r>
          </w:p>
        </w:tc>
        <w:tc>
          <w:tcPr>
            <w:tcW w:w="6824" w:type="dxa"/>
            <w:gridSpan w:val="4"/>
          </w:tcPr>
          <w:p>
            <w:pPr>
              <w:widowControl/>
              <w:snapToGrid w:val="0"/>
              <w:spacing w:line="240" w:lineRule="auto"/>
              <w:jc w:val="center"/>
              <w:rPr>
                <w:kern w:val="0"/>
                <w:sz w:val="21"/>
                <w:szCs w:val="21"/>
              </w:rPr>
            </w:pPr>
            <w:r>
              <w:rPr>
                <w:rFonts w:hint="eastAsia"/>
                <w:kern w:val="0"/>
                <w:sz w:val="21"/>
                <w:szCs w:val="21"/>
              </w:rPr>
              <w:t>行业及生产工艺（M）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705" w:type="dxa"/>
            <w:vMerge w:val="continue"/>
          </w:tcPr>
          <w:p>
            <w:pPr>
              <w:widowControl/>
              <w:snapToGrid w:val="0"/>
              <w:spacing w:line="240" w:lineRule="auto"/>
              <w:jc w:val="center"/>
              <w:rPr>
                <w:kern w:val="0"/>
                <w:sz w:val="21"/>
                <w:szCs w:val="21"/>
              </w:rPr>
            </w:pPr>
          </w:p>
        </w:tc>
        <w:tc>
          <w:tcPr>
            <w:tcW w:w="1706" w:type="dxa"/>
            <w:vAlign w:val="center"/>
          </w:tcPr>
          <w:p>
            <w:pPr>
              <w:widowControl/>
              <w:snapToGrid w:val="0"/>
              <w:spacing w:line="240" w:lineRule="auto"/>
              <w:jc w:val="center"/>
              <w:rPr>
                <w:kern w:val="0"/>
                <w:sz w:val="21"/>
                <w:szCs w:val="21"/>
              </w:rPr>
            </w:pPr>
            <w:r>
              <w:rPr>
                <w:kern w:val="0"/>
                <w:sz w:val="21"/>
                <w:szCs w:val="21"/>
              </w:rPr>
              <w:t>M1</w:t>
            </w:r>
          </w:p>
        </w:tc>
        <w:tc>
          <w:tcPr>
            <w:tcW w:w="1706" w:type="dxa"/>
            <w:vAlign w:val="center"/>
          </w:tcPr>
          <w:p>
            <w:pPr>
              <w:widowControl/>
              <w:snapToGrid w:val="0"/>
              <w:spacing w:line="240" w:lineRule="auto"/>
              <w:jc w:val="center"/>
              <w:rPr>
                <w:kern w:val="0"/>
                <w:sz w:val="21"/>
                <w:szCs w:val="21"/>
              </w:rPr>
            </w:pPr>
            <w:r>
              <w:rPr>
                <w:rFonts w:hint="eastAsia"/>
                <w:kern w:val="0"/>
                <w:sz w:val="21"/>
                <w:szCs w:val="21"/>
              </w:rPr>
              <w:t>M</w:t>
            </w:r>
            <w:r>
              <w:rPr>
                <w:kern w:val="0"/>
                <w:sz w:val="21"/>
                <w:szCs w:val="21"/>
              </w:rPr>
              <w:t>2</w:t>
            </w:r>
          </w:p>
        </w:tc>
        <w:tc>
          <w:tcPr>
            <w:tcW w:w="1706" w:type="dxa"/>
            <w:vAlign w:val="center"/>
          </w:tcPr>
          <w:p>
            <w:pPr>
              <w:widowControl/>
              <w:snapToGrid w:val="0"/>
              <w:spacing w:line="240" w:lineRule="auto"/>
              <w:jc w:val="center"/>
              <w:rPr>
                <w:kern w:val="0"/>
                <w:sz w:val="21"/>
                <w:szCs w:val="21"/>
              </w:rPr>
            </w:pPr>
            <w:r>
              <w:rPr>
                <w:rFonts w:hint="eastAsia"/>
                <w:kern w:val="0"/>
                <w:sz w:val="21"/>
                <w:szCs w:val="21"/>
              </w:rPr>
              <w:t>M</w:t>
            </w:r>
            <w:r>
              <w:rPr>
                <w:kern w:val="0"/>
                <w:sz w:val="21"/>
                <w:szCs w:val="21"/>
              </w:rPr>
              <w:t>3</w:t>
            </w:r>
          </w:p>
        </w:tc>
        <w:tc>
          <w:tcPr>
            <w:tcW w:w="1706" w:type="dxa"/>
            <w:vAlign w:val="center"/>
          </w:tcPr>
          <w:p>
            <w:pPr>
              <w:widowControl/>
              <w:snapToGrid w:val="0"/>
              <w:spacing w:line="240" w:lineRule="auto"/>
              <w:jc w:val="center"/>
              <w:rPr>
                <w:kern w:val="0"/>
                <w:sz w:val="21"/>
                <w:szCs w:val="21"/>
              </w:rPr>
            </w:pPr>
            <w:r>
              <w:rPr>
                <w:rFonts w:hint="eastAsia"/>
                <w:kern w:val="0"/>
                <w:sz w:val="21"/>
                <w:szCs w:val="21"/>
              </w:rPr>
              <w:t>M</w:t>
            </w:r>
            <w:r>
              <w:rPr>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705" w:type="dxa"/>
          </w:tcPr>
          <w:p>
            <w:pPr>
              <w:widowControl/>
              <w:snapToGrid w:val="0"/>
              <w:spacing w:line="240" w:lineRule="auto"/>
              <w:jc w:val="center"/>
              <w:rPr>
                <w:kern w:val="0"/>
                <w:sz w:val="21"/>
                <w:szCs w:val="21"/>
              </w:rPr>
            </w:pPr>
            <w:r>
              <w:rPr>
                <w:rFonts w:hint="eastAsia"/>
                <w:kern w:val="0"/>
                <w:sz w:val="21"/>
                <w:szCs w:val="21"/>
              </w:rPr>
              <w:t>Q≥1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705" w:type="dxa"/>
          </w:tcPr>
          <w:p>
            <w:pPr>
              <w:widowControl/>
              <w:snapToGrid w:val="0"/>
              <w:spacing w:line="240" w:lineRule="auto"/>
              <w:jc w:val="center"/>
              <w:rPr>
                <w:kern w:val="0"/>
                <w:sz w:val="21"/>
                <w:szCs w:val="21"/>
              </w:rPr>
            </w:pPr>
            <w:r>
              <w:rPr>
                <w:rFonts w:hint="eastAsia"/>
                <w:kern w:val="0"/>
                <w:sz w:val="21"/>
                <w:szCs w:val="21"/>
              </w:rPr>
              <w:t>1</w:t>
            </w:r>
            <w:r>
              <w:rPr>
                <w:kern w:val="0"/>
                <w:sz w:val="21"/>
                <w:szCs w:val="21"/>
              </w:rPr>
              <w:t>0</w:t>
            </w:r>
            <w:r>
              <w:rPr>
                <w:rFonts w:hint="eastAsia"/>
                <w:kern w:val="0"/>
                <w:sz w:val="21"/>
                <w:szCs w:val="21"/>
              </w:rPr>
              <w:t>≤</w:t>
            </w:r>
            <w:r>
              <w:rPr>
                <w:kern w:val="0"/>
                <w:sz w:val="21"/>
                <w:szCs w:val="21"/>
              </w:rPr>
              <w:t>Q</w:t>
            </w:r>
            <w:r>
              <w:rPr>
                <w:rFonts w:hint="eastAsia"/>
                <w:kern w:val="0"/>
                <w:sz w:val="21"/>
                <w:szCs w:val="21"/>
              </w:rPr>
              <w:t>＜1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1</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705" w:type="dxa"/>
          </w:tcPr>
          <w:p>
            <w:pPr>
              <w:widowControl/>
              <w:snapToGrid w:val="0"/>
              <w:spacing w:line="240" w:lineRule="auto"/>
              <w:jc w:val="center"/>
              <w:rPr>
                <w:kern w:val="0"/>
                <w:sz w:val="21"/>
                <w:szCs w:val="21"/>
              </w:rPr>
            </w:pPr>
            <w:r>
              <w:rPr>
                <w:rFonts w:hint="eastAsia"/>
                <w:kern w:val="0"/>
                <w:sz w:val="21"/>
                <w:szCs w:val="21"/>
              </w:rPr>
              <w:t>1≤</w:t>
            </w:r>
            <w:r>
              <w:rPr>
                <w:kern w:val="0"/>
                <w:sz w:val="21"/>
                <w:szCs w:val="21"/>
              </w:rPr>
              <w:t>Q</w:t>
            </w:r>
            <w:r>
              <w:rPr>
                <w:rFonts w:hint="eastAsia"/>
                <w:kern w:val="0"/>
                <w:sz w:val="21"/>
                <w:szCs w:val="21"/>
              </w:rPr>
              <w:t>＜1</w:t>
            </w:r>
            <w:r>
              <w:rPr>
                <w:kern w:val="0"/>
                <w:sz w:val="21"/>
                <w:szCs w:val="21"/>
              </w:rPr>
              <w:t>00</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2</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3</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c>
          <w:tcPr>
            <w:tcW w:w="1706" w:type="dxa"/>
          </w:tcPr>
          <w:p>
            <w:pPr>
              <w:widowControl/>
              <w:snapToGrid w:val="0"/>
              <w:spacing w:line="240" w:lineRule="auto"/>
              <w:jc w:val="center"/>
              <w:rPr>
                <w:kern w:val="0"/>
                <w:sz w:val="21"/>
                <w:szCs w:val="21"/>
              </w:rPr>
            </w:pPr>
            <w:r>
              <w:rPr>
                <w:rFonts w:hint="eastAsia"/>
                <w:kern w:val="0"/>
                <w:sz w:val="21"/>
                <w:szCs w:val="21"/>
              </w:rPr>
              <w:t>P</w:t>
            </w:r>
            <w:r>
              <w:rPr>
                <w:kern w:val="0"/>
                <w:sz w:val="21"/>
                <w:szCs w:val="21"/>
              </w:rPr>
              <w:t>4</w:t>
            </w:r>
          </w:p>
        </w:tc>
      </w:tr>
    </w:tbl>
    <w:p>
      <w:pPr>
        <w:widowControl/>
      </w:pPr>
    </w:p>
    <w:p>
      <w:pPr>
        <w:widowControl/>
        <w:ind w:firstLine="480" w:firstLineChars="200"/>
      </w:pPr>
      <w:r>
        <w:rPr>
          <w:rFonts w:hint="eastAsia"/>
        </w:rPr>
        <w:t xml:space="preserve">（1）危险物质数量与临界量的比值（Q） </w:t>
      </w:r>
    </w:p>
    <w:p>
      <w:pPr>
        <w:widowControl/>
        <w:ind w:firstLine="480" w:firstLineChars="200"/>
      </w:pPr>
      <w:r>
        <w:rPr>
          <w:rFonts w:hint="eastAsia"/>
        </w:rPr>
        <w:t>计算所涉及的每种危险物质在厂界内的最大存在总量与其在对应《建设项目环境风险评价技术导则》（HJ169-2018）附录 B 中临界量的比值 Q。在不同厂区的同一种物质，按其在厂界内的最大存在总量计算。当只涉及一种危险物质时，计算该物质的总量与其临界量比值，即为 Q；当存在多种危险物质时，则按下式计算物质总量与其临界量比值（Q）：</w:t>
      </w:r>
    </w:p>
    <w:p>
      <w:pPr>
        <w:widowControl/>
        <w:ind w:firstLine="1920" w:firstLineChars="800"/>
      </w:pPr>
      <w:r>
        <w:drawing>
          <wp:inline distT="0" distB="0" distL="0" distR="0">
            <wp:extent cx="1965960" cy="48006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4"/>
                    <a:stretch>
                      <a:fillRect/>
                    </a:stretch>
                  </pic:blipFill>
                  <pic:spPr>
                    <a:xfrm>
                      <a:off x="0" y="0"/>
                      <a:ext cx="1966130" cy="480102"/>
                    </a:xfrm>
                    <a:prstGeom prst="rect">
                      <a:avLst/>
                    </a:prstGeom>
                  </pic:spPr>
                </pic:pic>
              </a:graphicData>
            </a:graphic>
          </wp:inline>
        </w:drawing>
      </w:r>
    </w:p>
    <w:p>
      <w:pPr>
        <w:widowControl/>
      </w:pPr>
      <w:r>
        <w:rPr>
          <w:rFonts w:hint="eastAsia"/>
        </w:rPr>
        <w:t xml:space="preserve">式中：q1，q2，...，qn——每种危险物质的最大存在总量，t； </w:t>
      </w:r>
    </w:p>
    <w:p>
      <w:pPr>
        <w:widowControl/>
        <w:ind w:firstLine="720" w:firstLineChars="300"/>
      </w:pPr>
      <w:r>
        <w:rPr>
          <w:rFonts w:hint="eastAsia"/>
        </w:rPr>
        <w:t xml:space="preserve">Q1，Q2，...，Qn——每种危险物质的临界量，t。 </w:t>
      </w:r>
    </w:p>
    <w:p>
      <w:pPr>
        <w:widowControl/>
        <w:ind w:firstLine="720" w:firstLineChars="300"/>
      </w:pPr>
      <w:r>
        <w:rPr>
          <w:rFonts w:hint="eastAsia"/>
        </w:rPr>
        <w:t xml:space="preserve">当 Q＜1 时，该项目环境风险潜势为Ⅰ。 </w:t>
      </w:r>
    </w:p>
    <w:p>
      <w:pPr>
        <w:widowControl/>
        <w:ind w:firstLine="720" w:firstLineChars="300"/>
      </w:pPr>
      <w:r>
        <w:rPr>
          <w:rFonts w:hint="eastAsia"/>
        </w:rPr>
        <w:t xml:space="preserve">当 Q≥1 时，将 Q 值划分为： </w:t>
      </w:r>
    </w:p>
    <w:p>
      <w:pPr>
        <w:widowControl/>
        <w:ind w:firstLine="960" w:firstLineChars="400"/>
      </w:pPr>
      <w:r>
        <w:rPr>
          <w:rFonts w:hint="eastAsia"/>
        </w:rPr>
        <w:t xml:space="preserve">1≤Q＜10； 10≤Q＜100； Q≥100。 </w:t>
      </w:r>
    </w:p>
    <w:p>
      <w:pPr>
        <w:widowControl/>
        <w:ind w:firstLine="480" w:firstLineChars="200"/>
      </w:pPr>
      <w:r>
        <w:rPr>
          <w:rFonts w:hint="eastAsia"/>
        </w:rPr>
        <w:t>根据《建设项目环境风险评价技术导则》（HJ169-2018）识别本项目的危险物质为次氯酸钠。</w:t>
      </w:r>
    </w:p>
    <w:p>
      <w:pPr>
        <w:spacing w:line="240" w:lineRule="auto"/>
        <w:jc w:val="center"/>
        <w:rPr>
          <w:rFonts w:eastAsia="黑体"/>
        </w:rPr>
      </w:pPr>
      <w:r>
        <w:rPr>
          <w:rFonts w:hint="eastAsia" w:eastAsia="黑体"/>
        </w:rPr>
        <w:t xml:space="preserve">表 </w:t>
      </w:r>
      <w:r>
        <w:rPr>
          <w:rFonts w:eastAsia="黑体"/>
        </w:rPr>
        <w:t>8.1</w:t>
      </w:r>
      <w:r>
        <w:rPr>
          <w:rFonts w:hint="eastAsia" w:eastAsia="黑体"/>
        </w:rPr>
        <w:t>-</w:t>
      </w:r>
      <w:r>
        <w:rPr>
          <w:rFonts w:eastAsia="黑体"/>
        </w:rPr>
        <w:t>4</w:t>
      </w:r>
      <w:r>
        <w:rPr>
          <w:rFonts w:hint="eastAsia" w:eastAsia="黑体"/>
        </w:rPr>
        <w:t xml:space="preserve">  建设项目 Q值确定表</w:t>
      </w:r>
    </w:p>
    <w:tbl>
      <w:tblPr>
        <w:tblStyle w:val="89"/>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00"/>
        <w:gridCol w:w="1102"/>
        <w:gridCol w:w="1114"/>
        <w:gridCol w:w="1247"/>
        <w:gridCol w:w="1925"/>
        <w:gridCol w:w="212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00" w:type="dxa"/>
            <w:vAlign w:val="center"/>
          </w:tcPr>
          <w:p>
            <w:pPr>
              <w:widowControl/>
              <w:spacing w:line="240" w:lineRule="auto"/>
              <w:jc w:val="center"/>
              <w:rPr>
                <w:kern w:val="0"/>
                <w:sz w:val="21"/>
                <w:szCs w:val="21"/>
              </w:rPr>
            </w:pPr>
            <w:r>
              <w:rPr>
                <w:rFonts w:hint="eastAsia"/>
                <w:kern w:val="0"/>
                <w:sz w:val="21"/>
                <w:szCs w:val="21"/>
              </w:rPr>
              <w:t>序号</w:t>
            </w:r>
          </w:p>
        </w:tc>
        <w:tc>
          <w:tcPr>
            <w:tcW w:w="1102" w:type="dxa"/>
            <w:vAlign w:val="center"/>
          </w:tcPr>
          <w:p>
            <w:pPr>
              <w:widowControl/>
              <w:spacing w:line="240" w:lineRule="auto"/>
              <w:jc w:val="center"/>
              <w:rPr>
                <w:kern w:val="0"/>
                <w:sz w:val="21"/>
                <w:szCs w:val="21"/>
              </w:rPr>
            </w:pPr>
            <w:r>
              <w:rPr>
                <w:rFonts w:hint="eastAsia"/>
                <w:kern w:val="0"/>
                <w:sz w:val="21"/>
                <w:szCs w:val="21"/>
              </w:rPr>
              <w:t>危险物质名称</w:t>
            </w:r>
          </w:p>
        </w:tc>
        <w:tc>
          <w:tcPr>
            <w:tcW w:w="1114" w:type="dxa"/>
            <w:vAlign w:val="center"/>
          </w:tcPr>
          <w:p>
            <w:pPr>
              <w:widowControl/>
              <w:spacing w:line="240" w:lineRule="auto"/>
              <w:jc w:val="center"/>
              <w:rPr>
                <w:kern w:val="0"/>
                <w:sz w:val="21"/>
                <w:szCs w:val="21"/>
              </w:rPr>
            </w:pPr>
            <w:r>
              <w:rPr>
                <w:rFonts w:hint="eastAsia"/>
                <w:kern w:val="0"/>
                <w:sz w:val="21"/>
                <w:szCs w:val="21"/>
              </w:rPr>
              <w:t>C</w:t>
            </w:r>
            <w:r>
              <w:rPr>
                <w:kern w:val="0"/>
                <w:sz w:val="21"/>
                <w:szCs w:val="21"/>
              </w:rPr>
              <w:t>AS</w:t>
            </w:r>
            <w:r>
              <w:rPr>
                <w:rFonts w:hint="eastAsia"/>
                <w:kern w:val="0"/>
                <w:sz w:val="21"/>
                <w:szCs w:val="21"/>
              </w:rPr>
              <w:t>号</w:t>
            </w:r>
          </w:p>
        </w:tc>
        <w:tc>
          <w:tcPr>
            <w:tcW w:w="1247" w:type="dxa"/>
            <w:vAlign w:val="center"/>
          </w:tcPr>
          <w:p>
            <w:pPr>
              <w:widowControl/>
              <w:spacing w:line="240" w:lineRule="auto"/>
              <w:jc w:val="center"/>
              <w:rPr>
                <w:kern w:val="0"/>
                <w:sz w:val="21"/>
                <w:szCs w:val="21"/>
              </w:rPr>
            </w:pPr>
            <w:r>
              <w:rPr>
                <w:rFonts w:hint="eastAsia"/>
                <w:kern w:val="0"/>
                <w:sz w:val="21"/>
                <w:szCs w:val="21"/>
              </w:rPr>
              <w:t>最大存在总量Q</w:t>
            </w:r>
            <w:r>
              <w:rPr>
                <w:kern w:val="0"/>
                <w:sz w:val="21"/>
                <w:szCs w:val="21"/>
              </w:rPr>
              <w:t>n</w:t>
            </w:r>
          </w:p>
        </w:tc>
        <w:tc>
          <w:tcPr>
            <w:tcW w:w="1925" w:type="dxa"/>
            <w:vAlign w:val="center"/>
          </w:tcPr>
          <w:p>
            <w:pPr>
              <w:widowControl/>
              <w:spacing w:line="240" w:lineRule="auto"/>
              <w:jc w:val="center"/>
              <w:rPr>
                <w:kern w:val="0"/>
                <w:sz w:val="21"/>
                <w:szCs w:val="21"/>
              </w:rPr>
            </w:pPr>
            <w:r>
              <w:rPr>
                <w:rFonts w:hint="eastAsia"/>
                <w:kern w:val="0"/>
                <w:sz w:val="21"/>
                <w:szCs w:val="21"/>
              </w:rPr>
              <w:t>临界量Qn</w:t>
            </w:r>
          </w:p>
        </w:tc>
        <w:tc>
          <w:tcPr>
            <w:tcW w:w="2125" w:type="dxa"/>
            <w:vAlign w:val="center"/>
          </w:tcPr>
          <w:p>
            <w:pPr>
              <w:widowControl/>
              <w:spacing w:line="240" w:lineRule="auto"/>
              <w:jc w:val="center"/>
              <w:rPr>
                <w:kern w:val="0"/>
                <w:sz w:val="21"/>
                <w:szCs w:val="21"/>
              </w:rPr>
            </w:pPr>
            <w:r>
              <w:rPr>
                <w:rFonts w:hint="eastAsia"/>
                <w:kern w:val="0"/>
                <w:sz w:val="21"/>
                <w:szCs w:val="21"/>
              </w:rPr>
              <w:t>该种危险物质Q值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00" w:type="dxa"/>
            <w:vAlign w:val="center"/>
          </w:tcPr>
          <w:p>
            <w:pPr>
              <w:widowControl/>
              <w:spacing w:line="240" w:lineRule="auto"/>
              <w:jc w:val="center"/>
              <w:rPr>
                <w:kern w:val="0"/>
                <w:sz w:val="21"/>
                <w:szCs w:val="21"/>
              </w:rPr>
            </w:pPr>
            <w:r>
              <w:rPr>
                <w:rFonts w:hint="eastAsia"/>
                <w:kern w:val="0"/>
                <w:sz w:val="21"/>
                <w:szCs w:val="21"/>
              </w:rPr>
              <w:t>1</w:t>
            </w:r>
          </w:p>
        </w:tc>
        <w:tc>
          <w:tcPr>
            <w:tcW w:w="1102" w:type="dxa"/>
            <w:vAlign w:val="center"/>
          </w:tcPr>
          <w:p>
            <w:pPr>
              <w:widowControl/>
              <w:spacing w:line="240" w:lineRule="auto"/>
              <w:jc w:val="center"/>
              <w:rPr>
                <w:kern w:val="0"/>
                <w:sz w:val="21"/>
                <w:szCs w:val="21"/>
              </w:rPr>
            </w:pPr>
            <w:r>
              <w:rPr>
                <w:rFonts w:hint="eastAsia"/>
                <w:kern w:val="0"/>
                <w:sz w:val="21"/>
                <w:szCs w:val="21"/>
              </w:rPr>
              <w:t>次氯酸钠</w:t>
            </w:r>
          </w:p>
        </w:tc>
        <w:tc>
          <w:tcPr>
            <w:tcW w:w="1114" w:type="dxa"/>
            <w:vAlign w:val="center"/>
          </w:tcPr>
          <w:p>
            <w:pPr>
              <w:widowControl/>
              <w:spacing w:line="240" w:lineRule="auto"/>
              <w:jc w:val="center"/>
              <w:rPr>
                <w:kern w:val="0"/>
                <w:sz w:val="21"/>
                <w:szCs w:val="21"/>
              </w:rPr>
            </w:pPr>
            <w:r>
              <w:rPr>
                <w:kern w:val="0"/>
                <w:sz w:val="21"/>
                <w:szCs w:val="21"/>
              </w:rPr>
              <w:t>7681-52-9</w:t>
            </w:r>
          </w:p>
        </w:tc>
        <w:tc>
          <w:tcPr>
            <w:tcW w:w="1247" w:type="dxa"/>
            <w:vAlign w:val="center"/>
          </w:tcPr>
          <w:p>
            <w:pPr>
              <w:widowControl/>
              <w:spacing w:line="240" w:lineRule="auto"/>
              <w:jc w:val="center"/>
              <w:rPr>
                <w:kern w:val="0"/>
                <w:sz w:val="21"/>
                <w:szCs w:val="21"/>
              </w:rPr>
            </w:pPr>
            <w:r>
              <w:rPr>
                <w:kern w:val="0"/>
                <w:sz w:val="21"/>
                <w:szCs w:val="21"/>
              </w:rPr>
              <w:t>0.5t</w:t>
            </w:r>
          </w:p>
        </w:tc>
        <w:tc>
          <w:tcPr>
            <w:tcW w:w="1925" w:type="dxa"/>
            <w:vAlign w:val="center"/>
          </w:tcPr>
          <w:p>
            <w:pPr>
              <w:widowControl/>
              <w:spacing w:line="240" w:lineRule="auto"/>
              <w:jc w:val="center"/>
              <w:rPr>
                <w:kern w:val="0"/>
                <w:sz w:val="21"/>
                <w:szCs w:val="21"/>
              </w:rPr>
            </w:pPr>
            <w:r>
              <w:rPr>
                <w:rFonts w:hint="eastAsia"/>
                <w:kern w:val="0"/>
                <w:sz w:val="21"/>
                <w:szCs w:val="21"/>
              </w:rPr>
              <w:t>1</w:t>
            </w:r>
            <w:r>
              <w:rPr>
                <w:kern w:val="0"/>
                <w:sz w:val="21"/>
                <w:szCs w:val="21"/>
              </w:rPr>
              <w:t>0</w:t>
            </w:r>
            <w:r>
              <w:rPr>
                <w:rFonts w:hint="eastAsia"/>
                <w:kern w:val="0"/>
                <w:sz w:val="21"/>
                <w:szCs w:val="21"/>
              </w:rPr>
              <w:t>t</w:t>
            </w:r>
          </w:p>
        </w:tc>
        <w:tc>
          <w:tcPr>
            <w:tcW w:w="2125" w:type="dxa"/>
            <w:vAlign w:val="center"/>
          </w:tcPr>
          <w:p>
            <w:pPr>
              <w:widowControl/>
              <w:spacing w:line="240" w:lineRule="auto"/>
              <w:jc w:val="center"/>
              <w:rPr>
                <w:kern w:val="0"/>
                <w:sz w:val="21"/>
                <w:szCs w:val="21"/>
              </w:rPr>
            </w:pPr>
            <w:r>
              <w:rPr>
                <w:kern w:val="0"/>
                <w:sz w:val="21"/>
                <w:szCs w:val="21"/>
              </w:rPr>
              <w:t>0.05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00" w:type="dxa"/>
            <w:vAlign w:val="center"/>
          </w:tcPr>
          <w:p>
            <w:pPr>
              <w:widowControl/>
              <w:spacing w:line="240" w:lineRule="auto"/>
              <w:jc w:val="center"/>
              <w:rPr>
                <w:kern w:val="0"/>
                <w:sz w:val="21"/>
                <w:szCs w:val="21"/>
              </w:rPr>
            </w:pPr>
            <w:r>
              <w:rPr>
                <w:rFonts w:hint="eastAsia"/>
                <w:kern w:val="0"/>
                <w:sz w:val="21"/>
                <w:szCs w:val="21"/>
              </w:rPr>
              <w:t>2</w:t>
            </w:r>
          </w:p>
        </w:tc>
        <w:tc>
          <w:tcPr>
            <w:tcW w:w="1102" w:type="dxa"/>
            <w:vAlign w:val="center"/>
          </w:tcPr>
          <w:p>
            <w:pPr>
              <w:widowControl/>
              <w:spacing w:line="240" w:lineRule="auto"/>
              <w:jc w:val="center"/>
              <w:rPr>
                <w:kern w:val="0"/>
                <w:sz w:val="21"/>
                <w:szCs w:val="21"/>
              </w:rPr>
            </w:pPr>
            <w:r>
              <w:rPr>
                <w:rFonts w:hint="eastAsia"/>
                <w:kern w:val="0"/>
                <w:sz w:val="21"/>
                <w:szCs w:val="21"/>
              </w:rPr>
              <w:t>柴油</w:t>
            </w:r>
          </w:p>
        </w:tc>
        <w:tc>
          <w:tcPr>
            <w:tcW w:w="1114" w:type="dxa"/>
            <w:vAlign w:val="center"/>
          </w:tcPr>
          <w:p>
            <w:pPr>
              <w:widowControl/>
              <w:spacing w:line="240" w:lineRule="auto"/>
              <w:jc w:val="center"/>
              <w:rPr>
                <w:kern w:val="0"/>
                <w:sz w:val="21"/>
                <w:szCs w:val="21"/>
              </w:rPr>
            </w:pPr>
            <w:r>
              <w:rPr>
                <w:rFonts w:hint="eastAsia"/>
                <w:kern w:val="0"/>
                <w:sz w:val="21"/>
                <w:szCs w:val="21"/>
              </w:rPr>
              <w:t>/</w:t>
            </w:r>
          </w:p>
        </w:tc>
        <w:tc>
          <w:tcPr>
            <w:tcW w:w="1247" w:type="dxa"/>
            <w:vAlign w:val="center"/>
          </w:tcPr>
          <w:p>
            <w:pPr>
              <w:widowControl/>
              <w:spacing w:line="240" w:lineRule="auto"/>
              <w:jc w:val="center"/>
              <w:rPr>
                <w:kern w:val="0"/>
                <w:sz w:val="21"/>
                <w:szCs w:val="21"/>
              </w:rPr>
            </w:pPr>
            <w:r>
              <w:rPr>
                <w:rFonts w:hint="eastAsia"/>
                <w:kern w:val="0"/>
                <w:sz w:val="21"/>
                <w:szCs w:val="21"/>
              </w:rPr>
              <w:t>0.8t</w:t>
            </w:r>
          </w:p>
        </w:tc>
        <w:tc>
          <w:tcPr>
            <w:tcW w:w="1925" w:type="dxa"/>
            <w:vAlign w:val="center"/>
          </w:tcPr>
          <w:p>
            <w:pPr>
              <w:widowControl/>
              <w:spacing w:line="240" w:lineRule="auto"/>
              <w:jc w:val="center"/>
              <w:rPr>
                <w:kern w:val="0"/>
                <w:sz w:val="21"/>
                <w:szCs w:val="21"/>
              </w:rPr>
            </w:pPr>
            <w:r>
              <w:rPr>
                <w:rFonts w:hint="eastAsia"/>
                <w:kern w:val="0"/>
                <w:sz w:val="21"/>
                <w:szCs w:val="21"/>
              </w:rPr>
              <w:t>2500t</w:t>
            </w:r>
          </w:p>
        </w:tc>
        <w:tc>
          <w:tcPr>
            <w:tcW w:w="2125" w:type="dxa"/>
            <w:vAlign w:val="center"/>
          </w:tcPr>
          <w:p>
            <w:pPr>
              <w:widowControl/>
              <w:spacing w:line="240" w:lineRule="auto"/>
              <w:jc w:val="center"/>
              <w:rPr>
                <w:kern w:val="0"/>
                <w:sz w:val="21"/>
                <w:szCs w:val="21"/>
              </w:rPr>
            </w:pPr>
            <w:r>
              <w:rPr>
                <w:rFonts w:hint="eastAsia"/>
                <w:kern w:val="0"/>
                <w:sz w:val="21"/>
                <w:szCs w:val="21"/>
              </w:rPr>
              <w:t>0.00032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188" w:type="dxa"/>
            <w:gridSpan w:val="5"/>
            <w:vAlign w:val="center"/>
          </w:tcPr>
          <w:p>
            <w:pPr>
              <w:widowControl/>
              <w:spacing w:line="240" w:lineRule="auto"/>
              <w:jc w:val="center"/>
              <w:rPr>
                <w:kern w:val="0"/>
                <w:sz w:val="21"/>
                <w:szCs w:val="21"/>
              </w:rPr>
            </w:pPr>
            <w:r>
              <w:rPr>
                <w:rFonts w:hint="eastAsia"/>
                <w:kern w:val="0"/>
                <w:sz w:val="21"/>
                <w:szCs w:val="21"/>
              </w:rPr>
              <w:t>项目Q值和</w:t>
            </w:r>
          </w:p>
        </w:tc>
        <w:tc>
          <w:tcPr>
            <w:tcW w:w="2125" w:type="dxa"/>
            <w:vAlign w:val="center"/>
          </w:tcPr>
          <w:p>
            <w:pPr>
              <w:widowControl/>
              <w:spacing w:line="240" w:lineRule="auto"/>
              <w:jc w:val="center"/>
              <w:rPr>
                <w:kern w:val="0"/>
                <w:sz w:val="21"/>
                <w:szCs w:val="21"/>
              </w:rPr>
            </w:pPr>
            <w:r>
              <w:rPr>
                <w:kern w:val="0"/>
                <w:sz w:val="21"/>
                <w:szCs w:val="21"/>
              </w:rPr>
              <w:t>0.05032</w:t>
            </w:r>
          </w:p>
        </w:tc>
      </w:tr>
    </w:tbl>
    <w:p>
      <w:pPr>
        <w:widowControl/>
        <w:ind w:firstLine="480" w:firstLineChars="200"/>
      </w:pPr>
      <w:r>
        <w:rPr>
          <w:rFonts w:hint="eastAsia"/>
        </w:rPr>
        <w:t xml:space="preserve">根据上表分析，Q 值应取 Q＜1。根据《建设项目环境风险评价技术导则》（HJ/T169-2018）“附录 C”，当 Q＜1 时，该项目环境风险潜势为Ⅰ，则本项目的环境风险潜势为 I。 </w:t>
      </w:r>
    </w:p>
    <w:p>
      <w:pPr>
        <w:jc w:val="left"/>
        <w:outlineLvl w:val="2"/>
        <w:rPr>
          <w:rFonts w:eastAsia="黑体"/>
          <w:bCs/>
          <w:spacing w:val="4"/>
          <w:sz w:val="30"/>
          <w:szCs w:val="30"/>
        </w:rPr>
      </w:pPr>
      <w:r>
        <w:rPr>
          <w:rFonts w:eastAsia="黑体"/>
          <w:bCs/>
          <w:spacing w:val="4"/>
          <w:sz w:val="30"/>
          <w:szCs w:val="30"/>
        </w:rPr>
        <w:t xml:space="preserve">8.1.2 </w:t>
      </w:r>
      <w:r>
        <w:rPr>
          <w:rFonts w:hint="eastAsia" w:eastAsia="黑体"/>
          <w:bCs/>
          <w:spacing w:val="4"/>
          <w:sz w:val="30"/>
          <w:szCs w:val="30"/>
        </w:rPr>
        <w:t>建设项目</w:t>
      </w:r>
      <w:r>
        <w:rPr>
          <w:rFonts w:eastAsia="黑体"/>
          <w:bCs/>
          <w:spacing w:val="4"/>
          <w:sz w:val="30"/>
          <w:szCs w:val="30"/>
        </w:rPr>
        <w:t>环境风险潜势划分</w:t>
      </w:r>
    </w:p>
    <w:p>
      <w:pPr>
        <w:adjustRightInd w:val="0"/>
        <w:ind w:firstLine="480" w:firstLineChars="200"/>
        <w:rPr>
          <w:b/>
        </w:rPr>
      </w:pPr>
      <w:r>
        <w:rPr>
          <w:rFonts w:hint="eastAsia"/>
        </w:rPr>
        <w:t>大气环境风险潜势、地表水环境风险潜势、地下水环境风险潜势均为 I 类，则环境风险评价等级为简单分析。</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62" w:name="_Toc29110605"/>
      <w:r>
        <w:rPr>
          <w:rFonts w:ascii="Times New Roman" w:hAnsi="Times New Roman" w:eastAsia="黑体" w:cs="Times New Roman"/>
          <w:b w:val="0"/>
          <w:bCs/>
          <w:spacing w:val="4"/>
          <w:kern w:val="2"/>
          <w:sz w:val="32"/>
          <w:szCs w:val="32"/>
        </w:rPr>
        <w:t>8.2</w:t>
      </w:r>
      <w:r>
        <w:rPr>
          <w:rFonts w:hint="eastAsia" w:ascii="Times New Roman" w:hAnsi="Times New Roman" w:eastAsia="黑体" w:cs="Times New Roman"/>
          <w:b w:val="0"/>
          <w:bCs/>
          <w:spacing w:val="4"/>
          <w:kern w:val="2"/>
          <w:sz w:val="32"/>
          <w:szCs w:val="32"/>
        </w:rPr>
        <w:t>环境敏感</w:t>
      </w:r>
      <w:r>
        <w:rPr>
          <w:rFonts w:ascii="Times New Roman" w:hAnsi="Times New Roman" w:eastAsia="黑体" w:cs="Times New Roman"/>
          <w:b w:val="0"/>
          <w:bCs/>
          <w:spacing w:val="4"/>
          <w:kern w:val="2"/>
          <w:sz w:val="32"/>
          <w:szCs w:val="32"/>
        </w:rPr>
        <w:t>目标概况</w:t>
      </w:r>
      <w:bookmarkEnd w:id="762"/>
    </w:p>
    <w:p>
      <w:pPr>
        <w:adjustRightInd w:val="0"/>
        <w:ind w:firstLine="480" w:firstLineChars="200"/>
      </w:pPr>
      <w:r>
        <w:rPr>
          <w:rFonts w:hint="eastAsia"/>
        </w:rPr>
        <w:t>建设项目周围主要环境敏感目标分布情况见</w:t>
      </w:r>
      <w:r>
        <w:t>8.2</w:t>
      </w:r>
      <w:r>
        <w:rPr>
          <w:rFonts w:hint="eastAsia"/>
        </w:rPr>
        <w:t>-</w:t>
      </w:r>
      <w:r>
        <w:t>1</w:t>
      </w:r>
      <w:r>
        <w:rPr>
          <w:rFonts w:hint="eastAsia"/>
        </w:rPr>
        <w:t>。</w:t>
      </w:r>
    </w:p>
    <w:p>
      <w:pPr>
        <w:spacing w:line="240" w:lineRule="auto"/>
        <w:jc w:val="center"/>
        <w:rPr>
          <w:rFonts w:eastAsia="黑体"/>
        </w:rPr>
      </w:pPr>
      <w:r>
        <w:rPr>
          <w:rFonts w:hint="eastAsia" w:eastAsia="黑体"/>
        </w:rPr>
        <w:t xml:space="preserve">表 </w:t>
      </w:r>
      <w:r>
        <w:rPr>
          <w:rFonts w:eastAsia="黑体"/>
        </w:rPr>
        <w:t>8.2</w:t>
      </w:r>
      <w:r>
        <w:rPr>
          <w:rFonts w:hint="eastAsia" w:eastAsia="黑体"/>
        </w:rPr>
        <w:t>-</w:t>
      </w:r>
      <w:r>
        <w:rPr>
          <w:rFonts w:eastAsia="黑体"/>
        </w:rPr>
        <w:t>1</w:t>
      </w:r>
      <w:r>
        <w:rPr>
          <w:rFonts w:hint="eastAsia" w:eastAsia="黑体"/>
        </w:rPr>
        <w:t xml:space="preserve">  项目环境风险保护目标</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26"/>
        <w:gridCol w:w="687"/>
        <w:gridCol w:w="1726"/>
        <w:gridCol w:w="1079"/>
        <w:gridCol w:w="2188"/>
        <w:gridCol w:w="244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720" w:type="dxa"/>
            <w:vMerge w:val="restart"/>
            <w:vAlign w:val="center"/>
          </w:tcPr>
          <w:p>
            <w:pPr>
              <w:adjustRightInd w:val="0"/>
              <w:snapToGrid w:val="0"/>
              <w:spacing w:line="240" w:lineRule="auto"/>
              <w:jc w:val="center"/>
              <w:rPr>
                <w:kern w:val="0"/>
                <w:sz w:val="21"/>
                <w:szCs w:val="21"/>
              </w:rPr>
            </w:pPr>
            <w:r>
              <w:rPr>
                <w:sz w:val="21"/>
                <w:szCs w:val="21"/>
                <w:lang w:bidi="ar"/>
              </w:rPr>
              <w:t>环境风险</w:t>
            </w:r>
          </w:p>
        </w:tc>
        <w:tc>
          <w:tcPr>
            <w:tcW w:w="599" w:type="dxa"/>
            <w:vAlign w:val="center"/>
          </w:tcPr>
          <w:p>
            <w:pPr>
              <w:adjustRightInd w:val="0"/>
              <w:snapToGrid w:val="0"/>
              <w:spacing w:line="240" w:lineRule="auto"/>
              <w:jc w:val="center"/>
              <w:rPr>
                <w:kern w:val="0"/>
                <w:sz w:val="21"/>
                <w:szCs w:val="21"/>
              </w:rPr>
            </w:pPr>
            <w:r>
              <w:rPr>
                <w:rFonts w:hint="eastAsia"/>
                <w:kern w:val="0"/>
                <w:sz w:val="21"/>
                <w:szCs w:val="21"/>
                <w:lang w:bidi="ar"/>
              </w:rPr>
              <w:t>地表水</w:t>
            </w:r>
          </w:p>
        </w:tc>
        <w:tc>
          <w:tcPr>
            <w:tcW w:w="1504" w:type="dxa"/>
            <w:vAlign w:val="center"/>
          </w:tcPr>
          <w:p>
            <w:pPr>
              <w:adjustRightInd w:val="0"/>
              <w:snapToGrid w:val="0"/>
              <w:spacing w:line="240" w:lineRule="auto"/>
              <w:jc w:val="center"/>
              <w:rPr>
                <w:kern w:val="0"/>
                <w:sz w:val="21"/>
                <w:szCs w:val="21"/>
              </w:rPr>
            </w:pPr>
            <w:r>
              <w:rPr>
                <w:rFonts w:hint="eastAsia"/>
                <w:kern w:val="0"/>
                <w:sz w:val="21"/>
                <w:szCs w:val="21"/>
              </w:rPr>
              <w:t>无名溪沟</w:t>
            </w:r>
          </w:p>
        </w:tc>
        <w:tc>
          <w:tcPr>
            <w:tcW w:w="940" w:type="dxa"/>
            <w:vAlign w:val="center"/>
          </w:tcPr>
          <w:p>
            <w:pPr>
              <w:adjustRightInd w:val="0"/>
              <w:snapToGrid w:val="0"/>
              <w:spacing w:line="240" w:lineRule="auto"/>
              <w:jc w:val="center"/>
              <w:rPr>
                <w:kern w:val="0"/>
                <w:sz w:val="21"/>
                <w:szCs w:val="21"/>
              </w:rPr>
            </w:pPr>
            <w:r>
              <w:rPr>
                <w:kern w:val="0"/>
                <w:sz w:val="21"/>
                <w:szCs w:val="21"/>
              </w:rPr>
              <w:t>东</w:t>
            </w:r>
            <w:r>
              <w:rPr>
                <w:rFonts w:hint="eastAsia"/>
                <w:kern w:val="0"/>
                <w:sz w:val="21"/>
                <w:szCs w:val="21"/>
              </w:rPr>
              <w:t>侧</w:t>
            </w:r>
          </w:p>
        </w:tc>
        <w:tc>
          <w:tcPr>
            <w:tcW w:w="1907" w:type="dxa"/>
            <w:vAlign w:val="center"/>
          </w:tcPr>
          <w:p>
            <w:pPr>
              <w:adjustRightInd w:val="0"/>
              <w:snapToGrid w:val="0"/>
              <w:spacing w:line="240" w:lineRule="auto"/>
              <w:jc w:val="center"/>
              <w:rPr>
                <w:kern w:val="0"/>
                <w:sz w:val="21"/>
                <w:szCs w:val="21"/>
              </w:rPr>
            </w:pPr>
            <w:r>
              <w:rPr>
                <w:kern w:val="0"/>
                <w:sz w:val="21"/>
                <w:szCs w:val="21"/>
              </w:rPr>
              <w:t>15</w:t>
            </w:r>
            <w:r>
              <w:rPr>
                <w:rFonts w:hint="eastAsia"/>
                <w:kern w:val="0"/>
                <w:sz w:val="21"/>
                <w:szCs w:val="21"/>
              </w:rPr>
              <w:t>m</w:t>
            </w:r>
          </w:p>
        </w:tc>
        <w:tc>
          <w:tcPr>
            <w:tcW w:w="2127" w:type="dxa"/>
            <w:vAlign w:val="center"/>
          </w:tcPr>
          <w:p>
            <w:pPr>
              <w:adjustRightInd w:val="0"/>
              <w:snapToGrid w:val="0"/>
              <w:spacing w:line="240" w:lineRule="auto"/>
              <w:jc w:val="center"/>
              <w:rPr>
                <w:kern w:val="0"/>
                <w:sz w:val="21"/>
                <w:szCs w:val="21"/>
              </w:rPr>
            </w:pPr>
            <w:r>
              <w:rPr>
                <w:rFonts w:hint="eastAsia"/>
                <w:kern w:val="0"/>
                <w:sz w:val="21"/>
                <w:szCs w:val="21"/>
              </w:rPr>
              <w:t>邻近水体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170" w:hRule="atLeast"/>
          <w:jc w:val="center"/>
        </w:trPr>
        <w:tc>
          <w:tcPr>
            <w:tcW w:w="720" w:type="dxa"/>
            <w:vMerge w:val="continue"/>
            <w:vAlign w:val="center"/>
          </w:tcPr>
          <w:p>
            <w:pPr>
              <w:spacing w:line="240" w:lineRule="auto"/>
              <w:rPr>
                <w:sz w:val="20"/>
                <w:szCs w:val="20"/>
              </w:rPr>
            </w:pPr>
          </w:p>
        </w:tc>
        <w:tc>
          <w:tcPr>
            <w:tcW w:w="599" w:type="dxa"/>
            <w:vAlign w:val="center"/>
          </w:tcPr>
          <w:p>
            <w:pPr>
              <w:adjustRightInd w:val="0"/>
              <w:snapToGrid w:val="0"/>
              <w:spacing w:line="240" w:lineRule="auto"/>
              <w:jc w:val="center"/>
              <w:rPr>
                <w:kern w:val="0"/>
                <w:sz w:val="21"/>
                <w:szCs w:val="21"/>
              </w:rPr>
            </w:pPr>
            <w:r>
              <w:rPr>
                <w:rFonts w:hint="eastAsia"/>
                <w:kern w:val="0"/>
                <w:sz w:val="21"/>
                <w:szCs w:val="21"/>
                <w:lang w:bidi="ar"/>
              </w:rPr>
              <w:t>地下水</w:t>
            </w:r>
          </w:p>
        </w:tc>
        <w:tc>
          <w:tcPr>
            <w:tcW w:w="6478" w:type="dxa"/>
            <w:gridSpan w:val="4"/>
            <w:vAlign w:val="center"/>
          </w:tcPr>
          <w:p>
            <w:pPr>
              <w:adjustRightInd w:val="0"/>
              <w:snapToGrid w:val="0"/>
              <w:spacing w:line="240" w:lineRule="auto"/>
              <w:jc w:val="center"/>
              <w:rPr>
                <w:kern w:val="0"/>
                <w:sz w:val="21"/>
                <w:szCs w:val="21"/>
              </w:rPr>
            </w:pPr>
            <w:r>
              <w:rPr>
                <w:rFonts w:hint="eastAsia"/>
                <w:kern w:val="0"/>
                <w:sz w:val="21"/>
                <w:szCs w:val="21"/>
              </w:rPr>
              <w:t>星星亮村3组农户分散水井（红星村4组已全部使用红星水库做饮用水源）</w:t>
            </w:r>
          </w:p>
        </w:tc>
      </w:tr>
    </w:tbl>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63" w:name="_Toc29110606"/>
      <w:r>
        <w:rPr>
          <w:rFonts w:ascii="Times New Roman" w:hAnsi="Times New Roman" w:eastAsia="黑体" w:cs="Times New Roman"/>
          <w:b w:val="0"/>
          <w:bCs/>
          <w:spacing w:val="4"/>
          <w:kern w:val="2"/>
          <w:sz w:val="32"/>
          <w:szCs w:val="32"/>
        </w:rPr>
        <w:t>8.3</w:t>
      </w:r>
      <w:r>
        <w:rPr>
          <w:rFonts w:hint="eastAsia" w:ascii="Times New Roman" w:hAnsi="Times New Roman" w:eastAsia="黑体" w:cs="Times New Roman"/>
          <w:b w:val="0"/>
          <w:bCs/>
          <w:spacing w:val="4"/>
          <w:kern w:val="2"/>
          <w:sz w:val="32"/>
          <w:szCs w:val="32"/>
        </w:rPr>
        <w:t>环境风险</w:t>
      </w:r>
      <w:r>
        <w:rPr>
          <w:rFonts w:ascii="Times New Roman" w:hAnsi="Times New Roman" w:eastAsia="黑体" w:cs="Times New Roman"/>
          <w:b w:val="0"/>
          <w:bCs/>
          <w:spacing w:val="4"/>
          <w:kern w:val="2"/>
          <w:sz w:val="32"/>
          <w:szCs w:val="32"/>
        </w:rPr>
        <w:t>识别</w:t>
      </w:r>
      <w:bookmarkEnd w:id="763"/>
    </w:p>
    <w:p>
      <w:pPr>
        <w:jc w:val="left"/>
        <w:outlineLvl w:val="2"/>
        <w:rPr>
          <w:rFonts w:eastAsia="黑体"/>
          <w:bCs/>
          <w:spacing w:val="4"/>
          <w:sz w:val="30"/>
          <w:szCs w:val="30"/>
        </w:rPr>
      </w:pPr>
      <w:r>
        <w:rPr>
          <w:rFonts w:eastAsia="黑体"/>
          <w:bCs/>
          <w:spacing w:val="4"/>
          <w:sz w:val="30"/>
          <w:szCs w:val="30"/>
        </w:rPr>
        <w:t xml:space="preserve">8.3.1 </w:t>
      </w:r>
      <w:r>
        <w:rPr>
          <w:rFonts w:hint="eastAsia" w:eastAsia="黑体"/>
          <w:bCs/>
          <w:spacing w:val="4"/>
          <w:sz w:val="30"/>
          <w:szCs w:val="30"/>
        </w:rPr>
        <w:t>物质危险性</w:t>
      </w:r>
      <w:r>
        <w:rPr>
          <w:rFonts w:eastAsia="黑体"/>
          <w:bCs/>
          <w:spacing w:val="4"/>
          <w:sz w:val="30"/>
          <w:szCs w:val="30"/>
        </w:rPr>
        <w:t>识别</w:t>
      </w:r>
    </w:p>
    <w:p>
      <w:pPr>
        <w:pStyle w:val="2"/>
        <w:ind w:firstLine="480"/>
        <w:rPr>
          <w:rFonts w:hint="default"/>
          <w:color w:val="auto"/>
        </w:rPr>
      </w:pPr>
      <w:r>
        <w:rPr>
          <w:color w:val="auto"/>
        </w:rPr>
        <w:t>本项目次氯酸钠</w:t>
      </w:r>
      <w:r>
        <w:rPr>
          <w:rFonts w:hint="default"/>
          <w:color w:val="auto"/>
        </w:rPr>
        <w:t>主要位于</w:t>
      </w:r>
      <w:r>
        <w:rPr>
          <w:color w:val="auto"/>
        </w:rPr>
        <w:t>兽医</w:t>
      </w:r>
      <w:r>
        <w:rPr>
          <w:rFonts w:hint="default"/>
          <w:color w:val="auto"/>
        </w:rPr>
        <w:t>兽药室</w:t>
      </w:r>
      <w:r>
        <w:rPr>
          <w:color w:val="auto"/>
        </w:rPr>
        <w:t>，</w:t>
      </w:r>
      <w:r>
        <w:rPr>
          <w:rFonts w:hint="default"/>
          <w:color w:val="auto"/>
        </w:rPr>
        <w:t>柴油位于</w:t>
      </w:r>
      <w:r>
        <w:rPr>
          <w:color w:val="auto"/>
        </w:rPr>
        <w:t>柴油</w:t>
      </w:r>
      <w:r>
        <w:rPr>
          <w:rFonts w:hint="default"/>
          <w:color w:val="auto"/>
        </w:rPr>
        <w:t>发电机室内</w:t>
      </w:r>
      <w:r>
        <w:rPr>
          <w:color w:val="auto"/>
        </w:rPr>
        <w:t>。危险</w:t>
      </w:r>
      <w:r>
        <w:rPr>
          <w:rFonts w:hint="default"/>
          <w:color w:val="auto"/>
        </w:rPr>
        <w:t>物质危险</w:t>
      </w:r>
      <w:r>
        <w:rPr>
          <w:color w:val="auto"/>
        </w:rPr>
        <w:t>特性表</w:t>
      </w:r>
      <w:r>
        <w:rPr>
          <w:rFonts w:hint="default"/>
          <w:color w:val="auto"/>
        </w:rPr>
        <w:t>8</w:t>
      </w:r>
      <w:r>
        <w:rPr>
          <w:color w:val="auto"/>
        </w:rPr>
        <w:t>.3</w:t>
      </w:r>
      <w:r>
        <w:rPr>
          <w:rFonts w:hint="default"/>
          <w:color w:val="auto"/>
        </w:rPr>
        <w:t>-1</w:t>
      </w:r>
    </w:p>
    <w:p>
      <w:pPr>
        <w:spacing w:line="240" w:lineRule="auto"/>
        <w:jc w:val="center"/>
        <w:rPr>
          <w:rFonts w:eastAsia="黑体"/>
        </w:rPr>
      </w:pPr>
      <w:r>
        <w:rPr>
          <w:rFonts w:hint="eastAsia" w:eastAsia="黑体"/>
        </w:rPr>
        <w:t xml:space="preserve">表 </w:t>
      </w:r>
      <w:r>
        <w:rPr>
          <w:rFonts w:eastAsia="黑体"/>
        </w:rPr>
        <w:t>8.3</w:t>
      </w:r>
      <w:r>
        <w:rPr>
          <w:rFonts w:hint="eastAsia" w:eastAsia="黑体"/>
        </w:rPr>
        <w:t>-</w:t>
      </w:r>
      <w:r>
        <w:rPr>
          <w:rFonts w:eastAsia="黑体"/>
        </w:rPr>
        <w:t>1</w:t>
      </w:r>
      <w:r>
        <w:rPr>
          <w:rFonts w:hint="eastAsia" w:eastAsia="黑体"/>
        </w:rPr>
        <w:t xml:space="preserve">  危险物质</w:t>
      </w:r>
      <w:r>
        <w:rPr>
          <w:rFonts w:eastAsia="黑体"/>
        </w:rPr>
        <w:t>危险特性表</w:t>
      </w:r>
    </w:p>
    <w:tbl>
      <w:tblPr>
        <w:tblStyle w:val="89"/>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02"/>
        <w:gridCol w:w="685"/>
        <w:gridCol w:w="896"/>
        <w:gridCol w:w="1178"/>
        <w:gridCol w:w="975"/>
        <w:gridCol w:w="1359"/>
        <w:gridCol w:w="1776"/>
        <w:gridCol w:w="94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502"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序号</w:t>
            </w:r>
          </w:p>
        </w:tc>
        <w:tc>
          <w:tcPr>
            <w:tcW w:w="685"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物质名称</w:t>
            </w:r>
          </w:p>
        </w:tc>
        <w:tc>
          <w:tcPr>
            <w:tcW w:w="89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标识</w:t>
            </w:r>
          </w:p>
        </w:tc>
        <w:tc>
          <w:tcPr>
            <w:tcW w:w="117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理化性质</w:t>
            </w:r>
          </w:p>
        </w:tc>
        <w:tc>
          <w:tcPr>
            <w:tcW w:w="975"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易燃易爆特性</w:t>
            </w:r>
          </w:p>
        </w:tc>
        <w:tc>
          <w:tcPr>
            <w:tcW w:w="135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有毒有害特性</w:t>
            </w:r>
          </w:p>
        </w:tc>
        <w:tc>
          <w:tcPr>
            <w:tcW w:w="177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急救方式</w:t>
            </w:r>
          </w:p>
        </w:tc>
        <w:tc>
          <w:tcPr>
            <w:tcW w:w="942"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火灾爆炸性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502"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1</w:t>
            </w:r>
          </w:p>
        </w:tc>
        <w:tc>
          <w:tcPr>
            <w:tcW w:w="685"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次氯酸钠</w:t>
            </w:r>
          </w:p>
        </w:tc>
        <w:tc>
          <w:tcPr>
            <w:tcW w:w="896" w:type="dxa"/>
            <w:vAlign w:val="center"/>
          </w:tcPr>
          <w:p>
            <w:pPr>
              <w:adjustRightInd w:val="0"/>
              <w:snapToGrid w:val="0"/>
              <w:spacing w:line="240" w:lineRule="auto"/>
              <w:jc w:val="center"/>
              <w:rPr>
                <w:kern w:val="0"/>
                <w:sz w:val="21"/>
                <w:szCs w:val="21"/>
                <w:lang w:bidi="ar"/>
              </w:rPr>
            </w:pPr>
            <w:r>
              <w:rPr>
                <w:kern w:val="0"/>
                <w:szCs w:val="21"/>
              </w:rPr>
              <w:t>NaClO</w:t>
            </w:r>
          </w:p>
        </w:tc>
        <w:tc>
          <w:tcPr>
            <w:tcW w:w="1178"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微黄色</w:t>
            </w:r>
            <w:r>
              <w:rPr>
                <w:kern w:val="0"/>
                <w:sz w:val="21"/>
                <w:szCs w:val="21"/>
                <w:lang w:bidi="ar"/>
              </w:rPr>
              <w:t>（溶液）或白色粉末</w:t>
            </w:r>
          </w:p>
        </w:tc>
        <w:tc>
          <w:tcPr>
            <w:tcW w:w="975"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不燃</w:t>
            </w:r>
          </w:p>
        </w:tc>
        <w:tc>
          <w:tcPr>
            <w:tcW w:w="1359"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受</w:t>
            </w:r>
            <w:r>
              <w:rPr>
                <w:kern w:val="0"/>
                <w:sz w:val="21"/>
                <w:szCs w:val="21"/>
                <w:lang w:bidi="ar"/>
              </w:rPr>
              <w:t>高热分解产生有毒的腐蚀性烟气</w:t>
            </w:r>
          </w:p>
        </w:tc>
        <w:tc>
          <w:tcPr>
            <w:tcW w:w="1776"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皮肤</w:t>
            </w:r>
            <w:r>
              <w:rPr>
                <w:kern w:val="0"/>
                <w:sz w:val="21"/>
                <w:szCs w:val="21"/>
                <w:lang w:bidi="ar"/>
              </w:rPr>
              <w:t>接触：脱去污染的衣着，用大量流动清水冲洗。</w:t>
            </w:r>
          </w:p>
        </w:tc>
        <w:tc>
          <w:tcPr>
            <w:tcW w:w="942" w:type="dxa"/>
            <w:vAlign w:val="center"/>
          </w:tcPr>
          <w:p>
            <w:pPr>
              <w:adjustRightInd w:val="0"/>
              <w:snapToGrid w:val="0"/>
              <w:spacing w:line="240" w:lineRule="auto"/>
              <w:jc w:val="center"/>
              <w:rPr>
                <w:kern w:val="0"/>
                <w:sz w:val="21"/>
                <w:szCs w:val="21"/>
                <w:lang w:bidi="ar"/>
              </w:rPr>
            </w:pPr>
            <w:r>
              <w:rPr>
                <w:rFonts w:hint="eastAsia"/>
                <w:kern w:val="0"/>
                <w:sz w:val="21"/>
                <w:szCs w:val="21"/>
                <w:lang w:bidi="ar"/>
              </w:rPr>
              <w:t>/</w:t>
            </w:r>
          </w:p>
        </w:tc>
      </w:tr>
    </w:tbl>
    <w:p>
      <w:pPr>
        <w:pStyle w:val="2"/>
        <w:ind w:firstLine="480"/>
        <w:rPr>
          <w:rFonts w:hint="default"/>
          <w:color w:val="FF0000"/>
        </w:rPr>
      </w:pPr>
    </w:p>
    <w:p>
      <w:pPr>
        <w:jc w:val="left"/>
        <w:outlineLvl w:val="2"/>
        <w:rPr>
          <w:rFonts w:eastAsia="黑体"/>
          <w:bCs/>
          <w:spacing w:val="4"/>
          <w:sz w:val="30"/>
          <w:szCs w:val="30"/>
        </w:rPr>
      </w:pPr>
      <w:r>
        <w:rPr>
          <w:rFonts w:eastAsia="黑体"/>
          <w:bCs/>
          <w:spacing w:val="4"/>
          <w:sz w:val="30"/>
          <w:szCs w:val="30"/>
        </w:rPr>
        <w:t xml:space="preserve">8.3.2 </w:t>
      </w:r>
      <w:r>
        <w:rPr>
          <w:rFonts w:hint="eastAsia" w:eastAsia="黑体"/>
          <w:bCs/>
          <w:spacing w:val="4"/>
          <w:sz w:val="30"/>
          <w:szCs w:val="30"/>
        </w:rPr>
        <w:t>生产系统</w:t>
      </w:r>
      <w:r>
        <w:rPr>
          <w:rFonts w:eastAsia="黑体"/>
          <w:bCs/>
          <w:spacing w:val="4"/>
          <w:sz w:val="30"/>
          <w:szCs w:val="30"/>
        </w:rPr>
        <w:t>危险性识别</w:t>
      </w:r>
    </w:p>
    <w:p>
      <w:pPr>
        <w:pStyle w:val="320"/>
        <w:snapToGrid w:val="0"/>
        <w:spacing w:before="0" w:line="360" w:lineRule="auto"/>
        <w:ind w:firstLine="480"/>
        <w:rPr>
          <w:rFonts w:ascii="Times New Roman" w:hAnsi="Times New Roman"/>
        </w:rPr>
      </w:pPr>
      <w:r>
        <w:rPr>
          <w:rFonts w:ascii="Times New Roman" w:hAnsi="Times New Roman"/>
        </w:rPr>
        <w:t>本项目在沼气产生、输送、贮存过程中，设备的弯曲连接、阀门、管线等均有可能导致沼气泄漏。泄漏的气体容易与空气混合形成爆炸性混合气体，当形成的气云浓度高于爆炸下限并且低于爆炸上限时，遇火源将引发火灾、爆炸，对周围人员、建筑物造成危害。详见图8.2-1。</w:t>
      </w:r>
    </w:p>
    <w:p>
      <w:pPr>
        <w:pStyle w:val="320"/>
        <w:snapToGrid w:val="0"/>
        <w:spacing w:before="0" w:line="360" w:lineRule="auto"/>
        <w:ind w:firstLine="480"/>
        <w:rPr>
          <w:rFonts w:ascii="Times New Roman" w:hAnsi="Times New Roman"/>
        </w:rPr>
      </w:pPr>
      <w:r>
        <w:rPr>
          <w:rFonts w:ascii="Times New Roman" w:hAnsi="Times New Roman"/>
        </w:rPr>
        <w:t>本项目主要生产系统危险性来源于环境保护设施的不正常运营。</w:t>
      </w:r>
    </w:p>
    <w:p>
      <w:pPr>
        <w:pStyle w:val="320"/>
        <w:snapToGrid w:val="0"/>
        <w:spacing w:before="0" w:line="360" w:lineRule="auto"/>
        <w:ind w:firstLine="480"/>
        <w:rPr>
          <w:rFonts w:ascii="Times New Roman" w:hAnsi="Times New Roman"/>
        </w:rPr>
      </w:pPr>
      <w:r>
        <w:rPr>
          <w:rFonts w:ascii="Times New Roman" w:hAnsi="Times New Roman"/>
        </w:rPr>
        <w:t>（1）集污池</w:t>
      </w:r>
    </w:p>
    <w:p>
      <w:pPr>
        <w:pStyle w:val="320"/>
        <w:snapToGrid w:val="0"/>
        <w:spacing w:before="0" w:line="360" w:lineRule="auto"/>
        <w:ind w:firstLine="480"/>
        <w:rPr>
          <w:rFonts w:ascii="Times New Roman" w:hAnsi="Times New Roman"/>
        </w:rPr>
      </w:pPr>
      <w:r>
        <w:rPr>
          <w:rFonts w:ascii="Times New Roman" w:hAnsi="Times New Roman"/>
        </w:rPr>
        <w:t>本项目集污池可能发生的事故有：</w:t>
      </w:r>
    </w:p>
    <w:p>
      <w:pPr>
        <w:pStyle w:val="320"/>
        <w:snapToGrid w:val="0"/>
        <w:spacing w:before="0" w:line="360" w:lineRule="auto"/>
        <w:ind w:firstLine="480"/>
        <w:rPr>
          <w:rFonts w:ascii="Times New Roman" w:hAnsi="Times New Roman" w:eastAsiaTheme="minorEastAsia"/>
        </w:rPr>
      </w:pPr>
      <w:r>
        <w:rPr>
          <w:rFonts w:hint="eastAsia" w:ascii="宋体" w:hAnsi="宋体" w:cs="宋体"/>
          <w:lang w:eastAsia="ja-JP"/>
        </w:rPr>
        <w:t>①</w:t>
      </w:r>
      <w:r>
        <w:rPr>
          <w:rFonts w:ascii="Times New Roman" w:hAnsi="Times New Roman" w:eastAsiaTheme="minorEastAsia"/>
          <w:lang w:eastAsia="ja-JP"/>
        </w:rPr>
        <w:t>运送集污池的</w:t>
      </w:r>
      <w:r>
        <w:rPr>
          <w:rFonts w:ascii="Times New Roman" w:hAnsi="Times New Roman" w:eastAsiaTheme="minorEastAsia"/>
        </w:rPr>
        <w:t>管道堵塞、管道破裂和管道接头处的破损，会造成大量的污水外溢，污染地表水和地下水。</w:t>
      </w:r>
    </w:p>
    <w:p>
      <w:pPr>
        <w:pStyle w:val="320"/>
        <w:snapToGrid w:val="0"/>
        <w:spacing w:before="0" w:line="360" w:lineRule="auto"/>
        <w:ind w:firstLine="480"/>
        <w:rPr>
          <w:rFonts w:ascii="Times New Roman" w:hAnsi="Times New Roman" w:eastAsiaTheme="minorEastAsia"/>
        </w:rPr>
      </w:pPr>
      <w:r>
        <w:rPr>
          <w:rFonts w:hint="eastAsia" w:ascii="宋体" w:hAnsi="宋体" w:cs="宋体"/>
        </w:rPr>
        <w:t>②</w:t>
      </w:r>
      <w:r>
        <w:rPr>
          <w:rFonts w:ascii="Times New Roman" w:hAnsi="Times New Roman" w:eastAsiaTheme="minorEastAsia"/>
        </w:rPr>
        <w:t>由于井研县大沼工程清运不及时，集污池内的粪污外溢，污染地表水和地下水。</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（2）病死猪</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项目产生的病死猪由于特殊原因不能及时清运，存在着污染环境的风险。</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（3）医疗废物</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项目产生的医疗废物贮存及转运过程中可能潜在的风险：危险废物残留及衍生的大量病菌、有毒物质是十分有害有毒的物质，如果不经分类收集等有效处理的话，很容易引起各种疾病的传播和蔓延以及造成二次污染。</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（4）消毒液</w:t>
      </w:r>
    </w:p>
    <w:p>
      <w:pPr>
        <w:pStyle w:val="320"/>
        <w:snapToGrid w:val="0"/>
        <w:spacing w:before="0" w:line="360" w:lineRule="auto"/>
        <w:ind w:firstLine="480"/>
        <w:rPr>
          <w:rFonts w:ascii="Times New Roman" w:hAnsi="Times New Roman" w:eastAsiaTheme="minorEastAsia"/>
        </w:rPr>
      </w:pPr>
      <w:r>
        <w:rPr>
          <w:rFonts w:ascii="Times New Roman" w:hAnsi="Times New Roman"/>
        </w:rPr>
        <w:t>当项目使用的消毒液发生泄露，进入土壤中，将会对土壤、地下水、地表水甚至生态环境造成污染，因此，项目生产过程中必须加强管理，加强防渗，避免消毒剂泄露的发生。</w:t>
      </w:r>
    </w:p>
    <w:p>
      <w:pPr>
        <w:pStyle w:val="320"/>
        <w:snapToGrid w:val="0"/>
        <w:spacing w:before="0" w:line="360" w:lineRule="auto"/>
        <w:ind w:firstLine="480"/>
        <w:rPr>
          <w:rFonts w:ascii="Times New Roman" w:hAnsi="Times New Roman" w:eastAsiaTheme="minorEastAsia"/>
        </w:rPr>
      </w:pPr>
      <w:r>
        <w:rPr>
          <w:rFonts w:ascii="Times New Roman" w:hAnsi="Times New Roman" w:eastAsiaTheme="minorEastAsia"/>
        </w:rPr>
        <w:t>（5）柴油</w:t>
      </w:r>
    </w:p>
    <w:p>
      <w:pPr>
        <w:pStyle w:val="320"/>
        <w:snapToGrid w:val="0"/>
        <w:spacing w:before="0" w:line="360" w:lineRule="auto"/>
        <w:ind w:firstLine="480"/>
        <w:rPr>
          <w:rFonts w:ascii="Times New Roman" w:hAnsi="Times New Roman"/>
        </w:rPr>
      </w:pPr>
      <w:r>
        <w:rPr>
          <w:rFonts w:ascii="Times New Roman" w:hAnsi="Times New Roman"/>
        </w:rPr>
        <w:t>本工程备用柴油发电机燃料为 0#轻柴油，柴油储量0.8t。柴油在运输、储存和使用过程中，如遇到管阀失效、操作不当等，会引发泄漏，并可能引发火灾。柴油发生泄漏可能对地表水体和地下水体造成污染。火灾会造成烟尘污染，还可能造成人员伤亡。</w:t>
      </w:r>
    </w:p>
    <w:p>
      <w:pPr>
        <w:pStyle w:val="320"/>
        <w:snapToGrid w:val="0"/>
        <w:spacing w:before="0" w:line="360" w:lineRule="auto"/>
        <w:ind w:firstLine="480"/>
        <w:rPr>
          <w:rFonts w:ascii="Times New Roman" w:hAnsi="Times New Roman"/>
        </w:rPr>
      </w:pPr>
      <w:r>
        <w:rPr>
          <w:rFonts w:ascii="Times New Roman" w:hAnsi="Times New Roman"/>
        </w:rPr>
        <w:t>（</w:t>
      </w:r>
      <w:r>
        <w:rPr>
          <w:rFonts w:hint="eastAsia" w:ascii="Times New Roman" w:hAnsi="Times New Roman"/>
        </w:rPr>
        <w:t>6</w:t>
      </w:r>
      <w:r>
        <w:rPr>
          <w:rFonts w:ascii="Times New Roman" w:hAnsi="Times New Roman"/>
        </w:rPr>
        <w:t>）生猪疫情</w:t>
      </w:r>
    </w:p>
    <w:p>
      <w:pPr>
        <w:pStyle w:val="320"/>
        <w:snapToGrid w:val="0"/>
        <w:spacing w:before="0" w:line="360" w:lineRule="auto"/>
        <w:ind w:firstLine="480"/>
        <w:rPr>
          <w:rFonts w:ascii="Times New Roman" w:hAnsi="Times New Roman"/>
          <w:color w:val="FF0000"/>
        </w:rPr>
      </w:pPr>
      <w:r>
        <w:rPr>
          <w:rFonts w:ascii="Times New Roman" w:hAnsi="Times New Roman"/>
        </w:rPr>
        <w:t>在项目运营过程中，爆发生猪流行疾病，造成人畜共患疫情。</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64" w:name="_Toc478134569"/>
      <w:bookmarkStart w:id="765" w:name="_Toc29110607"/>
      <w:r>
        <w:rPr>
          <w:rFonts w:ascii="Times New Roman" w:hAnsi="Times New Roman" w:eastAsia="黑体" w:cs="Times New Roman"/>
          <w:b w:val="0"/>
          <w:bCs/>
          <w:spacing w:val="4"/>
          <w:kern w:val="2"/>
          <w:sz w:val="32"/>
          <w:szCs w:val="32"/>
        </w:rPr>
        <w:t>8.4</w:t>
      </w:r>
      <w:bookmarkEnd w:id="764"/>
      <w:r>
        <w:rPr>
          <w:rFonts w:hint="eastAsia" w:ascii="Times New Roman" w:hAnsi="Times New Roman" w:eastAsia="黑体" w:cs="Times New Roman"/>
          <w:b w:val="0"/>
          <w:bCs/>
          <w:spacing w:val="4"/>
          <w:kern w:val="2"/>
          <w:sz w:val="32"/>
          <w:szCs w:val="32"/>
        </w:rPr>
        <w:t>环境风险</w:t>
      </w:r>
      <w:r>
        <w:rPr>
          <w:rFonts w:ascii="Times New Roman" w:hAnsi="Times New Roman" w:eastAsia="黑体" w:cs="Times New Roman"/>
          <w:b w:val="0"/>
          <w:bCs/>
          <w:spacing w:val="4"/>
          <w:kern w:val="2"/>
          <w:sz w:val="32"/>
          <w:szCs w:val="32"/>
        </w:rPr>
        <w:t>分析</w:t>
      </w:r>
      <w:bookmarkEnd w:id="765"/>
    </w:p>
    <w:p>
      <w:pPr>
        <w:jc w:val="left"/>
        <w:outlineLvl w:val="2"/>
        <w:rPr>
          <w:rFonts w:eastAsia="黑体"/>
          <w:bCs/>
          <w:spacing w:val="4"/>
          <w:sz w:val="30"/>
          <w:szCs w:val="30"/>
        </w:rPr>
      </w:pPr>
      <w:r>
        <w:rPr>
          <w:rFonts w:eastAsia="黑体"/>
          <w:bCs/>
          <w:spacing w:val="4"/>
          <w:sz w:val="30"/>
          <w:szCs w:val="30"/>
        </w:rPr>
        <w:t>8.4.1</w:t>
      </w:r>
      <w:r>
        <w:rPr>
          <w:rFonts w:hint="eastAsia" w:eastAsia="黑体"/>
          <w:bCs/>
          <w:spacing w:val="4"/>
          <w:sz w:val="30"/>
          <w:szCs w:val="30"/>
        </w:rPr>
        <w:t>地表水污染</w:t>
      </w:r>
      <w:r>
        <w:rPr>
          <w:rFonts w:eastAsia="黑体"/>
          <w:bCs/>
          <w:spacing w:val="4"/>
          <w:sz w:val="30"/>
          <w:szCs w:val="30"/>
        </w:rPr>
        <w:t>风险分析</w:t>
      </w:r>
    </w:p>
    <w:p>
      <w:pPr>
        <w:adjustRightInd w:val="0"/>
        <w:snapToGrid w:val="0"/>
        <w:ind w:firstLine="480" w:firstLineChars="200"/>
      </w:pPr>
      <w:r>
        <w:rPr>
          <w:rFonts w:hint="eastAsia"/>
        </w:rPr>
        <w:t>养殖</w:t>
      </w:r>
      <w:r>
        <w:t>废水</w:t>
      </w:r>
      <w:r>
        <w:rPr>
          <w:rFonts w:hint="eastAsia"/>
        </w:rPr>
        <w:t>中有机物</w:t>
      </w:r>
      <w:r>
        <w:t>和</w:t>
      </w:r>
      <w:r>
        <w:rPr>
          <w:rFonts w:hint="eastAsia"/>
        </w:rPr>
        <w:t>微生物</w:t>
      </w:r>
      <w:r>
        <w:t>含量高</w:t>
      </w:r>
      <w:r>
        <w:rPr>
          <w:rFonts w:hint="eastAsia"/>
        </w:rPr>
        <w:t>，若井研县</w:t>
      </w:r>
      <w:r>
        <w:t>大沼工程未能及时运送粪污</w:t>
      </w:r>
      <w:r>
        <w:rPr>
          <w:rFonts w:hint="eastAsia"/>
        </w:rPr>
        <w:t>、集污池</w:t>
      </w:r>
      <w:r>
        <w:t>内粪污</w:t>
      </w:r>
      <w:r>
        <w:rPr>
          <w:rFonts w:hint="eastAsia"/>
        </w:rPr>
        <w:t>溢出或</w:t>
      </w:r>
      <w:r>
        <w:t>集污池</w:t>
      </w:r>
      <w:r>
        <w:rPr>
          <w:rFonts w:hint="eastAsia"/>
        </w:rPr>
        <w:t>防渗</w:t>
      </w:r>
      <w:r>
        <w:t>措施不足直接排至地表水，对地表水水质影响</w:t>
      </w:r>
      <w:r>
        <w:rPr>
          <w:rFonts w:hint="eastAsia"/>
        </w:rPr>
        <w:t>较</w:t>
      </w:r>
      <w:r>
        <w:t>明显。</w:t>
      </w:r>
    </w:p>
    <w:p>
      <w:pPr>
        <w:jc w:val="left"/>
        <w:outlineLvl w:val="2"/>
        <w:rPr>
          <w:rFonts w:eastAsia="黑体"/>
          <w:bCs/>
          <w:spacing w:val="4"/>
          <w:sz w:val="30"/>
          <w:szCs w:val="30"/>
        </w:rPr>
      </w:pPr>
      <w:r>
        <w:rPr>
          <w:rFonts w:eastAsia="黑体"/>
          <w:bCs/>
          <w:spacing w:val="4"/>
          <w:sz w:val="30"/>
          <w:szCs w:val="30"/>
        </w:rPr>
        <w:t>8.4.2</w:t>
      </w:r>
      <w:r>
        <w:rPr>
          <w:rFonts w:hint="eastAsia" w:eastAsia="黑体"/>
          <w:bCs/>
          <w:spacing w:val="4"/>
          <w:sz w:val="30"/>
          <w:szCs w:val="30"/>
        </w:rPr>
        <w:t>地下水污染</w:t>
      </w:r>
      <w:r>
        <w:rPr>
          <w:rFonts w:eastAsia="黑体"/>
          <w:bCs/>
          <w:spacing w:val="4"/>
          <w:sz w:val="30"/>
          <w:szCs w:val="30"/>
        </w:rPr>
        <w:t>风险分析</w:t>
      </w:r>
    </w:p>
    <w:p>
      <w:pPr>
        <w:widowControl/>
        <w:ind w:firstLine="480" w:firstLineChars="200"/>
      </w:pPr>
      <w:r>
        <w:rPr>
          <w:rFonts w:hint="eastAsia"/>
        </w:rPr>
        <w:t xml:space="preserve">（1）集污池管网系统由于管道堵塞、管道破裂和管道接头处的破损，会造成大量污水外溢，污染地下水。 </w:t>
      </w:r>
    </w:p>
    <w:p>
      <w:pPr>
        <w:pStyle w:val="2"/>
        <w:ind w:firstLine="480"/>
        <w:rPr>
          <w:rFonts w:hint="default"/>
        </w:rPr>
      </w:pPr>
      <w:r>
        <w:t>（2）柴油发电机房油管泄露，且防渗层破坏，导致对地下水污染。</w:t>
      </w:r>
    </w:p>
    <w:p>
      <w:pPr>
        <w:jc w:val="left"/>
        <w:outlineLvl w:val="2"/>
        <w:rPr>
          <w:rFonts w:eastAsia="黑体"/>
          <w:bCs/>
          <w:spacing w:val="4"/>
          <w:sz w:val="30"/>
          <w:szCs w:val="30"/>
        </w:rPr>
      </w:pPr>
      <w:r>
        <w:rPr>
          <w:rFonts w:eastAsia="黑体"/>
          <w:bCs/>
          <w:spacing w:val="4"/>
          <w:sz w:val="30"/>
          <w:szCs w:val="30"/>
        </w:rPr>
        <w:t>8.4.2</w:t>
      </w:r>
      <w:r>
        <w:rPr>
          <w:rFonts w:hint="eastAsia" w:eastAsia="黑体"/>
          <w:bCs/>
          <w:spacing w:val="4"/>
          <w:sz w:val="30"/>
          <w:szCs w:val="30"/>
        </w:rPr>
        <w:t>生猪疫情</w:t>
      </w:r>
      <w:r>
        <w:rPr>
          <w:rFonts w:eastAsia="黑体"/>
          <w:bCs/>
          <w:spacing w:val="4"/>
          <w:sz w:val="30"/>
          <w:szCs w:val="30"/>
        </w:rPr>
        <w:t>风险分析</w:t>
      </w:r>
    </w:p>
    <w:p>
      <w:pPr>
        <w:adjustRightInd w:val="0"/>
        <w:snapToGrid w:val="0"/>
        <w:ind w:firstLine="480" w:firstLineChars="200"/>
        <w:rPr>
          <w:color w:val="FF0000"/>
        </w:rPr>
      </w:pPr>
      <w:r>
        <w:t>牲畜一旦发生传染病将会大量传染，带来不可估量的经济损失，尤其是禽流感，甚至造成社会恐慌。</w:t>
      </w:r>
    </w:p>
    <w:p>
      <w:pPr>
        <w:widowControl/>
        <w:ind w:firstLine="480" w:firstLineChars="200"/>
      </w:pPr>
      <w:r>
        <w:t>参照养猪场有关资料，目前生猪常见流行疾病包括猪瘟、猪流感、猪丹毒、猪肺疫、猪流行性腹泻、猪副伤寒、猪水肿病、猪传染性胃肠炎等，其中猪流感、口蹄疫等属人畜共患疫情，一旦项目宰杀生猪中出现疫情，将可能感染项目区周边、运输线路周边及消费者周边人畜。</w:t>
      </w:r>
    </w:p>
    <w:p>
      <w:pPr>
        <w:widowControl/>
        <w:ind w:firstLine="480" w:firstLineChars="200"/>
      </w:pPr>
      <w:r>
        <w:t>常见疫情为猪口蹄疫，猪口蹄疫是由口蹄疫病毒引起，表现为蹄冠、趾间、蹄踵皮肤发生水泡和烂斑，部分猪口腔黏膜和鼻盘也有同样病变。治宜抗病毒、局部消炎。猪口蹄疫一般多发于冬春季节直接和间接接触都能使猪患病，如病猪、泔水、被污染的饲养用具及运输工具等都能传播。临床症状：以蹄部水疱为特征，体温升高，全身症状明显，蹄冠、蹄叉、蹄踵发红、形成水疱和溃烂、有继发感染时，蹄壳可能脱落；病猪跛行，喜卧；病猪鼻盘、口腔、齿龈、舌也可见到水疱和烂斑。</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66" w:name="_Toc478134570"/>
      <w:bookmarkStart w:id="767" w:name="_Toc29110609"/>
      <w:r>
        <w:rPr>
          <w:rFonts w:ascii="Times New Roman" w:hAnsi="Times New Roman" w:eastAsia="黑体" w:cs="Times New Roman"/>
          <w:b w:val="0"/>
          <w:bCs/>
          <w:spacing w:val="4"/>
          <w:kern w:val="2"/>
          <w:sz w:val="32"/>
          <w:szCs w:val="32"/>
        </w:rPr>
        <w:t>8.</w:t>
      </w:r>
      <w:bookmarkEnd w:id="766"/>
      <w:r>
        <w:rPr>
          <w:rFonts w:ascii="Times New Roman" w:hAnsi="Times New Roman" w:eastAsia="黑体" w:cs="Times New Roman"/>
          <w:b w:val="0"/>
          <w:bCs/>
          <w:spacing w:val="4"/>
          <w:kern w:val="2"/>
          <w:sz w:val="32"/>
          <w:szCs w:val="32"/>
        </w:rPr>
        <w:t>5</w:t>
      </w:r>
      <w:r>
        <w:rPr>
          <w:rFonts w:hint="eastAsia" w:ascii="Times New Roman" w:hAnsi="Times New Roman" w:eastAsia="黑体" w:cs="Times New Roman"/>
          <w:b w:val="0"/>
          <w:bCs/>
          <w:spacing w:val="4"/>
          <w:kern w:val="2"/>
          <w:sz w:val="32"/>
          <w:szCs w:val="32"/>
        </w:rPr>
        <w:t>环境风险</w:t>
      </w:r>
      <w:r>
        <w:rPr>
          <w:rFonts w:ascii="Times New Roman" w:hAnsi="Times New Roman" w:eastAsia="黑体" w:cs="Times New Roman"/>
          <w:b w:val="0"/>
          <w:bCs/>
          <w:spacing w:val="4"/>
          <w:kern w:val="2"/>
          <w:sz w:val="32"/>
          <w:szCs w:val="32"/>
        </w:rPr>
        <w:t>防范措施及应急要求</w:t>
      </w:r>
      <w:bookmarkEnd w:id="767"/>
    </w:p>
    <w:p>
      <w:pPr>
        <w:jc w:val="left"/>
        <w:outlineLvl w:val="2"/>
        <w:rPr>
          <w:rFonts w:eastAsia="黑体"/>
          <w:bCs/>
          <w:spacing w:val="4"/>
          <w:sz w:val="30"/>
          <w:szCs w:val="30"/>
        </w:rPr>
      </w:pPr>
      <w:r>
        <w:rPr>
          <w:rFonts w:eastAsia="黑体"/>
          <w:bCs/>
          <w:spacing w:val="4"/>
          <w:sz w:val="30"/>
          <w:szCs w:val="30"/>
        </w:rPr>
        <w:t>8.5.1</w:t>
      </w:r>
      <w:r>
        <w:rPr>
          <w:rFonts w:hint="eastAsia" w:eastAsia="黑体"/>
          <w:bCs/>
          <w:spacing w:val="4"/>
          <w:sz w:val="30"/>
          <w:szCs w:val="30"/>
        </w:rPr>
        <w:t>环境风险</w:t>
      </w:r>
      <w:r>
        <w:rPr>
          <w:rFonts w:eastAsia="黑体"/>
          <w:bCs/>
          <w:spacing w:val="4"/>
          <w:sz w:val="30"/>
          <w:szCs w:val="30"/>
        </w:rPr>
        <w:t>防范措施</w:t>
      </w:r>
    </w:p>
    <w:p>
      <w:pPr>
        <w:pStyle w:val="970"/>
        <w:snapToGrid w:val="0"/>
        <w:ind w:firstLine="0"/>
        <w:outlineLvl w:val="3"/>
        <w:rPr>
          <w:rFonts w:eastAsia="黑体"/>
          <w:bCs/>
          <w:szCs w:val="24"/>
        </w:rPr>
      </w:pPr>
      <w:r>
        <w:rPr>
          <w:rFonts w:eastAsia="黑体"/>
          <w:bCs/>
          <w:szCs w:val="24"/>
        </w:rPr>
        <w:t>8.5.1.1</w:t>
      </w:r>
      <w:r>
        <w:rPr>
          <w:rFonts w:hint="eastAsia" w:eastAsia="黑体"/>
          <w:bCs/>
          <w:szCs w:val="24"/>
        </w:rPr>
        <w:t>水环境</w:t>
      </w:r>
      <w:r>
        <w:rPr>
          <w:rFonts w:eastAsia="黑体"/>
          <w:bCs/>
          <w:szCs w:val="24"/>
        </w:rPr>
        <w:t>风险防范措施</w:t>
      </w:r>
    </w:p>
    <w:p>
      <w:pPr>
        <w:autoSpaceDE w:val="0"/>
        <w:autoSpaceDN w:val="0"/>
        <w:ind w:firstLine="480"/>
        <w:contextualSpacing/>
        <w:jc w:val="left"/>
        <w:rPr>
          <w:kern w:val="0"/>
        </w:rPr>
      </w:pPr>
      <w:r>
        <w:rPr>
          <w:rFonts w:hint="eastAsia"/>
          <w:kern w:val="0"/>
        </w:rPr>
        <w:t>（</w:t>
      </w:r>
      <w:r>
        <w:rPr>
          <w:kern w:val="0"/>
        </w:rPr>
        <w:t>1）落实源头削减废物产生的清洁生产措施，并制订有关制度，保证设备良好运行，以降低水耗及各种废水污染物的产生量；</w:t>
      </w:r>
    </w:p>
    <w:p>
      <w:pPr>
        <w:autoSpaceDE w:val="0"/>
        <w:autoSpaceDN w:val="0"/>
        <w:ind w:firstLine="480"/>
        <w:contextualSpacing/>
        <w:jc w:val="left"/>
        <w:rPr>
          <w:kern w:val="0"/>
        </w:rPr>
      </w:pPr>
      <w:r>
        <w:rPr>
          <w:rFonts w:hint="eastAsia"/>
          <w:kern w:val="0"/>
        </w:rPr>
        <w:t>（</w:t>
      </w:r>
      <w:r>
        <w:rPr>
          <w:kern w:val="0"/>
        </w:rPr>
        <w:t>2）加强设备的运行管理和维修，对</w:t>
      </w:r>
      <w:r>
        <w:rPr>
          <w:rFonts w:hint="eastAsia"/>
          <w:kern w:val="0"/>
        </w:rPr>
        <w:t>污水处理</w:t>
      </w:r>
      <w:r>
        <w:rPr>
          <w:kern w:val="0"/>
        </w:rPr>
        <w:t>系统的运行，必须严格按规定操作，避免事故性排放；</w:t>
      </w:r>
    </w:p>
    <w:p>
      <w:pPr>
        <w:autoSpaceDE w:val="0"/>
        <w:autoSpaceDN w:val="0"/>
        <w:ind w:firstLine="480"/>
        <w:contextualSpacing/>
        <w:jc w:val="left"/>
        <w:rPr>
          <w:kern w:val="0"/>
        </w:rPr>
      </w:pPr>
      <w:r>
        <w:rPr>
          <w:rFonts w:hint="eastAsia"/>
          <w:kern w:val="0"/>
        </w:rPr>
        <w:t>（</w:t>
      </w:r>
      <w:r>
        <w:rPr>
          <w:kern w:val="0"/>
        </w:rPr>
        <w:t>3）粪污输送泵发生故障时，应立即关闭所有粪污输送阀门，生产部应及时组织抢修。</w:t>
      </w:r>
    </w:p>
    <w:p>
      <w:pPr>
        <w:ind w:firstLine="480"/>
        <w:contextualSpacing/>
        <w:rPr>
          <w:kern w:val="0"/>
        </w:rPr>
      </w:pPr>
      <w:r>
        <w:rPr>
          <w:rFonts w:hint="eastAsia"/>
          <w:kern w:val="0"/>
        </w:rPr>
        <w:t>（</w:t>
      </w:r>
      <w:r>
        <w:rPr>
          <w:kern w:val="0"/>
        </w:rPr>
        <w:t>4</w:t>
      </w:r>
      <w:r>
        <w:rPr>
          <w:rFonts w:hint="eastAsia"/>
          <w:kern w:val="0"/>
        </w:rPr>
        <w:t>）项目厂区内应设置有固液分离机+2</w:t>
      </w:r>
      <w:r>
        <w:rPr>
          <w:kern w:val="0"/>
        </w:rPr>
        <w:t>00m</w:t>
      </w:r>
      <w:r>
        <w:rPr>
          <w:kern w:val="0"/>
          <w:vertAlign w:val="superscript"/>
        </w:rPr>
        <w:t>3</w:t>
      </w:r>
      <w:r>
        <w:rPr>
          <w:rFonts w:hint="eastAsia"/>
          <w:kern w:val="0"/>
        </w:rPr>
        <w:t>沼气池+</w:t>
      </w:r>
      <w:r>
        <w:rPr>
          <w:kern w:val="0"/>
        </w:rPr>
        <w:t>500m</w:t>
      </w:r>
      <w:r>
        <w:rPr>
          <w:kern w:val="0"/>
          <w:vertAlign w:val="superscript"/>
        </w:rPr>
        <w:t>3</w:t>
      </w:r>
      <w:r>
        <w:rPr>
          <w:rFonts w:hint="eastAsia"/>
          <w:kern w:val="0"/>
        </w:rPr>
        <w:t>暂存池+</w:t>
      </w:r>
      <w:r>
        <w:rPr>
          <w:kern w:val="0"/>
        </w:rPr>
        <w:t>12</w:t>
      </w:r>
      <w:r>
        <w:rPr>
          <w:rFonts w:hint="eastAsia"/>
          <w:kern w:val="0"/>
        </w:rPr>
        <w:t>个1</w:t>
      </w:r>
      <w:r>
        <w:rPr>
          <w:kern w:val="0"/>
        </w:rPr>
        <w:t>50m</w:t>
      </w:r>
      <w:r>
        <w:rPr>
          <w:kern w:val="0"/>
          <w:vertAlign w:val="superscript"/>
        </w:rPr>
        <w:t>3</w:t>
      </w:r>
      <w:r>
        <w:rPr>
          <w:rFonts w:hint="eastAsia"/>
          <w:kern w:val="0"/>
        </w:rPr>
        <w:t>田间池，若井研县</w:t>
      </w:r>
      <w:r>
        <w:rPr>
          <w:kern w:val="0"/>
        </w:rPr>
        <w:t>大沼工程运行不正常时，</w:t>
      </w:r>
      <w:r>
        <w:rPr>
          <w:rFonts w:hint="eastAsia"/>
          <w:kern w:val="0"/>
        </w:rPr>
        <w:t>将未能处理的污水暂存于事故池内，待</w:t>
      </w:r>
      <w:r>
        <w:rPr>
          <w:kern w:val="0"/>
        </w:rPr>
        <w:t>井研县大沼工程恢复，禁止外排。</w:t>
      </w:r>
    </w:p>
    <w:p>
      <w:pPr>
        <w:pStyle w:val="320"/>
        <w:spacing w:line="360" w:lineRule="auto"/>
        <w:ind w:firstLine="480"/>
        <w:rPr>
          <w:rFonts w:ascii="Times New Roman" w:hAnsi="Times New Roman"/>
          <w:color w:val="FF0000"/>
        </w:rPr>
      </w:pPr>
      <w:r>
        <w:rPr>
          <w:rFonts w:ascii="Times New Roman" w:hAnsi="Times New Roman"/>
        </w:rPr>
        <w:t>（5）</w:t>
      </w:r>
      <w:r>
        <w:rPr>
          <w:rFonts w:hint="eastAsia"/>
        </w:rPr>
        <w:t>加强院内管网铺设工作，硬化其管道附近地面，切实做好管道及其地面的防渗工作。</w:t>
      </w:r>
    </w:p>
    <w:p>
      <w:pPr>
        <w:pStyle w:val="970"/>
        <w:snapToGrid w:val="0"/>
        <w:ind w:firstLine="0"/>
        <w:outlineLvl w:val="3"/>
        <w:rPr>
          <w:rFonts w:eastAsia="黑体"/>
          <w:bCs/>
          <w:szCs w:val="24"/>
        </w:rPr>
      </w:pPr>
      <w:r>
        <w:rPr>
          <w:rFonts w:eastAsia="黑体"/>
          <w:bCs/>
          <w:szCs w:val="24"/>
        </w:rPr>
        <w:t>8.5.1.2</w:t>
      </w:r>
      <w:r>
        <w:rPr>
          <w:rFonts w:hint="eastAsia" w:eastAsia="黑体"/>
          <w:bCs/>
          <w:szCs w:val="24"/>
        </w:rPr>
        <w:t>地下水</w:t>
      </w:r>
      <w:r>
        <w:rPr>
          <w:rFonts w:eastAsia="黑体"/>
          <w:bCs/>
          <w:szCs w:val="24"/>
        </w:rPr>
        <w:t>风险防范措施</w:t>
      </w:r>
    </w:p>
    <w:p>
      <w:pPr>
        <w:widowControl/>
        <w:ind w:firstLine="480" w:firstLineChars="200"/>
      </w:pPr>
      <w:r>
        <w:rPr>
          <w:rFonts w:hint="eastAsia"/>
        </w:rPr>
        <w:t>（1）集污池、柴油储罐、沼气池、储存池、田间池均要求进行重点防渗，池壁和池底部采用防渗等级不低于 10</w:t>
      </w:r>
      <w:r>
        <w:rPr>
          <w:rFonts w:hint="eastAsia"/>
          <w:vertAlign w:val="superscript"/>
        </w:rPr>
        <w:t>-10</w:t>
      </w:r>
      <w:r>
        <w:rPr>
          <w:rFonts w:hint="eastAsia"/>
        </w:rPr>
        <w:t xml:space="preserve">cm/s 的防渗材料，防渗等效黏土层要求≥6m。 </w:t>
      </w:r>
    </w:p>
    <w:p>
      <w:pPr>
        <w:widowControl/>
        <w:ind w:firstLine="480" w:firstLineChars="200"/>
      </w:pPr>
      <w:r>
        <w:rPr>
          <w:rFonts w:hint="eastAsia"/>
        </w:rPr>
        <w:t>（2）本环评要求柴油发电机房进行重点防渗，池壁和池底部采用防渗等级不低于 10</w:t>
      </w:r>
      <w:r>
        <w:rPr>
          <w:rFonts w:hint="eastAsia"/>
          <w:vertAlign w:val="superscript"/>
        </w:rPr>
        <w:t>-10</w:t>
      </w:r>
      <w:r>
        <w:rPr>
          <w:rFonts w:hint="eastAsia"/>
        </w:rPr>
        <w:t xml:space="preserve">cm/s 的防渗材料，防渗等效黏土层要求≥6m。定期检查防渗面层，是否破损，如有破碎，需要及时进行修补。 </w:t>
      </w:r>
    </w:p>
    <w:p>
      <w:pPr>
        <w:pStyle w:val="320"/>
        <w:spacing w:line="360" w:lineRule="auto"/>
        <w:ind w:firstLine="480"/>
        <w:rPr>
          <w:rFonts w:ascii="Times New Roman" w:hAnsi="Times New Roman"/>
          <w:color w:val="FF0000"/>
        </w:rPr>
      </w:pPr>
      <w:r>
        <w:rPr>
          <w:rFonts w:ascii="Times New Roman" w:hAnsi="Times New Roman"/>
        </w:rPr>
        <w:t>（3）</w:t>
      </w:r>
      <w:r>
        <w:rPr>
          <w:rFonts w:hint="eastAsia"/>
        </w:rPr>
        <w:t>危废暂存间及无害化暂存间要求进行重点防渗，医疗废物必须经科学地分类收集、贮存运送后委托有资质的单位进行处理。</w:t>
      </w:r>
    </w:p>
    <w:p>
      <w:pPr>
        <w:pStyle w:val="970"/>
        <w:snapToGrid w:val="0"/>
        <w:ind w:firstLine="0"/>
        <w:outlineLvl w:val="3"/>
        <w:rPr>
          <w:rFonts w:eastAsia="黑体"/>
          <w:bCs/>
          <w:szCs w:val="24"/>
        </w:rPr>
      </w:pPr>
      <w:r>
        <w:rPr>
          <w:rFonts w:eastAsia="黑体"/>
          <w:bCs/>
          <w:szCs w:val="24"/>
        </w:rPr>
        <w:t xml:space="preserve">8.5.1.3 </w:t>
      </w:r>
      <w:r>
        <w:rPr>
          <w:rFonts w:hint="eastAsia" w:eastAsia="黑体"/>
          <w:bCs/>
          <w:szCs w:val="24"/>
        </w:rPr>
        <w:t>生猪疫情</w:t>
      </w:r>
    </w:p>
    <w:p>
      <w:pPr>
        <w:autoSpaceDE w:val="0"/>
        <w:autoSpaceDN w:val="0"/>
        <w:ind w:firstLine="480"/>
        <w:contextualSpacing/>
        <w:jc w:val="left"/>
        <w:rPr>
          <w:kern w:val="0"/>
        </w:rPr>
      </w:pPr>
      <w:r>
        <w:rPr>
          <w:kern w:val="0"/>
        </w:rPr>
        <w:t>在猪场生产中应坚持“防病重于治病”的方针，防止和消灭种猪疾病，特别是传染病、代谢病，使种猪更好地发挥生产性能，延长使用年限，提高养猪的经济效益。</w:t>
      </w:r>
    </w:p>
    <w:p>
      <w:pPr>
        <w:autoSpaceDE w:val="0"/>
        <w:autoSpaceDN w:val="0"/>
        <w:ind w:firstLine="480"/>
        <w:contextualSpacing/>
        <w:jc w:val="left"/>
        <w:rPr>
          <w:kern w:val="0"/>
        </w:rPr>
      </w:pPr>
      <w:r>
        <w:rPr>
          <w:rFonts w:hint="eastAsia"/>
          <w:kern w:val="0"/>
        </w:rPr>
        <w:t>（</w:t>
      </w:r>
      <w:r>
        <w:rPr>
          <w:kern w:val="0"/>
        </w:rPr>
        <w:t>1）日常的预防措施</w:t>
      </w:r>
    </w:p>
    <w:p>
      <w:pPr>
        <w:ind w:firstLine="480"/>
        <w:contextualSpacing/>
        <w:rPr>
          <w:kern w:val="0"/>
        </w:rPr>
      </w:pPr>
      <w:r>
        <w:rPr>
          <w:kern w:val="0"/>
        </w:rPr>
        <w:t>①把好大门入口关。猪场场区和生产区应设围墙或挖防疫沟，场区、生产区、猪舍门口设置脚踏消毒池和紫外线灯，生产区设更衣室。内部车辆出入须经消毒池，通过喷雾消毒后才能通行。大门口应设标识“防疫重地，谢绝参观”，设专人把手，严禁外来车辆和人员入场，进入生产区时必须洗手消毒并经紫外线消毒通道（有消毒水池和紫外线光）方可进入。</w:t>
      </w:r>
    </w:p>
    <w:p>
      <w:pPr>
        <w:autoSpaceDE w:val="0"/>
        <w:autoSpaceDN w:val="0"/>
        <w:ind w:firstLine="480"/>
        <w:contextualSpacing/>
        <w:jc w:val="left"/>
        <w:rPr>
          <w:kern w:val="0"/>
        </w:rPr>
      </w:pPr>
      <w:r>
        <w:rPr>
          <w:kern w:val="0"/>
        </w:rPr>
        <w:t>②防止交叉感染。各舍饲养员禁止窜场窜岗，以防止交叉感染。场区环境应该保持干净清洁，随时射杀进入场区的野鸟，严防其粪便污染饲料和运动场；坚持定期的全场消毒和带猪消毒，发病期间要天天消毒；做好消毒灭鼠灭蚊蝇工作。病死猪必须做无害化处理，不得任其污染环境，造成人为疾病发生。</w:t>
      </w:r>
    </w:p>
    <w:p>
      <w:pPr>
        <w:autoSpaceDE w:val="0"/>
        <w:autoSpaceDN w:val="0"/>
        <w:ind w:firstLine="480"/>
        <w:contextualSpacing/>
        <w:jc w:val="left"/>
        <w:rPr>
          <w:kern w:val="0"/>
        </w:rPr>
      </w:pPr>
      <w:r>
        <w:rPr>
          <w:kern w:val="0"/>
        </w:rPr>
        <w:t>③科学疾病防治。兽医对病死猪要勤于解剖，病料应进行实验室检验，依据药敏结果用药防治。初期投药后兽医应仍进行跟踪治疗，直到病愈为止。兽医根据药敏试验，临床用药情况，发病日龄和季节结合生产实践，获得本场的用药程序。在选药时，避免使用假冒伪劣兽药而造成治疗和免疫失败，造成严重经济损失。</w:t>
      </w:r>
    </w:p>
    <w:p>
      <w:pPr>
        <w:autoSpaceDE w:val="0"/>
        <w:autoSpaceDN w:val="0"/>
        <w:ind w:firstLine="480"/>
        <w:contextualSpacing/>
        <w:jc w:val="left"/>
        <w:rPr>
          <w:kern w:val="0"/>
        </w:rPr>
      </w:pPr>
      <w:r>
        <w:rPr>
          <w:kern w:val="0"/>
        </w:rPr>
        <w:t>④做好基础免疫工作。为了预防传染病的发生，种猪场必须制定合理的免疫程序以保护猪群健康。种猪免疫应避开产蛋高峰期，雏猪免疫应考虑母源抗体的存在。使用油乳剂灭活苗时要预温，否则注射到皮下的疫苗形成疫苗团而不易吸收；夏季要保证充足饮水，选择凉爽时进行免疫。</w:t>
      </w:r>
    </w:p>
    <w:p>
      <w:pPr>
        <w:autoSpaceDE w:val="0"/>
        <w:autoSpaceDN w:val="0"/>
        <w:ind w:firstLine="480"/>
        <w:contextualSpacing/>
        <w:jc w:val="left"/>
        <w:rPr>
          <w:kern w:val="0"/>
        </w:rPr>
      </w:pPr>
      <w:r>
        <w:rPr>
          <w:rFonts w:hint="eastAsia"/>
          <w:kern w:val="0"/>
        </w:rPr>
        <w:t>（</w:t>
      </w:r>
      <w:r>
        <w:rPr>
          <w:kern w:val="0"/>
        </w:rPr>
        <w:t>2）发生疫情时的紧急防制措施</w:t>
      </w:r>
    </w:p>
    <w:p>
      <w:pPr>
        <w:autoSpaceDE w:val="0"/>
        <w:autoSpaceDN w:val="0"/>
        <w:ind w:firstLine="480"/>
        <w:contextualSpacing/>
        <w:jc w:val="left"/>
        <w:rPr>
          <w:kern w:val="0"/>
        </w:rPr>
      </w:pPr>
      <w:r>
        <w:rPr>
          <w:kern w:val="0"/>
        </w:rPr>
        <w:t>①应立即组成防疫小组，尽快做出确切诊断，迅速向有关上级部门报告疫情。</w:t>
      </w:r>
    </w:p>
    <w:p>
      <w:pPr>
        <w:autoSpaceDE w:val="0"/>
        <w:autoSpaceDN w:val="0"/>
        <w:ind w:firstLine="480"/>
        <w:contextualSpacing/>
        <w:jc w:val="left"/>
        <w:rPr>
          <w:kern w:val="0"/>
        </w:rPr>
      </w:pPr>
      <w:r>
        <w:rPr>
          <w:kern w:val="0"/>
        </w:rPr>
        <w:t>②迅速隔离病猪，对危害较重的传染病应及时划区封锁，建立封锁带，出人人员和车辆要严格消毒，同时严格消毒污染环境。解除封锁的条件是在最后一只病猪痊愈或屠宰后两个潜伏期内再无新病例出现，经过全面大消毒，报上级主管部门批准，方可解除封锁。</w:t>
      </w:r>
    </w:p>
    <w:p>
      <w:pPr>
        <w:autoSpaceDE w:val="0"/>
        <w:autoSpaceDN w:val="0"/>
        <w:ind w:firstLine="480"/>
        <w:contextualSpacing/>
        <w:jc w:val="left"/>
        <w:rPr>
          <w:kern w:val="0"/>
        </w:rPr>
      </w:pPr>
      <w:r>
        <w:rPr>
          <w:kern w:val="0"/>
        </w:rPr>
        <w:t>③对病猪及封锁区内的猪只实行合理的综合防制措施，包括疫苗的紧急接种、抗生素疗法、高免血清的特异性疗法、化学疗法、增强体质和生理机能的辅助疗法。</w:t>
      </w:r>
    </w:p>
    <w:p>
      <w:pPr>
        <w:ind w:firstLine="480"/>
        <w:contextualSpacing/>
        <w:rPr>
          <w:kern w:val="0"/>
        </w:rPr>
      </w:pPr>
      <w:r>
        <w:rPr>
          <w:kern w:val="0"/>
        </w:rPr>
        <w:t>④猪场对病猪应最大限度进行及时的综合医治，对可能的死亡应提前最好准备。若发生病死，病死猪尸体要严格按照《畜禽养殖污染防治管理办法》和《重大动物疫情应急条例》进行处置。出现病死猪时主要应对方法有：及时处置病死猪尸体，严禁随意丢弃，严谨出售或作为饲料再利用；及时</w:t>
      </w:r>
      <w:r>
        <w:rPr>
          <w:rFonts w:hint="eastAsia"/>
          <w:kern w:val="0"/>
        </w:rPr>
        <w:t>通知无害化处理公司将病死猪拉走</w:t>
      </w:r>
      <w:r>
        <w:rPr>
          <w:kern w:val="0"/>
        </w:rPr>
        <w:t>。</w:t>
      </w:r>
    </w:p>
    <w:p>
      <w:pPr>
        <w:autoSpaceDE w:val="0"/>
        <w:autoSpaceDN w:val="0"/>
        <w:ind w:firstLine="480"/>
        <w:contextualSpacing/>
        <w:jc w:val="left"/>
        <w:rPr>
          <w:kern w:val="0"/>
        </w:rPr>
      </w:pPr>
      <w:r>
        <w:rPr>
          <w:kern w:val="0"/>
        </w:rPr>
        <w:t>⑤出现重大疫情时必须严格执行《重大动物疫情应急条例》中相关规定。</w:t>
      </w:r>
    </w:p>
    <w:p>
      <w:pPr>
        <w:autoSpaceDE w:val="0"/>
        <w:autoSpaceDN w:val="0"/>
        <w:ind w:firstLine="480"/>
        <w:contextualSpacing/>
        <w:jc w:val="left"/>
        <w:rPr>
          <w:kern w:val="0"/>
        </w:rPr>
      </w:pPr>
      <w:r>
        <w:rPr>
          <w:rFonts w:hint="eastAsia"/>
          <w:kern w:val="0"/>
        </w:rPr>
        <w:t>（</w:t>
      </w:r>
      <w:r>
        <w:rPr>
          <w:kern w:val="0"/>
        </w:rPr>
        <w:t>3）疫卫生预防措施</w:t>
      </w:r>
    </w:p>
    <w:p>
      <w:pPr>
        <w:autoSpaceDE w:val="0"/>
        <w:autoSpaceDN w:val="0"/>
        <w:ind w:firstLine="480"/>
        <w:contextualSpacing/>
        <w:jc w:val="left"/>
        <w:rPr>
          <w:kern w:val="0"/>
        </w:rPr>
      </w:pPr>
      <w:r>
        <w:rPr>
          <w:kern w:val="0"/>
        </w:rPr>
        <w:t>建立严格的卫生防疫制度是工厂化养殖场正常生产的保证，要认真贯彻“防重于治”的方针，必须建立严格的卫生防疫制度、健全卫生防疫设施，以确保养殖场安全生产。采取的措施有：</w:t>
      </w:r>
    </w:p>
    <w:p>
      <w:pPr>
        <w:autoSpaceDE w:val="0"/>
        <w:autoSpaceDN w:val="0"/>
        <w:ind w:firstLine="480"/>
        <w:contextualSpacing/>
        <w:jc w:val="left"/>
        <w:rPr>
          <w:kern w:val="0"/>
        </w:rPr>
      </w:pPr>
      <w:r>
        <w:rPr>
          <w:kern w:val="0"/>
        </w:rPr>
        <w:t>设计中考虑养殖场布局合理，采取分离的布置方法，按牲畜的不同饲养阶段设置畜舍，并按一定规模进行分区饲养。非生产人员不得随意进入生产区。生产区周围应有防护设施，进入生产区必须消毒。</w:t>
      </w:r>
    </w:p>
    <w:p>
      <w:pPr>
        <w:autoSpaceDE w:val="0"/>
        <w:autoSpaceDN w:val="0"/>
        <w:ind w:firstLine="480"/>
        <w:contextualSpacing/>
        <w:jc w:val="left"/>
        <w:rPr>
          <w:kern w:val="0"/>
        </w:rPr>
      </w:pPr>
      <w:r>
        <w:rPr>
          <w:kern w:val="0"/>
        </w:rPr>
        <w:t>建立正常的卫生防疫制度，按计划对畜舍进行清扫、消毒按计划对牲畜实施免疫程序，建立免疫档案。</w:t>
      </w:r>
    </w:p>
    <w:p>
      <w:pPr>
        <w:autoSpaceDE w:val="0"/>
        <w:autoSpaceDN w:val="0"/>
        <w:ind w:firstLine="480"/>
        <w:contextualSpacing/>
        <w:jc w:val="left"/>
        <w:rPr>
          <w:kern w:val="0"/>
        </w:rPr>
      </w:pPr>
      <w:r>
        <w:rPr>
          <w:kern w:val="0"/>
        </w:rPr>
        <w:t>健全检验、检疫制度，强化检验、检疫手段，场部设技术科、实验室，配备兽医，加强对疾病的预防和医治。出售市场的产品不允许有病，病死牲畜必须投入尸体处理坑，严格消毒现场。不得乱扔污染环境。</w:t>
      </w:r>
    </w:p>
    <w:p>
      <w:pPr>
        <w:ind w:firstLine="480"/>
        <w:contextualSpacing/>
        <w:rPr>
          <w:kern w:val="0"/>
        </w:rPr>
      </w:pPr>
      <w:r>
        <w:rPr>
          <w:kern w:val="0"/>
        </w:rPr>
        <w:t>牲畜饲养采用全进全出制度，为各阶段畜舍的清洗、消毒、阻断疫病传播创造条件，能有效控制和消灭场内已有病源。</w:t>
      </w:r>
    </w:p>
    <w:p>
      <w:pPr>
        <w:autoSpaceDE w:val="0"/>
        <w:autoSpaceDN w:val="0"/>
        <w:ind w:firstLine="480"/>
        <w:contextualSpacing/>
        <w:jc w:val="left"/>
        <w:rPr>
          <w:kern w:val="0"/>
        </w:rPr>
      </w:pPr>
      <w:r>
        <w:rPr>
          <w:rFonts w:hint="eastAsia"/>
          <w:kern w:val="0"/>
        </w:rPr>
        <w:t>（</w:t>
      </w:r>
      <w:r>
        <w:rPr>
          <w:kern w:val="0"/>
        </w:rPr>
        <w:t>4）疫情控制方案</w:t>
      </w:r>
    </w:p>
    <w:p>
      <w:pPr>
        <w:autoSpaceDE w:val="0"/>
        <w:autoSpaceDN w:val="0"/>
        <w:ind w:firstLine="480"/>
        <w:contextualSpacing/>
        <w:jc w:val="left"/>
        <w:rPr>
          <w:kern w:val="0"/>
        </w:rPr>
      </w:pPr>
      <w:r>
        <w:rPr>
          <w:kern w:val="0"/>
        </w:rPr>
        <w:t>根据发生疫情的类别，应分别采取相应的控制方案，具体如下。</w:t>
      </w:r>
    </w:p>
    <w:p>
      <w:pPr>
        <w:ind w:firstLine="480"/>
        <w:contextualSpacing/>
        <w:rPr>
          <w:kern w:val="0"/>
        </w:rPr>
      </w:pPr>
      <w:r>
        <w:rPr>
          <w:kern w:val="0"/>
        </w:rPr>
        <w:t>发生一类疫病时，应当及时报告当地政府畜牧兽医行政管理部门，由其派专人到现场，划定疫点、疫区、受威胁区，采集病料，调查疫源，并及时报请湖源乡人民政府决定对场区实行封锁，将疫情等情况逐级上报国务院畜牧兽医行政管理部门。镇政府应当立即组织有关部门和单位采取隔离、扑杀、销毁、消毒、紧急免疫接种等强制性控制、扑灭措施，迅速扑灭疫病，并通报毗邻地区。在封锁期间，禁止染疫和疑似染疫的猪只流出场区，禁止非疫区的牲畜进入场区，并根据扑灭动物疫病的需要对出入封锁区的人员、运输工具及有关物品采取消毒和其他限制性措施。封锁的解除，必须由当地人民政府宣布。</w:t>
      </w:r>
    </w:p>
    <w:p>
      <w:pPr>
        <w:autoSpaceDE w:val="0"/>
        <w:autoSpaceDN w:val="0"/>
        <w:ind w:firstLine="480"/>
        <w:contextualSpacing/>
        <w:jc w:val="left"/>
        <w:rPr>
          <w:kern w:val="0"/>
        </w:rPr>
      </w:pPr>
      <w:r>
        <w:rPr>
          <w:kern w:val="0"/>
        </w:rPr>
        <w:t>发生二类动物疫病时，当地政府等管理部门应当根据需要组织有关部门和单位采取隔离、扑杀、销毁、消毒、紧急免疫接种、限制易感染的动物、动物产品及有关物品出入等控制、扑灭措施。</w:t>
      </w:r>
    </w:p>
    <w:p>
      <w:pPr>
        <w:autoSpaceDE w:val="0"/>
        <w:autoSpaceDN w:val="0"/>
        <w:ind w:firstLine="480"/>
        <w:contextualSpacing/>
        <w:jc w:val="left"/>
        <w:rPr>
          <w:kern w:val="0"/>
        </w:rPr>
      </w:pPr>
      <w:r>
        <w:rPr>
          <w:kern w:val="0"/>
        </w:rPr>
        <w:t>发生三类动物疫病时，应由当地政府按照动物疫病预防计划和国务院畜牧兽医行政管理部门的有关规定，组织防治和净化。</w:t>
      </w:r>
    </w:p>
    <w:p>
      <w:pPr>
        <w:autoSpaceDE w:val="0"/>
        <w:autoSpaceDN w:val="0"/>
        <w:ind w:firstLine="480"/>
        <w:contextualSpacing/>
        <w:jc w:val="left"/>
        <w:rPr>
          <w:kern w:val="0"/>
        </w:rPr>
      </w:pPr>
      <w:r>
        <w:rPr>
          <w:kern w:val="0"/>
        </w:rPr>
        <w:t>疫情的控制要贯彻以防为主的方针，切实做好防疫工作，确保养殖场的健康发展。一些常见疫病防治可以采用如下办法。</w:t>
      </w:r>
    </w:p>
    <w:p>
      <w:pPr>
        <w:autoSpaceDE w:val="0"/>
        <w:autoSpaceDN w:val="0"/>
        <w:ind w:firstLine="480"/>
        <w:contextualSpacing/>
        <w:jc w:val="left"/>
        <w:rPr>
          <w:kern w:val="0"/>
        </w:rPr>
      </w:pPr>
      <w:r>
        <w:rPr>
          <w:kern w:val="0"/>
        </w:rPr>
        <w:t>猪瘟：猪瘟又叫烂肠瘟，是由猪瘟病毒引起的一种急性、热性、败血性传染病，不同品种、性别、年龄的猪均可感染该病。在该病的常发季节，要对种母猪于配种前或配种后免疫一次；仔猪于20～25日龄首免，50～60日龄二免。在非疫季节，应对种母猪于配种前或后免疫一次；种公猪于春秋两季各免疫一次；仔猪断奶后免疫一次。另外，可以对仔猪进行超前免疫（出生后肌肉注射1头份，1小时后再喂初乳）。</w:t>
      </w:r>
    </w:p>
    <w:p>
      <w:pPr>
        <w:autoSpaceDE w:val="0"/>
        <w:autoSpaceDN w:val="0"/>
        <w:ind w:firstLine="480"/>
        <w:contextualSpacing/>
        <w:jc w:val="left"/>
        <w:rPr>
          <w:kern w:val="0"/>
        </w:rPr>
      </w:pPr>
      <w:r>
        <w:rPr>
          <w:kern w:val="0"/>
        </w:rPr>
        <w:t>猪传染性胃炎：该病是由猪传染性胃肠炎病毒引起的以2周龄内仔猪呕吐、水样腹泻、脱水为特征的接触性传染病，10日龄以下病猪死亡率达50～100%。可对怀孕母猪注射传染性胃肠炎弱病毒，使仔猪通过母乳获得被动免疫。</w:t>
      </w:r>
    </w:p>
    <w:p>
      <w:pPr>
        <w:autoSpaceDE w:val="0"/>
        <w:autoSpaceDN w:val="0"/>
        <w:ind w:firstLine="480"/>
        <w:contextualSpacing/>
        <w:jc w:val="left"/>
        <w:rPr>
          <w:kern w:val="0"/>
        </w:rPr>
      </w:pPr>
      <w:r>
        <w:rPr>
          <w:kern w:val="0"/>
        </w:rPr>
        <w:t>猪流行性感冒：该病是由猪流行性感冒病毒引起的一种急性、高度接触性传染病，发病猪不分品种、性别和年龄，多发生于春季，往往突然发病，迅速传播整个猪群。本病目前尚无有效的疫苗。预防本病应加强猪舍的消毒工作，保持猪舍清洁干燥。</w:t>
      </w:r>
    </w:p>
    <w:p>
      <w:pPr>
        <w:autoSpaceDE w:val="0"/>
        <w:autoSpaceDN w:val="0"/>
        <w:ind w:firstLine="480"/>
        <w:contextualSpacing/>
        <w:jc w:val="left"/>
        <w:rPr>
          <w:kern w:val="0"/>
        </w:rPr>
      </w:pPr>
      <w:r>
        <w:rPr>
          <w:kern w:val="0"/>
        </w:rPr>
        <w:t>仔猪副伤寒：该病是由沙门氏菌引起的一种传染病，多发生于2～4月龄的仔猪，1个月以下和6个月以上的猪很少发生。在非疫区仔猪断奶后接种副伤寒弱毒冻干苗，疫区要对20～30日龄的仔猪用副伤寒甲醛苗首免，间隔5～8天再免疫一次。</w:t>
      </w:r>
    </w:p>
    <w:p>
      <w:pPr>
        <w:pStyle w:val="1345"/>
        <w:adjustRightInd/>
        <w:spacing w:line="360" w:lineRule="auto"/>
        <w:ind w:firstLine="480" w:firstLineChars="200"/>
        <w:contextualSpacing/>
        <w:rPr>
          <w:color w:val="auto"/>
        </w:rPr>
      </w:pPr>
      <w:r>
        <w:rPr>
          <w:color w:val="auto"/>
        </w:rPr>
        <w:t>仔猪大肠杆菌病毒引起，包括仔猪黄痢油剂苗（以1～3日龄仔猪多见）、仔猪白痢（以10～30日龄仔猪多发）、仔猪水肿病（多发生于断奶前后体质健壮的仔猪）。仔猪黄痢的免疫是对怀孕母猪于产前40天肌肉注射2毫升仔猪黄痢油剂苗；仔猪白痢的免疫方法是让怀孕母猪于产前40天口服遗传工程活菌苗，产前15天进行加强免疫；仔猪水肿病的免疫方法是对妊娠母猪注射采用本猪场病猪分离的致病菌株制备的灭活苗。</w:t>
      </w:r>
    </w:p>
    <w:p>
      <w:pPr>
        <w:autoSpaceDE w:val="0"/>
        <w:autoSpaceDN w:val="0"/>
        <w:ind w:firstLine="480"/>
        <w:contextualSpacing/>
        <w:jc w:val="left"/>
        <w:rPr>
          <w:kern w:val="0"/>
        </w:rPr>
      </w:pPr>
      <w:r>
        <w:rPr>
          <w:kern w:val="0"/>
        </w:rPr>
        <w:t>猪喘气病：该病又称猪霉形体肺炎，是由肺炎霉形体（支原体）引起的一种慢性呼吸道传染病，各种年龄、性别、品种的猪都可发生，病猪表现为咳嗽、气喘，死亡率不高，主要影响猪的生长速度。可对15日龄以上的仔猪胸腔或肺内接种猪气喘病弱毒苗。</w:t>
      </w:r>
    </w:p>
    <w:p>
      <w:pPr>
        <w:pStyle w:val="320"/>
        <w:spacing w:line="360" w:lineRule="auto"/>
        <w:ind w:firstLine="480"/>
        <w:rPr>
          <w:rFonts w:ascii="Times New Roman" w:hAnsi="Times New Roman"/>
          <w:color w:val="FF0000"/>
        </w:rPr>
      </w:pPr>
      <w:r>
        <w:rPr>
          <w:kern w:val="0"/>
        </w:rPr>
        <w:t>猪肺疫：该病是由巴氏杆菌引起的一种急性、热性、败血性传染病，各种年龄的猪均易感染，但以仔猪和架子猪发病率较高。仔猪断奶时肌肉注射猪肺疫弱毒苗。</w:t>
      </w:r>
    </w:p>
    <w:p>
      <w:pPr>
        <w:pStyle w:val="970"/>
        <w:snapToGrid w:val="0"/>
        <w:ind w:firstLine="0"/>
        <w:outlineLvl w:val="3"/>
        <w:rPr>
          <w:rFonts w:eastAsia="黑体"/>
          <w:bCs/>
          <w:szCs w:val="24"/>
        </w:rPr>
      </w:pPr>
      <w:r>
        <w:rPr>
          <w:rFonts w:eastAsia="黑体"/>
          <w:bCs/>
          <w:szCs w:val="24"/>
        </w:rPr>
        <w:t>8.5.1.4</w:t>
      </w:r>
      <w:r>
        <w:rPr>
          <w:rFonts w:hint="eastAsia" w:eastAsia="黑体"/>
          <w:bCs/>
          <w:szCs w:val="24"/>
        </w:rPr>
        <w:t>环境风险</w:t>
      </w:r>
      <w:r>
        <w:rPr>
          <w:rFonts w:eastAsia="黑体"/>
          <w:bCs/>
          <w:szCs w:val="24"/>
        </w:rPr>
        <w:t>防范措施投资</w:t>
      </w:r>
    </w:p>
    <w:p>
      <w:pPr>
        <w:widowControl/>
        <w:ind w:firstLine="480" w:firstLineChars="200"/>
        <w:rPr>
          <w:szCs w:val="21"/>
        </w:rPr>
      </w:pPr>
      <w:r>
        <w:rPr>
          <w:szCs w:val="28"/>
        </w:rPr>
        <w:t>项目环境风险</w:t>
      </w:r>
      <w:r>
        <w:rPr>
          <w:rFonts w:hint="eastAsia"/>
          <w:szCs w:val="28"/>
        </w:rPr>
        <w:t>控制</w:t>
      </w:r>
      <w:r>
        <w:rPr>
          <w:szCs w:val="28"/>
        </w:rPr>
        <w:t>措施及投资见表8.5-1。</w:t>
      </w:r>
    </w:p>
    <w:p>
      <w:pPr>
        <w:widowControl/>
        <w:spacing w:line="240" w:lineRule="auto"/>
        <w:ind w:firstLine="480" w:firstLineChars="200"/>
        <w:jc w:val="center"/>
        <w:rPr>
          <w:b/>
          <w:bCs/>
        </w:rPr>
      </w:pPr>
      <w:r>
        <w:rPr>
          <w:rFonts w:eastAsia="黑体"/>
        </w:rPr>
        <w:t>表8.5-</w:t>
      </w:r>
      <w:r>
        <w:rPr>
          <w:rFonts w:hint="eastAsia" w:eastAsia="黑体"/>
        </w:rPr>
        <w:t>1</w:t>
      </w:r>
      <w:r>
        <w:rPr>
          <w:rFonts w:eastAsia="黑体"/>
        </w:rPr>
        <w:tab/>
      </w:r>
      <w:r>
        <w:rPr>
          <w:rFonts w:hint="eastAsia" w:eastAsia="黑体"/>
        </w:rPr>
        <w:t>项目环境风险控制措施及投资</w:t>
      </w:r>
    </w:p>
    <w:tbl>
      <w:tblPr>
        <w:tblStyle w:val="88"/>
        <w:tblW w:w="85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5881"/>
        <w:gridCol w:w="15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2" w:type="dxa"/>
            <w:tcBorders>
              <w:left w:val="nil"/>
            </w:tcBorders>
            <w:vAlign w:val="center"/>
          </w:tcPr>
          <w:p>
            <w:pPr>
              <w:widowControl/>
              <w:snapToGrid w:val="0"/>
              <w:spacing w:line="240" w:lineRule="auto"/>
              <w:jc w:val="center"/>
              <w:rPr>
                <w:sz w:val="21"/>
                <w:szCs w:val="21"/>
              </w:rPr>
            </w:pPr>
            <w:r>
              <w:rPr>
                <w:sz w:val="21"/>
                <w:szCs w:val="21"/>
              </w:rPr>
              <w:t>项目</w:t>
            </w:r>
          </w:p>
        </w:tc>
        <w:tc>
          <w:tcPr>
            <w:tcW w:w="5881" w:type="dxa"/>
            <w:vAlign w:val="center"/>
          </w:tcPr>
          <w:p>
            <w:pPr>
              <w:widowControl/>
              <w:snapToGrid w:val="0"/>
              <w:spacing w:line="240" w:lineRule="auto"/>
              <w:jc w:val="center"/>
              <w:rPr>
                <w:sz w:val="21"/>
                <w:szCs w:val="21"/>
              </w:rPr>
            </w:pPr>
            <w:r>
              <w:rPr>
                <w:bCs/>
                <w:sz w:val="21"/>
                <w:szCs w:val="21"/>
              </w:rPr>
              <w:t>风险防范措施</w:t>
            </w:r>
          </w:p>
        </w:tc>
        <w:tc>
          <w:tcPr>
            <w:tcW w:w="1546" w:type="dxa"/>
            <w:tcBorders>
              <w:right w:val="nil"/>
            </w:tcBorders>
            <w:vAlign w:val="center"/>
          </w:tcPr>
          <w:p>
            <w:pPr>
              <w:widowControl/>
              <w:snapToGrid w:val="0"/>
              <w:spacing w:line="240" w:lineRule="auto"/>
              <w:jc w:val="center"/>
              <w:rPr>
                <w:sz w:val="21"/>
                <w:szCs w:val="21"/>
              </w:rPr>
            </w:pPr>
            <w:r>
              <w:rPr>
                <w:sz w:val="21"/>
                <w:szCs w:val="21"/>
              </w:rPr>
              <w:t>投资</w:t>
            </w:r>
          </w:p>
          <w:p>
            <w:pPr>
              <w:widowControl/>
              <w:snapToGrid w:val="0"/>
              <w:spacing w:line="240" w:lineRule="auto"/>
              <w:jc w:val="center"/>
              <w:rPr>
                <w:sz w:val="21"/>
                <w:szCs w:val="21"/>
              </w:rPr>
            </w:pPr>
            <w:r>
              <w:rPr>
                <w:sz w:val="21"/>
                <w:szCs w:val="21"/>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2" w:type="dxa"/>
            <w:tcBorders>
              <w:left w:val="nil"/>
            </w:tcBorders>
            <w:vAlign w:val="center"/>
          </w:tcPr>
          <w:p>
            <w:pPr>
              <w:widowControl/>
              <w:snapToGrid w:val="0"/>
              <w:spacing w:line="240" w:lineRule="auto"/>
              <w:jc w:val="center"/>
              <w:rPr>
                <w:sz w:val="21"/>
                <w:szCs w:val="21"/>
              </w:rPr>
            </w:pPr>
            <w:r>
              <w:rPr>
                <w:rFonts w:hint="eastAsia"/>
                <w:sz w:val="21"/>
                <w:szCs w:val="21"/>
              </w:rPr>
              <w:t>大气环境</w:t>
            </w:r>
          </w:p>
        </w:tc>
        <w:tc>
          <w:tcPr>
            <w:tcW w:w="5881" w:type="dxa"/>
            <w:vAlign w:val="center"/>
          </w:tcPr>
          <w:p>
            <w:pPr>
              <w:widowControl/>
              <w:snapToGrid w:val="0"/>
              <w:spacing w:line="240" w:lineRule="auto"/>
              <w:rPr>
                <w:sz w:val="21"/>
                <w:szCs w:val="21"/>
              </w:rPr>
            </w:pPr>
            <w:r>
              <w:rPr>
                <w:rFonts w:hint="eastAsia"/>
                <w:sz w:val="21"/>
                <w:szCs w:val="21"/>
              </w:rPr>
              <w:t>粪便及时</w:t>
            </w:r>
            <w:r>
              <w:rPr>
                <w:sz w:val="21"/>
                <w:szCs w:val="21"/>
              </w:rPr>
              <w:t>交由井研县大沼工程，集污池加盖；病死猪及时交由</w:t>
            </w:r>
            <w:r>
              <w:rPr>
                <w:rFonts w:hint="eastAsia"/>
                <w:sz w:val="21"/>
                <w:szCs w:val="21"/>
              </w:rPr>
              <w:t>乐山</w:t>
            </w:r>
            <w:r>
              <w:rPr>
                <w:sz w:val="21"/>
                <w:szCs w:val="21"/>
              </w:rPr>
              <w:t>无害化处理中心处理，避免病菌滋生和传播。</w:t>
            </w:r>
          </w:p>
        </w:tc>
        <w:tc>
          <w:tcPr>
            <w:tcW w:w="1546" w:type="dxa"/>
            <w:tcBorders>
              <w:right w:val="nil"/>
            </w:tcBorders>
            <w:vAlign w:val="center"/>
          </w:tcPr>
          <w:p>
            <w:pPr>
              <w:widowControl/>
              <w:snapToGrid w:val="0"/>
              <w:spacing w:line="240" w:lineRule="auto"/>
              <w:jc w:val="center"/>
              <w:rPr>
                <w:sz w:val="21"/>
                <w:szCs w:val="21"/>
              </w:rPr>
            </w:pPr>
            <w:r>
              <w:rPr>
                <w:sz w:val="21"/>
                <w:szCs w:val="21"/>
              </w:rPr>
              <w:t>计入工程投资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0" w:hRule="atLeast"/>
          <w:jc w:val="center"/>
        </w:trPr>
        <w:tc>
          <w:tcPr>
            <w:tcW w:w="1102" w:type="dxa"/>
            <w:tcBorders>
              <w:left w:val="nil"/>
            </w:tcBorders>
            <w:vAlign w:val="center"/>
          </w:tcPr>
          <w:p>
            <w:pPr>
              <w:widowControl/>
              <w:snapToGrid w:val="0"/>
              <w:spacing w:line="240" w:lineRule="auto"/>
              <w:jc w:val="center"/>
              <w:rPr>
                <w:sz w:val="21"/>
                <w:szCs w:val="21"/>
              </w:rPr>
            </w:pPr>
            <w:r>
              <w:rPr>
                <w:sz w:val="21"/>
                <w:szCs w:val="21"/>
              </w:rPr>
              <w:t>废水</w:t>
            </w:r>
          </w:p>
        </w:tc>
        <w:tc>
          <w:tcPr>
            <w:tcW w:w="5881" w:type="dxa"/>
            <w:vAlign w:val="center"/>
          </w:tcPr>
          <w:p>
            <w:pPr>
              <w:widowControl/>
              <w:snapToGrid w:val="0"/>
              <w:spacing w:line="240" w:lineRule="auto"/>
              <w:rPr>
                <w:sz w:val="21"/>
                <w:szCs w:val="21"/>
              </w:rPr>
            </w:pPr>
            <w:r>
              <w:rPr>
                <w:sz w:val="21"/>
                <w:szCs w:val="21"/>
              </w:rPr>
              <w:t>废水事故应急系统：</w:t>
            </w:r>
            <w:r>
              <w:rPr>
                <w:rFonts w:hint="eastAsia"/>
                <w:sz w:val="21"/>
                <w:szCs w:val="21"/>
              </w:rPr>
              <w:t>配套建设固液分离机+</w:t>
            </w:r>
            <w:r>
              <w:rPr>
                <w:sz w:val="21"/>
                <w:szCs w:val="21"/>
              </w:rPr>
              <w:t>200</w:t>
            </w:r>
            <w:r>
              <w:rPr>
                <w:rFonts w:hint="eastAsia"/>
                <w:sz w:val="21"/>
                <w:szCs w:val="21"/>
              </w:rPr>
              <w:t>m</w:t>
            </w:r>
            <w:r>
              <w:rPr>
                <w:sz w:val="21"/>
                <w:szCs w:val="21"/>
                <w:vertAlign w:val="superscript"/>
              </w:rPr>
              <w:t>3</w:t>
            </w:r>
            <w:r>
              <w:rPr>
                <w:rFonts w:hint="eastAsia"/>
                <w:sz w:val="21"/>
                <w:szCs w:val="21"/>
              </w:rPr>
              <w:t>沼气池+</w:t>
            </w:r>
            <w:r>
              <w:rPr>
                <w:sz w:val="21"/>
                <w:szCs w:val="21"/>
              </w:rPr>
              <w:t>500</w:t>
            </w:r>
            <w:r>
              <w:rPr>
                <w:rFonts w:hint="eastAsia"/>
                <w:sz w:val="21"/>
                <w:szCs w:val="21"/>
              </w:rPr>
              <w:t>m</w:t>
            </w:r>
            <w:r>
              <w:rPr>
                <w:sz w:val="21"/>
                <w:szCs w:val="21"/>
                <w:vertAlign w:val="superscript"/>
              </w:rPr>
              <w:t>3</w:t>
            </w:r>
            <w:r>
              <w:rPr>
                <w:rFonts w:hint="eastAsia"/>
                <w:sz w:val="21"/>
                <w:szCs w:val="21"/>
              </w:rPr>
              <w:t>暂存池+</w:t>
            </w:r>
            <w:r>
              <w:rPr>
                <w:sz w:val="21"/>
                <w:szCs w:val="21"/>
              </w:rPr>
              <w:t>12</w:t>
            </w:r>
            <w:r>
              <w:rPr>
                <w:rFonts w:hint="eastAsia"/>
                <w:sz w:val="21"/>
                <w:szCs w:val="21"/>
              </w:rPr>
              <w:t>个田间暂存池；</w:t>
            </w:r>
          </w:p>
        </w:tc>
        <w:tc>
          <w:tcPr>
            <w:tcW w:w="1546" w:type="dxa"/>
            <w:tcBorders>
              <w:right w:val="nil"/>
            </w:tcBorders>
            <w:vAlign w:val="center"/>
          </w:tcPr>
          <w:p>
            <w:pPr>
              <w:widowControl/>
              <w:snapToGrid w:val="0"/>
              <w:spacing w:line="240" w:lineRule="auto"/>
              <w:jc w:val="center"/>
              <w:rPr>
                <w:sz w:val="21"/>
                <w:szCs w:val="21"/>
              </w:rPr>
            </w:pPr>
            <w:r>
              <w:rPr>
                <w:rFonts w:hint="eastAsia"/>
                <w:sz w:val="21"/>
                <w:szCs w:val="21"/>
              </w:rPr>
              <w:t>纳入水污染防治措施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102" w:type="dxa"/>
            <w:tcBorders>
              <w:left w:val="nil"/>
            </w:tcBorders>
            <w:vAlign w:val="center"/>
          </w:tcPr>
          <w:p>
            <w:pPr>
              <w:widowControl/>
              <w:snapToGrid w:val="0"/>
              <w:spacing w:line="240" w:lineRule="auto"/>
              <w:jc w:val="center"/>
              <w:rPr>
                <w:sz w:val="21"/>
                <w:szCs w:val="21"/>
              </w:rPr>
            </w:pPr>
            <w:r>
              <w:rPr>
                <w:rFonts w:hint="eastAsia"/>
                <w:sz w:val="21"/>
                <w:szCs w:val="21"/>
              </w:rPr>
              <w:t>地下水</w:t>
            </w:r>
          </w:p>
        </w:tc>
        <w:tc>
          <w:tcPr>
            <w:tcW w:w="5881" w:type="dxa"/>
            <w:vAlign w:val="center"/>
          </w:tcPr>
          <w:p>
            <w:pPr>
              <w:widowControl/>
              <w:snapToGrid w:val="0"/>
              <w:spacing w:line="240" w:lineRule="auto"/>
              <w:rPr>
                <w:sz w:val="21"/>
                <w:szCs w:val="21"/>
              </w:rPr>
            </w:pPr>
            <w:r>
              <w:rPr>
                <w:rFonts w:hint="eastAsia"/>
                <w:sz w:val="21"/>
                <w:szCs w:val="21"/>
              </w:rPr>
              <w:t>按要求进行防渗</w:t>
            </w:r>
          </w:p>
        </w:tc>
        <w:tc>
          <w:tcPr>
            <w:tcW w:w="1546" w:type="dxa"/>
            <w:tcBorders>
              <w:right w:val="nil"/>
            </w:tcBorders>
            <w:vAlign w:val="center"/>
          </w:tcPr>
          <w:p>
            <w:pPr>
              <w:widowControl/>
              <w:snapToGrid w:val="0"/>
              <w:spacing w:line="240" w:lineRule="auto"/>
              <w:jc w:val="center"/>
              <w:rPr>
                <w:sz w:val="21"/>
                <w:szCs w:val="21"/>
              </w:rPr>
            </w:pPr>
            <w:r>
              <w:rPr>
                <w:rFonts w:hint="eastAsia"/>
                <w:sz w:val="21"/>
                <w:szCs w:val="21"/>
              </w:rPr>
              <w:t>纳入地下水保护措施投资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2" w:type="dxa"/>
            <w:tcBorders>
              <w:left w:val="nil"/>
            </w:tcBorders>
            <w:vAlign w:val="center"/>
          </w:tcPr>
          <w:p>
            <w:pPr>
              <w:widowControl/>
              <w:snapToGrid w:val="0"/>
              <w:spacing w:line="240" w:lineRule="auto"/>
              <w:jc w:val="center"/>
              <w:rPr>
                <w:sz w:val="21"/>
                <w:szCs w:val="21"/>
              </w:rPr>
            </w:pPr>
            <w:r>
              <w:rPr>
                <w:sz w:val="21"/>
                <w:szCs w:val="21"/>
              </w:rPr>
              <w:t>动物疫情</w:t>
            </w:r>
          </w:p>
        </w:tc>
        <w:tc>
          <w:tcPr>
            <w:tcW w:w="5881" w:type="dxa"/>
            <w:vAlign w:val="center"/>
          </w:tcPr>
          <w:p>
            <w:pPr>
              <w:widowControl/>
              <w:snapToGrid w:val="0"/>
              <w:spacing w:line="240" w:lineRule="auto"/>
              <w:rPr>
                <w:sz w:val="21"/>
                <w:szCs w:val="21"/>
              </w:rPr>
            </w:pPr>
            <w:r>
              <w:rPr>
                <w:sz w:val="21"/>
                <w:szCs w:val="21"/>
              </w:rPr>
              <w:fldChar w:fldCharType="begin"/>
            </w:r>
            <w:r>
              <w:rPr>
                <w:sz w:val="21"/>
                <w:szCs w:val="21"/>
              </w:rPr>
              <w:instrText xml:space="preserve"> </w:instrText>
            </w:r>
            <w:r>
              <w:rPr>
                <w:rFonts w:hint="eastAsia"/>
                <w:sz w:val="21"/>
                <w:szCs w:val="21"/>
              </w:rPr>
              <w:instrText xml:space="preserve">= 1 \* GB3</w:instrText>
            </w:r>
            <w:r>
              <w:rPr>
                <w:sz w:val="21"/>
                <w:szCs w:val="21"/>
              </w:rPr>
              <w:instrText xml:space="preserve"> </w:instrText>
            </w:r>
            <w:r>
              <w:rPr>
                <w:sz w:val="21"/>
                <w:szCs w:val="21"/>
              </w:rPr>
              <w:fldChar w:fldCharType="separate"/>
            </w:r>
            <w:r>
              <w:rPr>
                <w:rFonts w:hint="eastAsia"/>
                <w:sz w:val="21"/>
                <w:szCs w:val="21"/>
              </w:rPr>
              <w:t>①</w:t>
            </w:r>
            <w:r>
              <w:rPr>
                <w:sz w:val="21"/>
                <w:szCs w:val="21"/>
              </w:rPr>
              <w:fldChar w:fldCharType="end"/>
            </w:r>
            <w:r>
              <w:rPr>
                <w:rFonts w:hint="eastAsia"/>
                <w:sz w:val="21"/>
                <w:szCs w:val="21"/>
              </w:rPr>
              <w:t>建立严格的卫生防疫制度</w:t>
            </w:r>
          </w:p>
          <w:p>
            <w:pPr>
              <w:widowControl/>
              <w:snapToGrid w:val="0"/>
              <w:spacing w:line="240" w:lineRule="auto"/>
              <w:rPr>
                <w:sz w:val="21"/>
                <w:szCs w:val="21"/>
              </w:rPr>
            </w:pPr>
            <w:r>
              <w:rPr>
                <w:sz w:val="21"/>
                <w:szCs w:val="21"/>
              </w:rPr>
              <w:fldChar w:fldCharType="begin"/>
            </w:r>
            <w:r>
              <w:rPr>
                <w:sz w:val="21"/>
                <w:szCs w:val="21"/>
              </w:rPr>
              <w:instrText xml:space="preserve"> </w:instrText>
            </w:r>
            <w:r>
              <w:rPr>
                <w:rFonts w:hint="eastAsia"/>
                <w:sz w:val="21"/>
                <w:szCs w:val="21"/>
              </w:rPr>
              <w:instrText xml:space="preserve">= 2 \* GB3</w:instrText>
            </w:r>
            <w:r>
              <w:rPr>
                <w:sz w:val="21"/>
                <w:szCs w:val="21"/>
              </w:rPr>
              <w:instrText xml:space="preserve"> </w:instrText>
            </w:r>
            <w:r>
              <w:rPr>
                <w:sz w:val="21"/>
                <w:szCs w:val="21"/>
              </w:rPr>
              <w:fldChar w:fldCharType="separate"/>
            </w:r>
            <w:r>
              <w:rPr>
                <w:rFonts w:hint="eastAsia"/>
                <w:sz w:val="21"/>
                <w:szCs w:val="21"/>
              </w:rPr>
              <w:t>②</w:t>
            </w:r>
            <w:r>
              <w:rPr>
                <w:sz w:val="21"/>
                <w:szCs w:val="21"/>
              </w:rPr>
              <w:fldChar w:fldCharType="end"/>
            </w:r>
            <w:r>
              <w:rPr>
                <w:rFonts w:hint="eastAsia"/>
                <w:sz w:val="21"/>
                <w:szCs w:val="21"/>
              </w:rPr>
              <w:t>组成防疫小组</w:t>
            </w:r>
          </w:p>
        </w:tc>
        <w:tc>
          <w:tcPr>
            <w:tcW w:w="1546" w:type="dxa"/>
            <w:tcBorders>
              <w:right w:val="nil"/>
            </w:tcBorders>
            <w:vAlign w:val="center"/>
          </w:tcPr>
          <w:p>
            <w:pPr>
              <w:widowControl/>
              <w:snapToGrid w:val="0"/>
              <w:spacing w:line="240" w:lineRule="auto"/>
              <w:jc w:val="center"/>
              <w:rPr>
                <w:sz w:val="21"/>
                <w:szCs w:val="21"/>
              </w:rPr>
            </w:pPr>
            <w:r>
              <w:rPr>
                <w:sz w:val="21"/>
                <w:szCs w:val="21"/>
              </w:rPr>
              <w:t>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0" w:hRule="atLeast"/>
          <w:jc w:val="center"/>
        </w:trPr>
        <w:tc>
          <w:tcPr>
            <w:tcW w:w="1102" w:type="dxa"/>
            <w:tcBorders>
              <w:left w:val="nil"/>
            </w:tcBorders>
            <w:vAlign w:val="center"/>
          </w:tcPr>
          <w:p>
            <w:pPr>
              <w:widowControl/>
              <w:snapToGrid w:val="0"/>
              <w:spacing w:line="240" w:lineRule="auto"/>
              <w:jc w:val="center"/>
              <w:rPr>
                <w:sz w:val="21"/>
                <w:szCs w:val="21"/>
              </w:rPr>
            </w:pPr>
            <w:r>
              <w:rPr>
                <w:sz w:val="21"/>
                <w:szCs w:val="21"/>
              </w:rPr>
              <w:t>合计</w:t>
            </w:r>
          </w:p>
        </w:tc>
        <w:tc>
          <w:tcPr>
            <w:tcW w:w="5881" w:type="dxa"/>
            <w:vAlign w:val="center"/>
          </w:tcPr>
          <w:p>
            <w:pPr>
              <w:widowControl/>
              <w:snapToGrid w:val="0"/>
              <w:spacing w:line="240" w:lineRule="auto"/>
              <w:jc w:val="center"/>
              <w:rPr>
                <w:sz w:val="21"/>
                <w:szCs w:val="21"/>
              </w:rPr>
            </w:pPr>
          </w:p>
        </w:tc>
        <w:tc>
          <w:tcPr>
            <w:tcW w:w="1546" w:type="dxa"/>
            <w:tcBorders>
              <w:right w:val="nil"/>
            </w:tcBorders>
            <w:vAlign w:val="center"/>
          </w:tcPr>
          <w:p>
            <w:pPr>
              <w:widowControl/>
              <w:snapToGrid w:val="0"/>
              <w:spacing w:line="240" w:lineRule="auto"/>
              <w:jc w:val="center"/>
              <w:rPr>
                <w:sz w:val="21"/>
                <w:szCs w:val="21"/>
              </w:rPr>
            </w:pPr>
            <w:r>
              <w:rPr>
                <w:sz w:val="21"/>
                <w:szCs w:val="21"/>
              </w:rPr>
              <w:t>8.0</w:t>
            </w:r>
          </w:p>
        </w:tc>
      </w:tr>
    </w:tbl>
    <w:p>
      <w:pPr>
        <w:pStyle w:val="320"/>
        <w:spacing w:line="360" w:lineRule="auto"/>
        <w:ind w:firstLine="480"/>
        <w:rPr>
          <w:rFonts w:ascii="Times New Roman" w:hAnsi="Times New Roman"/>
          <w:color w:val="FF0000"/>
        </w:rPr>
      </w:pPr>
    </w:p>
    <w:p>
      <w:pPr>
        <w:jc w:val="left"/>
        <w:outlineLvl w:val="2"/>
        <w:rPr>
          <w:rFonts w:eastAsia="黑体"/>
          <w:bCs/>
          <w:spacing w:val="4"/>
          <w:sz w:val="30"/>
          <w:szCs w:val="30"/>
        </w:rPr>
      </w:pPr>
      <w:r>
        <w:rPr>
          <w:rFonts w:eastAsia="黑体"/>
          <w:bCs/>
          <w:spacing w:val="4"/>
          <w:sz w:val="30"/>
          <w:szCs w:val="30"/>
        </w:rPr>
        <w:t>8.5.2</w:t>
      </w:r>
      <w:r>
        <w:rPr>
          <w:rFonts w:hint="eastAsia" w:eastAsia="黑体"/>
          <w:bCs/>
          <w:spacing w:val="4"/>
          <w:sz w:val="30"/>
          <w:szCs w:val="30"/>
        </w:rPr>
        <w:t>应急要求</w:t>
      </w:r>
    </w:p>
    <w:p>
      <w:pPr>
        <w:pStyle w:val="320"/>
        <w:spacing w:line="360" w:lineRule="auto"/>
        <w:ind w:firstLine="480"/>
        <w:rPr>
          <w:rFonts w:ascii="Times New Roman" w:hAnsi="Times New Roman"/>
        </w:rPr>
      </w:pPr>
      <w:r>
        <w:rPr>
          <w:rFonts w:hint="eastAsia" w:ascii="Times New Roman" w:hAnsi="Times New Roman"/>
        </w:rPr>
        <w:t>（1）</w:t>
      </w:r>
      <w:r>
        <w:rPr>
          <w:rFonts w:ascii="Times New Roman" w:hAnsi="Times New Roman"/>
        </w:rPr>
        <w:t>火灾爆炸</w:t>
      </w:r>
    </w:p>
    <w:p>
      <w:pPr>
        <w:widowControl/>
        <w:ind w:firstLine="480" w:firstLineChars="200"/>
        <w:rPr>
          <w:szCs w:val="28"/>
        </w:rPr>
      </w:pPr>
      <w:r>
        <w:rPr>
          <w:szCs w:val="28"/>
        </w:rPr>
        <w:t>在</w:t>
      </w:r>
      <w:r>
        <w:rPr>
          <w:rFonts w:hint="eastAsia"/>
          <w:szCs w:val="28"/>
        </w:rPr>
        <w:t>柴油</w:t>
      </w:r>
      <w:r>
        <w:rPr>
          <w:szCs w:val="28"/>
        </w:rPr>
        <w:t>贮存及运输使用过程中，如发生火灾、爆炸应采取以下措施：</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1 \* GB3</w:instrText>
      </w:r>
      <w:r>
        <w:rPr>
          <w:szCs w:val="28"/>
        </w:rPr>
        <w:instrText xml:space="preserve"> </w:instrText>
      </w:r>
      <w:r>
        <w:rPr>
          <w:szCs w:val="28"/>
        </w:rPr>
        <w:fldChar w:fldCharType="separate"/>
      </w:r>
      <w:r>
        <w:rPr>
          <w:rFonts w:hint="eastAsia"/>
          <w:szCs w:val="28"/>
        </w:rPr>
        <w:t>①</w:t>
      </w:r>
      <w:r>
        <w:rPr>
          <w:szCs w:val="28"/>
        </w:rPr>
        <w:fldChar w:fldCharType="end"/>
      </w:r>
      <w:r>
        <w:rPr>
          <w:szCs w:val="28"/>
        </w:rPr>
        <w:t>报警：迅速向当地119 消防、政府报警并申请紧急救援。由消防、医疗、工程技术人员及厂领导共同组成事故应急救援领导小组统一指挥事故现场的火灾扑救，并根据火势和风向划定安全距离组织周围公众的疏散撤退，及受伤人员的救助。</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2 \* GB3</w:instrText>
      </w:r>
      <w:r>
        <w:rPr>
          <w:szCs w:val="28"/>
        </w:rPr>
        <w:instrText xml:space="preserve"> </w:instrText>
      </w:r>
      <w:r>
        <w:rPr>
          <w:szCs w:val="28"/>
        </w:rPr>
        <w:fldChar w:fldCharType="separate"/>
      </w:r>
      <w:r>
        <w:rPr>
          <w:rFonts w:hint="eastAsia"/>
          <w:szCs w:val="28"/>
        </w:rPr>
        <w:t>②</w:t>
      </w:r>
      <w:r>
        <w:rPr>
          <w:szCs w:val="28"/>
        </w:rPr>
        <w:fldChar w:fldCharType="end"/>
      </w:r>
      <w:r>
        <w:rPr>
          <w:szCs w:val="28"/>
        </w:rPr>
        <w:t>隔离、疏散、转移遇险人员到安全区域，建立不小于500m 的警戒区，并在通往事故现场的主要干道上实行交通管制，除消防及应急处理人员外，其他人员禁止进入警戒区，并迅速撤离无关人员。</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3 \* GB3</w:instrText>
      </w:r>
      <w:r>
        <w:rPr>
          <w:szCs w:val="28"/>
        </w:rPr>
        <w:instrText xml:space="preserve"> </w:instrText>
      </w:r>
      <w:r>
        <w:rPr>
          <w:szCs w:val="28"/>
        </w:rPr>
        <w:fldChar w:fldCharType="separate"/>
      </w:r>
      <w:r>
        <w:rPr>
          <w:rFonts w:hint="eastAsia"/>
          <w:szCs w:val="28"/>
        </w:rPr>
        <w:t>③</w:t>
      </w:r>
      <w:r>
        <w:rPr>
          <w:szCs w:val="28"/>
        </w:rPr>
        <w:fldChar w:fldCharType="end"/>
      </w:r>
      <w:r>
        <w:rPr>
          <w:szCs w:val="28"/>
        </w:rPr>
        <w:t>事故应急救援领导小组应立即查明原因，及时组织指挥各方面力量处理污染事故，控制事故的蔓延和扩大。</w:t>
      </w:r>
    </w:p>
    <w:p>
      <w:pPr>
        <w:widowControl/>
        <w:ind w:firstLine="480" w:firstLineChars="200"/>
        <w:rPr>
          <w:szCs w:val="28"/>
        </w:rPr>
      </w:pPr>
      <w:r>
        <w:rPr>
          <w:rFonts w:hint="eastAsia"/>
          <w:szCs w:val="28"/>
        </w:rPr>
        <w:t>（2）应急撤离</w:t>
      </w:r>
    </w:p>
    <w:p>
      <w:pPr>
        <w:widowControl/>
        <w:ind w:firstLine="480" w:firstLineChars="200"/>
        <w:rPr>
          <w:szCs w:val="28"/>
        </w:rPr>
      </w:pPr>
      <w:r>
        <w:rPr>
          <w:szCs w:val="28"/>
        </w:rPr>
        <w:t>根据事故情况，建立警戒区域，并迅速将警戒区内与事故处理无关人员撤离。应急撤离应注意以下几点：</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1 \* GB3</w:instrText>
      </w:r>
      <w:r>
        <w:rPr>
          <w:szCs w:val="28"/>
        </w:rPr>
        <w:instrText xml:space="preserve"> </w:instrText>
      </w:r>
      <w:r>
        <w:rPr>
          <w:szCs w:val="28"/>
        </w:rPr>
        <w:fldChar w:fldCharType="separate"/>
      </w:r>
      <w:r>
        <w:rPr>
          <w:rFonts w:hint="eastAsia"/>
          <w:szCs w:val="28"/>
        </w:rPr>
        <w:t>①</w:t>
      </w:r>
      <w:r>
        <w:rPr>
          <w:szCs w:val="28"/>
        </w:rPr>
        <w:fldChar w:fldCharType="end"/>
      </w:r>
      <w:r>
        <w:rPr>
          <w:szCs w:val="28"/>
        </w:rPr>
        <w:t>警戒区域的边界应设警示标志并有专人警戒；</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2 \* GB3</w:instrText>
      </w:r>
      <w:r>
        <w:rPr>
          <w:szCs w:val="28"/>
        </w:rPr>
        <w:instrText xml:space="preserve"> </w:instrText>
      </w:r>
      <w:r>
        <w:rPr>
          <w:szCs w:val="28"/>
        </w:rPr>
        <w:fldChar w:fldCharType="separate"/>
      </w:r>
      <w:r>
        <w:rPr>
          <w:rFonts w:hint="eastAsia"/>
          <w:szCs w:val="28"/>
        </w:rPr>
        <w:t>②</w:t>
      </w:r>
      <w:r>
        <w:rPr>
          <w:szCs w:val="28"/>
        </w:rPr>
        <w:fldChar w:fldCharType="end"/>
      </w:r>
      <w:r>
        <w:rPr>
          <w:szCs w:val="28"/>
        </w:rPr>
        <w:t>除消防及应急处理人员外，其他人员禁止进入警戒区；</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3 \* GB3</w:instrText>
      </w:r>
      <w:r>
        <w:rPr>
          <w:szCs w:val="28"/>
        </w:rPr>
        <w:instrText xml:space="preserve"> </w:instrText>
      </w:r>
      <w:r>
        <w:rPr>
          <w:szCs w:val="28"/>
        </w:rPr>
        <w:fldChar w:fldCharType="separate"/>
      </w:r>
      <w:r>
        <w:rPr>
          <w:rFonts w:hint="eastAsia"/>
          <w:szCs w:val="28"/>
        </w:rPr>
        <w:t>③</w:t>
      </w:r>
      <w:r>
        <w:rPr>
          <w:szCs w:val="28"/>
        </w:rPr>
        <w:fldChar w:fldCharType="end"/>
      </w:r>
      <w:r>
        <w:rPr>
          <w:szCs w:val="28"/>
        </w:rPr>
        <w:t>应向上风向转移；明确专人引导和护送疏散人员到安全区；</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4 \* GB3</w:instrText>
      </w:r>
      <w:r>
        <w:rPr>
          <w:szCs w:val="28"/>
        </w:rPr>
        <w:instrText xml:space="preserve"> </w:instrText>
      </w:r>
      <w:r>
        <w:rPr>
          <w:szCs w:val="28"/>
        </w:rPr>
        <w:fldChar w:fldCharType="separate"/>
      </w:r>
      <w:r>
        <w:rPr>
          <w:rFonts w:hint="eastAsia"/>
          <w:szCs w:val="28"/>
        </w:rPr>
        <w:t>④</w:t>
      </w:r>
      <w:r>
        <w:rPr>
          <w:szCs w:val="28"/>
        </w:rPr>
        <w:fldChar w:fldCharType="end"/>
      </w:r>
      <w:r>
        <w:rPr>
          <w:szCs w:val="28"/>
        </w:rPr>
        <w:t>不要在低洼处滞留；</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5 \* GB3</w:instrText>
      </w:r>
      <w:r>
        <w:rPr>
          <w:szCs w:val="28"/>
        </w:rPr>
        <w:instrText xml:space="preserve"> </w:instrText>
      </w:r>
      <w:r>
        <w:rPr>
          <w:szCs w:val="28"/>
        </w:rPr>
        <w:fldChar w:fldCharType="separate"/>
      </w:r>
      <w:r>
        <w:rPr>
          <w:rFonts w:hint="eastAsia"/>
          <w:szCs w:val="28"/>
        </w:rPr>
        <w:t>⑤</w:t>
      </w:r>
      <w:r>
        <w:rPr>
          <w:szCs w:val="28"/>
        </w:rPr>
        <w:fldChar w:fldCharType="end"/>
      </w:r>
      <w:r>
        <w:rPr>
          <w:szCs w:val="28"/>
        </w:rPr>
        <w:t>要查清是否有人留在污染区与着火区；</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6 \* GB3</w:instrText>
      </w:r>
      <w:r>
        <w:rPr>
          <w:szCs w:val="28"/>
        </w:rPr>
        <w:instrText xml:space="preserve"> </w:instrText>
      </w:r>
      <w:r>
        <w:rPr>
          <w:szCs w:val="28"/>
        </w:rPr>
        <w:fldChar w:fldCharType="separate"/>
      </w:r>
      <w:r>
        <w:rPr>
          <w:rFonts w:hint="eastAsia"/>
          <w:szCs w:val="28"/>
        </w:rPr>
        <w:t>⑥</w:t>
      </w:r>
      <w:r>
        <w:rPr>
          <w:szCs w:val="28"/>
        </w:rPr>
        <w:fldChar w:fldCharType="end"/>
      </w:r>
      <w:r>
        <w:rPr>
          <w:szCs w:val="28"/>
        </w:rPr>
        <w:t>为使疏散工作顺利进行，每个工段应至少有两个畅通无阻的紧急出口，并有明显标志；</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7 \* GB3</w:instrText>
      </w:r>
      <w:r>
        <w:rPr>
          <w:szCs w:val="28"/>
        </w:rPr>
        <w:instrText xml:space="preserve"> </w:instrText>
      </w:r>
      <w:r>
        <w:rPr>
          <w:szCs w:val="28"/>
        </w:rPr>
        <w:fldChar w:fldCharType="separate"/>
      </w:r>
      <w:r>
        <w:rPr>
          <w:rFonts w:hint="eastAsia"/>
          <w:szCs w:val="28"/>
        </w:rPr>
        <w:t>⑦</w:t>
      </w:r>
      <w:r>
        <w:rPr>
          <w:szCs w:val="28"/>
        </w:rPr>
        <w:fldChar w:fldCharType="end"/>
      </w:r>
      <w:r>
        <w:rPr>
          <w:szCs w:val="28"/>
        </w:rPr>
        <w:t>厂外区域应根据事故发生情况及当时风向、风速，由指挥部决定通知扩散区域内的群众撤离，并做好疏散、道路管制工作。</w:t>
      </w:r>
    </w:p>
    <w:p>
      <w:pPr>
        <w:widowControl/>
        <w:ind w:firstLine="480" w:firstLineChars="200"/>
        <w:rPr>
          <w:szCs w:val="28"/>
        </w:rPr>
      </w:pPr>
      <w:r>
        <w:rPr>
          <w:rFonts w:hint="eastAsia"/>
          <w:szCs w:val="28"/>
        </w:rPr>
        <w:t>（3）应急设施、设备与器材</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1 \* GB3</w:instrText>
      </w:r>
      <w:r>
        <w:rPr>
          <w:szCs w:val="28"/>
        </w:rPr>
        <w:instrText xml:space="preserve"> </w:instrText>
      </w:r>
      <w:r>
        <w:rPr>
          <w:szCs w:val="28"/>
        </w:rPr>
        <w:fldChar w:fldCharType="separate"/>
      </w:r>
      <w:r>
        <w:rPr>
          <w:rFonts w:hint="eastAsia"/>
          <w:szCs w:val="28"/>
        </w:rPr>
        <w:t>①</w:t>
      </w:r>
      <w:r>
        <w:rPr>
          <w:szCs w:val="28"/>
        </w:rPr>
        <w:fldChar w:fldCharType="end"/>
      </w:r>
      <w:r>
        <w:rPr>
          <w:szCs w:val="28"/>
        </w:rPr>
        <w:t>配备一定的消防器材，如泡沫、二氧化碳灭火器及喷水冷却设施；</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2 \* GB3</w:instrText>
      </w:r>
      <w:r>
        <w:rPr>
          <w:szCs w:val="28"/>
        </w:rPr>
        <w:instrText xml:space="preserve"> </w:instrText>
      </w:r>
      <w:r>
        <w:rPr>
          <w:szCs w:val="28"/>
        </w:rPr>
        <w:fldChar w:fldCharType="separate"/>
      </w:r>
      <w:r>
        <w:rPr>
          <w:rFonts w:hint="eastAsia"/>
          <w:szCs w:val="28"/>
        </w:rPr>
        <w:t>②</w:t>
      </w:r>
      <w:r>
        <w:rPr>
          <w:szCs w:val="28"/>
        </w:rPr>
        <w:fldChar w:fldCharType="end"/>
      </w:r>
      <w:r>
        <w:rPr>
          <w:szCs w:val="28"/>
        </w:rPr>
        <w:t>配备一定的防毒面具；</w:t>
      </w:r>
    </w:p>
    <w:p>
      <w:pPr>
        <w:widowControl/>
        <w:ind w:firstLine="480" w:firstLineChars="200"/>
        <w:rPr>
          <w:szCs w:val="28"/>
        </w:rPr>
      </w:pPr>
      <w:r>
        <w:rPr>
          <w:szCs w:val="28"/>
        </w:rPr>
        <w:fldChar w:fldCharType="begin"/>
      </w:r>
      <w:r>
        <w:rPr>
          <w:szCs w:val="28"/>
        </w:rPr>
        <w:instrText xml:space="preserve"> </w:instrText>
      </w:r>
      <w:r>
        <w:rPr>
          <w:rFonts w:hint="eastAsia"/>
          <w:szCs w:val="28"/>
        </w:rPr>
        <w:instrText xml:space="preserve">= 3 \* GB3</w:instrText>
      </w:r>
      <w:r>
        <w:rPr>
          <w:szCs w:val="28"/>
        </w:rPr>
        <w:instrText xml:space="preserve"> </w:instrText>
      </w:r>
      <w:r>
        <w:rPr>
          <w:szCs w:val="28"/>
        </w:rPr>
        <w:fldChar w:fldCharType="separate"/>
      </w:r>
      <w:r>
        <w:rPr>
          <w:rFonts w:hint="eastAsia"/>
          <w:szCs w:val="28"/>
        </w:rPr>
        <w:t>③</w:t>
      </w:r>
      <w:r>
        <w:rPr>
          <w:szCs w:val="28"/>
        </w:rPr>
        <w:fldChar w:fldCharType="end"/>
      </w:r>
      <w:r>
        <w:rPr>
          <w:szCs w:val="28"/>
        </w:rPr>
        <w:t>应规定应急状态下的报警通讯方式、通知方式和交通保障。</w:t>
      </w:r>
    </w:p>
    <w:p>
      <w:pPr>
        <w:pStyle w:val="588"/>
        <w:keepNext/>
        <w:keepLines/>
        <w:widowControl w:val="0"/>
        <w:adjustRightInd w:val="0"/>
        <w:spacing w:before="120" w:after="60" w:line="360" w:lineRule="auto"/>
        <w:textAlignment w:val="baseline"/>
        <w:rPr>
          <w:rFonts w:ascii="Times New Roman" w:hAnsi="Times New Roman" w:eastAsia="黑体" w:cs="Times New Roman"/>
          <w:b w:val="0"/>
          <w:spacing w:val="4"/>
          <w:kern w:val="2"/>
          <w:sz w:val="32"/>
          <w:szCs w:val="32"/>
        </w:rPr>
      </w:pPr>
      <w:bookmarkStart w:id="768" w:name="_Toc29110610"/>
      <w:r>
        <w:rPr>
          <w:rFonts w:ascii="Times New Roman" w:hAnsi="Times New Roman" w:eastAsia="黑体" w:cs="Times New Roman"/>
          <w:b w:val="0"/>
          <w:spacing w:val="4"/>
          <w:kern w:val="2"/>
          <w:sz w:val="32"/>
          <w:szCs w:val="32"/>
        </w:rPr>
        <w:t>8.6</w:t>
      </w:r>
      <w:r>
        <w:rPr>
          <w:rFonts w:hint="eastAsia" w:ascii="Times New Roman" w:hAnsi="Times New Roman" w:eastAsia="黑体" w:cs="Times New Roman"/>
          <w:b w:val="0"/>
          <w:spacing w:val="4"/>
          <w:kern w:val="2"/>
          <w:sz w:val="32"/>
          <w:szCs w:val="32"/>
        </w:rPr>
        <w:t>分析结论</w:t>
      </w:r>
      <w:bookmarkEnd w:id="768"/>
    </w:p>
    <w:p>
      <w:pPr>
        <w:widowControl/>
        <w:ind w:firstLine="480" w:firstLineChars="200"/>
      </w:pPr>
      <w:r>
        <w:rPr>
          <w:rFonts w:hint="eastAsia"/>
        </w:rPr>
        <w:t xml:space="preserve">本项目风险潜势为Ⅰ，环境分析可接受，通过对项目运营期可能发生的环境风险事故进行定性分析，在采取安全防范措施、综合管理措施、制定风险应急预案等措施后，可将火灾等事故对环境的影响减少到最低和可接受范围，避免使项目本身及周边环境遭受损失。 </w:t>
      </w:r>
    </w:p>
    <w:p>
      <w:pPr>
        <w:widowControl/>
        <w:ind w:firstLine="480" w:firstLineChars="200"/>
      </w:pPr>
      <w:r>
        <w:rPr>
          <w:rFonts w:hint="eastAsia"/>
        </w:rPr>
        <w:t>因此，在加强对各类风险的管理，做到各项管理措施及要求后，本项目风险处于可接受水平，风险管理措施有效、可靠，从风险角度而言是可行的。</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69" w:name="_Toc29110608"/>
      <w:r>
        <w:rPr>
          <w:rFonts w:ascii="Times New Roman" w:hAnsi="Times New Roman" w:eastAsia="黑体" w:cs="Times New Roman"/>
          <w:b w:val="0"/>
          <w:bCs/>
          <w:spacing w:val="4"/>
          <w:kern w:val="2"/>
          <w:sz w:val="32"/>
          <w:szCs w:val="32"/>
        </w:rPr>
        <w:t>8.7</w:t>
      </w:r>
      <w:r>
        <w:rPr>
          <w:rFonts w:hint="eastAsia" w:ascii="Times New Roman" w:hAnsi="Times New Roman" w:eastAsia="黑体" w:cs="Times New Roman"/>
          <w:b w:val="0"/>
          <w:bCs/>
          <w:spacing w:val="4"/>
          <w:kern w:val="2"/>
          <w:sz w:val="32"/>
          <w:szCs w:val="32"/>
        </w:rPr>
        <w:t>环境风险评价自查</w:t>
      </w:r>
      <w:bookmarkEnd w:id="769"/>
    </w:p>
    <w:p>
      <w:pPr>
        <w:widowControl/>
        <w:ind w:firstLine="480" w:firstLineChars="200"/>
      </w:pPr>
      <w:r>
        <w:rPr>
          <w:rFonts w:hint="eastAsia"/>
        </w:rPr>
        <w:t>本项目环境风险评价自查表如表</w:t>
      </w:r>
      <w:r>
        <w:t>8.7</w:t>
      </w:r>
      <w:r>
        <w:rPr>
          <w:rFonts w:hint="eastAsia"/>
        </w:rPr>
        <w:t>-1。</w:t>
      </w:r>
    </w:p>
    <w:p>
      <w:pPr>
        <w:spacing w:line="240" w:lineRule="auto"/>
        <w:jc w:val="center"/>
        <w:rPr>
          <w:rFonts w:eastAsia="黑体"/>
        </w:rPr>
      </w:pPr>
      <w:r>
        <w:rPr>
          <w:rFonts w:hint="eastAsia" w:eastAsia="黑体"/>
        </w:rPr>
        <w:t>表</w:t>
      </w:r>
      <w:r>
        <w:rPr>
          <w:rFonts w:eastAsia="黑体"/>
        </w:rPr>
        <w:t>8.7</w:t>
      </w:r>
      <w:r>
        <w:rPr>
          <w:rFonts w:hint="eastAsia" w:eastAsia="黑体"/>
        </w:rPr>
        <w:t>-1  环境风险评价自查表</w:t>
      </w:r>
    </w:p>
    <w:tbl>
      <w:tblPr>
        <w:tblStyle w:val="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892"/>
        <w:gridCol w:w="1190"/>
        <w:gridCol w:w="309"/>
        <w:gridCol w:w="374"/>
        <w:gridCol w:w="624"/>
        <w:gridCol w:w="267"/>
        <w:gridCol w:w="233"/>
        <w:gridCol w:w="125"/>
        <w:gridCol w:w="168"/>
        <w:gridCol w:w="387"/>
        <w:gridCol w:w="69"/>
        <w:gridCol w:w="416"/>
        <w:gridCol w:w="334"/>
        <w:gridCol w:w="453"/>
        <w:gridCol w:w="46"/>
        <w:gridCol w:w="397"/>
        <w:gridCol w:w="228"/>
        <w:gridCol w:w="298"/>
        <w:gridCol w:w="78"/>
        <w:gridCol w:w="227"/>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12"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工作内容</w:t>
            </w:r>
          </w:p>
        </w:tc>
        <w:tc>
          <w:tcPr>
            <w:tcW w:w="7145" w:type="dxa"/>
            <w:gridSpan w:val="20"/>
            <w:tcBorders>
              <w:top w:val="single" w:color="auto" w:sz="12"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风险调查</w:t>
            </w:r>
          </w:p>
        </w:tc>
        <w:tc>
          <w:tcPr>
            <w:tcW w:w="850"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危险物质</w:t>
            </w: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名称</w:t>
            </w:r>
          </w:p>
        </w:tc>
        <w:tc>
          <w:tcPr>
            <w:tcW w:w="2835" w:type="dxa"/>
            <w:gridSpan w:val="10"/>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柴油</w:t>
            </w:r>
          </w:p>
        </w:tc>
        <w:tc>
          <w:tcPr>
            <w:tcW w:w="3176" w:type="dxa"/>
            <w:gridSpan w:val="9"/>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次氯酸钠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存在总量</w:t>
            </w:r>
          </w:p>
        </w:tc>
        <w:tc>
          <w:tcPr>
            <w:tcW w:w="2835" w:type="dxa"/>
            <w:gridSpan w:val="10"/>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0</w:t>
            </w:r>
            <w:r>
              <w:rPr>
                <w:kern w:val="0"/>
                <w:sz w:val="21"/>
                <w:szCs w:val="21"/>
                <w:lang w:bidi="ar"/>
              </w:rPr>
              <w:t>.8</w:t>
            </w:r>
            <w:r>
              <w:rPr>
                <w:rFonts w:hint="eastAsia"/>
                <w:kern w:val="0"/>
                <w:sz w:val="21"/>
                <w:szCs w:val="21"/>
                <w:lang w:bidi="ar"/>
              </w:rPr>
              <w:t>t</w:t>
            </w:r>
          </w:p>
        </w:tc>
        <w:tc>
          <w:tcPr>
            <w:tcW w:w="3176" w:type="dxa"/>
            <w:gridSpan w:val="9"/>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kern w:val="0"/>
                <w:sz w:val="21"/>
                <w:szCs w:val="21"/>
                <w:lang w:bidi="ar"/>
              </w:rPr>
              <w:t>0.05032</w:t>
            </w:r>
            <w:r>
              <w:rPr>
                <w:rFonts w:hint="eastAsia"/>
                <w:kern w:val="0"/>
                <w:sz w:val="21"/>
                <w:szCs w:val="21"/>
                <w:lang w:bidi="ar"/>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环境敏感性</w:t>
            </w:r>
          </w:p>
        </w:tc>
        <w:tc>
          <w:tcPr>
            <w:tcW w:w="1134"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w:t>
            </w:r>
          </w:p>
        </w:tc>
        <w:tc>
          <w:tcPr>
            <w:tcW w:w="2835" w:type="dxa"/>
            <w:gridSpan w:val="10"/>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5</w:t>
            </w:r>
            <w:r>
              <w:rPr>
                <w:kern w:val="0"/>
                <w:sz w:val="21"/>
                <w:szCs w:val="21"/>
                <w:lang w:bidi="ar"/>
              </w:rPr>
              <w:t>00m</w:t>
            </w:r>
            <w:r>
              <w:rPr>
                <w:rFonts w:hint="eastAsia"/>
                <w:kern w:val="0"/>
                <w:sz w:val="21"/>
                <w:szCs w:val="21"/>
                <w:lang w:bidi="ar"/>
              </w:rPr>
              <w:t>范围内人口数</w:t>
            </w:r>
            <w:r>
              <w:rPr>
                <w:rFonts w:hint="eastAsia"/>
                <w:kern w:val="0"/>
                <w:sz w:val="21"/>
                <w:szCs w:val="21"/>
                <w:u w:val="single"/>
                <w:lang w:bidi="ar"/>
              </w:rPr>
              <w:t>2</w:t>
            </w:r>
            <w:r>
              <w:rPr>
                <w:kern w:val="0"/>
                <w:sz w:val="21"/>
                <w:szCs w:val="21"/>
                <w:u w:val="single"/>
                <w:lang w:bidi="ar"/>
              </w:rPr>
              <w:t xml:space="preserve">00  </w:t>
            </w:r>
            <w:r>
              <w:rPr>
                <w:rFonts w:hint="eastAsia"/>
                <w:kern w:val="0"/>
                <w:sz w:val="21"/>
                <w:szCs w:val="21"/>
                <w:lang w:bidi="ar"/>
              </w:rPr>
              <w:t>人</w:t>
            </w:r>
          </w:p>
        </w:tc>
        <w:tc>
          <w:tcPr>
            <w:tcW w:w="3176" w:type="dxa"/>
            <w:gridSpan w:val="9"/>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5</w:t>
            </w:r>
            <w:r>
              <w:rPr>
                <w:kern w:val="0"/>
                <w:sz w:val="21"/>
                <w:szCs w:val="21"/>
                <w:lang w:bidi="ar"/>
              </w:rPr>
              <w:t>km</w:t>
            </w:r>
            <w:r>
              <w:rPr>
                <w:rFonts w:hint="eastAsia"/>
                <w:kern w:val="0"/>
                <w:sz w:val="21"/>
                <w:szCs w:val="21"/>
                <w:lang w:bidi="ar"/>
              </w:rPr>
              <w:t>范围内人口数</w:t>
            </w:r>
            <w:r>
              <w:rPr>
                <w:rFonts w:hint="eastAsia"/>
                <w:kern w:val="0"/>
                <w:sz w:val="21"/>
                <w:szCs w:val="21"/>
                <w:u w:val="single"/>
                <w:lang w:bidi="ar"/>
              </w:rPr>
              <w:t xml:space="preserve"> </w:t>
            </w:r>
            <w:r>
              <w:rPr>
                <w:kern w:val="0"/>
                <w:sz w:val="21"/>
                <w:szCs w:val="21"/>
                <w:u w:val="single"/>
                <w:lang w:bidi="ar"/>
              </w:rPr>
              <w:t>10000</w:t>
            </w:r>
            <w:r>
              <w:rPr>
                <w:rFonts w:hint="eastAsia"/>
                <w:kern w:val="0"/>
                <w:sz w:val="21"/>
                <w:szCs w:val="21"/>
                <w:lang w:bidi="ar"/>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4798" w:type="dxa"/>
            <w:gridSpan w:val="18"/>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每公里管段周边2</w:t>
            </w:r>
            <w:r>
              <w:rPr>
                <w:kern w:val="0"/>
                <w:sz w:val="21"/>
                <w:szCs w:val="21"/>
                <w:lang w:bidi="ar"/>
              </w:rPr>
              <w:t>00m</w:t>
            </w:r>
            <w:r>
              <w:rPr>
                <w:rFonts w:hint="eastAsia"/>
                <w:kern w:val="0"/>
                <w:sz w:val="21"/>
                <w:szCs w:val="21"/>
                <w:lang w:bidi="ar"/>
              </w:rPr>
              <w:t>范围内人口数（最大）</w:t>
            </w:r>
          </w:p>
        </w:tc>
        <w:tc>
          <w:tcPr>
            <w:tcW w:w="1213" w:type="dxa"/>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地表水</w:t>
            </w:r>
          </w:p>
        </w:tc>
        <w:tc>
          <w:tcPr>
            <w:tcW w:w="2372" w:type="dxa"/>
            <w:gridSpan w:val="8"/>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地表水功能敏感性</w:t>
            </w:r>
          </w:p>
        </w:tc>
        <w:tc>
          <w:tcPr>
            <w:tcW w:w="1213"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F</w:t>
            </w:r>
            <w:r>
              <w:rPr>
                <w:kern w:val="0"/>
                <w:sz w:val="21"/>
                <w:szCs w:val="21"/>
                <w:lang w:bidi="ar"/>
              </w:rPr>
              <w:t>1</w:t>
            </w:r>
            <w:r>
              <w:rPr>
                <w:rFonts w:hint="eastAsia"/>
                <w:kern w:val="0"/>
                <w:sz w:val="21"/>
                <w:szCs w:val="21"/>
                <w:lang w:bidi="ar"/>
              </w:rPr>
              <w:t>□</w:t>
            </w:r>
          </w:p>
        </w:tc>
        <w:tc>
          <w:tcPr>
            <w:tcW w:w="121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F</w:t>
            </w:r>
            <w:r>
              <w:rPr>
                <w:kern w:val="0"/>
                <w:sz w:val="21"/>
                <w:szCs w:val="21"/>
                <w:lang w:bidi="ar"/>
              </w:rPr>
              <w:t>2</w:t>
            </w:r>
            <w:r>
              <w:rPr>
                <w:rFonts w:hint="eastAsia"/>
                <w:kern w:val="0"/>
                <w:sz w:val="21"/>
                <w:szCs w:val="21"/>
                <w:lang w:bidi="ar"/>
              </w:rPr>
              <w:t>□</w:t>
            </w:r>
          </w:p>
        </w:tc>
        <w:tc>
          <w:tcPr>
            <w:tcW w:w="1213" w:type="dxa"/>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F</w:t>
            </w:r>
            <w:r>
              <w:rPr>
                <w:kern w:val="0"/>
                <w:sz w:val="21"/>
                <w:szCs w:val="21"/>
                <w:lang w:bidi="ar"/>
              </w:rPr>
              <w:t>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2372" w:type="dxa"/>
            <w:gridSpan w:val="8"/>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环境敏感目标分级</w:t>
            </w:r>
          </w:p>
        </w:tc>
        <w:tc>
          <w:tcPr>
            <w:tcW w:w="1213"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S1</w:t>
            </w:r>
            <w:r>
              <w:rPr>
                <w:rFonts w:hint="eastAsia"/>
                <w:kern w:val="0"/>
                <w:sz w:val="21"/>
                <w:szCs w:val="21"/>
                <w:lang w:bidi="ar"/>
              </w:rPr>
              <w:t>□</w:t>
            </w:r>
          </w:p>
        </w:tc>
        <w:tc>
          <w:tcPr>
            <w:tcW w:w="121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S2</w:t>
            </w:r>
            <w:r>
              <w:rPr>
                <w:rFonts w:hint="eastAsia"/>
                <w:kern w:val="0"/>
                <w:sz w:val="21"/>
                <w:szCs w:val="21"/>
                <w:lang w:bidi="ar"/>
              </w:rPr>
              <w:t>□</w:t>
            </w:r>
          </w:p>
        </w:tc>
        <w:tc>
          <w:tcPr>
            <w:tcW w:w="1213" w:type="dxa"/>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kern w:val="0"/>
                <w:sz w:val="21"/>
                <w:szCs w:val="21"/>
                <w:lang w:bidi="ar"/>
              </w:rPr>
              <w:t>S3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地下水</w:t>
            </w:r>
          </w:p>
        </w:tc>
        <w:tc>
          <w:tcPr>
            <w:tcW w:w="2372" w:type="dxa"/>
            <w:gridSpan w:val="8"/>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地下水功能敏感</w:t>
            </w:r>
          </w:p>
        </w:tc>
        <w:tc>
          <w:tcPr>
            <w:tcW w:w="1213"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G1</w:t>
            </w:r>
            <w:r>
              <w:rPr>
                <w:rFonts w:hint="eastAsia"/>
                <w:kern w:val="0"/>
                <w:sz w:val="21"/>
                <w:szCs w:val="21"/>
                <w:lang w:bidi="ar"/>
              </w:rPr>
              <w:t>□</w:t>
            </w:r>
          </w:p>
        </w:tc>
        <w:tc>
          <w:tcPr>
            <w:tcW w:w="121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G2</w:t>
            </w:r>
            <w:r>
              <w:rPr>
                <w:rFonts w:hint="eastAsia"/>
                <w:kern w:val="0"/>
                <w:sz w:val="21"/>
                <w:szCs w:val="21"/>
                <w:lang w:bidi="ar"/>
              </w:rPr>
              <w:t>□</w:t>
            </w:r>
          </w:p>
        </w:tc>
        <w:tc>
          <w:tcPr>
            <w:tcW w:w="1213" w:type="dxa"/>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kern w:val="0"/>
                <w:sz w:val="21"/>
                <w:szCs w:val="21"/>
                <w:lang w:bidi="ar"/>
              </w:rPr>
              <w:t>G3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2372" w:type="dxa"/>
            <w:gridSpan w:val="8"/>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包气带防污性能</w:t>
            </w:r>
          </w:p>
        </w:tc>
        <w:tc>
          <w:tcPr>
            <w:tcW w:w="1213"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D1</w:t>
            </w:r>
            <w:r>
              <w:rPr>
                <w:rFonts w:hint="eastAsia"/>
                <w:kern w:val="0"/>
                <w:sz w:val="21"/>
                <w:szCs w:val="21"/>
                <w:lang w:bidi="ar"/>
              </w:rPr>
              <w:t>□</w:t>
            </w:r>
          </w:p>
        </w:tc>
        <w:tc>
          <w:tcPr>
            <w:tcW w:w="121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kern w:val="0"/>
                <w:sz w:val="21"/>
                <w:szCs w:val="21"/>
                <w:lang w:bidi="ar"/>
              </w:rPr>
              <w:t>D2</w:t>
            </w:r>
            <w:r>
              <w:rPr>
                <w:rFonts w:hint="eastAsia"/>
                <w:kern w:val="0"/>
                <w:sz w:val="21"/>
                <w:szCs w:val="21"/>
                <w:lang w:bidi="ar"/>
              </w:rPr>
              <w:t>√</w:t>
            </w:r>
          </w:p>
        </w:tc>
        <w:tc>
          <w:tcPr>
            <w:tcW w:w="1213" w:type="dxa"/>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kern w:val="0"/>
                <w:sz w:val="21"/>
                <w:szCs w:val="21"/>
                <w:lang w:bidi="ar"/>
              </w:rPr>
              <w:t>D3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restart"/>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物质及工艺系危险性</w:t>
            </w: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Q值</w:t>
            </w:r>
          </w:p>
        </w:tc>
        <w:tc>
          <w:tcPr>
            <w:tcW w:w="1502"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Q＜1√</w:t>
            </w:r>
          </w:p>
        </w:tc>
        <w:tc>
          <w:tcPr>
            <w:tcW w:w="133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1≤Q＜1</w:t>
            </w:r>
            <w:r>
              <w:rPr>
                <w:kern w:val="0"/>
                <w:sz w:val="21"/>
                <w:szCs w:val="21"/>
                <w:lang w:bidi="ar"/>
              </w:rPr>
              <w:t>0</w:t>
            </w:r>
            <w:r>
              <w:rPr>
                <w:rFonts w:hint="eastAsia"/>
                <w:kern w:val="0"/>
                <w:sz w:val="21"/>
                <w:szCs w:val="21"/>
                <w:lang w:bidi="ar"/>
              </w:rPr>
              <w:t>□</w:t>
            </w:r>
          </w:p>
        </w:tc>
        <w:tc>
          <w:tcPr>
            <w:tcW w:w="167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1</w:t>
            </w:r>
            <w:r>
              <w:rPr>
                <w:kern w:val="0"/>
                <w:sz w:val="21"/>
                <w:szCs w:val="21"/>
                <w:lang w:bidi="ar"/>
              </w:rPr>
              <w:t>0</w:t>
            </w:r>
            <w:r>
              <w:rPr>
                <w:rFonts w:hint="eastAsia"/>
                <w:kern w:val="0"/>
                <w:sz w:val="21"/>
                <w:szCs w:val="21"/>
                <w:lang w:bidi="ar"/>
              </w:rPr>
              <w:t>≤Q＜1</w:t>
            </w:r>
            <w:r>
              <w:rPr>
                <w:kern w:val="0"/>
                <w:sz w:val="21"/>
                <w:szCs w:val="21"/>
                <w:lang w:bidi="ar"/>
              </w:rPr>
              <w:t>00</w:t>
            </w:r>
            <w:r>
              <w:rPr>
                <w:rFonts w:hint="eastAsia"/>
                <w:kern w:val="0"/>
                <w:sz w:val="21"/>
                <w:szCs w:val="21"/>
                <w:lang w:bidi="ar"/>
              </w:rPr>
              <w:t>□</w:t>
            </w:r>
          </w:p>
        </w:tc>
        <w:tc>
          <w:tcPr>
            <w:tcW w:w="1503" w:type="dxa"/>
            <w:gridSpan w:val="3"/>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Q＞1</w:t>
            </w:r>
            <w:r>
              <w:rPr>
                <w:kern w:val="0"/>
                <w:sz w:val="21"/>
                <w:szCs w:val="21"/>
                <w:lang w:bidi="ar"/>
              </w:rPr>
              <w:t>0</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M值</w:t>
            </w:r>
          </w:p>
        </w:tc>
        <w:tc>
          <w:tcPr>
            <w:tcW w:w="1502"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M</w:t>
            </w:r>
            <w:r>
              <w:rPr>
                <w:kern w:val="0"/>
                <w:sz w:val="21"/>
                <w:szCs w:val="21"/>
                <w:lang w:bidi="ar"/>
              </w:rPr>
              <w:t>1</w:t>
            </w:r>
            <w:r>
              <w:rPr>
                <w:rFonts w:hint="eastAsia"/>
                <w:kern w:val="0"/>
                <w:sz w:val="21"/>
                <w:szCs w:val="21"/>
                <w:lang w:bidi="ar"/>
              </w:rPr>
              <w:t>□</w:t>
            </w:r>
          </w:p>
        </w:tc>
        <w:tc>
          <w:tcPr>
            <w:tcW w:w="133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M</w:t>
            </w:r>
            <w:r>
              <w:rPr>
                <w:kern w:val="0"/>
                <w:sz w:val="21"/>
                <w:szCs w:val="21"/>
                <w:lang w:bidi="ar"/>
              </w:rPr>
              <w:t>2</w:t>
            </w:r>
            <w:r>
              <w:rPr>
                <w:rFonts w:hint="eastAsia"/>
                <w:kern w:val="0"/>
                <w:sz w:val="21"/>
                <w:szCs w:val="21"/>
                <w:lang w:bidi="ar"/>
              </w:rPr>
              <w:t>□</w:t>
            </w:r>
          </w:p>
        </w:tc>
        <w:tc>
          <w:tcPr>
            <w:tcW w:w="167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M</w:t>
            </w:r>
            <w:r>
              <w:rPr>
                <w:kern w:val="0"/>
                <w:sz w:val="21"/>
                <w:szCs w:val="21"/>
                <w:lang w:bidi="ar"/>
              </w:rPr>
              <w:t>3</w:t>
            </w:r>
            <w:r>
              <w:rPr>
                <w:rFonts w:hint="eastAsia"/>
                <w:kern w:val="0"/>
                <w:sz w:val="21"/>
                <w:szCs w:val="21"/>
                <w:lang w:bidi="ar"/>
              </w:rPr>
              <w:t>□</w:t>
            </w:r>
          </w:p>
        </w:tc>
        <w:tc>
          <w:tcPr>
            <w:tcW w:w="1503" w:type="dxa"/>
            <w:gridSpan w:val="3"/>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M</w:t>
            </w:r>
            <w:r>
              <w:rPr>
                <w:kern w:val="0"/>
                <w:sz w:val="21"/>
                <w:szCs w:val="21"/>
                <w:lang w:bidi="ar"/>
              </w:rPr>
              <w:t>4</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P值</w:t>
            </w:r>
          </w:p>
        </w:tc>
        <w:tc>
          <w:tcPr>
            <w:tcW w:w="1502"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P</w:t>
            </w:r>
            <w:r>
              <w:rPr>
                <w:kern w:val="0"/>
                <w:sz w:val="21"/>
                <w:szCs w:val="21"/>
                <w:lang w:bidi="ar"/>
              </w:rPr>
              <w:t>1</w:t>
            </w:r>
            <w:r>
              <w:rPr>
                <w:rFonts w:hint="eastAsia"/>
                <w:kern w:val="0"/>
                <w:sz w:val="21"/>
                <w:szCs w:val="21"/>
                <w:lang w:bidi="ar"/>
              </w:rPr>
              <w:t>□</w:t>
            </w:r>
          </w:p>
        </w:tc>
        <w:tc>
          <w:tcPr>
            <w:tcW w:w="133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P</w:t>
            </w:r>
            <w:r>
              <w:rPr>
                <w:kern w:val="0"/>
                <w:sz w:val="21"/>
                <w:szCs w:val="21"/>
                <w:lang w:bidi="ar"/>
              </w:rPr>
              <w:t>2</w:t>
            </w:r>
            <w:r>
              <w:rPr>
                <w:rFonts w:hint="eastAsia"/>
                <w:kern w:val="0"/>
                <w:sz w:val="21"/>
                <w:szCs w:val="21"/>
                <w:lang w:bidi="ar"/>
              </w:rPr>
              <w:t>□</w:t>
            </w:r>
          </w:p>
        </w:tc>
        <w:tc>
          <w:tcPr>
            <w:tcW w:w="1673"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P</w:t>
            </w:r>
            <w:r>
              <w:rPr>
                <w:kern w:val="0"/>
                <w:sz w:val="21"/>
                <w:szCs w:val="21"/>
                <w:lang w:bidi="ar"/>
              </w:rPr>
              <w:t>3</w:t>
            </w:r>
            <w:r>
              <w:rPr>
                <w:rFonts w:hint="eastAsia"/>
                <w:kern w:val="0"/>
                <w:sz w:val="21"/>
                <w:szCs w:val="21"/>
                <w:lang w:bidi="ar"/>
              </w:rPr>
              <w:t>√</w:t>
            </w:r>
          </w:p>
        </w:tc>
        <w:tc>
          <w:tcPr>
            <w:tcW w:w="1503" w:type="dxa"/>
            <w:gridSpan w:val="3"/>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P</w:t>
            </w:r>
            <w:r>
              <w:rPr>
                <w:kern w:val="0"/>
                <w:sz w:val="21"/>
                <w:szCs w:val="21"/>
                <w:lang w:bidi="ar"/>
              </w:rPr>
              <w:t>4</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restart"/>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环境敏感程度</w:t>
            </w: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w:t>
            </w:r>
          </w:p>
        </w:tc>
        <w:tc>
          <w:tcPr>
            <w:tcW w:w="2003"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1</w:t>
            </w:r>
            <w:r>
              <w:rPr>
                <w:rFonts w:hint="eastAsia"/>
                <w:kern w:val="0"/>
                <w:sz w:val="21"/>
                <w:szCs w:val="21"/>
                <w:lang w:bidi="ar"/>
              </w:rPr>
              <w:t>□</w:t>
            </w:r>
          </w:p>
        </w:tc>
        <w:tc>
          <w:tcPr>
            <w:tcW w:w="2004"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2</w:t>
            </w:r>
            <w:r>
              <w:rPr>
                <w:rFonts w:hint="eastAsia"/>
                <w:kern w:val="0"/>
                <w:sz w:val="21"/>
                <w:szCs w:val="21"/>
                <w:lang w:bidi="ar"/>
              </w:rPr>
              <w:t>√</w:t>
            </w:r>
          </w:p>
        </w:tc>
        <w:tc>
          <w:tcPr>
            <w:tcW w:w="2004" w:type="dxa"/>
            <w:gridSpan w:val="5"/>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地表水</w:t>
            </w:r>
          </w:p>
        </w:tc>
        <w:tc>
          <w:tcPr>
            <w:tcW w:w="2003"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1</w:t>
            </w:r>
            <w:r>
              <w:rPr>
                <w:rFonts w:hint="eastAsia"/>
                <w:kern w:val="0"/>
                <w:sz w:val="21"/>
                <w:szCs w:val="21"/>
                <w:lang w:bidi="ar"/>
              </w:rPr>
              <w:t>□</w:t>
            </w:r>
          </w:p>
        </w:tc>
        <w:tc>
          <w:tcPr>
            <w:tcW w:w="2004"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2</w:t>
            </w:r>
            <w:r>
              <w:rPr>
                <w:rFonts w:hint="eastAsia"/>
                <w:kern w:val="0"/>
                <w:sz w:val="21"/>
                <w:szCs w:val="21"/>
                <w:lang w:bidi="ar"/>
              </w:rPr>
              <w:t>□</w:t>
            </w:r>
          </w:p>
        </w:tc>
        <w:tc>
          <w:tcPr>
            <w:tcW w:w="2004" w:type="dxa"/>
            <w:gridSpan w:val="5"/>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地下水</w:t>
            </w:r>
          </w:p>
        </w:tc>
        <w:tc>
          <w:tcPr>
            <w:tcW w:w="2003"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1</w:t>
            </w:r>
            <w:r>
              <w:rPr>
                <w:rFonts w:hint="eastAsia"/>
                <w:kern w:val="0"/>
                <w:sz w:val="21"/>
                <w:szCs w:val="21"/>
                <w:lang w:bidi="ar"/>
              </w:rPr>
              <w:t>□</w:t>
            </w:r>
          </w:p>
        </w:tc>
        <w:tc>
          <w:tcPr>
            <w:tcW w:w="2004"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2</w:t>
            </w:r>
            <w:r>
              <w:rPr>
                <w:rFonts w:hint="eastAsia"/>
                <w:kern w:val="0"/>
                <w:sz w:val="21"/>
                <w:szCs w:val="21"/>
                <w:lang w:bidi="ar"/>
              </w:rPr>
              <w:t>□</w:t>
            </w:r>
          </w:p>
        </w:tc>
        <w:tc>
          <w:tcPr>
            <w:tcW w:w="2004" w:type="dxa"/>
            <w:gridSpan w:val="5"/>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E</w:t>
            </w:r>
            <w:r>
              <w:rPr>
                <w:kern w:val="0"/>
                <w:sz w:val="21"/>
                <w:szCs w:val="21"/>
                <w:lang w:bidi="ar"/>
              </w:rPr>
              <w:t>3</w:t>
            </w:r>
            <w:r>
              <w:rPr>
                <w:rFonts w:hint="eastAsia"/>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环境风险潜势</w:t>
            </w:r>
          </w:p>
        </w:tc>
        <w:tc>
          <w:tcPr>
            <w:tcW w:w="1429"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vertAlign w:val="superscript"/>
                <w:lang w:bidi="ar"/>
              </w:rPr>
            </w:pPr>
            <w:r>
              <w:rPr>
                <w:rFonts w:hint="eastAsia"/>
                <w:kern w:val="0"/>
                <w:sz w:val="21"/>
                <w:szCs w:val="21"/>
                <w:lang w:bidi="ar"/>
              </w:rPr>
              <w:t>I</w:t>
            </w:r>
            <w:r>
              <w:rPr>
                <w:kern w:val="0"/>
                <w:sz w:val="21"/>
                <w:szCs w:val="21"/>
                <w:lang w:bidi="ar"/>
              </w:rPr>
              <w:t>V</w:t>
            </w:r>
            <w:r>
              <w:rPr>
                <w:kern w:val="0"/>
                <w:sz w:val="21"/>
                <w:szCs w:val="21"/>
                <w:vertAlign w:val="superscript"/>
                <w:lang w:bidi="ar"/>
              </w:rPr>
              <w:t>+</w:t>
            </w:r>
          </w:p>
        </w:tc>
        <w:tc>
          <w:tcPr>
            <w:tcW w:w="1429"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I</w:t>
            </w:r>
            <w:r>
              <w:rPr>
                <w:kern w:val="0"/>
                <w:sz w:val="21"/>
                <w:szCs w:val="21"/>
                <w:lang w:bidi="ar"/>
              </w:rPr>
              <w:t>V</w:t>
            </w:r>
          </w:p>
        </w:tc>
        <w:tc>
          <w:tcPr>
            <w:tcW w:w="1429"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I</w:t>
            </w:r>
            <w:r>
              <w:rPr>
                <w:kern w:val="0"/>
                <w:sz w:val="21"/>
                <w:szCs w:val="21"/>
                <w:lang w:bidi="ar"/>
              </w:rPr>
              <w:t>II</w:t>
            </w:r>
          </w:p>
        </w:tc>
        <w:tc>
          <w:tcPr>
            <w:tcW w:w="1429"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I</w:t>
            </w:r>
            <w:r>
              <w:rPr>
                <w:kern w:val="0"/>
                <w:sz w:val="21"/>
                <w:szCs w:val="21"/>
                <w:lang w:bidi="ar"/>
              </w:rPr>
              <w:t>I</w:t>
            </w:r>
          </w:p>
        </w:tc>
        <w:tc>
          <w:tcPr>
            <w:tcW w:w="1429" w:type="dxa"/>
            <w:gridSpan w:val="2"/>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评价等级</w:t>
            </w:r>
          </w:p>
        </w:tc>
        <w:tc>
          <w:tcPr>
            <w:tcW w:w="1786"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一级</w:t>
            </w:r>
          </w:p>
        </w:tc>
        <w:tc>
          <w:tcPr>
            <w:tcW w:w="1191"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二级</w:t>
            </w:r>
          </w:p>
        </w:tc>
        <w:tc>
          <w:tcPr>
            <w:tcW w:w="2381" w:type="dxa"/>
            <w:gridSpan w:val="9"/>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三级</w:t>
            </w:r>
          </w:p>
        </w:tc>
        <w:tc>
          <w:tcPr>
            <w:tcW w:w="1787" w:type="dxa"/>
            <w:gridSpan w:val="4"/>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简单分析√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风险识别</w:t>
            </w:r>
          </w:p>
        </w:tc>
        <w:tc>
          <w:tcPr>
            <w:tcW w:w="85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物质危险性</w:t>
            </w:r>
          </w:p>
        </w:tc>
        <w:tc>
          <w:tcPr>
            <w:tcW w:w="3506" w:type="dxa"/>
            <w:gridSpan w:val="9"/>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有毒有害</w:t>
            </w:r>
          </w:p>
        </w:tc>
        <w:tc>
          <w:tcPr>
            <w:tcW w:w="3639" w:type="dxa"/>
            <w:gridSpan w:val="11"/>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易燃易爆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环境风险类型</w:t>
            </w:r>
          </w:p>
        </w:tc>
        <w:tc>
          <w:tcPr>
            <w:tcW w:w="2977"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泄露√</w:t>
            </w:r>
          </w:p>
        </w:tc>
        <w:tc>
          <w:tcPr>
            <w:tcW w:w="4168" w:type="dxa"/>
            <w:gridSpan w:val="13"/>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火灾、爆炸引发伴生/次生污染物排放√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影响途径</w:t>
            </w:r>
          </w:p>
        </w:tc>
        <w:tc>
          <w:tcPr>
            <w:tcW w:w="2381"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w:t>
            </w:r>
          </w:p>
        </w:tc>
        <w:tc>
          <w:tcPr>
            <w:tcW w:w="2382" w:type="dxa"/>
            <w:gridSpan w:val="10"/>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地表水√</w:t>
            </w:r>
          </w:p>
        </w:tc>
        <w:tc>
          <w:tcPr>
            <w:tcW w:w="2382" w:type="dxa"/>
            <w:gridSpan w:val="6"/>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事故情形分析</w:t>
            </w:r>
          </w:p>
        </w:tc>
        <w:tc>
          <w:tcPr>
            <w:tcW w:w="1786"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源强设定方法</w:t>
            </w:r>
          </w:p>
        </w:tc>
        <w:tc>
          <w:tcPr>
            <w:tcW w:w="1786"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计算法</w:t>
            </w:r>
          </w:p>
        </w:tc>
        <w:tc>
          <w:tcPr>
            <w:tcW w:w="1786" w:type="dxa"/>
            <w:gridSpan w:val="6"/>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经验估值法</w:t>
            </w:r>
          </w:p>
        </w:tc>
        <w:tc>
          <w:tcPr>
            <w:tcW w:w="1787" w:type="dxa"/>
            <w:gridSpan w:val="4"/>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其他估算法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风险预测与评价</w:t>
            </w:r>
          </w:p>
        </w:tc>
        <w:tc>
          <w:tcPr>
            <w:tcW w:w="850"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w:t>
            </w:r>
          </w:p>
        </w:tc>
        <w:tc>
          <w:tcPr>
            <w:tcW w:w="113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预测模型</w:t>
            </w:r>
          </w:p>
        </w:tc>
        <w:tc>
          <w:tcPr>
            <w:tcW w:w="2003"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S</w:t>
            </w:r>
            <w:r>
              <w:rPr>
                <w:kern w:val="0"/>
                <w:sz w:val="21"/>
                <w:szCs w:val="21"/>
                <w:lang w:bidi="ar"/>
              </w:rPr>
              <w:t>LAB</w:t>
            </w:r>
          </w:p>
        </w:tc>
        <w:tc>
          <w:tcPr>
            <w:tcW w:w="2004" w:type="dxa"/>
            <w:gridSpan w:val="7"/>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A</w:t>
            </w:r>
            <w:r>
              <w:rPr>
                <w:kern w:val="0"/>
                <w:sz w:val="21"/>
                <w:szCs w:val="21"/>
                <w:lang w:bidi="ar"/>
              </w:rPr>
              <w:t>FTOX</w:t>
            </w:r>
          </w:p>
        </w:tc>
        <w:tc>
          <w:tcPr>
            <w:tcW w:w="2004" w:type="dxa"/>
            <w:gridSpan w:val="5"/>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预测结果</w:t>
            </w:r>
          </w:p>
        </w:tc>
        <w:tc>
          <w:tcPr>
            <w:tcW w:w="6011" w:type="dxa"/>
            <w:gridSpan w:val="19"/>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大气毒性终点浓度-</w:t>
            </w:r>
            <w:r>
              <w:rPr>
                <w:kern w:val="0"/>
                <w:sz w:val="21"/>
                <w:szCs w:val="21"/>
                <w:lang w:bidi="ar"/>
              </w:rPr>
              <w:t>1</w:t>
            </w:r>
            <w:r>
              <w:rPr>
                <w:rFonts w:hint="eastAsia"/>
                <w:kern w:val="0"/>
                <w:sz w:val="21"/>
                <w:szCs w:val="21"/>
                <w:lang w:bidi="ar"/>
              </w:rPr>
              <w:t xml:space="preserve"> </w:t>
            </w:r>
            <w:r>
              <w:rPr>
                <w:kern w:val="0"/>
                <w:sz w:val="21"/>
                <w:szCs w:val="21"/>
                <w:lang w:bidi="ar"/>
              </w:rPr>
              <w:t xml:space="preserve">  </w:t>
            </w:r>
            <w:r>
              <w:rPr>
                <w:rFonts w:hint="eastAsia"/>
                <w:kern w:val="0"/>
                <w:sz w:val="21"/>
                <w:szCs w:val="21"/>
                <w:lang w:bidi="ar"/>
              </w:rPr>
              <w:t>最大影响范围</w:t>
            </w:r>
            <w:r>
              <w:rPr>
                <w:rFonts w:hint="eastAsia"/>
                <w:kern w:val="0"/>
                <w:sz w:val="21"/>
                <w:szCs w:val="21"/>
                <w:u w:val="single"/>
                <w:lang w:bidi="ar"/>
              </w:rPr>
              <w:t xml:space="preserve"> </w:t>
            </w:r>
            <w:r>
              <w:rPr>
                <w:kern w:val="0"/>
                <w:sz w:val="21"/>
                <w:szCs w:val="21"/>
                <w:u w:val="single"/>
                <w:lang w:bidi="ar"/>
              </w:rPr>
              <w:t xml:space="preserve"> </w:t>
            </w:r>
            <w:r>
              <w:rPr>
                <w:kern w:val="0"/>
                <w:sz w:val="21"/>
                <w:szCs w:val="21"/>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1134"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6011" w:type="dxa"/>
            <w:gridSpan w:val="19"/>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大气毒性终点浓度-</w:t>
            </w:r>
            <w:r>
              <w:rPr>
                <w:kern w:val="0"/>
                <w:sz w:val="21"/>
                <w:szCs w:val="21"/>
                <w:lang w:bidi="ar"/>
              </w:rPr>
              <w:t xml:space="preserve">2    </w:t>
            </w:r>
            <w:r>
              <w:rPr>
                <w:rFonts w:hint="eastAsia"/>
                <w:kern w:val="0"/>
                <w:sz w:val="21"/>
                <w:szCs w:val="21"/>
                <w:lang w:bidi="ar"/>
              </w:rPr>
              <w:t>最大影响范围</w:t>
            </w:r>
            <w:r>
              <w:rPr>
                <w:rFonts w:hint="eastAsia"/>
                <w:kern w:val="0"/>
                <w:sz w:val="21"/>
                <w:szCs w:val="21"/>
                <w:u w:val="single"/>
                <w:lang w:bidi="ar"/>
              </w:rPr>
              <w:t xml:space="preserve"> </w:t>
            </w:r>
            <w:r>
              <w:rPr>
                <w:kern w:val="0"/>
                <w:sz w:val="21"/>
                <w:szCs w:val="21"/>
                <w:u w:val="single"/>
                <w:lang w:bidi="ar"/>
              </w:rPr>
              <w:t xml:space="preserve"> </w:t>
            </w:r>
            <w:r>
              <w:rPr>
                <w:kern w:val="0"/>
                <w:sz w:val="21"/>
                <w:szCs w:val="21"/>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地表水</w:t>
            </w:r>
          </w:p>
        </w:tc>
        <w:tc>
          <w:tcPr>
            <w:tcW w:w="7145" w:type="dxa"/>
            <w:gridSpan w:val="20"/>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最近环境敏感目标</w:t>
            </w:r>
            <w:r>
              <w:rPr>
                <w:rFonts w:hint="eastAsia"/>
                <w:kern w:val="0"/>
                <w:sz w:val="21"/>
                <w:szCs w:val="21"/>
                <w:u w:val="single"/>
                <w:lang w:bidi="ar"/>
              </w:rPr>
              <w:t xml:space="preserve"> </w:t>
            </w:r>
            <w:r>
              <w:rPr>
                <w:kern w:val="0"/>
                <w:sz w:val="21"/>
                <w:szCs w:val="21"/>
                <w:u w:val="single"/>
                <w:lang w:bidi="ar"/>
              </w:rPr>
              <w:t xml:space="preserve">   </w:t>
            </w:r>
            <w:r>
              <w:rPr>
                <w:kern w:val="0"/>
                <w:sz w:val="21"/>
                <w:szCs w:val="21"/>
                <w:lang w:bidi="ar"/>
              </w:rPr>
              <w:t xml:space="preserve"> </w:t>
            </w:r>
            <w:r>
              <w:rPr>
                <w:rFonts w:hint="eastAsia"/>
                <w:kern w:val="0"/>
                <w:sz w:val="21"/>
                <w:szCs w:val="21"/>
                <w:lang w:bidi="ar"/>
              </w:rPr>
              <w:t>，达到时间</w:t>
            </w:r>
            <w:r>
              <w:rPr>
                <w:rFonts w:hint="eastAsia"/>
                <w:kern w:val="0"/>
                <w:sz w:val="21"/>
                <w:szCs w:val="21"/>
                <w:u w:val="single"/>
                <w:lang w:bidi="ar"/>
              </w:rPr>
              <w:t xml:space="preserve"> </w:t>
            </w:r>
            <w:r>
              <w:rPr>
                <w:kern w:val="0"/>
                <w:sz w:val="21"/>
                <w:szCs w:val="21"/>
                <w:u w:val="single"/>
                <w:lang w:bidi="ar"/>
              </w:rPr>
              <w:t xml:space="preserve">  </w:t>
            </w:r>
            <w:r>
              <w:rPr>
                <w:kern w:val="0"/>
                <w:sz w:val="21"/>
                <w:szCs w:val="21"/>
                <w:lang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地下水</w:t>
            </w:r>
          </w:p>
        </w:tc>
        <w:tc>
          <w:tcPr>
            <w:tcW w:w="7145" w:type="dxa"/>
            <w:gridSpan w:val="20"/>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下游厂区边界达到时间</w:t>
            </w:r>
            <w:r>
              <w:rPr>
                <w:rFonts w:hint="eastAsia"/>
                <w:kern w:val="0"/>
                <w:sz w:val="21"/>
                <w:szCs w:val="21"/>
                <w:u w:val="single"/>
                <w:lang w:bidi="ar"/>
              </w:rPr>
              <w:t xml:space="preserve"> </w:t>
            </w:r>
            <w:r>
              <w:rPr>
                <w:kern w:val="0"/>
                <w:sz w:val="21"/>
                <w:szCs w:val="21"/>
                <w:u w:val="single"/>
                <w:lang w:bidi="ar"/>
              </w:rPr>
              <w:t xml:space="preserve"> </w:t>
            </w:r>
            <w:r>
              <w:rPr>
                <w:rFonts w:hint="eastAsia"/>
                <w:kern w:val="0"/>
                <w:sz w:val="21"/>
                <w:szCs w:val="21"/>
                <w:lang w:bidi="ar"/>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850"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p>
        </w:tc>
        <w:tc>
          <w:tcPr>
            <w:tcW w:w="7145" w:type="dxa"/>
            <w:gridSpan w:val="20"/>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最近环境敏感目标</w:t>
            </w:r>
            <w:r>
              <w:rPr>
                <w:rFonts w:hint="eastAsia"/>
                <w:kern w:val="0"/>
                <w:sz w:val="21"/>
                <w:szCs w:val="21"/>
                <w:u w:val="single"/>
                <w:lang w:bidi="ar"/>
              </w:rPr>
              <w:t xml:space="preserve"> </w:t>
            </w:r>
            <w:r>
              <w:rPr>
                <w:kern w:val="0"/>
                <w:sz w:val="21"/>
                <w:szCs w:val="21"/>
                <w:u w:val="single"/>
                <w:lang w:bidi="ar"/>
              </w:rPr>
              <w:t xml:space="preserve">  </w:t>
            </w:r>
            <w:r>
              <w:rPr>
                <w:rFonts w:hint="eastAsia"/>
                <w:kern w:val="0"/>
                <w:sz w:val="21"/>
                <w:szCs w:val="21"/>
                <w:lang w:bidi="ar"/>
              </w:rPr>
              <w:t>，达到时间</w:t>
            </w:r>
            <w:r>
              <w:rPr>
                <w:rFonts w:hint="eastAsia"/>
                <w:kern w:val="0"/>
                <w:sz w:val="21"/>
                <w:szCs w:val="21"/>
                <w:u w:val="single"/>
                <w:lang w:bidi="ar"/>
              </w:rPr>
              <w:t xml:space="preserve"> </w:t>
            </w:r>
            <w:r>
              <w:rPr>
                <w:kern w:val="0"/>
                <w:sz w:val="21"/>
                <w:szCs w:val="21"/>
                <w:u w:val="single"/>
                <w:lang w:bidi="ar"/>
              </w:rPr>
              <w:t xml:space="preserve">  </w:t>
            </w:r>
            <w:r>
              <w:rPr>
                <w:kern w:val="0"/>
                <w:sz w:val="21"/>
                <w:szCs w:val="21"/>
                <w:lang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重点防范措施</w:t>
            </w:r>
          </w:p>
        </w:tc>
        <w:tc>
          <w:tcPr>
            <w:tcW w:w="7145" w:type="dxa"/>
            <w:gridSpan w:val="20"/>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环境风险管理制度、应急预案、与井研县、乐山市的联动预案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tcBorders>
              <w:top w:val="single" w:color="auto" w:sz="6" w:space="0"/>
              <w:left w:val="nil"/>
              <w:bottom w:val="single" w:color="auto" w:sz="6" w:space="0"/>
              <w:right w:val="single" w:color="auto" w:sz="6" w:space="0"/>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评价结论与建议</w:t>
            </w:r>
          </w:p>
        </w:tc>
        <w:tc>
          <w:tcPr>
            <w:tcW w:w="7145" w:type="dxa"/>
            <w:gridSpan w:val="20"/>
            <w:tcBorders>
              <w:top w:val="single" w:color="auto" w:sz="6" w:space="0"/>
              <w:left w:val="single" w:color="auto" w:sz="6" w:space="0"/>
              <w:bottom w:val="single" w:color="auto" w:sz="6" w:space="0"/>
              <w:right w:val="nil"/>
            </w:tcBorders>
            <w:vAlign w:val="center"/>
          </w:tcPr>
          <w:p>
            <w:pPr>
              <w:adjustRightInd w:val="0"/>
              <w:snapToGrid w:val="0"/>
              <w:spacing w:line="240" w:lineRule="auto"/>
              <w:jc w:val="center"/>
              <w:rPr>
                <w:kern w:val="0"/>
                <w:sz w:val="21"/>
                <w:szCs w:val="21"/>
                <w:lang w:bidi="ar"/>
              </w:rPr>
            </w:pPr>
            <w:r>
              <w:rPr>
                <w:rFonts w:hint="eastAsia"/>
                <w:kern w:val="0"/>
                <w:sz w:val="21"/>
                <w:szCs w:val="21"/>
                <w:lang w:bidi="ar"/>
              </w:rPr>
              <w:t>风险可接受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9" w:type="dxa"/>
            <w:gridSpan w:val="22"/>
            <w:tcBorders>
              <w:top w:val="single" w:color="auto" w:sz="6" w:space="0"/>
              <w:left w:val="nil"/>
              <w:bottom w:val="single" w:color="auto" w:sz="12" w:space="0"/>
              <w:right w:val="nil"/>
            </w:tcBorders>
          </w:tcPr>
          <w:p>
            <w:pPr>
              <w:adjustRightInd w:val="0"/>
              <w:snapToGrid w:val="0"/>
              <w:spacing w:line="240" w:lineRule="auto"/>
              <w:jc w:val="center"/>
              <w:rPr>
                <w:kern w:val="0"/>
                <w:sz w:val="21"/>
                <w:szCs w:val="21"/>
                <w:lang w:bidi="ar"/>
              </w:rPr>
            </w:pPr>
            <w:r>
              <w:rPr>
                <w:rFonts w:hint="eastAsia"/>
                <w:kern w:val="0"/>
                <w:sz w:val="21"/>
                <w:szCs w:val="21"/>
                <w:lang w:bidi="ar"/>
              </w:rPr>
              <w:t>注：“□”为勾选项，“</w:t>
            </w:r>
            <w:r>
              <w:rPr>
                <w:rFonts w:hint="eastAsia"/>
                <w:kern w:val="0"/>
                <w:sz w:val="21"/>
                <w:szCs w:val="21"/>
                <w:u w:val="single"/>
                <w:lang w:bidi="ar"/>
              </w:rPr>
              <w:t xml:space="preserve">    </w:t>
            </w:r>
            <w:r>
              <w:rPr>
                <w:rFonts w:hint="eastAsia"/>
                <w:kern w:val="0"/>
                <w:sz w:val="21"/>
                <w:szCs w:val="21"/>
                <w:lang w:bidi="ar"/>
              </w:rPr>
              <w:t>”为填写项</w:t>
            </w:r>
          </w:p>
        </w:tc>
      </w:tr>
    </w:tbl>
    <w:p>
      <w:pPr>
        <w:pStyle w:val="320"/>
        <w:spacing w:line="360" w:lineRule="auto"/>
        <w:ind w:firstLine="480"/>
        <w:rPr>
          <w:szCs w:val="28"/>
        </w:rPr>
        <w:sectPr>
          <w:headerReference r:id="rId7" w:type="default"/>
          <w:pgSz w:w="11907" w:h="16840"/>
          <w:pgMar w:top="1440" w:right="1588" w:bottom="1440" w:left="1588" w:header="851" w:footer="851" w:gutter="0"/>
          <w:cols w:space="720" w:num="1"/>
        </w:sectPr>
      </w:pPr>
    </w:p>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770" w:name="_Toc29110611"/>
      <w:bookmarkStart w:id="771" w:name="_Toc478134571"/>
      <w:r>
        <w:rPr>
          <w:rFonts w:hint="eastAsia" w:ascii="Times New Roman" w:hAnsi="Times New Roman" w:eastAsia="黑体" w:cs="Times New Roman"/>
          <w:b w:val="0"/>
          <w:bCs/>
          <w:kern w:val="44"/>
          <w:sz w:val="36"/>
        </w:rPr>
        <w:t>总量控制</w:t>
      </w:r>
      <w:bookmarkEnd w:id="770"/>
    </w:p>
    <w:p>
      <w:pPr>
        <w:pStyle w:val="320"/>
        <w:adjustRightInd w:val="0"/>
        <w:snapToGrid w:val="0"/>
        <w:spacing w:line="360" w:lineRule="auto"/>
        <w:ind w:firstLine="480"/>
        <w:rPr>
          <w:rFonts w:ascii="Times New Roman" w:hAnsi="Times New Roman"/>
        </w:rPr>
      </w:pPr>
      <w:r>
        <w:rPr>
          <w:rFonts w:hint="eastAsia" w:ascii="Times New Roman" w:hAnsi="Times New Roman"/>
        </w:rPr>
        <w:t>本</w:t>
      </w:r>
      <w:r>
        <w:rPr>
          <w:rFonts w:ascii="Times New Roman" w:hAnsi="Times New Roman"/>
        </w:rPr>
        <w:t>评价在工程分析的基础上，</w:t>
      </w:r>
      <w:r>
        <w:rPr>
          <w:rFonts w:hint="eastAsia" w:ascii="Times New Roman" w:hAnsi="Times New Roman"/>
        </w:rPr>
        <w:t>计算出</w:t>
      </w:r>
      <w:r>
        <w:rPr>
          <w:rFonts w:ascii="Times New Roman" w:hAnsi="Times New Roman"/>
        </w:rPr>
        <w:t>本项目的废水、废气、固体废物年污染物</w:t>
      </w:r>
      <w:r>
        <w:rPr>
          <w:rFonts w:hint="eastAsia" w:ascii="Times New Roman" w:hAnsi="Times New Roman"/>
        </w:rPr>
        <w:t>排放</w:t>
      </w:r>
      <w:r>
        <w:rPr>
          <w:rFonts w:ascii="Times New Roman" w:hAnsi="Times New Roman"/>
        </w:rPr>
        <w:t>总量，提供给环保管理部门，作为制定该公司总量控制指标时的参考。</w:t>
      </w:r>
    </w:p>
    <w:p>
      <w:pPr>
        <w:pStyle w:val="588"/>
        <w:keepNext/>
        <w:keepLines/>
        <w:widowControl w:val="0"/>
        <w:adjustRightInd w:val="0"/>
        <w:spacing w:before="120" w:after="60" w:line="360" w:lineRule="auto"/>
        <w:textAlignment w:val="baseline"/>
        <w:rPr>
          <w:rFonts w:ascii="Times New Roman" w:hAnsi="Times New Roman" w:eastAsia="黑体" w:cs="Times New Roman"/>
          <w:b w:val="0"/>
          <w:spacing w:val="4"/>
          <w:kern w:val="2"/>
          <w:sz w:val="32"/>
          <w:szCs w:val="32"/>
        </w:rPr>
      </w:pPr>
      <w:bookmarkStart w:id="772" w:name="_Toc29110612"/>
      <w:r>
        <w:rPr>
          <w:rFonts w:ascii="Times New Roman" w:hAnsi="Times New Roman" w:eastAsia="黑体" w:cs="Times New Roman"/>
          <w:b w:val="0"/>
          <w:spacing w:val="4"/>
          <w:kern w:val="2"/>
          <w:sz w:val="32"/>
          <w:szCs w:val="32"/>
        </w:rPr>
        <w:t>9</w:t>
      </w:r>
      <w:r>
        <w:rPr>
          <w:rFonts w:hint="eastAsia" w:ascii="Times New Roman" w:hAnsi="Times New Roman" w:eastAsia="黑体" w:cs="Times New Roman"/>
          <w:b w:val="0"/>
          <w:spacing w:val="4"/>
          <w:kern w:val="2"/>
          <w:sz w:val="32"/>
          <w:szCs w:val="32"/>
        </w:rPr>
        <w:t>.</w:t>
      </w:r>
      <w:r>
        <w:rPr>
          <w:rFonts w:ascii="Times New Roman" w:hAnsi="Times New Roman" w:eastAsia="黑体" w:cs="Times New Roman"/>
          <w:b w:val="0"/>
          <w:spacing w:val="4"/>
          <w:kern w:val="2"/>
          <w:sz w:val="32"/>
          <w:szCs w:val="32"/>
        </w:rPr>
        <w:t>1</w:t>
      </w:r>
      <w:bookmarkEnd w:id="771"/>
      <w:r>
        <w:rPr>
          <w:rFonts w:hint="eastAsia" w:ascii="Times New Roman" w:hAnsi="Times New Roman" w:eastAsia="黑体" w:cs="Times New Roman"/>
          <w:b w:val="0"/>
          <w:spacing w:val="4"/>
          <w:kern w:val="2"/>
          <w:sz w:val="32"/>
          <w:szCs w:val="32"/>
        </w:rPr>
        <w:t>总量控制</w:t>
      </w:r>
      <w:r>
        <w:rPr>
          <w:rFonts w:ascii="Times New Roman" w:hAnsi="Times New Roman" w:eastAsia="黑体" w:cs="Times New Roman"/>
          <w:b w:val="0"/>
          <w:spacing w:val="4"/>
          <w:kern w:val="2"/>
          <w:sz w:val="32"/>
          <w:szCs w:val="32"/>
        </w:rPr>
        <w:t>因子确定</w:t>
      </w:r>
      <w:bookmarkEnd w:id="772"/>
    </w:p>
    <w:p>
      <w:pPr>
        <w:pStyle w:val="320"/>
        <w:adjustRightInd w:val="0"/>
        <w:snapToGrid w:val="0"/>
        <w:spacing w:line="360" w:lineRule="auto"/>
        <w:ind w:firstLine="480"/>
        <w:rPr>
          <w:rFonts w:ascii="Times New Roman" w:hAnsi="Times New Roman"/>
        </w:rPr>
      </w:pPr>
      <w:r>
        <w:rPr>
          <w:rFonts w:hint="eastAsia" w:ascii="Times New Roman" w:hAnsi="Times New Roman"/>
        </w:rPr>
        <w:t>根据</w:t>
      </w:r>
      <w:r>
        <w:rPr>
          <w:rFonts w:ascii="Times New Roman" w:hAnsi="Times New Roman"/>
        </w:rPr>
        <w:t>拟建项目排污特征，对本项目污染物排放总量控制分为两类：</w:t>
      </w:r>
    </w:p>
    <w:p>
      <w:pPr>
        <w:pStyle w:val="320"/>
        <w:adjustRightInd w:val="0"/>
        <w:snapToGrid w:val="0"/>
        <w:spacing w:line="360" w:lineRule="auto"/>
        <w:ind w:firstLine="480"/>
        <w:rPr>
          <w:rFonts w:ascii="Times New Roman" w:hAnsi="Times New Roman"/>
        </w:rPr>
      </w:pPr>
      <w:r>
        <w:rPr>
          <w:rFonts w:hint="eastAsia" w:ascii="Times New Roman" w:hAnsi="Times New Roman"/>
        </w:rPr>
        <w:t>（1）</w:t>
      </w:r>
      <w:r>
        <w:rPr>
          <w:rFonts w:ascii="Times New Roman" w:hAnsi="Times New Roman"/>
        </w:rPr>
        <w:t>国家要求进行总量控制的污染物，提出污染物总量控制建议指标；</w:t>
      </w:r>
    </w:p>
    <w:p>
      <w:pPr>
        <w:pStyle w:val="320"/>
        <w:adjustRightInd w:val="0"/>
        <w:snapToGrid w:val="0"/>
        <w:spacing w:line="360" w:lineRule="auto"/>
        <w:ind w:firstLine="480"/>
        <w:rPr>
          <w:rFonts w:ascii="Times New Roman" w:hAnsi="Times New Roman"/>
        </w:rPr>
      </w:pPr>
      <w:r>
        <w:rPr>
          <w:rFonts w:hint="eastAsia" w:ascii="Times New Roman" w:hAnsi="Times New Roman"/>
        </w:rPr>
        <w:t>（2）</w:t>
      </w:r>
      <w:r>
        <w:rPr>
          <w:rFonts w:ascii="Times New Roman" w:hAnsi="Times New Roman"/>
        </w:rPr>
        <w:t>对于未列入国家污染物总量控制的特征污染物，提出污染物排放总量</w:t>
      </w:r>
      <w:r>
        <w:rPr>
          <w:rFonts w:hint="eastAsia" w:ascii="Times New Roman" w:hAnsi="Times New Roman"/>
        </w:rPr>
        <w:t>考核</w:t>
      </w:r>
      <w:r>
        <w:rPr>
          <w:rFonts w:ascii="Times New Roman" w:hAnsi="Times New Roman"/>
        </w:rPr>
        <w:t>要求，由当地环境保护部门对企业废水、废气污染物排放总量进行考核。</w:t>
      </w:r>
    </w:p>
    <w:p>
      <w:pPr>
        <w:pStyle w:val="588"/>
        <w:keepNext/>
        <w:keepLines/>
        <w:widowControl w:val="0"/>
        <w:adjustRightInd w:val="0"/>
        <w:spacing w:before="120" w:after="60" w:line="360" w:lineRule="auto"/>
        <w:textAlignment w:val="baseline"/>
        <w:rPr>
          <w:rFonts w:ascii="Times New Roman" w:hAnsi="Times New Roman" w:eastAsia="黑体" w:cs="Times New Roman"/>
          <w:b w:val="0"/>
          <w:spacing w:val="4"/>
          <w:kern w:val="2"/>
          <w:sz w:val="32"/>
          <w:szCs w:val="32"/>
        </w:rPr>
      </w:pPr>
      <w:bookmarkStart w:id="773" w:name="_Toc29110613"/>
      <w:r>
        <w:rPr>
          <w:rFonts w:ascii="Times New Roman" w:hAnsi="Times New Roman" w:eastAsia="黑体" w:cs="Times New Roman"/>
          <w:b w:val="0"/>
          <w:spacing w:val="4"/>
          <w:kern w:val="2"/>
          <w:sz w:val="32"/>
          <w:szCs w:val="32"/>
        </w:rPr>
        <w:t>9</w:t>
      </w:r>
      <w:r>
        <w:rPr>
          <w:rFonts w:hint="eastAsia" w:ascii="Times New Roman" w:hAnsi="Times New Roman" w:eastAsia="黑体" w:cs="Times New Roman"/>
          <w:b w:val="0"/>
          <w:spacing w:val="4"/>
          <w:kern w:val="2"/>
          <w:sz w:val="32"/>
          <w:szCs w:val="32"/>
        </w:rPr>
        <w:t>.</w:t>
      </w:r>
      <w:r>
        <w:rPr>
          <w:rFonts w:ascii="Times New Roman" w:hAnsi="Times New Roman" w:eastAsia="黑体" w:cs="Times New Roman"/>
          <w:b w:val="0"/>
          <w:spacing w:val="4"/>
          <w:kern w:val="2"/>
          <w:sz w:val="32"/>
          <w:szCs w:val="32"/>
        </w:rPr>
        <w:t>2</w:t>
      </w:r>
      <w:r>
        <w:rPr>
          <w:rFonts w:hint="eastAsia" w:ascii="Times New Roman" w:hAnsi="Times New Roman" w:eastAsia="黑体" w:cs="Times New Roman"/>
          <w:b w:val="0"/>
          <w:spacing w:val="4"/>
          <w:kern w:val="2"/>
          <w:sz w:val="32"/>
          <w:szCs w:val="32"/>
        </w:rPr>
        <w:t>污染物总量</w:t>
      </w:r>
      <w:r>
        <w:rPr>
          <w:rFonts w:ascii="Times New Roman" w:hAnsi="Times New Roman" w:eastAsia="黑体" w:cs="Times New Roman"/>
          <w:b w:val="0"/>
          <w:spacing w:val="4"/>
          <w:kern w:val="2"/>
          <w:sz w:val="32"/>
          <w:szCs w:val="32"/>
        </w:rPr>
        <w:t>控制指标</w:t>
      </w:r>
      <w:bookmarkEnd w:id="773"/>
    </w:p>
    <w:p>
      <w:pPr>
        <w:pStyle w:val="320"/>
        <w:adjustRightInd w:val="0"/>
        <w:snapToGrid w:val="0"/>
        <w:spacing w:line="360" w:lineRule="auto"/>
        <w:ind w:firstLine="480"/>
        <w:rPr>
          <w:rFonts w:ascii="Times New Roman" w:hAnsi="Times New Roman"/>
          <w:color w:val="FF0000"/>
        </w:rPr>
      </w:pPr>
      <w:r>
        <w:t>根据国家制定的总量控制指标，同时结合本项目的污染物排放特点，特制定以下总量控制指标及特征污染物排放考核指标。</w:t>
      </w:r>
    </w:p>
    <w:p>
      <w:pPr>
        <w:jc w:val="left"/>
        <w:outlineLvl w:val="2"/>
        <w:rPr>
          <w:rFonts w:eastAsia="黑体"/>
          <w:bCs/>
          <w:spacing w:val="4"/>
          <w:sz w:val="30"/>
          <w:szCs w:val="30"/>
        </w:rPr>
      </w:pPr>
      <w:r>
        <w:rPr>
          <w:rFonts w:eastAsia="黑体"/>
          <w:bCs/>
          <w:spacing w:val="4"/>
          <w:sz w:val="30"/>
          <w:szCs w:val="30"/>
        </w:rPr>
        <w:t>9.2.1</w:t>
      </w:r>
      <w:r>
        <w:rPr>
          <w:rFonts w:hint="eastAsia" w:eastAsia="黑体"/>
          <w:bCs/>
          <w:spacing w:val="4"/>
          <w:sz w:val="30"/>
          <w:szCs w:val="30"/>
        </w:rPr>
        <w:t>水污染物</w:t>
      </w:r>
      <w:r>
        <w:rPr>
          <w:rFonts w:eastAsia="黑体"/>
          <w:bCs/>
          <w:spacing w:val="4"/>
          <w:sz w:val="30"/>
          <w:szCs w:val="30"/>
        </w:rPr>
        <w:t>总量控制</w:t>
      </w:r>
    </w:p>
    <w:p>
      <w:pPr>
        <w:pStyle w:val="320"/>
        <w:adjustRightInd w:val="0"/>
        <w:snapToGrid w:val="0"/>
        <w:spacing w:line="360" w:lineRule="auto"/>
        <w:ind w:firstLine="480"/>
        <w:rPr>
          <w:rFonts w:ascii="Times New Roman" w:hAnsi="Times New Roman"/>
        </w:rPr>
      </w:pPr>
      <w:r>
        <w:rPr>
          <w:rFonts w:hint="eastAsia" w:ascii="Times New Roman" w:hAnsi="Times New Roman"/>
        </w:rPr>
        <w:t>本项目粪污</w:t>
      </w:r>
      <w:r>
        <w:rPr>
          <w:rFonts w:ascii="Times New Roman" w:hAnsi="Times New Roman"/>
        </w:rPr>
        <w:t>全部</w:t>
      </w:r>
      <w:r>
        <w:rPr>
          <w:rFonts w:hint="eastAsia" w:ascii="Times New Roman" w:hAnsi="Times New Roman"/>
        </w:rPr>
        <w:t>交由</w:t>
      </w:r>
      <w:r>
        <w:rPr>
          <w:rFonts w:hint="eastAsia"/>
          <w:szCs w:val="21"/>
        </w:rPr>
        <w:t>乐山乐高勤力生物质能源</w:t>
      </w:r>
      <w:r>
        <w:rPr>
          <w:szCs w:val="21"/>
        </w:rPr>
        <w:t>综合利用有限公司</w:t>
      </w:r>
      <w:r>
        <w:rPr>
          <w:rFonts w:hint="eastAsia"/>
          <w:szCs w:val="21"/>
        </w:rPr>
        <w:t>“大沼”工程处理</w:t>
      </w:r>
      <w:r>
        <w:rPr>
          <w:rFonts w:ascii="Times New Roman" w:hAnsi="Times New Roman"/>
        </w:rPr>
        <w:t>，进行处理后用于发电，</w:t>
      </w:r>
      <w:r>
        <w:rPr>
          <w:rFonts w:hint="eastAsia" w:ascii="Times New Roman" w:hAnsi="Times New Roman"/>
        </w:rPr>
        <w:t>待沼气发电后进行固液分离，沼液用于农田施肥，粪便用于生产有机废，均不外排，</w:t>
      </w:r>
      <w:r>
        <w:rPr>
          <w:rFonts w:ascii="Times New Roman" w:hAnsi="Times New Roman"/>
        </w:rPr>
        <w:t>不设置水污染总量控制。</w:t>
      </w:r>
    </w:p>
    <w:p>
      <w:pPr>
        <w:jc w:val="left"/>
        <w:outlineLvl w:val="2"/>
        <w:rPr>
          <w:rFonts w:eastAsia="黑体"/>
          <w:bCs/>
          <w:spacing w:val="4"/>
          <w:sz w:val="30"/>
          <w:szCs w:val="30"/>
        </w:rPr>
      </w:pPr>
      <w:r>
        <w:rPr>
          <w:rFonts w:eastAsia="黑体"/>
          <w:bCs/>
          <w:spacing w:val="4"/>
          <w:sz w:val="30"/>
          <w:szCs w:val="30"/>
        </w:rPr>
        <w:t>9.2.2</w:t>
      </w:r>
      <w:r>
        <w:rPr>
          <w:rFonts w:hint="eastAsia" w:eastAsia="黑体"/>
          <w:bCs/>
          <w:spacing w:val="4"/>
          <w:sz w:val="30"/>
          <w:szCs w:val="30"/>
        </w:rPr>
        <w:t>废气污染物</w:t>
      </w:r>
      <w:r>
        <w:rPr>
          <w:rFonts w:eastAsia="黑体"/>
          <w:bCs/>
          <w:spacing w:val="4"/>
          <w:sz w:val="30"/>
          <w:szCs w:val="30"/>
        </w:rPr>
        <w:t>总量控制</w:t>
      </w:r>
    </w:p>
    <w:p>
      <w:pPr>
        <w:pStyle w:val="320"/>
        <w:adjustRightInd w:val="0"/>
        <w:snapToGrid w:val="0"/>
        <w:spacing w:line="360" w:lineRule="auto"/>
        <w:ind w:firstLine="480"/>
        <w:rPr>
          <w:rFonts w:ascii="Times New Roman" w:hAnsi="Times New Roman"/>
        </w:rPr>
      </w:pPr>
      <w:r>
        <w:rPr>
          <w:rFonts w:ascii="Times New Roman" w:hAnsi="Times New Roman"/>
        </w:rPr>
        <w:t>本项目产生的废气无SO</w:t>
      </w:r>
      <w:r>
        <w:rPr>
          <w:rFonts w:ascii="Times New Roman" w:hAnsi="Times New Roman"/>
          <w:vertAlign w:val="subscript"/>
        </w:rPr>
        <w:t>2</w:t>
      </w:r>
      <w:r>
        <w:rPr>
          <w:rFonts w:ascii="Times New Roman" w:hAnsi="Times New Roman"/>
        </w:rPr>
        <w:t>、NO</w:t>
      </w:r>
      <w:r>
        <w:rPr>
          <w:rFonts w:ascii="Times New Roman" w:hAnsi="Times New Roman"/>
          <w:vertAlign w:val="subscript"/>
        </w:rPr>
        <w:t>X</w:t>
      </w:r>
      <w:r>
        <w:rPr>
          <w:rFonts w:ascii="Times New Roman" w:hAnsi="Times New Roman"/>
        </w:rPr>
        <w:t>，因此不需要申请大气污染物总量控制指标。</w:t>
      </w:r>
    </w:p>
    <w:p>
      <w:pPr>
        <w:jc w:val="left"/>
        <w:outlineLvl w:val="2"/>
        <w:rPr>
          <w:rFonts w:eastAsia="黑体"/>
          <w:bCs/>
          <w:spacing w:val="4"/>
          <w:sz w:val="30"/>
          <w:szCs w:val="30"/>
        </w:rPr>
      </w:pPr>
      <w:r>
        <w:rPr>
          <w:rFonts w:eastAsia="黑体"/>
          <w:bCs/>
          <w:spacing w:val="4"/>
          <w:sz w:val="30"/>
          <w:szCs w:val="30"/>
        </w:rPr>
        <w:t>9.2.3</w:t>
      </w:r>
      <w:r>
        <w:rPr>
          <w:rFonts w:hint="eastAsia" w:eastAsia="黑体"/>
          <w:bCs/>
          <w:spacing w:val="4"/>
          <w:sz w:val="30"/>
          <w:szCs w:val="30"/>
        </w:rPr>
        <w:t>固体废物</w:t>
      </w:r>
      <w:r>
        <w:rPr>
          <w:rFonts w:eastAsia="黑体"/>
          <w:bCs/>
          <w:spacing w:val="4"/>
          <w:sz w:val="30"/>
          <w:szCs w:val="30"/>
        </w:rPr>
        <w:t>总量控制</w:t>
      </w:r>
    </w:p>
    <w:p>
      <w:pPr>
        <w:pStyle w:val="320"/>
        <w:adjustRightInd w:val="0"/>
        <w:snapToGrid w:val="0"/>
        <w:spacing w:line="360" w:lineRule="auto"/>
        <w:ind w:firstLine="480"/>
        <w:rPr>
          <w:rFonts w:ascii="Times New Roman" w:hAnsi="Times New Roman"/>
        </w:rPr>
        <w:sectPr>
          <w:pgSz w:w="11907" w:h="16840"/>
          <w:pgMar w:top="1440" w:right="1797" w:bottom="1440" w:left="1797" w:header="851" w:footer="851" w:gutter="0"/>
          <w:cols w:space="720" w:num="1"/>
        </w:sectPr>
      </w:pPr>
      <w:r>
        <w:rPr>
          <w:rFonts w:hint="eastAsia" w:ascii="Times New Roman" w:hAnsi="Times New Roman"/>
        </w:rPr>
        <w:t>项目</w:t>
      </w:r>
      <w:r>
        <w:rPr>
          <w:rFonts w:ascii="Times New Roman" w:hAnsi="Times New Roman"/>
        </w:rPr>
        <w:t>建成后固体废物均去向明确，无总量控制指标。</w:t>
      </w:r>
    </w:p>
    <w:bookmarkEnd w:id="731"/>
    <w:bookmarkEnd w:id="732"/>
    <w:bookmarkEnd w:id="733"/>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774" w:name="_Toc29110614"/>
      <w:r>
        <w:rPr>
          <w:rFonts w:hint="eastAsia" w:ascii="Times New Roman" w:hAnsi="Times New Roman" w:eastAsia="黑体" w:cs="Times New Roman"/>
          <w:b w:val="0"/>
          <w:bCs/>
          <w:kern w:val="44"/>
          <w:sz w:val="36"/>
        </w:rPr>
        <w:t>环境保护措施分析</w:t>
      </w:r>
      <w:bookmarkEnd w:id="774"/>
    </w:p>
    <w:p>
      <w:pPr>
        <w:tabs>
          <w:tab w:val="left" w:pos="3213"/>
        </w:tabs>
        <w:adjustRightInd w:val="0"/>
        <w:snapToGrid w:val="0"/>
        <w:ind w:firstLine="480" w:firstLineChars="200"/>
        <w:textAlignment w:val="center"/>
        <w:rPr>
          <w:kern w:val="0"/>
          <w:szCs w:val="20"/>
        </w:rPr>
      </w:pPr>
      <w:bookmarkStart w:id="775" w:name="_Toc22169"/>
      <w:r>
        <w:rPr>
          <w:kern w:val="0"/>
          <w:szCs w:val="20"/>
        </w:rPr>
        <w:t>本项目根据工程排污特点以及外环境的要求，项目采取的环境保护措施主要有：废水治理、废气治理、设备噪声控制、固体废物处置、地下水防护等，其环保投资总额为471.2万元人民币。</w:t>
      </w:r>
    </w:p>
    <w:p>
      <w:pPr>
        <w:keepNext/>
        <w:keepLines/>
        <w:adjustRightInd w:val="0"/>
        <w:spacing w:before="120" w:after="60"/>
        <w:jc w:val="left"/>
        <w:textAlignment w:val="baseline"/>
        <w:outlineLvl w:val="1"/>
        <w:rPr>
          <w:rFonts w:eastAsia="黑体"/>
          <w:bCs/>
          <w:spacing w:val="4"/>
          <w:sz w:val="32"/>
          <w:szCs w:val="32"/>
        </w:rPr>
      </w:pPr>
      <w:bookmarkStart w:id="776" w:name="_Toc29110615"/>
      <w:bookmarkStart w:id="777" w:name="_Toc535445494"/>
      <w:r>
        <w:rPr>
          <w:rFonts w:hint="eastAsia" w:eastAsia="黑体"/>
          <w:bCs/>
          <w:spacing w:val="4"/>
          <w:sz w:val="32"/>
          <w:szCs w:val="32"/>
        </w:rPr>
        <w:t>1</w:t>
      </w:r>
      <w:r>
        <w:rPr>
          <w:rFonts w:eastAsia="黑体"/>
          <w:bCs/>
          <w:spacing w:val="4"/>
          <w:sz w:val="32"/>
          <w:szCs w:val="32"/>
        </w:rPr>
        <w:t>0</w:t>
      </w:r>
      <w:r>
        <w:rPr>
          <w:rFonts w:hint="eastAsia" w:eastAsia="黑体"/>
          <w:bCs/>
          <w:spacing w:val="4"/>
          <w:sz w:val="32"/>
          <w:szCs w:val="32"/>
        </w:rPr>
        <w:t>.1 施工期环境保护措施</w:t>
      </w:r>
      <w:bookmarkEnd w:id="776"/>
      <w:bookmarkEnd w:id="777"/>
    </w:p>
    <w:p>
      <w:pPr>
        <w:spacing w:before="120" w:after="60"/>
        <w:jc w:val="left"/>
        <w:outlineLvl w:val="2"/>
        <w:rPr>
          <w:rFonts w:eastAsia="黑体"/>
          <w:bCs/>
          <w:sz w:val="28"/>
          <w:szCs w:val="28"/>
        </w:rPr>
      </w:pPr>
      <w:bookmarkStart w:id="778" w:name="_Toc351993767"/>
      <w:r>
        <w:rPr>
          <w:rFonts w:eastAsia="黑体"/>
          <w:bCs/>
          <w:sz w:val="28"/>
          <w:szCs w:val="28"/>
        </w:rPr>
        <w:t xml:space="preserve">10.1.1 </w:t>
      </w:r>
      <w:r>
        <w:rPr>
          <w:rFonts w:hint="eastAsia" w:eastAsia="黑体"/>
          <w:bCs/>
          <w:sz w:val="28"/>
          <w:szCs w:val="28"/>
        </w:rPr>
        <w:t>声环境污染防治</w:t>
      </w:r>
      <w:r>
        <w:rPr>
          <w:rFonts w:eastAsia="黑体"/>
          <w:bCs/>
          <w:sz w:val="28"/>
          <w:szCs w:val="28"/>
        </w:rPr>
        <w:t>措施</w:t>
      </w:r>
      <w:bookmarkEnd w:id="778"/>
    </w:p>
    <w:p>
      <w:pPr>
        <w:tabs>
          <w:tab w:val="left" w:pos="3213"/>
        </w:tabs>
        <w:adjustRightInd w:val="0"/>
        <w:snapToGrid w:val="0"/>
        <w:ind w:firstLine="505"/>
        <w:textAlignment w:val="center"/>
        <w:rPr>
          <w:kern w:val="0"/>
          <w:szCs w:val="20"/>
        </w:rPr>
      </w:pPr>
      <w:r>
        <w:rPr>
          <w:kern w:val="0"/>
          <w:szCs w:val="20"/>
        </w:rPr>
        <w:t>本项目在施工期噪声污染防治措施如下：</w:t>
      </w:r>
    </w:p>
    <w:p>
      <w:pPr>
        <w:tabs>
          <w:tab w:val="left" w:pos="3213"/>
        </w:tabs>
        <w:adjustRightInd w:val="0"/>
        <w:snapToGrid w:val="0"/>
        <w:ind w:firstLine="505"/>
        <w:textAlignment w:val="center"/>
        <w:rPr>
          <w:kern w:val="0"/>
          <w:szCs w:val="20"/>
        </w:rPr>
      </w:pPr>
      <w:r>
        <w:rPr>
          <w:rFonts w:hint="eastAsia"/>
          <w:kern w:val="0"/>
          <w:szCs w:val="20"/>
        </w:rPr>
        <w:t>（1）</w:t>
      </w:r>
      <w:r>
        <w:rPr>
          <w:kern w:val="0"/>
          <w:szCs w:val="20"/>
        </w:rPr>
        <w:t>选用符合国家标准的低噪声设备，并加强对设备的维修保养，避免由于设备非正常工作而产生高噪声污染。</w:t>
      </w:r>
    </w:p>
    <w:p>
      <w:pPr>
        <w:tabs>
          <w:tab w:val="left" w:pos="3213"/>
        </w:tabs>
        <w:adjustRightInd w:val="0"/>
        <w:snapToGrid w:val="0"/>
        <w:ind w:firstLine="505"/>
        <w:textAlignment w:val="center"/>
        <w:rPr>
          <w:kern w:val="0"/>
          <w:szCs w:val="20"/>
        </w:rPr>
      </w:pPr>
      <w:r>
        <w:rPr>
          <w:rFonts w:hint="eastAsia"/>
          <w:kern w:val="0"/>
          <w:szCs w:val="20"/>
        </w:rPr>
        <w:t>（2）</w:t>
      </w:r>
      <w:r>
        <w:rPr>
          <w:kern w:val="0"/>
          <w:szCs w:val="20"/>
        </w:rPr>
        <w:t>夜间</w:t>
      </w:r>
      <w:r>
        <w:rPr>
          <w:rFonts w:hint="eastAsia"/>
          <w:kern w:val="0"/>
          <w:szCs w:val="20"/>
        </w:rPr>
        <w:t>（</w:t>
      </w:r>
      <w:r>
        <w:rPr>
          <w:kern w:val="0"/>
          <w:szCs w:val="20"/>
        </w:rPr>
        <w:t>22：00～6：00</w:t>
      </w:r>
      <w:r>
        <w:rPr>
          <w:rFonts w:hint="eastAsia"/>
          <w:kern w:val="0"/>
          <w:szCs w:val="20"/>
        </w:rPr>
        <w:t>）</w:t>
      </w:r>
      <w:r>
        <w:rPr>
          <w:kern w:val="0"/>
          <w:szCs w:val="20"/>
        </w:rPr>
        <w:t>禁止高噪声机械施工作业，必须连续施工作业的工艺，建设单位和施工单位应视具体情况及时与环保部门取得联系，按规定申领夜间施工证，同时发布公告最大限度地争取民众支持。</w:t>
      </w:r>
    </w:p>
    <w:p>
      <w:pPr>
        <w:tabs>
          <w:tab w:val="left" w:pos="3213"/>
        </w:tabs>
        <w:adjustRightInd w:val="0"/>
        <w:snapToGrid w:val="0"/>
        <w:ind w:firstLine="505"/>
        <w:textAlignment w:val="center"/>
        <w:rPr>
          <w:kern w:val="0"/>
          <w:szCs w:val="20"/>
        </w:rPr>
      </w:pPr>
      <w:r>
        <w:rPr>
          <w:rFonts w:hint="eastAsia"/>
          <w:kern w:val="0"/>
          <w:szCs w:val="20"/>
        </w:rPr>
        <w:t>（3）</w:t>
      </w:r>
      <w:r>
        <w:rPr>
          <w:kern w:val="0"/>
          <w:szCs w:val="20"/>
        </w:rPr>
        <w:t>项目区域内的现有道路将在项目施工期用于运输施工物资，应注意合理安排施工物料的运输时间。在途经路段附近有学校等敏感目标的路段，应减速慢行、禁止鸣笛。材料运输道路尽量避免穿越市中心繁华地段和交通拥堵地段，将施工噪声影响降到最低限度。</w:t>
      </w:r>
    </w:p>
    <w:p>
      <w:pPr>
        <w:tabs>
          <w:tab w:val="left" w:pos="3213"/>
        </w:tabs>
        <w:adjustRightInd w:val="0"/>
        <w:snapToGrid w:val="0"/>
        <w:ind w:firstLine="505"/>
        <w:textAlignment w:val="center"/>
        <w:rPr>
          <w:kern w:val="0"/>
          <w:szCs w:val="20"/>
        </w:rPr>
      </w:pPr>
      <w:r>
        <w:rPr>
          <w:rFonts w:hint="eastAsia"/>
          <w:kern w:val="0"/>
          <w:szCs w:val="20"/>
        </w:rPr>
        <w:t>（4）</w:t>
      </w:r>
      <w:r>
        <w:rPr>
          <w:kern w:val="0"/>
          <w:szCs w:val="20"/>
        </w:rPr>
        <w:t>监理单位应做好施工期噪声监理工作，配备一定数量的噪声测量仪器，对施工场所附近的居民点进行监测，以保证其不受噪声超标影响。</w:t>
      </w:r>
    </w:p>
    <w:p>
      <w:pPr>
        <w:tabs>
          <w:tab w:val="left" w:pos="3213"/>
        </w:tabs>
        <w:adjustRightInd w:val="0"/>
        <w:snapToGrid w:val="0"/>
        <w:ind w:firstLine="505"/>
        <w:textAlignment w:val="center"/>
        <w:rPr>
          <w:kern w:val="0"/>
          <w:szCs w:val="20"/>
        </w:rPr>
      </w:pPr>
      <w:r>
        <w:rPr>
          <w:kern w:val="0"/>
          <w:szCs w:val="20"/>
        </w:rPr>
        <w:t>采取上述噪声防治措施后，能最大限度减小施工噪声对区域环境和周围敏感目标的影响，因此本项目采取的施工期噪声污染防治措施技术经济可行。</w:t>
      </w:r>
    </w:p>
    <w:p>
      <w:pPr>
        <w:spacing w:before="120" w:after="60"/>
        <w:jc w:val="left"/>
        <w:outlineLvl w:val="2"/>
        <w:rPr>
          <w:rFonts w:eastAsia="黑体"/>
          <w:bCs/>
          <w:sz w:val="28"/>
          <w:szCs w:val="28"/>
        </w:rPr>
      </w:pPr>
      <w:bookmarkStart w:id="779" w:name="_Toc351993768"/>
      <w:r>
        <w:rPr>
          <w:rFonts w:eastAsia="黑体"/>
          <w:bCs/>
          <w:sz w:val="28"/>
          <w:szCs w:val="28"/>
        </w:rPr>
        <w:t xml:space="preserve">10.1.2 </w:t>
      </w:r>
      <w:r>
        <w:rPr>
          <w:rFonts w:hint="eastAsia" w:eastAsia="黑体"/>
          <w:bCs/>
          <w:sz w:val="28"/>
          <w:szCs w:val="28"/>
        </w:rPr>
        <w:t>水环境污染防治</w:t>
      </w:r>
      <w:r>
        <w:rPr>
          <w:rFonts w:eastAsia="黑体"/>
          <w:bCs/>
          <w:sz w:val="28"/>
          <w:szCs w:val="28"/>
        </w:rPr>
        <w:t>措施</w:t>
      </w:r>
      <w:bookmarkEnd w:id="779"/>
    </w:p>
    <w:p>
      <w:pPr>
        <w:tabs>
          <w:tab w:val="left" w:pos="3213"/>
        </w:tabs>
        <w:adjustRightInd w:val="0"/>
        <w:snapToGrid w:val="0"/>
        <w:ind w:firstLine="505"/>
        <w:textAlignment w:val="center"/>
        <w:rPr>
          <w:kern w:val="0"/>
          <w:szCs w:val="20"/>
        </w:rPr>
      </w:pPr>
      <w:r>
        <w:rPr>
          <w:rFonts w:hint="eastAsia"/>
          <w:kern w:val="0"/>
          <w:szCs w:val="20"/>
        </w:rPr>
        <w:t>（1）</w:t>
      </w:r>
      <w:r>
        <w:rPr>
          <w:kern w:val="0"/>
          <w:szCs w:val="20"/>
        </w:rPr>
        <w:t>管理措施</w:t>
      </w:r>
    </w:p>
    <w:p>
      <w:pPr>
        <w:tabs>
          <w:tab w:val="left" w:pos="3213"/>
        </w:tabs>
        <w:adjustRightInd w:val="0"/>
        <w:snapToGrid w:val="0"/>
        <w:ind w:firstLine="505"/>
        <w:textAlignment w:val="center"/>
        <w:rPr>
          <w:kern w:val="0"/>
          <w:szCs w:val="20"/>
        </w:rPr>
      </w:pPr>
      <w:r>
        <w:rPr>
          <w:kern w:val="0"/>
          <w:szCs w:val="20"/>
        </w:rPr>
        <w:t>开展施工场所的环境保护教育，让施工人员理解水资源保护的重要性；施工时，应制定合理的施工程序，高效组织施工作业，加强施工管理和工程监理工作，严格检查施工机械，防止油料发生泄漏污染水体。施工材料如油料等集中放置在空置的建筑中。通过科学合理、高效严格的施工管理，有助于减少建设施工期对地表水体的影响。</w:t>
      </w:r>
    </w:p>
    <w:p>
      <w:pPr>
        <w:tabs>
          <w:tab w:val="left" w:pos="3213"/>
        </w:tabs>
        <w:adjustRightInd w:val="0"/>
        <w:snapToGrid w:val="0"/>
        <w:ind w:firstLine="505"/>
        <w:textAlignment w:val="center"/>
        <w:rPr>
          <w:kern w:val="0"/>
          <w:szCs w:val="20"/>
        </w:rPr>
      </w:pPr>
      <w:r>
        <w:rPr>
          <w:rFonts w:hint="eastAsia"/>
          <w:kern w:val="0"/>
          <w:szCs w:val="20"/>
        </w:rPr>
        <w:t>（2）</w:t>
      </w:r>
      <w:r>
        <w:rPr>
          <w:kern w:val="0"/>
          <w:szCs w:val="20"/>
        </w:rPr>
        <w:t>施工期废水处理措施</w:t>
      </w:r>
    </w:p>
    <w:p>
      <w:pPr>
        <w:tabs>
          <w:tab w:val="left" w:pos="3213"/>
        </w:tabs>
        <w:adjustRightInd w:val="0"/>
        <w:snapToGrid w:val="0"/>
        <w:ind w:firstLine="505"/>
        <w:textAlignment w:val="center"/>
        <w:rPr>
          <w:kern w:val="0"/>
          <w:szCs w:val="20"/>
        </w:rPr>
      </w:pPr>
      <w:r>
        <w:rPr>
          <w:kern w:val="0"/>
          <w:szCs w:val="20"/>
        </w:rPr>
        <w:fldChar w:fldCharType="begin"/>
      </w:r>
      <w:r>
        <w:rPr>
          <w:kern w:val="0"/>
          <w:szCs w:val="20"/>
        </w:rPr>
        <w:instrText xml:space="preserve"> </w:instrText>
      </w:r>
      <w:r>
        <w:rPr>
          <w:rFonts w:hint="eastAsia"/>
          <w:kern w:val="0"/>
          <w:szCs w:val="20"/>
        </w:rPr>
        <w:instrText xml:space="preserve">= 1 \* GB3</w:instrText>
      </w:r>
      <w:r>
        <w:rPr>
          <w:kern w:val="0"/>
          <w:szCs w:val="20"/>
        </w:rPr>
        <w:instrText xml:space="preserve"> </w:instrText>
      </w:r>
      <w:r>
        <w:rPr>
          <w:kern w:val="0"/>
          <w:szCs w:val="20"/>
        </w:rPr>
        <w:fldChar w:fldCharType="separate"/>
      </w:r>
      <w:r>
        <w:rPr>
          <w:rFonts w:hint="eastAsia"/>
          <w:kern w:val="0"/>
          <w:szCs w:val="20"/>
        </w:rPr>
        <w:t>①</w:t>
      </w:r>
      <w:r>
        <w:rPr>
          <w:kern w:val="0"/>
          <w:szCs w:val="20"/>
        </w:rPr>
        <w:fldChar w:fldCharType="end"/>
      </w:r>
      <w:r>
        <w:rPr>
          <w:kern w:val="0"/>
          <w:szCs w:val="20"/>
        </w:rPr>
        <w:t>在施工场地设置沉淀池，施工废水经沉淀池处理后回用，不外排。</w:t>
      </w:r>
    </w:p>
    <w:p>
      <w:pPr>
        <w:tabs>
          <w:tab w:val="left" w:pos="3213"/>
        </w:tabs>
        <w:adjustRightInd w:val="0"/>
        <w:snapToGrid w:val="0"/>
        <w:ind w:firstLine="505"/>
        <w:textAlignment w:val="center"/>
        <w:rPr>
          <w:kern w:val="0"/>
          <w:szCs w:val="20"/>
        </w:rPr>
      </w:pPr>
      <w:r>
        <w:rPr>
          <w:kern w:val="0"/>
          <w:szCs w:val="20"/>
        </w:rPr>
        <w:fldChar w:fldCharType="begin"/>
      </w:r>
      <w:r>
        <w:rPr>
          <w:kern w:val="0"/>
          <w:szCs w:val="20"/>
        </w:rPr>
        <w:instrText xml:space="preserve"> </w:instrText>
      </w:r>
      <w:r>
        <w:rPr>
          <w:rFonts w:hint="eastAsia"/>
          <w:kern w:val="0"/>
          <w:szCs w:val="20"/>
        </w:rPr>
        <w:instrText xml:space="preserve">= 2 \* GB3</w:instrText>
      </w:r>
      <w:r>
        <w:rPr>
          <w:kern w:val="0"/>
          <w:szCs w:val="20"/>
        </w:rPr>
        <w:instrText xml:space="preserve"> </w:instrText>
      </w:r>
      <w:r>
        <w:rPr>
          <w:kern w:val="0"/>
          <w:szCs w:val="20"/>
        </w:rPr>
        <w:fldChar w:fldCharType="separate"/>
      </w:r>
      <w:r>
        <w:rPr>
          <w:rFonts w:hint="eastAsia"/>
          <w:kern w:val="0"/>
          <w:szCs w:val="20"/>
        </w:rPr>
        <w:t>②</w:t>
      </w:r>
      <w:r>
        <w:rPr>
          <w:kern w:val="0"/>
          <w:szCs w:val="20"/>
        </w:rPr>
        <w:fldChar w:fldCharType="end"/>
      </w:r>
      <w:r>
        <w:rPr>
          <w:kern w:val="0"/>
          <w:szCs w:val="20"/>
        </w:rPr>
        <w:t>施工区内的雨水需经过沉淀池收集处理后方可排入城市雨水管网中。</w:t>
      </w:r>
    </w:p>
    <w:p>
      <w:pPr>
        <w:tabs>
          <w:tab w:val="left" w:pos="3213"/>
        </w:tabs>
        <w:adjustRightInd w:val="0"/>
        <w:snapToGrid w:val="0"/>
        <w:ind w:firstLine="505"/>
        <w:textAlignment w:val="center"/>
        <w:rPr>
          <w:kern w:val="0"/>
          <w:szCs w:val="20"/>
        </w:rPr>
      </w:pPr>
      <w:r>
        <w:rPr>
          <w:kern w:val="0"/>
          <w:szCs w:val="20"/>
        </w:rPr>
        <w:fldChar w:fldCharType="begin"/>
      </w:r>
      <w:r>
        <w:rPr>
          <w:kern w:val="0"/>
          <w:szCs w:val="20"/>
        </w:rPr>
        <w:instrText xml:space="preserve"> </w:instrText>
      </w:r>
      <w:r>
        <w:rPr>
          <w:rFonts w:hint="eastAsia"/>
          <w:kern w:val="0"/>
          <w:szCs w:val="20"/>
        </w:rPr>
        <w:instrText xml:space="preserve">= 3 \* GB3</w:instrText>
      </w:r>
      <w:r>
        <w:rPr>
          <w:kern w:val="0"/>
          <w:szCs w:val="20"/>
        </w:rPr>
        <w:instrText xml:space="preserve"> </w:instrText>
      </w:r>
      <w:r>
        <w:rPr>
          <w:kern w:val="0"/>
          <w:szCs w:val="20"/>
        </w:rPr>
        <w:fldChar w:fldCharType="separate"/>
      </w:r>
      <w:r>
        <w:rPr>
          <w:rFonts w:hint="eastAsia"/>
          <w:kern w:val="0"/>
          <w:szCs w:val="20"/>
        </w:rPr>
        <w:t>③</w:t>
      </w:r>
      <w:r>
        <w:rPr>
          <w:kern w:val="0"/>
          <w:szCs w:val="20"/>
        </w:rPr>
        <w:fldChar w:fldCharType="end"/>
      </w:r>
      <w:r>
        <w:rPr>
          <w:kern w:val="0"/>
          <w:szCs w:val="20"/>
        </w:rPr>
        <w:t>施工人员产生的生活污水，采取节水式移动卫生厕所，</w:t>
      </w:r>
      <w:r>
        <w:rPr>
          <w:rFonts w:hint="eastAsia"/>
          <w:kern w:val="0"/>
          <w:szCs w:val="20"/>
        </w:rPr>
        <w:t>由专人对卫生厕所进行清扫管理</w:t>
      </w:r>
      <w:r>
        <w:rPr>
          <w:kern w:val="0"/>
          <w:szCs w:val="20"/>
        </w:rPr>
        <w:t>。</w:t>
      </w:r>
    </w:p>
    <w:p>
      <w:pPr>
        <w:tabs>
          <w:tab w:val="left" w:pos="3213"/>
        </w:tabs>
        <w:adjustRightInd w:val="0"/>
        <w:snapToGrid w:val="0"/>
        <w:ind w:firstLine="505"/>
        <w:textAlignment w:val="center"/>
        <w:rPr>
          <w:kern w:val="0"/>
          <w:szCs w:val="20"/>
        </w:rPr>
      </w:pPr>
      <w:r>
        <w:rPr>
          <w:kern w:val="0"/>
          <w:szCs w:val="20"/>
        </w:rPr>
        <w:t>通过以上措施，有效地限制施工期产生的悬浮污染物和油类污染物等，并通过加强管理和调度，可以有效地防止本项目施工期对地表水的影响，因此本环评提出的施工期水环境污染防治措施技术经济可行，能避免对</w:t>
      </w:r>
      <w:r>
        <w:rPr>
          <w:rFonts w:hint="eastAsia"/>
          <w:kern w:val="0"/>
          <w:szCs w:val="20"/>
        </w:rPr>
        <w:t>洗银河及关帝庙河</w:t>
      </w:r>
      <w:r>
        <w:rPr>
          <w:kern w:val="0"/>
          <w:szCs w:val="20"/>
        </w:rPr>
        <w:t>水体的污染。</w:t>
      </w:r>
    </w:p>
    <w:p>
      <w:pPr>
        <w:spacing w:before="120" w:after="60"/>
        <w:jc w:val="left"/>
        <w:outlineLvl w:val="2"/>
        <w:rPr>
          <w:rFonts w:eastAsia="黑体"/>
          <w:bCs/>
          <w:sz w:val="28"/>
          <w:szCs w:val="28"/>
        </w:rPr>
      </w:pPr>
      <w:bookmarkStart w:id="780" w:name="_Toc351993769"/>
      <w:r>
        <w:rPr>
          <w:rFonts w:eastAsia="黑体"/>
          <w:bCs/>
          <w:sz w:val="28"/>
          <w:szCs w:val="28"/>
        </w:rPr>
        <w:t xml:space="preserve">10.1.3 </w:t>
      </w:r>
      <w:r>
        <w:rPr>
          <w:rFonts w:hint="eastAsia" w:eastAsia="黑体"/>
          <w:bCs/>
          <w:sz w:val="28"/>
          <w:szCs w:val="28"/>
        </w:rPr>
        <w:t>大气环境污染防治</w:t>
      </w:r>
      <w:r>
        <w:rPr>
          <w:rFonts w:eastAsia="黑体"/>
          <w:bCs/>
          <w:sz w:val="28"/>
          <w:szCs w:val="28"/>
        </w:rPr>
        <w:t>措施</w:t>
      </w:r>
      <w:bookmarkEnd w:id="780"/>
    </w:p>
    <w:p>
      <w:pPr>
        <w:tabs>
          <w:tab w:val="left" w:pos="3213"/>
        </w:tabs>
        <w:adjustRightInd w:val="0"/>
        <w:snapToGrid w:val="0"/>
        <w:ind w:firstLine="505"/>
        <w:textAlignment w:val="center"/>
        <w:rPr>
          <w:kern w:val="0"/>
          <w:szCs w:val="20"/>
        </w:rPr>
      </w:pPr>
      <w:r>
        <w:rPr>
          <w:kern w:val="0"/>
          <w:szCs w:val="20"/>
        </w:rPr>
        <w:t>本项目施工期大气污染防治措施如下：</w:t>
      </w:r>
    </w:p>
    <w:p>
      <w:pPr>
        <w:tabs>
          <w:tab w:val="left" w:pos="3213"/>
        </w:tabs>
        <w:adjustRightInd w:val="0"/>
        <w:snapToGrid w:val="0"/>
        <w:ind w:firstLine="505"/>
        <w:textAlignment w:val="center"/>
        <w:rPr>
          <w:kern w:val="0"/>
          <w:szCs w:val="20"/>
        </w:rPr>
      </w:pPr>
      <w:r>
        <w:rPr>
          <w:rFonts w:hint="eastAsia"/>
          <w:kern w:val="0"/>
          <w:szCs w:val="20"/>
        </w:rPr>
        <w:t>（1）</w:t>
      </w:r>
      <w:r>
        <w:rPr>
          <w:kern w:val="0"/>
          <w:szCs w:val="20"/>
        </w:rPr>
        <w:t>施工期间，施工单位应根据《建设工程施工现场管理规定》规定设置施工标志牌、现场平面布置图和安全生产、消防保卫、环境保护、文明施工制度板。</w:t>
      </w:r>
    </w:p>
    <w:p>
      <w:pPr>
        <w:tabs>
          <w:tab w:val="left" w:pos="3213"/>
        </w:tabs>
        <w:adjustRightInd w:val="0"/>
        <w:snapToGrid w:val="0"/>
        <w:ind w:firstLine="505"/>
        <w:textAlignment w:val="center"/>
        <w:rPr>
          <w:kern w:val="0"/>
          <w:szCs w:val="20"/>
        </w:rPr>
      </w:pPr>
      <w:r>
        <w:rPr>
          <w:rFonts w:hint="eastAsia"/>
          <w:kern w:val="0"/>
          <w:szCs w:val="20"/>
        </w:rPr>
        <w:t>（2）</w:t>
      </w:r>
      <w:r>
        <w:rPr>
          <w:kern w:val="0"/>
          <w:szCs w:val="20"/>
        </w:rPr>
        <w:t>洗车平台、排水、泥浆沉淀设施的设置。施工期间，物料、渣土、垃圾运输车辆的出入口内侧设置洗车平台，洗车平台四周应设置防溢座或其它防治设施，防止洗车废水溢出工地；设置废水收集坑及沉砂池。车辆驶离工地前，应在洗车平台冲洗轮胎及车身，其表面不得附着污泥。</w:t>
      </w:r>
    </w:p>
    <w:p>
      <w:pPr>
        <w:tabs>
          <w:tab w:val="left" w:pos="3213"/>
        </w:tabs>
        <w:adjustRightInd w:val="0"/>
        <w:snapToGrid w:val="0"/>
        <w:ind w:firstLine="505"/>
        <w:textAlignment w:val="center"/>
        <w:rPr>
          <w:kern w:val="0"/>
          <w:szCs w:val="20"/>
        </w:rPr>
      </w:pPr>
      <w:r>
        <w:rPr>
          <w:rFonts w:hint="eastAsia"/>
          <w:kern w:val="0"/>
          <w:szCs w:val="20"/>
        </w:rPr>
        <w:t>（3）</w:t>
      </w:r>
      <w:r>
        <w:rPr>
          <w:kern w:val="0"/>
          <w:szCs w:val="20"/>
        </w:rPr>
        <w:t>进出工地的物料、渣土、垃圾运输车辆的防尘措施、运输路线和时间。进出工地的物料、渣土、垃圾运输车辆，装载的物料、垃圾、渣土高度不得超过</w:t>
      </w:r>
    </w:p>
    <w:p>
      <w:pPr>
        <w:tabs>
          <w:tab w:val="left" w:pos="3213"/>
        </w:tabs>
        <w:adjustRightInd w:val="0"/>
        <w:snapToGrid w:val="0"/>
        <w:ind w:firstLine="505"/>
        <w:textAlignment w:val="center"/>
        <w:rPr>
          <w:kern w:val="0"/>
          <w:szCs w:val="20"/>
        </w:rPr>
      </w:pPr>
      <w:r>
        <w:rPr>
          <w:rFonts w:hint="eastAsia"/>
          <w:kern w:val="0"/>
          <w:szCs w:val="20"/>
        </w:rPr>
        <w:t>（4）</w:t>
      </w:r>
      <w:r>
        <w:rPr>
          <w:kern w:val="0"/>
          <w:szCs w:val="20"/>
        </w:rPr>
        <w:t>天气预报4 级风以上天气应停止产生扬尘的施工作业，例如土方工程、拆除作业等。</w:t>
      </w:r>
    </w:p>
    <w:p>
      <w:pPr>
        <w:spacing w:before="120" w:after="60"/>
        <w:jc w:val="left"/>
        <w:outlineLvl w:val="2"/>
        <w:rPr>
          <w:rFonts w:eastAsia="黑体"/>
          <w:bCs/>
          <w:sz w:val="28"/>
          <w:szCs w:val="28"/>
        </w:rPr>
      </w:pPr>
      <w:bookmarkStart w:id="781" w:name="_Toc351993770"/>
      <w:r>
        <w:rPr>
          <w:rFonts w:eastAsia="黑体"/>
          <w:bCs/>
          <w:sz w:val="28"/>
          <w:szCs w:val="28"/>
        </w:rPr>
        <w:t xml:space="preserve">10.1.4 </w:t>
      </w:r>
      <w:r>
        <w:rPr>
          <w:rFonts w:hint="eastAsia" w:eastAsia="黑体"/>
          <w:bCs/>
          <w:sz w:val="28"/>
          <w:szCs w:val="28"/>
        </w:rPr>
        <w:t>固体废弃物污染防治</w:t>
      </w:r>
      <w:r>
        <w:rPr>
          <w:rFonts w:eastAsia="黑体"/>
          <w:bCs/>
          <w:sz w:val="28"/>
          <w:szCs w:val="28"/>
        </w:rPr>
        <w:t>措施</w:t>
      </w:r>
      <w:bookmarkEnd w:id="781"/>
    </w:p>
    <w:p>
      <w:pPr>
        <w:tabs>
          <w:tab w:val="left" w:pos="3213"/>
        </w:tabs>
        <w:adjustRightInd w:val="0"/>
        <w:snapToGrid w:val="0"/>
        <w:ind w:firstLine="505"/>
        <w:textAlignment w:val="center"/>
        <w:rPr>
          <w:kern w:val="0"/>
          <w:szCs w:val="20"/>
        </w:rPr>
      </w:pPr>
      <w:r>
        <w:rPr>
          <w:kern w:val="0"/>
          <w:szCs w:val="20"/>
        </w:rPr>
        <w:t>根据《中华人民共和国固体废物污染环境防治法》相关规定，建议施工期在施工营地对生活垃圾进行分类清理，并交由环卫部门定期送往城市垃圾处理场进行处置。对垃圾堆放点应加强维护管理，避免垃圾的随意堆放造成四处散落，同时应定期喷洒杀菌、杀虫药水，减少蚊虫和病菌滋生。</w:t>
      </w:r>
    </w:p>
    <w:p>
      <w:pPr>
        <w:tabs>
          <w:tab w:val="left" w:pos="3213"/>
        </w:tabs>
        <w:adjustRightInd w:val="0"/>
        <w:snapToGrid w:val="0"/>
        <w:ind w:firstLine="505"/>
        <w:textAlignment w:val="center"/>
        <w:rPr>
          <w:kern w:val="0"/>
          <w:szCs w:val="20"/>
        </w:rPr>
      </w:pPr>
      <w:r>
        <w:rPr>
          <w:kern w:val="0"/>
          <w:szCs w:val="20"/>
        </w:rPr>
        <w:t>本项目施工人员产生的生活垃圾由</w:t>
      </w:r>
      <w:r>
        <w:rPr>
          <w:rFonts w:hint="eastAsia"/>
          <w:kern w:val="0"/>
          <w:szCs w:val="20"/>
        </w:rPr>
        <w:t>简阳市</w:t>
      </w:r>
      <w:r>
        <w:rPr>
          <w:kern w:val="0"/>
          <w:szCs w:val="20"/>
        </w:rPr>
        <w:t>环卫部门收集处理，日产日清。</w:t>
      </w:r>
    </w:p>
    <w:p>
      <w:pPr>
        <w:tabs>
          <w:tab w:val="left" w:pos="3213"/>
        </w:tabs>
        <w:adjustRightInd w:val="0"/>
        <w:snapToGrid w:val="0"/>
        <w:ind w:firstLine="505"/>
        <w:textAlignment w:val="center"/>
        <w:rPr>
          <w:kern w:val="0"/>
          <w:szCs w:val="20"/>
        </w:rPr>
      </w:pPr>
      <w:r>
        <w:rPr>
          <w:kern w:val="0"/>
          <w:szCs w:val="20"/>
        </w:rPr>
        <w:t>项目产生的建筑垃圾及时运往</w:t>
      </w:r>
      <w:r>
        <w:rPr>
          <w:rFonts w:hint="eastAsia"/>
          <w:kern w:val="0"/>
          <w:szCs w:val="20"/>
        </w:rPr>
        <w:t>简阳市</w:t>
      </w:r>
      <w:r>
        <w:rPr>
          <w:kern w:val="0"/>
          <w:szCs w:val="20"/>
        </w:rPr>
        <w:t>指定的建渣场进行处理，废钢材等可回收废料外售给当地的废品收集站。</w:t>
      </w:r>
    </w:p>
    <w:p>
      <w:pPr>
        <w:tabs>
          <w:tab w:val="left" w:pos="3213"/>
        </w:tabs>
        <w:adjustRightInd w:val="0"/>
        <w:snapToGrid w:val="0"/>
        <w:ind w:firstLine="480" w:firstLineChars="200"/>
        <w:textAlignment w:val="center"/>
        <w:rPr>
          <w:kern w:val="0"/>
          <w:szCs w:val="20"/>
        </w:rPr>
      </w:pPr>
      <w:r>
        <w:rPr>
          <w:kern w:val="0"/>
          <w:szCs w:val="20"/>
        </w:rPr>
        <w:t>通过以上措施，本项目施工期产生的固体废弃物均得到了妥善处理，不会污染当地环境，因此本环评提出的固体废物防治措施技术经济可行。</w:t>
      </w:r>
    </w:p>
    <w:bookmarkEnd w:id="775"/>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82" w:name="_Toc29110616"/>
      <w:bookmarkStart w:id="783" w:name="_Toc7363223"/>
      <w:bookmarkStart w:id="784" w:name="_Toc427571557"/>
      <w:bookmarkStart w:id="785" w:name="_Toc457481051"/>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 xml:space="preserve">.2 </w:t>
      </w:r>
      <w:r>
        <w:rPr>
          <w:rFonts w:ascii="Times New Roman" w:hAnsi="Times New Roman" w:eastAsia="黑体" w:cs="Times New Roman"/>
          <w:b w:val="0"/>
          <w:bCs/>
          <w:spacing w:val="4"/>
          <w:kern w:val="2"/>
          <w:sz w:val="32"/>
          <w:szCs w:val="32"/>
        </w:rPr>
        <w:t>废水治理措施</w:t>
      </w:r>
      <w:bookmarkEnd w:id="782"/>
      <w:bookmarkEnd w:id="783"/>
    </w:p>
    <w:p>
      <w:pPr>
        <w:pStyle w:val="970"/>
        <w:snapToGrid w:val="0"/>
        <w:ind w:firstLine="480" w:firstLineChars="200"/>
      </w:pPr>
      <w:r>
        <w:t>根据工程分析，本项目运营过程中废水分为生活污水、</w:t>
      </w:r>
      <w:r>
        <w:rPr>
          <w:rFonts w:hint="eastAsia"/>
        </w:rPr>
        <w:t>养殖</w:t>
      </w:r>
      <w:r>
        <w:t>废水。</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 xml:space="preserve">.2.1 </w:t>
      </w:r>
      <w:r>
        <w:rPr>
          <w:rFonts w:eastAsia="黑体"/>
          <w:bCs/>
          <w:sz w:val="28"/>
          <w:szCs w:val="28"/>
        </w:rPr>
        <w:t>生活污水处理措施</w:t>
      </w:r>
    </w:p>
    <w:p>
      <w:pPr>
        <w:adjustRightInd w:val="0"/>
        <w:snapToGrid w:val="0"/>
        <w:ind w:firstLine="480" w:firstLineChars="200"/>
        <w:textAlignment w:val="baseline"/>
      </w:pPr>
      <w:r>
        <w:t>本项目的生活污水</w:t>
      </w:r>
      <w:r>
        <w:rPr>
          <w:rFonts w:hint="eastAsia"/>
        </w:rPr>
        <w:t>经化粪池（池容1</w:t>
      </w:r>
      <w:r>
        <w:t>00m</w:t>
      </w:r>
      <w:r>
        <w:rPr>
          <w:vertAlign w:val="superscript"/>
        </w:rPr>
        <w:t>3</w:t>
      </w:r>
      <w:r>
        <w:rPr>
          <w:rFonts w:hint="eastAsia"/>
        </w:rPr>
        <w:t>）处理后连同养殖废水一并运至</w:t>
      </w:r>
      <w:r>
        <w:rPr>
          <w:rFonts w:hint="eastAsia"/>
          <w:szCs w:val="21"/>
        </w:rPr>
        <w:t>乐山乐高勤力生物质能源</w:t>
      </w:r>
      <w:r>
        <w:rPr>
          <w:szCs w:val="21"/>
        </w:rPr>
        <w:t>综合利用有限公司</w:t>
      </w:r>
      <w:r>
        <w:rPr>
          <w:rFonts w:hint="eastAsia"/>
          <w:szCs w:val="21"/>
        </w:rPr>
        <w:t>“大沼”工程进行综合利用，其中食堂废水先经过2</w:t>
      </w:r>
      <w:r>
        <w:rPr>
          <w:szCs w:val="21"/>
        </w:rPr>
        <w:t>m</w:t>
      </w:r>
      <w:r>
        <w:rPr>
          <w:szCs w:val="21"/>
          <w:vertAlign w:val="superscript"/>
        </w:rPr>
        <w:t>3</w:t>
      </w:r>
      <w:r>
        <w:rPr>
          <w:rFonts w:hint="eastAsia"/>
          <w:szCs w:val="21"/>
        </w:rPr>
        <w:t>的隔油池进行隔油处理后再进入到化粪池。</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.2.2</w:t>
      </w:r>
      <w:r>
        <w:rPr>
          <w:rFonts w:eastAsia="黑体"/>
          <w:bCs/>
          <w:sz w:val="28"/>
          <w:szCs w:val="28"/>
        </w:rPr>
        <w:t xml:space="preserve"> 生产废水</w:t>
      </w:r>
    </w:p>
    <w:p>
      <w:pPr>
        <w:adjustRightInd w:val="0"/>
        <w:snapToGrid w:val="0"/>
        <w:ind w:firstLine="480" w:firstLineChars="200"/>
        <w:textAlignment w:val="baseline"/>
      </w:pPr>
      <w:r>
        <w:rPr>
          <w:rFonts w:hint="eastAsia"/>
        </w:rPr>
        <w:t>（1）正常工况</w:t>
      </w:r>
    </w:p>
    <w:p>
      <w:pPr>
        <w:adjustRightInd w:val="0"/>
        <w:snapToGrid w:val="0"/>
        <w:ind w:firstLine="480" w:firstLineChars="200"/>
        <w:textAlignment w:val="baseline"/>
        <w:rPr>
          <w:szCs w:val="21"/>
        </w:rPr>
      </w:pPr>
      <w:r>
        <w:rPr>
          <w:rFonts w:hint="eastAsia"/>
        </w:rPr>
        <w:t>项目正常工况下（即</w:t>
      </w:r>
      <w:r>
        <w:rPr>
          <w:rFonts w:hint="eastAsia"/>
          <w:szCs w:val="21"/>
        </w:rPr>
        <w:t>乐山乐高勤力生物质能源</w:t>
      </w:r>
      <w:r>
        <w:rPr>
          <w:szCs w:val="21"/>
        </w:rPr>
        <w:t>综合利用有限公司</w:t>
      </w:r>
      <w:r>
        <w:rPr>
          <w:rFonts w:hint="eastAsia"/>
          <w:szCs w:val="21"/>
        </w:rPr>
        <w:t xml:space="preserve"> “大沼工程”正常运行），项目设置一集污池（池容</w:t>
      </w:r>
      <w:r>
        <w:rPr>
          <w:szCs w:val="21"/>
        </w:rPr>
        <w:t>500m</w:t>
      </w:r>
      <w:r>
        <w:rPr>
          <w:szCs w:val="21"/>
          <w:vertAlign w:val="superscript"/>
        </w:rPr>
        <w:t>3</w:t>
      </w:r>
      <w:r>
        <w:rPr>
          <w:rFonts w:hint="eastAsia"/>
          <w:szCs w:val="21"/>
        </w:rPr>
        <w:t>，加盖封闭），项目妊娠舍粪污经泵抽至集污池，分娩舍粪污依靠重力抽至集污池，</w:t>
      </w:r>
      <w:r>
        <w:rPr>
          <w:rFonts w:hint="eastAsia"/>
        </w:rPr>
        <w:t>每日由</w:t>
      </w:r>
      <w:r>
        <w:rPr>
          <w:rFonts w:hint="eastAsia"/>
          <w:szCs w:val="21"/>
        </w:rPr>
        <w:t>乐山乐高勤力生物质能源</w:t>
      </w:r>
      <w:r>
        <w:rPr>
          <w:szCs w:val="21"/>
        </w:rPr>
        <w:t>综合利用有限公司</w:t>
      </w:r>
      <w:r>
        <w:rPr>
          <w:rFonts w:hint="eastAsia"/>
          <w:szCs w:val="21"/>
        </w:rPr>
        <w:t>运输车辆进行清运至“大沼工程”进行综合利用。</w:t>
      </w:r>
    </w:p>
    <w:p>
      <w:pPr>
        <w:pStyle w:val="2"/>
        <w:ind w:firstLine="480"/>
        <w:rPr>
          <w:rFonts w:hint="default"/>
        </w:rPr>
      </w:pPr>
      <w:r>
        <w:t>（2）非正常工况</w:t>
      </w:r>
    </w:p>
    <w:p>
      <w:pPr>
        <w:pStyle w:val="2"/>
        <w:ind w:firstLine="480"/>
        <w:rPr>
          <w:rFonts w:hint="default"/>
        </w:rPr>
      </w:pPr>
      <w:r>
        <w:t>当</w:t>
      </w:r>
      <w:r>
        <w:rPr>
          <w:szCs w:val="21"/>
        </w:rPr>
        <w:t>乐山乐高勤力生物质能源综合利用有限公司 “大沼工程”处于非正常运行时且维修期大于1</w:t>
      </w:r>
      <w:r>
        <w:rPr>
          <w:rFonts w:hint="default"/>
          <w:szCs w:val="21"/>
        </w:rPr>
        <w:t>6</w:t>
      </w:r>
      <w:r>
        <w:rPr>
          <w:szCs w:val="21"/>
        </w:rPr>
        <w:t>天情况下时即为本项目非正常工况，根据项目建设方案，项目同时配备建设一台干湿分离机+沼气池（1</w:t>
      </w:r>
      <w:r>
        <w:rPr>
          <w:rFonts w:hint="default"/>
          <w:szCs w:val="21"/>
        </w:rPr>
        <w:t>00m</w:t>
      </w:r>
      <w:r>
        <w:rPr>
          <w:rFonts w:hint="default"/>
          <w:szCs w:val="21"/>
          <w:vertAlign w:val="superscript"/>
        </w:rPr>
        <w:t>3</w:t>
      </w:r>
      <w:r>
        <w:rPr>
          <w:szCs w:val="21"/>
        </w:rPr>
        <w:t>）+暂存池（1个厂区暂存池+</w:t>
      </w:r>
      <w:r>
        <w:rPr>
          <w:rFonts w:hint="default"/>
          <w:szCs w:val="21"/>
        </w:rPr>
        <w:t>12</w:t>
      </w:r>
      <w:r>
        <w:rPr>
          <w:szCs w:val="21"/>
        </w:rPr>
        <w:t>个</w:t>
      </w:r>
      <w:r>
        <w:rPr>
          <w:rFonts w:hint="default"/>
          <w:szCs w:val="21"/>
        </w:rPr>
        <w:t>150m</w:t>
      </w:r>
      <w:r>
        <w:rPr>
          <w:rFonts w:hint="default"/>
          <w:szCs w:val="21"/>
          <w:vertAlign w:val="superscript"/>
        </w:rPr>
        <w:t>3</w:t>
      </w:r>
      <w:r>
        <w:rPr>
          <w:szCs w:val="21"/>
        </w:rPr>
        <w:t>田间暂存池）作为项目应急措施，当乐山乐高勤力生物质能源综合利用有限公司出现不能正常运行时，项目将集污池内的粪污经干湿分离机进行干湿分离后，废水排至沼气池进行厌氧处理后排入厂区暂存池，再经管道自流至田间暂存池内，项目拟建</w:t>
      </w:r>
      <w:r>
        <w:rPr>
          <w:rFonts w:hint="default"/>
          <w:szCs w:val="21"/>
        </w:rPr>
        <w:t>12</w:t>
      </w:r>
      <w:r>
        <w:rPr>
          <w:szCs w:val="21"/>
        </w:rPr>
        <w:t>个田间暂存池，各田间暂存池管道采用阀门控制，便于用于周边耕地施肥。</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.2.</w:t>
      </w:r>
      <w:r>
        <w:rPr>
          <w:rFonts w:eastAsia="黑体"/>
          <w:bCs/>
          <w:sz w:val="28"/>
          <w:szCs w:val="28"/>
        </w:rPr>
        <w:t>3废水</w:t>
      </w:r>
      <w:r>
        <w:rPr>
          <w:rFonts w:hint="eastAsia" w:eastAsia="黑体"/>
          <w:bCs/>
          <w:sz w:val="28"/>
          <w:szCs w:val="28"/>
        </w:rPr>
        <w:t>治理可行性</w:t>
      </w:r>
    </w:p>
    <w:p>
      <w:pPr>
        <w:pStyle w:val="320"/>
        <w:snapToGrid w:val="0"/>
        <w:spacing w:line="360" w:lineRule="auto"/>
        <w:ind w:firstLine="480"/>
        <w:rPr>
          <w:szCs w:val="21"/>
        </w:rPr>
      </w:pPr>
      <w:r>
        <w:t>根据工程分析，</w:t>
      </w:r>
      <w:r>
        <w:rPr>
          <w:rFonts w:hint="eastAsia"/>
        </w:rPr>
        <w:t>正常工况下，本项目的养殖废水和生活全部正常工况下全部交由</w:t>
      </w:r>
      <w:r>
        <w:rPr>
          <w:rFonts w:hint="eastAsia"/>
          <w:szCs w:val="21"/>
        </w:rPr>
        <w:t>乐山乐高勤力生物质能源</w:t>
      </w:r>
      <w:r>
        <w:rPr>
          <w:szCs w:val="21"/>
        </w:rPr>
        <w:t>综合利用有限公司</w:t>
      </w:r>
      <w:r>
        <w:rPr>
          <w:rFonts w:hint="eastAsia"/>
          <w:szCs w:val="21"/>
        </w:rPr>
        <w:t>“大沼工程”处理，不外排，非正常工况下，项目粪污经配套</w:t>
      </w:r>
      <w:r>
        <w:rPr>
          <w:szCs w:val="21"/>
        </w:rPr>
        <w:t>建设一台干湿分离机+沼气池（100m</w:t>
      </w:r>
      <w:r>
        <w:rPr>
          <w:szCs w:val="21"/>
          <w:vertAlign w:val="superscript"/>
        </w:rPr>
        <w:t>3</w:t>
      </w:r>
      <w:r>
        <w:rPr>
          <w:szCs w:val="21"/>
        </w:rPr>
        <w:t>）+暂存池（1个厂区暂存池+12个150m</w:t>
      </w:r>
      <w:r>
        <w:rPr>
          <w:szCs w:val="21"/>
          <w:vertAlign w:val="superscript"/>
        </w:rPr>
        <w:t>3</w:t>
      </w:r>
      <w:r>
        <w:rPr>
          <w:szCs w:val="21"/>
        </w:rPr>
        <w:t>田间暂存池）作为项目应急措施，当乐山乐高勤力生物质能源综合利用有限公司出现不能正常运行时，项目将集污池内的粪污经干湿分离机进行干湿分离后，废水排至沼气池进行厌氧处理后排入厂区暂存池，再经管道自流至田间暂存池内，项目拟建12个田间暂存池，各田间暂存池管道采用阀门控制，便于用于周边耕地施肥。</w:t>
      </w:r>
    </w:p>
    <w:p>
      <w:pPr>
        <w:pStyle w:val="970"/>
        <w:snapToGrid w:val="0"/>
        <w:ind w:firstLine="0"/>
        <w:outlineLvl w:val="3"/>
        <w:rPr>
          <w:rFonts w:eastAsia="黑体"/>
          <w:bCs/>
          <w:szCs w:val="24"/>
        </w:rPr>
      </w:pPr>
      <w:r>
        <w:rPr>
          <w:rFonts w:eastAsia="黑体"/>
          <w:bCs/>
          <w:szCs w:val="24"/>
        </w:rPr>
        <w:t>10.2.3.1</w:t>
      </w:r>
      <w:r>
        <w:rPr>
          <w:rFonts w:hint="eastAsia" w:eastAsia="黑体"/>
          <w:bCs/>
          <w:szCs w:val="24"/>
        </w:rPr>
        <w:t>污水处理设施规模可行性</w:t>
      </w:r>
    </w:p>
    <w:p>
      <w:pPr>
        <w:adjustRightInd w:val="0"/>
        <w:snapToGrid w:val="0"/>
        <w:ind w:firstLine="480" w:firstLineChars="200"/>
        <w:rPr>
          <w:szCs w:val="21"/>
        </w:rPr>
      </w:pPr>
      <w:r>
        <w:rPr>
          <w:rFonts w:hint="eastAsia"/>
          <w:szCs w:val="21"/>
        </w:rPr>
        <w:t>（1）正常工况下污水设施规模可行性</w:t>
      </w:r>
    </w:p>
    <w:p>
      <w:pPr>
        <w:adjustRightInd w:val="0"/>
        <w:snapToGrid w:val="0"/>
        <w:ind w:firstLine="480" w:firstLineChars="200"/>
      </w:pPr>
      <w:r>
        <w:rPr>
          <w:rFonts w:hint="eastAsia"/>
          <w:szCs w:val="21"/>
        </w:rPr>
        <w:t>项目养殖废水产生量为3</w:t>
      </w:r>
      <w:r>
        <w:rPr>
          <w:szCs w:val="21"/>
        </w:rPr>
        <w:t>0.99m</w:t>
      </w:r>
      <w:r>
        <w:rPr>
          <w:szCs w:val="21"/>
          <w:vertAlign w:val="superscript"/>
        </w:rPr>
        <w:t>3</w:t>
      </w:r>
      <w:r>
        <w:rPr>
          <w:rFonts w:hint="eastAsia"/>
          <w:szCs w:val="21"/>
        </w:rPr>
        <w:t>/</w:t>
      </w:r>
      <w:r>
        <w:rPr>
          <w:szCs w:val="21"/>
        </w:rPr>
        <w:t>d</w:t>
      </w:r>
      <w:r>
        <w:rPr>
          <w:rFonts w:hint="eastAsia"/>
          <w:szCs w:val="21"/>
        </w:rPr>
        <w:t>，</w:t>
      </w:r>
      <w:r>
        <w:rPr>
          <w:rFonts w:hint="eastAsia"/>
        </w:rPr>
        <w:t>本项目拟设置的集污池池容为5</w:t>
      </w:r>
      <w:r>
        <w:t>00m</w:t>
      </w:r>
      <w:r>
        <w:rPr>
          <w:vertAlign w:val="superscript"/>
        </w:rPr>
        <w:t>3</w:t>
      </w:r>
      <w:r>
        <w:rPr>
          <w:rFonts w:hint="eastAsia"/>
        </w:rPr>
        <w:t>，可存储1</w:t>
      </w:r>
      <w:r>
        <w:t>6</w:t>
      </w:r>
      <w:r>
        <w:rPr>
          <w:rFonts w:hint="eastAsia"/>
        </w:rPr>
        <w:t>d的污水，</w:t>
      </w:r>
      <w:r>
        <w:t>乐山乐高勤力生物质能源综合利用有限公司</w:t>
      </w:r>
      <w:r>
        <w:rPr>
          <w:rFonts w:hint="eastAsia"/>
        </w:rPr>
        <w:t>每日采用</w:t>
      </w:r>
      <w:r>
        <w:t>5m</w:t>
      </w:r>
      <w:r>
        <w:rPr>
          <w:vertAlign w:val="superscript"/>
        </w:rPr>
        <w:t>3</w:t>
      </w:r>
      <w:r>
        <w:rPr>
          <w:rFonts w:hint="eastAsia"/>
        </w:rPr>
        <w:t>的吸粪车进行运输，根据</w:t>
      </w:r>
      <w:r>
        <w:t>乐山乐高勤力生物质能源综合利用有限公司</w:t>
      </w:r>
      <w:r>
        <w:rPr>
          <w:rFonts w:hint="eastAsia"/>
        </w:rPr>
        <w:t>运营模式，由公司负责每日负责清运，因此项目在正常工况下，暂存池规模具有合理性</w:t>
      </w:r>
    </w:p>
    <w:p>
      <w:pPr>
        <w:pStyle w:val="2"/>
        <w:ind w:firstLine="480"/>
        <w:rPr>
          <w:rFonts w:hint="default"/>
        </w:rPr>
      </w:pPr>
      <w:r>
        <w:t>（2）非正常工况下污水设施规模可行性</w:t>
      </w:r>
    </w:p>
    <w:p>
      <w:pPr>
        <w:pStyle w:val="2"/>
        <w:ind w:firstLine="480"/>
        <w:rPr>
          <w:rFonts w:hint="default"/>
          <w:szCs w:val="21"/>
        </w:rPr>
      </w:pPr>
      <w:r>
        <w:t>当</w:t>
      </w:r>
      <w:r>
        <w:rPr>
          <w:szCs w:val="21"/>
        </w:rPr>
        <w:t>乐山乐高勤力生物质能源综合利用有限公司 “大沼工程”处于非正常运行时且维修期大于1</w:t>
      </w:r>
      <w:r>
        <w:rPr>
          <w:rFonts w:hint="default"/>
          <w:szCs w:val="21"/>
        </w:rPr>
        <w:t>6</w:t>
      </w:r>
      <w:r>
        <w:rPr>
          <w:szCs w:val="21"/>
        </w:rPr>
        <w:t>天情况下时即为本项目非正常工况，根据项目建设方案，项目同时配备建设一台干湿分离机+沼气池（1</w:t>
      </w:r>
      <w:r>
        <w:rPr>
          <w:rFonts w:hint="default"/>
          <w:szCs w:val="21"/>
        </w:rPr>
        <w:t>00m</w:t>
      </w:r>
      <w:r>
        <w:rPr>
          <w:rFonts w:hint="default"/>
          <w:szCs w:val="21"/>
          <w:vertAlign w:val="superscript"/>
        </w:rPr>
        <w:t>3</w:t>
      </w:r>
      <w:r>
        <w:rPr>
          <w:szCs w:val="21"/>
        </w:rPr>
        <w:t>）+暂存池（1个厂区暂存池+</w:t>
      </w:r>
      <w:r>
        <w:rPr>
          <w:rFonts w:hint="default"/>
          <w:szCs w:val="21"/>
        </w:rPr>
        <w:t>12</w:t>
      </w:r>
      <w:r>
        <w:rPr>
          <w:szCs w:val="21"/>
        </w:rPr>
        <w:t>个</w:t>
      </w:r>
      <w:r>
        <w:rPr>
          <w:rFonts w:hint="default"/>
          <w:szCs w:val="21"/>
        </w:rPr>
        <w:t>150m</w:t>
      </w:r>
      <w:r>
        <w:rPr>
          <w:rFonts w:hint="default"/>
          <w:szCs w:val="21"/>
          <w:vertAlign w:val="superscript"/>
        </w:rPr>
        <w:t>3</w:t>
      </w:r>
      <w:r>
        <w:rPr>
          <w:szCs w:val="21"/>
        </w:rPr>
        <w:t>田间暂存池）作为项目应急措施，当乐山乐高勤力生物质能源综合利用有限公司出现不能正常运行时，项目将集污池内的粪污经干湿分离机进行干湿分离后，废水排至沼气池进行厌氧处理后排入厂区暂存池，再经管道自流至田间暂存池内，项目拟建</w:t>
      </w:r>
      <w:r>
        <w:rPr>
          <w:rFonts w:hint="default"/>
          <w:szCs w:val="21"/>
        </w:rPr>
        <w:t>12</w:t>
      </w:r>
      <w:r>
        <w:rPr>
          <w:szCs w:val="21"/>
        </w:rPr>
        <w:t>个田间暂存池，各田间暂存池管道采用阀门控制，便于用于周边耕地施肥。</w:t>
      </w:r>
    </w:p>
    <w:p>
      <w:pPr>
        <w:pStyle w:val="2"/>
        <w:ind w:firstLineChars="0"/>
        <w:rPr>
          <w:rFonts w:hint="default"/>
          <w:color w:val="auto"/>
        </w:rPr>
      </w:pPr>
      <w:r>
        <w:rPr>
          <w:szCs w:val="21"/>
        </w:rPr>
        <w:t>根据对乐山乐高勤力生物质能源综合利用有限公司井研县2018年畜禽粪污资源化利用整县推进项目规模化大型沼气工程的调查了解，大沼工程日常检修期为1</w:t>
      </w:r>
      <w:r>
        <w:rPr>
          <w:rFonts w:hint="default"/>
          <w:szCs w:val="21"/>
        </w:rPr>
        <w:t>~3d</w:t>
      </w:r>
      <w:r>
        <w:rPr>
          <w:szCs w:val="21"/>
        </w:rPr>
        <w:t>，当</w:t>
      </w:r>
      <w:r>
        <w:rPr>
          <w:color w:val="auto"/>
          <w:szCs w:val="21"/>
        </w:rPr>
        <w:t>出现设备损坏等极端情况，本次评价将其维修及调试时间等按照3个月（一个季度）计，则本项目3个月内产生的粪污将不能及时运至乐山乐高勤力生物质能源综合利用有限公司，本项目3个月粪污产生量为2</w:t>
      </w:r>
      <w:r>
        <w:rPr>
          <w:rFonts w:hint="default"/>
          <w:color w:val="auto"/>
          <w:szCs w:val="21"/>
        </w:rPr>
        <w:t>729.7</w:t>
      </w:r>
      <w:r>
        <w:rPr>
          <w:color w:val="auto"/>
          <w:szCs w:val="21"/>
        </w:rPr>
        <w:t>m</w:t>
      </w:r>
      <w:r>
        <w:rPr>
          <w:color w:val="auto"/>
          <w:szCs w:val="21"/>
          <w:vertAlign w:val="superscript"/>
        </w:rPr>
        <w:t>3</w:t>
      </w:r>
      <w:r>
        <w:rPr>
          <w:color w:val="auto"/>
          <w:szCs w:val="21"/>
        </w:rPr>
        <w:t>。</w:t>
      </w:r>
      <w:r>
        <w:rPr>
          <w:rFonts w:hint="default"/>
          <w:color w:val="auto"/>
        </w:rPr>
        <w:t xml:space="preserve"> </w:t>
      </w:r>
    </w:p>
    <w:p>
      <w:pPr>
        <w:pStyle w:val="2"/>
        <w:snapToGrid w:val="0"/>
        <w:ind w:firstLine="480"/>
        <w:rPr>
          <w:rFonts w:hint="default"/>
          <w:color w:val="FF0000"/>
        </w:rPr>
      </w:pPr>
      <w:r>
        <w:rPr>
          <w:color w:val="FF0000"/>
        </w:rPr>
        <w:t>根据前述分析，项目拟配套建设固液分离机+沼气池+暂存池（含田间池）作为本项目在“大沼工程”事故状态下的环境可行性，项目已流转土地560亩作为本项目在“大沼工程”事故状态下的消纳土地，同时配套建设5</w:t>
      </w:r>
      <w:r>
        <w:rPr>
          <w:rFonts w:hint="default"/>
          <w:color w:val="FF0000"/>
        </w:rPr>
        <w:t>00m</w:t>
      </w:r>
      <w:r>
        <w:rPr>
          <w:rFonts w:hint="default"/>
          <w:color w:val="FF0000"/>
          <w:vertAlign w:val="superscript"/>
        </w:rPr>
        <w:t>3</w:t>
      </w:r>
      <w:r>
        <w:rPr>
          <w:color w:val="FF0000"/>
        </w:rPr>
        <w:t>的沼液储存池及1</w:t>
      </w:r>
      <w:r>
        <w:rPr>
          <w:rFonts w:hint="default"/>
          <w:color w:val="FF0000"/>
        </w:rPr>
        <w:t>2</w:t>
      </w:r>
      <w:r>
        <w:rPr>
          <w:color w:val="FF0000"/>
        </w:rPr>
        <w:t>座1</w:t>
      </w:r>
      <w:r>
        <w:rPr>
          <w:rFonts w:hint="default"/>
          <w:color w:val="FF0000"/>
        </w:rPr>
        <w:t>50m</w:t>
      </w:r>
      <w:r>
        <w:rPr>
          <w:rFonts w:hint="default"/>
          <w:color w:val="FF0000"/>
          <w:vertAlign w:val="superscript"/>
        </w:rPr>
        <w:t>3</w:t>
      </w:r>
      <w:r>
        <w:rPr>
          <w:color w:val="FF0000"/>
        </w:rPr>
        <w:t>的田间暂存池，因此项目建设的集污池5</w:t>
      </w:r>
      <w:r>
        <w:rPr>
          <w:rFonts w:hint="default"/>
          <w:color w:val="FF0000"/>
        </w:rPr>
        <w:t>00m</w:t>
      </w:r>
      <w:r>
        <w:rPr>
          <w:rFonts w:hint="default"/>
          <w:color w:val="FF0000"/>
          <w:vertAlign w:val="superscript"/>
        </w:rPr>
        <w:t>3</w:t>
      </w:r>
      <w:r>
        <w:rPr>
          <w:color w:val="FF0000"/>
        </w:rPr>
        <w:t>连同沼液储存池及田间暂存池可暂存项目废水3个月的废水，因此项目在“大沼工程”出现设备大修状态下，项目污水也无外排，故项目配套建设的固液分离机、沼气池、暂存池、田间池规模合理。</w:t>
      </w:r>
    </w:p>
    <w:p>
      <w:pPr>
        <w:pStyle w:val="970"/>
        <w:snapToGrid w:val="0"/>
        <w:ind w:firstLine="0"/>
        <w:outlineLvl w:val="3"/>
        <w:rPr>
          <w:rFonts w:eastAsia="黑体"/>
          <w:bCs/>
          <w:szCs w:val="24"/>
        </w:rPr>
      </w:pPr>
      <w:r>
        <w:rPr>
          <w:rFonts w:eastAsia="黑体"/>
          <w:bCs/>
          <w:szCs w:val="24"/>
        </w:rPr>
        <w:t>10.2.3.2</w:t>
      </w:r>
      <w:r>
        <w:rPr>
          <w:rFonts w:hint="eastAsia" w:eastAsia="黑体"/>
          <w:bCs/>
          <w:szCs w:val="24"/>
        </w:rPr>
        <w:t>“大沼工程”简介</w:t>
      </w:r>
    </w:p>
    <w:p>
      <w:pPr>
        <w:pStyle w:val="2"/>
        <w:snapToGrid w:val="0"/>
        <w:ind w:firstLine="422" w:firstLineChars="175"/>
        <w:rPr>
          <w:rFonts w:hint="default"/>
          <w:b/>
          <w:bCs/>
        </w:rPr>
      </w:pPr>
      <w:r>
        <w:rPr>
          <w:b/>
          <w:bCs/>
        </w:rPr>
        <w:t>（1</w:t>
      </w:r>
      <w:r>
        <w:rPr>
          <w:rFonts w:hint="default"/>
          <w:b/>
          <w:bCs/>
        </w:rPr>
        <w:t>）</w:t>
      </w:r>
      <w:r>
        <w:rPr>
          <w:b/>
          <w:bCs/>
        </w:rPr>
        <w:t>井研县大沼</w:t>
      </w:r>
      <w:r>
        <w:rPr>
          <w:rFonts w:hint="default"/>
          <w:b/>
          <w:bCs/>
        </w:rPr>
        <w:t>工程</w:t>
      </w:r>
      <w:r>
        <w:rPr>
          <w:b/>
          <w:bCs/>
        </w:rPr>
        <w:t>基本情况</w:t>
      </w:r>
    </w:p>
    <w:p>
      <w:pPr>
        <w:pStyle w:val="192"/>
        <w:rPr>
          <w:color w:val="000000"/>
        </w:rPr>
      </w:pPr>
      <w:r>
        <w:rPr>
          <w:rFonts w:hint="eastAsia"/>
          <w:szCs w:val="21"/>
        </w:rPr>
        <w:t>乐山乐高勤力生物质能源</w:t>
      </w:r>
      <w:r>
        <w:rPr>
          <w:szCs w:val="21"/>
        </w:rPr>
        <w:t>综合利用有限公司井研县2018年畜禽粪污资源化利用整县推进项目规模化大型沼气工程（下称</w:t>
      </w:r>
      <w:r>
        <w:rPr>
          <w:rFonts w:hint="eastAsia"/>
          <w:szCs w:val="21"/>
        </w:rPr>
        <w:t>井研县</w:t>
      </w:r>
      <w:r>
        <w:rPr>
          <w:szCs w:val="21"/>
        </w:rPr>
        <w:t>“大沼”项目），</w:t>
      </w:r>
      <w:r>
        <w:rPr>
          <w:rFonts w:hint="eastAsia"/>
          <w:szCs w:val="21"/>
        </w:rPr>
        <w:t>项目于2</w:t>
      </w:r>
      <w:r>
        <w:rPr>
          <w:szCs w:val="21"/>
        </w:rPr>
        <w:t>018</w:t>
      </w:r>
      <w:r>
        <w:rPr>
          <w:rFonts w:hint="eastAsia"/>
          <w:szCs w:val="21"/>
        </w:rPr>
        <w:t>年开始动工建设，于2</w:t>
      </w:r>
      <w:r>
        <w:rPr>
          <w:szCs w:val="21"/>
        </w:rPr>
        <w:t>019</w:t>
      </w:r>
      <w:r>
        <w:rPr>
          <w:rFonts w:hint="eastAsia"/>
          <w:szCs w:val="21"/>
        </w:rPr>
        <w:t>年建成并投产，项目</w:t>
      </w:r>
      <w:r>
        <w:rPr>
          <w:color w:val="000000"/>
        </w:rPr>
        <w:t>日</w:t>
      </w:r>
      <w:r>
        <w:rPr>
          <w:rFonts w:hint="eastAsia"/>
          <w:color w:val="000000"/>
        </w:rPr>
        <w:t>处理</w:t>
      </w:r>
      <w:r>
        <w:rPr>
          <w:color w:val="000000"/>
        </w:rPr>
        <w:t>畜禽粪污761.11t/d（年处理27.40万t），秸秆10t/d（年处理0.36万t），日产沼气16000m³（576万m³/a），日发电量3.2万kWh，产生的沼渣经堆肥后配制成有机肥出厂销售，年产、固体有机肥2.5万t。年产沼液肥24.95万t。</w:t>
      </w:r>
      <w:r>
        <w:rPr>
          <w:rFonts w:hint="eastAsia"/>
          <w:color w:val="000000"/>
        </w:rPr>
        <w:t>项目年上网电量（扣除自用电部分）约966.50万kWh；沼渣堆制成品有机肥约2.5万吨/年。</w:t>
      </w:r>
    </w:p>
    <w:p>
      <w:pPr>
        <w:pStyle w:val="192"/>
        <w:rPr>
          <w:color w:val="000000"/>
        </w:rPr>
      </w:pPr>
      <w:r>
        <w:rPr>
          <w:rFonts w:hint="eastAsia"/>
          <w:color w:val="000000"/>
        </w:rPr>
        <w:t>“大沼工程”主要内容如下：</w:t>
      </w:r>
    </w:p>
    <w:p>
      <w:pPr>
        <w:ind w:firstLine="480"/>
        <w:rPr>
          <w:color w:val="000000"/>
        </w:rPr>
      </w:pPr>
      <w:r>
        <w:rPr>
          <w:rFonts w:hint="eastAsia"/>
          <w:b/>
          <w:bCs/>
          <w:color w:val="000000"/>
        </w:rPr>
        <w:t>原料准备</w:t>
      </w:r>
      <w:r>
        <w:rPr>
          <w:b/>
          <w:bCs/>
          <w:color w:val="000000"/>
        </w:rPr>
        <w:t>：</w:t>
      </w:r>
      <w:r>
        <w:rPr>
          <w:color w:val="000000"/>
        </w:rPr>
        <w:t>集料池1座96m</w:t>
      </w:r>
      <w:r>
        <w:rPr>
          <w:color w:val="000000"/>
          <w:vertAlign w:val="superscript"/>
        </w:rPr>
        <w:t>3</w:t>
      </w:r>
      <w:r>
        <w:rPr>
          <w:color w:val="000000"/>
        </w:rPr>
        <w:t>；格栅渠7.5m；预处理池1座400m</w:t>
      </w:r>
      <w:r>
        <w:rPr>
          <w:color w:val="000000"/>
          <w:vertAlign w:val="superscript"/>
        </w:rPr>
        <w:t>3</w:t>
      </w:r>
      <w:r>
        <w:rPr>
          <w:color w:val="000000"/>
        </w:rPr>
        <w:t>；旋流除砂池1座（φ1.8m）；进料池1座400m³；东门卫室及磅房建筑面积48㎡；西门卫室建筑面积31.7㎡；进料泵房1间建筑面积42㎡；秸秆青储槽3间共1350m³；青储槽顶盖建筑面积380㎡；车辆消毒区建筑面积125㎡。</w:t>
      </w:r>
    </w:p>
    <w:p>
      <w:pPr>
        <w:ind w:firstLine="480"/>
        <w:rPr>
          <w:color w:val="000000"/>
        </w:rPr>
      </w:pPr>
      <w:r>
        <w:rPr>
          <w:b/>
          <w:bCs/>
          <w:color w:val="000000"/>
        </w:rPr>
        <w:t>沼气生产系统：</w:t>
      </w:r>
      <w:r>
        <w:rPr>
          <w:color w:val="000000"/>
        </w:rPr>
        <w:t>4000m³中温厌氧发酵罐4套；顶搅拌机（DJ6300）4套；-300～4000pa正负压保护装置（ZQYA-30-400）4套；工艺管道及阀门（DN125～DN350）1套；钢制操作平台及斜梯1 套；管架1套长度为104m。</w:t>
      </w:r>
    </w:p>
    <w:p>
      <w:pPr>
        <w:ind w:firstLine="480"/>
        <w:rPr>
          <w:color w:val="000000"/>
        </w:rPr>
      </w:pPr>
      <w:r>
        <w:rPr>
          <w:b/>
          <w:bCs/>
          <w:color w:val="000000"/>
        </w:rPr>
        <w:t>沼气提纯、利用系统设备工程：</w:t>
      </w:r>
      <w:r>
        <w:rPr>
          <w:color w:val="000000"/>
        </w:rPr>
        <w:t>沼气发电机组（800kw/台）2台，（含发电机余热回收系统1套），热水循环泵4台，沼气输配管道及阀门1套，变送电系统设备1套</w:t>
      </w:r>
      <w:r>
        <w:rPr>
          <w:rFonts w:hint="eastAsia"/>
          <w:color w:val="000000"/>
        </w:rPr>
        <w:t>。</w:t>
      </w:r>
      <w:r>
        <w:rPr>
          <w:color w:val="000000"/>
        </w:rPr>
        <w:t>沼气提纯装置（膜分离工艺）1套（含CNG压缩机及加压柱）天然气流量计（LWQ-100）1台，天然气成分检测仪1套，凝水器3个。</w:t>
      </w:r>
    </w:p>
    <w:p>
      <w:pPr>
        <w:ind w:firstLine="480"/>
        <w:rPr>
          <w:color w:val="000000"/>
        </w:rPr>
      </w:pPr>
      <w:r>
        <w:rPr>
          <w:b/>
          <w:bCs/>
          <w:color w:val="000000"/>
        </w:rPr>
        <w:t>沼液存储利用系统：</w:t>
      </w:r>
      <w:r>
        <w:rPr>
          <w:color w:val="000000"/>
        </w:rPr>
        <w:t>沼渣液暂存池1座530m³;站内沼液储存池1座8200m³；沼液储存池顶盖2900㎡；浓污水池、清水池700m³；液态有机肥包装车间600㎡，站内提灌泵房96㎡，固液分离棚145㎡。</w:t>
      </w:r>
    </w:p>
    <w:p>
      <w:pPr>
        <w:ind w:firstLine="480"/>
        <w:rPr>
          <w:color w:val="000000"/>
        </w:rPr>
      </w:pPr>
      <w:r>
        <w:rPr>
          <w:b/>
          <w:bCs/>
          <w:color w:val="000000"/>
        </w:rPr>
        <w:t>沼液储存利用工程：</w:t>
      </w:r>
      <w:r>
        <w:rPr>
          <w:color w:val="000000"/>
        </w:rPr>
        <w:t>固液分离机（LW530×1800）3套；提升泵（WQG30-10）3台；桨式搅拌机（JBJ-3000）1台；液肥加工设备1套；站内工艺管道及阀门1套。</w:t>
      </w:r>
    </w:p>
    <w:p>
      <w:pPr>
        <w:ind w:firstLine="480"/>
        <w:rPr>
          <w:color w:val="000000"/>
        </w:rPr>
      </w:pPr>
      <w:r>
        <w:rPr>
          <w:b/>
          <w:bCs/>
          <w:color w:val="000000"/>
        </w:rPr>
        <w:t>沼渣制肥系统</w:t>
      </w:r>
      <w:r>
        <w:rPr>
          <w:rFonts w:hint="eastAsia"/>
          <w:b/>
          <w:bCs/>
          <w:color w:val="000000"/>
        </w:rPr>
        <w:t>：</w:t>
      </w:r>
      <w:r>
        <w:rPr>
          <w:color w:val="000000"/>
        </w:rPr>
        <w:t>建设面积2400㎡。</w:t>
      </w:r>
      <w:r>
        <w:rPr>
          <w:rFonts w:hint="eastAsia"/>
          <w:color w:val="000000"/>
        </w:rPr>
        <w:t>内设</w:t>
      </w:r>
      <w:r>
        <w:rPr>
          <w:color w:val="000000"/>
        </w:rPr>
        <w:t>固态肥加工设备1套。</w:t>
      </w:r>
    </w:p>
    <w:p>
      <w:pPr>
        <w:pStyle w:val="192"/>
        <w:rPr>
          <w:color w:val="000000"/>
        </w:rPr>
      </w:pPr>
      <w:r>
        <w:rPr>
          <w:rFonts w:hint="eastAsia"/>
        </w:rPr>
        <w:t>（</w:t>
      </w:r>
      <w:r>
        <w:t>2</w:t>
      </w:r>
      <w:r>
        <w:rPr>
          <w:rFonts w:hint="eastAsia"/>
        </w:rPr>
        <w:t>）</w:t>
      </w:r>
      <w:r>
        <w:rPr>
          <w:rFonts w:hint="eastAsia"/>
          <w:color w:val="000000"/>
        </w:rPr>
        <w:t>“大沼工程”服务对象及服务范围</w:t>
      </w:r>
    </w:p>
    <w:p>
      <w:pPr>
        <w:ind w:firstLine="480" w:firstLineChars="200"/>
        <w:rPr>
          <w:color w:val="0000FF"/>
        </w:rPr>
      </w:pPr>
      <w:r>
        <w:rPr>
          <w:rFonts w:hint="eastAsia"/>
          <w:color w:val="000000"/>
        </w:rPr>
        <w:t>根据“大沼工程”环境影响评价报告表可知，“大沼工程”主要针对井研县县境内120家规模化养殖产生的粪污进行处理（包含规划及已建），</w:t>
      </w:r>
      <w:r>
        <w:rPr>
          <w:color w:val="000000"/>
        </w:rPr>
        <w:t>禽畜粪污来自茫溪河流域各大小型养殖场，合计存栏生猪10万头，蛋鸡及肉鸡22.5万只、羊6750只、肉牛1000头，可收集粪污761.11t/d</w:t>
      </w:r>
      <w:r>
        <w:rPr>
          <w:rFonts w:hint="eastAsia"/>
          <w:color w:val="0000FF"/>
        </w:rPr>
        <w:t>。</w:t>
      </w:r>
    </w:p>
    <w:p>
      <w:pPr>
        <w:pStyle w:val="2"/>
        <w:snapToGrid w:val="0"/>
        <w:ind w:firstLine="480"/>
        <w:rPr>
          <w:rFonts w:hint="default"/>
        </w:rPr>
      </w:pPr>
      <w:r>
        <w:t>（3）处理规模</w:t>
      </w:r>
    </w:p>
    <w:p>
      <w:pPr>
        <w:pStyle w:val="2"/>
        <w:snapToGrid w:val="0"/>
        <w:ind w:firstLineChars="0"/>
        <w:rPr>
          <w:rFonts w:hint="default"/>
        </w:rPr>
      </w:pPr>
      <w:r>
        <w:t>井研县大沼</w:t>
      </w:r>
      <w:r>
        <w:rPr>
          <w:rFonts w:hint="default"/>
        </w:rPr>
        <w:t>工程占地</w:t>
      </w:r>
      <w:r>
        <w:t>42亩</w:t>
      </w:r>
      <w:r>
        <w:rPr>
          <w:rFonts w:hint="default"/>
        </w:rPr>
        <w:t>，总投资</w:t>
      </w:r>
      <w:r>
        <w:t>1.01亿元</w:t>
      </w:r>
      <w:r>
        <w:rPr>
          <w:rFonts w:hint="default"/>
        </w:rPr>
        <w:t>，设计规模为年集中处理畜禽粪污</w:t>
      </w:r>
      <w:r>
        <w:t>27.4万吨（</w:t>
      </w:r>
      <w:r>
        <w:rPr>
          <w:rFonts w:hint="default"/>
        </w:rPr>
        <w:t>日处理</w:t>
      </w:r>
      <w:r>
        <w:t>760吨</w:t>
      </w:r>
      <w:r>
        <w:rPr>
          <w:rFonts w:hint="default"/>
        </w:rPr>
        <w:t>）</w:t>
      </w:r>
      <w:r>
        <w:t>，其中</w:t>
      </w:r>
      <w:r>
        <w:rPr>
          <w:rFonts w:hint="default"/>
        </w:rPr>
        <w:t>秸秆</w:t>
      </w:r>
      <w:r>
        <w:t>0.4万吨</w:t>
      </w:r>
      <w:r>
        <w:rPr>
          <w:rFonts w:hint="default"/>
        </w:rPr>
        <w:t>，</w:t>
      </w:r>
      <w:r>
        <w:t>年产</w:t>
      </w:r>
      <w:r>
        <w:rPr>
          <w:rFonts w:hint="default"/>
        </w:rPr>
        <w:t>沼气</w:t>
      </w:r>
      <w:r>
        <w:t>576万</w:t>
      </w:r>
      <w:r>
        <w:rPr>
          <w:rFonts w:hint="default"/>
        </w:rPr>
        <w:t>立方米（日产沼气</w:t>
      </w:r>
      <w:r>
        <w:t>16000立方米</w:t>
      </w:r>
      <w:r>
        <w:rPr>
          <w:rFonts w:hint="default"/>
        </w:rPr>
        <w:t>），年沼气发电量</w:t>
      </w:r>
      <w:r>
        <w:t>1152万度</w:t>
      </w:r>
      <w:r>
        <w:rPr>
          <w:rFonts w:hint="default"/>
        </w:rPr>
        <w:t>（“余电上网”模式）；年产高品质固态有机</w:t>
      </w:r>
      <w:r>
        <w:t>复混肥2.5万吨、</w:t>
      </w:r>
      <w:r>
        <w:rPr>
          <w:rFonts w:hint="default"/>
        </w:rPr>
        <w:t>沼液肥</w:t>
      </w:r>
      <w:r>
        <w:t>24.9万吨</w:t>
      </w:r>
      <w:r>
        <w:rPr>
          <w:rFonts w:hint="default"/>
        </w:rPr>
        <w:t>。</w:t>
      </w:r>
    </w:p>
    <w:p>
      <w:pPr>
        <w:pStyle w:val="2"/>
        <w:snapToGrid w:val="0"/>
        <w:ind w:firstLineChars="175"/>
        <w:rPr>
          <w:rFonts w:hint="default"/>
        </w:rPr>
      </w:pPr>
      <w:r>
        <w:t>（</w:t>
      </w:r>
      <w:r>
        <w:rPr>
          <w:rFonts w:hint="default"/>
        </w:rPr>
        <w:t>4</w:t>
      </w:r>
      <w:r>
        <w:t>）处理工艺</w:t>
      </w:r>
    </w:p>
    <w:p>
      <w:pPr>
        <w:pStyle w:val="2"/>
        <w:ind w:firstLine="480"/>
        <w:rPr>
          <w:rFonts w:hint="default"/>
        </w:rPr>
      </w:pPr>
      <w:r>
        <w:t>工艺见图</w:t>
      </w:r>
      <w:r>
        <w:rPr>
          <w:rFonts w:hint="default"/>
        </w:rPr>
        <w:t>10.2</w:t>
      </w:r>
      <w:r>
        <w:t>-</w:t>
      </w:r>
      <w:r>
        <w:rPr>
          <w:rFonts w:hint="default"/>
        </w:rPr>
        <w:t>1</w:t>
      </w:r>
      <w:r>
        <w:t>。</w:t>
      </w:r>
    </w:p>
    <w:p>
      <w:pPr>
        <w:ind w:firstLine="240" w:firstLineChars="100"/>
        <w:jc w:val="center"/>
        <w:rPr>
          <w:color w:val="000000"/>
        </w:rPr>
      </w:pPr>
      <w:r>
        <w:rPr>
          <w:color w:val="000000"/>
        </w:rPr>
        <w:object>
          <v:shape id="_x0000_i1039" o:spt="75" type="#_x0000_t75" style="height:319.65pt;width:415.85pt;" o:ole="t" filled="f" o:preferrelative="t" stroked="f" coordsize="21600,21600">
            <v:path/>
            <v:fill on="f" focussize="0,0"/>
            <v:stroke on="f" joinstyle="miter"/>
            <v:imagedata r:id="rId22" o:title=""/>
            <o:lock v:ext="edit" aspectratio="f"/>
            <w10:wrap type="none"/>
            <w10:anchorlock/>
          </v:shape>
          <o:OLEObject Type="Embed" ProgID="Visio.Drawing.11" ShapeID="_x0000_i1039" DrawAspect="Content" ObjectID="_1468075739" r:id="rId46">
            <o:LockedField>false</o:LockedField>
          </o:OLEObject>
        </w:object>
      </w:r>
    </w:p>
    <w:p>
      <w:pPr>
        <w:ind w:firstLine="240" w:firstLineChars="100"/>
        <w:jc w:val="center"/>
        <w:rPr>
          <w:b/>
          <w:color w:val="000000"/>
          <w:szCs w:val="21"/>
        </w:rPr>
      </w:pPr>
      <w:r>
        <w:rPr>
          <w:rFonts w:eastAsia="黑体"/>
          <w:szCs w:val="20"/>
        </w:rPr>
        <w:t>图10.2</w:t>
      </w:r>
      <w:r>
        <w:rPr>
          <w:rFonts w:hint="eastAsia" w:eastAsia="黑体"/>
          <w:szCs w:val="20"/>
        </w:rPr>
        <w:t>-</w:t>
      </w:r>
      <w:r>
        <w:rPr>
          <w:rFonts w:eastAsia="黑体"/>
          <w:szCs w:val="20"/>
        </w:rPr>
        <w:t xml:space="preserve">1 </w:t>
      </w:r>
      <w:r>
        <w:rPr>
          <w:rFonts w:hint="eastAsia" w:eastAsia="黑体"/>
          <w:szCs w:val="20"/>
        </w:rPr>
        <w:t>大沼工程</w:t>
      </w:r>
      <w:r>
        <w:rPr>
          <w:rFonts w:eastAsia="黑体"/>
          <w:szCs w:val="20"/>
        </w:rPr>
        <w:t>工艺流程和产污环节图</w:t>
      </w:r>
    </w:p>
    <w:p>
      <w:pPr>
        <w:pStyle w:val="2"/>
        <w:snapToGrid w:val="0"/>
        <w:ind w:firstLineChars="175"/>
        <w:rPr>
          <w:rFonts w:hint="default"/>
        </w:rPr>
      </w:pPr>
      <w:r>
        <w:t>（</w:t>
      </w:r>
      <w:r>
        <w:rPr>
          <w:rFonts w:hint="default"/>
        </w:rPr>
        <w:t>5</w:t>
      </w:r>
      <w:r>
        <w:t>）粪污最终去向</w:t>
      </w:r>
    </w:p>
    <w:p>
      <w:pPr>
        <w:pStyle w:val="2"/>
        <w:ind w:firstLine="480"/>
        <w:rPr>
          <w:rFonts w:hint="default"/>
        </w:rPr>
      </w:pPr>
      <w:r>
        <w:fldChar w:fldCharType="begin"/>
      </w:r>
      <w:r>
        <w:instrText xml:space="preserve"> = 1 \* GB3 </w:instrText>
      </w:r>
      <w:r>
        <w:fldChar w:fldCharType="separate"/>
      </w:r>
      <w:r>
        <w:t>①</w:t>
      </w:r>
      <w:r>
        <w:fldChar w:fldCharType="end"/>
      </w:r>
      <w:r>
        <w:t>粪便</w:t>
      </w:r>
    </w:p>
    <w:p>
      <w:pPr>
        <w:pStyle w:val="2"/>
        <w:ind w:firstLine="480"/>
        <w:rPr>
          <w:rFonts w:hint="default"/>
        </w:rPr>
      </w:pPr>
      <w:r>
        <w:t>经发酵后的沼液全部进行干湿分离，干粪全部用于生产有机肥，并进行外售。</w:t>
      </w:r>
    </w:p>
    <w:p>
      <w:pPr>
        <w:pStyle w:val="2"/>
        <w:ind w:firstLine="480"/>
        <w:rPr>
          <w:rFonts w:hint="default"/>
        </w:rPr>
      </w:pPr>
      <w:r>
        <w:rPr>
          <w:rFonts w:hint="default"/>
        </w:rPr>
        <w:fldChar w:fldCharType="begin"/>
      </w:r>
      <w:r>
        <w:rPr>
          <w:rFonts w:hint="default"/>
        </w:rPr>
        <w:instrText xml:space="preserve"> </w:instrText>
      </w:r>
      <w:r>
        <w:instrText xml:space="preserve">= 2 \* GB3</w:instrText>
      </w:r>
      <w:r>
        <w:rPr>
          <w:rFonts w:hint="default"/>
        </w:rPr>
        <w:instrText xml:space="preserve"> </w:instrText>
      </w:r>
      <w:r>
        <w:rPr>
          <w:rFonts w:hint="default"/>
        </w:rPr>
        <w:fldChar w:fldCharType="separate"/>
      </w:r>
      <w:r>
        <w:t>②</w:t>
      </w:r>
      <w:r>
        <w:rPr>
          <w:rFonts w:hint="default"/>
        </w:rPr>
        <w:fldChar w:fldCharType="end"/>
      </w:r>
      <w:r>
        <w:t>沼液</w:t>
      </w:r>
    </w:p>
    <w:p>
      <w:pPr>
        <w:pStyle w:val="2"/>
        <w:ind w:firstLine="480"/>
        <w:rPr>
          <w:rFonts w:hint="default"/>
        </w:rPr>
      </w:pPr>
      <w:r>
        <w:rPr>
          <w:rFonts w:hint="default"/>
        </w:rPr>
        <w:t>本项目发酵工艺采用的是中温厌氧发酵，根据</w:t>
      </w:r>
      <w:r>
        <w:t>“大沼工程”</w:t>
      </w:r>
      <w:r>
        <w:rPr>
          <w:rFonts w:hint="default"/>
        </w:rPr>
        <w:t>产生的沼液约为</w:t>
      </w:r>
      <w:r>
        <w:t>712.8</w:t>
      </w:r>
      <w:r>
        <w:rPr>
          <w:rFonts w:hint="default"/>
        </w:rPr>
        <w:t>t/d，沼液经固液分离后，沼液进入厂区内的沼液暂存池内暂存，最终用作农肥</w:t>
      </w:r>
      <w:r>
        <w:t>，目前该厂区内已建有一座8200m</w:t>
      </w:r>
      <w:r>
        <w:rPr>
          <w:vertAlign w:val="superscript"/>
        </w:rPr>
        <w:t>3</w:t>
      </w:r>
      <w:r>
        <w:t>的沼液暂存池，可暂存约12天的沼液产生量</w:t>
      </w:r>
      <w:r>
        <w:rPr>
          <w:rFonts w:hint="default"/>
        </w:rPr>
        <w:t>，</w:t>
      </w:r>
      <w:r>
        <w:t>大沼工程</w:t>
      </w:r>
      <w:r>
        <w:rPr>
          <w:rFonts w:hint="default"/>
        </w:rPr>
        <w:t>产生的沼液由项目所在地的“万亩柑橘园”和井研县正打造的“百里产业大环线”进行消纳，施肥面积5.9万亩（其中柑橘林4.3万亩，水稻、油菜、玉米、蔬菜等耕地1.6万亩）</w:t>
      </w:r>
      <w:r>
        <w:t>，其消纳可行性已在《“大沼工程”环境影响报告表》进行可行性论证。</w:t>
      </w:r>
    </w:p>
    <w:p>
      <w:pPr>
        <w:pStyle w:val="970"/>
        <w:snapToGrid w:val="0"/>
        <w:ind w:firstLine="0"/>
        <w:outlineLvl w:val="3"/>
        <w:rPr>
          <w:rFonts w:eastAsia="黑体"/>
          <w:bCs/>
          <w:szCs w:val="24"/>
        </w:rPr>
      </w:pPr>
      <w:r>
        <w:rPr>
          <w:rFonts w:eastAsia="黑体"/>
          <w:bCs/>
          <w:szCs w:val="24"/>
        </w:rPr>
        <w:t>10.2.3.3</w:t>
      </w:r>
      <w:r>
        <w:rPr>
          <w:rFonts w:hint="eastAsia" w:eastAsia="黑体"/>
          <w:bCs/>
          <w:szCs w:val="24"/>
        </w:rPr>
        <w:t>“大沼工程”依托可行性</w:t>
      </w:r>
    </w:p>
    <w:p>
      <w:pPr>
        <w:pStyle w:val="2"/>
        <w:snapToGrid w:val="0"/>
        <w:ind w:firstLine="480"/>
        <w:rPr>
          <w:rFonts w:hint="default"/>
        </w:rPr>
      </w:pPr>
      <w:r>
        <w:t>（1）服务范围及服务对象</w:t>
      </w:r>
    </w:p>
    <w:p>
      <w:pPr>
        <w:pStyle w:val="2"/>
        <w:snapToGrid w:val="0"/>
        <w:ind w:firstLine="480"/>
        <w:rPr>
          <w:rFonts w:hint="default"/>
        </w:rPr>
      </w:pPr>
      <w:r>
        <w:t>本项目位于“大沼工程”服务范围，项目为生猪养殖，其属于“大沼工程”服务对象。</w:t>
      </w:r>
    </w:p>
    <w:p>
      <w:pPr>
        <w:pStyle w:val="2"/>
        <w:snapToGrid w:val="0"/>
        <w:ind w:firstLine="480" w:firstLineChars="0"/>
        <w:rPr>
          <w:rFonts w:hint="default"/>
        </w:rPr>
      </w:pPr>
      <w:r>
        <w:t>（2）处理规模可行性</w:t>
      </w:r>
    </w:p>
    <w:p>
      <w:pPr>
        <w:pStyle w:val="2"/>
        <w:snapToGrid w:val="0"/>
        <w:ind w:firstLine="480" w:firstLineChars="0"/>
        <w:rPr>
          <w:rFonts w:hint="default"/>
        </w:rPr>
      </w:pPr>
      <w:r>
        <w:t>本项目废水产生量共计4</w:t>
      </w:r>
      <w:r>
        <w:rPr>
          <w:rFonts w:hint="default"/>
        </w:rPr>
        <w:t>5.49t/d</w:t>
      </w:r>
      <w:r>
        <w:t>（含粪便1</w:t>
      </w:r>
      <w:r>
        <w:rPr>
          <w:rFonts w:hint="default"/>
        </w:rPr>
        <w:t>1.2</w:t>
      </w:r>
      <w:r>
        <w:t>t</w:t>
      </w:r>
      <w:r>
        <w:rPr>
          <w:rFonts w:hint="default"/>
        </w:rPr>
        <w:t>/a</w:t>
      </w:r>
      <w:r>
        <w:t>），根据调查，“大沼工程”处理规模为7</w:t>
      </w:r>
      <w:r>
        <w:rPr>
          <w:rFonts w:hint="default"/>
        </w:rPr>
        <w:t>60t/d</w:t>
      </w:r>
      <w:r>
        <w:t>，目前实际处理规模仅为4</w:t>
      </w:r>
      <w:r>
        <w:rPr>
          <w:rFonts w:hint="default"/>
        </w:rPr>
        <w:t>00t/d</w:t>
      </w:r>
      <w:r>
        <w:t>，剩余处理能力为3</w:t>
      </w:r>
      <w:r>
        <w:rPr>
          <w:rFonts w:hint="default"/>
        </w:rPr>
        <w:t>60t/d</w:t>
      </w:r>
      <w:r>
        <w:t>，因此大沼工程仍有处理能力消纳本项目粪污。</w:t>
      </w:r>
    </w:p>
    <w:p>
      <w:pPr>
        <w:pStyle w:val="2"/>
        <w:snapToGrid w:val="0"/>
        <w:ind w:firstLineChars="175"/>
        <w:rPr>
          <w:rFonts w:hint="default"/>
        </w:rPr>
      </w:pPr>
      <w:r>
        <w:t>（3）粪污运输</w:t>
      </w:r>
      <w:r>
        <w:rPr>
          <w:rFonts w:hint="default"/>
        </w:rPr>
        <w:t>可行性</w:t>
      </w:r>
    </w:p>
    <w:p>
      <w:pPr>
        <w:pStyle w:val="192"/>
      </w:pPr>
      <w:r>
        <w:rPr>
          <w:rFonts w:hint="eastAsia"/>
        </w:rPr>
        <w:t>根据调查，“</w:t>
      </w:r>
      <w:r>
        <w:t>大沼工程</w:t>
      </w:r>
      <w:r>
        <w:rPr>
          <w:rFonts w:hint="eastAsia"/>
        </w:rPr>
        <w:t>”</w:t>
      </w:r>
      <w:r>
        <w:t>配备有专用运输车辆，运输车辆均为</w:t>
      </w:r>
      <w:r>
        <w:rPr>
          <w:rFonts w:hint="eastAsia"/>
        </w:rPr>
        <w:t>密闭吸粪车，见图1</w:t>
      </w:r>
      <w:r>
        <w:t>0.2</w:t>
      </w:r>
      <w:r>
        <w:rPr>
          <w:rFonts w:hint="eastAsia"/>
        </w:rPr>
        <w:t>-</w:t>
      </w:r>
      <w:r>
        <w:t>2</w:t>
      </w:r>
      <w:r>
        <w:rPr>
          <w:rFonts w:hint="eastAsia"/>
        </w:rPr>
        <w:t>，单车运输能力为5t，本项目粪污产生量为4</w:t>
      </w:r>
      <w:r>
        <w:t>5.49</w:t>
      </w:r>
      <w:r>
        <w:rPr>
          <w:rFonts w:hint="eastAsia"/>
        </w:rPr>
        <w:t>，每日仅需1</w:t>
      </w:r>
      <w:r>
        <w:t>0</w:t>
      </w:r>
      <w:r>
        <w:rPr>
          <w:rFonts w:hint="eastAsia"/>
        </w:rPr>
        <w:t>车次即可运输完毕，运输量较小，且运输车辆均为封闭运输车辆，运输途中几乎无恶臭外溢。</w:t>
      </w:r>
    </w:p>
    <w:p>
      <w:pPr>
        <w:pStyle w:val="192"/>
        <w:rPr>
          <w:rFonts w:ascii="宋体" w:hAnsi="宋体" w:cs="宋体"/>
        </w:rPr>
      </w:pPr>
      <w:r>
        <w:rPr>
          <w:rFonts w:hint="eastAsia" w:ascii="宋体" w:hAnsi="宋体" w:cs="宋体"/>
        </w:rPr>
        <w:drawing>
          <wp:inline distT="0" distB="0" distL="0" distR="0">
            <wp:extent cx="4817110" cy="33985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4835063" cy="3410811"/>
                    </a:xfrm>
                    <a:prstGeom prst="rect">
                      <a:avLst/>
                    </a:prstGeom>
                  </pic:spPr>
                </pic:pic>
              </a:graphicData>
            </a:graphic>
          </wp:inline>
        </w:drawing>
      </w:r>
    </w:p>
    <w:p>
      <w:pPr>
        <w:pStyle w:val="192"/>
        <w:jc w:val="center"/>
        <w:rPr>
          <w:rFonts w:eastAsia="黑体"/>
        </w:rPr>
      </w:pPr>
      <w:r>
        <w:rPr>
          <w:rFonts w:eastAsia="黑体"/>
        </w:rPr>
        <w:t>图10.2</w:t>
      </w:r>
      <w:r>
        <w:rPr>
          <w:rFonts w:hint="eastAsia" w:eastAsia="黑体"/>
        </w:rPr>
        <w:t>-</w:t>
      </w:r>
      <w:r>
        <w:rPr>
          <w:rFonts w:eastAsia="黑体"/>
        </w:rPr>
        <w:t>2   吸污车图片</w:t>
      </w:r>
    </w:p>
    <w:p>
      <w:pPr>
        <w:pStyle w:val="2"/>
        <w:snapToGrid w:val="0"/>
        <w:ind w:firstLine="480"/>
        <w:rPr>
          <w:rFonts w:hint="default"/>
          <w:szCs w:val="21"/>
        </w:rPr>
      </w:pPr>
      <w:r>
        <w:t>综上，项目属于</w:t>
      </w:r>
      <w:r>
        <w:rPr>
          <w:szCs w:val="21"/>
        </w:rPr>
        <w:t>乐山乐高勤力生物质能源综合利用有限公司井研县2018年畜禽粪污资源化利用整县推进项目规模化大型沼气工程服务范围内，且属于其服务对象，“大沼工程”目前具有处理能力处理本项目产生的粪污，因此项目粪污依托“大沼工程”处理可行。目前建设单位已与乐山乐高勤力生物质能源综合利用有限公司签订了粪污综合利用协议。</w:t>
      </w:r>
    </w:p>
    <w:p>
      <w:pPr>
        <w:pStyle w:val="970"/>
        <w:snapToGrid w:val="0"/>
        <w:ind w:firstLine="0"/>
        <w:outlineLvl w:val="3"/>
        <w:rPr>
          <w:rFonts w:eastAsia="黑体"/>
          <w:bCs/>
          <w:szCs w:val="24"/>
        </w:rPr>
      </w:pPr>
      <w:r>
        <w:rPr>
          <w:rFonts w:eastAsia="黑体"/>
          <w:bCs/>
          <w:szCs w:val="24"/>
        </w:rPr>
        <w:t>10.2.3.4</w:t>
      </w:r>
      <w:r>
        <w:rPr>
          <w:rFonts w:hint="eastAsia" w:eastAsia="黑体"/>
          <w:bCs/>
          <w:szCs w:val="24"/>
        </w:rPr>
        <w:t>“大沼工程”非正常工况下粪污治理措施</w:t>
      </w:r>
    </w:p>
    <w:p>
      <w:pPr>
        <w:pStyle w:val="2"/>
        <w:ind w:firstLineChars="0"/>
        <w:rPr>
          <w:rFonts w:hint="default"/>
          <w:szCs w:val="21"/>
        </w:rPr>
      </w:pPr>
      <w:r>
        <w:t>当</w:t>
      </w:r>
      <w:r>
        <w:rPr>
          <w:szCs w:val="21"/>
        </w:rPr>
        <w:t>乐山乐高勤力生物质能源综合利用有限公司 “大沼工程”处于非正常运行时且维修期大于1</w:t>
      </w:r>
      <w:r>
        <w:rPr>
          <w:rFonts w:hint="default"/>
          <w:szCs w:val="21"/>
        </w:rPr>
        <w:t>6</w:t>
      </w:r>
      <w:r>
        <w:rPr>
          <w:szCs w:val="21"/>
        </w:rPr>
        <w:t>天情况下时即为本项目非正常工况，根据项目建设方案，项目同时配备建设一台干湿分离机+沼气池（1</w:t>
      </w:r>
      <w:r>
        <w:rPr>
          <w:rFonts w:hint="default"/>
          <w:szCs w:val="21"/>
        </w:rPr>
        <w:t>00m</w:t>
      </w:r>
      <w:r>
        <w:rPr>
          <w:rFonts w:hint="default"/>
          <w:szCs w:val="21"/>
          <w:vertAlign w:val="superscript"/>
        </w:rPr>
        <w:t>3</w:t>
      </w:r>
      <w:r>
        <w:rPr>
          <w:szCs w:val="21"/>
        </w:rPr>
        <w:t>）+暂存池（1个厂区暂存池+</w:t>
      </w:r>
      <w:r>
        <w:rPr>
          <w:rFonts w:hint="default"/>
          <w:szCs w:val="21"/>
        </w:rPr>
        <w:t>12</w:t>
      </w:r>
      <w:r>
        <w:rPr>
          <w:szCs w:val="21"/>
        </w:rPr>
        <w:t>个</w:t>
      </w:r>
      <w:r>
        <w:rPr>
          <w:rFonts w:hint="default"/>
          <w:szCs w:val="21"/>
        </w:rPr>
        <w:t>150m</w:t>
      </w:r>
      <w:r>
        <w:rPr>
          <w:rFonts w:hint="default"/>
          <w:szCs w:val="21"/>
          <w:vertAlign w:val="superscript"/>
        </w:rPr>
        <w:t>3</w:t>
      </w:r>
      <w:r>
        <w:rPr>
          <w:szCs w:val="21"/>
        </w:rPr>
        <w:t>田间暂存池）作为项目应急措施，当乐山乐高勤力生物质能源综合利用有限公司出现不能正常运行时，项目将集污池内的粪污经干湿分离机进行干湿分离后，废水排至沼气池进行厌氧处理后排入厂区暂存池，再经管道自流至田间暂存池内，项目拟建</w:t>
      </w:r>
      <w:r>
        <w:rPr>
          <w:rFonts w:hint="default"/>
          <w:szCs w:val="21"/>
        </w:rPr>
        <w:t>12</w:t>
      </w:r>
      <w:r>
        <w:rPr>
          <w:szCs w:val="21"/>
        </w:rPr>
        <w:t>个田间暂存池，各田间暂存池管道采用阀门控制，便于用于周边耕地施肥。</w:t>
      </w:r>
    </w:p>
    <w:p>
      <w:pPr>
        <w:pStyle w:val="2"/>
        <w:ind w:firstLineChars="175"/>
        <w:rPr>
          <w:rFonts w:hint="default"/>
        </w:rPr>
      </w:pPr>
      <w:r>
        <w:t>（1）污水处理设施效果</w:t>
      </w:r>
    </w:p>
    <w:p>
      <w:pPr>
        <w:pStyle w:val="2"/>
        <w:ind w:firstLineChars="0"/>
        <w:rPr>
          <w:rFonts w:hint="default"/>
        </w:rPr>
      </w:pPr>
      <w:r>
        <w:t>根据《规模化畜禽养殖场沼气工程设计规范》及设计单位设计可知，本项目废水处理预测结果见表</w:t>
      </w:r>
      <w:r>
        <w:rPr>
          <w:rFonts w:hint="default"/>
        </w:rPr>
        <w:t>10</w:t>
      </w:r>
      <w:r>
        <w:t xml:space="preserve">.2-1 所示。 </w:t>
      </w:r>
    </w:p>
    <w:p>
      <w:pPr>
        <w:spacing w:line="240" w:lineRule="auto"/>
        <w:jc w:val="center"/>
        <w:rPr>
          <w:rFonts w:eastAsia="黑体"/>
        </w:rPr>
      </w:pPr>
      <w:r>
        <w:rPr>
          <w:rFonts w:eastAsia="黑体"/>
        </w:rPr>
        <w:t>表10.2-1 废水处理各工段处理效率及预测结果</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225"/>
        <w:gridCol w:w="1073"/>
        <w:gridCol w:w="1072"/>
        <w:gridCol w:w="1305"/>
        <w:gridCol w:w="1072"/>
        <w:gridCol w:w="1225"/>
        <w:gridCol w:w="1072"/>
        <w:gridCol w:w="147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127" w:type="dxa"/>
            <w:gridSpan w:val="2"/>
            <w:vMerge w:val="restart"/>
            <w:vAlign w:val="center"/>
          </w:tcPr>
          <w:p>
            <w:pPr>
              <w:pStyle w:val="2"/>
              <w:snapToGrid w:val="0"/>
              <w:spacing w:line="240" w:lineRule="auto"/>
              <w:ind w:left="480" w:firstLine="0" w:firstLineChars="0"/>
              <w:jc w:val="center"/>
              <w:rPr>
                <w:rFonts w:hint="default"/>
                <w:kern w:val="0"/>
                <w:sz w:val="21"/>
                <w:szCs w:val="21"/>
              </w:rPr>
            </w:pPr>
            <w:r>
              <w:rPr>
                <w:kern w:val="0"/>
                <w:sz w:val="21"/>
                <w:szCs w:val="21"/>
              </w:rPr>
              <w:t>处理工段</w:t>
            </w:r>
          </w:p>
        </w:tc>
        <w:tc>
          <w:tcPr>
            <w:tcW w:w="6604" w:type="dxa"/>
            <w:gridSpan w:val="6"/>
            <w:vAlign w:val="center"/>
          </w:tcPr>
          <w:p>
            <w:pPr>
              <w:pStyle w:val="2"/>
              <w:snapToGrid w:val="0"/>
              <w:spacing w:line="240" w:lineRule="auto"/>
              <w:ind w:left="480" w:firstLine="0" w:firstLineChars="0"/>
              <w:jc w:val="center"/>
              <w:rPr>
                <w:rFonts w:hint="default"/>
                <w:kern w:val="0"/>
                <w:sz w:val="21"/>
                <w:szCs w:val="21"/>
              </w:rPr>
            </w:pPr>
            <w:r>
              <w:rPr>
                <w:kern w:val="0"/>
                <w:sz w:val="21"/>
                <w:szCs w:val="21"/>
              </w:rPr>
              <w:t>主要污染物浓度m</w:t>
            </w:r>
            <w:r>
              <w:rPr>
                <w:rFonts w:hint="default"/>
                <w:kern w:val="0"/>
                <w:sz w:val="21"/>
                <w:szCs w:val="21"/>
              </w:rPr>
              <w:t>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127" w:type="dxa"/>
            <w:gridSpan w:val="2"/>
            <w:vMerge w:val="continue"/>
            <w:vAlign w:val="center"/>
          </w:tcPr>
          <w:p>
            <w:pPr>
              <w:pStyle w:val="2"/>
              <w:snapToGrid w:val="0"/>
              <w:spacing w:line="240" w:lineRule="auto"/>
              <w:ind w:left="480" w:firstLine="0" w:firstLineChars="0"/>
              <w:jc w:val="center"/>
              <w:rPr>
                <w:rFonts w:hint="default"/>
                <w:kern w:val="0"/>
                <w:sz w:val="21"/>
                <w:szCs w:val="21"/>
              </w:rPr>
            </w:pP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C</w:t>
            </w:r>
            <w:r>
              <w:rPr>
                <w:rFonts w:hint="default"/>
                <w:kern w:val="0"/>
                <w:sz w:val="21"/>
                <w:szCs w:val="21"/>
              </w:rPr>
              <w:t>OD</w:t>
            </w:r>
          </w:p>
        </w:tc>
        <w:tc>
          <w:tcPr>
            <w:tcW w:w="1134" w:type="dxa"/>
            <w:vAlign w:val="center"/>
          </w:tcPr>
          <w:p>
            <w:pPr>
              <w:pStyle w:val="2"/>
              <w:snapToGrid w:val="0"/>
              <w:spacing w:line="240" w:lineRule="auto"/>
              <w:ind w:left="480" w:firstLine="0" w:firstLineChars="0"/>
              <w:jc w:val="center"/>
              <w:rPr>
                <w:rFonts w:hint="default"/>
                <w:kern w:val="0"/>
                <w:sz w:val="21"/>
                <w:szCs w:val="21"/>
              </w:rPr>
            </w:pPr>
            <w:r>
              <w:rPr>
                <w:kern w:val="0"/>
                <w:sz w:val="21"/>
                <w:szCs w:val="21"/>
              </w:rPr>
              <w:t>B</w:t>
            </w:r>
            <w:r>
              <w:rPr>
                <w:rFonts w:hint="default"/>
                <w:kern w:val="0"/>
                <w:sz w:val="21"/>
                <w:szCs w:val="21"/>
              </w:rPr>
              <w:t>OD</w:t>
            </w:r>
            <w:r>
              <w:rPr>
                <w:rFonts w:hint="default"/>
                <w:kern w:val="0"/>
                <w:sz w:val="21"/>
                <w:szCs w:val="21"/>
                <w:vertAlign w:val="subscript"/>
              </w:rPr>
              <w:t>5</w:t>
            </w:r>
          </w:p>
        </w:tc>
        <w:tc>
          <w:tcPr>
            <w:tcW w:w="992" w:type="dxa"/>
            <w:vAlign w:val="center"/>
          </w:tcPr>
          <w:p>
            <w:pPr>
              <w:pStyle w:val="2"/>
              <w:snapToGrid w:val="0"/>
              <w:spacing w:line="240" w:lineRule="auto"/>
              <w:ind w:left="480" w:firstLine="0" w:firstLineChars="0"/>
              <w:jc w:val="center"/>
              <w:rPr>
                <w:rFonts w:hint="default"/>
                <w:kern w:val="0"/>
                <w:sz w:val="21"/>
                <w:szCs w:val="21"/>
              </w:rPr>
            </w:pPr>
            <w:r>
              <w:rPr>
                <w:kern w:val="0"/>
                <w:sz w:val="21"/>
                <w:szCs w:val="21"/>
              </w:rPr>
              <w:t>S</w:t>
            </w:r>
            <w:r>
              <w:rPr>
                <w:rFonts w:hint="default"/>
                <w:kern w:val="0"/>
                <w:sz w:val="21"/>
                <w:szCs w:val="21"/>
              </w:rPr>
              <w:t>S</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N</w:t>
            </w:r>
            <w:r>
              <w:rPr>
                <w:rFonts w:hint="default"/>
                <w:kern w:val="0"/>
                <w:sz w:val="21"/>
                <w:szCs w:val="21"/>
              </w:rPr>
              <w:t>H</w:t>
            </w:r>
            <w:r>
              <w:rPr>
                <w:rFonts w:hint="default"/>
                <w:kern w:val="0"/>
                <w:sz w:val="21"/>
                <w:szCs w:val="21"/>
                <w:vertAlign w:val="subscript"/>
              </w:rPr>
              <w:t>3</w:t>
            </w:r>
            <w:r>
              <w:rPr>
                <w:rFonts w:hint="default"/>
                <w:kern w:val="0"/>
                <w:sz w:val="21"/>
                <w:szCs w:val="21"/>
              </w:rPr>
              <w:t>-N</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T</w:t>
            </w:r>
            <w:r>
              <w:rPr>
                <w:rFonts w:hint="default"/>
                <w:kern w:val="0"/>
                <w:sz w:val="21"/>
                <w:szCs w:val="21"/>
              </w:rPr>
              <w:t>N</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T</w:t>
            </w:r>
            <w:r>
              <w:rPr>
                <w:rFonts w:hint="default"/>
                <w:kern w:val="0"/>
                <w:sz w:val="21"/>
                <w:szCs w:val="21"/>
              </w:rPr>
              <w:t>P</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restart"/>
            <w:vAlign w:val="center"/>
          </w:tcPr>
          <w:p>
            <w:pPr>
              <w:pStyle w:val="2"/>
              <w:snapToGrid w:val="0"/>
              <w:spacing w:line="240" w:lineRule="auto"/>
              <w:ind w:firstLine="0" w:firstLineChars="0"/>
              <w:rPr>
                <w:rFonts w:hint="default"/>
                <w:kern w:val="0"/>
                <w:sz w:val="21"/>
                <w:szCs w:val="21"/>
              </w:rPr>
            </w:pPr>
            <w:r>
              <w:rPr>
                <w:kern w:val="0"/>
                <w:sz w:val="21"/>
                <w:szCs w:val="21"/>
              </w:rPr>
              <w:t>固液分离机</w:t>
            </w: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进水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640</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1348</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5000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61</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70</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4</w:t>
            </w:r>
            <w:r>
              <w:rPr>
                <w:rFonts w:hint="default"/>
                <w:kern w:val="0"/>
                <w:sz w:val="21"/>
                <w:szCs w:val="21"/>
              </w:rPr>
              <w:t>3.5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left="480"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去除率</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25</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95</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10</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1360"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10</w:t>
            </w: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left="480"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出水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848</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011</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500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35</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33</w:t>
            </w:r>
          </w:p>
        </w:tc>
        <w:tc>
          <w:tcPr>
            <w:tcW w:w="1360"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39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restart"/>
            <w:vAlign w:val="center"/>
          </w:tcPr>
          <w:p>
            <w:pPr>
              <w:pStyle w:val="2"/>
              <w:snapToGrid w:val="0"/>
              <w:spacing w:line="240" w:lineRule="auto"/>
              <w:ind w:firstLine="0" w:firstLineChars="0"/>
              <w:rPr>
                <w:rFonts w:hint="default"/>
                <w:kern w:val="0"/>
                <w:sz w:val="21"/>
                <w:szCs w:val="21"/>
              </w:rPr>
            </w:pPr>
            <w:r>
              <w:rPr>
                <w:kern w:val="0"/>
                <w:sz w:val="21"/>
                <w:szCs w:val="21"/>
              </w:rPr>
              <w:t>沼气池</w:t>
            </w: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去除率</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6</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6</w:t>
            </w:r>
            <w:r>
              <w:rPr>
                <w:rFonts w:hint="default"/>
                <w:kern w:val="0"/>
                <w:sz w:val="21"/>
                <w:szCs w:val="21"/>
              </w:rPr>
              <w:t>5</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0</w:t>
            </w:r>
            <w:r>
              <w:rPr>
                <w:kern w:val="0"/>
                <w:sz w:val="21"/>
                <w:szCs w:val="21"/>
              </w:rPr>
              <w:t>%</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vMerge w:val="continue"/>
            <w:vAlign w:val="center"/>
          </w:tcPr>
          <w:p>
            <w:pPr>
              <w:pStyle w:val="2"/>
              <w:snapToGrid w:val="0"/>
              <w:spacing w:line="240" w:lineRule="auto"/>
              <w:ind w:left="480" w:firstLine="0" w:firstLineChars="0"/>
              <w:jc w:val="center"/>
              <w:rPr>
                <w:rFonts w:hint="default"/>
                <w:kern w:val="0"/>
                <w:sz w:val="21"/>
                <w:szCs w:val="21"/>
              </w:rPr>
            </w:pPr>
          </w:p>
        </w:tc>
        <w:tc>
          <w:tcPr>
            <w:tcW w:w="993"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出水</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7</w:t>
            </w:r>
            <w:r>
              <w:rPr>
                <w:rFonts w:hint="default"/>
                <w:kern w:val="0"/>
                <w:sz w:val="21"/>
                <w:szCs w:val="21"/>
              </w:rPr>
              <w:t>39</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54</w:t>
            </w:r>
          </w:p>
        </w:tc>
        <w:tc>
          <w:tcPr>
            <w:tcW w:w="992" w:type="dxa"/>
            <w:vAlign w:val="center"/>
          </w:tcPr>
          <w:p>
            <w:pPr>
              <w:pStyle w:val="2"/>
              <w:snapToGrid w:val="0"/>
              <w:spacing w:line="240" w:lineRule="auto"/>
              <w:ind w:firstLine="0" w:firstLineChars="0"/>
              <w:jc w:val="center"/>
              <w:rPr>
                <w:rFonts w:hint="default"/>
                <w:kern w:val="0"/>
                <w:sz w:val="21"/>
                <w:szCs w:val="21"/>
              </w:rPr>
            </w:pPr>
            <w:r>
              <w:rPr>
                <w:rFonts w:hint="default"/>
                <w:kern w:val="0"/>
                <w:sz w:val="21"/>
                <w:szCs w:val="21"/>
              </w:rPr>
              <w:t>400</w:t>
            </w:r>
          </w:p>
        </w:tc>
        <w:tc>
          <w:tcPr>
            <w:tcW w:w="1134" w:type="dxa"/>
            <w:vAlign w:val="center"/>
          </w:tcPr>
          <w:p>
            <w:pPr>
              <w:pStyle w:val="2"/>
              <w:snapToGrid w:val="0"/>
              <w:spacing w:line="240" w:lineRule="auto"/>
              <w:ind w:firstLine="0" w:firstLineChars="0"/>
              <w:jc w:val="center"/>
              <w:rPr>
                <w:rFonts w:hint="default"/>
                <w:kern w:val="0"/>
                <w:sz w:val="21"/>
                <w:szCs w:val="21"/>
              </w:rPr>
            </w:pPr>
            <w:r>
              <w:rPr>
                <w:kern w:val="0"/>
                <w:sz w:val="21"/>
                <w:szCs w:val="21"/>
              </w:rPr>
              <w:t>2</w:t>
            </w:r>
            <w:r>
              <w:rPr>
                <w:rFonts w:hint="default"/>
                <w:kern w:val="0"/>
                <w:sz w:val="21"/>
                <w:szCs w:val="21"/>
              </w:rPr>
              <w:t>12</w:t>
            </w:r>
          </w:p>
        </w:tc>
        <w:tc>
          <w:tcPr>
            <w:tcW w:w="992"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00</w:t>
            </w:r>
          </w:p>
        </w:tc>
        <w:tc>
          <w:tcPr>
            <w:tcW w:w="136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3</w:t>
            </w:r>
            <w:r>
              <w:rPr>
                <w:rFonts w:hint="default"/>
                <w:kern w:val="0"/>
                <w:sz w:val="21"/>
                <w:szCs w:val="21"/>
              </w:rPr>
              <w:t>7</w:t>
            </w:r>
          </w:p>
        </w:tc>
      </w:tr>
    </w:tbl>
    <w:p>
      <w:pPr>
        <w:pStyle w:val="2"/>
        <w:ind w:left="480" w:firstLine="0" w:firstLineChars="0"/>
        <w:rPr>
          <w:rFonts w:hint="default"/>
        </w:rPr>
      </w:pPr>
    </w:p>
    <w:p>
      <w:pPr>
        <w:pStyle w:val="2"/>
        <w:ind w:firstLine="480"/>
        <w:rPr>
          <w:rFonts w:hint="default"/>
        </w:rPr>
      </w:pPr>
      <w:r>
        <w:t>当非正常工况下，项目粪污经固液分离、沼气池进行处理后由管道排至沼液暂存池，再经管道排至田间池，然后由农户根据其种植要求在田间池内抽取沼液进行施肥。</w:t>
      </w:r>
    </w:p>
    <w:p>
      <w:pPr>
        <w:pStyle w:val="2"/>
        <w:ind w:firstLine="480"/>
        <w:rPr>
          <w:rFonts w:hint="default"/>
        </w:rPr>
      </w:pPr>
      <w:r>
        <w:t>（2）施肥可行性</w:t>
      </w:r>
    </w:p>
    <w:p>
      <w:pPr>
        <w:pStyle w:val="2"/>
        <w:ind w:firstLineChars="0"/>
        <w:rPr>
          <w:rFonts w:hint="default"/>
          <w:color w:val="auto"/>
        </w:rPr>
      </w:pPr>
      <w:r>
        <w:rPr>
          <w:szCs w:val="21"/>
        </w:rPr>
        <w:t>根据对乐山乐高勤力生物质能源综合利用有限公司井研县2018年畜禽粪污资源化利用整县推进项目规模化大型沼气工程的调查了解，大沼工程日常检修期为1</w:t>
      </w:r>
      <w:r>
        <w:rPr>
          <w:rFonts w:hint="default"/>
          <w:szCs w:val="21"/>
        </w:rPr>
        <w:t>~3d</w:t>
      </w:r>
      <w:r>
        <w:rPr>
          <w:szCs w:val="21"/>
        </w:rPr>
        <w:t>，当</w:t>
      </w:r>
      <w:r>
        <w:rPr>
          <w:color w:val="auto"/>
          <w:szCs w:val="21"/>
        </w:rPr>
        <w:t>出现设备损坏等极端情况，本次评价将其维修及调试时间等按照3个月（一个季度）计，则本项目3个月内产生的粪污将不能及时运至乐山乐高勤力生物质能源综合利用有限公司，本项目3个月粪污产生量为2</w:t>
      </w:r>
      <w:r>
        <w:rPr>
          <w:rFonts w:hint="default"/>
          <w:color w:val="auto"/>
          <w:szCs w:val="21"/>
        </w:rPr>
        <w:t>729.7</w:t>
      </w:r>
      <w:r>
        <w:rPr>
          <w:color w:val="auto"/>
          <w:szCs w:val="21"/>
        </w:rPr>
        <w:t>m</w:t>
      </w:r>
      <w:r>
        <w:rPr>
          <w:color w:val="auto"/>
          <w:szCs w:val="21"/>
          <w:vertAlign w:val="superscript"/>
        </w:rPr>
        <w:t>3</w:t>
      </w:r>
      <w:r>
        <w:rPr>
          <w:color w:val="auto"/>
          <w:szCs w:val="21"/>
        </w:rPr>
        <w:t>。</w:t>
      </w:r>
      <w:r>
        <w:rPr>
          <w:rFonts w:hint="default"/>
          <w:color w:val="auto"/>
        </w:rPr>
        <w:t xml:space="preserve"> </w:t>
      </w:r>
    </w:p>
    <w:p>
      <w:pPr>
        <w:pStyle w:val="2"/>
        <w:ind w:firstLine="480"/>
        <w:rPr>
          <w:rFonts w:hint="default"/>
          <w:color w:val="auto"/>
        </w:rPr>
      </w:pPr>
      <w:r>
        <w:rPr>
          <w:color w:val="auto"/>
        </w:rPr>
        <w:t>本项目沼液消纳区域农作物种植结构主要以油菜、小麦、水稻、玉米、当季蔬菜为主。根据《四川省 2013-2014 年主要作物科学施肥指导意见》（表</w:t>
      </w:r>
      <w:r>
        <w:rPr>
          <w:rFonts w:hint="default"/>
          <w:color w:val="auto"/>
        </w:rPr>
        <w:t>10.2</w:t>
      </w:r>
      <w:r>
        <w:rPr>
          <w:color w:val="auto"/>
        </w:rPr>
        <w:t>-</w:t>
      </w:r>
      <w:r>
        <w:rPr>
          <w:rFonts w:hint="default"/>
          <w:color w:val="auto"/>
        </w:rPr>
        <w:t>2</w:t>
      </w:r>
      <w:r>
        <w:rPr>
          <w:color w:val="auto"/>
        </w:rPr>
        <w:t>），本项目沼液消纳单位所种植的农作物所需的最低氮肥量为 6kg/亩（萝卜），最高氮肥量为 20kg/亩（玉米），同时根据表7</w:t>
      </w:r>
      <w:r>
        <w:rPr>
          <w:rFonts w:hint="default"/>
          <w:color w:val="auto"/>
        </w:rPr>
        <w:t>.2</w:t>
      </w:r>
      <w:r>
        <w:rPr>
          <w:color w:val="auto"/>
        </w:rPr>
        <w:t>-</w:t>
      </w:r>
      <w:r>
        <w:rPr>
          <w:rFonts w:hint="default"/>
          <w:color w:val="auto"/>
        </w:rPr>
        <w:t>3</w:t>
      </w:r>
      <w:r>
        <w:rPr>
          <w:color w:val="auto"/>
        </w:rPr>
        <w:t>可知，本项目废水处理后氮的浓度为3</w:t>
      </w:r>
      <w:r>
        <w:rPr>
          <w:rFonts w:hint="default"/>
          <w:color w:val="auto"/>
        </w:rPr>
        <w:t>00m</w:t>
      </w:r>
      <w:r>
        <w:rPr>
          <w:color w:val="auto"/>
        </w:rPr>
        <w:t>g</w:t>
      </w:r>
      <w:r>
        <w:rPr>
          <w:rFonts w:hint="default"/>
          <w:color w:val="auto"/>
        </w:rPr>
        <w:t>/L</w:t>
      </w:r>
      <w:r>
        <w:rPr>
          <w:color w:val="auto"/>
        </w:rPr>
        <w:t>，本项目建成后3个月内，养殖废水及生活污水废水量为</w:t>
      </w:r>
      <w:r>
        <w:rPr>
          <w:rFonts w:hint="default"/>
          <w:color w:val="auto"/>
        </w:rPr>
        <w:t>2972.7</w:t>
      </w:r>
      <w:r>
        <w:rPr>
          <w:color w:val="auto"/>
        </w:rPr>
        <w:t>t，则本项目3个月内全氮排放量为</w:t>
      </w:r>
      <w:r>
        <w:rPr>
          <w:rFonts w:hint="default"/>
          <w:color w:val="auto"/>
        </w:rPr>
        <w:t>891.81k</w:t>
      </w:r>
      <w:r>
        <w:rPr>
          <w:color w:val="auto"/>
        </w:rPr>
        <w:t>g，按本项目沼液消纳单位所种植的农作物所需的最低氮肥量为6kg/亩计算，需要的土地量为</w:t>
      </w:r>
      <w:r>
        <w:rPr>
          <w:rFonts w:hint="default"/>
          <w:color w:val="auto"/>
        </w:rPr>
        <w:t>149</w:t>
      </w:r>
      <w:r>
        <w:rPr>
          <w:color w:val="auto"/>
        </w:rPr>
        <w:t>亩土地，要求一倍轮作面积，则需要消纳的土地应为</w:t>
      </w:r>
      <w:r>
        <w:rPr>
          <w:rFonts w:hint="default"/>
          <w:color w:val="auto"/>
        </w:rPr>
        <w:t>298</w:t>
      </w:r>
      <w:r>
        <w:rPr>
          <w:color w:val="auto"/>
        </w:rPr>
        <w:t>亩土地。</w:t>
      </w:r>
    </w:p>
    <w:p>
      <w:pPr>
        <w:pStyle w:val="2"/>
        <w:ind w:firstLine="480"/>
        <w:rPr>
          <w:rFonts w:hint="default"/>
          <w:color w:val="auto"/>
        </w:rPr>
      </w:pPr>
      <w:r>
        <w:rPr>
          <w:color w:val="auto"/>
        </w:rPr>
        <w:t>建设单位目前已对场地周边流转5</w:t>
      </w:r>
      <w:r>
        <w:rPr>
          <w:rFonts w:hint="default"/>
          <w:color w:val="auto"/>
        </w:rPr>
        <w:t>60</w:t>
      </w:r>
      <w:r>
        <w:rPr>
          <w:color w:val="auto"/>
        </w:rPr>
        <w:t>亩耕地（见流转协议），足以消纳本项目在“大沼工程”大修状态下的沼液。</w:t>
      </w:r>
      <w:r>
        <w:rPr>
          <w:rFonts w:hint="default"/>
          <w:color w:val="auto"/>
        </w:rPr>
        <w:t xml:space="preserve"> </w:t>
      </w:r>
    </w:p>
    <w:p>
      <w:pPr>
        <w:spacing w:line="240" w:lineRule="auto"/>
        <w:jc w:val="center"/>
        <w:rPr>
          <w:rFonts w:eastAsia="黑体"/>
        </w:rPr>
      </w:pPr>
      <w:r>
        <w:rPr>
          <w:rFonts w:eastAsia="黑体"/>
        </w:rPr>
        <w:t xml:space="preserve">表10.2-2 </w:t>
      </w:r>
      <w:r>
        <w:rPr>
          <w:rFonts w:hint="eastAsia" w:eastAsia="黑体"/>
        </w:rPr>
        <w:t>四川省2</w:t>
      </w:r>
      <w:r>
        <w:rPr>
          <w:rFonts w:eastAsia="黑体"/>
        </w:rPr>
        <w:t>013</w:t>
      </w:r>
      <w:r>
        <w:rPr>
          <w:rFonts w:hint="eastAsia" w:eastAsia="黑体"/>
        </w:rPr>
        <w:t>-</w:t>
      </w:r>
      <w:r>
        <w:rPr>
          <w:rFonts w:eastAsia="黑体"/>
        </w:rPr>
        <w:t>2014</w:t>
      </w:r>
      <w:r>
        <w:rPr>
          <w:rFonts w:hint="eastAsia" w:eastAsia="黑体"/>
        </w:rPr>
        <w:t>年主要作物科学施肥指导意见</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378"/>
        <w:gridCol w:w="2378"/>
        <w:gridCol w:w="2379"/>
        <w:gridCol w:w="237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tcPr>
          <w:p>
            <w:pPr>
              <w:pStyle w:val="2"/>
              <w:snapToGrid w:val="0"/>
              <w:spacing w:line="240" w:lineRule="auto"/>
              <w:ind w:firstLine="0" w:firstLineChars="0"/>
              <w:rPr>
                <w:rFonts w:hint="default"/>
                <w:kern w:val="0"/>
                <w:sz w:val="21"/>
                <w:szCs w:val="21"/>
              </w:rPr>
            </w:pPr>
            <w:r>
              <w:rPr>
                <w:kern w:val="0"/>
                <w:sz w:val="21"/>
                <w:szCs w:val="21"/>
              </w:rPr>
              <w:t xml:space="preserve"> </w:t>
            </w:r>
            <w:r>
              <w:rPr>
                <w:rFonts w:hint="default"/>
                <w:kern w:val="0"/>
                <w:sz w:val="21"/>
                <w:szCs w:val="21"/>
              </w:rPr>
              <w:t xml:space="preserve">          </w:t>
            </w:r>
            <w:r>
              <w:rPr>
                <w:kern w:val="0"/>
                <w:sz w:val="21"/>
                <w:szCs w:val="21"/>
              </w:rPr>
              <w:t>产量</w:t>
            </w:r>
          </w:p>
          <w:p>
            <w:pPr>
              <w:pStyle w:val="2"/>
              <w:snapToGrid w:val="0"/>
              <w:spacing w:line="240" w:lineRule="auto"/>
              <w:ind w:firstLine="0" w:firstLineChars="0"/>
              <w:rPr>
                <w:rFonts w:hint="default"/>
                <w:kern w:val="0"/>
                <w:sz w:val="21"/>
                <w:szCs w:val="21"/>
              </w:rPr>
            </w:pPr>
            <w:r>
              <w:rPr>
                <w:rFonts w:hint="default"/>
                <w:kern w:val="0"/>
                <w:sz w:val="21"/>
                <w:szCs w:val="21"/>
              </w:rPr>
              <w:t xml:space="preserve">     </w:t>
            </w:r>
            <w:r>
              <w:rPr>
                <w:kern w:val="0"/>
                <w:sz w:val="21"/>
                <w:szCs w:val="21"/>
              </w:rPr>
              <w:t>产量</w:t>
            </w:r>
          </w:p>
          <w:p>
            <w:pPr>
              <w:pStyle w:val="2"/>
              <w:snapToGrid w:val="0"/>
              <w:spacing w:line="240" w:lineRule="auto"/>
              <w:ind w:firstLine="0" w:firstLineChars="0"/>
              <w:rPr>
                <w:rFonts w:hint="default"/>
                <w:kern w:val="0"/>
                <w:sz w:val="21"/>
                <w:szCs w:val="21"/>
              </w:rPr>
            </w:pPr>
            <w:r>
              <w:rPr>
                <w:kern w:val="0"/>
                <w:sz w:val="21"/>
                <w:szCs w:val="21"/>
              </w:rPr>
              <w:t>作物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高产量</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一般产量</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低产量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小麦</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9-</w:t>
            </w:r>
            <w:r>
              <w:rPr>
                <w:rFonts w:hint="default"/>
                <w:kern w:val="0"/>
                <w:sz w:val="21"/>
                <w:szCs w:val="21"/>
              </w:rPr>
              <w:t>12kg</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8-</w:t>
            </w:r>
            <w:r>
              <w:rPr>
                <w:rFonts w:hint="default"/>
                <w:kern w:val="0"/>
                <w:sz w:val="21"/>
                <w:szCs w:val="21"/>
              </w:rPr>
              <w:t>11</w:t>
            </w:r>
            <w:r>
              <w:rPr>
                <w:kern w:val="0"/>
                <w:sz w:val="21"/>
                <w:szCs w:val="21"/>
              </w:rPr>
              <w:t>k</w:t>
            </w:r>
            <w:r>
              <w:rPr>
                <w:rFonts w:hint="default"/>
                <w:kern w:val="0"/>
                <w:sz w:val="21"/>
                <w:szCs w:val="21"/>
              </w:rPr>
              <w:t>g/</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玉米</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6</w:t>
            </w:r>
            <w:r>
              <w:rPr>
                <w:kern w:val="0"/>
                <w:sz w:val="21"/>
                <w:szCs w:val="21"/>
              </w:rPr>
              <w:t>-2</w:t>
            </w:r>
            <w:r>
              <w:rPr>
                <w:rFonts w:hint="default"/>
                <w:kern w:val="0"/>
                <w:sz w:val="21"/>
                <w:szCs w:val="21"/>
              </w:rPr>
              <w:t>0</w:t>
            </w:r>
            <w:r>
              <w:rPr>
                <w:kern w:val="0"/>
                <w:sz w:val="21"/>
                <w:szCs w:val="21"/>
              </w:rPr>
              <w:t>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4</w:t>
            </w:r>
            <w:r>
              <w:rPr>
                <w:kern w:val="0"/>
                <w:sz w:val="21"/>
                <w:szCs w:val="21"/>
              </w:rPr>
              <w:t>-</w:t>
            </w:r>
            <w:r>
              <w:rPr>
                <w:rFonts w:hint="default"/>
                <w:kern w:val="0"/>
                <w:sz w:val="21"/>
                <w:szCs w:val="21"/>
              </w:rPr>
              <w:t>16kg</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r>
              <w:rPr>
                <w:rFonts w:hint="default"/>
                <w:kern w:val="0"/>
                <w:sz w:val="21"/>
                <w:szCs w:val="21"/>
              </w:rPr>
              <w:t>14</w:t>
            </w:r>
            <w:r>
              <w:rPr>
                <w:kern w:val="0"/>
                <w:sz w:val="21"/>
                <w:szCs w:val="21"/>
              </w:rPr>
              <w:t>kg</w:t>
            </w:r>
            <w:r>
              <w:rPr>
                <w:rFonts w:hint="default"/>
                <w:kern w:val="0"/>
                <w:sz w:val="21"/>
                <w:szCs w:val="21"/>
              </w:rPr>
              <w:t>/</w:t>
            </w:r>
            <w:r>
              <w:rPr>
                <w:kern w:val="0"/>
                <w:sz w:val="21"/>
                <w:szCs w:val="21"/>
              </w:rPr>
              <w:t>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水稻</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1</w:t>
            </w:r>
            <w:r>
              <w:rPr>
                <w:kern w:val="0"/>
                <w:sz w:val="21"/>
                <w:szCs w:val="21"/>
              </w:rPr>
              <w:t>-</w:t>
            </w:r>
            <w:r>
              <w:rPr>
                <w:rFonts w:hint="default"/>
                <w:kern w:val="0"/>
                <w:sz w:val="21"/>
                <w:szCs w:val="21"/>
              </w:rPr>
              <w:t>13</w:t>
            </w:r>
            <w:r>
              <w:rPr>
                <w:kern w:val="0"/>
                <w:sz w:val="21"/>
                <w:szCs w:val="21"/>
              </w:rPr>
              <w:t>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9-</w:t>
            </w:r>
            <w:r>
              <w:rPr>
                <w:rFonts w:hint="default"/>
                <w:kern w:val="0"/>
                <w:sz w:val="21"/>
                <w:szCs w:val="21"/>
              </w:rPr>
              <w:t>11</w:t>
            </w:r>
            <w:r>
              <w:rPr>
                <w:kern w:val="0"/>
                <w:sz w:val="21"/>
                <w:szCs w:val="21"/>
              </w:rPr>
              <w:t>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7-</w:t>
            </w:r>
            <w:r>
              <w:rPr>
                <w:rFonts w:hint="default"/>
                <w:kern w:val="0"/>
                <w:sz w:val="21"/>
                <w:szCs w:val="21"/>
              </w:rPr>
              <w:t>9kg</w:t>
            </w:r>
            <w:r>
              <w:rPr>
                <w:kern w:val="0"/>
                <w:sz w:val="21"/>
                <w:szCs w:val="21"/>
              </w:rPr>
              <w:t>/亩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油菜</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2</w:t>
            </w:r>
            <w:r>
              <w:rPr>
                <w:kern w:val="0"/>
                <w:sz w:val="21"/>
                <w:szCs w:val="21"/>
              </w:rPr>
              <w:t>-</w:t>
            </w:r>
            <w:r>
              <w:rPr>
                <w:rFonts w:hint="default"/>
                <w:kern w:val="0"/>
                <w:sz w:val="21"/>
                <w:szCs w:val="21"/>
              </w:rPr>
              <w:t>14</w:t>
            </w:r>
            <w:r>
              <w:rPr>
                <w:kern w:val="0"/>
                <w:sz w:val="21"/>
                <w:szCs w:val="21"/>
              </w:rPr>
              <w:t>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r>
              <w:rPr>
                <w:rFonts w:hint="default"/>
                <w:kern w:val="0"/>
                <w:sz w:val="21"/>
                <w:szCs w:val="21"/>
              </w:rPr>
              <w:t>12kg</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9-</w:t>
            </w:r>
            <w:r>
              <w:rPr>
                <w:rFonts w:hint="default"/>
                <w:kern w:val="0"/>
                <w:sz w:val="21"/>
                <w:szCs w:val="21"/>
              </w:rPr>
              <w:t>10</w:t>
            </w:r>
            <w:r>
              <w:rPr>
                <w:kern w:val="0"/>
                <w:sz w:val="21"/>
                <w:szCs w:val="21"/>
              </w:rPr>
              <w:t>kg</w:t>
            </w:r>
            <w:r>
              <w:rPr>
                <w:rFonts w:hint="default"/>
                <w:kern w:val="0"/>
                <w:sz w:val="21"/>
                <w:szCs w:val="21"/>
              </w:rPr>
              <w:t>/</w:t>
            </w:r>
            <w:r>
              <w:rPr>
                <w:kern w:val="0"/>
                <w:sz w:val="21"/>
                <w:szCs w:val="21"/>
              </w:rPr>
              <w:t>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青菜（叶用芥菜）</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6</w:t>
            </w:r>
            <w:r>
              <w:rPr>
                <w:kern w:val="0"/>
                <w:sz w:val="21"/>
                <w:szCs w:val="21"/>
              </w:rPr>
              <w:t>-</w:t>
            </w:r>
            <w:r>
              <w:rPr>
                <w:rFonts w:hint="default"/>
                <w:kern w:val="0"/>
                <w:sz w:val="21"/>
                <w:szCs w:val="21"/>
              </w:rPr>
              <w:t>18</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4</w:t>
            </w:r>
            <w:r>
              <w:rPr>
                <w:kern w:val="0"/>
                <w:sz w:val="21"/>
                <w:szCs w:val="21"/>
              </w:rPr>
              <w:t>-</w:t>
            </w:r>
            <w:r>
              <w:rPr>
                <w:rFonts w:hint="default"/>
                <w:kern w:val="0"/>
                <w:sz w:val="21"/>
                <w:szCs w:val="21"/>
              </w:rPr>
              <w:t>16</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2</w:t>
            </w:r>
            <w:r>
              <w:rPr>
                <w:kern w:val="0"/>
                <w:sz w:val="21"/>
                <w:szCs w:val="21"/>
              </w:rPr>
              <w:t>-</w:t>
            </w:r>
            <w:r>
              <w:rPr>
                <w:rFonts w:hint="default"/>
                <w:kern w:val="0"/>
                <w:sz w:val="21"/>
                <w:szCs w:val="21"/>
              </w:rPr>
              <w:t>14</w:t>
            </w:r>
            <w:r>
              <w:rPr>
                <w:kern w:val="0"/>
                <w:sz w:val="21"/>
                <w:szCs w:val="21"/>
              </w:rPr>
              <w:t xml:space="preserve"> kg</w:t>
            </w:r>
            <w:r>
              <w:rPr>
                <w:rFonts w:hint="default"/>
                <w:kern w:val="0"/>
                <w:sz w:val="21"/>
                <w:szCs w:val="21"/>
              </w:rPr>
              <w:t>/</w:t>
            </w:r>
            <w:r>
              <w:rPr>
                <w:kern w:val="0"/>
                <w:sz w:val="21"/>
                <w:szCs w:val="21"/>
              </w:rPr>
              <w:t>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萝卜</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0</w:t>
            </w:r>
            <w:r>
              <w:rPr>
                <w:kern w:val="0"/>
                <w:sz w:val="21"/>
                <w:szCs w:val="21"/>
              </w:rPr>
              <w:t>-</w:t>
            </w:r>
            <w:r>
              <w:rPr>
                <w:rFonts w:hint="default"/>
                <w:kern w:val="0"/>
                <w:sz w:val="21"/>
                <w:szCs w:val="21"/>
              </w:rPr>
              <w:t>12</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8-</w:t>
            </w:r>
            <w:r>
              <w:rPr>
                <w:rFonts w:hint="default"/>
                <w:kern w:val="0"/>
                <w:sz w:val="21"/>
                <w:szCs w:val="21"/>
              </w:rPr>
              <w:t>10</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6-</w:t>
            </w:r>
            <w:r>
              <w:rPr>
                <w:rFonts w:hint="default"/>
                <w:kern w:val="0"/>
                <w:sz w:val="21"/>
                <w:szCs w:val="21"/>
              </w:rPr>
              <w:t>8</w:t>
            </w:r>
            <w:r>
              <w:rPr>
                <w:kern w:val="0"/>
                <w:sz w:val="21"/>
                <w:szCs w:val="21"/>
              </w:rPr>
              <w:t xml:space="preserve"> kg</w:t>
            </w:r>
            <w:r>
              <w:rPr>
                <w:rFonts w:hint="default"/>
                <w:kern w:val="0"/>
                <w:sz w:val="21"/>
                <w:szCs w:val="21"/>
              </w:rPr>
              <w:t>/</w:t>
            </w:r>
            <w:r>
              <w:rPr>
                <w:kern w:val="0"/>
                <w:sz w:val="21"/>
                <w:szCs w:val="21"/>
              </w:rPr>
              <w:t>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辣椒</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5</w:t>
            </w:r>
            <w:r>
              <w:rPr>
                <w:kern w:val="0"/>
                <w:sz w:val="21"/>
                <w:szCs w:val="21"/>
              </w:rPr>
              <w:t>-</w:t>
            </w:r>
            <w:r>
              <w:rPr>
                <w:rFonts w:hint="default"/>
                <w:kern w:val="0"/>
                <w:sz w:val="21"/>
                <w:szCs w:val="21"/>
              </w:rPr>
              <w:t>17</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3</w:t>
            </w:r>
            <w:r>
              <w:rPr>
                <w:kern w:val="0"/>
                <w:sz w:val="21"/>
                <w:szCs w:val="21"/>
              </w:rPr>
              <w:t>-</w:t>
            </w:r>
            <w:r>
              <w:rPr>
                <w:rFonts w:hint="default"/>
                <w:kern w:val="0"/>
                <w:sz w:val="21"/>
                <w:szCs w:val="21"/>
              </w:rPr>
              <w:t>15</w:t>
            </w:r>
            <w:r>
              <w:rPr>
                <w:kern w:val="0"/>
                <w:sz w:val="21"/>
                <w:szCs w:val="21"/>
              </w:rPr>
              <w:t xml:space="preserve"> kg</w:t>
            </w:r>
            <w:r>
              <w:rPr>
                <w:rFonts w:hint="default"/>
                <w:kern w:val="0"/>
                <w:sz w:val="21"/>
                <w:szCs w:val="21"/>
              </w:rPr>
              <w:t>/</w:t>
            </w:r>
            <w:r>
              <w:rPr>
                <w:kern w:val="0"/>
                <w:sz w:val="21"/>
                <w:szCs w:val="21"/>
              </w:rPr>
              <w:t>亩</w:t>
            </w:r>
          </w:p>
        </w:tc>
        <w:tc>
          <w:tcPr>
            <w:tcW w:w="1161" w:type="dxa"/>
            <w:vAlign w:val="center"/>
          </w:tcPr>
          <w:p>
            <w:pPr>
              <w:pStyle w:val="2"/>
              <w:snapToGrid w:val="0"/>
              <w:spacing w:line="240" w:lineRule="auto"/>
              <w:ind w:firstLine="0" w:firstLineChars="0"/>
              <w:jc w:val="center"/>
              <w:rPr>
                <w:rFonts w:hint="default"/>
                <w:kern w:val="0"/>
                <w:sz w:val="21"/>
                <w:szCs w:val="21"/>
              </w:rPr>
            </w:pPr>
            <w:r>
              <w:rPr>
                <w:kern w:val="0"/>
                <w:sz w:val="21"/>
                <w:szCs w:val="21"/>
              </w:rPr>
              <w:t>1</w:t>
            </w:r>
            <w:r>
              <w:rPr>
                <w:rFonts w:hint="default"/>
                <w:kern w:val="0"/>
                <w:sz w:val="21"/>
                <w:szCs w:val="21"/>
              </w:rPr>
              <w:t>1</w:t>
            </w:r>
            <w:r>
              <w:rPr>
                <w:kern w:val="0"/>
                <w:sz w:val="21"/>
                <w:szCs w:val="21"/>
              </w:rPr>
              <w:t>-</w:t>
            </w:r>
            <w:r>
              <w:rPr>
                <w:rFonts w:hint="default"/>
                <w:kern w:val="0"/>
                <w:sz w:val="21"/>
                <w:szCs w:val="21"/>
              </w:rPr>
              <w:t>13</w:t>
            </w:r>
            <w:r>
              <w:rPr>
                <w:kern w:val="0"/>
                <w:sz w:val="21"/>
                <w:szCs w:val="21"/>
              </w:rPr>
              <w:t xml:space="preserve"> kg</w:t>
            </w:r>
            <w:r>
              <w:rPr>
                <w:rFonts w:hint="default"/>
                <w:kern w:val="0"/>
                <w:sz w:val="21"/>
                <w:szCs w:val="21"/>
              </w:rPr>
              <w:t>/</w:t>
            </w:r>
            <w:r>
              <w:rPr>
                <w:kern w:val="0"/>
                <w:sz w:val="21"/>
                <w:szCs w:val="21"/>
              </w:rPr>
              <w:t>亩</w:t>
            </w:r>
          </w:p>
        </w:tc>
      </w:tr>
    </w:tbl>
    <w:p>
      <w:pPr>
        <w:pStyle w:val="2"/>
        <w:snapToGrid w:val="0"/>
        <w:ind w:firstLine="480"/>
        <w:rPr>
          <w:rFonts w:hint="default"/>
          <w:szCs w:val="21"/>
        </w:rPr>
      </w:pPr>
    </w:p>
    <w:p>
      <w:pPr>
        <w:spacing w:line="240" w:lineRule="auto"/>
        <w:jc w:val="center"/>
        <w:rPr>
          <w:rFonts w:eastAsia="黑体"/>
        </w:rPr>
      </w:pPr>
      <w:r>
        <w:rPr>
          <w:rFonts w:eastAsia="黑体"/>
        </w:rPr>
        <w:t>表10.2-</w:t>
      </w:r>
      <w:r>
        <w:rPr>
          <w:rFonts w:hint="eastAsia" w:eastAsia="黑体"/>
        </w:rPr>
        <w:t>3</w:t>
      </w:r>
      <w:r>
        <w:rPr>
          <w:rFonts w:eastAsia="黑体"/>
        </w:rPr>
        <w:t xml:space="preserve"> </w:t>
      </w:r>
      <w:r>
        <w:rPr>
          <w:rFonts w:hint="eastAsia" w:eastAsia="黑体"/>
        </w:rPr>
        <w:t>四川省2</w:t>
      </w:r>
      <w:r>
        <w:rPr>
          <w:rFonts w:eastAsia="黑体"/>
        </w:rPr>
        <w:t>013</w:t>
      </w:r>
      <w:r>
        <w:rPr>
          <w:rFonts w:hint="eastAsia" w:eastAsia="黑体"/>
        </w:rPr>
        <w:t>-</w:t>
      </w:r>
      <w:r>
        <w:rPr>
          <w:rFonts w:eastAsia="黑体"/>
        </w:rPr>
        <w:t>2014</w:t>
      </w:r>
      <w:r>
        <w:rPr>
          <w:rFonts w:hint="eastAsia" w:eastAsia="黑体"/>
        </w:rPr>
        <w:t>年主要作物科学施肥指导意见</w:t>
      </w:r>
    </w:p>
    <w:tbl>
      <w:tblPr>
        <w:tblStyle w:val="8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560"/>
        <w:gridCol w:w="2158"/>
        <w:gridCol w:w="2158"/>
        <w:gridCol w:w="207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25"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沼液消纳面积</w:t>
            </w:r>
          </w:p>
        </w:tc>
        <w:tc>
          <w:tcPr>
            <w:tcW w:w="1525"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春季种植植物</w:t>
            </w:r>
          </w:p>
        </w:tc>
        <w:tc>
          <w:tcPr>
            <w:tcW w:w="2109"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夏季种植植物</w:t>
            </w:r>
          </w:p>
        </w:tc>
        <w:tc>
          <w:tcPr>
            <w:tcW w:w="2109" w:type="dxa"/>
            <w:vAlign w:val="center"/>
          </w:tcPr>
          <w:p>
            <w:pPr>
              <w:pStyle w:val="2"/>
              <w:snapToGrid w:val="0"/>
              <w:spacing w:line="240" w:lineRule="auto"/>
              <w:ind w:firstLine="0" w:firstLineChars="0"/>
              <w:jc w:val="center"/>
              <w:rPr>
                <w:rFonts w:hint="default"/>
                <w:kern w:val="0"/>
                <w:sz w:val="21"/>
                <w:szCs w:val="21"/>
              </w:rPr>
            </w:pPr>
            <w:r>
              <w:rPr>
                <w:kern w:val="0"/>
                <w:sz w:val="21"/>
                <w:szCs w:val="21"/>
              </w:rPr>
              <w:t>秋季种植植物</w:t>
            </w:r>
          </w:p>
        </w:tc>
        <w:tc>
          <w:tcPr>
            <w:tcW w:w="203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冬季种植植物</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25" w:type="dxa"/>
            <w:vAlign w:val="center"/>
          </w:tcPr>
          <w:p>
            <w:pPr>
              <w:pStyle w:val="2"/>
              <w:snapToGrid w:val="0"/>
              <w:spacing w:line="240" w:lineRule="auto"/>
              <w:ind w:firstLine="0" w:firstLineChars="0"/>
              <w:jc w:val="center"/>
              <w:rPr>
                <w:rFonts w:hint="default"/>
                <w:kern w:val="0"/>
                <w:sz w:val="21"/>
                <w:szCs w:val="21"/>
              </w:rPr>
            </w:pPr>
            <w:r>
              <w:rPr>
                <w:kern w:val="0"/>
                <w:sz w:val="21"/>
                <w:szCs w:val="21"/>
              </w:rPr>
              <w:t>5</w:t>
            </w:r>
            <w:r>
              <w:rPr>
                <w:rFonts w:hint="default"/>
                <w:kern w:val="0"/>
                <w:sz w:val="21"/>
                <w:szCs w:val="21"/>
              </w:rPr>
              <w:t>60</w:t>
            </w:r>
            <w:r>
              <w:rPr>
                <w:kern w:val="0"/>
                <w:sz w:val="21"/>
                <w:szCs w:val="21"/>
              </w:rPr>
              <w:t>亩</w:t>
            </w:r>
          </w:p>
        </w:tc>
        <w:tc>
          <w:tcPr>
            <w:tcW w:w="1525"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油菜、小麦、玉米、当季蔬菜</w:t>
            </w:r>
          </w:p>
        </w:tc>
        <w:tc>
          <w:tcPr>
            <w:tcW w:w="2109"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油菜、小麦、玉米、当季蔬菜</w:t>
            </w:r>
          </w:p>
        </w:tc>
        <w:tc>
          <w:tcPr>
            <w:tcW w:w="2109" w:type="dxa"/>
            <w:vAlign w:val="center"/>
          </w:tcPr>
          <w:p>
            <w:pPr>
              <w:pStyle w:val="2"/>
              <w:snapToGrid w:val="0"/>
              <w:spacing w:line="240" w:lineRule="auto"/>
              <w:ind w:firstLine="0" w:firstLineChars="0"/>
              <w:jc w:val="center"/>
              <w:rPr>
                <w:rFonts w:hint="default"/>
                <w:kern w:val="0"/>
                <w:sz w:val="21"/>
                <w:szCs w:val="21"/>
              </w:rPr>
            </w:pPr>
            <w:r>
              <w:rPr>
                <w:kern w:val="0"/>
                <w:sz w:val="21"/>
                <w:szCs w:val="21"/>
              </w:rPr>
              <w:t>水稻、当季蔬菜</w:t>
            </w:r>
          </w:p>
        </w:tc>
        <w:tc>
          <w:tcPr>
            <w:tcW w:w="2030" w:type="dxa"/>
            <w:vAlign w:val="center"/>
          </w:tcPr>
          <w:p>
            <w:pPr>
              <w:pStyle w:val="2"/>
              <w:snapToGrid w:val="0"/>
              <w:spacing w:line="240" w:lineRule="auto"/>
              <w:ind w:firstLine="0" w:firstLineChars="0"/>
              <w:jc w:val="center"/>
              <w:rPr>
                <w:rFonts w:hint="default"/>
                <w:kern w:val="0"/>
                <w:sz w:val="21"/>
                <w:szCs w:val="21"/>
              </w:rPr>
            </w:pPr>
            <w:r>
              <w:rPr>
                <w:kern w:val="0"/>
                <w:sz w:val="21"/>
                <w:szCs w:val="21"/>
              </w:rPr>
              <w:t>小麦、当季蔬菜</w:t>
            </w:r>
          </w:p>
        </w:tc>
      </w:tr>
    </w:tbl>
    <w:p>
      <w:pPr>
        <w:pStyle w:val="2"/>
        <w:snapToGrid w:val="0"/>
        <w:ind w:firstLine="480"/>
        <w:rPr>
          <w:rFonts w:hint="default"/>
          <w:szCs w:val="21"/>
        </w:rPr>
      </w:pPr>
    </w:p>
    <w:p>
      <w:pPr>
        <w:pStyle w:val="2"/>
        <w:snapToGrid w:val="0"/>
        <w:ind w:firstLine="480"/>
        <w:rPr>
          <w:rFonts w:hint="default"/>
          <w:szCs w:val="21"/>
        </w:rPr>
      </w:pPr>
      <w:r>
        <w:rPr>
          <w:szCs w:val="21"/>
        </w:rPr>
        <w:t>（3）沼液综合利用措施可行性分析</w:t>
      </w:r>
    </w:p>
    <w:p>
      <w:pPr>
        <w:pStyle w:val="2"/>
        <w:snapToGrid w:val="0"/>
        <w:ind w:firstLine="480"/>
        <w:rPr>
          <w:rFonts w:hint="default"/>
          <w:szCs w:val="21"/>
        </w:rPr>
      </w:pPr>
      <w:r>
        <w:rPr>
          <w:rFonts w:hint="default"/>
          <w:szCs w:val="21"/>
        </w:rPr>
        <w:fldChar w:fldCharType="begin"/>
      </w:r>
      <w:r>
        <w:rPr>
          <w:rFonts w:hint="default"/>
          <w:szCs w:val="21"/>
        </w:rPr>
        <w:instrText xml:space="preserve"> </w:instrText>
      </w:r>
      <w:r>
        <w:rPr>
          <w:szCs w:val="21"/>
        </w:rPr>
        <w:instrText xml:space="preserve">= 1 \* GB3</w:instrText>
      </w:r>
      <w:r>
        <w:rPr>
          <w:rFonts w:hint="default"/>
          <w:szCs w:val="21"/>
        </w:rPr>
        <w:instrText xml:space="preserve"> </w:instrText>
      </w:r>
      <w:r>
        <w:rPr>
          <w:rFonts w:hint="default"/>
          <w:szCs w:val="21"/>
        </w:rPr>
        <w:fldChar w:fldCharType="separate"/>
      </w:r>
      <w:r>
        <w:rPr>
          <w:szCs w:val="21"/>
        </w:rPr>
        <w:t>①</w:t>
      </w:r>
      <w:r>
        <w:rPr>
          <w:rFonts w:hint="default"/>
          <w:szCs w:val="21"/>
        </w:rPr>
        <w:fldChar w:fldCharType="end"/>
      </w:r>
      <w:r>
        <w:rPr>
          <w:szCs w:val="21"/>
        </w:rPr>
        <w:t>沼液营养成分</w:t>
      </w:r>
    </w:p>
    <w:p>
      <w:pPr>
        <w:pStyle w:val="2"/>
        <w:snapToGrid w:val="0"/>
        <w:ind w:firstLine="480"/>
        <w:rPr>
          <w:rFonts w:hint="default"/>
          <w:szCs w:val="21"/>
        </w:rPr>
      </w:pPr>
      <w:r>
        <w:rPr>
          <w:szCs w:val="21"/>
        </w:rPr>
        <w:t xml:space="preserve">根据国内外大量实验研究及实际运用表明，沼液尤其是养殖废水处理后的沼 液，不仅含有作物所需求丰富的 N、P、K 等大量元素外，还含有硼、铜、铁、锰、钙、锌等中微量元素，以及大量的有机质、多种氨基酸和维生素等。施用沼液，不仅能显著改良土壤、增加作物产量、确保农作物生长所需要的良好微生态系统，还有利于增强其抗冻、抗旱、抗虫能力。因此沼液是一种非常理想的液态肥料。 </w:t>
      </w:r>
    </w:p>
    <w:p>
      <w:pPr>
        <w:pStyle w:val="2"/>
        <w:snapToGrid w:val="0"/>
        <w:ind w:firstLine="480"/>
        <w:rPr>
          <w:rFonts w:hint="default"/>
          <w:szCs w:val="21"/>
        </w:rPr>
      </w:pPr>
      <w:r>
        <w:rPr>
          <w:rFonts w:hint="default"/>
          <w:szCs w:val="21"/>
        </w:rPr>
        <w:fldChar w:fldCharType="begin"/>
      </w:r>
      <w:r>
        <w:rPr>
          <w:rFonts w:hint="default"/>
          <w:szCs w:val="21"/>
        </w:rPr>
        <w:instrText xml:space="preserve"> </w:instrText>
      </w:r>
      <w:r>
        <w:rPr>
          <w:szCs w:val="21"/>
        </w:rPr>
        <w:instrText xml:space="preserve">= 2 \* GB3</w:instrText>
      </w:r>
      <w:r>
        <w:rPr>
          <w:rFonts w:hint="default"/>
          <w:szCs w:val="21"/>
        </w:rPr>
        <w:instrText xml:space="preserve"> </w:instrText>
      </w:r>
      <w:r>
        <w:rPr>
          <w:rFonts w:hint="default"/>
          <w:szCs w:val="21"/>
        </w:rPr>
        <w:fldChar w:fldCharType="separate"/>
      </w:r>
      <w:r>
        <w:rPr>
          <w:szCs w:val="21"/>
        </w:rPr>
        <w:t>②</w:t>
      </w:r>
      <w:r>
        <w:rPr>
          <w:rFonts w:hint="default"/>
          <w:szCs w:val="21"/>
        </w:rPr>
        <w:fldChar w:fldCharType="end"/>
      </w:r>
      <w:r>
        <w:rPr>
          <w:szCs w:val="21"/>
        </w:rPr>
        <w:t>消纳区土壤类型及作物种植情况</w:t>
      </w:r>
    </w:p>
    <w:p>
      <w:pPr>
        <w:pStyle w:val="2"/>
        <w:snapToGrid w:val="0"/>
        <w:ind w:firstLine="480"/>
        <w:rPr>
          <w:rFonts w:hint="default"/>
          <w:szCs w:val="21"/>
        </w:rPr>
      </w:pPr>
      <w:r>
        <w:rPr>
          <w:szCs w:val="21"/>
        </w:rPr>
        <w:t>目前本项目沼液消纳区农作物以油菜、小麦、水稻、玉米、当季蔬菜为主，主要使用化肥增加土壤肥力，化肥容易引起土壤酸度变化。过磷酸钙、硫酸铵、氯化铵等都属生物酸性肥料，即植物吸收肥料中的养分离子后，土壤中氢离子增多，易造成土壤酸化，长期大量施用化肥，尤其在连续施用单一品种化肥时，在短期内即可出现这种情况。土壤酸化后会导致有毒物质的释放，或使有毒物质毒性增强，对生物体产生不良影响，土壤酸化还能溶解土壤中的一些营养物质，在降雨和灌溉的作用下，向下渗透补给地下水，使得营养成分流失，造成土壤贫瘠化，影响作物的生长。有害物质对土壤产生污染，制造化肥的矿物原料及化工原料中，含有多种重金属放射性物质和其他有害成分，它们随施肥进入农田土壤造成污染。</w:t>
      </w:r>
    </w:p>
    <w:p>
      <w:pPr>
        <w:pStyle w:val="2"/>
        <w:snapToGrid w:val="0"/>
        <w:ind w:firstLine="480"/>
        <w:rPr>
          <w:rFonts w:hint="default"/>
          <w:szCs w:val="21"/>
        </w:rPr>
      </w:pPr>
      <w:r>
        <w:rPr>
          <w:szCs w:val="21"/>
        </w:rPr>
        <w:t>随着我国人民生活水平的提高和消费理念的转变，以及环境污染和资源浪费问题的日益严峻，有利于人们健康的无污染、安全、优质营养的绿色食品已成为时尚，越来越受到人们的青睐。</w:t>
      </w:r>
    </w:p>
    <w:p>
      <w:pPr>
        <w:pStyle w:val="2"/>
        <w:snapToGrid w:val="0"/>
        <w:ind w:firstLine="480"/>
        <w:rPr>
          <w:rFonts w:hint="default"/>
          <w:szCs w:val="21"/>
        </w:rPr>
      </w:pPr>
      <w:r>
        <w:rPr>
          <w:szCs w:val="21"/>
        </w:rPr>
        <w:t>本项目建成运行后，沼液消纳区的农作物将使用沼液施肥，这些农作物需要大量的养分，沼液能提供充足的养分。沼液中的有机质、腐殖质可以明显的改善土壤理化性质，提髙肥力，提高地力，可以使农业用地变成有持续发展的良性循环的金土地。沼液含有大量丰富的营养成分，是农作物的无公害长效肥料，施用后能增产增收改善土壤结构，克服了我国化肥的施用量急剧增加，导致农田土壤产生质变，有机质含量降低，导致土壤板结，肥力下降等现象。</w:t>
      </w:r>
    </w:p>
    <w:p>
      <w:pPr>
        <w:pStyle w:val="2"/>
        <w:snapToGrid w:val="0"/>
        <w:ind w:firstLine="480"/>
        <w:rPr>
          <w:rFonts w:hint="default"/>
          <w:szCs w:val="21"/>
        </w:rPr>
      </w:pPr>
      <w:r>
        <w:rPr>
          <w:szCs w:val="21"/>
        </w:rPr>
        <w:t>根据当地的种植规律及施肥规律，油菜、小麦、水稻、玉米基本为施基肥一次，追肥一次，当季蔬菜可能会施多次肥。结合当地群众施肥规律，本评价提出沼液施肥方式为每年四次基肥，四次追肥（每季一次），沼液储存于本项目的集污池、沼气池、沼液暂存池、田间暂存池（总体积共2</w:t>
      </w:r>
      <w:r>
        <w:rPr>
          <w:rFonts w:hint="default"/>
          <w:szCs w:val="21"/>
        </w:rPr>
        <w:t>900m</w:t>
      </w:r>
      <w:r>
        <w:rPr>
          <w:rFonts w:hint="default"/>
          <w:szCs w:val="21"/>
          <w:vertAlign w:val="superscript"/>
        </w:rPr>
        <w:t>3</w:t>
      </w:r>
      <w:r>
        <w:rPr>
          <w:szCs w:val="21"/>
        </w:rPr>
        <w:t>，至多可储存项目3个月的废水量），周围农户根据需求自行在项目建设的田间池内取用沼液进行施肥。</w:t>
      </w:r>
    </w:p>
    <w:p>
      <w:pPr>
        <w:pStyle w:val="2"/>
        <w:snapToGrid w:val="0"/>
        <w:ind w:firstLine="480"/>
        <w:rPr>
          <w:rFonts w:hint="default"/>
          <w:szCs w:val="21"/>
        </w:rPr>
      </w:pPr>
      <w:r>
        <w:rPr>
          <w:szCs w:val="21"/>
        </w:rPr>
        <w:t xml:space="preserve">环评要求在乐山乐高勤力生物质能源综合利用有限公司处于设备大修期间，对沼液施肥区域定期进行观测，且在施肥区域均设置地下水观测井，观察沼液长期施肥对地下水的累积性影响。 </w:t>
      </w:r>
    </w:p>
    <w:p>
      <w:pPr>
        <w:pStyle w:val="2"/>
        <w:snapToGrid w:val="0"/>
        <w:ind w:firstLine="480"/>
        <w:rPr>
          <w:rFonts w:hint="default"/>
          <w:szCs w:val="21"/>
        </w:rPr>
      </w:pPr>
      <w:r>
        <w:rPr>
          <w:szCs w:val="21"/>
        </w:rPr>
        <w:t>综上，项目废水治理及综合利用措施可行</w:t>
      </w:r>
    </w:p>
    <w:p>
      <w:pPr>
        <w:pStyle w:val="970"/>
        <w:snapToGrid w:val="0"/>
        <w:ind w:firstLine="0"/>
        <w:outlineLvl w:val="3"/>
        <w:rPr>
          <w:rFonts w:eastAsia="黑体"/>
          <w:bCs/>
          <w:szCs w:val="24"/>
        </w:rPr>
      </w:pPr>
      <w:r>
        <w:rPr>
          <w:rFonts w:eastAsia="黑体"/>
          <w:bCs/>
          <w:szCs w:val="24"/>
        </w:rPr>
        <w:t>10.2.3.5</w:t>
      </w:r>
      <w:r>
        <w:rPr>
          <w:rFonts w:hint="eastAsia" w:eastAsia="黑体"/>
          <w:bCs/>
          <w:szCs w:val="24"/>
        </w:rPr>
        <w:t>粪污运输过程的管理要求</w:t>
      </w:r>
    </w:p>
    <w:p>
      <w:pPr>
        <w:pStyle w:val="2"/>
        <w:snapToGrid w:val="0"/>
        <w:ind w:firstLine="480"/>
        <w:rPr>
          <w:rFonts w:hint="default"/>
          <w:szCs w:val="21"/>
        </w:rPr>
      </w:pPr>
      <w:r>
        <w:rPr>
          <w:szCs w:val="21"/>
        </w:rPr>
        <w:t>本项目的沼液由乐山乐高勤力生物质能源综合利用有限公司专用车辆进行运输，运输过程中的管理要求：</w:t>
      </w:r>
    </w:p>
    <w:p>
      <w:pPr>
        <w:pStyle w:val="2"/>
        <w:snapToGrid w:val="0"/>
        <w:ind w:firstLine="480"/>
        <w:rPr>
          <w:rFonts w:hint="default"/>
          <w:szCs w:val="21"/>
        </w:rPr>
      </w:pPr>
      <w:r>
        <w:rPr>
          <w:szCs w:val="21"/>
        </w:rPr>
        <w:t>（1）粪污运输必须使用封闭的罐车运输，用泵将沼液打入罐车后，将粪污封闭好后进行运输，运输过程中基本无恶臭产生。</w:t>
      </w:r>
    </w:p>
    <w:p>
      <w:pPr>
        <w:pStyle w:val="2"/>
        <w:snapToGrid w:val="0"/>
        <w:ind w:firstLine="480"/>
        <w:rPr>
          <w:rFonts w:hint="default"/>
          <w:szCs w:val="21"/>
        </w:rPr>
      </w:pPr>
      <w:r>
        <w:rPr>
          <w:szCs w:val="21"/>
        </w:rPr>
        <w:t>（2）粪污运输过程应加强管理，建设单位、乐山乐高勤力生物质能源综合利用有限公司均应建立粪污输送管理台帐（由农业和林业局定期检查监督），保证本项目产生的粪污均合理有效地充分综合利用，严禁乱排乱弃现场的产生。</w:t>
      </w:r>
    </w:p>
    <w:p>
      <w:pPr>
        <w:pStyle w:val="2"/>
        <w:snapToGrid w:val="0"/>
        <w:ind w:firstLine="480"/>
        <w:rPr>
          <w:rFonts w:hint="default"/>
          <w:szCs w:val="21"/>
        </w:rPr>
      </w:pPr>
      <w:r>
        <w:rPr>
          <w:szCs w:val="21"/>
        </w:rPr>
        <w:t>（3）合理安排粪污运输时间，减少对沿路敏感点的影响。</w:t>
      </w:r>
    </w:p>
    <w:p>
      <w:pPr>
        <w:pStyle w:val="2"/>
        <w:snapToGrid w:val="0"/>
        <w:ind w:firstLine="480"/>
        <w:rPr>
          <w:rFonts w:hint="default"/>
          <w:szCs w:val="21"/>
        </w:rPr>
      </w:pPr>
      <w:r>
        <w:rPr>
          <w:szCs w:val="21"/>
        </w:rPr>
        <w:t>（4）本项目废水严禁向地表水排放，故环保监管部门及建设单位应定期对项目北侧的东河进行监测，避免此情况发生。</w:t>
      </w:r>
    </w:p>
    <w:p>
      <w:pPr>
        <w:pStyle w:val="2"/>
        <w:snapToGrid w:val="0"/>
        <w:ind w:firstLineChars="0"/>
        <w:rPr>
          <w:rFonts w:hint="default"/>
        </w:rPr>
      </w:pPr>
      <w:r>
        <w:rPr>
          <w:szCs w:val="21"/>
        </w:rPr>
        <w:t>综上，项目废水治理及综合利用措施可行。</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86" w:name="_Toc7363224"/>
      <w:bookmarkStart w:id="787" w:name="_Toc29110617"/>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 xml:space="preserve">.3 </w:t>
      </w:r>
      <w:r>
        <w:rPr>
          <w:rFonts w:ascii="Times New Roman" w:hAnsi="Times New Roman" w:eastAsia="黑体" w:cs="Times New Roman"/>
          <w:b w:val="0"/>
          <w:bCs/>
          <w:spacing w:val="4"/>
          <w:kern w:val="2"/>
          <w:sz w:val="32"/>
          <w:szCs w:val="32"/>
        </w:rPr>
        <w:t>废气治理措施分析</w:t>
      </w:r>
      <w:bookmarkEnd w:id="786"/>
      <w:bookmarkEnd w:id="787"/>
    </w:p>
    <w:p>
      <w:pPr>
        <w:pStyle w:val="320"/>
        <w:snapToGrid w:val="0"/>
        <w:spacing w:line="360" w:lineRule="auto"/>
        <w:ind w:firstLine="480"/>
      </w:pPr>
      <w:r>
        <w:rPr>
          <w:rFonts w:hint="eastAsia"/>
        </w:rPr>
        <w:t>项目废气主要来自于养殖过程中产生的恶臭，暂存池产生的恶臭、生活油烟等。</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.3.1</w:t>
      </w:r>
      <w:r>
        <w:rPr>
          <w:rFonts w:eastAsia="黑体"/>
          <w:bCs/>
          <w:sz w:val="28"/>
          <w:szCs w:val="28"/>
        </w:rPr>
        <w:t>恶臭治理措施</w:t>
      </w:r>
    </w:p>
    <w:p>
      <w:pPr>
        <w:pStyle w:val="320"/>
        <w:snapToGrid w:val="0"/>
        <w:spacing w:before="0" w:line="360" w:lineRule="auto"/>
        <w:ind w:firstLine="480"/>
        <w:rPr>
          <w:rFonts w:ascii="Times New Roman" w:hAnsi="Times New Roman"/>
        </w:rPr>
      </w:pPr>
      <w:r>
        <w:rPr>
          <w:rFonts w:ascii="Times New Roman" w:hAnsi="Times New Roman"/>
        </w:rPr>
        <w:t>本项目臭气污染源主要有猪舍、</w:t>
      </w:r>
      <w:r>
        <w:rPr>
          <w:rFonts w:hint="eastAsia" w:ascii="Times New Roman" w:hAnsi="Times New Roman"/>
        </w:rPr>
        <w:t>粪污暂存池</w:t>
      </w:r>
      <w:r>
        <w:rPr>
          <w:rFonts w:ascii="Times New Roman" w:hAnsi="Times New Roman"/>
        </w:rPr>
        <w:t>。</w:t>
      </w:r>
    </w:p>
    <w:p>
      <w:pPr>
        <w:pStyle w:val="320"/>
        <w:snapToGrid w:val="0"/>
        <w:spacing w:before="0" w:line="360" w:lineRule="auto"/>
        <w:ind w:firstLine="480"/>
        <w:rPr>
          <w:rFonts w:ascii="Times New Roman" w:hAnsi="Times New Roman"/>
        </w:rPr>
      </w:pPr>
      <w:r>
        <w:rPr>
          <w:rFonts w:ascii="Times New Roman" w:hAnsi="Times New Roman"/>
        </w:rPr>
        <w:t>猪舍恶臭气体属于无组织面源排放，主要由氨（NH</w:t>
      </w:r>
      <w:r>
        <w:rPr>
          <w:rFonts w:ascii="Times New Roman" w:hAnsi="Times New Roman"/>
          <w:vertAlign w:val="subscript"/>
        </w:rPr>
        <w:t>3</w:t>
      </w:r>
      <w:r>
        <w:rPr>
          <w:rFonts w:ascii="Times New Roman" w:hAnsi="Times New Roman"/>
        </w:rPr>
        <w:t>）和硫化氢（H</w:t>
      </w:r>
      <w:r>
        <w:rPr>
          <w:rFonts w:ascii="Times New Roman" w:hAnsi="Times New Roman"/>
          <w:vertAlign w:val="subscript"/>
        </w:rPr>
        <w:t>2</w:t>
      </w:r>
      <w:r>
        <w:rPr>
          <w:rFonts w:ascii="Times New Roman" w:hAnsi="Times New Roman"/>
        </w:rPr>
        <w:t>S）等物质组成。单靠某一种除臭技术很难取得良好治理效果，只有采取综合除臭措施，必须从源头断绝臭气的产生、防止恶臭扩散等多种方法并举，才能有效防治和减轻其危害，保证人畜健康。恶臭防治措施如下：</w:t>
      </w:r>
    </w:p>
    <w:p>
      <w:pPr>
        <w:pStyle w:val="320"/>
        <w:snapToGrid w:val="0"/>
        <w:spacing w:before="0" w:line="360" w:lineRule="auto"/>
        <w:ind w:firstLine="480"/>
        <w:rPr>
          <w:rFonts w:ascii="Times New Roman" w:hAnsi="Times New Roman"/>
        </w:rPr>
      </w:pPr>
      <w:r>
        <w:rPr>
          <w:rFonts w:ascii="Times New Roman" w:hAnsi="Times New Roman"/>
        </w:rPr>
        <w:t xml:space="preserve"> （1）科学设计日粮，促进猪只消化能力猪采食以后，食物在消化道内消化过程中（尤其是后段肠道），因微生物腐败分解而产生臭气；同时没有消化吸收部分在体外被微生物降解，因此合理设计猪食物的种类和结构，提高日粮的消化率、减少干物质（特别是蛋白质）排出量，既减少了肠道臭气的产生，又可减少粪便排出后的臭气的产生。</w:t>
      </w:r>
    </w:p>
    <w:p>
      <w:pPr>
        <w:pStyle w:val="320"/>
        <w:snapToGrid w:val="0"/>
        <w:spacing w:before="0" w:line="360" w:lineRule="auto"/>
        <w:ind w:firstLine="480"/>
      </w:pPr>
      <w:r>
        <w:rPr>
          <w:rFonts w:ascii="Times New Roman" w:hAnsi="Times New Roman"/>
        </w:rPr>
        <w:t>本项目猪舍以饲料、五谷杂粮为主食，不添加其他化学猪饲料，食物中纤维素较高，有利于育肥猪的营养吸收。且本项目拟在饲料中添加 EM 制剂等措施； 畜牧业 2001 年第 2 期发布的《规模化养猪场中的恶臭及其控制措施》（黄雪泉、 黄锦华）可知，EM 制剂是一种新型的复合微生物制剂，其可增加猪消化道内有益微生物的数量，调节体内的微生物生态平衡</w:t>
      </w:r>
      <w:r>
        <w:rPr>
          <w:rFonts w:ascii="Times New Roman" w:hAnsi="Times New Roman" w:eastAsia="微软雅黑"/>
        </w:rPr>
        <w:t>､</w:t>
      </w:r>
      <w:r>
        <w:rPr>
          <w:rFonts w:ascii="Times New Roman" w:hAnsi="Times New Roman"/>
        </w:rPr>
        <w:t>防治猪只下痢，促进生长发育，提高猪的饲料转化率，减少肠道内氨</w:t>
      </w:r>
      <w:r>
        <w:rPr>
          <w:rFonts w:ascii="Times New Roman" w:hAnsi="Times New Roman" w:eastAsia="微软雅黑"/>
        </w:rPr>
        <w:t>､</w:t>
      </w:r>
      <w:r>
        <w:rPr>
          <w:rFonts w:ascii="Times New Roman" w:hAnsi="Times New Roman"/>
        </w:rPr>
        <w:t>吲哚等恶臭物质的产生</w:t>
      </w:r>
      <w:r>
        <w:rPr>
          <w:rFonts w:ascii="Times New Roman" w:hAnsi="Times New Roman" w:eastAsia="微软雅黑"/>
        </w:rPr>
        <w:t>｡</w:t>
      </w:r>
      <w:r>
        <w:rPr>
          <w:rFonts w:ascii="Times New Roman" w:hAnsi="Times New Roman"/>
        </w:rPr>
        <w:t>据北京市环境保护 监测中心对 EM 除臭效果进行测试的结果表明使用 EM 一个月后，恶臭浓度下降 了 97.7%。同时为了验证本项目的饲料结构（五谷杂粮+EM 制剂）可以减少恶臭的产生，本项目对成都市百欧森农牧发展有限公司的恶臭源进行监测，通过监 测可知，成都市百欧森农牧发展有限公司经过改变饲料结构后，NH3产生量减少 了 74%，H</w:t>
      </w:r>
      <w:r>
        <w:rPr>
          <w:rFonts w:ascii="Times New Roman" w:hAnsi="Times New Roman"/>
          <w:vertAlign w:val="subscript"/>
        </w:rPr>
        <w:t>2</w:t>
      </w:r>
      <w:r>
        <w:rPr>
          <w:rFonts w:ascii="Times New Roman" w:hAnsi="Times New Roman"/>
        </w:rPr>
        <w:t>S 产生量减少了 98%。 EM 是日本硫球大学比嘉照夫教授发明的微生物技术，取自“Effective Microorganisms”（有效微生物）的缩写。它是将包括好氧菌及厌氧菌在内的多种有益微生物通过独特的发酵技术有机地整合在一起，其中各微生物在增殖过程中 互生共长，形成一个功能强大的整体，发挥“有益分解”、“抗氧化”等多方面的作 用。EM 制剂经中国农业大学、中科院南京土壤所、江苏省农业科学院等多家单 位在全国 20 多个省市和地区试验，证明其性质稳定、功能广泛、在种植、养殖、</w:t>
      </w:r>
      <w:r>
        <w:rPr>
          <w:rFonts w:hint="eastAsia"/>
        </w:rPr>
        <w:t>环境净化等方面都有着显著的</w:t>
      </w:r>
      <w:r>
        <w:rPr>
          <w:rFonts w:ascii="Times New Roman" w:hAnsi="Times New Roman"/>
        </w:rPr>
        <w:t>作用。在养殖方面，中国农业大学经过对上百万只 鸡、上万头猪与牛以及其它动物进行 EM 产品的养殖实验，充分证明 EM 产品在促进生长、防病抗病、提高成活率、除臭杀菌去病毒、改善品质、生产无公害产品等方面有明显的作用。 EM 是由光合细菌、乳酸菌、和放线菌群等 10 个种类 80 多种微生物结成的 有效微生物活菌群。EM 进入动物消化道内仍可大量生长繁殖，在动物肠道内形</w:t>
      </w:r>
      <w:r>
        <w:rPr>
          <w:rFonts w:hint="eastAsia"/>
        </w:rPr>
        <w:t>成一个动物营养生产厂，不但可以为宿主动物生长提供大量的营养物质，还保持着动物肠道内的生态平衡，提高动物的免疫力，减少氨气的产生和排量，消除动物粪便的臭味。</w:t>
      </w:r>
    </w:p>
    <w:p>
      <w:pPr>
        <w:pStyle w:val="320"/>
        <w:snapToGrid w:val="0"/>
        <w:spacing w:before="0" w:line="360" w:lineRule="auto"/>
        <w:ind w:firstLine="480"/>
        <w:rPr>
          <w:rFonts w:ascii="Times New Roman" w:hAnsi="Times New Roman"/>
        </w:rPr>
      </w:pPr>
      <w:r>
        <w:rPr>
          <w:rFonts w:ascii="Times New Roman" w:hAnsi="Times New Roman"/>
        </w:rPr>
        <w:t xml:space="preserve"> （2）及时清理</w:t>
      </w:r>
      <w:r>
        <w:rPr>
          <w:rFonts w:hint="eastAsia" w:ascii="Times New Roman" w:hAnsi="Times New Roman"/>
        </w:rPr>
        <w:t>粪污</w:t>
      </w:r>
    </w:p>
    <w:p>
      <w:pPr>
        <w:pStyle w:val="320"/>
        <w:snapToGrid w:val="0"/>
        <w:spacing w:before="0" w:line="360" w:lineRule="auto"/>
        <w:ind w:firstLine="480"/>
        <w:rPr>
          <w:rFonts w:ascii="宋体" w:hAnsi="宋体" w:cs="宋体"/>
        </w:rPr>
      </w:pPr>
      <w:r>
        <w:rPr>
          <w:rFonts w:hint="eastAsia" w:ascii="宋体" w:hAnsi="宋体" w:cs="宋体"/>
        </w:rPr>
        <w:t>项目妊娠舍内的粪污每日抽至集污池内，不在妊娠舍地板底下的收集池内长时间存放。</w:t>
      </w:r>
    </w:p>
    <w:p>
      <w:pPr>
        <w:pStyle w:val="320"/>
        <w:snapToGrid w:val="0"/>
        <w:spacing w:before="0" w:line="360" w:lineRule="auto"/>
        <w:ind w:firstLine="480"/>
        <w:rPr>
          <w:rFonts w:ascii="宋体" w:hAnsi="宋体" w:cs="宋体"/>
        </w:rPr>
      </w:pPr>
      <w:r>
        <w:rPr>
          <w:rFonts w:hint="eastAsia" w:ascii="宋体" w:hAnsi="宋体" w:cs="宋体"/>
        </w:rPr>
        <w:t>（3）暂存设施进行加盖封闭</w:t>
      </w:r>
    </w:p>
    <w:p>
      <w:pPr>
        <w:pStyle w:val="320"/>
        <w:snapToGrid w:val="0"/>
        <w:spacing w:before="0" w:line="360" w:lineRule="auto"/>
        <w:ind w:firstLine="480"/>
        <w:rPr>
          <w:rFonts w:ascii="宋体" w:hAnsi="宋体" w:cs="宋体"/>
        </w:rPr>
      </w:pPr>
      <w:r>
        <w:rPr>
          <w:rFonts w:hint="eastAsia" w:ascii="宋体" w:hAnsi="宋体" w:cs="宋体"/>
        </w:rPr>
        <w:t>拟建的集污池、备用的沼气池、暂存池、田间池均全部进行加盖封闭，其中集污池采取日产日清。</w:t>
      </w:r>
    </w:p>
    <w:p>
      <w:pPr>
        <w:pStyle w:val="320"/>
        <w:snapToGrid w:val="0"/>
        <w:spacing w:before="0" w:line="360" w:lineRule="auto"/>
        <w:ind w:firstLine="480"/>
        <w:rPr>
          <w:rFonts w:ascii="Times New Roman" w:hAnsi="Times New Roman"/>
        </w:rPr>
      </w:pPr>
      <w:r>
        <w:rPr>
          <w:rFonts w:ascii="Times New Roman" w:hAnsi="Times New Roman"/>
        </w:rPr>
        <w:t>（4）强化猪舍消毒措施</w:t>
      </w:r>
    </w:p>
    <w:p>
      <w:pPr>
        <w:pStyle w:val="320"/>
        <w:snapToGrid w:val="0"/>
        <w:spacing w:before="0" w:line="360" w:lineRule="auto"/>
        <w:ind w:firstLine="480"/>
        <w:rPr>
          <w:rFonts w:ascii="Times New Roman" w:hAnsi="Times New Roman"/>
        </w:rPr>
      </w:pPr>
      <w:r>
        <w:rPr>
          <w:rFonts w:ascii="Times New Roman" w:hAnsi="Times New Roman"/>
        </w:rPr>
        <w:t xml:space="preserve">消毒间均设置紫外线灯照射消毒。主入口车行道设置消毒池，每周更换两次消毒液；猪舍每周使用84消毒液喷雾带猪消毒1次；出栏后猪舍彻底清扫并冲洗 后，使用过氧乙酸、戊二醛苯扎溴铵溶液等消毒液喷洒消毒，间隔1天后重复进行一次；春秋两季各进行一次大消毒，用消毒溶液喷洒地面。 </w:t>
      </w:r>
    </w:p>
    <w:p>
      <w:pPr>
        <w:pStyle w:val="320"/>
        <w:snapToGrid w:val="0"/>
        <w:spacing w:before="0" w:line="360" w:lineRule="auto"/>
        <w:ind w:firstLine="480"/>
        <w:rPr>
          <w:rFonts w:ascii="Times New Roman" w:hAnsi="Times New Roman"/>
        </w:rPr>
      </w:pPr>
      <w:r>
        <w:rPr>
          <w:rFonts w:ascii="Times New Roman" w:hAnsi="Times New Roman"/>
        </w:rPr>
        <w:t>（5）合理绿化</w:t>
      </w:r>
    </w:p>
    <w:p>
      <w:pPr>
        <w:pStyle w:val="320"/>
        <w:snapToGrid w:val="0"/>
        <w:spacing w:before="0" w:line="360" w:lineRule="auto"/>
        <w:ind w:firstLine="480"/>
        <w:rPr>
          <w:rFonts w:ascii="Times New Roman" w:hAnsi="Times New Roman"/>
        </w:rPr>
      </w:pPr>
      <w:r>
        <w:rPr>
          <w:rFonts w:ascii="Times New Roman" w:hAnsi="Times New Roman"/>
        </w:rPr>
        <w:t>在项目场区内部及周围进行绿化和种植防护林，特别是加强场区周边面绿化高度和密度，强化绿化林对恶臭的阻隔效果，阻挡猪舍臭气向北面扩散；场区绿化以完全消灭裸露地面为原则，广种花草树木。场区道路两边种植乔灌木、夹竹桃、松柏等，场界边缘地带种植杨、槐等高大树种形成多层防护林带，以降低恶臭污染的影响程度。</w:t>
      </w:r>
    </w:p>
    <w:p>
      <w:pPr>
        <w:pStyle w:val="320"/>
        <w:snapToGrid w:val="0"/>
        <w:spacing w:before="0" w:line="360" w:lineRule="auto"/>
        <w:ind w:firstLine="480"/>
        <w:rPr>
          <w:rFonts w:ascii="Times New Roman" w:hAnsi="Times New Roman"/>
        </w:rPr>
      </w:pPr>
      <w:r>
        <w:rPr>
          <w:rFonts w:ascii="Times New Roman" w:hAnsi="Times New Roman"/>
        </w:rPr>
        <w:t>种植绿色植物可通过光合作用吸收部分二氧化碳，并吸收部分空气中的有毒有害气体，达到净化空气的目的。同时对于规模化猪场所产生的粪尿及其它废弃 物在发酵过程中产生的H</w:t>
      </w:r>
      <w:r>
        <w:rPr>
          <w:rFonts w:ascii="Times New Roman" w:hAnsi="Times New Roman"/>
          <w:vertAlign w:val="subscript"/>
        </w:rPr>
        <w:t>2</w:t>
      </w:r>
      <w:r>
        <w:rPr>
          <w:rFonts w:ascii="Times New Roman" w:hAnsi="Times New Roman"/>
        </w:rPr>
        <w:t>S、NH</w:t>
      </w:r>
      <w:r>
        <w:rPr>
          <w:rFonts w:ascii="Times New Roman" w:hAnsi="Times New Roman"/>
          <w:vertAlign w:val="subscript"/>
        </w:rPr>
        <w:t>3</w:t>
      </w:r>
      <w:r>
        <w:rPr>
          <w:rFonts w:ascii="Times New Roman" w:hAnsi="Times New Roman"/>
        </w:rPr>
        <w:t>等有毒有害气体采用生物除臭方法和除臭剂 （MPC）等，可降低猪场这些有害气体挥发量，净化空气。绿化植物具有一定的</w:t>
      </w:r>
      <w:r>
        <w:rPr>
          <w:rFonts w:hint="eastAsia" w:ascii="Times New Roman" w:hAnsi="Times New Roman"/>
        </w:rPr>
        <w:t>吸收有害气体，减轻恶臭异味的作用。此外，场内还应尽可能多种花草、果树。各季的果树花和花卉香味可以降低或减轻恶臭味在空气中的浓度，达到防护的目的。</w:t>
      </w:r>
    </w:p>
    <w:p>
      <w:pPr>
        <w:pStyle w:val="320"/>
        <w:snapToGrid w:val="0"/>
        <w:spacing w:before="0" w:line="360" w:lineRule="auto"/>
        <w:ind w:firstLine="480"/>
        <w:rPr>
          <w:rFonts w:ascii="Times New Roman" w:hAnsi="Times New Roman"/>
        </w:rPr>
      </w:pPr>
      <w:r>
        <w:rPr>
          <w:rFonts w:hint="eastAsia" w:ascii="Times New Roman" w:hAnsi="Times New Roman"/>
        </w:rPr>
        <w:t>（</w:t>
      </w:r>
      <w:r>
        <w:rPr>
          <w:rFonts w:ascii="Times New Roman" w:hAnsi="Times New Roman"/>
        </w:rPr>
        <w:t>6</w:t>
      </w:r>
      <w:r>
        <w:rPr>
          <w:rFonts w:hint="eastAsia" w:ascii="Times New Roman" w:hAnsi="Times New Roman"/>
        </w:rPr>
        <w:t>）投放吸附剂及喷洒除臭剂</w:t>
      </w:r>
    </w:p>
    <w:p>
      <w:pPr>
        <w:pStyle w:val="320"/>
        <w:snapToGrid w:val="0"/>
        <w:spacing w:before="0" w:line="360" w:lineRule="auto"/>
        <w:ind w:firstLine="480"/>
        <w:rPr>
          <w:rFonts w:ascii="Times New Roman" w:hAnsi="Times New Roman"/>
        </w:rPr>
      </w:pPr>
      <w:r>
        <w:rPr>
          <w:rFonts w:hint="eastAsia" w:ascii="Times New Roman" w:hAnsi="Times New Roman"/>
        </w:rPr>
        <w:t>本项目会定时向猪舍内投放吸附剂（如沸石、膨润土以及秸秆等含纤维素和木质素较多的材料），以减少恶臭的散发，并且每天多次喷洒除臭剂，以减少恶臭的产生，且使用高锰酸钾等氧化剂及一些杀菌剂，可杀死厌氧发酵的细菌，达到除臭目的。</w:t>
      </w:r>
    </w:p>
    <w:p>
      <w:pPr>
        <w:pStyle w:val="320"/>
        <w:snapToGrid w:val="0"/>
        <w:spacing w:before="0" w:line="360" w:lineRule="auto"/>
        <w:ind w:firstLine="480"/>
        <w:rPr>
          <w:rFonts w:ascii="Times New Roman" w:hAnsi="Times New Roman"/>
        </w:rPr>
      </w:pPr>
      <w:r>
        <w:rPr>
          <w:rFonts w:hint="eastAsia" w:ascii="Times New Roman" w:hAnsi="Times New Roman"/>
        </w:rPr>
        <w:t>（</w:t>
      </w:r>
      <w:r>
        <w:rPr>
          <w:rFonts w:ascii="Times New Roman" w:hAnsi="Times New Roman"/>
        </w:rPr>
        <w:t>7</w:t>
      </w:r>
      <w:r>
        <w:rPr>
          <w:rFonts w:hint="eastAsia" w:ascii="Times New Roman" w:hAnsi="Times New Roman"/>
        </w:rPr>
        <w:t xml:space="preserve">）及时消杀蚊蝇 </w:t>
      </w:r>
    </w:p>
    <w:p>
      <w:pPr>
        <w:pStyle w:val="320"/>
        <w:snapToGrid w:val="0"/>
        <w:spacing w:before="0" w:line="360" w:lineRule="auto"/>
        <w:ind w:firstLine="480"/>
        <w:rPr>
          <w:rFonts w:ascii="Times New Roman" w:hAnsi="Times New Roman"/>
        </w:rPr>
      </w:pPr>
      <w:r>
        <w:rPr>
          <w:rFonts w:hint="eastAsia" w:ascii="Times New Roman" w:hAnsi="Times New Roman"/>
        </w:rPr>
        <w:t>采取化学、物理结合的方法驱蝇灭蚊，每周使用高效农药化学杀虫剂消杀2次。同时在圈舍内安装灭蚊灯、门窗均安装纱窗。</w:t>
      </w:r>
    </w:p>
    <w:p>
      <w:pPr>
        <w:pStyle w:val="320"/>
        <w:snapToGrid w:val="0"/>
        <w:spacing w:before="0" w:line="360" w:lineRule="auto"/>
        <w:ind w:firstLine="480"/>
        <w:rPr>
          <w:rFonts w:ascii="Times New Roman" w:hAnsi="Times New Roman"/>
        </w:rPr>
      </w:pPr>
      <w:r>
        <w:rPr>
          <w:rFonts w:hint="eastAsia" w:ascii="Times New Roman" w:hAnsi="Times New Roman"/>
        </w:rPr>
        <w:t>（</w:t>
      </w:r>
      <w:r>
        <w:rPr>
          <w:rFonts w:ascii="Times New Roman" w:hAnsi="Times New Roman"/>
        </w:rPr>
        <w:t>8</w:t>
      </w:r>
      <w:r>
        <w:rPr>
          <w:rFonts w:hint="eastAsia" w:ascii="Times New Roman" w:hAnsi="Times New Roman"/>
        </w:rPr>
        <w:t>）防护距离设置</w:t>
      </w:r>
    </w:p>
    <w:p>
      <w:pPr>
        <w:pStyle w:val="320"/>
        <w:snapToGrid w:val="0"/>
        <w:spacing w:before="0" w:line="360" w:lineRule="auto"/>
        <w:ind w:firstLine="480"/>
        <w:rPr>
          <w:rFonts w:ascii="Times New Roman" w:hAnsi="Times New Roman"/>
        </w:rPr>
      </w:pPr>
      <w:r>
        <w:rPr>
          <w:rFonts w:hint="eastAsia" w:ascii="Times New Roman" w:hAnsi="Times New Roman"/>
        </w:rPr>
        <w:t xml:space="preserve">①大气环境防护距离 </w:t>
      </w:r>
    </w:p>
    <w:p>
      <w:pPr>
        <w:pStyle w:val="320"/>
        <w:snapToGrid w:val="0"/>
        <w:spacing w:line="360" w:lineRule="auto"/>
        <w:ind w:firstLine="480"/>
        <w:rPr>
          <w:rFonts w:ascii="Times New Roman" w:hAnsi="Times New Roman"/>
        </w:rPr>
      </w:pPr>
      <w:r>
        <w:rPr>
          <w:rFonts w:ascii="Times New Roman" w:hAnsi="Times New Roman"/>
        </w:rPr>
        <w:t>本评价采用《环境影响评价技术导则》（HJ2.2-2018）推荐的大气环境防护距离模式计算项目运营期恶臭气体无组织排放的大气环境防护距离，通过计算结果显示NH</w:t>
      </w:r>
      <w:r>
        <w:rPr>
          <w:rFonts w:ascii="Times New Roman" w:hAnsi="Times New Roman"/>
          <w:vertAlign w:val="subscript"/>
        </w:rPr>
        <w:t>3</w:t>
      </w:r>
      <w:r>
        <w:rPr>
          <w:rFonts w:ascii="Times New Roman" w:hAnsi="Times New Roman"/>
        </w:rPr>
        <w:t>及H</w:t>
      </w:r>
      <w:r>
        <w:rPr>
          <w:rFonts w:ascii="Times New Roman" w:hAnsi="Times New Roman"/>
          <w:vertAlign w:val="subscript"/>
        </w:rPr>
        <w:t>2</w:t>
      </w:r>
      <w:r>
        <w:rPr>
          <w:rFonts w:ascii="Times New Roman" w:hAnsi="Times New Roman"/>
        </w:rPr>
        <w:t>S均无超标点，不需设置大气环境防护距离。</w:t>
      </w:r>
    </w:p>
    <w:p>
      <w:pPr>
        <w:pStyle w:val="320"/>
        <w:snapToGrid w:val="0"/>
        <w:spacing w:line="360" w:lineRule="auto"/>
        <w:ind w:firstLine="480"/>
        <w:rPr>
          <w:rFonts w:ascii="Times New Roman" w:hAnsi="Times New Roman"/>
        </w:rPr>
      </w:pPr>
      <w:r>
        <w:rPr>
          <w:rFonts w:ascii="Times New Roman" w:hAnsi="Times New Roman"/>
        </w:rPr>
        <w:fldChar w:fldCharType="begin"/>
      </w:r>
      <w:r>
        <w:rPr>
          <w:rFonts w:ascii="Times New Roman" w:hAnsi="Times New Roman"/>
        </w:rPr>
        <w:instrText xml:space="preserve"> </w:instrText>
      </w:r>
      <w:r>
        <w:rPr>
          <w:rFonts w:hint="eastAsia" w:ascii="Times New Roman" w:hAnsi="Times New Roman"/>
        </w:rPr>
        <w:instrText xml:space="preserve">= 2 \* GB3</w:instrText>
      </w:r>
      <w:r>
        <w:rPr>
          <w:rFonts w:ascii="Times New Roman" w:hAnsi="Times New Roman"/>
        </w:rPr>
        <w:instrText xml:space="preserve"> </w:instrText>
      </w:r>
      <w:r>
        <w:rPr>
          <w:rFonts w:ascii="Times New Roman" w:hAnsi="Times New Roman"/>
        </w:rPr>
        <w:fldChar w:fldCharType="separate"/>
      </w:r>
      <w:r>
        <w:rPr>
          <w:rFonts w:hint="eastAsia" w:ascii="Times New Roman" w:hAnsi="Times New Roman"/>
        </w:rPr>
        <w:t>②</w:t>
      </w:r>
      <w:r>
        <w:rPr>
          <w:rFonts w:ascii="Times New Roman" w:hAnsi="Times New Roman"/>
        </w:rPr>
        <w:fldChar w:fldCharType="end"/>
      </w:r>
      <w:r>
        <w:rPr>
          <w:rFonts w:hint="eastAsia" w:ascii="Times New Roman" w:hAnsi="Times New Roman"/>
        </w:rPr>
        <w:t>卫生防护距离</w:t>
      </w:r>
    </w:p>
    <w:p>
      <w:pPr>
        <w:pStyle w:val="320"/>
        <w:snapToGrid w:val="0"/>
        <w:spacing w:line="360" w:lineRule="auto"/>
        <w:ind w:firstLine="480"/>
        <w:rPr>
          <w:rFonts w:ascii="Times New Roman" w:hAnsi="Times New Roman"/>
        </w:rPr>
      </w:pPr>
      <w:r>
        <w:rPr>
          <w:rFonts w:ascii="Times New Roman" w:hAnsi="Times New Roman"/>
        </w:rPr>
        <w:t>根据</w:t>
      </w:r>
      <w:r>
        <w:rPr>
          <w:rFonts w:hint="eastAsia" w:ascii="Times New Roman" w:hAnsi="Times New Roman"/>
        </w:rPr>
        <w:t>前述分析，本项目最终确定的卫生防护距离为生产车间3#车间妊娠舍、分娩舍外围</w:t>
      </w:r>
      <w:r>
        <w:rPr>
          <w:rFonts w:ascii="Times New Roman" w:hAnsi="Times New Roman"/>
        </w:rPr>
        <w:t>1</w:t>
      </w:r>
      <w:r>
        <w:rPr>
          <w:rFonts w:hint="eastAsia" w:ascii="Times New Roman" w:hAnsi="Times New Roman"/>
        </w:rPr>
        <w:t>00m范围为本项目卫生防护距离。</w:t>
      </w:r>
      <w:r>
        <w:rPr>
          <w:rFonts w:hint="eastAsia" w:ascii="Times New Roman" w:hAnsi="Times New Roman"/>
          <w:b/>
          <w:bCs/>
        </w:rPr>
        <w:t>根据调查，拟划定的卫生防护距离范围内共有1户农户（住户情况见表1</w:t>
      </w:r>
      <w:r>
        <w:rPr>
          <w:rFonts w:ascii="Times New Roman" w:hAnsi="Times New Roman"/>
          <w:b/>
          <w:bCs/>
        </w:rPr>
        <w:t>0.3</w:t>
      </w:r>
      <w:r>
        <w:rPr>
          <w:rFonts w:hint="eastAsia" w:ascii="Times New Roman" w:hAnsi="Times New Roman"/>
          <w:b/>
          <w:bCs/>
        </w:rPr>
        <w:t>-</w:t>
      </w:r>
      <w:r>
        <w:rPr>
          <w:rFonts w:ascii="Times New Roman" w:hAnsi="Times New Roman"/>
          <w:b/>
          <w:bCs/>
        </w:rPr>
        <w:t>1</w:t>
      </w:r>
      <w:r>
        <w:rPr>
          <w:rFonts w:hint="eastAsia" w:ascii="Times New Roman" w:hAnsi="Times New Roman"/>
          <w:b/>
          <w:bCs/>
        </w:rPr>
        <w:t>），目前建设单位已与该农户签订了房屋租赁协议，协议明确了该农户在养殖场生产经营期间均不得返回原房屋继续居住，由建设单位出资，原农户自行解决住房问题</w:t>
      </w:r>
      <w:r>
        <w:rPr>
          <w:rFonts w:hint="eastAsia" w:ascii="Times New Roman" w:hAnsi="Times New Roman"/>
        </w:rPr>
        <w:t>，评价要求：在项目建成运营前，建设单位应合理处理好卫生防护距离</w:t>
      </w:r>
      <w:r>
        <w:rPr>
          <w:rFonts w:ascii="Times New Roman" w:hAnsi="Times New Roman"/>
        </w:rPr>
        <w:t>1</w:t>
      </w:r>
      <w:r>
        <w:rPr>
          <w:rFonts w:hint="eastAsia" w:ascii="Times New Roman" w:hAnsi="Times New Roman"/>
        </w:rPr>
        <w:t>00m范围内的农户的房屋租赁工作。同时，建设单位应切实做好环境管理、加强与周边农户的沟通，尽可能减少恶臭气体对周边农户的影响。</w:t>
      </w:r>
    </w:p>
    <w:p>
      <w:pPr>
        <w:spacing w:line="240" w:lineRule="auto"/>
        <w:jc w:val="center"/>
        <w:rPr>
          <w:rFonts w:eastAsia="黑体"/>
        </w:rPr>
      </w:pPr>
    </w:p>
    <w:p>
      <w:pPr>
        <w:spacing w:line="240" w:lineRule="auto"/>
        <w:jc w:val="center"/>
        <w:rPr>
          <w:rFonts w:eastAsia="黑体"/>
        </w:rPr>
      </w:pPr>
    </w:p>
    <w:p>
      <w:pPr>
        <w:spacing w:line="240" w:lineRule="auto"/>
        <w:jc w:val="center"/>
        <w:rPr>
          <w:rFonts w:eastAsia="黑体"/>
        </w:rPr>
      </w:pPr>
    </w:p>
    <w:p>
      <w:pPr>
        <w:spacing w:line="240" w:lineRule="auto"/>
        <w:jc w:val="center"/>
        <w:rPr>
          <w:rFonts w:eastAsia="黑体"/>
        </w:rPr>
      </w:pPr>
      <w:r>
        <w:rPr>
          <w:rFonts w:eastAsia="黑体"/>
        </w:rPr>
        <w:t>表10</w:t>
      </w:r>
      <w:r>
        <w:rPr>
          <w:rFonts w:hint="eastAsia" w:eastAsia="黑体"/>
        </w:rPr>
        <w:t>.</w:t>
      </w:r>
      <w:r>
        <w:rPr>
          <w:rFonts w:eastAsia="黑体"/>
        </w:rPr>
        <w:t xml:space="preserve">3-1    </w:t>
      </w:r>
      <w:r>
        <w:rPr>
          <w:rFonts w:hint="eastAsia" w:eastAsia="黑体"/>
        </w:rPr>
        <w:t>项目卫生防护距离范围内居民分布情况</w:t>
      </w:r>
    </w:p>
    <w:tbl>
      <w:tblPr>
        <w:tblStyle w:val="8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988"/>
        <w:gridCol w:w="1187"/>
        <w:gridCol w:w="3918"/>
        <w:gridCol w:w="2084"/>
        <w:gridCol w:w="1337"/>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65" w:type="dxa"/>
            <w:vAlign w:val="center"/>
          </w:tcPr>
          <w:p>
            <w:pPr>
              <w:snapToGrid w:val="0"/>
              <w:spacing w:line="240" w:lineRule="auto"/>
              <w:jc w:val="center"/>
              <w:rPr>
                <w:sz w:val="21"/>
                <w:szCs w:val="21"/>
              </w:rPr>
            </w:pPr>
            <w:r>
              <w:rPr>
                <w:rFonts w:hint="eastAsia"/>
                <w:sz w:val="21"/>
                <w:szCs w:val="21"/>
              </w:rPr>
              <w:t>序号</w:t>
            </w:r>
          </w:p>
        </w:tc>
        <w:tc>
          <w:tcPr>
            <w:tcW w:w="1160" w:type="dxa"/>
            <w:vAlign w:val="center"/>
          </w:tcPr>
          <w:p>
            <w:pPr>
              <w:snapToGrid w:val="0"/>
              <w:spacing w:line="240" w:lineRule="auto"/>
              <w:jc w:val="center"/>
              <w:rPr>
                <w:sz w:val="21"/>
                <w:szCs w:val="21"/>
              </w:rPr>
            </w:pPr>
            <w:r>
              <w:rPr>
                <w:rFonts w:hint="eastAsia" w:hAnsi="宋体"/>
                <w:sz w:val="21"/>
                <w:szCs w:val="21"/>
              </w:rPr>
              <w:t>户主姓名</w:t>
            </w:r>
          </w:p>
        </w:tc>
        <w:tc>
          <w:tcPr>
            <w:tcW w:w="3829" w:type="dxa"/>
            <w:vAlign w:val="center"/>
          </w:tcPr>
          <w:p>
            <w:pPr>
              <w:snapToGrid w:val="0"/>
              <w:spacing w:line="240" w:lineRule="auto"/>
              <w:jc w:val="center"/>
              <w:rPr>
                <w:rFonts w:hAnsi="宋体"/>
                <w:sz w:val="21"/>
                <w:szCs w:val="21"/>
              </w:rPr>
            </w:pPr>
            <w:r>
              <w:rPr>
                <w:rFonts w:hint="eastAsia" w:hAnsi="宋体"/>
                <w:sz w:val="21"/>
                <w:szCs w:val="21"/>
              </w:rPr>
              <w:t>经纬度</w:t>
            </w:r>
          </w:p>
        </w:tc>
        <w:tc>
          <w:tcPr>
            <w:tcW w:w="2037" w:type="dxa"/>
            <w:vAlign w:val="center"/>
          </w:tcPr>
          <w:p>
            <w:pPr>
              <w:snapToGrid w:val="0"/>
              <w:spacing w:line="240" w:lineRule="auto"/>
              <w:jc w:val="center"/>
              <w:rPr>
                <w:rFonts w:hAnsi="宋体"/>
                <w:sz w:val="21"/>
                <w:szCs w:val="21"/>
              </w:rPr>
            </w:pPr>
            <w:r>
              <w:rPr>
                <w:rFonts w:hint="eastAsia" w:hAnsi="宋体"/>
                <w:sz w:val="21"/>
                <w:szCs w:val="21"/>
              </w:rPr>
              <w:t>所在村民小组</w:t>
            </w:r>
          </w:p>
        </w:tc>
        <w:tc>
          <w:tcPr>
            <w:tcW w:w="1307" w:type="dxa"/>
            <w:vAlign w:val="center"/>
          </w:tcPr>
          <w:p>
            <w:pPr>
              <w:snapToGrid w:val="0"/>
              <w:spacing w:line="240" w:lineRule="auto"/>
              <w:jc w:val="center"/>
              <w:rPr>
                <w:sz w:val="21"/>
                <w:szCs w:val="21"/>
              </w:rPr>
            </w:pPr>
            <w:r>
              <w:rPr>
                <w:rFonts w:hint="eastAsia" w:hAnsi="宋体"/>
                <w:sz w:val="21"/>
                <w:szCs w:val="21"/>
              </w:rPr>
              <w:t>距离圈舍距离</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65" w:type="dxa"/>
            <w:vAlign w:val="center"/>
          </w:tcPr>
          <w:p>
            <w:pPr>
              <w:snapToGrid w:val="0"/>
              <w:spacing w:line="240" w:lineRule="auto"/>
              <w:jc w:val="center"/>
              <w:rPr>
                <w:sz w:val="21"/>
                <w:szCs w:val="21"/>
              </w:rPr>
            </w:pPr>
            <w:r>
              <w:rPr>
                <w:sz w:val="21"/>
                <w:szCs w:val="21"/>
              </w:rPr>
              <w:t>1</w:t>
            </w:r>
          </w:p>
        </w:tc>
        <w:tc>
          <w:tcPr>
            <w:tcW w:w="1160" w:type="dxa"/>
            <w:vAlign w:val="center"/>
          </w:tcPr>
          <w:p>
            <w:pPr>
              <w:snapToGrid w:val="0"/>
              <w:spacing w:line="240" w:lineRule="auto"/>
              <w:jc w:val="center"/>
              <w:rPr>
                <w:sz w:val="21"/>
                <w:szCs w:val="21"/>
              </w:rPr>
            </w:pPr>
            <w:r>
              <w:rPr>
                <w:rFonts w:hint="eastAsia"/>
                <w:sz w:val="21"/>
                <w:szCs w:val="21"/>
              </w:rPr>
              <w:t>张永易</w:t>
            </w:r>
          </w:p>
        </w:tc>
        <w:tc>
          <w:tcPr>
            <w:tcW w:w="3829" w:type="dxa"/>
            <w:vAlign w:val="center"/>
          </w:tcPr>
          <w:p>
            <w:pPr>
              <w:snapToGrid w:val="0"/>
              <w:spacing w:line="240" w:lineRule="auto"/>
              <w:jc w:val="center"/>
              <w:rPr>
                <w:sz w:val="21"/>
                <w:szCs w:val="21"/>
              </w:rPr>
            </w:pPr>
            <w:r>
              <w:rPr>
                <w:rFonts w:hint="eastAsia"/>
                <w:sz w:val="21"/>
                <w:szCs w:val="21"/>
              </w:rPr>
              <w:t>1</w:t>
            </w:r>
            <w:r>
              <w:rPr>
                <w:sz w:val="21"/>
                <w:szCs w:val="21"/>
              </w:rPr>
              <w:t>04</w:t>
            </w:r>
            <w:r>
              <w:rPr>
                <w:rFonts w:hint="eastAsia"/>
                <w:sz w:val="21"/>
                <w:szCs w:val="21"/>
              </w:rPr>
              <w:t>°</w:t>
            </w:r>
            <w:r>
              <w:rPr>
                <w:sz w:val="21"/>
                <w:szCs w:val="21"/>
              </w:rPr>
              <w:t>12</w:t>
            </w:r>
            <w:r>
              <w:rPr>
                <w:rFonts w:hint="eastAsia"/>
                <w:sz w:val="21"/>
                <w:szCs w:val="21"/>
              </w:rPr>
              <w:t>′</w:t>
            </w:r>
            <w:r>
              <w:rPr>
                <w:sz w:val="21"/>
                <w:szCs w:val="21"/>
              </w:rPr>
              <w:t>48.15</w:t>
            </w:r>
            <w:r>
              <w:rPr>
                <w:rFonts w:hint="eastAsia"/>
                <w:sz w:val="21"/>
                <w:szCs w:val="21"/>
              </w:rPr>
              <w:t>″，2</w:t>
            </w:r>
            <w:r>
              <w:rPr>
                <w:sz w:val="21"/>
                <w:szCs w:val="21"/>
              </w:rPr>
              <w:t>9</w:t>
            </w:r>
            <w:r>
              <w:rPr>
                <w:rFonts w:hint="eastAsia"/>
                <w:sz w:val="21"/>
                <w:szCs w:val="21"/>
              </w:rPr>
              <w:t>°</w:t>
            </w:r>
            <w:r>
              <w:rPr>
                <w:sz w:val="21"/>
                <w:szCs w:val="21"/>
              </w:rPr>
              <w:t>38</w:t>
            </w:r>
            <w:r>
              <w:rPr>
                <w:rFonts w:hint="eastAsia"/>
                <w:sz w:val="21"/>
                <w:szCs w:val="21"/>
              </w:rPr>
              <w:t>′</w:t>
            </w:r>
            <w:r>
              <w:rPr>
                <w:sz w:val="21"/>
                <w:szCs w:val="21"/>
              </w:rPr>
              <w:t>51.87</w:t>
            </w:r>
            <w:r>
              <w:rPr>
                <w:rFonts w:hint="eastAsia"/>
                <w:sz w:val="21"/>
                <w:szCs w:val="21"/>
              </w:rPr>
              <w:t>″</w:t>
            </w:r>
          </w:p>
        </w:tc>
        <w:tc>
          <w:tcPr>
            <w:tcW w:w="2037" w:type="dxa"/>
            <w:vAlign w:val="center"/>
          </w:tcPr>
          <w:p>
            <w:pPr>
              <w:snapToGrid w:val="0"/>
              <w:spacing w:line="240" w:lineRule="auto"/>
              <w:jc w:val="center"/>
              <w:rPr>
                <w:sz w:val="21"/>
                <w:szCs w:val="21"/>
              </w:rPr>
            </w:pPr>
            <w:r>
              <w:rPr>
                <w:rFonts w:hint="eastAsia"/>
                <w:sz w:val="21"/>
                <w:szCs w:val="21"/>
              </w:rPr>
              <w:t>星星亮村3组</w:t>
            </w:r>
          </w:p>
        </w:tc>
        <w:tc>
          <w:tcPr>
            <w:tcW w:w="1307" w:type="dxa"/>
            <w:vAlign w:val="center"/>
          </w:tcPr>
          <w:p>
            <w:pPr>
              <w:snapToGrid w:val="0"/>
              <w:spacing w:line="240" w:lineRule="auto"/>
              <w:jc w:val="center"/>
              <w:rPr>
                <w:sz w:val="21"/>
                <w:szCs w:val="21"/>
              </w:rPr>
            </w:pPr>
            <w:r>
              <w:rPr>
                <w:sz w:val="21"/>
                <w:szCs w:val="21"/>
              </w:rPr>
              <w:t>38m</w:t>
            </w:r>
          </w:p>
        </w:tc>
      </w:tr>
    </w:tbl>
    <w:p>
      <w:pPr>
        <w:pStyle w:val="320"/>
        <w:snapToGrid w:val="0"/>
        <w:spacing w:line="360" w:lineRule="auto"/>
        <w:ind w:firstLine="480"/>
        <w:rPr>
          <w:rFonts w:ascii="Times New Roman" w:hAnsi="Times New Roman"/>
        </w:rPr>
      </w:pPr>
    </w:p>
    <w:p>
      <w:pPr>
        <w:pStyle w:val="320"/>
        <w:snapToGrid w:val="0"/>
        <w:spacing w:before="0" w:line="360" w:lineRule="auto"/>
        <w:ind w:firstLine="480"/>
        <w:rPr>
          <w:rFonts w:ascii="Times New Roman" w:hAnsi="Times New Roman"/>
        </w:rPr>
      </w:pPr>
      <w:r>
        <w:rPr>
          <w:rFonts w:hint="eastAsia" w:ascii="Times New Roman" w:hAnsi="Times New Roman"/>
        </w:rPr>
        <w:t>综上所述，采取上述恶臭防治措施，可有效控制猪舍恶臭对环境的影响，污染防治措施技术、经济可行。</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.3.2</w:t>
      </w:r>
      <w:r>
        <w:rPr>
          <w:rFonts w:eastAsia="黑体"/>
          <w:bCs/>
          <w:sz w:val="28"/>
          <w:szCs w:val="28"/>
        </w:rPr>
        <w:t xml:space="preserve"> </w:t>
      </w:r>
      <w:r>
        <w:rPr>
          <w:rFonts w:hint="eastAsia" w:eastAsia="黑体"/>
          <w:bCs/>
          <w:sz w:val="28"/>
          <w:szCs w:val="28"/>
        </w:rPr>
        <w:t>食堂</w:t>
      </w:r>
      <w:r>
        <w:rPr>
          <w:rFonts w:eastAsia="黑体"/>
          <w:bCs/>
          <w:sz w:val="28"/>
          <w:szCs w:val="28"/>
        </w:rPr>
        <w:t>油烟</w:t>
      </w:r>
    </w:p>
    <w:p>
      <w:pPr>
        <w:pStyle w:val="320"/>
        <w:snapToGrid w:val="0"/>
        <w:spacing w:line="360" w:lineRule="auto"/>
        <w:ind w:firstLine="480"/>
        <w:rPr>
          <w:rFonts w:ascii="Times New Roman" w:hAnsi="Times New Roman"/>
          <w:kern w:val="0"/>
        </w:rPr>
      </w:pPr>
      <w:r>
        <w:rPr>
          <w:rFonts w:ascii="Times New Roman" w:hAnsi="Times New Roman"/>
          <w:kern w:val="0"/>
        </w:rPr>
        <w:t>本环评要求按照国家关于《饮食业油烟排放标准（试行）》（GB18483-2001）标准要求，安装油烟去除效率与其规模相匹配的油烟净化装置和专门的油烟排气筒，确保其排放烟气中油烟浓度值达到标准限值（≤2.0mg/m</w:t>
      </w:r>
      <w:r>
        <w:rPr>
          <w:rFonts w:ascii="Times New Roman" w:hAnsi="Times New Roman"/>
          <w:kern w:val="0"/>
          <w:vertAlign w:val="superscript"/>
        </w:rPr>
        <w:t>3</w:t>
      </w:r>
      <w:r>
        <w:rPr>
          <w:rFonts w:ascii="Times New Roman" w:hAnsi="Times New Roman"/>
          <w:kern w:val="0"/>
        </w:rPr>
        <w:t>）的要求。食堂油烟经油烟净化器处理后引至楼顶（排放口高出所在建筑物3m以上）排放。</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.3.</w:t>
      </w:r>
      <w:r>
        <w:rPr>
          <w:rFonts w:eastAsia="黑体"/>
          <w:bCs/>
          <w:sz w:val="28"/>
          <w:szCs w:val="28"/>
        </w:rPr>
        <w:t xml:space="preserve">3 </w:t>
      </w:r>
      <w:r>
        <w:rPr>
          <w:rFonts w:hint="eastAsia" w:eastAsia="黑体"/>
          <w:bCs/>
          <w:sz w:val="28"/>
          <w:szCs w:val="28"/>
        </w:rPr>
        <w:t>柴油发电机废气</w:t>
      </w:r>
    </w:p>
    <w:p>
      <w:pPr>
        <w:pStyle w:val="320"/>
        <w:snapToGrid w:val="0"/>
        <w:spacing w:line="360" w:lineRule="auto"/>
        <w:ind w:firstLine="480"/>
        <w:rPr>
          <w:rFonts w:ascii="Times New Roman" w:hAnsi="Times New Roman"/>
          <w:kern w:val="0"/>
        </w:rPr>
      </w:pPr>
      <w:r>
        <w:rPr>
          <w:rFonts w:hint="eastAsia" w:ascii="Times New Roman" w:hAnsi="Times New Roman"/>
          <w:kern w:val="0"/>
        </w:rPr>
        <w:t>本项目选用环保型柴油发电机，设备自带发电机尾气净化装置，发电机尾气经净化处理后由屋顶排放。</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88" w:name="_Toc29110618"/>
      <w:bookmarkStart w:id="789" w:name="_Toc7363225"/>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0.4 噪声污染防治对策分析</w:t>
      </w:r>
      <w:bookmarkEnd w:id="788"/>
      <w:bookmarkEnd w:id="789"/>
    </w:p>
    <w:p>
      <w:pPr>
        <w:tabs>
          <w:tab w:val="left" w:pos="-1440"/>
        </w:tabs>
        <w:adjustRightInd w:val="0"/>
        <w:snapToGrid w:val="0"/>
        <w:ind w:firstLine="480" w:firstLineChars="200"/>
        <w:textAlignment w:val="center"/>
        <w:rPr>
          <w:kern w:val="0"/>
        </w:rPr>
      </w:pPr>
      <w:r>
        <w:rPr>
          <w:kern w:val="0"/>
        </w:rPr>
        <w:t>噪声属于物理性污染，其污染状况与噪声源、传播途径、接受者均有一定的关系。噪声传播途径包括反射、衍射等等形式的声波行进过程。噪声控制的原理，也就是在噪声到达接受者之前，采用隔声、消声、个人防护和建筑布局等几大措施，尽量减弱或降低声源的振动，或将传播中的声能吸收掉，使声音全部或部分反射出去，减弱噪声对接受者的影响，这样则可达到控制噪声的目的。</w:t>
      </w:r>
    </w:p>
    <w:p>
      <w:pPr>
        <w:pStyle w:val="320"/>
        <w:snapToGrid w:val="0"/>
        <w:spacing w:line="360" w:lineRule="auto"/>
        <w:ind w:firstLine="480"/>
      </w:pPr>
      <w:r>
        <w:rPr>
          <w:rFonts w:ascii="Times New Roman" w:hAnsi="Times New Roman"/>
        </w:rPr>
        <w:t>本项目通过合理布置总图；选用低噪声设备；采取工程降噪等有效的降噪措施后，项目厂界可达到《工业企业厂界环境噪声排放标准》（GB12348-2008）中2类标准。</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90" w:name="_Toc29110619"/>
      <w:bookmarkStart w:id="791" w:name="_Toc7363226"/>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 xml:space="preserve">.5 </w:t>
      </w:r>
      <w:r>
        <w:rPr>
          <w:rFonts w:ascii="Times New Roman" w:hAnsi="Times New Roman" w:eastAsia="黑体" w:cs="Times New Roman"/>
          <w:b w:val="0"/>
          <w:bCs/>
          <w:spacing w:val="4"/>
          <w:kern w:val="2"/>
          <w:sz w:val="32"/>
          <w:szCs w:val="32"/>
        </w:rPr>
        <w:t>固体污染防治对策分析</w:t>
      </w:r>
      <w:bookmarkEnd w:id="790"/>
      <w:bookmarkEnd w:id="791"/>
    </w:p>
    <w:p>
      <w:pPr>
        <w:pStyle w:val="320"/>
        <w:snapToGrid w:val="0"/>
        <w:spacing w:line="360" w:lineRule="auto"/>
        <w:ind w:firstLine="480"/>
        <w:rPr>
          <w:rFonts w:ascii="Times New Roman" w:hAnsi="Times New Roman"/>
        </w:rPr>
      </w:pPr>
      <w:r>
        <w:rPr>
          <w:rFonts w:ascii="Times New Roman" w:hAnsi="Times New Roman"/>
        </w:rPr>
        <w:t>本项目产生的固体废物种类较多，有一般固废和危险废物。根据各物质的物理性质和相关法律法规的要求，固废产生量及处理方式见下表10.5-1所示。</w:t>
      </w:r>
    </w:p>
    <w:p>
      <w:pPr>
        <w:widowControl/>
        <w:spacing w:line="240" w:lineRule="auto"/>
        <w:ind w:firstLine="480" w:firstLineChars="200"/>
        <w:jc w:val="center"/>
        <w:rPr>
          <w:rFonts w:eastAsia="黑体"/>
        </w:rPr>
      </w:pPr>
      <w:r>
        <w:rPr>
          <w:rFonts w:eastAsia="黑体"/>
        </w:rPr>
        <w:t>表10.</w:t>
      </w:r>
      <w:r>
        <w:rPr>
          <w:rFonts w:hint="eastAsia" w:eastAsia="黑体"/>
        </w:rPr>
        <w:t>5</w:t>
      </w:r>
      <w:r>
        <w:rPr>
          <w:rFonts w:eastAsia="黑体"/>
        </w:rPr>
        <w:t>-1  固废产生量及处理方式</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428"/>
        <w:gridCol w:w="1437"/>
        <w:gridCol w:w="1602"/>
        <w:gridCol w:w="404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项目</w:t>
            </w:r>
          </w:p>
        </w:tc>
        <w:tc>
          <w:tcPr>
            <w:tcW w:w="755" w:type="pct"/>
            <w:vAlign w:val="center"/>
          </w:tcPr>
          <w:p>
            <w:pPr>
              <w:snapToGrid w:val="0"/>
              <w:spacing w:line="240" w:lineRule="auto"/>
              <w:jc w:val="center"/>
              <w:rPr>
                <w:sz w:val="21"/>
                <w:szCs w:val="21"/>
              </w:rPr>
            </w:pPr>
            <w:r>
              <w:rPr>
                <w:sz w:val="21"/>
                <w:szCs w:val="21"/>
              </w:rPr>
              <w:t>日产生量</w:t>
            </w:r>
          </w:p>
        </w:tc>
        <w:tc>
          <w:tcPr>
            <w:tcW w:w="842" w:type="pct"/>
            <w:vAlign w:val="center"/>
          </w:tcPr>
          <w:p>
            <w:pPr>
              <w:snapToGrid w:val="0"/>
              <w:spacing w:line="240" w:lineRule="auto"/>
              <w:jc w:val="center"/>
              <w:rPr>
                <w:sz w:val="21"/>
                <w:szCs w:val="21"/>
              </w:rPr>
            </w:pPr>
            <w:r>
              <w:rPr>
                <w:sz w:val="21"/>
                <w:szCs w:val="21"/>
              </w:rPr>
              <w:t>年产生量</w:t>
            </w:r>
          </w:p>
        </w:tc>
        <w:tc>
          <w:tcPr>
            <w:tcW w:w="2127" w:type="pct"/>
            <w:vAlign w:val="center"/>
          </w:tcPr>
          <w:p>
            <w:pPr>
              <w:snapToGrid w:val="0"/>
              <w:spacing w:line="240" w:lineRule="auto"/>
              <w:jc w:val="center"/>
              <w:rPr>
                <w:sz w:val="21"/>
                <w:szCs w:val="21"/>
              </w:rPr>
            </w:pPr>
            <w:r>
              <w:rPr>
                <w:sz w:val="21"/>
                <w:szCs w:val="21"/>
              </w:rPr>
              <w:t>处置措施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猪粪便</w:t>
            </w:r>
          </w:p>
        </w:tc>
        <w:tc>
          <w:tcPr>
            <w:tcW w:w="755" w:type="pct"/>
            <w:vAlign w:val="center"/>
          </w:tcPr>
          <w:p>
            <w:pPr>
              <w:snapToGrid w:val="0"/>
              <w:spacing w:line="240" w:lineRule="auto"/>
              <w:jc w:val="center"/>
              <w:rPr>
                <w:sz w:val="21"/>
                <w:szCs w:val="21"/>
              </w:rPr>
            </w:pPr>
            <w:r>
              <w:rPr>
                <w:sz w:val="21"/>
                <w:szCs w:val="21"/>
              </w:rPr>
              <w:t>11.02</w:t>
            </w:r>
            <w:r>
              <w:rPr>
                <w:rFonts w:hint="eastAsia"/>
                <w:sz w:val="21"/>
                <w:szCs w:val="21"/>
              </w:rPr>
              <w:t>t/d</w:t>
            </w:r>
          </w:p>
        </w:tc>
        <w:tc>
          <w:tcPr>
            <w:tcW w:w="842" w:type="pct"/>
            <w:vAlign w:val="center"/>
          </w:tcPr>
          <w:p>
            <w:pPr>
              <w:snapToGrid w:val="0"/>
              <w:spacing w:line="240" w:lineRule="auto"/>
              <w:jc w:val="center"/>
              <w:rPr>
                <w:sz w:val="21"/>
                <w:szCs w:val="21"/>
              </w:rPr>
            </w:pPr>
            <w:r>
              <w:rPr>
                <w:sz w:val="21"/>
                <w:szCs w:val="21"/>
              </w:rPr>
              <w:t>4022.3t/a</w:t>
            </w:r>
          </w:p>
        </w:tc>
        <w:tc>
          <w:tcPr>
            <w:tcW w:w="2127" w:type="pct"/>
            <w:vAlign w:val="center"/>
          </w:tcPr>
          <w:p>
            <w:pPr>
              <w:snapToGrid w:val="0"/>
              <w:spacing w:line="240" w:lineRule="auto"/>
              <w:jc w:val="center"/>
              <w:rPr>
                <w:sz w:val="21"/>
                <w:szCs w:val="21"/>
                <w:highlight w:val="yellow"/>
              </w:rPr>
            </w:pPr>
            <w:r>
              <w:rPr>
                <w:rFonts w:hint="eastAsia"/>
                <w:sz w:val="21"/>
                <w:szCs w:val="21"/>
              </w:rPr>
              <w:t>连同废水一并运至乐山乐高勤力生物质能源综合利用有限公司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病死猪</w:t>
            </w:r>
          </w:p>
        </w:tc>
        <w:tc>
          <w:tcPr>
            <w:tcW w:w="755" w:type="pct"/>
            <w:vAlign w:val="center"/>
          </w:tcPr>
          <w:p>
            <w:pPr>
              <w:snapToGrid w:val="0"/>
              <w:spacing w:line="240" w:lineRule="auto"/>
              <w:jc w:val="center"/>
              <w:rPr>
                <w:sz w:val="21"/>
                <w:szCs w:val="21"/>
              </w:rPr>
            </w:pPr>
            <w:r>
              <w:rPr>
                <w:sz w:val="21"/>
                <w:szCs w:val="21"/>
              </w:rPr>
              <w:t>37.48kg/d</w:t>
            </w:r>
          </w:p>
        </w:tc>
        <w:tc>
          <w:tcPr>
            <w:tcW w:w="842" w:type="pct"/>
            <w:vAlign w:val="center"/>
          </w:tcPr>
          <w:p>
            <w:pPr>
              <w:snapToGrid w:val="0"/>
              <w:spacing w:line="240" w:lineRule="auto"/>
              <w:jc w:val="center"/>
              <w:rPr>
                <w:sz w:val="21"/>
                <w:szCs w:val="21"/>
              </w:rPr>
            </w:pPr>
            <w:r>
              <w:rPr>
                <w:sz w:val="21"/>
                <w:szCs w:val="21"/>
              </w:rPr>
              <w:t>13.68</w:t>
            </w:r>
            <w:r>
              <w:rPr>
                <w:rFonts w:hint="eastAsia"/>
                <w:sz w:val="21"/>
                <w:szCs w:val="21"/>
              </w:rPr>
              <w:t>t</w:t>
            </w:r>
            <w:r>
              <w:rPr>
                <w:sz w:val="21"/>
                <w:szCs w:val="21"/>
              </w:rPr>
              <w:t>/a</w:t>
            </w:r>
          </w:p>
        </w:tc>
        <w:tc>
          <w:tcPr>
            <w:tcW w:w="2127" w:type="pct"/>
            <w:vMerge w:val="restart"/>
            <w:vAlign w:val="center"/>
          </w:tcPr>
          <w:p>
            <w:pPr>
              <w:snapToGrid w:val="0"/>
              <w:spacing w:line="240" w:lineRule="auto"/>
              <w:jc w:val="center"/>
              <w:rPr>
                <w:sz w:val="21"/>
                <w:szCs w:val="21"/>
              </w:rPr>
            </w:pPr>
            <w:r>
              <w:rPr>
                <w:sz w:val="21"/>
                <w:szCs w:val="21"/>
              </w:rPr>
              <w:t>交由乐山市无害化处理中心处置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母猪分娩物</w:t>
            </w:r>
          </w:p>
        </w:tc>
        <w:tc>
          <w:tcPr>
            <w:tcW w:w="755" w:type="pct"/>
            <w:vAlign w:val="center"/>
          </w:tcPr>
          <w:p>
            <w:pPr>
              <w:snapToGrid w:val="0"/>
              <w:spacing w:line="240" w:lineRule="auto"/>
              <w:jc w:val="center"/>
              <w:rPr>
                <w:sz w:val="21"/>
                <w:szCs w:val="21"/>
              </w:rPr>
            </w:pPr>
            <w:r>
              <w:rPr>
                <w:sz w:val="21"/>
                <w:szCs w:val="21"/>
              </w:rPr>
              <w:t>0.27t/a</w:t>
            </w:r>
          </w:p>
        </w:tc>
        <w:tc>
          <w:tcPr>
            <w:tcW w:w="842" w:type="pct"/>
            <w:vAlign w:val="center"/>
          </w:tcPr>
          <w:p>
            <w:pPr>
              <w:snapToGrid w:val="0"/>
              <w:spacing w:line="240" w:lineRule="auto"/>
              <w:jc w:val="center"/>
              <w:rPr>
                <w:sz w:val="21"/>
                <w:szCs w:val="21"/>
                <w:highlight w:val="yellow"/>
              </w:rPr>
            </w:pPr>
            <w:r>
              <w:rPr>
                <w:sz w:val="21"/>
                <w:szCs w:val="21"/>
              </w:rPr>
              <w:t>97.2</w:t>
            </w:r>
            <w:r>
              <w:rPr>
                <w:rFonts w:hint="eastAsia"/>
                <w:sz w:val="21"/>
                <w:szCs w:val="21"/>
              </w:rPr>
              <w:t>t/a</w:t>
            </w:r>
          </w:p>
        </w:tc>
        <w:tc>
          <w:tcPr>
            <w:tcW w:w="2127" w:type="pct"/>
            <w:vMerge w:val="continue"/>
            <w:vAlign w:val="center"/>
          </w:tcPr>
          <w:p>
            <w:pPr>
              <w:snapToGrid w:val="0"/>
              <w:spacing w:line="240" w:lineRule="auto"/>
              <w:jc w:val="center"/>
              <w:rPr>
                <w:sz w:val="21"/>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淘汰种猪</w:t>
            </w:r>
          </w:p>
        </w:tc>
        <w:tc>
          <w:tcPr>
            <w:tcW w:w="755" w:type="pct"/>
            <w:vAlign w:val="center"/>
          </w:tcPr>
          <w:p>
            <w:pPr>
              <w:snapToGrid w:val="0"/>
              <w:spacing w:line="240" w:lineRule="auto"/>
              <w:jc w:val="center"/>
              <w:rPr>
                <w:sz w:val="21"/>
                <w:szCs w:val="21"/>
              </w:rPr>
            </w:pPr>
            <w:r>
              <w:rPr>
                <w:sz w:val="21"/>
                <w:szCs w:val="21"/>
              </w:rPr>
              <w:t>/</w:t>
            </w:r>
          </w:p>
        </w:tc>
        <w:tc>
          <w:tcPr>
            <w:tcW w:w="842" w:type="pct"/>
            <w:vAlign w:val="center"/>
          </w:tcPr>
          <w:p>
            <w:pPr>
              <w:snapToGrid w:val="0"/>
              <w:spacing w:line="240" w:lineRule="auto"/>
              <w:jc w:val="center"/>
              <w:rPr>
                <w:sz w:val="21"/>
                <w:szCs w:val="21"/>
              </w:rPr>
            </w:pPr>
            <w:r>
              <w:rPr>
                <w:sz w:val="21"/>
                <w:szCs w:val="21"/>
              </w:rPr>
              <w:t>900头/a</w:t>
            </w:r>
          </w:p>
        </w:tc>
        <w:tc>
          <w:tcPr>
            <w:tcW w:w="2127" w:type="pct"/>
            <w:vAlign w:val="center"/>
          </w:tcPr>
          <w:p>
            <w:pPr>
              <w:snapToGrid w:val="0"/>
              <w:spacing w:line="240" w:lineRule="auto"/>
              <w:jc w:val="center"/>
              <w:rPr>
                <w:sz w:val="21"/>
                <w:szCs w:val="21"/>
              </w:rPr>
            </w:pPr>
            <w:r>
              <w:rPr>
                <w:sz w:val="21"/>
                <w:szCs w:val="21"/>
              </w:rPr>
              <w:t>交由当地农户饲养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生活垃圾</w:t>
            </w:r>
          </w:p>
        </w:tc>
        <w:tc>
          <w:tcPr>
            <w:tcW w:w="755" w:type="pct"/>
            <w:vAlign w:val="center"/>
          </w:tcPr>
          <w:p>
            <w:pPr>
              <w:snapToGrid w:val="0"/>
              <w:spacing w:line="240" w:lineRule="auto"/>
              <w:jc w:val="center"/>
              <w:rPr>
                <w:sz w:val="21"/>
                <w:szCs w:val="21"/>
              </w:rPr>
            </w:pPr>
            <w:r>
              <w:rPr>
                <w:sz w:val="21"/>
                <w:szCs w:val="21"/>
              </w:rPr>
              <w:t>33kg</w:t>
            </w:r>
            <w:r>
              <w:rPr>
                <w:rFonts w:hint="eastAsia"/>
                <w:sz w:val="21"/>
                <w:szCs w:val="21"/>
              </w:rPr>
              <w:t>/</w:t>
            </w:r>
            <w:r>
              <w:rPr>
                <w:sz w:val="21"/>
                <w:szCs w:val="21"/>
              </w:rPr>
              <w:t>d</w:t>
            </w:r>
          </w:p>
        </w:tc>
        <w:tc>
          <w:tcPr>
            <w:tcW w:w="842" w:type="pct"/>
            <w:vAlign w:val="center"/>
          </w:tcPr>
          <w:p>
            <w:pPr>
              <w:snapToGrid w:val="0"/>
              <w:spacing w:line="240" w:lineRule="auto"/>
              <w:jc w:val="center"/>
              <w:rPr>
                <w:sz w:val="21"/>
                <w:szCs w:val="21"/>
              </w:rPr>
            </w:pPr>
            <w:r>
              <w:rPr>
                <w:sz w:val="21"/>
                <w:szCs w:val="21"/>
              </w:rPr>
              <w:t>12.05t/a</w:t>
            </w:r>
          </w:p>
        </w:tc>
        <w:tc>
          <w:tcPr>
            <w:tcW w:w="2127" w:type="pct"/>
            <w:vAlign w:val="center"/>
          </w:tcPr>
          <w:p>
            <w:pPr>
              <w:snapToGrid w:val="0"/>
              <w:spacing w:line="240" w:lineRule="auto"/>
              <w:jc w:val="center"/>
              <w:rPr>
                <w:sz w:val="21"/>
                <w:szCs w:val="21"/>
              </w:rPr>
            </w:pPr>
            <w:r>
              <w:rPr>
                <w:sz w:val="21"/>
                <w:szCs w:val="21"/>
              </w:rPr>
              <w:t>送至当地生活垃圾处理场集中处理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pct"/>
            <w:vAlign w:val="center"/>
          </w:tcPr>
          <w:p>
            <w:pPr>
              <w:snapToGrid w:val="0"/>
              <w:spacing w:line="240" w:lineRule="auto"/>
              <w:jc w:val="center"/>
              <w:rPr>
                <w:sz w:val="21"/>
                <w:szCs w:val="21"/>
              </w:rPr>
            </w:pPr>
            <w:r>
              <w:rPr>
                <w:sz w:val="21"/>
                <w:szCs w:val="21"/>
              </w:rPr>
              <w:t>医疗废物</w:t>
            </w:r>
          </w:p>
        </w:tc>
        <w:tc>
          <w:tcPr>
            <w:tcW w:w="755" w:type="pct"/>
            <w:vAlign w:val="center"/>
          </w:tcPr>
          <w:p>
            <w:pPr>
              <w:snapToGrid w:val="0"/>
              <w:spacing w:line="240" w:lineRule="auto"/>
              <w:jc w:val="center"/>
              <w:rPr>
                <w:sz w:val="21"/>
                <w:szCs w:val="21"/>
              </w:rPr>
            </w:pPr>
            <w:r>
              <w:rPr>
                <w:sz w:val="21"/>
                <w:szCs w:val="21"/>
              </w:rPr>
              <w:t>14.91kg/d</w:t>
            </w:r>
          </w:p>
        </w:tc>
        <w:tc>
          <w:tcPr>
            <w:tcW w:w="842" w:type="pct"/>
            <w:vAlign w:val="center"/>
          </w:tcPr>
          <w:p>
            <w:pPr>
              <w:snapToGrid w:val="0"/>
              <w:spacing w:line="240" w:lineRule="auto"/>
              <w:jc w:val="center"/>
              <w:rPr>
                <w:sz w:val="21"/>
                <w:szCs w:val="21"/>
              </w:rPr>
            </w:pPr>
            <w:r>
              <w:rPr>
                <w:sz w:val="21"/>
                <w:szCs w:val="21"/>
              </w:rPr>
              <w:t>5.44t/a</w:t>
            </w:r>
          </w:p>
        </w:tc>
        <w:tc>
          <w:tcPr>
            <w:tcW w:w="2127" w:type="pct"/>
            <w:vAlign w:val="center"/>
          </w:tcPr>
          <w:p>
            <w:pPr>
              <w:snapToGrid w:val="0"/>
              <w:spacing w:line="240" w:lineRule="auto"/>
              <w:jc w:val="center"/>
              <w:rPr>
                <w:sz w:val="21"/>
                <w:szCs w:val="21"/>
              </w:rPr>
            </w:pPr>
            <w:r>
              <w:rPr>
                <w:sz w:val="21"/>
                <w:szCs w:val="21"/>
              </w:rPr>
              <w:t>交由资质单位处理</w:t>
            </w:r>
          </w:p>
        </w:tc>
      </w:tr>
    </w:tbl>
    <w:p>
      <w:pPr>
        <w:pStyle w:val="2"/>
        <w:ind w:firstLine="480"/>
        <w:rPr>
          <w:rFonts w:hint="default"/>
        </w:rPr>
      </w:pP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 xml:space="preserve">.5.1 </w:t>
      </w:r>
      <w:r>
        <w:rPr>
          <w:rFonts w:eastAsia="黑体"/>
          <w:bCs/>
          <w:sz w:val="28"/>
          <w:szCs w:val="28"/>
        </w:rPr>
        <w:t>措施论证</w:t>
      </w:r>
    </w:p>
    <w:p>
      <w:pPr>
        <w:snapToGrid w:val="0"/>
        <w:ind w:firstLine="482"/>
        <w:jc w:val="left"/>
        <w:rPr>
          <w:kern w:val="0"/>
        </w:rPr>
      </w:pPr>
      <w:r>
        <w:rPr>
          <w:kern w:val="0"/>
        </w:rPr>
        <w:t>本环评要求，对地面进行硬化、防渗处理，及防风、防雨等措施，并根据废物化学特性和物理形态分类堆放，贴上危险标识。</w:t>
      </w:r>
      <w:r>
        <w:rPr>
          <w:rFonts w:hint="eastAsia"/>
          <w:kern w:val="0"/>
        </w:rPr>
        <w:t>医疗废物暂存</w:t>
      </w:r>
      <w:r>
        <w:rPr>
          <w:kern w:val="0"/>
        </w:rPr>
        <w:t>间严格按照《危险废物贮存污染控制标准》的要求设计，地面做好地面防雨、防渗、防腐措施。危险废物暂存间在现有防渗等级的基础上提高防渗等级，按重点防渗区进行防渗，至少2mm厚的其他人工材料，渗透系数≤10</w:t>
      </w:r>
      <w:r>
        <w:rPr>
          <w:kern w:val="0"/>
          <w:vertAlign w:val="superscript"/>
        </w:rPr>
        <w:t>-10</w:t>
      </w:r>
      <w:r>
        <w:rPr>
          <w:kern w:val="0"/>
        </w:rPr>
        <w:t>cm/s。</w:t>
      </w:r>
      <w:r>
        <w:rPr>
          <w:rFonts w:hint="eastAsia"/>
          <w:kern w:val="0"/>
        </w:rPr>
        <w:t>生活垃圾收集点按一般防渗区进行防渗，</w:t>
      </w:r>
      <w:r>
        <w:t>水泥防渗，防渗结构层渗透系数≤1.0×10</w:t>
      </w:r>
      <w:r>
        <w:rPr>
          <w:vertAlign w:val="superscript"/>
        </w:rPr>
        <w:t>-7</w:t>
      </w:r>
      <w:r>
        <w:t>cm/s</w:t>
      </w:r>
      <w:r>
        <w:rPr>
          <w:rFonts w:hint="eastAsia"/>
        </w:rPr>
        <w:t>。</w:t>
      </w:r>
    </w:p>
    <w:p>
      <w:pPr>
        <w:snapToGrid w:val="0"/>
        <w:ind w:firstLine="482"/>
        <w:jc w:val="left"/>
        <w:rPr>
          <w:kern w:val="0"/>
        </w:rPr>
      </w:pPr>
      <w:r>
        <w:rPr>
          <w:kern w:val="0"/>
        </w:rPr>
        <w:t>综上，项目固废均按不同的性质、种类采取了不同的处置方式，因此，固废处置措施经济可行。</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.5.2 医疗废物暂存间</w:t>
      </w:r>
      <w:r>
        <w:rPr>
          <w:rFonts w:eastAsia="黑体"/>
          <w:bCs/>
          <w:sz w:val="28"/>
          <w:szCs w:val="28"/>
        </w:rPr>
        <w:t>相关要求</w:t>
      </w:r>
    </w:p>
    <w:p>
      <w:pPr>
        <w:snapToGrid w:val="0"/>
        <w:ind w:firstLine="480" w:firstLineChars="200"/>
      </w:pPr>
      <w:r>
        <w:t>按照《医疗废物管理条例》（国务院第380号令）、《医疗废物集中处置技术规范（试行）》、《医疗废物专用包装袋、容器和警示标志标准》（HJ421-2008）、《医疗卫生机构医疗废物管理办法》（中华人民共和国卫生部令第36号）、《关于印发《医疗废物分类目录》的通知》（卫医发[2003]287号）的相关要求，医疗废物应采取以下管理措施；</w:t>
      </w:r>
    </w:p>
    <w:p>
      <w:pPr>
        <w:snapToGrid w:val="0"/>
        <w:ind w:firstLine="480" w:firstLineChars="200"/>
      </w:pPr>
      <w:r>
        <w:rPr>
          <w:rFonts w:hint="eastAsia"/>
        </w:rPr>
        <w:t>（1）</w:t>
      </w:r>
      <w:r>
        <w:t>医疗废物的收集和管理</w:t>
      </w:r>
    </w:p>
    <w:p>
      <w:pPr>
        <w:snapToGrid w:val="0"/>
        <w:ind w:firstLine="480" w:firstLineChars="200"/>
      </w:pPr>
      <w:r>
        <w:t>医疗卫生机构应当根据《医疗废物分类目录》，对医疗废物实施分类管理。医疗废物必须由指定的专人定时收集，收集人应有必要的防护措施。医疗机构的负责人应按照相关的法规及办法进行监督和管理。</w:t>
      </w:r>
    </w:p>
    <w:p>
      <w:pPr>
        <w:snapToGrid w:val="0"/>
        <w:ind w:firstLine="480" w:firstLineChars="200"/>
      </w:pPr>
      <w:r>
        <w:rPr>
          <w:rFonts w:hint="eastAsia"/>
        </w:rPr>
        <w:t>（2）</w:t>
      </w:r>
      <w:r>
        <w:t>医疗卫生机构应当按照以下要求，及时分类收集医疗废物：</w:t>
      </w:r>
    </w:p>
    <w:p>
      <w:pPr>
        <w:snapToGrid w:val="0"/>
        <w:ind w:firstLine="480" w:firstLineChars="20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t>根据医疗废物的类别，将医疗废物分置于符合《医疗废物专用包装物、容器的标准和警示标识的规定》的包装物或者容器内；</w:t>
      </w:r>
    </w:p>
    <w:p>
      <w:pPr>
        <w:snapToGrid w:val="0"/>
        <w:ind w:firstLine="480" w:firstLineChars="200"/>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t>在盛装医疗废物前，应当对医疗废物包装物或者容器进行认真检查，确保无破损、渗漏和其它缺陷；</w:t>
      </w:r>
    </w:p>
    <w:p>
      <w:pPr>
        <w:snapToGrid w:val="0"/>
        <w:ind w:firstLine="480" w:firstLineChars="200"/>
      </w:pPr>
      <w:r>
        <w:fldChar w:fldCharType="begin"/>
      </w:r>
      <w:r>
        <w:instrText xml:space="preserve"> </w:instrText>
      </w:r>
      <w:r>
        <w:rPr>
          <w:rFonts w:hint="eastAsia"/>
        </w:rPr>
        <w:instrText xml:space="preserve">= 3 \* GB3</w:instrText>
      </w:r>
      <w:r>
        <w:instrText xml:space="preserve"> </w:instrText>
      </w:r>
      <w:r>
        <w:fldChar w:fldCharType="separate"/>
      </w:r>
      <w:r>
        <w:rPr>
          <w:rFonts w:hint="eastAsia"/>
        </w:rPr>
        <w:t>③</w:t>
      </w:r>
      <w:r>
        <w:fldChar w:fldCharType="end"/>
      </w:r>
      <w:r>
        <w:t>感染性废物、损伤性废物、药物性废物及化学性废物不能混合收集。少量的药物性废物可以混入感染性废物，但应当在标签上注明；</w:t>
      </w:r>
    </w:p>
    <w:p>
      <w:pPr>
        <w:snapToGrid w:val="0"/>
        <w:ind w:firstLine="480" w:firstLineChars="200"/>
      </w:pPr>
      <w:r>
        <w:fldChar w:fldCharType="begin"/>
      </w:r>
      <w:r>
        <w:instrText xml:space="preserve"> </w:instrText>
      </w:r>
      <w:r>
        <w:rPr>
          <w:rFonts w:hint="eastAsia"/>
        </w:rPr>
        <w:instrText xml:space="preserve">= 4 \* GB3</w:instrText>
      </w:r>
      <w:r>
        <w:instrText xml:space="preserve"> </w:instrText>
      </w:r>
      <w:r>
        <w:fldChar w:fldCharType="separate"/>
      </w:r>
      <w:r>
        <w:rPr>
          <w:rFonts w:hint="eastAsia"/>
        </w:rPr>
        <w:t>④</w:t>
      </w:r>
      <w:r>
        <w:fldChar w:fldCharType="end"/>
      </w:r>
      <w:r>
        <w:t>批量的含有汞的体温计、血压计等医疗器具报废时，交由有资质的单位处置；</w:t>
      </w:r>
    </w:p>
    <w:p>
      <w:pPr>
        <w:snapToGrid w:val="0"/>
        <w:ind w:firstLine="480" w:firstLineChars="200"/>
      </w:pPr>
      <w:r>
        <w:fldChar w:fldCharType="begin"/>
      </w:r>
      <w:r>
        <w:instrText xml:space="preserve"> </w:instrText>
      </w:r>
      <w:r>
        <w:rPr>
          <w:rFonts w:hint="eastAsia"/>
        </w:rPr>
        <w:instrText xml:space="preserve">= 5 \* GB3</w:instrText>
      </w:r>
      <w:r>
        <w:instrText xml:space="preserve"> </w:instrText>
      </w:r>
      <w:r>
        <w:fldChar w:fldCharType="separate"/>
      </w:r>
      <w:r>
        <w:rPr>
          <w:rFonts w:hint="eastAsia"/>
        </w:rPr>
        <w:t>⑤</w:t>
      </w:r>
      <w:r>
        <w:fldChar w:fldCharType="end"/>
      </w:r>
      <w:r>
        <w:t>放入包装物或者容器内的感染性废物、损伤性废物不得取出。</w:t>
      </w:r>
    </w:p>
    <w:p>
      <w:pPr>
        <w:snapToGrid w:val="0"/>
        <w:ind w:firstLine="480" w:firstLineChars="200"/>
      </w:pPr>
      <w:r>
        <w:rPr>
          <w:rFonts w:hint="eastAsia"/>
        </w:rPr>
        <w:t>（3）</w:t>
      </w:r>
      <w:r>
        <w:t>盛装的医疗废物达到包装物或者容器的3/4时，应当使用有效的封口方式，使包装物或者容器的封口紧实、严密。</w:t>
      </w:r>
    </w:p>
    <w:p>
      <w:pPr>
        <w:snapToGrid w:val="0"/>
        <w:ind w:firstLine="480" w:firstLineChars="200"/>
      </w:pPr>
      <w:r>
        <w:rPr>
          <w:rFonts w:hint="eastAsia"/>
        </w:rPr>
        <w:t>（4）</w:t>
      </w:r>
      <w:r>
        <w:t xml:space="preserve">包装物或者容器的外表面被感染性废物污染时，应当对被污染处进行消毒处理或者增加一层包装。 </w:t>
      </w:r>
    </w:p>
    <w:p>
      <w:pPr>
        <w:snapToGrid w:val="0"/>
        <w:ind w:firstLine="480" w:firstLineChars="200"/>
      </w:pPr>
      <w:r>
        <w:rPr>
          <w:rFonts w:hint="eastAsia"/>
        </w:rPr>
        <w:t>（5）</w:t>
      </w:r>
      <w:r>
        <w:t>盛装医疗废物的每个包装物、容器外表面应当有警示标识，在每个包装物、容器上应当系中文标签，中文标签的内容应当包括：医疗废物产生单位、产生日期、类别及需要的特别说明等。</w:t>
      </w:r>
    </w:p>
    <w:p>
      <w:pPr>
        <w:snapToGrid w:val="0"/>
        <w:ind w:firstLine="480" w:firstLineChars="200"/>
      </w:pPr>
      <w:r>
        <w:rPr>
          <w:rFonts w:hint="eastAsia"/>
        </w:rPr>
        <w:t>（6）</w:t>
      </w:r>
      <w:r>
        <w:t>医疗废物的暂时贮存和管理</w:t>
      </w:r>
    </w:p>
    <w:p>
      <w:pPr>
        <w:snapToGrid w:val="0"/>
        <w:ind w:firstLine="480" w:firstLineChars="20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t>本项目医疗废物暂存间设置在兽医站旁。</w:t>
      </w:r>
    </w:p>
    <w:p>
      <w:pPr>
        <w:snapToGrid w:val="0"/>
        <w:ind w:firstLine="480" w:firstLineChars="200"/>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t>医疗废物暂时贮存设施、设备应当达到以下要求：</w:t>
      </w:r>
    </w:p>
    <w:p>
      <w:pPr>
        <w:snapToGrid w:val="0"/>
        <w:ind w:firstLine="480" w:firstLineChars="200"/>
        <w:rPr>
          <w:rFonts w:eastAsiaTheme="minorEastAsia"/>
        </w:rPr>
      </w:pPr>
      <w:r>
        <w:t>远离养殖区、食品加工区、人员活动区和生活垃圾存放场所，方便医疗废物运送人员及运送工具、车辆的出入；有严密的封闭措施，设专人管理，避免非工作人员进出，以及防鼠、防蚊蝇、防蟑螂、防盗以及预防儿童接触等安全措施；必须与生活垃圾存放地分开，有防雨淋的装置，地基高度应确保设施内不受雨洪冲击或浸泡；地面和1.0 米高的墙裙须进行防渗处理，易于清洁和消毒；避免阳光直射，应有良好的照明设备和通风条件；在库房外的明显处同时设置危险废物和医疗废物的警示标识，库房内应张贴“禁止吸烟、饮食”的警示标识。</w:t>
      </w:r>
    </w:p>
    <w:p>
      <w:pPr>
        <w:pStyle w:val="320"/>
        <w:snapToGrid w:val="0"/>
        <w:spacing w:line="360" w:lineRule="auto"/>
        <w:ind w:firstLine="480"/>
      </w:pPr>
      <w:r>
        <w:t>采取以上措施后，项目运营期产生的危险废物防治措施合理、可行。</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92" w:name="_Toc423336823"/>
      <w:bookmarkStart w:id="793" w:name="_Toc215454790"/>
      <w:bookmarkStart w:id="794" w:name="_Toc457481065"/>
      <w:bookmarkStart w:id="795" w:name="_Toc7363227"/>
      <w:bookmarkStart w:id="796" w:name="_Toc29110620"/>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.6</w:t>
      </w:r>
      <w:r>
        <w:rPr>
          <w:rFonts w:ascii="Times New Roman" w:hAnsi="Times New Roman" w:eastAsia="黑体" w:cs="Times New Roman"/>
          <w:b w:val="0"/>
          <w:bCs/>
          <w:spacing w:val="4"/>
          <w:kern w:val="2"/>
          <w:sz w:val="32"/>
          <w:szCs w:val="32"/>
        </w:rPr>
        <w:t>地下水污染防治对策分析</w:t>
      </w:r>
      <w:bookmarkEnd w:id="792"/>
      <w:bookmarkEnd w:id="793"/>
      <w:bookmarkEnd w:id="794"/>
      <w:bookmarkEnd w:id="795"/>
      <w:bookmarkEnd w:id="796"/>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.6.1</w:t>
      </w:r>
      <w:r>
        <w:rPr>
          <w:rFonts w:eastAsia="黑体"/>
          <w:bCs/>
          <w:sz w:val="28"/>
          <w:szCs w:val="28"/>
        </w:rPr>
        <w:t>防止地下水污染的总体防控原则</w:t>
      </w:r>
    </w:p>
    <w:p>
      <w:pPr>
        <w:snapToGrid w:val="0"/>
        <w:ind w:firstLine="482"/>
        <w:jc w:val="left"/>
        <w:rPr>
          <w:kern w:val="0"/>
        </w:rPr>
      </w:pPr>
      <w:r>
        <w:rPr>
          <w:kern w:val="0"/>
        </w:rPr>
        <w:t>防止地下水污染应坚持预防与控制相符合的全过程防控原则。</w:t>
      </w:r>
    </w:p>
    <w:p>
      <w:pPr>
        <w:snapToGrid w:val="0"/>
        <w:ind w:firstLine="482"/>
        <w:jc w:val="left"/>
        <w:rPr>
          <w:kern w:val="0"/>
        </w:rPr>
      </w:pPr>
      <w:r>
        <w:rPr>
          <w:kern w:val="0"/>
        </w:rPr>
        <w:t>（1）全过程控制原则</w:t>
      </w:r>
    </w:p>
    <w:p>
      <w:pPr>
        <w:snapToGrid w:val="0"/>
        <w:ind w:firstLine="482"/>
        <w:jc w:val="left"/>
        <w:rPr>
          <w:kern w:val="0"/>
        </w:rPr>
      </w:pPr>
      <w:r>
        <w:rPr>
          <w:kern w:val="0"/>
        </w:rPr>
        <w:t>针对工程可能发生的地下水污染，地下水污染防治按照“源头预防、末端控制、污染监控、应急处理”，从污染物的产生、入渗、扩散、应急处理全过程进行防控。</w:t>
      </w:r>
    </w:p>
    <w:p>
      <w:pPr>
        <w:snapToGrid w:val="0"/>
        <w:ind w:firstLine="482"/>
        <w:jc w:val="left"/>
        <w:rPr>
          <w:kern w:val="0"/>
        </w:rPr>
      </w:pPr>
      <w:r>
        <w:rPr>
          <w:kern w:val="0"/>
        </w:rPr>
        <w:t>（2）分区防治原则</w:t>
      </w:r>
    </w:p>
    <w:p>
      <w:pPr>
        <w:snapToGrid w:val="0"/>
        <w:ind w:firstLine="482"/>
        <w:jc w:val="left"/>
        <w:rPr>
          <w:kern w:val="0"/>
        </w:rPr>
      </w:pPr>
      <w:r>
        <w:rPr>
          <w:kern w:val="0"/>
        </w:rPr>
        <w:t>根据工艺、设备、管线设计方案及操作工况、所涉及的物料及其可能泄露的途径等，进行地下水污染分区划分，不同分区采取与之相适应的防止地下水污染设计。污染区划分应结合项目实际情况确定。</w:t>
      </w:r>
    </w:p>
    <w:p>
      <w:pPr>
        <w:snapToGrid w:val="0"/>
        <w:ind w:firstLine="482"/>
        <w:jc w:val="left"/>
        <w:rPr>
          <w:kern w:val="0"/>
        </w:rPr>
      </w:pPr>
      <w:r>
        <w:rPr>
          <w:kern w:val="0"/>
        </w:rPr>
        <w:t>（3）“可视化”原则</w:t>
      </w:r>
    </w:p>
    <w:p>
      <w:pPr>
        <w:snapToGrid w:val="0"/>
        <w:ind w:firstLine="482"/>
        <w:jc w:val="left"/>
        <w:rPr>
          <w:kern w:val="0"/>
        </w:rPr>
      </w:pPr>
      <w:r>
        <w:rPr>
          <w:kern w:val="0"/>
        </w:rPr>
        <w:t>加工、储存、输送可能污染地下水物质的设备、管线应尽量布置在地上，便于物料泄漏情况下的及时发现和及时处理。</w:t>
      </w:r>
    </w:p>
    <w:p>
      <w:pPr>
        <w:snapToGrid w:val="0"/>
        <w:ind w:firstLine="482"/>
        <w:jc w:val="left"/>
        <w:rPr>
          <w:kern w:val="0"/>
        </w:rPr>
      </w:pPr>
      <w:r>
        <w:rPr>
          <w:kern w:val="0"/>
        </w:rPr>
        <w:t>（4）可实施性原则</w:t>
      </w:r>
    </w:p>
    <w:p>
      <w:pPr>
        <w:snapToGrid w:val="0"/>
        <w:ind w:firstLine="482"/>
        <w:jc w:val="left"/>
        <w:rPr>
          <w:kern w:val="0"/>
        </w:rPr>
      </w:pPr>
      <w:r>
        <w:rPr>
          <w:kern w:val="0"/>
        </w:rPr>
        <w:t>采用可靠的防止地下水污染材料、技术和实施手段，在不对地下水污染的前提下，又能满足项目建设整体的进度和费用要求。</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 xml:space="preserve">.6.2 </w:t>
      </w:r>
      <w:r>
        <w:rPr>
          <w:rFonts w:eastAsia="黑体"/>
          <w:bCs/>
          <w:sz w:val="28"/>
          <w:szCs w:val="28"/>
        </w:rPr>
        <w:t>防渗区域的合理划分</w:t>
      </w:r>
    </w:p>
    <w:p>
      <w:pPr>
        <w:snapToGrid w:val="0"/>
        <w:ind w:firstLine="482"/>
        <w:jc w:val="left"/>
        <w:rPr>
          <w:kern w:val="0"/>
        </w:rPr>
      </w:pPr>
      <w:r>
        <w:rPr>
          <w:kern w:val="0"/>
        </w:rPr>
        <w:t>（1）防渗区域的划分原则</w:t>
      </w:r>
    </w:p>
    <w:p>
      <w:pPr>
        <w:snapToGrid w:val="0"/>
        <w:ind w:firstLine="482"/>
        <w:jc w:val="left"/>
        <w:rPr>
          <w:kern w:val="0"/>
        </w:rPr>
      </w:pPr>
      <w:r>
        <w:rPr>
          <w:kern w:val="0"/>
        </w:rPr>
        <w:t>根据不同区域或部位可能泄露物对地下水可能污染的程度，制定客观与科学合理的防渗分区方案，在保护地下水环境的前提下，尽可能降低工程投资。将项目厂区是否为隐蔽工程、发生物料泄漏是否容易发现和能否及时得到处理作为污染防治分区的划分原则。据此划分为重点污染防治区、一般污染防治区和简单防治区 三大区域。</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1 \* GB3</w:instrText>
      </w:r>
      <w:r>
        <w:rPr>
          <w:kern w:val="0"/>
        </w:rPr>
        <w:instrText xml:space="preserve"> </w:instrText>
      </w:r>
      <w:r>
        <w:rPr>
          <w:kern w:val="0"/>
        </w:rPr>
        <w:fldChar w:fldCharType="separate"/>
      </w:r>
      <w:r>
        <w:rPr>
          <w:rFonts w:hint="eastAsia"/>
          <w:kern w:val="0"/>
        </w:rPr>
        <w:t>①</w:t>
      </w:r>
      <w:r>
        <w:rPr>
          <w:kern w:val="0"/>
        </w:rPr>
        <w:fldChar w:fldCharType="end"/>
      </w:r>
      <w:r>
        <w:rPr>
          <w:kern w:val="0"/>
        </w:rPr>
        <w:t>重点污染防治区</w:t>
      </w:r>
    </w:p>
    <w:p>
      <w:pPr>
        <w:snapToGrid w:val="0"/>
        <w:ind w:firstLine="482"/>
        <w:jc w:val="left"/>
        <w:rPr>
          <w:kern w:val="0"/>
        </w:rPr>
      </w:pPr>
      <w:r>
        <w:rPr>
          <w:kern w:val="0"/>
        </w:rPr>
        <w:t>指对地下水环境有污染的物料或污染物泄漏后，不能发现和处理的区域或部位。</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2 \* GB3</w:instrText>
      </w:r>
      <w:r>
        <w:rPr>
          <w:kern w:val="0"/>
        </w:rPr>
        <w:instrText xml:space="preserve"> </w:instrText>
      </w:r>
      <w:r>
        <w:rPr>
          <w:kern w:val="0"/>
        </w:rPr>
        <w:fldChar w:fldCharType="separate"/>
      </w:r>
      <w:r>
        <w:rPr>
          <w:rFonts w:hint="eastAsia"/>
          <w:kern w:val="0"/>
        </w:rPr>
        <w:t>②</w:t>
      </w:r>
      <w:r>
        <w:rPr>
          <w:kern w:val="0"/>
        </w:rPr>
        <w:fldChar w:fldCharType="end"/>
      </w:r>
      <w:r>
        <w:rPr>
          <w:kern w:val="0"/>
        </w:rPr>
        <w:t>一般污染防治区</w:t>
      </w:r>
    </w:p>
    <w:p>
      <w:pPr>
        <w:snapToGrid w:val="0"/>
        <w:ind w:firstLine="482"/>
        <w:jc w:val="left"/>
        <w:rPr>
          <w:kern w:val="0"/>
        </w:rPr>
      </w:pPr>
      <w:r>
        <w:rPr>
          <w:kern w:val="0"/>
        </w:rPr>
        <w:t>指对地下水环境有污染的物料或污染物泄漏后，容易发现和可及时处理的区域或部位。主要包括架空设备、容器、管道、地面、明沟等。</w:t>
      </w:r>
    </w:p>
    <w:p>
      <w:pPr>
        <w:snapToGrid w:val="0"/>
        <w:ind w:firstLine="482"/>
        <w:jc w:val="left"/>
        <w:rPr>
          <w:kern w:val="0"/>
        </w:rPr>
      </w:pPr>
      <w:r>
        <w:rPr>
          <w:kern w:val="0"/>
        </w:rPr>
        <w:fldChar w:fldCharType="begin"/>
      </w:r>
      <w:r>
        <w:rPr>
          <w:kern w:val="0"/>
        </w:rPr>
        <w:instrText xml:space="preserve"> </w:instrText>
      </w:r>
      <w:r>
        <w:rPr>
          <w:rFonts w:hint="eastAsia"/>
          <w:kern w:val="0"/>
        </w:rPr>
        <w:instrText xml:space="preserve">= 3 \* GB3</w:instrText>
      </w:r>
      <w:r>
        <w:rPr>
          <w:kern w:val="0"/>
        </w:rPr>
        <w:instrText xml:space="preserve"> </w:instrText>
      </w:r>
      <w:r>
        <w:rPr>
          <w:kern w:val="0"/>
        </w:rPr>
        <w:fldChar w:fldCharType="separate"/>
      </w:r>
      <w:r>
        <w:rPr>
          <w:rFonts w:hint="eastAsia"/>
          <w:kern w:val="0"/>
        </w:rPr>
        <w:t>③</w:t>
      </w:r>
      <w:r>
        <w:rPr>
          <w:kern w:val="0"/>
        </w:rPr>
        <w:fldChar w:fldCharType="end"/>
      </w:r>
      <w:r>
        <w:rPr>
          <w:kern w:val="0"/>
        </w:rPr>
        <w:t xml:space="preserve">简单防治区 </w:t>
      </w:r>
    </w:p>
    <w:p>
      <w:pPr>
        <w:snapToGrid w:val="0"/>
        <w:ind w:firstLine="482"/>
        <w:jc w:val="left"/>
        <w:rPr>
          <w:kern w:val="0"/>
        </w:rPr>
      </w:pPr>
      <w:r>
        <w:rPr>
          <w:kern w:val="0"/>
        </w:rPr>
        <w:t>指没有污染物泄漏或泄漏物不会对地下水环境造成污染的区域或部位。主要包括办公生活区、集中控制区等辅助区域、雨水明沟等。</w:t>
      </w:r>
    </w:p>
    <w:p>
      <w:pPr>
        <w:snapToGrid w:val="0"/>
        <w:ind w:firstLine="482"/>
        <w:jc w:val="left"/>
        <w:rPr>
          <w:kern w:val="0"/>
        </w:rPr>
      </w:pPr>
      <w:r>
        <w:rPr>
          <w:kern w:val="0"/>
        </w:rPr>
        <w:t>（2）本项目污染防治区的划分</w:t>
      </w:r>
    </w:p>
    <w:p>
      <w:pPr>
        <w:snapToGrid w:val="0"/>
        <w:ind w:firstLine="482"/>
        <w:jc w:val="left"/>
        <w:rPr>
          <w:kern w:val="0"/>
        </w:rPr>
      </w:pPr>
      <w:r>
        <w:rPr>
          <w:kern w:val="0"/>
        </w:rPr>
        <w:t>地面防渗采取分区防渗原则，划分为重点污染防治区、一般污染防治区和简单防治区。分区情况见下表10.</w:t>
      </w:r>
      <w:r>
        <w:rPr>
          <w:rFonts w:hint="eastAsia"/>
          <w:kern w:val="0"/>
        </w:rPr>
        <w:t>6</w:t>
      </w:r>
      <w:r>
        <w:rPr>
          <w:kern w:val="0"/>
        </w:rPr>
        <w:t>-1。</w:t>
      </w:r>
    </w:p>
    <w:p>
      <w:pPr>
        <w:widowControl/>
        <w:spacing w:line="240" w:lineRule="auto"/>
        <w:ind w:firstLine="480" w:firstLineChars="200"/>
        <w:jc w:val="center"/>
        <w:rPr>
          <w:b/>
          <w:bCs/>
        </w:rPr>
      </w:pPr>
      <w:r>
        <w:rPr>
          <w:rFonts w:eastAsia="黑体"/>
        </w:rPr>
        <w:t>表10.</w:t>
      </w:r>
      <w:r>
        <w:rPr>
          <w:rFonts w:hint="eastAsia" w:eastAsia="黑体"/>
        </w:rPr>
        <w:t>6</w:t>
      </w:r>
      <w:r>
        <w:rPr>
          <w:rFonts w:eastAsia="黑体"/>
        </w:rPr>
        <w:t>-1 项目厂区污染防治分区情况一览表</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94"/>
        <w:gridCol w:w="2972"/>
        <w:gridCol w:w="1630"/>
        <w:gridCol w:w="2109"/>
        <w:gridCol w:w="210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22" w:type="dxa"/>
            <w:vAlign w:val="center"/>
          </w:tcPr>
          <w:p>
            <w:pPr>
              <w:autoSpaceDE w:val="0"/>
              <w:autoSpaceDN w:val="0"/>
              <w:adjustRightInd w:val="0"/>
              <w:snapToGrid w:val="0"/>
              <w:spacing w:line="240" w:lineRule="auto"/>
              <w:jc w:val="center"/>
              <w:rPr>
                <w:b/>
                <w:sz w:val="21"/>
                <w:szCs w:val="21"/>
              </w:rPr>
            </w:pPr>
            <w:r>
              <w:rPr>
                <w:b/>
                <w:sz w:val="21"/>
                <w:szCs w:val="21"/>
              </w:rPr>
              <w:t>序号</w:t>
            </w:r>
          </w:p>
        </w:tc>
        <w:tc>
          <w:tcPr>
            <w:tcW w:w="2664" w:type="dxa"/>
            <w:vAlign w:val="center"/>
          </w:tcPr>
          <w:p>
            <w:pPr>
              <w:autoSpaceDE w:val="0"/>
              <w:autoSpaceDN w:val="0"/>
              <w:adjustRightInd w:val="0"/>
              <w:snapToGrid w:val="0"/>
              <w:spacing w:line="240" w:lineRule="auto"/>
              <w:jc w:val="center"/>
              <w:rPr>
                <w:b/>
                <w:sz w:val="21"/>
                <w:szCs w:val="21"/>
              </w:rPr>
            </w:pPr>
            <w:r>
              <w:rPr>
                <w:b/>
                <w:sz w:val="21"/>
                <w:szCs w:val="21"/>
              </w:rPr>
              <w:t>构筑物</w:t>
            </w:r>
          </w:p>
        </w:tc>
        <w:tc>
          <w:tcPr>
            <w:tcW w:w="1461" w:type="dxa"/>
            <w:vAlign w:val="center"/>
          </w:tcPr>
          <w:p>
            <w:pPr>
              <w:autoSpaceDE w:val="0"/>
              <w:autoSpaceDN w:val="0"/>
              <w:adjustRightInd w:val="0"/>
              <w:snapToGrid w:val="0"/>
              <w:spacing w:line="240" w:lineRule="auto"/>
              <w:jc w:val="center"/>
              <w:rPr>
                <w:b/>
                <w:sz w:val="21"/>
                <w:szCs w:val="21"/>
              </w:rPr>
            </w:pPr>
            <w:r>
              <w:rPr>
                <w:b/>
                <w:sz w:val="21"/>
                <w:szCs w:val="21"/>
              </w:rPr>
              <w:t>主要污染介质</w:t>
            </w:r>
          </w:p>
        </w:tc>
        <w:tc>
          <w:tcPr>
            <w:tcW w:w="1891" w:type="dxa"/>
            <w:vAlign w:val="center"/>
          </w:tcPr>
          <w:p>
            <w:pPr>
              <w:autoSpaceDE w:val="0"/>
              <w:autoSpaceDN w:val="0"/>
              <w:adjustRightInd w:val="0"/>
              <w:snapToGrid w:val="0"/>
              <w:spacing w:line="240" w:lineRule="auto"/>
              <w:jc w:val="center"/>
              <w:rPr>
                <w:b/>
                <w:sz w:val="21"/>
                <w:szCs w:val="21"/>
              </w:rPr>
            </w:pPr>
            <w:r>
              <w:rPr>
                <w:b/>
                <w:sz w:val="21"/>
                <w:szCs w:val="21"/>
              </w:rPr>
              <w:t>分区类别</w:t>
            </w:r>
          </w:p>
        </w:tc>
        <w:tc>
          <w:tcPr>
            <w:tcW w:w="1891" w:type="dxa"/>
            <w:vAlign w:val="center"/>
          </w:tcPr>
          <w:p>
            <w:pPr>
              <w:autoSpaceDE w:val="0"/>
              <w:autoSpaceDN w:val="0"/>
              <w:adjustRightInd w:val="0"/>
              <w:snapToGrid w:val="0"/>
              <w:spacing w:line="240" w:lineRule="auto"/>
              <w:jc w:val="center"/>
              <w:rPr>
                <w:b/>
                <w:sz w:val="21"/>
                <w:szCs w:val="21"/>
              </w:rPr>
            </w:pPr>
            <w:r>
              <w:rPr>
                <w:rFonts w:hint="eastAsia"/>
                <w:b/>
                <w:sz w:val="21"/>
                <w:szCs w:val="21"/>
              </w:rPr>
              <w:t>防渗级别</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22" w:type="dxa"/>
            <w:vAlign w:val="center"/>
          </w:tcPr>
          <w:p>
            <w:pPr>
              <w:autoSpaceDE w:val="0"/>
              <w:autoSpaceDN w:val="0"/>
              <w:adjustRightInd w:val="0"/>
              <w:snapToGrid w:val="0"/>
              <w:spacing w:line="240" w:lineRule="auto"/>
              <w:jc w:val="center"/>
              <w:rPr>
                <w:sz w:val="21"/>
                <w:szCs w:val="21"/>
              </w:rPr>
            </w:pPr>
            <w:r>
              <w:rPr>
                <w:sz w:val="21"/>
                <w:szCs w:val="21"/>
              </w:rPr>
              <w:t>1</w:t>
            </w:r>
          </w:p>
        </w:tc>
        <w:tc>
          <w:tcPr>
            <w:tcW w:w="2664" w:type="dxa"/>
            <w:vAlign w:val="center"/>
          </w:tcPr>
          <w:p>
            <w:pPr>
              <w:autoSpaceDE w:val="0"/>
              <w:autoSpaceDN w:val="0"/>
              <w:adjustRightInd w:val="0"/>
              <w:snapToGrid w:val="0"/>
              <w:spacing w:line="240" w:lineRule="auto"/>
              <w:jc w:val="center"/>
              <w:rPr>
                <w:sz w:val="21"/>
                <w:szCs w:val="21"/>
              </w:rPr>
            </w:pPr>
            <w:r>
              <w:rPr>
                <w:rFonts w:hint="eastAsia"/>
                <w:sz w:val="21"/>
                <w:szCs w:val="21"/>
              </w:rPr>
              <w:t>医疗</w:t>
            </w:r>
            <w:r>
              <w:rPr>
                <w:sz w:val="21"/>
                <w:szCs w:val="21"/>
              </w:rPr>
              <w:t>暂存间</w:t>
            </w:r>
            <w:r>
              <w:rPr>
                <w:rFonts w:hint="eastAsia"/>
                <w:sz w:val="21"/>
                <w:szCs w:val="21"/>
              </w:rPr>
              <w:t>、病死猪暂存间、分娩物暂存间、粪污集污池、圈舍底部的收集池、柴油发电机房、化粪池、备用沼气池、沼液暂存池、田间池</w:t>
            </w:r>
          </w:p>
        </w:tc>
        <w:tc>
          <w:tcPr>
            <w:tcW w:w="1461" w:type="dxa"/>
            <w:vAlign w:val="center"/>
          </w:tcPr>
          <w:p>
            <w:pPr>
              <w:autoSpaceDE w:val="0"/>
              <w:autoSpaceDN w:val="0"/>
              <w:adjustRightInd w:val="0"/>
              <w:snapToGrid w:val="0"/>
              <w:spacing w:line="240" w:lineRule="auto"/>
              <w:jc w:val="center"/>
              <w:rPr>
                <w:sz w:val="21"/>
                <w:szCs w:val="21"/>
              </w:rPr>
            </w:pPr>
            <w:r>
              <w:rPr>
                <w:sz w:val="21"/>
                <w:szCs w:val="21"/>
              </w:rPr>
              <w:t>/</w:t>
            </w:r>
          </w:p>
        </w:tc>
        <w:tc>
          <w:tcPr>
            <w:tcW w:w="1891" w:type="dxa"/>
            <w:vAlign w:val="center"/>
          </w:tcPr>
          <w:p>
            <w:pPr>
              <w:autoSpaceDE w:val="0"/>
              <w:autoSpaceDN w:val="0"/>
              <w:adjustRightInd w:val="0"/>
              <w:snapToGrid w:val="0"/>
              <w:spacing w:line="240" w:lineRule="auto"/>
              <w:jc w:val="center"/>
              <w:rPr>
                <w:sz w:val="21"/>
                <w:szCs w:val="21"/>
              </w:rPr>
            </w:pPr>
            <w:r>
              <w:rPr>
                <w:sz w:val="21"/>
                <w:szCs w:val="21"/>
              </w:rPr>
              <w:t>重点污染防治区</w:t>
            </w:r>
          </w:p>
        </w:tc>
        <w:tc>
          <w:tcPr>
            <w:tcW w:w="1891" w:type="dxa"/>
            <w:vAlign w:val="center"/>
          </w:tcPr>
          <w:p>
            <w:pPr>
              <w:autoSpaceDE w:val="0"/>
              <w:autoSpaceDN w:val="0"/>
              <w:adjustRightInd w:val="0"/>
              <w:snapToGrid w:val="0"/>
              <w:spacing w:line="240" w:lineRule="auto"/>
              <w:jc w:val="center"/>
              <w:rPr>
                <w:sz w:val="21"/>
                <w:szCs w:val="21"/>
              </w:rPr>
            </w:pPr>
            <w:r>
              <w:rPr>
                <w:sz w:val="21"/>
                <w:szCs w:val="21"/>
              </w:rPr>
              <w:t>渗透系数≤1.0×10</w:t>
            </w:r>
            <w:r>
              <w:rPr>
                <w:sz w:val="21"/>
                <w:szCs w:val="21"/>
                <w:vertAlign w:val="superscript"/>
              </w:rPr>
              <w:t>-10</w:t>
            </w:r>
            <w:r>
              <w:rPr>
                <w:sz w:val="21"/>
                <w:szCs w:val="21"/>
              </w:rPr>
              <w:t>cm/s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22" w:type="dxa"/>
            <w:vAlign w:val="center"/>
          </w:tcPr>
          <w:p>
            <w:pPr>
              <w:autoSpaceDE w:val="0"/>
              <w:autoSpaceDN w:val="0"/>
              <w:adjustRightInd w:val="0"/>
              <w:snapToGrid w:val="0"/>
              <w:spacing w:line="240" w:lineRule="auto"/>
              <w:jc w:val="center"/>
              <w:rPr>
                <w:sz w:val="21"/>
                <w:szCs w:val="21"/>
              </w:rPr>
            </w:pPr>
            <w:r>
              <w:rPr>
                <w:sz w:val="21"/>
                <w:szCs w:val="21"/>
              </w:rPr>
              <w:t>2</w:t>
            </w:r>
          </w:p>
        </w:tc>
        <w:tc>
          <w:tcPr>
            <w:tcW w:w="2664" w:type="dxa"/>
            <w:vAlign w:val="center"/>
          </w:tcPr>
          <w:p>
            <w:pPr>
              <w:autoSpaceDE w:val="0"/>
              <w:autoSpaceDN w:val="0"/>
              <w:adjustRightInd w:val="0"/>
              <w:snapToGrid w:val="0"/>
              <w:spacing w:line="240" w:lineRule="auto"/>
              <w:jc w:val="center"/>
              <w:rPr>
                <w:sz w:val="21"/>
                <w:szCs w:val="21"/>
              </w:rPr>
            </w:pPr>
            <w:r>
              <w:rPr>
                <w:rFonts w:hint="eastAsia"/>
                <w:sz w:val="21"/>
                <w:szCs w:val="21"/>
              </w:rPr>
              <w:t>生产车间、生活垃圾收集点</w:t>
            </w:r>
          </w:p>
        </w:tc>
        <w:tc>
          <w:tcPr>
            <w:tcW w:w="1461" w:type="dxa"/>
            <w:vAlign w:val="center"/>
          </w:tcPr>
          <w:p>
            <w:pPr>
              <w:autoSpaceDE w:val="0"/>
              <w:autoSpaceDN w:val="0"/>
              <w:adjustRightInd w:val="0"/>
              <w:snapToGrid w:val="0"/>
              <w:spacing w:line="240" w:lineRule="auto"/>
              <w:jc w:val="center"/>
              <w:rPr>
                <w:sz w:val="21"/>
                <w:szCs w:val="21"/>
              </w:rPr>
            </w:pPr>
            <w:r>
              <w:rPr>
                <w:sz w:val="21"/>
                <w:szCs w:val="21"/>
              </w:rPr>
              <w:t>少量原辅材料、产品等</w:t>
            </w:r>
          </w:p>
        </w:tc>
        <w:tc>
          <w:tcPr>
            <w:tcW w:w="1891" w:type="dxa"/>
            <w:vAlign w:val="center"/>
          </w:tcPr>
          <w:p>
            <w:pPr>
              <w:autoSpaceDE w:val="0"/>
              <w:autoSpaceDN w:val="0"/>
              <w:adjustRightInd w:val="0"/>
              <w:snapToGrid w:val="0"/>
              <w:spacing w:line="240" w:lineRule="auto"/>
              <w:jc w:val="center"/>
              <w:rPr>
                <w:sz w:val="21"/>
                <w:szCs w:val="21"/>
              </w:rPr>
            </w:pPr>
            <w:r>
              <w:rPr>
                <w:sz w:val="21"/>
                <w:szCs w:val="21"/>
              </w:rPr>
              <w:t>一般污染防治区</w:t>
            </w:r>
          </w:p>
        </w:tc>
        <w:tc>
          <w:tcPr>
            <w:tcW w:w="1891" w:type="dxa"/>
            <w:vAlign w:val="center"/>
          </w:tcPr>
          <w:p>
            <w:pPr>
              <w:autoSpaceDE w:val="0"/>
              <w:autoSpaceDN w:val="0"/>
              <w:adjustRightInd w:val="0"/>
              <w:snapToGrid w:val="0"/>
              <w:spacing w:line="240" w:lineRule="auto"/>
              <w:jc w:val="center"/>
              <w:rPr>
                <w:sz w:val="21"/>
                <w:szCs w:val="21"/>
              </w:rPr>
            </w:pPr>
            <w:r>
              <w:rPr>
                <w:sz w:val="21"/>
                <w:szCs w:val="21"/>
              </w:rPr>
              <w:t>渗透系数≤1.0×10</w:t>
            </w:r>
            <w:r>
              <w:rPr>
                <w:sz w:val="21"/>
                <w:szCs w:val="21"/>
                <w:vertAlign w:val="superscript"/>
              </w:rPr>
              <w:t>-7</w:t>
            </w:r>
            <w:r>
              <w:rPr>
                <w:sz w:val="21"/>
                <w:szCs w:val="21"/>
              </w:rPr>
              <w:t>cm/s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22" w:type="dxa"/>
            <w:vAlign w:val="center"/>
          </w:tcPr>
          <w:p>
            <w:pPr>
              <w:autoSpaceDE w:val="0"/>
              <w:autoSpaceDN w:val="0"/>
              <w:adjustRightInd w:val="0"/>
              <w:snapToGrid w:val="0"/>
              <w:spacing w:line="240" w:lineRule="auto"/>
              <w:jc w:val="center"/>
              <w:rPr>
                <w:sz w:val="21"/>
                <w:szCs w:val="21"/>
              </w:rPr>
            </w:pPr>
            <w:r>
              <w:rPr>
                <w:sz w:val="21"/>
                <w:szCs w:val="21"/>
              </w:rPr>
              <w:t>3</w:t>
            </w:r>
          </w:p>
        </w:tc>
        <w:tc>
          <w:tcPr>
            <w:tcW w:w="2664" w:type="dxa"/>
            <w:vAlign w:val="center"/>
          </w:tcPr>
          <w:p>
            <w:pPr>
              <w:autoSpaceDE w:val="0"/>
              <w:autoSpaceDN w:val="0"/>
              <w:adjustRightInd w:val="0"/>
              <w:snapToGrid w:val="0"/>
              <w:spacing w:line="240" w:lineRule="auto"/>
              <w:jc w:val="center"/>
              <w:rPr>
                <w:sz w:val="21"/>
                <w:szCs w:val="21"/>
              </w:rPr>
            </w:pPr>
            <w:r>
              <w:rPr>
                <w:sz w:val="21"/>
                <w:szCs w:val="21"/>
              </w:rPr>
              <w:t>道路区、办公生活区</w:t>
            </w:r>
            <w:r>
              <w:rPr>
                <w:rFonts w:hint="eastAsia"/>
                <w:sz w:val="21"/>
                <w:szCs w:val="21"/>
              </w:rPr>
              <w:t>、倒班宿舍、食堂</w:t>
            </w:r>
          </w:p>
        </w:tc>
        <w:tc>
          <w:tcPr>
            <w:tcW w:w="1461" w:type="dxa"/>
            <w:vAlign w:val="center"/>
          </w:tcPr>
          <w:p>
            <w:pPr>
              <w:autoSpaceDE w:val="0"/>
              <w:autoSpaceDN w:val="0"/>
              <w:adjustRightInd w:val="0"/>
              <w:snapToGrid w:val="0"/>
              <w:spacing w:line="240" w:lineRule="auto"/>
              <w:jc w:val="center"/>
              <w:rPr>
                <w:sz w:val="21"/>
                <w:szCs w:val="21"/>
              </w:rPr>
            </w:pPr>
            <w:r>
              <w:rPr>
                <w:sz w:val="21"/>
                <w:szCs w:val="21"/>
              </w:rPr>
              <w:t>/</w:t>
            </w:r>
          </w:p>
        </w:tc>
        <w:tc>
          <w:tcPr>
            <w:tcW w:w="1891" w:type="dxa"/>
            <w:vAlign w:val="center"/>
          </w:tcPr>
          <w:p>
            <w:pPr>
              <w:autoSpaceDE w:val="0"/>
              <w:autoSpaceDN w:val="0"/>
              <w:adjustRightInd w:val="0"/>
              <w:snapToGrid w:val="0"/>
              <w:spacing w:line="240" w:lineRule="auto"/>
              <w:jc w:val="center"/>
              <w:rPr>
                <w:sz w:val="21"/>
                <w:szCs w:val="21"/>
              </w:rPr>
            </w:pPr>
            <w:r>
              <w:rPr>
                <w:sz w:val="21"/>
                <w:szCs w:val="21"/>
              </w:rPr>
              <w:t>简单防治区</w:t>
            </w:r>
          </w:p>
        </w:tc>
        <w:tc>
          <w:tcPr>
            <w:tcW w:w="1891" w:type="dxa"/>
            <w:vAlign w:val="center"/>
          </w:tcPr>
          <w:p>
            <w:pPr>
              <w:autoSpaceDE w:val="0"/>
              <w:autoSpaceDN w:val="0"/>
              <w:adjustRightInd w:val="0"/>
              <w:snapToGrid w:val="0"/>
              <w:spacing w:line="240" w:lineRule="auto"/>
              <w:jc w:val="center"/>
              <w:rPr>
                <w:sz w:val="21"/>
                <w:szCs w:val="21"/>
              </w:rPr>
            </w:pPr>
            <w:r>
              <w:rPr>
                <w:rFonts w:hint="eastAsia"/>
                <w:sz w:val="21"/>
                <w:szCs w:val="21"/>
              </w:rPr>
              <w:t>/</w:t>
            </w:r>
          </w:p>
        </w:tc>
      </w:tr>
    </w:tbl>
    <w:p>
      <w:pPr>
        <w:snapToGrid w:val="0"/>
        <w:ind w:firstLine="482"/>
        <w:jc w:val="left"/>
      </w:pPr>
      <w:r>
        <w:rPr>
          <w:kern w:val="0"/>
        </w:rPr>
        <w:t>本项目厂区地下水污染防渗措施设计情况如下表1</w:t>
      </w:r>
      <w:r>
        <w:rPr>
          <w:rFonts w:hint="eastAsia"/>
          <w:kern w:val="0"/>
        </w:rPr>
        <w:t>1</w:t>
      </w:r>
      <w:r>
        <w:rPr>
          <w:kern w:val="0"/>
        </w:rPr>
        <w:t>.</w:t>
      </w:r>
      <w:r>
        <w:rPr>
          <w:rFonts w:hint="eastAsia"/>
          <w:kern w:val="0"/>
        </w:rPr>
        <w:t>6</w:t>
      </w:r>
      <w:r>
        <w:rPr>
          <w:kern w:val="0"/>
        </w:rPr>
        <w:t>-2。</w:t>
      </w:r>
    </w:p>
    <w:p>
      <w:pPr>
        <w:widowControl/>
        <w:spacing w:line="240" w:lineRule="auto"/>
        <w:ind w:firstLine="480" w:firstLineChars="200"/>
        <w:jc w:val="center"/>
        <w:rPr>
          <w:rFonts w:eastAsia="黑体"/>
        </w:rPr>
      </w:pPr>
      <w:r>
        <w:rPr>
          <w:rFonts w:eastAsia="黑体"/>
        </w:rPr>
        <w:t>表1</w:t>
      </w:r>
      <w:r>
        <w:rPr>
          <w:rFonts w:hint="eastAsia" w:eastAsia="黑体"/>
        </w:rPr>
        <w:t>1</w:t>
      </w:r>
      <w:r>
        <w:rPr>
          <w:rFonts w:eastAsia="黑体"/>
        </w:rPr>
        <w:t>.</w:t>
      </w:r>
      <w:r>
        <w:rPr>
          <w:rFonts w:hint="eastAsia" w:eastAsia="黑体"/>
        </w:rPr>
        <w:t>6</w:t>
      </w:r>
      <w:r>
        <w:rPr>
          <w:rFonts w:eastAsia="黑体"/>
        </w:rPr>
        <w:t>-2 项目地下水污染防治区防渗结构型式建议</w:t>
      </w:r>
    </w:p>
    <w:tbl>
      <w:tblPr>
        <w:tblStyle w:val="8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22"/>
        <w:gridCol w:w="2125"/>
        <w:gridCol w:w="2624"/>
        <w:gridCol w:w="3543"/>
      </w:tblGrid>
      <w:tr>
        <w:tblPrEx>
          <w:tblCellMar>
            <w:top w:w="0" w:type="dxa"/>
            <w:left w:w="108" w:type="dxa"/>
            <w:bottom w:w="0" w:type="dxa"/>
            <w:right w:w="108" w:type="dxa"/>
          </w:tblCellMar>
        </w:tblPrEx>
        <w:trPr>
          <w:trHeight w:val="340" w:hRule="atLeast"/>
          <w:jc w:val="center"/>
        </w:trPr>
        <w:tc>
          <w:tcPr>
            <w:tcW w:w="1096" w:type="dxa"/>
            <w:vAlign w:val="center"/>
          </w:tcPr>
          <w:p>
            <w:pPr>
              <w:autoSpaceDE w:val="0"/>
              <w:autoSpaceDN w:val="0"/>
              <w:adjustRightInd w:val="0"/>
              <w:snapToGrid w:val="0"/>
              <w:spacing w:line="240" w:lineRule="auto"/>
              <w:jc w:val="center"/>
              <w:rPr>
                <w:b/>
                <w:sz w:val="21"/>
                <w:szCs w:val="21"/>
              </w:rPr>
            </w:pPr>
            <w:r>
              <w:rPr>
                <w:b/>
                <w:sz w:val="21"/>
                <w:szCs w:val="21"/>
              </w:rPr>
              <w:t>区域名称</w:t>
            </w:r>
          </w:p>
        </w:tc>
        <w:tc>
          <w:tcPr>
            <w:tcW w:w="1905" w:type="dxa"/>
            <w:vAlign w:val="center"/>
          </w:tcPr>
          <w:p>
            <w:pPr>
              <w:autoSpaceDE w:val="0"/>
              <w:autoSpaceDN w:val="0"/>
              <w:adjustRightInd w:val="0"/>
              <w:snapToGrid w:val="0"/>
              <w:spacing w:line="240" w:lineRule="auto"/>
              <w:jc w:val="center"/>
              <w:rPr>
                <w:b/>
                <w:sz w:val="21"/>
                <w:szCs w:val="21"/>
              </w:rPr>
            </w:pPr>
            <w:r>
              <w:rPr>
                <w:rFonts w:hint="eastAsia"/>
                <w:b/>
                <w:sz w:val="21"/>
                <w:szCs w:val="21"/>
              </w:rPr>
              <w:t>位置</w:t>
            </w:r>
          </w:p>
        </w:tc>
        <w:tc>
          <w:tcPr>
            <w:tcW w:w="2352" w:type="dxa"/>
            <w:vAlign w:val="center"/>
          </w:tcPr>
          <w:p>
            <w:pPr>
              <w:autoSpaceDE w:val="0"/>
              <w:autoSpaceDN w:val="0"/>
              <w:adjustRightInd w:val="0"/>
              <w:snapToGrid w:val="0"/>
              <w:spacing w:line="240" w:lineRule="auto"/>
              <w:jc w:val="center"/>
              <w:rPr>
                <w:b/>
                <w:sz w:val="21"/>
                <w:szCs w:val="21"/>
              </w:rPr>
            </w:pPr>
            <w:r>
              <w:rPr>
                <w:rFonts w:hint="eastAsia"/>
                <w:b/>
                <w:sz w:val="21"/>
                <w:szCs w:val="21"/>
              </w:rPr>
              <w:t>防渗级别</w:t>
            </w:r>
          </w:p>
        </w:tc>
        <w:tc>
          <w:tcPr>
            <w:tcW w:w="3176" w:type="dxa"/>
            <w:vAlign w:val="center"/>
          </w:tcPr>
          <w:p>
            <w:pPr>
              <w:autoSpaceDE w:val="0"/>
              <w:autoSpaceDN w:val="0"/>
              <w:adjustRightInd w:val="0"/>
              <w:snapToGrid w:val="0"/>
              <w:spacing w:line="240" w:lineRule="auto"/>
              <w:jc w:val="center"/>
              <w:rPr>
                <w:b/>
                <w:sz w:val="21"/>
                <w:szCs w:val="21"/>
              </w:rPr>
            </w:pPr>
            <w:r>
              <w:rPr>
                <w:rFonts w:hint="eastAsia"/>
                <w:b/>
                <w:sz w:val="21"/>
                <w:szCs w:val="21"/>
              </w:rPr>
              <w:t>防渗结构型式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6" w:type="dxa"/>
            <w:vAlign w:val="center"/>
          </w:tcPr>
          <w:p>
            <w:pPr>
              <w:autoSpaceDE w:val="0"/>
              <w:autoSpaceDN w:val="0"/>
              <w:adjustRightInd w:val="0"/>
              <w:snapToGrid w:val="0"/>
              <w:spacing w:line="240" w:lineRule="auto"/>
              <w:jc w:val="center"/>
              <w:rPr>
                <w:sz w:val="21"/>
                <w:szCs w:val="21"/>
              </w:rPr>
            </w:pPr>
            <w:r>
              <w:rPr>
                <w:sz w:val="21"/>
                <w:szCs w:val="21"/>
              </w:rPr>
              <w:t>重点污染防治区</w:t>
            </w:r>
          </w:p>
        </w:tc>
        <w:tc>
          <w:tcPr>
            <w:tcW w:w="1905" w:type="dxa"/>
            <w:vAlign w:val="center"/>
          </w:tcPr>
          <w:p>
            <w:pPr>
              <w:autoSpaceDE w:val="0"/>
              <w:autoSpaceDN w:val="0"/>
              <w:adjustRightInd w:val="0"/>
              <w:snapToGrid w:val="0"/>
              <w:spacing w:line="240" w:lineRule="auto"/>
              <w:jc w:val="center"/>
              <w:rPr>
                <w:sz w:val="21"/>
                <w:szCs w:val="21"/>
              </w:rPr>
            </w:pPr>
            <w:r>
              <w:rPr>
                <w:rFonts w:hint="eastAsia"/>
                <w:sz w:val="21"/>
                <w:szCs w:val="21"/>
              </w:rPr>
              <w:t>医疗</w:t>
            </w:r>
            <w:r>
              <w:rPr>
                <w:sz w:val="21"/>
                <w:szCs w:val="21"/>
              </w:rPr>
              <w:t>暂存间</w:t>
            </w:r>
            <w:r>
              <w:rPr>
                <w:rFonts w:hint="eastAsia"/>
                <w:sz w:val="21"/>
                <w:szCs w:val="21"/>
              </w:rPr>
              <w:t>、病死猪暂存间、分娩物暂存间、粪污集污池、圈舍底部的收集池、柴油发电机房、化粪池、备用沼气池、沼液暂存池、田间池</w:t>
            </w:r>
          </w:p>
        </w:tc>
        <w:tc>
          <w:tcPr>
            <w:tcW w:w="2352" w:type="dxa"/>
            <w:vAlign w:val="center"/>
          </w:tcPr>
          <w:p>
            <w:pPr>
              <w:autoSpaceDE w:val="0"/>
              <w:autoSpaceDN w:val="0"/>
              <w:adjustRightInd w:val="0"/>
              <w:snapToGrid w:val="0"/>
              <w:spacing w:line="240" w:lineRule="auto"/>
              <w:jc w:val="center"/>
              <w:rPr>
                <w:sz w:val="21"/>
                <w:szCs w:val="21"/>
              </w:rPr>
            </w:pPr>
            <w:r>
              <w:rPr>
                <w:sz w:val="21"/>
                <w:szCs w:val="21"/>
              </w:rPr>
              <w:t>渗透系数≤1.0×10</w:t>
            </w:r>
            <w:r>
              <w:rPr>
                <w:sz w:val="21"/>
                <w:szCs w:val="21"/>
                <w:vertAlign w:val="superscript"/>
              </w:rPr>
              <w:t>-10</w:t>
            </w:r>
            <w:r>
              <w:rPr>
                <w:sz w:val="21"/>
                <w:szCs w:val="21"/>
              </w:rPr>
              <w:t>cm/s</w:t>
            </w:r>
          </w:p>
        </w:tc>
        <w:tc>
          <w:tcPr>
            <w:tcW w:w="3176" w:type="dxa"/>
            <w:vAlign w:val="center"/>
          </w:tcPr>
          <w:p>
            <w:pPr>
              <w:autoSpaceDE w:val="0"/>
              <w:autoSpaceDN w:val="0"/>
              <w:adjustRightInd w:val="0"/>
              <w:snapToGrid w:val="0"/>
              <w:spacing w:line="240" w:lineRule="auto"/>
              <w:jc w:val="center"/>
              <w:rPr>
                <w:sz w:val="21"/>
                <w:szCs w:val="21"/>
              </w:rPr>
            </w:pPr>
            <w:r>
              <w:rPr>
                <w:sz w:val="21"/>
                <w:szCs w:val="21"/>
              </w:rPr>
              <w:t>2mmHDPE土工膜+水泥防渗</w:t>
            </w:r>
            <w:r>
              <w:rPr>
                <w:rFonts w:hint="eastAsia"/>
                <w:sz w:val="21"/>
                <w:szCs w:val="21"/>
              </w:rPr>
              <w:t>/防渗性能</w:t>
            </w:r>
            <w:r>
              <w:rPr>
                <w:sz w:val="21"/>
                <w:szCs w:val="21"/>
              </w:rPr>
              <w:t>不低于6.0m厚、渗透系数为1.0×10-10cm/s的粘土层</w:t>
            </w:r>
            <w:r>
              <w:rPr>
                <w:rFonts w:hint="eastAsia"/>
                <w:sz w:val="21"/>
                <w:szCs w:val="21"/>
              </w:rPr>
              <w:t>，其中污水管道采用P</w:t>
            </w:r>
            <w:r>
              <w:rPr>
                <w:sz w:val="21"/>
                <w:szCs w:val="21"/>
              </w:rPr>
              <w:t>E</w:t>
            </w:r>
            <w:r>
              <w:rPr>
                <w:rFonts w:hint="eastAsia"/>
                <w:sz w:val="21"/>
                <w:szCs w:val="21"/>
              </w:rPr>
              <w:t>管</w:t>
            </w:r>
            <w:r>
              <w:rPr>
                <w:rFonts w:hint="eastAsia" w:ascii="Arial" w:hAnsi="Arial" w:cs="Arial"/>
                <w:sz w:val="21"/>
                <w:szCs w:val="21"/>
              </w:rPr>
              <w:t>。</w:t>
            </w:r>
            <w:r>
              <w:rPr>
                <w:rFonts w:ascii="Arial" w:hAnsi="Arial" w:cs="Arial"/>
                <w:sz w:val="21"/>
                <w:szCs w:val="21"/>
              </w:rPr>
              <w:t>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6" w:type="dxa"/>
            <w:vAlign w:val="center"/>
          </w:tcPr>
          <w:p>
            <w:pPr>
              <w:autoSpaceDE w:val="0"/>
              <w:autoSpaceDN w:val="0"/>
              <w:adjustRightInd w:val="0"/>
              <w:snapToGrid w:val="0"/>
              <w:spacing w:line="240" w:lineRule="auto"/>
              <w:jc w:val="center"/>
              <w:rPr>
                <w:sz w:val="21"/>
                <w:szCs w:val="21"/>
              </w:rPr>
            </w:pPr>
            <w:r>
              <w:rPr>
                <w:sz w:val="21"/>
                <w:szCs w:val="21"/>
              </w:rPr>
              <w:t>一般污染防治区</w:t>
            </w:r>
          </w:p>
        </w:tc>
        <w:tc>
          <w:tcPr>
            <w:tcW w:w="1905" w:type="dxa"/>
            <w:vAlign w:val="center"/>
          </w:tcPr>
          <w:p>
            <w:pPr>
              <w:autoSpaceDE w:val="0"/>
              <w:autoSpaceDN w:val="0"/>
              <w:adjustRightInd w:val="0"/>
              <w:snapToGrid w:val="0"/>
              <w:spacing w:line="240" w:lineRule="auto"/>
              <w:jc w:val="center"/>
              <w:rPr>
                <w:sz w:val="21"/>
                <w:szCs w:val="21"/>
              </w:rPr>
            </w:pPr>
            <w:r>
              <w:rPr>
                <w:rFonts w:hint="eastAsia"/>
                <w:sz w:val="21"/>
                <w:szCs w:val="21"/>
              </w:rPr>
              <w:t>生产车间、生活垃圾收集点</w:t>
            </w:r>
          </w:p>
        </w:tc>
        <w:tc>
          <w:tcPr>
            <w:tcW w:w="2352" w:type="dxa"/>
            <w:vAlign w:val="center"/>
          </w:tcPr>
          <w:p>
            <w:pPr>
              <w:autoSpaceDE w:val="0"/>
              <w:autoSpaceDN w:val="0"/>
              <w:adjustRightInd w:val="0"/>
              <w:snapToGrid w:val="0"/>
              <w:spacing w:line="240" w:lineRule="auto"/>
              <w:jc w:val="center"/>
              <w:rPr>
                <w:sz w:val="21"/>
                <w:szCs w:val="21"/>
              </w:rPr>
            </w:pPr>
            <w:r>
              <w:rPr>
                <w:sz w:val="21"/>
                <w:szCs w:val="21"/>
              </w:rPr>
              <w:t>渗透系数≤1.0×10</w:t>
            </w:r>
            <w:r>
              <w:rPr>
                <w:sz w:val="21"/>
                <w:szCs w:val="21"/>
                <w:vertAlign w:val="superscript"/>
              </w:rPr>
              <w:t>-7</w:t>
            </w:r>
            <w:r>
              <w:rPr>
                <w:sz w:val="21"/>
                <w:szCs w:val="21"/>
              </w:rPr>
              <w:t>cm/s</w:t>
            </w:r>
          </w:p>
        </w:tc>
        <w:tc>
          <w:tcPr>
            <w:tcW w:w="3176" w:type="dxa"/>
            <w:vAlign w:val="center"/>
          </w:tcPr>
          <w:p>
            <w:pPr>
              <w:autoSpaceDE w:val="0"/>
              <w:autoSpaceDN w:val="0"/>
              <w:adjustRightInd w:val="0"/>
              <w:snapToGrid w:val="0"/>
              <w:spacing w:line="240" w:lineRule="auto"/>
              <w:rPr>
                <w:sz w:val="21"/>
                <w:szCs w:val="21"/>
              </w:rPr>
            </w:pPr>
            <w:r>
              <w:rPr>
                <w:rFonts w:hint="eastAsia"/>
                <w:sz w:val="21"/>
                <w:szCs w:val="21"/>
              </w:rPr>
              <w:t>采用抗渗等级为P</w:t>
            </w:r>
            <w:r>
              <w:rPr>
                <w:sz w:val="21"/>
                <w:szCs w:val="21"/>
              </w:rPr>
              <w:t>8</w:t>
            </w:r>
            <w:r>
              <w:rPr>
                <w:rFonts w:hint="eastAsia"/>
                <w:sz w:val="21"/>
                <w:szCs w:val="21"/>
              </w:rPr>
              <w:t>的抗渗混凝土防渗/</w:t>
            </w:r>
            <w:r>
              <w:rPr>
                <w:kern w:val="0"/>
                <w:sz w:val="21"/>
                <w:szCs w:val="21"/>
              </w:rPr>
              <w:t>防渗性能应不低于1.5m厚、渗透系数为1.0×10</w:t>
            </w:r>
            <w:r>
              <w:rPr>
                <w:kern w:val="0"/>
                <w:sz w:val="21"/>
                <w:szCs w:val="21"/>
                <w:vertAlign w:val="superscript"/>
              </w:rPr>
              <w:t>-7</w:t>
            </w:r>
            <w:r>
              <w:rPr>
                <w:kern w:val="0"/>
                <w:sz w:val="21"/>
                <w:szCs w:val="21"/>
              </w:rPr>
              <w:t>cm/s的粘土层；</w:t>
            </w:r>
          </w:p>
        </w:tc>
      </w:tr>
    </w:tbl>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 xml:space="preserve">.6.3 </w:t>
      </w:r>
      <w:r>
        <w:rPr>
          <w:rFonts w:eastAsia="黑体"/>
          <w:bCs/>
          <w:sz w:val="28"/>
          <w:szCs w:val="28"/>
        </w:rPr>
        <w:t>防渗技术要求</w:t>
      </w:r>
    </w:p>
    <w:p>
      <w:pPr>
        <w:snapToGrid w:val="0"/>
        <w:ind w:firstLine="480" w:firstLineChars="200"/>
        <w:jc w:val="left"/>
        <w:rPr>
          <w:kern w:val="0"/>
        </w:rPr>
      </w:pPr>
      <w:r>
        <w:rPr>
          <w:kern w:val="0"/>
        </w:rPr>
        <w:t>（1）防渗层的性能要求</w:t>
      </w:r>
    </w:p>
    <w:p>
      <w:pPr>
        <w:snapToGrid w:val="0"/>
        <w:ind w:firstLine="480" w:firstLineChars="200"/>
        <w:jc w:val="left"/>
        <w:rPr>
          <w:kern w:val="0"/>
        </w:rPr>
      </w:pPr>
      <w:r>
        <w:rPr>
          <w:kern w:val="0"/>
        </w:rPr>
        <w:t>根据不同污染防治分区的防渗要求，采用相应的防渗设计方案。</w:t>
      </w:r>
    </w:p>
    <w:p>
      <w:pPr>
        <w:snapToGrid w:val="0"/>
        <w:ind w:firstLine="480" w:firstLineChars="200"/>
        <w:jc w:val="left"/>
        <w:rPr>
          <w:kern w:val="0"/>
        </w:rPr>
      </w:pPr>
      <w:r>
        <w:rPr>
          <w:kern w:val="0"/>
        </w:rPr>
        <w:fldChar w:fldCharType="begin"/>
      </w:r>
      <w:r>
        <w:rPr>
          <w:kern w:val="0"/>
        </w:rPr>
        <w:instrText xml:space="preserve"> </w:instrText>
      </w:r>
      <w:r>
        <w:rPr>
          <w:rFonts w:hint="eastAsia"/>
          <w:kern w:val="0"/>
        </w:rPr>
        <w:instrText xml:space="preserve">= 1 \* GB3</w:instrText>
      </w:r>
      <w:r>
        <w:rPr>
          <w:kern w:val="0"/>
        </w:rPr>
        <w:instrText xml:space="preserve"> </w:instrText>
      </w:r>
      <w:r>
        <w:rPr>
          <w:kern w:val="0"/>
        </w:rPr>
        <w:fldChar w:fldCharType="separate"/>
      </w:r>
      <w:r>
        <w:rPr>
          <w:rFonts w:hint="eastAsia"/>
          <w:kern w:val="0"/>
        </w:rPr>
        <w:t>①</w:t>
      </w:r>
      <w:r>
        <w:rPr>
          <w:kern w:val="0"/>
        </w:rPr>
        <w:fldChar w:fldCharType="end"/>
      </w:r>
      <w:r>
        <w:rPr>
          <w:kern w:val="0"/>
        </w:rPr>
        <w:t>一般污染防治区防渗层的防渗性能应不低于1.5m厚、渗透系数为1.0×10</w:t>
      </w:r>
      <w:r>
        <w:rPr>
          <w:kern w:val="0"/>
          <w:vertAlign w:val="superscript"/>
        </w:rPr>
        <w:t>-7</w:t>
      </w:r>
      <w:r>
        <w:rPr>
          <w:kern w:val="0"/>
        </w:rPr>
        <w:t>cm/s的粘土层的防渗性能；</w:t>
      </w:r>
    </w:p>
    <w:p>
      <w:pPr>
        <w:snapToGrid w:val="0"/>
        <w:ind w:firstLine="480" w:firstLineChars="200"/>
        <w:jc w:val="left"/>
        <w:rPr>
          <w:kern w:val="0"/>
        </w:rPr>
      </w:pPr>
      <w:r>
        <w:rPr>
          <w:kern w:val="0"/>
        </w:rPr>
        <w:fldChar w:fldCharType="begin"/>
      </w:r>
      <w:r>
        <w:rPr>
          <w:kern w:val="0"/>
        </w:rPr>
        <w:instrText xml:space="preserve"> </w:instrText>
      </w:r>
      <w:r>
        <w:rPr>
          <w:rFonts w:hint="eastAsia"/>
          <w:kern w:val="0"/>
        </w:rPr>
        <w:instrText xml:space="preserve">= 2 \* GB3</w:instrText>
      </w:r>
      <w:r>
        <w:rPr>
          <w:kern w:val="0"/>
        </w:rPr>
        <w:instrText xml:space="preserve"> </w:instrText>
      </w:r>
      <w:r>
        <w:rPr>
          <w:kern w:val="0"/>
        </w:rPr>
        <w:fldChar w:fldCharType="separate"/>
      </w:r>
      <w:r>
        <w:rPr>
          <w:rFonts w:hint="eastAsia"/>
          <w:kern w:val="0"/>
        </w:rPr>
        <w:t>②</w:t>
      </w:r>
      <w:r>
        <w:rPr>
          <w:kern w:val="0"/>
        </w:rPr>
        <w:fldChar w:fldCharType="end"/>
      </w:r>
      <w:r>
        <w:rPr>
          <w:kern w:val="0"/>
        </w:rPr>
        <w:t>重点污染防治区防渗层的防渗性能应不低于6.0m厚、渗透系数为1.0×10</w:t>
      </w:r>
      <w:r>
        <w:rPr>
          <w:kern w:val="0"/>
          <w:vertAlign w:val="superscript"/>
        </w:rPr>
        <w:t>-10</w:t>
      </w:r>
      <w:r>
        <w:rPr>
          <w:kern w:val="0"/>
        </w:rPr>
        <w:t>cm/s的粘土层的防渗性能。</w:t>
      </w:r>
    </w:p>
    <w:p>
      <w:pPr>
        <w:snapToGrid w:val="0"/>
        <w:ind w:firstLine="480" w:firstLineChars="200"/>
        <w:jc w:val="left"/>
        <w:rPr>
          <w:kern w:val="0"/>
        </w:rPr>
      </w:pPr>
      <w:r>
        <w:rPr>
          <w:kern w:val="0"/>
        </w:rPr>
        <w:t>（2）防渗层的寿命要求</w:t>
      </w:r>
    </w:p>
    <w:p>
      <w:pPr>
        <w:snapToGrid w:val="0"/>
        <w:ind w:firstLine="480" w:firstLineChars="200"/>
        <w:jc w:val="left"/>
        <w:rPr>
          <w:kern w:val="0"/>
        </w:rPr>
      </w:pPr>
      <w:r>
        <w:rPr>
          <w:kern w:val="0"/>
        </w:rPr>
        <w:t>项目防渗工程的设计使用年限应不低于其防护主体（如设备、管道及建、构筑物）的设计使用年限；正常条件下，设计年限内的防渗工程不应对地下水环境造成污染。根据调研，企业内各生产功能单元的设计寿命是不同的，如地下管道约20年，建、构筑物的设计使用年限为50年。</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0</w:t>
      </w:r>
      <w:r>
        <w:rPr>
          <w:rFonts w:hint="eastAsia" w:eastAsia="黑体"/>
          <w:bCs/>
          <w:sz w:val="28"/>
          <w:szCs w:val="28"/>
        </w:rPr>
        <w:t xml:space="preserve">.6.4 </w:t>
      </w:r>
      <w:r>
        <w:rPr>
          <w:rFonts w:eastAsia="黑体"/>
          <w:bCs/>
          <w:sz w:val="28"/>
          <w:szCs w:val="28"/>
        </w:rPr>
        <w:t>跟踪监测</w:t>
      </w:r>
    </w:p>
    <w:p>
      <w:pPr>
        <w:snapToGrid w:val="0"/>
        <w:ind w:firstLine="482"/>
        <w:jc w:val="left"/>
        <w:rPr>
          <w:kern w:val="0"/>
        </w:rPr>
      </w:pPr>
      <w:bookmarkStart w:id="797" w:name="_Toc29110621"/>
      <w:r>
        <w:rPr>
          <w:rFonts w:hint="eastAsia"/>
          <w:kern w:val="0"/>
        </w:rPr>
        <w:t>本次评价要求建设单位设置监测井，分别位于项目集污池上游（1#井）、项目集污池地下水流向下游（厂界南侧2#井），1#井作为背景监测井，2#井作为跟踪监测井。</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.7 土壤环境保护措施</w:t>
      </w:r>
      <w:bookmarkEnd w:id="797"/>
    </w:p>
    <w:p>
      <w:pPr>
        <w:pStyle w:val="2"/>
        <w:ind w:firstLine="480"/>
        <w:rPr>
          <w:rFonts w:hint="default"/>
        </w:rPr>
      </w:pPr>
      <w:r>
        <w:t>项目外购的原料均进行成分检测，确保其满足中华人民共和国农业行业标准《无公害食品生猪饲养饲料使用准则》（NY5032-2001），从源头控制重金属及微生物的允许量，确保饲料中不含兴奋剂、镇静剂和各种违禁药品，保证饲料的清洁性、营养性和安全性。</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98" w:name="_Toc29110622"/>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0</w:t>
      </w:r>
      <w:r>
        <w:rPr>
          <w:rFonts w:hint="eastAsia" w:ascii="Times New Roman" w:hAnsi="Times New Roman" w:eastAsia="黑体" w:cs="Times New Roman"/>
          <w:b w:val="0"/>
          <w:bCs/>
          <w:spacing w:val="4"/>
          <w:kern w:val="2"/>
          <w:sz w:val="32"/>
          <w:szCs w:val="32"/>
        </w:rPr>
        <w:t>.</w:t>
      </w:r>
      <w:r>
        <w:rPr>
          <w:rFonts w:ascii="Times New Roman" w:hAnsi="Times New Roman" w:eastAsia="黑体" w:cs="Times New Roman"/>
          <w:b w:val="0"/>
          <w:bCs/>
          <w:spacing w:val="4"/>
          <w:kern w:val="2"/>
          <w:sz w:val="32"/>
          <w:szCs w:val="32"/>
        </w:rPr>
        <w:t>8</w:t>
      </w:r>
      <w:r>
        <w:rPr>
          <w:rFonts w:hint="eastAsia" w:ascii="Times New Roman" w:hAnsi="Times New Roman" w:eastAsia="黑体" w:cs="Times New Roman"/>
          <w:b w:val="0"/>
          <w:bCs/>
          <w:spacing w:val="4"/>
          <w:kern w:val="2"/>
          <w:sz w:val="32"/>
          <w:szCs w:val="32"/>
        </w:rPr>
        <w:t xml:space="preserve"> 运输过程污染防治措施</w:t>
      </w:r>
      <w:bookmarkEnd w:id="798"/>
    </w:p>
    <w:p>
      <w:pPr>
        <w:ind w:firstLine="480" w:firstLineChars="200"/>
        <w:contextualSpacing/>
      </w:pPr>
      <w:r>
        <w:t>（1）交通运输噪声防治措施</w:t>
      </w:r>
    </w:p>
    <w:p>
      <w:pPr>
        <w:ind w:firstLine="480" w:firstLineChars="200"/>
        <w:contextualSpacing/>
      </w:pPr>
      <w:r>
        <w:t>为了减轻因车辆的增加而引起交通噪声，建议加强以下措施进行防范：</w:t>
      </w:r>
    </w:p>
    <w:p>
      <w:pPr>
        <w:ind w:firstLine="480" w:firstLineChars="200"/>
        <w:contextualSpacing/>
      </w:pPr>
      <w:r>
        <w:rPr>
          <w:rFonts w:hint="eastAsia" w:ascii="宋体" w:hAnsi="宋体" w:cs="宋体"/>
        </w:rPr>
        <w:t>①</w:t>
      </w:r>
      <w:r>
        <w:t>根据生产实际情况，合理调度汽车运输。汽车运输尽量选择白天进行，在夜间22时以后就必须停止任何运输活动，这样避免因夜间运输出现的声环境超标现象。</w:t>
      </w:r>
    </w:p>
    <w:p>
      <w:pPr>
        <w:ind w:firstLine="480" w:firstLineChars="200"/>
        <w:contextualSpacing/>
      </w:pPr>
      <w:r>
        <w:rPr>
          <w:rFonts w:hint="eastAsia" w:ascii="宋体" w:hAnsi="宋体" w:cs="宋体"/>
        </w:rPr>
        <w:t>②</w:t>
      </w:r>
      <w:r>
        <w:t>优化运输路线，使运输路线尽量选择距离居民敏感点较远、地域比较开阔的地段。</w:t>
      </w:r>
    </w:p>
    <w:p>
      <w:pPr>
        <w:ind w:firstLine="480" w:firstLineChars="200"/>
        <w:contextualSpacing/>
      </w:pPr>
      <w:r>
        <w:t>（2）运输沿线恶臭防治措施</w:t>
      </w:r>
    </w:p>
    <w:p>
      <w:pPr>
        <w:ind w:firstLine="480" w:firstLineChars="200"/>
        <w:contextualSpacing/>
      </w:pPr>
      <w:r>
        <w:rPr>
          <w:rFonts w:hint="eastAsia" w:ascii="宋体" w:hAnsi="宋体" w:cs="宋体"/>
        </w:rPr>
        <w:t>①</w:t>
      </w:r>
      <w:r>
        <w:t>生猪出栏装车前应进行彻底清洗，冲净粪便和身上的污物。</w:t>
      </w:r>
    </w:p>
    <w:p>
      <w:pPr>
        <w:ind w:firstLine="480" w:firstLineChars="200"/>
        <w:contextualSpacing/>
      </w:pPr>
      <w:r>
        <w:rPr>
          <w:rFonts w:hint="eastAsia" w:ascii="宋体" w:hAnsi="宋体" w:cs="宋体"/>
        </w:rPr>
        <w:t>②</w:t>
      </w:r>
      <w:r>
        <w:t>猪只运输车辆注意消毒，保持清洁。</w:t>
      </w:r>
    </w:p>
    <w:p>
      <w:pPr>
        <w:ind w:firstLine="480" w:firstLineChars="200"/>
        <w:contextualSpacing/>
      </w:pPr>
      <w:r>
        <w:rPr>
          <w:rFonts w:hint="eastAsia" w:ascii="宋体" w:hAnsi="宋体" w:cs="宋体"/>
        </w:rPr>
        <w:t>③</w:t>
      </w:r>
      <w:r>
        <w:t>应尽量选择半封闭式的运输车辆，最大可能地防止恶臭对城区运输路线两边居民的影响。</w:t>
      </w:r>
    </w:p>
    <w:p>
      <w:pPr>
        <w:ind w:firstLine="480" w:firstLineChars="200"/>
        <w:contextualSpacing/>
      </w:pPr>
      <w:r>
        <w:rPr>
          <w:rFonts w:hint="eastAsia" w:ascii="宋体" w:hAnsi="宋体" w:cs="宋体"/>
        </w:rPr>
        <w:t>④</w:t>
      </w:r>
      <w:r>
        <w:t>运输车辆必须按定额载重量运输，严禁超载行驶。</w:t>
      </w:r>
    </w:p>
    <w:p>
      <w:pPr>
        <w:ind w:firstLine="480" w:firstLineChars="200"/>
        <w:contextualSpacing/>
      </w:pPr>
      <w:r>
        <w:rPr>
          <w:rFonts w:hint="eastAsia" w:ascii="宋体" w:hAnsi="宋体" w:cs="宋体"/>
        </w:rPr>
        <w:t>⑤</w:t>
      </w:r>
      <w:r>
        <w:t>运输车辆在进入城区或环境敏感点较多的地段前应在定点冲洗位置冲洗车辆及生猪，冲净猪粪（尿）。</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799" w:name="_Toc7363228"/>
      <w:bookmarkStart w:id="800" w:name="_Toc29110623"/>
      <w:r>
        <w:rPr>
          <w:rFonts w:ascii="Times New Roman" w:hAnsi="Times New Roman" w:eastAsia="黑体" w:cs="Times New Roman"/>
          <w:b w:val="0"/>
          <w:bCs/>
          <w:spacing w:val="4"/>
          <w:kern w:val="2"/>
          <w:sz w:val="32"/>
          <w:szCs w:val="32"/>
        </w:rPr>
        <w:t>10</w:t>
      </w:r>
      <w:r>
        <w:rPr>
          <w:rFonts w:hint="eastAsia" w:ascii="Times New Roman" w:hAnsi="Times New Roman" w:eastAsia="黑体" w:cs="Times New Roman"/>
          <w:b w:val="0"/>
          <w:bCs/>
          <w:spacing w:val="4"/>
          <w:kern w:val="2"/>
          <w:sz w:val="32"/>
          <w:szCs w:val="32"/>
        </w:rPr>
        <w:t>.</w:t>
      </w:r>
      <w:r>
        <w:rPr>
          <w:rFonts w:ascii="Times New Roman" w:hAnsi="Times New Roman" w:eastAsia="黑体" w:cs="Times New Roman"/>
          <w:b w:val="0"/>
          <w:bCs/>
          <w:spacing w:val="4"/>
          <w:kern w:val="2"/>
          <w:sz w:val="32"/>
          <w:szCs w:val="32"/>
        </w:rPr>
        <w:t>9</w:t>
      </w:r>
      <w:r>
        <w:rPr>
          <w:rFonts w:hint="eastAsia" w:ascii="Times New Roman" w:hAnsi="Times New Roman" w:eastAsia="黑体" w:cs="Times New Roman"/>
          <w:b w:val="0"/>
          <w:bCs/>
          <w:spacing w:val="4"/>
          <w:kern w:val="2"/>
          <w:sz w:val="32"/>
          <w:szCs w:val="32"/>
        </w:rPr>
        <w:t xml:space="preserve"> </w:t>
      </w:r>
      <w:r>
        <w:rPr>
          <w:rFonts w:ascii="Times New Roman" w:hAnsi="Times New Roman" w:eastAsia="黑体" w:cs="Times New Roman"/>
          <w:b w:val="0"/>
          <w:bCs/>
          <w:spacing w:val="4"/>
          <w:kern w:val="2"/>
          <w:sz w:val="32"/>
          <w:szCs w:val="32"/>
        </w:rPr>
        <w:t>环保投资</w:t>
      </w:r>
      <w:bookmarkEnd w:id="799"/>
      <w:bookmarkEnd w:id="800"/>
    </w:p>
    <w:p>
      <w:pPr>
        <w:snapToGrid w:val="0"/>
        <w:ind w:firstLine="482"/>
        <w:jc w:val="left"/>
        <w:rPr>
          <w:kern w:val="0"/>
        </w:rPr>
      </w:pPr>
      <w:r>
        <w:rPr>
          <w:kern w:val="0"/>
        </w:rPr>
        <w:t>项目环保拟投资362.4万元，占总投资</w:t>
      </w:r>
      <w:r>
        <w:rPr>
          <w:rFonts w:hint="eastAsia"/>
          <w:kern w:val="0"/>
        </w:rPr>
        <w:t>11064</w:t>
      </w:r>
      <w:r>
        <w:rPr>
          <w:kern w:val="0"/>
        </w:rPr>
        <w:t>万元的3.28%。主要用于废水的处理、恶臭的处理、噪声控制和绿化等，经过对废水、废气的治理和噪声设备的降噪治理，能满足环保的要求，环保设施合理可行。具体环保投资见表</w:t>
      </w:r>
      <w:r>
        <w:rPr>
          <w:rFonts w:hint="eastAsia"/>
          <w:kern w:val="0"/>
        </w:rPr>
        <w:t>1</w:t>
      </w:r>
      <w:r>
        <w:rPr>
          <w:kern w:val="0"/>
        </w:rPr>
        <w:t>0</w:t>
      </w:r>
      <w:r>
        <w:rPr>
          <w:rFonts w:hint="eastAsia"/>
          <w:kern w:val="0"/>
        </w:rPr>
        <w:t>.</w:t>
      </w:r>
      <w:r>
        <w:rPr>
          <w:kern w:val="0"/>
        </w:rPr>
        <w:t>9</w:t>
      </w:r>
      <w:r>
        <w:rPr>
          <w:rFonts w:hint="eastAsia"/>
          <w:kern w:val="0"/>
        </w:rPr>
        <w:t>-1</w:t>
      </w:r>
      <w:r>
        <w:rPr>
          <w:kern w:val="0"/>
        </w:rPr>
        <w:t>。</w:t>
      </w:r>
    </w:p>
    <w:p>
      <w:pPr>
        <w:widowControl/>
        <w:spacing w:line="240" w:lineRule="auto"/>
        <w:ind w:firstLine="480" w:firstLineChars="200"/>
        <w:jc w:val="center"/>
        <w:rPr>
          <w:rFonts w:eastAsia="黑体"/>
        </w:rPr>
      </w:pPr>
    </w:p>
    <w:p>
      <w:pPr>
        <w:widowControl/>
        <w:spacing w:line="240" w:lineRule="auto"/>
        <w:ind w:firstLine="480" w:firstLineChars="200"/>
        <w:jc w:val="center"/>
        <w:rPr>
          <w:rFonts w:eastAsia="黑体"/>
        </w:rPr>
      </w:pPr>
      <w:r>
        <w:rPr>
          <w:rFonts w:eastAsia="黑体"/>
        </w:rPr>
        <w:t>表</w:t>
      </w:r>
      <w:r>
        <w:rPr>
          <w:rFonts w:hint="eastAsia" w:eastAsia="黑体"/>
        </w:rPr>
        <w:t>1</w:t>
      </w:r>
      <w:r>
        <w:rPr>
          <w:rFonts w:eastAsia="黑体"/>
        </w:rPr>
        <w:t>0</w:t>
      </w:r>
      <w:r>
        <w:rPr>
          <w:rFonts w:hint="eastAsia" w:eastAsia="黑体"/>
        </w:rPr>
        <w:t>.</w:t>
      </w:r>
      <w:r>
        <w:rPr>
          <w:rFonts w:eastAsia="黑体"/>
        </w:rPr>
        <w:t>9</w:t>
      </w:r>
      <w:r>
        <w:rPr>
          <w:rFonts w:hint="eastAsia" w:eastAsia="黑体"/>
        </w:rPr>
        <w:t>-1</w:t>
      </w:r>
      <w:r>
        <w:rPr>
          <w:rFonts w:eastAsia="黑体"/>
        </w:rPr>
        <w:t xml:space="preserve">  项目主要环保投资估算一览表         单位：万元</w:t>
      </w:r>
    </w:p>
    <w:tbl>
      <w:tblPr>
        <w:tblStyle w:val="88"/>
        <w:tblW w:w="8747" w:type="dxa"/>
        <w:jc w:val="center"/>
        <w:tblLayout w:type="fixed"/>
        <w:tblCellMar>
          <w:top w:w="0" w:type="dxa"/>
          <w:left w:w="108" w:type="dxa"/>
          <w:bottom w:w="0" w:type="dxa"/>
          <w:right w:w="108" w:type="dxa"/>
        </w:tblCellMar>
      </w:tblPr>
      <w:tblGrid>
        <w:gridCol w:w="643"/>
        <w:gridCol w:w="850"/>
        <w:gridCol w:w="1134"/>
        <w:gridCol w:w="4678"/>
        <w:gridCol w:w="567"/>
        <w:gridCol w:w="875"/>
      </w:tblGrid>
      <w:tr>
        <w:tblPrEx>
          <w:tblCellMar>
            <w:top w:w="0" w:type="dxa"/>
            <w:left w:w="108" w:type="dxa"/>
            <w:bottom w:w="0" w:type="dxa"/>
            <w:right w:w="108" w:type="dxa"/>
          </w:tblCellMar>
        </w:tblPrEx>
        <w:trPr>
          <w:trHeight w:val="283" w:hRule="atLeast"/>
          <w:jc w:val="center"/>
        </w:trPr>
        <w:tc>
          <w:tcPr>
            <w:tcW w:w="643" w:type="dxa"/>
            <w:tcBorders>
              <w:top w:val="single" w:color="auto" w:sz="12"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项目</w:t>
            </w:r>
          </w:p>
        </w:tc>
        <w:tc>
          <w:tcPr>
            <w:tcW w:w="850" w:type="dxa"/>
            <w:tcBorders>
              <w:top w:val="single" w:color="auto" w:sz="12"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时段</w:t>
            </w:r>
          </w:p>
        </w:tc>
        <w:tc>
          <w:tcPr>
            <w:tcW w:w="1134" w:type="dxa"/>
            <w:tcBorders>
              <w:top w:val="single" w:color="auto" w:sz="12"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污染物</w:t>
            </w:r>
          </w:p>
          <w:p>
            <w:pPr>
              <w:pStyle w:val="1928"/>
              <w:snapToGrid w:val="0"/>
              <w:rPr>
                <w:rFonts w:ascii="Times New Roman"/>
                <w:szCs w:val="21"/>
              </w:rPr>
            </w:pPr>
            <w:r>
              <w:rPr>
                <w:rFonts w:ascii="Times New Roman"/>
                <w:szCs w:val="21"/>
              </w:rPr>
              <w:t>名称</w:t>
            </w:r>
          </w:p>
        </w:tc>
        <w:tc>
          <w:tcPr>
            <w:tcW w:w="4678" w:type="dxa"/>
            <w:tcBorders>
              <w:top w:val="single" w:color="auto" w:sz="12" w:space="0"/>
              <w:left w:val="single" w:color="auto" w:sz="4" w:space="0"/>
              <w:bottom w:val="single" w:color="auto" w:sz="4" w:space="0"/>
              <w:right w:val="single" w:color="auto" w:sz="4" w:space="0"/>
            </w:tcBorders>
            <w:vAlign w:val="center"/>
          </w:tcPr>
          <w:p>
            <w:pPr>
              <w:pStyle w:val="1928"/>
              <w:snapToGrid w:val="0"/>
              <w:ind w:left="1380" w:firstLine="482"/>
              <w:jc w:val="both"/>
              <w:rPr>
                <w:rFonts w:ascii="Times New Roman"/>
                <w:szCs w:val="21"/>
              </w:rPr>
            </w:pPr>
            <w:r>
              <w:rPr>
                <w:rFonts w:ascii="Times New Roman"/>
                <w:szCs w:val="21"/>
              </w:rPr>
              <w:t>环保治理措施</w:t>
            </w:r>
          </w:p>
        </w:tc>
        <w:tc>
          <w:tcPr>
            <w:tcW w:w="567" w:type="dxa"/>
            <w:tcBorders>
              <w:top w:val="single" w:color="auto" w:sz="12"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数量</w:t>
            </w:r>
          </w:p>
        </w:tc>
        <w:tc>
          <w:tcPr>
            <w:tcW w:w="875" w:type="dxa"/>
            <w:tcBorders>
              <w:top w:val="single" w:color="auto" w:sz="12"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投资</w:t>
            </w:r>
          </w:p>
          <w:p>
            <w:pPr>
              <w:pStyle w:val="1928"/>
              <w:snapToGrid w:val="0"/>
              <w:rPr>
                <w:rFonts w:ascii="Times New Roman"/>
                <w:szCs w:val="21"/>
              </w:rPr>
            </w:pPr>
            <w:r>
              <w:rPr>
                <w:rFonts w:ascii="Times New Roman"/>
                <w:szCs w:val="21"/>
              </w:rPr>
              <w:t>金额</w:t>
            </w:r>
          </w:p>
        </w:tc>
      </w:tr>
      <w:tr>
        <w:tblPrEx>
          <w:tblCellMar>
            <w:top w:w="0" w:type="dxa"/>
            <w:left w:w="108" w:type="dxa"/>
            <w:bottom w:w="0" w:type="dxa"/>
            <w:right w:w="108" w:type="dxa"/>
          </w:tblCellMar>
        </w:tblPrEx>
        <w:trPr>
          <w:trHeight w:val="2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水环境保护措施</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施工期间</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生活污水</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生活污水经</w:t>
            </w:r>
            <w:r>
              <w:rPr>
                <w:rFonts w:hint="eastAsia" w:ascii="Times New Roman"/>
                <w:szCs w:val="21"/>
              </w:rPr>
              <w:t>三级化粪池处理后用于周围农地施肥</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w:t>
            </w:r>
            <w:r>
              <w:rPr>
                <w:rFonts w:hint="eastAsia" w:ascii="Times New Roman"/>
                <w:szCs w:val="21"/>
              </w:rPr>
              <w:t>.0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施工机械冲洗废水</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施工期间设置1处车辆冲洗点，产生车辆冲洗废水分别仅隔油池和沉淀处理后回用</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3.0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restart"/>
            <w:tcBorders>
              <w:top w:val="single" w:color="auto" w:sz="4" w:space="0"/>
              <w:left w:val="single" w:color="auto" w:sz="4" w:space="0"/>
              <w:right w:val="single" w:color="auto" w:sz="4" w:space="0"/>
            </w:tcBorders>
            <w:vAlign w:val="center"/>
          </w:tcPr>
          <w:p>
            <w:pPr>
              <w:pStyle w:val="1928"/>
              <w:snapToGrid w:val="0"/>
              <w:rPr>
                <w:rFonts w:ascii="Times New Roman"/>
                <w:szCs w:val="21"/>
              </w:rPr>
            </w:pPr>
            <w:r>
              <w:rPr>
                <w:rFonts w:ascii="Times New Roman"/>
                <w:szCs w:val="21"/>
              </w:rPr>
              <w:t>运行期</w:t>
            </w:r>
          </w:p>
        </w:tc>
        <w:tc>
          <w:tcPr>
            <w:tcW w:w="1134" w:type="dxa"/>
            <w:vMerge w:val="restart"/>
            <w:tcBorders>
              <w:top w:val="single" w:color="auto" w:sz="4" w:space="0"/>
              <w:left w:val="single" w:color="auto" w:sz="4" w:space="0"/>
              <w:right w:val="single" w:color="auto" w:sz="4" w:space="0"/>
            </w:tcBorders>
            <w:vAlign w:val="center"/>
          </w:tcPr>
          <w:p>
            <w:pPr>
              <w:pStyle w:val="1928"/>
              <w:snapToGrid w:val="0"/>
              <w:rPr>
                <w:rFonts w:ascii="Times New Roman"/>
                <w:szCs w:val="21"/>
              </w:rPr>
            </w:pPr>
            <w:r>
              <w:rPr>
                <w:rFonts w:ascii="Times New Roman"/>
                <w:szCs w:val="21"/>
              </w:rPr>
              <w:t>水污染治理措施</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设置一座500m</w:t>
            </w:r>
            <w:r>
              <w:rPr>
                <w:rFonts w:ascii="Times New Roman"/>
                <w:szCs w:val="21"/>
                <w:vertAlign w:val="superscript"/>
              </w:rPr>
              <w:t>3</w:t>
            </w:r>
            <w:r>
              <w:rPr>
                <w:rFonts w:ascii="Times New Roman"/>
                <w:szCs w:val="21"/>
              </w:rPr>
              <w:t>的</w:t>
            </w:r>
            <w:r>
              <w:rPr>
                <w:rFonts w:hint="eastAsia" w:ascii="Times New Roman"/>
                <w:szCs w:val="21"/>
              </w:rPr>
              <w:t>集污池，并采取加盖封闭</w:t>
            </w:r>
            <w:r>
              <w:rPr>
                <w:rFonts w:ascii="Times New Roman"/>
                <w:szCs w:val="21"/>
              </w:rPr>
              <w:t>，</w:t>
            </w:r>
            <w:r>
              <w:rPr>
                <w:rFonts w:hint="eastAsia" w:ascii="Times New Roman"/>
                <w:szCs w:val="21"/>
              </w:rPr>
              <w:t>每日由</w:t>
            </w:r>
            <w:r>
              <w:rPr>
                <w:rFonts w:hint="eastAsia"/>
                <w:szCs w:val="21"/>
              </w:rPr>
              <w:t>乐山乐高勤力生物质能源</w:t>
            </w:r>
            <w:r>
              <w:rPr>
                <w:szCs w:val="21"/>
              </w:rPr>
              <w:t>综合利用有限公司</w:t>
            </w:r>
            <w:r>
              <w:rPr>
                <w:rFonts w:hint="eastAsia"/>
                <w:szCs w:val="21"/>
              </w:rPr>
              <w:t>“大沼”工程处理</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30.0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top w:val="single" w:color="auto" w:sz="4" w:space="0"/>
              <w:left w:val="single" w:color="auto" w:sz="4" w:space="0"/>
              <w:right w:val="single" w:color="auto" w:sz="4" w:space="0"/>
            </w:tcBorders>
            <w:vAlign w:val="center"/>
          </w:tcPr>
          <w:p>
            <w:pPr>
              <w:pStyle w:val="1928"/>
              <w:snapToGrid w:val="0"/>
              <w:rPr>
                <w:rFonts w:ascii="Times New Roman"/>
                <w:szCs w:val="21"/>
              </w:rPr>
            </w:pPr>
          </w:p>
        </w:tc>
        <w:tc>
          <w:tcPr>
            <w:tcW w:w="1134" w:type="dxa"/>
            <w:vMerge w:val="continue"/>
            <w:tcBorders>
              <w:left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设置雨污分流沟</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hint="eastAsia" w:ascii="Times New Roman"/>
                <w:szCs w:val="21"/>
              </w:rPr>
              <w:t>/</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hint="eastAsia" w:ascii="Times New Roman"/>
                <w:szCs w:val="21"/>
              </w:rPr>
              <w:t>纳入主体工程</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1134"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食堂废水设置一座2m</w:t>
            </w:r>
            <w:r>
              <w:rPr>
                <w:rFonts w:ascii="Times New Roman"/>
                <w:szCs w:val="21"/>
                <w:vertAlign w:val="superscript"/>
              </w:rPr>
              <w:t>3</w:t>
            </w:r>
            <w:r>
              <w:rPr>
                <w:rFonts w:ascii="Times New Roman"/>
                <w:szCs w:val="21"/>
              </w:rPr>
              <w:t>的隔油池</w:t>
            </w:r>
            <w:r>
              <w:rPr>
                <w:rFonts w:hint="eastAsia" w:ascii="Times New Roman"/>
                <w:szCs w:val="21"/>
              </w:rPr>
              <w:t>及1</w:t>
            </w:r>
            <w:r>
              <w:rPr>
                <w:rFonts w:ascii="Times New Roman"/>
                <w:szCs w:val="21"/>
              </w:rPr>
              <w:t>00m</w:t>
            </w:r>
            <w:r>
              <w:rPr>
                <w:rFonts w:ascii="Times New Roman"/>
                <w:szCs w:val="21"/>
                <w:vertAlign w:val="superscript"/>
              </w:rPr>
              <w:t>3</w:t>
            </w:r>
            <w:r>
              <w:rPr>
                <w:rFonts w:hint="eastAsia" w:ascii="Times New Roman"/>
                <w:szCs w:val="21"/>
              </w:rPr>
              <w:t>的化粪池</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5.0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1134"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color w:val="FF0000"/>
                <w:szCs w:val="21"/>
              </w:rPr>
            </w:pPr>
            <w:r>
              <w:rPr>
                <w:rFonts w:hint="eastAsia" w:ascii="Times New Roman"/>
                <w:szCs w:val="21"/>
              </w:rPr>
              <w:t>养殖区雨水收集渠设置分流阀，设置</w:t>
            </w:r>
            <w:r>
              <w:rPr>
                <w:rFonts w:ascii="Times New Roman"/>
                <w:kern w:val="0"/>
                <w:lang w:bidi="ar"/>
              </w:rPr>
              <w:t>400m</w:t>
            </w:r>
            <w:r>
              <w:rPr>
                <w:rFonts w:ascii="Times New Roman"/>
                <w:kern w:val="0"/>
                <w:vertAlign w:val="superscript"/>
                <w:lang w:bidi="ar"/>
              </w:rPr>
              <w:t>3</w:t>
            </w:r>
            <w:r>
              <w:rPr>
                <w:rFonts w:ascii="Times New Roman"/>
                <w:kern w:val="0"/>
                <w:lang w:bidi="ar"/>
              </w:rPr>
              <w:t>的初期雨水收集池</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hint="eastAsia"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1134"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备用设施：1台固液分离机+</w:t>
            </w:r>
            <w:r>
              <w:rPr>
                <w:rFonts w:ascii="Times New Roman"/>
                <w:szCs w:val="21"/>
              </w:rPr>
              <w:t>100m</w:t>
            </w:r>
            <w:r>
              <w:rPr>
                <w:rFonts w:ascii="Times New Roman"/>
                <w:szCs w:val="21"/>
                <w:vertAlign w:val="superscript"/>
              </w:rPr>
              <w:t>3</w:t>
            </w:r>
            <w:r>
              <w:rPr>
                <w:rFonts w:hint="eastAsia" w:ascii="Times New Roman"/>
                <w:szCs w:val="21"/>
              </w:rPr>
              <w:t>沼气池+</w:t>
            </w:r>
            <w:r>
              <w:rPr>
                <w:rFonts w:ascii="Times New Roman"/>
                <w:szCs w:val="21"/>
              </w:rPr>
              <w:t>500m</w:t>
            </w:r>
            <w:r>
              <w:rPr>
                <w:rFonts w:ascii="Times New Roman"/>
                <w:szCs w:val="21"/>
                <w:vertAlign w:val="superscript"/>
              </w:rPr>
              <w:t>3</w:t>
            </w:r>
            <w:r>
              <w:rPr>
                <w:rFonts w:hint="eastAsia" w:ascii="Times New Roman"/>
                <w:szCs w:val="21"/>
              </w:rPr>
              <w:t>暂存池+</w:t>
            </w:r>
            <w:r>
              <w:rPr>
                <w:rFonts w:ascii="Times New Roman"/>
                <w:szCs w:val="21"/>
              </w:rPr>
              <w:t>12</w:t>
            </w:r>
            <w:r>
              <w:rPr>
                <w:rFonts w:hint="eastAsia" w:ascii="Times New Roman"/>
                <w:szCs w:val="21"/>
              </w:rPr>
              <w:t>座1</w:t>
            </w:r>
            <w:r>
              <w:rPr>
                <w:rFonts w:ascii="Times New Roman"/>
                <w:szCs w:val="21"/>
              </w:rPr>
              <w:t>50m</w:t>
            </w:r>
            <w:r>
              <w:rPr>
                <w:rFonts w:ascii="Times New Roman"/>
                <w:szCs w:val="21"/>
                <w:vertAlign w:val="superscript"/>
              </w:rPr>
              <w:t>3</w:t>
            </w:r>
            <w:r>
              <w:rPr>
                <w:rFonts w:hint="eastAsia" w:ascii="Times New Roman"/>
                <w:szCs w:val="21"/>
              </w:rPr>
              <w:t>田间池</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hint="eastAsia" w:ascii="Times New Roman"/>
                <w:szCs w:val="21"/>
              </w:rPr>
              <w:t>1</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200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ind w:left="1380" w:firstLine="482"/>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ind w:firstLine="480"/>
              <w:rPr>
                <w:rFonts w:ascii="Times New Roman"/>
                <w:b/>
                <w:bCs/>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ascii="Times New Roman"/>
                <w:b/>
                <w:bCs/>
                <w:szCs w:val="21"/>
              </w:rPr>
              <w:t>242.0</w:t>
            </w:r>
          </w:p>
        </w:tc>
      </w:tr>
      <w:tr>
        <w:tblPrEx>
          <w:tblCellMar>
            <w:top w:w="0" w:type="dxa"/>
            <w:left w:w="108" w:type="dxa"/>
            <w:bottom w:w="0" w:type="dxa"/>
            <w:right w:w="108" w:type="dxa"/>
          </w:tblCellMar>
        </w:tblPrEx>
        <w:trPr>
          <w:trHeight w:val="2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废气治理</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施工期间</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燃油废气</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不使用超标排放的机械设备</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扬尘</w:t>
            </w:r>
          </w:p>
        </w:tc>
        <w:tc>
          <w:tcPr>
            <w:tcW w:w="4678" w:type="dxa"/>
            <w:tcBorders>
              <w:top w:val="single" w:color="auto" w:sz="4" w:space="0"/>
              <w:left w:val="single" w:color="auto" w:sz="4" w:space="0"/>
              <w:bottom w:val="single" w:color="auto" w:sz="4" w:space="0"/>
              <w:right w:val="single" w:color="auto" w:sz="4" w:space="0"/>
            </w:tcBorders>
          </w:tcPr>
          <w:p>
            <w:pPr>
              <w:pStyle w:val="1928"/>
              <w:snapToGrid w:val="0"/>
              <w:jc w:val="both"/>
              <w:rPr>
                <w:rFonts w:ascii="Times New Roman"/>
                <w:szCs w:val="21"/>
              </w:rPr>
            </w:pPr>
            <w:r>
              <w:rPr>
                <w:rFonts w:ascii="Times New Roman"/>
                <w:szCs w:val="21"/>
              </w:rPr>
              <w:t>封闭打围施工</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tcPr>
          <w:p>
            <w:pPr>
              <w:pStyle w:val="1928"/>
              <w:snapToGrid w:val="0"/>
              <w:jc w:val="both"/>
              <w:rPr>
                <w:rFonts w:ascii="Times New Roman"/>
                <w:szCs w:val="21"/>
              </w:rPr>
            </w:pPr>
            <w:r>
              <w:rPr>
                <w:rFonts w:ascii="Times New Roman"/>
                <w:szCs w:val="21"/>
              </w:rPr>
              <w:t>场地采取防尘洒水</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1.0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tcPr>
          <w:p>
            <w:pPr>
              <w:pStyle w:val="1928"/>
              <w:snapToGrid w:val="0"/>
              <w:jc w:val="both"/>
              <w:rPr>
                <w:rFonts w:ascii="Times New Roman"/>
                <w:szCs w:val="21"/>
              </w:rPr>
            </w:pPr>
            <w:r>
              <w:rPr>
                <w:rFonts w:ascii="Times New Roman"/>
                <w:szCs w:val="21"/>
              </w:rPr>
              <w:t>运输车辆加盖有篷布</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0.5</w:t>
            </w:r>
          </w:p>
        </w:tc>
      </w:tr>
      <w:tr>
        <w:tblPrEx>
          <w:tblCellMar>
            <w:top w:w="0" w:type="dxa"/>
            <w:left w:w="108" w:type="dxa"/>
            <w:bottom w:w="0" w:type="dxa"/>
            <w:right w:w="108" w:type="dxa"/>
          </w:tblCellMar>
        </w:tblPrEx>
        <w:trPr>
          <w:trHeight w:val="1634"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运行期</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恶臭</w:t>
            </w:r>
          </w:p>
        </w:tc>
        <w:tc>
          <w:tcPr>
            <w:tcW w:w="4678" w:type="dxa"/>
            <w:tcBorders>
              <w:top w:val="single" w:color="auto" w:sz="4" w:space="0"/>
              <w:left w:val="single" w:color="auto" w:sz="4" w:space="0"/>
              <w:right w:val="single" w:color="auto" w:sz="4" w:space="0"/>
            </w:tcBorders>
            <w:vAlign w:val="center"/>
          </w:tcPr>
          <w:p>
            <w:pPr>
              <w:pStyle w:val="1928"/>
              <w:snapToGrid w:val="0"/>
              <w:jc w:val="both"/>
              <w:rPr>
                <w:rFonts w:ascii="Times New Roman"/>
                <w:szCs w:val="21"/>
              </w:rPr>
            </w:pPr>
            <w:r>
              <w:rPr>
                <w:rFonts w:hint="eastAsia" w:hAnsi="宋体" w:cs="宋体"/>
                <w:szCs w:val="21"/>
              </w:rPr>
              <w:t>①</w:t>
            </w:r>
            <w:r>
              <w:rPr>
                <w:rFonts w:ascii="Times New Roman"/>
                <w:szCs w:val="21"/>
              </w:rPr>
              <w:t>采用</w:t>
            </w:r>
            <w:r>
              <w:rPr>
                <w:rFonts w:hint="eastAsia" w:ascii="Times New Roman"/>
                <w:szCs w:val="21"/>
              </w:rPr>
              <w:t>全漏缝干清粪工艺，管沟、污水处理设施加盖封闭</w:t>
            </w:r>
            <w:r>
              <w:rPr>
                <w:rFonts w:ascii="Times New Roman"/>
                <w:szCs w:val="21"/>
              </w:rPr>
              <w:t>；</w:t>
            </w:r>
          </w:p>
          <w:p>
            <w:pPr>
              <w:pStyle w:val="1928"/>
              <w:snapToGrid w:val="0"/>
              <w:jc w:val="both"/>
              <w:rPr>
                <w:rFonts w:ascii="Times New Roman"/>
                <w:szCs w:val="21"/>
              </w:rPr>
            </w:pPr>
            <w:r>
              <w:rPr>
                <w:rFonts w:hint="eastAsia" w:hAnsi="宋体" w:cs="宋体"/>
                <w:szCs w:val="21"/>
              </w:rPr>
              <w:t>②</w:t>
            </w:r>
            <w:r>
              <w:rPr>
                <w:rFonts w:ascii="Times New Roman"/>
                <w:szCs w:val="21"/>
              </w:rPr>
              <w:t>改良饲料、科学配比饲料；</w:t>
            </w:r>
          </w:p>
          <w:p>
            <w:pPr>
              <w:pStyle w:val="1928"/>
              <w:snapToGrid w:val="0"/>
              <w:jc w:val="both"/>
              <w:rPr>
                <w:rFonts w:ascii="Times New Roman"/>
                <w:szCs w:val="21"/>
              </w:rPr>
            </w:pPr>
            <w:r>
              <w:rPr>
                <w:rFonts w:ascii="Times New Roman"/>
                <w:szCs w:val="21"/>
              </w:rPr>
              <w:fldChar w:fldCharType="begin"/>
            </w:r>
            <w:r>
              <w:rPr>
                <w:rFonts w:ascii="Times New Roman"/>
                <w:szCs w:val="21"/>
              </w:rPr>
              <w:instrText xml:space="preserve"> </w:instrText>
            </w:r>
            <w:r>
              <w:rPr>
                <w:rFonts w:hint="eastAsia" w:ascii="Times New Roman"/>
                <w:szCs w:val="21"/>
              </w:rPr>
              <w:instrText xml:space="preserve">= 3 \* GB3</w:instrText>
            </w:r>
            <w:r>
              <w:rPr>
                <w:rFonts w:ascii="Times New Roman"/>
                <w:szCs w:val="21"/>
              </w:rPr>
              <w:instrText xml:space="preserve"> </w:instrText>
            </w:r>
            <w:r>
              <w:rPr>
                <w:rFonts w:ascii="Times New Roman"/>
                <w:szCs w:val="21"/>
              </w:rPr>
              <w:fldChar w:fldCharType="separate"/>
            </w:r>
            <w:r>
              <w:rPr>
                <w:rFonts w:hint="eastAsia" w:ascii="Times New Roman"/>
                <w:szCs w:val="21"/>
              </w:rPr>
              <w:t>③</w:t>
            </w:r>
            <w:r>
              <w:rPr>
                <w:rFonts w:ascii="Times New Roman"/>
                <w:szCs w:val="21"/>
              </w:rPr>
              <w:fldChar w:fldCharType="end"/>
            </w:r>
            <w:r>
              <w:rPr>
                <w:rFonts w:ascii="Times New Roman"/>
                <w:szCs w:val="21"/>
              </w:rPr>
              <w:t>合理平面布置、加强对猪舍的通风换气；</w:t>
            </w:r>
          </w:p>
          <w:p>
            <w:pPr>
              <w:pStyle w:val="1928"/>
              <w:snapToGrid w:val="0"/>
              <w:jc w:val="both"/>
              <w:rPr>
                <w:rFonts w:ascii="Times New Roman"/>
                <w:szCs w:val="21"/>
              </w:rPr>
            </w:pPr>
            <w:r>
              <w:rPr>
                <w:rFonts w:ascii="Times New Roman"/>
                <w:szCs w:val="21"/>
              </w:rPr>
              <w:fldChar w:fldCharType="begin"/>
            </w:r>
            <w:r>
              <w:rPr>
                <w:rFonts w:ascii="Times New Roman"/>
                <w:szCs w:val="21"/>
              </w:rPr>
              <w:instrText xml:space="preserve"> </w:instrText>
            </w:r>
            <w:r>
              <w:rPr>
                <w:rFonts w:hint="eastAsia" w:ascii="Times New Roman"/>
                <w:szCs w:val="21"/>
              </w:rPr>
              <w:instrText xml:space="preserve">= 4 \* GB3</w:instrText>
            </w:r>
            <w:r>
              <w:rPr>
                <w:rFonts w:ascii="Times New Roman"/>
                <w:szCs w:val="21"/>
              </w:rPr>
              <w:instrText xml:space="preserve"> </w:instrText>
            </w:r>
            <w:r>
              <w:rPr>
                <w:rFonts w:ascii="Times New Roman"/>
                <w:szCs w:val="21"/>
              </w:rPr>
              <w:fldChar w:fldCharType="separate"/>
            </w:r>
            <w:r>
              <w:rPr>
                <w:rFonts w:hint="eastAsia" w:ascii="Times New Roman"/>
                <w:szCs w:val="21"/>
              </w:rPr>
              <w:t>④</w:t>
            </w:r>
            <w:r>
              <w:rPr>
                <w:rFonts w:ascii="Times New Roman"/>
                <w:szCs w:val="21"/>
              </w:rPr>
              <w:fldChar w:fldCharType="end"/>
            </w:r>
            <w:r>
              <w:rPr>
                <w:rFonts w:ascii="Times New Roman"/>
                <w:szCs w:val="21"/>
              </w:rPr>
              <w:t>及时</w:t>
            </w:r>
            <w:r>
              <w:rPr>
                <w:rFonts w:hint="eastAsia" w:ascii="Times New Roman"/>
                <w:szCs w:val="21"/>
              </w:rPr>
              <w:t>抽尿粪</w:t>
            </w:r>
            <w:r>
              <w:rPr>
                <w:rFonts w:ascii="Times New Roman"/>
                <w:szCs w:val="21"/>
              </w:rPr>
              <w:t>、集污池加蓬盖、粪污及时抽出</w:t>
            </w:r>
            <w:r>
              <w:rPr>
                <w:rFonts w:hint="eastAsia" w:ascii="Times New Roman"/>
                <w:szCs w:val="21"/>
              </w:rPr>
              <w:t>外运</w:t>
            </w:r>
            <w:r>
              <w:rPr>
                <w:rFonts w:ascii="Times New Roman"/>
                <w:szCs w:val="21"/>
              </w:rPr>
              <w:t>；</w:t>
            </w:r>
          </w:p>
          <w:p>
            <w:pPr>
              <w:pStyle w:val="1928"/>
              <w:snapToGrid w:val="0"/>
              <w:jc w:val="both"/>
              <w:rPr>
                <w:rFonts w:ascii="Times New Roman"/>
                <w:szCs w:val="21"/>
              </w:rPr>
            </w:pPr>
            <w:r>
              <w:rPr>
                <w:rFonts w:ascii="Times New Roman"/>
                <w:szCs w:val="21"/>
              </w:rPr>
              <w:fldChar w:fldCharType="begin"/>
            </w:r>
            <w:r>
              <w:rPr>
                <w:rFonts w:ascii="Times New Roman"/>
                <w:szCs w:val="21"/>
              </w:rPr>
              <w:instrText xml:space="preserve"> </w:instrText>
            </w:r>
            <w:r>
              <w:rPr>
                <w:rFonts w:hint="eastAsia" w:ascii="Times New Roman"/>
                <w:szCs w:val="21"/>
              </w:rPr>
              <w:instrText xml:space="preserve">= 5 \* GB3</w:instrText>
            </w:r>
            <w:r>
              <w:rPr>
                <w:rFonts w:ascii="Times New Roman"/>
                <w:szCs w:val="21"/>
              </w:rPr>
              <w:instrText xml:space="preserve"> </w:instrText>
            </w:r>
            <w:r>
              <w:rPr>
                <w:rFonts w:ascii="Times New Roman"/>
                <w:szCs w:val="21"/>
              </w:rPr>
              <w:fldChar w:fldCharType="separate"/>
            </w:r>
            <w:r>
              <w:rPr>
                <w:rFonts w:hint="eastAsia" w:ascii="Times New Roman"/>
                <w:szCs w:val="21"/>
              </w:rPr>
              <w:t>⑤</w:t>
            </w:r>
            <w:r>
              <w:rPr>
                <w:rFonts w:ascii="Times New Roman"/>
                <w:szCs w:val="21"/>
              </w:rPr>
              <w:fldChar w:fldCharType="end"/>
            </w:r>
            <w:r>
              <w:rPr>
                <w:rFonts w:hint="eastAsia" w:ascii="Times New Roman"/>
                <w:szCs w:val="21"/>
              </w:rPr>
              <w:t>喷洒抑臭剂</w:t>
            </w:r>
          </w:p>
        </w:tc>
        <w:tc>
          <w:tcPr>
            <w:tcW w:w="567" w:type="dxa"/>
            <w:tcBorders>
              <w:top w:val="single" w:color="auto" w:sz="4" w:space="0"/>
              <w:left w:val="single" w:color="auto" w:sz="4" w:space="0"/>
              <w:right w:val="single" w:color="auto" w:sz="4" w:space="0"/>
            </w:tcBorders>
            <w:vAlign w:val="center"/>
          </w:tcPr>
          <w:p>
            <w:pPr>
              <w:pStyle w:val="1928"/>
              <w:snapToGrid w:val="0"/>
              <w:rPr>
                <w:rFonts w:ascii="Times New Roman"/>
                <w:szCs w:val="21"/>
              </w:rPr>
            </w:pPr>
            <w:r>
              <w:rPr>
                <w:rFonts w:hint="eastAsia" w:ascii="Times New Roman"/>
                <w:szCs w:val="21"/>
              </w:rPr>
              <w:t>/</w:t>
            </w:r>
          </w:p>
        </w:tc>
        <w:tc>
          <w:tcPr>
            <w:tcW w:w="875" w:type="dxa"/>
            <w:tcBorders>
              <w:top w:val="single" w:color="auto" w:sz="4" w:space="0"/>
              <w:left w:val="single" w:color="auto" w:sz="4" w:space="0"/>
            </w:tcBorders>
            <w:vAlign w:val="center"/>
          </w:tcPr>
          <w:p>
            <w:pPr>
              <w:pStyle w:val="1928"/>
              <w:snapToGrid w:val="0"/>
              <w:rPr>
                <w:rFonts w:ascii="Times New Roman"/>
                <w:szCs w:val="21"/>
              </w:rPr>
            </w:pPr>
            <w:r>
              <w:rPr>
                <w:rFonts w:ascii="Times New Roman"/>
                <w:szCs w:val="21"/>
              </w:rPr>
              <w:t>80.0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厨房油烟</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经油烟净化器净化处理后经烟道进行楼顶排放</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hint="eastAsia" w:ascii="Times New Roman"/>
                <w:szCs w:val="21"/>
              </w:rPr>
              <w:t>1.5</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ind w:left="1380" w:firstLine="482"/>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ascii="Times New Roman"/>
                <w:b/>
                <w:bCs/>
                <w:szCs w:val="21"/>
              </w:rPr>
              <w:t>85.0</w:t>
            </w:r>
          </w:p>
        </w:tc>
      </w:tr>
      <w:tr>
        <w:tblPrEx>
          <w:tblCellMar>
            <w:top w:w="0" w:type="dxa"/>
            <w:left w:w="108" w:type="dxa"/>
            <w:bottom w:w="0" w:type="dxa"/>
            <w:right w:w="108" w:type="dxa"/>
          </w:tblCellMar>
        </w:tblPrEx>
        <w:trPr>
          <w:trHeight w:val="2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噪声治理</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施工期间</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降噪措施</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全部选用的低噪声设备</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1.0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实行打围封闭施工，利用围挡设施隔声</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施工全部安排在昼间，夜间不施工</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东侧和北侧</w:t>
            </w:r>
            <w:r>
              <w:rPr>
                <w:rFonts w:ascii="Times New Roman"/>
                <w:szCs w:val="21"/>
              </w:rPr>
              <w:t>临居民一侧设置实心围墙</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hint="eastAsia" w:ascii="Times New Roman"/>
                <w:szCs w:val="21"/>
              </w:rPr>
              <w:t>3</w:t>
            </w:r>
            <w:r>
              <w:rPr>
                <w:rFonts w:ascii="Times New Roman"/>
                <w:szCs w:val="21"/>
              </w:rPr>
              <w:t>.0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sz w:val="21"/>
                <w:szCs w:val="21"/>
              </w:rPr>
            </w:pPr>
            <w:r>
              <w:rPr>
                <w:sz w:val="21"/>
                <w:szCs w:val="21"/>
              </w:rPr>
              <w:t>设备噪声：选用低噪设备，加强日常维护、减振、隔声、消声、密闭等措施</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3.0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1134" w:type="dxa"/>
            <w:vMerge w:val="continue"/>
            <w:tcBorders>
              <w:left w:val="single" w:color="auto" w:sz="4" w:space="0"/>
              <w:right w:val="single" w:color="auto" w:sz="4" w:space="0"/>
            </w:tcBorders>
            <w:vAlign w:val="center"/>
          </w:tcPr>
          <w:p>
            <w:pPr>
              <w:widowControl/>
              <w:snapToGrid w:val="0"/>
              <w:spacing w:line="240" w:lineRule="auto"/>
              <w:jc w:val="center"/>
              <w:rPr>
                <w:sz w:val="21"/>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sz w:val="21"/>
                <w:szCs w:val="21"/>
              </w:rPr>
            </w:pPr>
            <w:r>
              <w:rPr>
                <w:sz w:val="21"/>
                <w:szCs w:val="21"/>
              </w:rPr>
              <w:t>运输噪声：运输安排在昼间，夜间不运输。</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w:t>
            </w: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ind w:left="1380" w:firstLine="482"/>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hint="eastAsia" w:ascii="Times New Roman"/>
                <w:b/>
                <w:bCs/>
                <w:szCs w:val="21"/>
              </w:rPr>
              <w:t>7</w:t>
            </w:r>
            <w:r>
              <w:rPr>
                <w:rFonts w:ascii="Times New Roman"/>
                <w:b/>
                <w:bCs/>
                <w:szCs w:val="21"/>
              </w:rPr>
              <w:t>.0</w:t>
            </w:r>
          </w:p>
        </w:tc>
      </w:tr>
      <w:tr>
        <w:tblPrEx>
          <w:tblCellMar>
            <w:top w:w="0" w:type="dxa"/>
            <w:left w:w="108" w:type="dxa"/>
            <w:bottom w:w="0" w:type="dxa"/>
            <w:right w:w="108" w:type="dxa"/>
          </w:tblCellMar>
        </w:tblPrEx>
        <w:trPr>
          <w:trHeight w:val="2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固废处置</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施工期间</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弃方</w:t>
            </w:r>
          </w:p>
        </w:tc>
        <w:tc>
          <w:tcPr>
            <w:tcW w:w="467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sz w:val="21"/>
                <w:szCs w:val="21"/>
              </w:rPr>
            </w:pPr>
            <w:r>
              <w:rPr>
                <w:sz w:val="21"/>
                <w:szCs w:val="21"/>
              </w:rPr>
              <w:t>运至建渣场；</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5.0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建筑垃圾</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ascii="Times New Roman"/>
                <w:szCs w:val="21"/>
              </w:rPr>
              <w:t>分类回收、不能回收的送至建渣场</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1.0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施工人员生活垃圾</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由环卫部门清运</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0.2</w:t>
            </w:r>
          </w:p>
        </w:tc>
      </w:tr>
      <w:tr>
        <w:tblPrEx>
          <w:tblCellMar>
            <w:top w:w="0" w:type="dxa"/>
            <w:left w:w="108" w:type="dxa"/>
            <w:bottom w:w="0" w:type="dxa"/>
            <w:right w:w="108" w:type="dxa"/>
          </w:tblCellMar>
        </w:tblPrEx>
        <w:trPr>
          <w:trHeight w:val="260"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restart"/>
            <w:tcBorders>
              <w:top w:val="single" w:color="auto" w:sz="4" w:space="0"/>
              <w:left w:val="single" w:color="auto" w:sz="4" w:space="0"/>
              <w:right w:val="single" w:color="auto" w:sz="4" w:space="0"/>
            </w:tcBorders>
            <w:vAlign w:val="center"/>
          </w:tcPr>
          <w:p>
            <w:pPr>
              <w:pStyle w:val="1928"/>
              <w:snapToGrid w:val="0"/>
              <w:rPr>
                <w:rFonts w:ascii="Times New Roman"/>
                <w:szCs w:val="21"/>
              </w:rPr>
            </w:pPr>
            <w:r>
              <w:rPr>
                <w:rFonts w:ascii="Times New Roman"/>
                <w:szCs w:val="21"/>
              </w:rPr>
              <w:t>运营期间</w:t>
            </w:r>
          </w:p>
        </w:tc>
        <w:tc>
          <w:tcPr>
            <w:tcW w:w="1134" w:type="dxa"/>
            <w:vMerge w:val="restart"/>
            <w:tcBorders>
              <w:top w:val="single" w:color="auto" w:sz="4" w:space="0"/>
              <w:left w:val="single" w:color="auto" w:sz="4" w:space="0"/>
              <w:right w:val="single" w:color="auto" w:sz="4" w:space="0"/>
            </w:tcBorders>
            <w:vAlign w:val="center"/>
          </w:tcPr>
          <w:p>
            <w:pPr>
              <w:pStyle w:val="1928"/>
              <w:snapToGrid w:val="0"/>
              <w:rPr>
                <w:rFonts w:ascii="Times New Roman"/>
                <w:szCs w:val="21"/>
              </w:rPr>
            </w:pPr>
            <w:r>
              <w:rPr>
                <w:rFonts w:ascii="Times New Roman"/>
                <w:szCs w:val="21"/>
              </w:rPr>
              <w:t>固体废物</w:t>
            </w: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猪粪：</w:t>
            </w:r>
            <w:r>
              <w:rPr>
                <w:snapToGrid w:val="0"/>
                <w:szCs w:val="24"/>
              </w:rPr>
              <w:t>粪污清理采用机械</w:t>
            </w:r>
            <w:r>
              <w:rPr>
                <w:rFonts w:hint="eastAsia"/>
                <w:snapToGrid w:val="0"/>
                <w:szCs w:val="24"/>
              </w:rPr>
              <w:t>清粪至集污池，交由乐山</w:t>
            </w:r>
            <w:r>
              <w:rPr>
                <w:rFonts w:hint="eastAsia"/>
                <w:szCs w:val="21"/>
              </w:rPr>
              <w:t>乐高勤力生物质能源</w:t>
            </w:r>
            <w:r>
              <w:rPr>
                <w:szCs w:val="21"/>
              </w:rPr>
              <w:t>综合利用有限公司</w:t>
            </w:r>
            <w:r>
              <w:rPr>
                <w:rFonts w:hint="eastAsia"/>
                <w:szCs w:val="21"/>
              </w:rPr>
              <w:t>“大沼”工程处理</w:t>
            </w:r>
          </w:p>
        </w:tc>
        <w:tc>
          <w:tcPr>
            <w:tcW w:w="567" w:type="dxa"/>
            <w:vMerge w:val="restart"/>
            <w:tcBorders>
              <w:top w:val="single" w:color="auto" w:sz="4" w:space="0"/>
              <w:left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hint="eastAsia" w:ascii="Times New Roman"/>
                <w:szCs w:val="21"/>
              </w:rPr>
              <w:t>纳入水处理设施费用</w:t>
            </w:r>
          </w:p>
        </w:tc>
      </w:tr>
      <w:tr>
        <w:tblPrEx>
          <w:tblCellMar>
            <w:top w:w="0" w:type="dxa"/>
            <w:left w:w="108" w:type="dxa"/>
            <w:bottom w:w="0" w:type="dxa"/>
            <w:right w:w="108" w:type="dxa"/>
          </w:tblCellMar>
        </w:tblPrEx>
        <w:trPr>
          <w:trHeight w:val="270"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right w:val="single" w:color="auto" w:sz="4" w:space="0"/>
            </w:tcBorders>
            <w:vAlign w:val="center"/>
          </w:tcPr>
          <w:p>
            <w:pPr>
              <w:pStyle w:val="1928"/>
              <w:snapToGrid w:val="0"/>
              <w:rPr>
                <w:rFonts w:ascii="Times New Roman"/>
                <w:szCs w:val="21"/>
              </w:rPr>
            </w:pPr>
          </w:p>
        </w:tc>
        <w:tc>
          <w:tcPr>
            <w:tcW w:w="1134" w:type="dxa"/>
            <w:vMerge w:val="continue"/>
            <w:tcBorders>
              <w:left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设置垃圾桶，每日依托高凤乡垃圾清运系统一并清运</w:t>
            </w:r>
          </w:p>
        </w:tc>
        <w:tc>
          <w:tcPr>
            <w:tcW w:w="567" w:type="dxa"/>
            <w:vMerge w:val="continue"/>
            <w:tcBorders>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0.2</w:t>
            </w:r>
          </w:p>
        </w:tc>
      </w:tr>
      <w:tr>
        <w:tblPrEx>
          <w:tblCellMar>
            <w:top w:w="0" w:type="dxa"/>
            <w:left w:w="108" w:type="dxa"/>
            <w:bottom w:w="0" w:type="dxa"/>
            <w:right w:w="108" w:type="dxa"/>
          </w:tblCellMar>
        </w:tblPrEx>
        <w:trPr>
          <w:trHeight w:val="270"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right w:val="single" w:color="auto" w:sz="4" w:space="0"/>
            </w:tcBorders>
            <w:vAlign w:val="center"/>
          </w:tcPr>
          <w:p>
            <w:pPr>
              <w:pStyle w:val="1928"/>
              <w:snapToGrid w:val="0"/>
              <w:rPr>
                <w:rFonts w:ascii="Times New Roman"/>
                <w:szCs w:val="21"/>
              </w:rPr>
            </w:pPr>
          </w:p>
        </w:tc>
        <w:tc>
          <w:tcPr>
            <w:tcW w:w="1134" w:type="dxa"/>
            <w:vMerge w:val="continue"/>
            <w:tcBorders>
              <w:left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建设1间</w:t>
            </w:r>
            <w:r>
              <w:rPr>
                <w:rFonts w:ascii="Times New Roman"/>
                <w:szCs w:val="21"/>
              </w:rPr>
              <w:t>10m</w:t>
            </w:r>
            <w:r>
              <w:rPr>
                <w:rFonts w:ascii="Times New Roman"/>
                <w:szCs w:val="21"/>
                <w:vertAlign w:val="superscript"/>
              </w:rPr>
              <w:t>2</w:t>
            </w:r>
            <w:r>
              <w:rPr>
                <w:rFonts w:hint="eastAsia" w:ascii="Times New Roman"/>
                <w:szCs w:val="21"/>
              </w:rPr>
              <w:t>的医疗废物暂存间，交由有资质的单位进行处理</w:t>
            </w:r>
          </w:p>
        </w:tc>
        <w:tc>
          <w:tcPr>
            <w:tcW w:w="567" w:type="dxa"/>
            <w:tcBorders>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w:t>
            </w:r>
          </w:p>
        </w:tc>
      </w:tr>
      <w:tr>
        <w:tblPrEx>
          <w:tblCellMar>
            <w:top w:w="0" w:type="dxa"/>
            <w:left w:w="108" w:type="dxa"/>
            <w:bottom w:w="0" w:type="dxa"/>
            <w:right w:w="108" w:type="dxa"/>
          </w:tblCellMar>
        </w:tblPrEx>
        <w:trPr>
          <w:trHeight w:val="270"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vMerge w:val="continue"/>
            <w:tcBorders>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1134" w:type="dxa"/>
            <w:vMerge w:val="continue"/>
            <w:tcBorders>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r>
              <w:rPr>
                <w:rFonts w:hint="eastAsia" w:ascii="Times New Roman"/>
                <w:szCs w:val="21"/>
              </w:rPr>
              <w:t>粪便临时堆存区：用于存放固液分离后的干粪</w:t>
            </w:r>
          </w:p>
        </w:tc>
        <w:tc>
          <w:tcPr>
            <w:tcW w:w="567" w:type="dxa"/>
            <w:tcBorders>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ascii="Times New Roman"/>
                <w:b/>
                <w:bCs/>
                <w:szCs w:val="21"/>
              </w:rPr>
              <w:t>10.4</w:t>
            </w:r>
          </w:p>
        </w:tc>
      </w:tr>
      <w:tr>
        <w:tblPrEx>
          <w:tblCellMar>
            <w:top w:w="0" w:type="dxa"/>
            <w:left w:w="108" w:type="dxa"/>
            <w:bottom w:w="0" w:type="dxa"/>
            <w:right w:w="108" w:type="dxa"/>
          </w:tblCellMar>
        </w:tblPrEx>
        <w:trPr>
          <w:trHeight w:val="2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地下水污染防治</w:t>
            </w:r>
          </w:p>
        </w:tc>
        <w:tc>
          <w:tcPr>
            <w:tcW w:w="666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sz w:val="21"/>
                <w:szCs w:val="21"/>
              </w:rPr>
            </w:pPr>
            <w:r>
              <w:rPr>
                <w:sz w:val="21"/>
                <w:szCs w:val="21"/>
              </w:rPr>
              <w:t>项目采取分区防渗，简单防渗区包括道路区、办公生活区等区域，采取水泥硬化。</w:t>
            </w:r>
          </w:p>
          <w:p>
            <w:pPr>
              <w:snapToGrid w:val="0"/>
              <w:spacing w:line="240" w:lineRule="auto"/>
              <w:jc w:val="left"/>
              <w:rPr>
                <w:sz w:val="21"/>
                <w:szCs w:val="21"/>
              </w:rPr>
            </w:pPr>
            <w:r>
              <w:rPr>
                <w:b/>
                <w:sz w:val="21"/>
                <w:szCs w:val="21"/>
              </w:rPr>
              <w:t>一般防渗区</w:t>
            </w:r>
            <w:r>
              <w:rPr>
                <w:rFonts w:hint="eastAsia"/>
                <w:b/>
                <w:sz w:val="21"/>
                <w:szCs w:val="21"/>
              </w:rPr>
              <w:t>：</w:t>
            </w:r>
            <w:r>
              <w:rPr>
                <w:sz w:val="21"/>
                <w:szCs w:val="21"/>
              </w:rPr>
              <w:t>包括废水处理系统各构筑物、管道，车间及冷库地面、墙裙等，采用</w:t>
            </w:r>
            <w:r>
              <w:rPr>
                <w:rFonts w:hint="eastAsia"/>
                <w:sz w:val="21"/>
                <w:szCs w:val="21"/>
              </w:rPr>
              <w:t>抗渗等级为P</w:t>
            </w:r>
            <w:r>
              <w:rPr>
                <w:sz w:val="21"/>
                <w:szCs w:val="21"/>
              </w:rPr>
              <w:t>8</w:t>
            </w:r>
            <w:r>
              <w:rPr>
                <w:rFonts w:hint="eastAsia"/>
                <w:sz w:val="21"/>
                <w:szCs w:val="21"/>
              </w:rPr>
              <w:t>的抗渗混凝土防渗</w:t>
            </w:r>
            <w:r>
              <w:rPr>
                <w:sz w:val="21"/>
                <w:szCs w:val="21"/>
              </w:rPr>
              <w:t>（等效黏土防渗层Mb≥1.5m，K≤1×10</w:t>
            </w:r>
            <w:r>
              <w:rPr>
                <w:sz w:val="21"/>
                <w:szCs w:val="21"/>
                <w:vertAlign w:val="superscript"/>
              </w:rPr>
              <w:t>-7</w:t>
            </w:r>
            <w:r>
              <w:rPr>
                <w:sz w:val="21"/>
                <w:szCs w:val="21"/>
              </w:rPr>
              <w:t>cm/s）进行防渗。</w:t>
            </w:r>
          </w:p>
          <w:p>
            <w:pPr>
              <w:snapToGrid w:val="0"/>
              <w:spacing w:line="240" w:lineRule="auto"/>
              <w:jc w:val="center"/>
              <w:rPr>
                <w:sz w:val="21"/>
                <w:szCs w:val="21"/>
              </w:rPr>
            </w:pPr>
            <w:r>
              <w:rPr>
                <w:rFonts w:hint="eastAsia"/>
                <w:b/>
                <w:sz w:val="21"/>
                <w:szCs w:val="21"/>
              </w:rPr>
              <w:t>重点</w:t>
            </w:r>
            <w:r>
              <w:rPr>
                <w:b/>
                <w:sz w:val="21"/>
                <w:szCs w:val="21"/>
              </w:rPr>
              <w:t>防渗区</w:t>
            </w:r>
            <w:r>
              <w:rPr>
                <w:rFonts w:hint="eastAsia"/>
                <w:b/>
                <w:sz w:val="21"/>
                <w:szCs w:val="21"/>
              </w:rPr>
              <w:t>：</w:t>
            </w:r>
            <w:r>
              <w:rPr>
                <w:sz w:val="21"/>
                <w:szCs w:val="21"/>
              </w:rPr>
              <w:t>包括</w:t>
            </w:r>
            <w:r>
              <w:rPr>
                <w:rFonts w:hint="eastAsia"/>
                <w:sz w:val="21"/>
                <w:szCs w:val="21"/>
              </w:rPr>
              <w:t>污水处理站、</w:t>
            </w:r>
            <w:r>
              <w:rPr>
                <w:sz w:val="21"/>
                <w:szCs w:val="21"/>
              </w:rPr>
              <w:t>无害化暂存间</w:t>
            </w:r>
            <w:r>
              <w:rPr>
                <w:rFonts w:hint="eastAsia"/>
                <w:sz w:val="21"/>
                <w:szCs w:val="21"/>
              </w:rPr>
              <w:t>、</w:t>
            </w:r>
            <w:r>
              <w:rPr>
                <w:sz w:val="21"/>
                <w:szCs w:val="21"/>
              </w:rPr>
              <w:t>危废暂存间</w:t>
            </w:r>
            <w:r>
              <w:rPr>
                <w:rFonts w:hint="eastAsia"/>
                <w:sz w:val="21"/>
                <w:szCs w:val="21"/>
              </w:rPr>
              <w:t>、事故池，</w:t>
            </w:r>
            <w:r>
              <w:rPr>
                <w:sz w:val="21"/>
                <w:szCs w:val="21"/>
              </w:rPr>
              <w:t>采用2mmHDPE土工膜+水泥防渗，防渗结构层渗透系数≤1.0×10</w:t>
            </w:r>
            <w:r>
              <w:rPr>
                <w:sz w:val="21"/>
                <w:szCs w:val="21"/>
                <w:vertAlign w:val="superscript"/>
              </w:rPr>
              <w:t>-10</w:t>
            </w:r>
            <w:r>
              <w:rPr>
                <w:sz w:val="21"/>
                <w:szCs w:val="21"/>
              </w:rPr>
              <w:t>cm/s</w:t>
            </w:r>
            <w:r>
              <w:rPr>
                <w:rFonts w:hint="eastAsia"/>
                <w:sz w:val="21"/>
                <w:szCs w:val="21"/>
              </w:rPr>
              <w:t>，</w:t>
            </w:r>
          </w:p>
          <w:p>
            <w:pPr>
              <w:snapToGrid w:val="0"/>
              <w:spacing w:line="240" w:lineRule="auto"/>
              <w:rPr>
                <w:sz w:val="21"/>
                <w:szCs w:val="21"/>
              </w:rPr>
            </w:pPr>
            <w:r>
              <w:rPr>
                <w:rFonts w:hint="eastAsia"/>
                <w:sz w:val="21"/>
                <w:szCs w:val="21"/>
              </w:rPr>
              <w:t>污水管道采用采用P</w:t>
            </w:r>
            <w:r>
              <w:rPr>
                <w:sz w:val="21"/>
                <w:szCs w:val="21"/>
              </w:rPr>
              <w:t>E</w:t>
            </w:r>
            <w:r>
              <w:rPr>
                <w:rFonts w:hint="eastAsia"/>
                <w:sz w:val="21"/>
                <w:szCs w:val="21"/>
              </w:rPr>
              <w:t>管。</w:t>
            </w:r>
          </w:p>
          <w:p>
            <w:pPr>
              <w:snapToGrid w:val="0"/>
              <w:spacing w:line="240" w:lineRule="auto"/>
            </w:pPr>
            <w:r>
              <w:rPr>
                <w:rFonts w:hint="eastAsia"/>
                <w:sz w:val="21"/>
                <w:szCs w:val="21"/>
              </w:rPr>
              <w:t>监测井：设置两口监测井</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ascii="Times New Roman"/>
                <w:szCs w:val="21"/>
              </w:rPr>
              <w:t>1</w:t>
            </w:r>
            <w:r>
              <w:rPr>
                <w:rFonts w:hint="eastAsia" w:ascii="Times New Roman"/>
                <w:szCs w:val="21"/>
              </w:rPr>
              <w:t>0</w:t>
            </w:r>
            <w:r>
              <w:rPr>
                <w:rFonts w:ascii="Times New Roman"/>
                <w:szCs w:val="21"/>
              </w:rPr>
              <w:t>.0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color w:val="FF0000"/>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b/>
                <w:bCs/>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ind w:left="1380" w:firstLine="482"/>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ind w:left="1380" w:firstLine="482"/>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hint="eastAsia" w:ascii="Times New Roman"/>
                <w:b/>
                <w:bCs/>
                <w:szCs w:val="21"/>
              </w:rPr>
              <w:t>10.0</w:t>
            </w:r>
          </w:p>
        </w:tc>
      </w:tr>
      <w:tr>
        <w:tblPrEx>
          <w:tblCellMar>
            <w:top w:w="0" w:type="dxa"/>
            <w:left w:w="108" w:type="dxa"/>
            <w:bottom w:w="0" w:type="dxa"/>
            <w:right w:w="108" w:type="dxa"/>
          </w:tblCellMar>
        </w:tblPrEx>
        <w:trPr>
          <w:trHeight w:val="1683" w:hRule="atLeast"/>
          <w:jc w:val="center"/>
        </w:trPr>
        <w:tc>
          <w:tcPr>
            <w:tcW w:w="643" w:type="dxa"/>
            <w:vMerge w:val="restart"/>
            <w:tcBorders>
              <w:top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szCs w:val="21"/>
              </w:rPr>
              <w:t>环境风险</w:t>
            </w:r>
          </w:p>
        </w:tc>
        <w:tc>
          <w:tcPr>
            <w:tcW w:w="666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auto"/>
              <w:rPr>
                <w:sz w:val="21"/>
                <w:szCs w:val="21"/>
              </w:rPr>
            </w:pPr>
            <w:r>
              <w:rPr>
                <w:sz w:val="21"/>
                <w:szCs w:val="21"/>
              </w:rPr>
              <w:t>1、废水事故应急系统</w:t>
            </w:r>
            <w:r>
              <w:rPr>
                <w:rFonts w:hint="eastAsia"/>
                <w:sz w:val="21"/>
                <w:szCs w:val="21"/>
              </w:rPr>
              <w:t>：</w:t>
            </w:r>
          </w:p>
          <w:p>
            <w:pPr>
              <w:snapToGrid w:val="0"/>
              <w:spacing w:line="240" w:lineRule="auto"/>
              <w:rPr>
                <w:color w:val="FF0000"/>
                <w:sz w:val="21"/>
                <w:szCs w:val="21"/>
              </w:rPr>
            </w:pPr>
            <w:r>
              <w:rPr>
                <w:sz w:val="21"/>
                <w:szCs w:val="21"/>
              </w:rPr>
              <w:t>2</w:t>
            </w:r>
            <w:r>
              <w:rPr>
                <w:rFonts w:hint="eastAsia"/>
                <w:sz w:val="21"/>
                <w:szCs w:val="21"/>
              </w:rPr>
              <w:t>、粪便及时</w:t>
            </w:r>
            <w:r>
              <w:rPr>
                <w:sz w:val="21"/>
                <w:szCs w:val="21"/>
              </w:rPr>
              <w:t>交由井研县大沼工程，集污池加盖；病死猪及时交由</w:t>
            </w:r>
            <w:r>
              <w:rPr>
                <w:rFonts w:hint="eastAsia"/>
                <w:sz w:val="21"/>
                <w:szCs w:val="21"/>
              </w:rPr>
              <w:t>乐山</w:t>
            </w:r>
            <w:r>
              <w:rPr>
                <w:sz w:val="21"/>
                <w:szCs w:val="21"/>
              </w:rPr>
              <w:t>无害化处理中心处理，避免病菌滋生和传播。</w:t>
            </w:r>
          </w:p>
          <w:p>
            <w:pPr>
              <w:widowControl/>
              <w:snapToGrid w:val="0"/>
              <w:spacing w:line="240" w:lineRule="auto"/>
              <w:rPr>
                <w:sz w:val="21"/>
                <w:szCs w:val="21"/>
              </w:rPr>
            </w:pPr>
            <w:r>
              <w:rPr>
                <w:sz w:val="21"/>
                <w:szCs w:val="21"/>
              </w:rPr>
              <w:t>3、</w:t>
            </w:r>
            <w:r>
              <w:rPr>
                <w:rFonts w:hint="eastAsia"/>
                <w:sz w:val="21"/>
                <w:szCs w:val="21"/>
              </w:rPr>
              <w:t>地下水：按要求进行防渗</w:t>
            </w:r>
          </w:p>
          <w:p>
            <w:pPr>
              <w:widowControl/>
              <w:snapToGrid w:val="0"/>
              <w:spacing w:line="240" w:lineRule="auto"/>
              <w:rPr>
                <w:sz w:val="21"/>
                <w:szCs w:val="21"/>
              </w:rPr>
            </w:pPr>
            <w:r>
              <w:rPr>
                <w:sz w:val="21"/>
                <w:szCs w:val="21"/>
              </w:rPr>
              <w:t>4、</w:t>
            </w:r>
            <w:r>
              <w:rPr>
                <w:rFonts w:hint="eastAsia"/>
                <w:sz w:val="21"/>
                <w:szCs w:val="21"/>
              </w:rPr>
              <w:t>动物疫情：</w:t>
            </w:r>
          </w:p>
          <w:p>
            <w:pPr>
              <w:widowControl/>
              <w:snapToGrid w:val="0"/>
              <w:spacing w:line="240" w:lineRule="auto"/>
              <w:rPr>
                <w:sz w:val="21"/>
                <w:szCs w:val="21"/>
              </w:rPr>
            </w:pPr>
            <w:r>
              <w:rPr>
                <w:sz w:val="21"/>
                <w:szCs w:val="21"/>
              </w:rPr>
              <w:fldChar w:fldCharType="begin"/>
            </w:r>
            <w:r>
              <w:rPr>
                <w:sz w:val="21"/>
                <w:szCs w:val="21"/>
              </w:rPr>
              <w:instrText xml:space="preserve"> </w:instrText>
            </w:r>
            <w:r>
              <w:rPr>
                <w:rFonts w:hint="eastAsia"/>
                <w:sz w:val="21"/>
                <w:szCs w:val="21"/>
              </w:rPr>
              <w:instrText xml:space="preserve">= 1 \* GB3</w:instrText>
            </w:r>
            <w:r>
              <w:rPr>
                <w:sz w:val="21"/>
                <w:szCs w:val="21"/>
              </w:rPr>
              <w:instrText xml:space="preserve"> </w:instrText>
            </w:r>
            <w:r>
              <w:rPr>
                <w:sz w:val="21"/>
                <w:szCs w:val="21"/>
              </w:rPr>
              <w:fldChar w:fldCharType="separate"/>
            </w:r>
            <w:r>
              <w:rPr>
                <w:rFonts w:hint="eastAsia"/>
                <w:sz w:val="21"/>
                <w:szCs w:val="21"/>
              </w:rPr>
              <w:t>①</w:t>
            </w:r>
            <w:r>
              <w:rPr>
                <w:sz w:val="21"/>
                <w:szCs w:val="21"/>
              </w:rPr>
              <w:fldChar w:fldCharType="end"/>
            </w:r>
            <w:r>
              <w:rPr>
                <w:rFonts w:hint="eastAsia"/>
                <w:sz w:val="21"/>
                <w:szCs w:val="21"/>
              </w:rPr>
              <w:t>建立严格的卫生防疫制度</w:t>
            </w:r>
            <w:r>
              <w:rPr>
                <w:sz w:val="21"/>
                <w:szCs w:val="21"/>
              </w:rPr>
              <w:fldChar w:fldCharType="begin"/>
            </w:r>
            <w:r>
              <w:rPr>
                <w:sz w:val="21"/>
                <w:szCs w:val="21"/>
              </w:rPr>
              <w:instrText xml:space="preserve"> </w:instrText>
            </w:r>
            <w:r>
              <w:rPr>
                <w:rFonts w:hint="eastAsia"/>
                <w:sz w:val="21"/>
                <w:szCs w:val="21"/>
              </w:rPr>
              <w:instrText xml:space="preserve">= 2 \* GB3</w:instrText>
            </w:r>
            <w:r>
              <w:rPr>
                <w:sz w:val="21"/>
                <w:szCs w:val="21"/>
              </w:rPr>
              <w:instrText xml:space="preserve"> </w:instrText>
            </w:r>
            <w:r>
              <w:rPr>
                <w:sz w:val="21"/>
                <w:szCs w:val="21"/>
              </w:rPr>
              <w:fldChar w:fldCharType="separate"/>
            </w:r>
            <w:r>
              <w:rPr>
                <w:rFonts w:hint="eastAsia"/>
                <w:sz w:val="21"/>
                <w:szCs w:val="21"/>
              </w:rPr>
              <w:t>②</w:t>
            </w:r>
            <w:r>
              <w:rPr>
                <w:sz w:val="21"/>
                <w:szCs w:val="21"/>
              </w:rPr>
              <w:fldChar w:fldCharType="end"/>
            </w:r>
            <w:r>
              <w:rPr>
                <w:rFonts w:hint="eastAsia"/>
                <w:sz w:val="21"/>
                <w:szCs w:val="21"/>
              </w:rPr>
              <w:t>组成防疫小组</w:t>
            </w: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szCs w:val="21"/>
              </w:rPr>
            </w:pPr>
            <w:r>
              <w:rPr>
                <w:rFonts w:ascii="Times New Roman"/>
                <w:szCs w:val="21"/>
              </w:rPr>
              <w:t>28</w:t>
            </w:r>
            <w:r>
              <w:rPr>
                <w:rFonts w:hint="eastAsia" w:ascii="Times New Roman"/>
                <w:szCs w:val="21"/>
              </w:rPr>
              <w:t>.0</w:t>
            </w:r>
          </w:p>
        </w:tc>
      </w:tr>
      <w:tr>
        <w:tblPrEx>
          <w:tblCellMar>
            <w:top w:w="0" w:type="dxa"/>
            <w:left w:w="108" w:type="dxa"/>
            <w:bottom w:w="0" w:type="dxa"/>
            <w:right w:w="108" w:type="dxa"/>
          </w:tblCellMar>
        </w:tblPrEx>
        <w:trPr>
          <w:trHeight w:val="283" w:hRule="atLeast"/>
          <w:jc w:val="center"/>
        </w:trPr>
        <w:tc>
          <w:tcPr>
            <w:tcW w:w="643" w:type="dxa"/>
            <w:vMerge w:val="continue"/>
            <w:tcBorders>
              <w:top w:val="single" w:color="auto" w:sz="4" w:space="0"/>
              <w:bottom w:val="single" w:color="auto" w:sz="4" w:space="0"/>
              <w:right w:val="single" w:color="auto" w:sz="4" w:space="0"/>
            </w:tcBorders>
            <w:vAlign w:val="center"/>
          </w:tcPr>
          <w:p>
            <w:pPr>
              <w:widowControl/>
              <w:snapToGrid w:val="0"/>
              <w:spacing w:line="240" w:lineRule="auto"/>
              <w:jc w:val="center"/>
              <w:rPr>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r>
              <w:rPr>
                <w:rFonts w:ascii="Times New Roman"/>
                <w:b/>
                <w:bCs/>
                <w:szCs w:val="21"/>
              </w:rPr>
              <w:t>小计</w:t>
            </w:r>
          </w:p>
        </w:tc>
        <w:tc>
          <w:tcPr>
            <w:tcW w:w="1134" w:type="dxa"/>
            <w:tcBorders>
              <w:top w:val="single" w:color="auto" w:sz="4" w:space="0"/>
              <w:left w:val="single" w:color="auto" w:sz="4" w:space="0"/>
              <w:bottom w:val="single" w:color="auto" w:sz="4" w:space="0"/>
              <w:right w:val="single" w:color="auto" w:sz="4" w:space="0"/>
            </w:tcBorders>
            <w:vAlign w:val="center"/>
          </w:tcPr>
          <w:p>
            <w:pPr>
              <w:pStyle w:val="1928"/>
              <w:snapToGrid w:val="0"/>
              <w:rPr>
                <w:rFonts w:ascii="Times New Roman"/>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pStyle w:val="1928"/>
              <w:snapToGrid w:val="0"/>
              <w:jc w:val="both"/>
              <w:rPr>
                <w:rFonts w:ascii="Times New Roman"/>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pStyle w:val="1928"/>
              <w:snapToGrid w:val="0"/>
              <w:ind w:firstLine="480"/>
              <w:rPr>
                <w:rFonts w:ascii="Times New Roman"/>
                <w:b/>
                <w:bCs/>
                <w:szCs w:val="21"/>
              </w:rPr>
            </w:pPr>
          </w:p>
        </w:tc>
        <w:tc>
          <w:tcPr>
            <w:tcW w:w="875" w:type="dxa"/>
            <w:tcBorders>
              <w:top w:val="single" w:color="auto" w:sz="4" w:space="0"/>
              <w:left w:val="single" w:color="auto" w:sz="4" w:space="0"/>
              <w:bottom w:val="single" w:color="auto" w:sz="4" w:space="0"/>
            </w:tcBorders>
            <w:vAlign w:val="center"/>
          </w:tcPr>
          <w:p>
            <w:pPr>
              <w:pStyle w:val="1928"/>
              <w:snapToGrid w:val="0"/>
              <w:rPr>
                <w:rFonts w:ascii="Times New Roman"/>
                <w:b/>
                <w:bCs/>
                <w:szCs w:val="21"/>
              </w:rPr>
            </w:pPr>
            <w:r>
              <w:rPr>
                <w:rFonts w:ascii="Times New Roman"/>
                <w:b/>
                <w:bCs/>
                <w:szCs w:val="21"/>
              </w:rPr>
              <w:t>8</w:t>
            </w:r>
            <w:r>
              <w:rPr>
                <w:rFonts w:hint="eastAsia" w:ascii="Times New Roman"/>
                <w:b/>
                <w:bCs/>
                <w:szCs w:val="21"/>
              </w:rPr>
              <w:t>.0</w:t>
            </w:r>
          </w:p>
        </w:tc>
      </w:tr>
      <w:tr>
        <w:tblPrEx>
          <w:tblCellMar>
            <w:top w:w="0" w:type="dxa"/>
            <w:left w:w="108" w:type="dxa"/>
            <w:bottom w:w="0" w:type="dxa"/>
            <w:right w:w="108" w:type="dxa"/>
          </w:tblCellMar>
        </w:tblPrEx>
        <w:trPr>
          <w:trHeight w:val="283" w:hRule="atLeast"/>
          <w:jc w:val="center"/>
        </w:trPr>
        <w:tc>
          <w:tcPr>
            <w:tcW w:w="1493" w:type="dxa"/>
            <w:gridSpan w:val="2"/>
            <w:tcBorders>
              <w:top w:val="single" w:color="auto" w:sz="4" w:space="0"/>
              <w:bottom w:val="single" w:color="auto" w:sz="12" w:space="0"/>
              <w:right w:val="single" w:color="auto" w:sz="4" w:space="0"/>
            </w:tcBorders>
            <w:vAlign w:val="center"/>
          </w:tcPr>
          <w:p>
            <w:pPr>
              <w:pStyle w:val="1928"/>
              <w:snapToGrid w:val="0"/>
              <w:ind w:firstLine="632" w:firstLineChars="300"/>
              <w:jc w:val="both"/>
              <w:rPr>
                <w:rFonts w:ascii="Times New Roman"/>
                <w:b/>
                <w:bCs/>
                <w:szCs w:val="21"/>
              </w:rPr>
            </w:pPr>
            <w:r>
              <w:rPr>
                <w:rFonts w:ascii="Times New Roman"/>
                <w:b/>
                <w:bCs/>
                <w:szCs w:val="21"/>
              </w:rPr>
              <w:t>合计</w:t>
            </w:r>
          </w:p>
        </w:tc>
        <w:tc>
          <w:tcPr>
            <w:tcW w:w="1134" w:type="dxa"/>
            <w:tcBorders>
              <w:top w:val="single" w:color="auto" w:sz="4" w:space="0"/>
              <w:left w:val="single" w:color="auto" w:sz="4" w:space="0"/>
              <w:bottom w:val="single" w:color="auto" w:sz="12" w:space="0"/>
              <w:right w:val="single" w:color="auto" w:sz="4" w:space="0"/>
            </w:tcBorders>
            <w:vAlign w:val="center"/>
          </w:tcPr>
          <w:p>
            <w:pPr>
              <w:pStyle w:val="1928"/>
              <w:snapToGrid w:val="0"/>
              <w:ind w:firstLine="480"/>
              <w:rPr>
                <w:rFonts w:ascii="Times New Roman"/>
                <w:b/>
                <w:bCs/>
                <w:szCs w:val="21"/>
              </w:rPr>
            </w:pPr>
          </w:p>
        </w:tc>
        <w:tc>
          <w:tcPr>
            <w:tcW w:w="4678" w:type="dxa"/>
            <w:tcBorders>
              <w:top w:val="single" w:color="auto" w:sz="4" w:space="0"/>
              <w:left w:val="single" w:color="auto" w:sz="4" w:space="0"/>
              <w:bottom w:val="single" w:color="auto" w:sz="12" w:space="0"/>
              <w:right w:val="single" w:color="auto" w:sz="4" w:space="0"/>
            </w:tcBorders>
            <w:vAlign w:val="center"/>
          </w:tcPr>
          <w:p>
            <w:pPr>
              <w:pStyle w:val="1928"/>
              <w:snapToGrid w:val="0"/>
              <w:ind w:firstLine="480"/>
              <w:jc w:val="both"/>
              <w:rPr>
                <w:rFonts w:ascii="Times New Roman"/>
                <w:b/>
                <w:bCs/>
                <w:szCs w:val="21"/>
              </w:rPr>
            </w:pPr>
          </w:p>
        </w:tc>
        <w:tc>
          <w:tcPr>
            <w:tcW w:w="567" w:type="dxa"/>
            <w:tcBorders>
              <w:top w:val="single" w:color="auto" w:sz="4" w:space="0"/>
              <w:left w:val="single" w:color="auto" w:sz="4" w:space="0"/>
              <w:bottom w:val="single" w:color="auto" w:sz="12" w:space="0"/>
              <w:right w:val="single" w:color="auto" w:sz="4" w:space="0"/>
            </w:tcBorders>
            <w:vAlign w:val="center"/>
          </w:tcPr>
          <w:p>
            <w:pPr>
              <w:pStyle w:val="1928"/>
              <w:snapToGrid w:val="0"/>
              <w:ind w:firstLine="480"/>
              <w:rPr>
                <w:rFonts w:ascii="Times New Roman"/>
                <w:b/>
                <w:bCs/>
                <w:szCs w:val="21"/>
              </w:rPr>
            </w:pPr>
          </w:p>
        </w:tc>
        <w:tc>
          <w:tcPr>
            <w:tcW w:w="875" w:type="dxa"/>
            <w:tcBorders>
              <w:top w:val="single" w:color="auto" w:sz="4" w:space="0"/>
              <w:left w:val="single" w:color="auto" w:sz="4" w:space="0"/>
              <w:bottom w:val="single" w:color="auto" w:sz="12" w:space="0"/>
            </w:tcBorders>
            <w:vAlign w:val="center"/>
          </w:tcPr>
          <w:p>
            <w:pPr>
              <w:pStyle w:val="1928"/>
              <w:snapToGrid w:val="0"/>
              <w:rPr>
                <w:rFonts w:ascii="Times New Roman"/>
                <w:b/>
                <w:bCs/>
                <w:szCs w:val="21"/>
              </w:rPr>
            </w:pPr>
            <w:r>
              <w:rPr>
                <w:rFonts w:ascii="Times New Roman"/>
                <w:b/>
                <w:bCs/>
                <w:szCs w:val="21"/>
              </w:rPr>
              <w:t>362.4</w:t>
            </w:r>
          </w:p>
        </w:tc>
      </w:t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84"/>
      <w:bookmarkEnd w:id="785"/>
    </w:tbl>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801" w:name="_Toc457481067"/>
      <w:bookmarkStart w:id="802" w:name="_Toc423336826"/>
      <w:bookmarkStart w:id="803" w:name="_Toc29110624"/>
      <w:bookmarkStart w:id="804" w:name="_Toc76139487"/>
      <w:bookmarkStart w:id="805" w:name="_Toc114997867"/>
      <w:bookmarkStart w:id="806" w:name="_Toc88466832"/>
      <w:bookmarkStart w:id="807" w:name="_Toc66118807"/>
      <w:bookmarkStart w:id="808" w:name="_Toc162777299"/>
      <w:bookmarkStart w:id="809" w:name="_Toc115259944"/>
      <w:bookmarkStart w:id="810" w:name="_Toc168076449"/>
      <w:bookmarkStart w:id="811" w:name="_Toc181979358"/>
      <w:bookmarkStart w:id="812" w:name="_Toc82857338"/>
      <w:r>
        <w:rPr>
          <w:rFonts w:ascii="Times New Roman" w:hAnsi="Times New Roman" w:eastAsia="黑体" w:cs="Times New Roman"/>
          <w:b w:val="0"/>
          <w:bCs/>
          <w:kern w:val="44"/>
          <w:sz w:val="36"/>
        </w:rPr>
        <w:t>环境影响经济损益分析</w:t>
      </w:r>
      <w:bookmarkEnd w:id="801"/>
      <w:bookmarkEnd w:id="802"/>
      <w:bookmarkEnd w:id="803"/>
    </w:p>
    <w:p>
      <w:pPr>
        <w:pStyle w:val="320"/>
        <w:snapToGrid w:val="0"/>
        <w:spacing w:line="360" w:lineRule="auto"/>
        <w:ind w:firstLine="480"/>
      </w:pPr>
      <w:bookmarkStart w:id="813" w:name="_Toc229626508"/>
      <w:bookmarkStart w:id="814" w:name="_Toc223511711"/>
      <w:bookmarkStart w:id="815" w:name="_Toc423336828"/>
      <w:bookmarkStart w:id="816" w:name="_Toc457481069"/>
      <w:r>
        <w:rPr>
          <w:rFonts w:ascii="Times New Roman" w:hAnsi="Times New Roman"/>
          <w:snapToGrid w:val="0"/>
        </w:rPr>
        <w:t>生猪生产是农业的重要组成部分，猪肉是大多数城乡居民的重要食品。</w:t>
      </w:r>
      <w:r>
        <w:t>根据市场调查，</w:t>
      </w:r>
      <w:r>
        <w:rPr>
          <w:rFonts w:hint="eastAsia"/>
        </w:rPr>
        <w:t>猪</w:t>
      </w:r>
      <w:r>
        <w:t>肉加工产品在市场上是畅销产品，具有营养丰富、口感好、再加工方便等优点，备受消费者的欢迎。本项目的投产运行不仅能带来良好的经济效益，而且能够缓解当地劳动力的就业压力，具有良好的社会效益。下面就该项目的社会效益、经济效益和环境损益做简要分析。</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17" w:name="_Toc7363230"/>
      <w:bookmarkStart w:id="818" w:name="_Toc29110625"/>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1</w:t>
      </w:r>
      <w:r>
        <w:rPr>
          <w:rFonts w:hint="eastAsia" w:ascii="Times New Roman" w:hAnsi="Times New Roman" w:eastAsia="黑体" w:cs="Times New Roman"/>
          <w:b w:val="0"/>
          <w:bCs/>
          <w:spacing w:val="4"/>
          <w:kern w:val="2"/>
          <w:sz w:val="32"/>
          <w:szCs w:val="32"/>
        </w:rPr>
        <w:t xml:space="preserve">.1 </w:t>
      </w:r>
      <w:r>
        <w:rPr>
          <w:rFonts w:ascii="Times New Roman" w:hAnsi="Times New Roman" w:eastAsia="黑体" w:cs="Times New Roman"/>
          <w:b w:val="0"/>
          <w:bCs/>
          <w:spacing w:val="4"/>
          <w:kern w:val="2"/>
          <w:sz w:val="32"/>
          <w:szCs w:val="32"/>
        </w:rPr>
        <w:t>项目的社会效益分析</w:t>
      </w:r>
      <w:bookmarkEnd w:id="817"/>
      <w:bookmarkEnd w:id="818"/>
    </w:p>
    <w:p>
      <w:pPr>
        <w:adjustRightInd w:val="0"/>
        <w:snapToGrid w:val="0"/>
        <w:ind w:firstLine="480" w:firstLineChars="200"/>
      </w:pPr>
      <w:r>
        <w:t>本项目的社会效益主要体现在以下几个方面：</w:t>
      </w:r>
    </w:p>
    <w:p>
      <w:pPr>
        <w:ind w:firstLine="480" w:firstLineChars="200"/>
        <w:rPr>
          <w:bCs/>
        </w:rPr>
      </w:pPr>
      <w:r>
        <w:rPr>
          <w:rFonts w:hint="eastAsia"/>
        </w:rPr>
        <w:t>（1）本项目的建设加快了井研县的建设步伐，为井研县乃乐山市推进畜牧养殖、</w:t>
      </w:r>
      <w:r>
        <w:t xml:space="preserve"> </w:t>
      </w:r>
      <w:r>
        <w:rPr>
          <w:rFonts w:hint="eastAsia"/>
        </w:rPr>
        <w:t>发展现代农业和优化生态环境发挥示范作用，提供宝贵经验，为市场提供大量的优质仔猪。具有较好的社会效益。</w:t>
      </w:r>
    </w:p>
    <w:p>
      <w:pPr>
        <w:ind w:firstLine="480"/>
        <w:jc w:val="left"/>
      </w:pPr>
      <w:r>
        <w:rPr>
          <w:rFonts w:hint="eastAsia"/>
        </w:rPr>
        <w:t>（2）项目投入一定比例的资金进行环保治理，对于项目的建设和生产都是有利的，同时对建设环境友好型社会也是有益的。</w:t>
      </w:r>
    </w:p>
    <w:p>
      <w:pPr>
        <w:pStyle w:val="2"/>
        <w:ind w:firstLine="480"/>
        <w:rPr>
          <w:rFonts w:hint="default"/>
        </w:rPr>
      </w:pPr>
      <w:r>
        <w:t>项目建成后</w:t>
      </w:r>
      <w:r>
        <w:rPr>
          <w:szCs w:val="24"/>
        </w:rPr>
        <w:t>可以为当地提供一定数量的工作岗位，同时可以带动种植业、饲料种植加工业、畜产品加工业等许多行业的联动发展，对繁荣地方经济、解决就业压力，实现社会安定具有重要的意义。此外，通过本项目的示范、引导和辐射，可在更大程度上使农牧结合，相互促进，推进产业化进程，为推动当地经济的发展将起到重要的作用。</w:t>
      </w:r>
    </w:p>
    <w:p>
      <w:pPr>
        <w:ind w:firstLine="480" w:firstLineChars="200"/>
      </w:pPr>
      <w:r>
        <w:rPr>
          <w:rFonts w:hint="eastAsia"/>
        </w:rPr>
        <w:t>（3）</w:t>
      </w:r>
      <w:r>
        <w:t xml:space="preserve"> </w:t>
      </w:r>
      <w:r>
        <w:rPr>
          <w:rFonts w:hint="eastAsia"/>
        </w:rPr>
        <w:t>“大沼”工程推进</w:t>
      </w:r>
    </w:p>
    <w:p>
      <w:pPr>
        <w:ind w:firstLine="480" w:firstLineChars="200"/>
      </w:pPr>
      <w:r>
        <w:t>本项目</w:t>
      </w:r>
      <w:r>
        <w:rPr>
          <w:rFonts w:hint="eastAsia"/>
        </w:rPr>
        <w:t>的粪污交由</w:t>
      </w:r>
      <w:r>
        <w:rPr>
          <w:rFonts w:hint="eastAsia"/>
          <w:szCs w:val="21"/>
        </w:rPr>
        <w:t>乐山乐高勤力生物质能源</w:t>
      </w:r>
      <w:r>
        <w:rPr>
          <w:szCs w:val="21"/>
        </w:rPr>
        <w:t>综合利用有限公司</w:t>
      </w:r>
      <w:r>
        <w:rPr>
          <w:rFonts w:hint="eastAsia"/>
          <w:szCs w:val="21"/>
        </w:rPr>
        <w:t>处理后用于发电，沼液也用作沼肥，具有较好的社会效益。</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19" w:name="_Toc29110626"/>
      <w:bookmarkStart w:id="820" w:name="_Toc7363231"/>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1</w:t>
      </w:r>
      <w:r>
        <w:rPr>
          <w:rFonts w:hint="eastAsia" w:ascii="Times New Roman" w:hAnsi="Times New Roman" w:eastAsia="黑体" w:cs="Times New Roman"/>
          <w:b w:val="0"/>
          <w:bCs/>
          <w:spacing w:val="4"/>
          <w:kern w:val="2"/>
          <w:sz w:val="32"/>
          <w:szCs w:val="32"/>
        </w:rPr>
        <w:t xml:space="preserve">.2 </w:t>
      </w:r>
      <w:r>
        <w:rPr>
          <w:rFonts w:ascii="Times New Roman" w:hAnsi="Times New Roman" w:eastAsia="黑体" w:cs="Times New Roman"/>
          <w:b w:val="0"/>
          <w:bCs/>
          <w:spacing w:val="4"/>
          <w:kern w:val="2"/>
          <w:sz w:val="32"/>
          <w:szCs w:val="32"/>
        </w:rPr>
        <w:t>环境效益分析</w:t>
      </w:r>
      <w:bookmarkEnd w:id="819"/>
      <w:bookmarkEnd w:id="820"/>
    </w:p>
    <w:p>
      <w:pPr>
        <w:pStyle w:val="970"/>
      </w:pPr>
      <w:bookmarkStart w:id="821" w:name="_Toc229626509"/>
      <w:bookmarkStart w:id="822" w:name="_Toc223511712"/>
      <w:r>
        <w:t>本工程拟实施的环保治理措施全部落实到位以后将对工程所产生的废水、废气、废渣以及噪声进行比较彻底的治理，可以实现“达标排放”，污染物排放量较小。</w:t>
      </w:r>
    </w:p>
    <w:p>
      <w:pPr>
        <w:pStyle w:val="970"/>
      </w:pPr>
      <w:r>
        <w:t>项目环保投资</w:t>
      </w:r>
      <w:r>
        <w:rPr>
          <w:rFonts w:hint="eastAsia"/>
        </w:rPr>
        <w:t>471.2</w:t>
      </w:r>
      <w:r>
        <w:t>万元，带来的环境效益主要体现在减少污染物的排放，具有良好的环境效益。</w:t>
      </w:r>
    </w:p>
    <w:p>
      <w:pPr>
        <w:pStyle w:val="970"/>
      </w:pPr>
      <w:r>
        <w:t>本项目环境保护措施的经济效益大致可分为：</w:t>
      </w:r>
    </w:p>
    <w:p>
      <w:pPr>
        <w:pStyle w:val="970"/>
      </w:pPr>
      <w:r>
        <w:rPr>
          <w:rFonts w:hint="eastAsia"/>
        </w:rPr>
        <w:t>（1）</w:t>
      </w:r>
      <w:r>
        <w:t>可用市场价值估算的经济收益</w:t>
      </w:r>
    </w:p>
    <w:p>
      <w:pPr>
        <w:pStyle w:val="970"/>
      </w:pPr>
      <w:r>
        <w:t>本项目废气、废水等处理效果好，能较大程度地削减生产废水和废气中污染物的排放量，从而大幅度降低排污费。</w:t>
      </w:r>
    </w:p>
    <w:p>
      <w:pPr>
        <w:pStyle w:val="970"/>
      </w:pPr>
      <w:r>
        <w:rPr>
          <w:rFonts w:hint="eastAsia"/>
        </w:rPr>
        <w:t>（2）</w:t>
      </w:r>
      <w:r>
        <w:t>改善环境质量的非货币效益</w:t>
      </w:r>
    </w:p>
    <w:p>
      <w:pPr>
        <w:pStyle w:val="97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t>通过对本工程的废气、废水、噪声进行治理，达标排放；对固体废物、废液进行处置，去向明确，不会产生二次污染，降低了对周围环境的影响。</w:t>
      </w:r>
    </w:p>
    <w:p>
      <w:pPr>
        <w:pStyle w:val="970"/>
      </w:pP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t>对动力设备采取的降噪措施，可避免或很大程度地缓解噪声对人体的听力及正常生活的影响。</w:t>
      </w:r>
    </w:p>
    <w:p>
      <w:pPr>
        <w:pStyle w:val="970"/>
      </w:pPr>
      <w:r>
        <w:t>由此可见工程在取得良好的经济效益和社会效益的前提下，对环境的影响比较小，从此角度讲，工程的环境效益是可行的。</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23" w:name="_Toc423336829"/>
      <w:bookmarkStart w:id="824" w:name="_Toc457481070"/>
      <w:bookmarkStart w:id="825" w:name="_Toc7363232"/>
      <w:bookmarkStart w:id="826" w:name="_Toc29110627"/>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1</w:t>
      </w:r>
      <w:r>
        <w:rPr>
          <w:rFonts w:hint="eastAsia" w:ascii="Times New Roman" w:hAnsi="Times New Roman" w:eastAsia="黑体" w:cs="Times New Roman"/>
          <w:b w:val="0"/>
          <w:bCs/>
          <w:spacing w:val="4"/>
          <w:kern w:val="2"/>
          <w:sz w:val="32"/>
          <w:szCs w:val="32"/>
        </w:rPr>
        <w:t xml:space="preserve">.3 </w:t>
      </w:r>
      <w:r>
        <w:rPr>
          <w:rFonts w:ascii="Times New Roman" w:hAnsi="Times New Roman" w:eastAsia="黑体" w:cs="Times New Roman"/>
          <w:b w:val="0"/>
          <w:bCs/>
          <w:spacing w:val="4"/>
          <w:kern w:val="2"/>
          <w:sz w:val="32"/>
          <w:szCs w:val="32"/>
        </w:rPr>
        <w:t>经济效益分析</w:t>
      </w:r>
      <w:bookmarkEnd w:id="821"/>
      <w:bookmarkEnd w:id="822"/>
      <w:bookmarkEnd w:id="823"/>
      <w:bookmarkEnd w:id="824"/>
      <w:bookmarkEnd w:id="825"/>
      <w:bookmarkEnd w:id="826"/>
    </w:p>
    <w:p>
      <w:pPr>
        <w:ind w:firstLine="480"/>
        <w:contextualSpacing/>
      </w:pPr>
      <w:r>
        <w:t>该项目建设有利于调整区域农业结构，带动</w:t>
      </w:r>
      <w:r>
        <w:rPr>
          <w:rFonts w:hint="eastAsia"/>
        </w:rPr>
        <w:t>井研县</w:t>
      </w:r>
      <w:r>
        <w:t>及周边地区种植业、运输业及相关产业的发展，形成生猪养殖产业链，加快农业产业化进程，有效解决“三农”问题，增加当地农民的收入。</w:t>
      </w:r>
    </w:p>
    <w:p>
      <w:pPr>
        <w:ind w:firstLine="464"/>
        <w:contextualSpacing/>
        <w:rPr>
          <w:spacing w:val="-4"/>
        </w:rPr>
      </w:pPr>
      <w:r>
        <w:rPr>
          <w:spacing w:val="-4"/>
        </w:rPr>
        <w:t>因此，项目建设可提高</w:t>
      </w:r>
      <w:r>
        <w:rPr>
          <w:rFonts w:hint="eastAsia"/>
          <w:spacing w:val="-4"/>
        </w:rPr>
        <w:t>井研县</w:t>
      </w:r>
      <w:r>
        <w:rPr>
          <w:spacing w:val="-4"/>
        </w:rPr>
        <w:t>以致乐山市的畜牧业生产水平，对促进农村生产力发展，增加农民收入，繁荣农村经济，提高城乡居民生活水平，促进工农业和国民经济的全面发展，对于和谐社会及新农村建设具有十分重要的意义。</w:t>
      </w:r>
    </w:p>
    <w:p>
      <w:pPr>
        <w:pStyle w:val="970"/>
      </w:pPr>
      <w:r>
        <w:rPr>
          <w:spacing w:val="-4"/>
          <w:szCs w:val="24"/>
        </w:rPr>
        <w:t>综上所述，本项目的建设具有良好的经济效益。</w:t>
      </w:r>
    </w:p>
    <w:p>
      <w:pPr>
        <w:pStyle w:val="588"/>
        <w:keepNext/>
        <w:keepLines/>
        <w:widowControl w:val="0"/>
        <w:adjustRightInd w:val="0"/>
        <w:spacing w:before="120" w:after="60" w:line="360" w:lineRule="auto"/>
        <w:textAlignment w:val="baseline"/>
        <w:rPr>
          <w:rFonts w:ascii="Times New Roman" w:hAnsi="Times New Roman" w:eastAsia="黑体" w:cs="Times New Roman"/>
          <w:b w:val="0"/>
          <w:spacing w:val="4"/>
          <w:kern w:val="2"/>
          <w:sz w:val="32"/>
          <w:szCs w:val="32"/>
        </w:rPr>
      </w:pPr>
      <w:bookmarkStart w:id="827" w:name="_Toc7363233"/>
      <w:bookmarkStart w:id="828" w:name="_Toc29110628"/>
      <w:r>
        <w:rPr>
          <w:rFonts w:hint="eastAsia" w:ascii="Times New Roman" w:hAnsi="Times New Roman" w:eastAsia="黑体" w:cs="Times New Roman"/>
          <w:b w:val="0"/>
          <w:spacing w:val="4"/>
          <w:kern w:val="2"/>
          <w:sz w:val="32"/>
          <w:szCs w:val="32"/>
        </w:rPr>
        <w:t>1</w:t>
      </w:r>
      <w:r>
        <w:rPr>
          <w:rFonts w:ascii="Times New Roman" w:hAnsi="Times New Roman" w:eastAsia="黑体" w:cs="Times New Roman"/>
          <w:b w:val="0"/>
          <w:spacing w:val="4"/>
          <w:kern w:val="2"/>
          <w:sz w:val="32"/>
          <w:szCs w:val="32"/>
        </w:rPr>
        <w:t>1</w:t>
      </w:r>
      <w:r>
        <w:rPr>
          <w:rFonts w:hint="eastAsia" w:ascii="Times New Roman" w:hAnsi="Times New Roman" w:eastAsia="黑体" w:cs="Times New Roman"/>
          <w:b w:val="0"/>
          <w:spacing w:val="4"/>
          <w:kern w:val="2"/>
          <w:sz w:val="32"/>
          <w:szCs w:val="32"/>
        </w:rPr>
        <w:t xml:space="preserve">.4 </w:t>
      </w:r>
      <w:r>
        <w:rPr>
          <w:rFonts w:ascii="Times New Roman" w:hAnsi="Times New Roman" w:eastAsia="黑体" w:cs="Times New Roman"/>
          <w:b w:val="0"/>
          <w:spacing w:val="4"/>
          <w:kern w:val="2"/>
          <w:sz w:val="32"/>
          <w:szCs w:val="32"/>
        </w:rPr>
        <w:t>环境经济损益分析结论</w:t>
      </w:r>
      <w:bookmarkEnd w:id="827"/>
      <w:bookmarkEnd w:id="828"/>
    </w:p>
    <w:p>
      <w:pPr>
        <w:pStyle w:val="320"/>
        <w:snapToGrid w:val="0"/>
        <w:spacing w:line="360" w:lineRule="auto"/>
        <w:ind w:firstLine="480"/>
        <w:rPr>
          <w:rFonts w:ascii="Times New Roman" w:hAnsi="Times New Roman"/>
        </w:rPr>
      </w:pPr>
      <w:r>
        <w:rPr>
          <w:rFonts w:hint="eastAsia"/>
        </w:rPr>
        <w:t>乐山正邦养殖有限公司拟建的井研县高凤循环农业生态园生猪标准化生态养殖园区</w:t>
      </w:r>
      <w:r>
        <w:t>符合国家产业政策和环境保护政策的要求，项目采用成熟先进的</w:t>
      </w:r>
      <w:r>
        <w:rPr>
          <w:rFonts w:hint="eastAsia"/>
        </w:rPr>
        <w:t>养殖</w:t>
      </w:r>
      <w:r>
        <w:t>工艺、设备装备以及管理体系，可体现</w:t>
      </w:r>
      <w:r>
        <w:rPr>
          <w:rFonts w:hint="eastAsia"/>
        </w:rPr>
        <w:t>养殖</w:t>
      </w:r>
      <w:r>
        <w:t>规模化生产物耗低、利率高、污染小的特征。项目的实施在促进地方经济发展的同时，将给当地人民提供广阔的就业、致富机遇，对促进当地社会稳定，提高人民生活水平发挥积极作用。项目市场前景良好，并有较好的赢利能力、清偿能力和抗风险能力，从社会经济角度看是可行的。从经济可行性分析来看，项目在保证环保投资的前提下，污染物能够达标排放并不增大区域污染负荷，环境效益比较明显，从环境经济角度来看也是合理可行的。因此，本项目建设可行。</w:t>
      </w:r>
    </w:p>
    <w:bookmarkEnd w:id="813"/>
    <w:bookmarkEnd w:id="814"/>
    <w:bookmarkEnd w:id="815"/>
    <w:bookmarkEnd w:id="816"/>
    <w:p>
      <w:pPr>
        <w:pStyle w:val="320"/>
        <w:snapToGrid w:val="0"/>
        <w:spacing w:line="360" w:lineRule="auto"/>
        <w:ind w:firstLine="480"/>
        <w:rPr>
          <w:rFonts w:ascii="Times New Roman" w:hAnsi="Times New Roman"/>
          <w:color w:val="FF0000"/>
        </w:rPr>
      </w:pPr>
    </w:p>
    <w:bookmarkEnd w:id="804"/>
    <w:bookmarkEnd w:id="805"/>
    <w:bookmarkEnd w:id="806"/>
    <w:bookmarkEnd w:id="807"/>
    <w:bookmarkEnd w:id="808"/>
    <w:bookmarkEnd w:id="809"/>
    <w:bookmarkEnd w:id="810"/>
    <w:bookmarkEnd w:id="811"/>
    <w:bookmarkEnd w:id="812"/>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829" w:name="_Toc82857371"/>
      <w:bookmarkStart w:id="830" w:name="_Toc76139517"/>
      <w:bookmarkStart w:id="831" w:name="_Toc423336841"/>
      <w:bookmarkStart w:id="832" w:name="_Toc12762476"/>
      <w:bookmarkStart w:id="833" w:name="_Toc140507353"/>
      <w:bookmarkStart w:id="834" w:name="_Toc187517452"/>
      <w:bookmarkStart w:id="835" w:name="_Toc457481086"/>
      <w:bookmarkStart w:id="836" w:name="_Toc88466871"/>
      <w:bookmarkStart w:id="837" w:name="_Toc115259978"/>
      <w:bookmarkStart w:id="838" w:name="_Toc114997901"/>
      <w:r>
        <w:rPr>
          <w:rFonts w:ascii="Times New Roman" w:hAnsi="Times New Roman" w:eastAsia="黑体" w:cs="Times New Roman"/>
          <w:b w:val="0"/>
          <w:bCs/>
          <w:kern w:val="44"/>
          <w:sz w:val="36"/>
        </w:rPr>
        <w:t xml:space="preserve"> </w:t>
      </w:r>
      <w:bookmarkStart w:id="839" w:name="_Toc29110629"/>
      <w:r>
        <w:rPr>
          <w:rFonts w:ascii="Times New Roman" w:hAnsi="Times New Roman" w:eastAsia="黑体" w:cs="Times New Roman"/>
          <w:b w:val="0"/>
          <w:bCs/>
          <w:kern w:val="44"/>
          <w:sz w:val="36"/>
        </w:rPr>
        <w:t>环境管理与监测</w:t>
      </w:r>
      <w:bookmarkEnd w:id="829"/>
      <w:bookmarkEnd w:id="830"/>
      <w:bookmarkEnd w:id="831"/>
      <w:bookmarkEnd w:id="832"/>
      <w:bookmarkEnd w:id="833"/>
      <w:bookmarkEnd w:id="834"/>
      <w:bookmarkEnd w:id="835"/>
      <w:bookmarkEnd w:id="836"/>
      <w:bookmarkEnd w:id="837"/>
      <w:bookmarkEnd w:id="838"/>
      <w:bookmarkEnd w:id="839"/>
    </w:p>
    <w:p>
      <w:pPr>
        <w:pStyle w:val="970"/>
        <w:snapToGrid w:val="0"/>
        <w:ind w:firstLine="480" w:firstLineChars="200"/>
      </w:pPr>
      <w:r>
        <w:t>企业的环境管理是企业的管理者为实现预期的环境目标，运用环保法律、法规、技术、经济、教育等手段对企业合理开发利用资源、能源、控制环境污染与保护环境所实施重要措施。</w:t>
      </w:r>
    </w:p>
    <w:p>
      <w:pPr>
        <w:pStyle w:val="970"/>
        <w:snapToGrid w:val="0"/>
      </w:pPr>
      <w:r>
        <w:t>环境监测制度是为环境管理服务的一项重要制度，通过环境监测，及时了解企业的环境状况，不断完善，改进防治措施，不断适应环境保护发展的要求；是实现企业环境管理定量化，规范化的重要举措。建立一套完善的行之有效的环境管理与监测制度是企业环境保护工作的重要组成部分。</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40" w:name="_Toc457481087"/>
      <w:bookmarkStart w:id="841" w:name="_Toc114997902"/>
      <w:bookmarkStart w:id="842" w:name="_Toc115259979"/>
      <w:bookmarkStart w:id="843" w:name="_Toc188096007"/>
      <w:bookmarkStart w:id="844" w:name="_Toc82857372"/>
      <w:bookmarkStart w:id="845" w:name="_Toc140507354"/>
      <w:bookmarkStart w:id="846" w:name="_Toc29110630"/>
      <w:bookmarkStart w:id="847" w:name="_Toc12762477"/>
      <w:bookmarkStart w:id="848" w:name="_Toc76139518"/>
      <w:bookmarkStart w:id="849" w:name="_Toc187517453"/>
      <w:bookmarkStart w:id="850" w:name="_Toc88466872"/>
      <w:bookmarkStart w:id="851" w:name="_Toc423336842"/>
      <w:bookmarkStart w:id="852" w:name="_Toc7363235"/>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2</w:t>
      </w:r>
      <w:r>
        <w:rPr>
          <w:rFonts w:hint="eastAsia" w:ascii="Times New Roman" w:hAnsi="Times New Roman" w:eastAsia="黑体" w:cs="Times New Roman"/>
          <w:b w:val="0"/>
          <w:bCs/>
          <w:spacing w:val="4"/>
          <w:kern w:val="2"/>
          <w:sz w:val="32"/>
          <w:szCs w:val="32"/>
        </w:rPr>
        <w:t xml:space="preserve">.1 </w:t>
      </w:r>
      <w:r>
        <w:rPr>
          <w:rFonts w:ascii="Times New Roman" w:hAnsi="Times New Roman" w:eastAsia="黑体" w:cs="Times New Roman"/>
          <w:b w:val="0"/>
          <w:bCs/>
          <w:spacing w:val="4"/>
          <w:kern w:val="2"/>
          <w:sz w:val="32"/>
          <w:szCs w:val="32"/>
        </w:rPr>
        <w:t>环境管理</w:t>
      </w:r>
      <w:bookmarkEnd w:id="840"/>
      <w:bookmarkEnd w:id="841"/>
      <w:bookmarkEnd w:id="842"/>
      <w:bookmarkEnd w:id="843"/>
      <w:bookmarkEnd w:id="844"/>
      <w:bookmarkEnd w:id="845"/>
      <w:bookmarkEnd w:id="846"/>
      <w:bookmarkEnd w:id="847"/>
      <w:bookmarkEnd w:id="848"/>
      <w:bookmarkEnd w:id="849"/>
      <w:bookmarkEnd w:id="850"/>
      <w:bookmarkEnd w:id="851"/>
      <w:bookmarkEnd w:id="852"/>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2.</w:t>
      </w:r>
      <w:r>
        <w:rPr>
          <w:rFonts w:hint="eastAsia" w:eastAsia="黑体"/>
          <w:bCs/>
          <w:sz w:val="28"/>
          <w:szCs w:val="28"/>
        </w:rPr>
        <w:t xml:space="preserve">1.1 </w:t>
      </w:r>
      <w:r>
        <w:rPr>
          <w:rFonts w:eastAsia="黑体"/>
          <w:bCs/>
          <w:sz w:val="28"/>
          <w:szCs w:val="28"/>
        </w:rPr>
        <w:t>建立环境管理体系</w:t>
      </w:r>
    </w:p>
    <w:p>
      <w:pPr>
        <w:pStyle w:val="970"/>
        <w:snapToGrid w:val="0"/>
        <w:ind w:firstLine="480" w:firstLineChars="200"/>
      </w:pPr>
      <w:r>
        <w:t>为做好环境管理工作，公司应建立环境管理体系，将环境管理工作自上而下地贯穿到公司的生产管理中，现就建立环境管理体系提出如下建议：</w:t>
      </w:r>
    </w:p>
    <w:p>
      <w:pPr>
        <w:pStyle w:val="970"/>
        <w:snapToGrid w:val="0"/>
        <w:ind w:firstLine="480" w:firstLineChars="200"/>
      </w:pPr>
      <w:r>
        <w:rPr>
          <w:rFonts w:hint="eastAsia"/>
        </w:rPr>
        <w:t>（1）</w:t>
      </w:r>
      <w:r>
        <w:t>公司的环境管理工作实行公司主要负责人负责制，以便在制定环保方针、制度、规划，协调人力、物力和财力等方面，将环境管理和生产管理结合起来。</w:t>
      </w:r>
    </w:p>
    <w:p>
      <w:pPr>
        <w:pStyle w:val="970"/>
        <w:snapToGrid w:val="0"/>
        <w:ind w:firstLine="480" w:firstLineChars="200"/>
      </w:pPr>
      <w:r>
        <w:rPr>
          <w:rFonts w:hint="eastAsia"/>
        </w:rPr>
        <w:t>（2）</w:t>
      </w:r>
      <w:r>
        <w:t>建立专职环境管理机构，配备专职环保管理人员和兼职管理人员若干名，具体制定环境管理方案并实施运行；负责与政府环保主管部门的联系与协调工作。</w:t>
      </w:r>
    </w:p>
    <w:p>
      <w:pPr>
        <w:pStyle w:val="970"/>
        <w:snapToGrid w:val="0"/>
        <w:ind w:firstLine="480" w:firstLineChars="200"/>
      </w:pPr>
      <w:r>
        <w:rPr>
          <w:rFonts w:hint="eastAsia"/>
        </w:rPr>
        <w:t>（3）</w:t>
      </w:r>
      <w:r>
        <w:t>以水、气、声等环境要素的保护和改善作为推动企业环境保护工作的基础，并在生产工作中检查环境管理的成效。</w:t>
      </w:r>
    </w:p>
    <w:p>
      <w:pPr>
        <w:pStyle w:val="970"/>
        <w:snapToGrid w:val="0"/>
        <w:ind w:firstLine="480" w:firstLineChars="200"/>
      </w:pPr>
      <w:r>
        <w:rPr>
          <w:rFonts w:hint="eastAsia"/>
        </w:rPr>
        <w:t>（4）</w:t>
      </w:r>
      <w:r>
        <w:t>按照所制定的环保方针和环境管理方案，将环境管理目标和指标层层分解，落实到各生产部门和人，签订责任书，定期考核。</w:t>
      </w:r>
    </w:p>
    <w:p>
      <w:pPr>
        <w:pStyle w:val="970"/>
        <w:snapToGrid w:val="0"/>
      </w:pPr>
      <w:r>
        <w:rPr>
          <w:rFonts w:hint="eastAsia"/>
        </w:rPr>
        <w:t>（5）</w:t>
      </w:r>
      <w:r>
        <w:t>按照环境管理的要求，将计划实现的目标和过程编制成文件，有关指标制成目标管理图表，标明工作内容和进度，以便与目标对比，及时掌握环保工作的进展情况。</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2</w:t>
      </w:r>
      <w:r>
        <w:rPr>
          <w:rFonts w:hint="eastAsia" w:eastAsia="黑体"/>
          <w:bCs/>
          <w:sz w:val="28"/>
          <w:szCs w:val="28"/>
        </w:rPr>
        <w:t xml:space="preserve">.1.2 </w:t>
      </w:r>
      <w:r>
        <w:rPr>
          <w:rFonts w:eastAsia="黑体"/>
          <w:bCs/>
          <w:sz w:val="28"/>
          <w:szCs w:val="28"/>
        </w:rPr>
        <w:t>环境管理规章制度</w:t>
      </w:r>
    </w:p>
    <w:p>
      <w:pPr>
        <w:pStyle w:val="970"/>
        <w:snapToGrid w:val="0"/>
        <w:ind w:firstLine="480" w:firstLineChars="200"/>
      </w:pPr>
      <w:r>
        <w:t>建立和完善环境管理制度，是企业环境管理体系的重要组成部分，需建立的环境管理制度主要有：</w:t>
      </w:r>
    </w:p>
    <w:p>
      <w:pPr>
        <w:pStyle w:val="970"/>
        <w:snapToGrid w:val="0"/>
      </w:pPr>
      <w:r>
        <w:rPr>
          <w:rFonts w:hint="eastAsia"/>
        </w:rPr>
        <w:t>（1）</w:t>
      </w:r>
      <w:r>
        <w:t>环境管理岗位责任制；</w:t>
      </w:r>
    </w:p>
    <w:p>
      <w:pPr>
        <w:pStyle w:val="970"/>
        <w:snapToGrid w:val="0"/>
      </w:pPr>
      <w:r>
        <w:rPr>
          <w:rFonts w:hint="eastAsia"/>
        </w:rPr>
        <w:t>（2）</w:t>
      </w:r>
      <w:r>
        <w:t>环保设施运行和管理制度；</w:t>
      </w:r>
    </w:p>
    <w:p>
      <w:pPr>
        <w:pStyle w:val="970"/>
        <w:snapToGrid w:val="0"/>
      </w:pPr>
      <w:r>
        <w:rPr>
          <w:rFonts w:hint="eastAsia"/>
        </w:rPr>
        <w:t>（3）</w:t>
      </w:r>
      <w:r>
        <w:t>环境污染物排放和监测制度；</w:t>
      </w:r>
    </w:p>
    <w:p>
      <w:pPr>
        <w:pStyle w:val="970"/>
        <w:snapToGrid w:val="0"/>
      </w:pPr>
      <w:r>
        <w:rPr>
          <w:rFonts w:hint="eastAsia"/>
        </w:rPr>
        <w:t>（4）</w:t>
      </w:r>
      <w:r>
        <w:t>原材料的管理和使用、节约制度；</w:t>
      </w:r>
    </w:p>
    <w:p>
      <w:pPr>
        <w:pStyle w:val="970"/>
        <w:snapToGrid w:val="0"/>
      </w:pPr>
      <w:r>
        <w:rPr>
          <w:rFonts w:hint="eastAsia"/>
        </w:rPr>
        <w:t>（5）</w:t>
      </w:r>
      <w:r>
        <w:t>环境污染事故应急和处理制度；</w:t>
      </w:r>
    </w:p>
    <w:p>
      <w:pPr>
        <w:pStyle w:val="970"/>
        <w:snapToGrid w:val="0"/>
      </w:pPr>
      <w:r>
        <w:rPr>
          <w:rFonts w:hint="eastAsia"/>
        </w:rPr>
        <w:t>（6）</w:t>
      </w:r>
      <w:r>
        <w:t>生产环境管理制度；</w:t>
      </w:r>
    </w:p>
    <w:p>
      <w:pPr>
        <w:pStyle w:val="970"/>
        <w:snapToGrid w:val="0"/>
      </w:pPr>
      <w:r>
        <w:rPr>
          <w:rFonts w:hint="eastAsia"/>
        </w:rPr>
        <w:t>（7）厂</w:t>
      </w:r>
      <w:r>
        <w:t>区绿化和管理制度。</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2</w:t>
      </w:r>
      <w:r>
        <w:rPr>
          <w:rFonts w:hint="eastAsia" w:eastAsia="黑体"/>
          <w:bCs/>
          <w:sz w:val="28"/>
          <w:szCs w:val="28"/>
        </w:rPr>
        <w:t xml:space="preserve">.1.3 </w:t>
      </w:r>
      <w:r>
        <w:rPr>
          <w:rFonts w:eastAsia="黑体"/>
          <w:bCs/>
          <w:sz w:val="28"/>
          <w:szCs w:val="28"/>
        </w:rPr>
        <w:t>环境管理机构的主要职责</w:t>
      </w:r>
    </w:p>
    <w:p>
      <w:pPr>
        <w:pStyle w:val="970"/>
        <w:snapToGrid w:val="0"/>
        <w:ind w:firstLine="480" w:firstLineChars="200"/>
      </w:pPr>
      <w:r>
        <w:t>公司环境管理机构主要职责是：</w:t>
      </w:r>
    </w:p>
    <w:p>
      <w:pPr>
        <w:pStyle w:val="970"/>
        <w:snapToGrid w:val="0"/>
      </w:pPr>
      <w:r>
        <w:rPr>
          <w:rFonts w:hint="eastAsia"/>
        </w:rPr>
        <w:t>（1）</w:t>
      </w:r>
      <w:r>
        <w:t>贯彻执行中华人民共和国的环境保护法规和标准，接受环保主管部门的检查监督，定期上报各项管理工作的执行情况；</w:t>
      </w:r>
    </w:p>
    <w:p>
      <w:pPr>
        <w:pStyle w:val="970"/>
        <w:snapToGrid w:val="0"/>
      </w:pPr>
      <w:r>
        <w:rPr>
          <w:rFonts w:hint="eastAsia"/>
        </w:rPr>
        <w:t>（2）</w:t>
      </w:r>
      <w:r>
        <w:t>接受环境保护主管部门的检查，定期上报各项管理工作的执行情况；</w:t>
      </w:r>
    </w:p>
    <w:p>
      <w:pPr>
        <w:pStyle w:val="970"/>
        <w:snapToGrid w:val="0"/>
      </w:pPr>
      <w:r>
        <w:rPr>
          <w:rFonts w:hint="eastAsia"/>
        </w:rPr>
        <w:t>（3）</w:t>
      </w:r>
      <w:r>
        <w:t>如实向环保主管部门申报公司使用的各种化学品，如有变更，事先征得主管部门许可，培训并让每个员工掌握这些化学品的危险性、毒性、腐蚀性物质的特征及防护措施；</w:t>
      </w:r>
    </w:p>
    <w:p>
      <w:pPr>
        <w:pStyle w:val="970"/>
        <w:snapToGrid w:val="0"/>
      </w:pPr>
      <w:r>
        <w:rPr>
          <w:rFonts w:hint="eastAsia"/>
        </w:rPr>
        <w:t>（4）</w:t>
      </w:r>
      <w:r>
        <w:t>组织制定工厂内各部门的环保管理规章制度，并监督执行；</w:t>
      </w:r>
    </w:p>
    <w:p>
      <w:pPr>
        <w:pStyle w:val="970"/>
        <w:snapToGrid w:val="0"/>
      </w:pPr>
      <w:r>
        <w:rPr>
          <w:rFonts w:hint="eastAsia"/>
        </w:rPr>
        <w:t>（5）</w:t>
      </w:r>
      <w:r>
        <w:t>检查公司内部环保治理设备的运转情况以及日常维护保养，保证其正常运转；</w:t>
      </w:r>
    </w:p>
    <w:p>
      <w:pPr>
        <w:pStyle w:val="970"/>
        <w:snapToGrid w:val="0"/>
      </w:pPr>
      <w:r>
        <w:rPr>
          <w:rFonts w:hint="eastAsia"/>
        </w:rPr>
        <w:t>（6）</w:t>
      </w:r>
      <w:r>
        <w:t>组织参加环境监测工作；</w:t>
      </w:r>
    </w:p>
    <w:p>
      <w:pPr>
        <w:pStyle w:val="970"/>
        <w:snapToGrid w:val="0"/>
      </w:pPr>
      <w:r>
        <w:rPr>
          <w:rFonts w:hint="eastAsia"/>
        </w:rPr>
        <w:t>（7）</w:t>
      </w:r>
      <w:r>
        <w:t>定期进行审计，检查环境管理计划实施情况，使环境污染的治理、管理和控制不断得到改善，使企业对环境的影响降到最低程度。</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2</w:t>
      </w:r>
      <w:r>
        <w:rPr>
          <w:rFonts w:hint="eastAsia" w:eastAsia="黑体"/>
          <w:bCs/>
          <w:sz w:val="28"/>
          <w:szCs w:val="28"/>
        </w:rPr>
        <w:t xml:space="preserve">.1.4 </w:t>
      </w:r>
      <w:r>
        <w:rPr>
          <w:rFonts w:eastAsia="黑体"/>
          <w:bCs/>
          <w:sz w:val="28"/>
          <w:szCs w:val="28"/>
        </w:rPr>
        <w:t>规范排污口</w:t>
      </w:r>
    </w:p>
    <w:p>
      <w:pPr>
        <w:pStyle w:val="970"/>
        <w:snapToGrid w:val="0"/>
        <w:ind w:firstLine="480" w:firstLineChars="200"/>
        <w:jc w:val="left"/>
      </w:pPr>
      <w:r>
        <w:t>根据《环境保护图形标志—排放口（源）》（GB15562.1-1995）和《排污口规范化整治要求（试行）》（环监〔1996〕470 号）的要求，企业所有排放口（包括气、声、固体废物），必须按照“便于计量监测、便于日常现场监督检查”的原则和规范化要求，设置与之相适应的环境保护图形标志牌，绘制企业排污口分布图，对治理设施安装运行监控装置。</w:t>
      </w:r>
    </w:p>
    <w:p>
      <w:pPr>
        <w:pStyle w:val="970"/>
        <w:snapToGrid w:val="0"/>
      </w:pPr>
      <w:r>
        <w:rPr>
          <w:rFonts w:hint="eastAsia"/>
        </w:rPr>
        <w:t>（1）</w:t>
      </w:r>
      <w:r>
        <w:t>固定噪声源</w:t>
      </w:r>
    </w:p>
    <w:p>
      <w:pPr>
        <w:pStyle w:val="970"/>
        <w:snapToGrid w:val="0"/>
      </w:pPr>
      <w:r>
        <w:t>对固定噪声源进行治理，并在边界噪声敏感点，且对外界影响最大处设置标志牌。</w:t>
      </w:r>
    </w:p>
    <w:p>
      <w:pPr>
        <w:pStyle w:val="970"/>
        <w:snapToGrid w:val="0"/>
      </w:pPr>
      <w:r>
        <w:rPr>
          <w:rFonts w:hint="eastAsia"/>
        </w:rPr>
        <w:t>（2）</w:t>
      </w:r>
      <w:r>
        <w:t>设置标志牌要求</w:t>
      </w:r>
    </w:p>
    <w:p>
      <w:pPr>
        <w:pStyle w:val="970"/>
        <w:snapToGrid w:val="0"/>
        <w:ind w:firstLine="480" w:firstLineChars="200"/>
      </w:pPr>
      <w:r>
        <w:t>环境保护图形标志牌由环保部统一定点制作，企业排污口分布图由市环境监管部门统一绘制。排放一般污染物排污口（源），设置提示式标志牌。</w:t>
      </w:r>
    </w:p>
    <w:p>
      <w:pPr>
        <w:pStyle w:val="970"/>
        <w:snapToGrid w:val="0"/>
        <w:ind w:firstLine="480" w:firstLineChars="200"/>
      </w:pPr>
      <w:r>
        <w:t>标志牌设置位置在排污口附近且醒目处，高度为标志牌上缘离地面 2m；排污口附近 1m 范围内有建筑物的，设平面式标志牌，无建筑物的设立式标志牌。</w:t>
      </w:r>
    </w:p>
    <w:p>
      <w:pPr>
        <w:pStyle w:val="970"/>
        <w:snapToGrid w:val="0"/>
        <w:ind w:firstLine="480" w:firstLineChars="200"/>
      </w:pPr>
      <w:r>
        <w:t>规范化排污口的有关设置（如图形标志牌、监控装置等）属环保设施，排污单位必须负责日常的维护保养，任何单位和个人不得擅自拆除，如需变更的须报环境监管部门同意并办理变更手续。</w:t>
      </w:r>
    </w:p>
    <w:p>
      <w:pPr>
        <w:pStyle w:val="970"/>
        <w:snapToGrid w:val="0"/>
        <w:ind w:firstLine="480" w:firstLineChars="200"/>
      </w:pPr>
      <w:r>
        <w:t>本项目排污口设置牌可参照以下标识设置。</w:t>
      </w:r>
    </w:p>
    <w:p>
      <w:pPr>
        <w:widowControl/>
        <w:spacing w:line="240" w:lineRule="auto"/>
        <w:ind w:firstLine="480" w:firstLineChars="200"/>
        <w:jc w:val="center"/>
        <w:rPr>
          <w:rFonts w:eastAsia="黑体"/>
        </w:rPr>
      </w:pPr>
      <w:r>
        <w:rPr>
          <w:rFonts w:eastAsia="黑体"/>
        </w:rPr>
        <w:t>表 12.1-1 排放源图形标识</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02"/>
        <w:gridCol w:w="1903"/>
        <w:gridCol w:w="1903"/>
        <w:gridCol w:w="1903"/>
        <w:gridCol w:w="19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5" w:type="dxa"/>
            <w:tcBorders>
              <w:top w:val="single" w:color="auto" w:sz="12" w:space="0"/>
              <w:left w:val="nil"/>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排放口</w:t>
            </w:r>
          </w:p>
        </w:tc>
        <w:tc>
          <w:tcPr>
            <w:tcW w:w="1706" w:type="dxa"/>
            <w:tcBorders>
              <w:top w:val="single" w:color="auto" w:sz="12" w:space="0"/>
              <w:left w:val="single" w:color="auto" w:sz="6" w:space="0"/>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废水排口</w:t>
            </w:r>
          </w:p>
        </w:tc>
        <w:tc>
          <w:tcPr>
            <w:tcW w:w="1706" w:type="dxa"/>
            <w:tcBorders>
              <w:top w:val="single" w:color="auto" w:sz="12" w:space="0"/>
              <w:left w:val="single" w:color="auto" w:sz="6" w:space="0"/>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废气排口</w:t>
            </w:r>
          </w:p>
        </w:tc>
        <w:tc>
          <w:tcPr>
            <w:tcW w:w="1706" w:type="dxa"/>
            <w:tcBorders>
              <w:top w:val="single" w:color="auto" w:sz="12" w:space="0"/>
              <w:left w:val="single" w:color="auto" w:sz="6" w:space="0"/>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噪声源</w:t>
            </w:r>
          </w:p>
        </w:tc>
        <w:tc>
          <w:tcPr>
            <w:tcW w:w="1706" w:type="dxa"/>
            <w:tcBorders>
              <w:top w:val="single" w:color="auto" w:sz="12" w:space="0"/>
              <w:left w:val="single" w:color="auto" w:sz="6" w:space="0"/>
              <w:bottom w:val="single" w:color="auto" w:sz="6" w:space="0"/>
              <w:right w:val="nil"/>
              <w:tl2br w:val="nil"/>
              <w:tr2bl w:val="nil"/>
            </w:tcBorders>
            <w:vAlign w:val="center"/>
          </w:tcPr>
          <w:p>
            <w:pPr>
              <w:pStyle w:val="970"/>
              <w:snapToGrid w:val="0"/>
              <w:ind w:firstLine="0"/>
              <w:jc w:val="center"/>
              <w:rPr>
                <w:sz w:val="21"/>
                <w:szCs w:val="21"/>
              </w:rPr>
            </w:pPr>
            <w:r>
              <w:rPr>
                <w:sz w:val="21"/>
                <w:szCs w:val="21"/>
              </w:rPr>
              <w:t>固体废物堆场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5" w:type="dxa"/>
            <w:tcBorders>
              <w:top w:val="single" w:color="auto" w:sz="6" w:space="0"/>
              <w:left w:val="nil"/>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图形符号</w:t>
            </w:r>
          </w:p>
        </w:tc>
        <w:tc>
          <w:tcPr>
            <w:tcW w:w="1706" w:type="dxa"/>
            <w:tcBorders>
              <w:top w:val="single" w:color="auto" w:sz="6" w:space="0"/>
              <w:left w:val="single" w:color="auto" w:sz="6" w:space="0"/>
              <w:bottom w:val="single" w:color="auto" w:sz="6" w:space="0"/>
              <w:right w:val="single" w:color="auto" w:sz="6" w:space="0"/>
              <w:tl2br w:val="nil"/>
              <w:tr2bl w:val="nil"/>
            </w:tcBorders>
            <w:vAlign w:val="center"/>
          </w:tcPr>
          <w:p>
            <w:pPr>
              <w:widowControl/>
              <w:jc w:val="center"/>
              <w:rPr>
                <w:kern w:val="0"/>
                <w:sz w:val="21"/>
                <w:szCs w:val="21"/>
              </w:rPr>
            </w:pPr>
            <w:r>
              <w:rPr>
                <w:kern w:val="0"/>
                <w:sz w:val="21"/>
                <w:szCs w:val="21"/>
              </w:rPr>
              <w:drawing>
                <wp:inline distT="0" distB="0" distL="0" distR="0">
                  <wp:extent cx="895350" cy="904875"/>
                  <wp:effectExtent l="0" t="0" r="0" b="9525"/>
                  <wp:docPr id="22" name="图片 39" descr="Z4DXQ4GGU]$%F~NQ~O403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9" descr="Z4DXQ4GGU]$%F~NQ~O403S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895350" cy="904875"/>
                          </a:xfrm>
                          <a:prstGeom prst="rect">
                            <a:avLst/>
                          </a:prstGeom>
                          <a:noFill/>
                          <a:ln>
                            <a:noFill/>
                          </a:ln>
                        </pic:spPr>
                      </pic:pic>
                    </a:graphicData>
                  </a:graphic>
                </wp:inline>
              </w:drawing>
            </w:r>
          </w:p>
        </w:tc>
        <w:tc>
          <w:tcPr>
            <w:tcW w:w="1706" w:type="dxa"/>
            <w:tcBorders>
              <w:top w:val="single" w:color="auto" w:sz="6" w:space="0"/>
              <w:left w:val="single" w:color="auto" w:sz="6" w:space="0"/>
              <w:bottom w:val="single" w:color="auto" w:sz="6" w:space="0"/>
              <w:right w:val="single" w:color="auto" w:sz="6" w:space="0"/>
              <w:tl2br w:val="nil"/>
              <w:tr2bl w:val="nil"/>
            </w:tcBorders>
            <w:vAlign w:val="center"/>
          </w:tcPr>
          <w:p>
            <w:pPr>
              <w:widowControl/>
              <w:jc w:val="center"/>
              <w:rPr>
                <w:kern w:val="0"/>
                <w:sz w:val="21"/>
                <w:szCs w:val="21"/>
              </w:rPr>
            </w:pPr>
            <w:r>
              <w:rPr>
                <w:kern w:val="0"/>
                <w:sz w:val="21"/>
                <w:szCs w:val="21"/>
              </w:rPr>
              <w:drawing>
                <wp:inline distT="0" distB="0" distL="0" distR="0">
                  <wp:extent cx="904875" cy="904875"/>
                  <wp:effectExtent l="0" t="0" r="9525" b="9525"/>
                  <wp:docPr id="33" name="图片 40" descr="%RUV%UF%ZO`I$HW3[0F6G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0" descr="%RUV%UF%ZO`I$HW3[0F6G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904875" cy="904875"/>
                          </a:xfrm>
                          <a:prstGeom prst="rect">
                            <a:avLst/>
                          </a:prstGeom>
                          <a:noFill/>
                          <a:ln>
                            <a:noFill/>
                          </a:ln>
                        </pic:spPr>
                      </pic:pic>
                    </a:graphicData>
                  </a:graphic>
                </wp:inline>
              </w:drawing>
            </w:r>
          </w:p>
        </w:tc>
        <w:tc>
          <w:tcPr>
            <w:tcW w:w="1706" w:type="dxa"/>
            <w:tcBorders>
              <w:top w:val="single" w:color="auto" w:sz="6" w:space="0"/>
              <w:left w:val="single" w:color="auto" w:sz="6" w:space="0"/>
              <w:bottom w:val="single" w:color="auto" w:sz="6" w:space="0"/>
              <w:right w:val="single" w:color="auto" w:sz="6" w:space="0"/>
              <w:tl2br w:val="nil"/>
              <w:tr2bl w:val="nil"/>
            </w:tcBorders>
            <w:vAlign w:val="center"/>
          </w:tcPr>
          <w:p>
            <w:pPr>
              <w:widowControl/>
              <w:jc w:val="center"/>
              <w:rPr>
                <w:kern w:val="0"/>
                <w:sz w:val="21"/>
                <w:szCs w:val="21"/>
              </w:rPr>
            </w:pPr>
            <w:r>
              <w:rPr>
                <w:kern w:val="0"/>
                <w:sz w:val="21"/>
                <w:szCs w:val="21"/>
              </w:rPr>
              <w:drawing>
                <wp:inline distT="0" distB="0" distL="0" distR="0">
                  <wp:extent cx="942975" cy="933450"/>
                  <wp:effectExtent l="0" t="0" r="9525" b="0"/>
                  <wp:docPr id="34" name="图片 41" descr="Z}US``Y9MYMRG5X7GIY[LG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1" descr="Z}US``Y9MYMRG5X7GIY[LG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942975" cy="933450"/>
                          </a:xfrm>
                          <a:prstGeom prst="rect">
                            <a:avLst/>
                          </a:prstGeom>
                          <a:noFill/>
                          <a:ln>
                            <a:noFill/>
                          </a:ln>
                        </pic:spPr>
                      </pic:pic>
                    </a:graphicData>
                  </a:graphic>
                </wp:inline>
              </w:drawing>
            </w:r>
          </w:p>
        </w:tc>
        <w:tc>
          <w:tcPr>
            <w:tcW w:w="1706" w:type="dxa"/>
            <w:tcBorders>
              <w:top w:val="single" w:color="auto" w:sz="6" w:space="0"/>
              <w:left w:val="single" w:color="auto" w:sz="6" w:space="0"/>
              <w:bottom w:val="single" w:color="auto" w:sz="6" w:space="0"/>
              <w:right w:val="nil"/>
              <w:tl2br w:val="nil"/>
              <w:tr2bl w:val="nil"/>
            </w:tcBorders>
            <w:vAlign w:val="center"/>
          </w:tcPr>
          <w:p>
            <w:pPr>
              <w:widowControl/>
              <w:jc w:val="center"/>
              <w:rPr>
                <w:kern w:val="0"/>
                <w:sz w:val="21"/>
                <w:szCs w:val="21"/>
              </w:rPr>
            </w:pPr>
            <w:r>
              <w:rPr>
                <w:kern w:val="0"/>
                <w:sz w:val="21"/>
                <w:szCs w:val="21"/>
              </w:rPr>
              <w:drawing>
                <wp:inline distT="0" distB="0" distL="0" distR="0">
                  <wp:extent cx="885825" cy="904875"/>
                  <wp:effectExtent l="0" t="0" r="9525" b="9525"/>
                  <wp:docPr id="35" name="图片 42" descr="F`7ZCO[PHC)P$M17YE%QQJ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2" descr="F`7ZCO[PHC)P$M17YE%QQJJ"/>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885825" cy="904875"/>
                          </a:xfrm>
                          <a:prstGeom prst="rect">
                            <a:avLst/>
                          </a:prstGeom>
                          <a:noFill/>
                          <a:ln>
                            <a:noFill/>
                          </a:ln>
                        </pic:spPr>
                      </pic:pic>
                    </a:graphicData>
                  </a:graphic>
                </wp:inline>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5" w:type="dxa"/>
            <w:tcBorders>
              <w:top w:val="single" w:color="auto" w:sz="6" w:space="0"/>
              <w:left w:val="nil"/>
              <w:bottom w:val="single" w:color="auto" w:sz="6" w:space="0"/>
              <w:right w:val="single" w:color="auto" w:sz="6" w:space="0"/>
              <w:tl2br w:val="nil"/>
              <w:tr2bl w:val="nil"/>
            </w:tcBorders>
            <w:vAlign w:val="center"/>
          </w:tcPr>
          <w:p>
            <w:pPr>
              <w:pStyle w:val="970"/>
              <w:snapToGrid w:val="0"/>
              <w:ind w:firstLine="0"/>
              <w:jc w:val="center"/>
              <w:rPr>
                <w:sz w:val="21"/>
                <w:szCs w:val="21"/>
              </w:rPr>
            </w:pPr>
            <w:r>
              <w:rPr>
                <w:sz w:val="21"/>
                <w:szCs w:val="21"/>
              </w:rPr>
              <w:t>背景颜色</w:t>
            </w:r>
          </w:p>
        </w:tc>
        <w:tc>
          <w:tcPr>
            <w:tcW w:w="6824" w:type="dxa"/>
            <w:gridSpan w:val="4"/>
            <w:tcBorders>
              <w:top w:val="single" w:color="auto" w:sz="6" w:space="0"/>
              <w:left w:val="single" w:color="auto" w:sz="6" w:space="0"/>
              <w:bottom w:val="single" w:color="auto" w:sz="6" w:space="0"/>
              <w:right w:val="nil"/>
              <w:tl2br w:val="nil"/>
              <w:tr2bl w:val="nil"/>
            </w:tcBorders>
            <w:vAlign w:val="center"/>
          </w:tcPr>
          <w:p>
            <w:pPr>
              <w:pStyle w:val="970"/>
              <w:snapToGrid w:val="0"/>
              <w:ind w:firstLine="0"/>
              <w:jc w:val="center"/>
              <w:rPr>
                <w:sz w:val="21"/>
                <w:szCs w:val="21"/>
              </w:rPr>
            </w:pPr>
            <w:r>
              <w:rPr>
                <w:sz w:val="21"/>
                <w:szCs w:val="21"/>
              </w:rPr>
              <w:t>绿色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5" w:type="dxa"/>
            <w:tcBorders>
              <w:top w:val="single" w:color="auto" w:sz="6" w:space="0"/>
              <w:left w:val="nil"/>
              <w:bottom w:val="single" w:color="auto" w:sz="12" w:space="0"/>
              <w:right w:val="single" w:color="auto" w:sz="6" w:space="0"/>
              <w:tl2br w:val="nil"/>
              <w:tr2bl w:val="nil"/>
            </w:tcBorders>
            <w:vAlign w:val="center"/>
          </w:tcPr>
          <w:p>
            <w:pPr>
              <w:pStyle w:val="970"/>
              <w:snapToGrid w:val="0"/>
              <w:ind w:firstLine="0"/>
              <w:jc w:val="center"/>
              <w:rPr>
                <w:sz w:val="21"/>
                <w:szCs w:val="21"/>
              </w:rPr>
            </w:pPr>
            <w:r>
              <w:rPr>
                <w:sz w:val="21"/>
                <w:szCs w:val="21"/>
              </w:rPr>
              <w:t>图形颜色</w:t>
            </w:r>
          </w:p>
        </w:tc>
        <w:tc>
          <w:tcPr>
            <w:tcW w:w="6824" w:type="dxa"/>
            <w:gridSpan w:val="4"/>
            <w:tcBorders>
              <w:top w:val="single" w:color="auto" w:sz="6" w:space="0"/>
              <w:left w:val="single" w:color="auto" w:sz="6" w:space="0"/>
              <w:bottom w:val="single" w:color="auto" w:sz="12" w:space="0"/>
              <w:right w:val="nil"/>
              <w:tl2br w:val="nil"/>
              <w:tr2bl w:val="nil"/>
            </w:tcBorders>
            <w:vAlign w:val="center"/>
          </w:tcPr>
          <w:p>
            <w:pPr>
              <w:pStyle w:val="970"/>
              <w:snapToGrid w:val="0"/>
              <w:ind w:firstLine="0"/>
              <w:jc w:val="center"/>
              <w:rPr>
                <w:sz w:val="21"/>
                <w:szCs w:val="21"/>
              </w:rPr>
            </w:pPr>
            <w:r>
              <w:rPr>
                <w:sz w:val="21"/>
                <w:szCs w:val="21"/>
              </w:rPr>
              <w:t>白色</w:t>
            </w:r>
          </w:p>
        </w:tc>
      </w:tr>
    </w:tbl>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2</w:t>
      </w:r>
      <w:r>
        <w:rPr>
          <w:rFonts w:hint="eastAsia" w:eastAsia="黑体"/>
          <w:bCs/>
          <w:sz w:val="28"/>
          <w:szCs w:val="28"/>
        </w:rPr>
        <w:t>.1.5 实施</w:t>
      </w:r>
      <w:r>
        <w:rPr>
          <w:rFonts w:eastAsia="黑体"/>
          <w:bCs/>
          <w:sz w:val="28"/>
          <w:szCs w:val="28"/>
        </w:rPr>
        <w:t>环境影响后评价</w:t>
      </w:r>
    </w:p>
    <w:p>
      <w:pPr>
        <w:snapToGrid w:val="0"/>
        <w:ind w:firstLine="480" w:firstLineChars="200"/>
      </w:pPr>
      <w:r>
        <w:rPr>
          <w:rFonts w:hint="eastAsia"/>
        </w:rPr>
        <w:t>本次评价要求项目建成运营一定时间后（1~3年），建设单位须按照《</w:t>
      </w:r>
      <w:r>
        <w:t>建设项目环境影响后评价管理办法（试行）</w:t>
      </w:r>
      <w:r>
        <w:rPr>
          <w:rFonts w:hint="eastAsia"/>
        </w:rPr>
        <w:t>》（环境保护部令 第37号）积极开展环境影响后评价工作。</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53" w:name="_Toc29110631"/>
      <w:bookmarkStart w:id="854" w:name="_Toc7363236"/>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2</w:t>
      </w:r>
      <w:r>
        <w:rPr>
          <w:rFonts w:hint="eastAsia" w:ascii="Times New Roman" w:hAnsi="Times New Roman" w:eastAsia="黑体" w:cs="Times New Roman"/>
          <w:b w:val="0"/>
          <w:bCs/>
          <w:spacing w:val="4"/>
          <w:kern w:val="2"/>
          <w:sz w:val="32"/>
          <w:szCs w:val="32"/>
        </w:rPr>
        <w:t>.2</w:t>
      </w:r>
      <w:r>
        <w:rPr>
          <w:rFonts w:ascii="Times New Roman" w:hAnsi="Times New Roman" w:eastAsia="黑体" w:cs="Times New Roman"/>
          <w:b w:val="0"/>
          <w:bCs/>
          <w:spacing w:val="4"/>
          <w:kern w:val="2"/>
          <w:sz w:val="32"/>
          <w:szCs w:val="32"/>
        </w:rPr>
        <w:t>环境监测</w:t>
      </w:r>
      <w:bookmarkEnd w:id="853"/>
      <w:bookmarkEnd w:id="854"/>
    </w:p>
    <w:p>
      <w:pPr>
        <w:pStyle w:val="970"/>
        <w:snapToGrid w:val="0"/>
        <w:ind w:firstLine="480" w:firstLineChars="200"/>
      </w:pPr>
      <w:r>
        <w:t>环境监测制度是为环境管理服务的一项重要制度，通过环境监测，及时了解企业的环境状况，不断完善，改进防治措施，以适应环境保护发展的要求，是实现企业环境管理定量化，规范化的重要举措。</w:t>
      </w:r>
    </w:p>
    <w:p>
      <w:pPr>
        <w:spacing w:before="120" w:after="60"/>
        <w:jc w:val="left"/>
        <w:outlineLvl w:val="2"/>
        <w:rPr>
          <w:rFonts w:eastAsia="黑体"/>
          <w:bCs/>
          <w:sz w:val="28"/>
          <w:szCs w:val="28"/>
        </w:rPr>
      </w:pPr>
      <w:bookmarkStart w:id="855" w:name="_Toc187517459"/>
      <w:bookmarkStart w:id="856" w:name="_Toc88466878"/>
      <w:bookmarkStart w:id="857" w:name="_Toc114997908"/>
      <w:bookmarkStart w:id="858" w:name="_Toc115259985"/>
      <w:bookmarkStart w:id="859" w:name="_Toc76139524"/>
      <w:bookmarkStart w:id="860" w:name="_Toc82857378"/>
      <w:bookmarkStart w:id="861" w:name="_Toc423336847"/>
      <w:bookmarkStart w:id="862" w:name="_Toc140507360"/>
      <w:bookmarkStart w:id="863" w:name="_Toc188096013"/>
      <w:bookmarkStart w:id="864" w:name="_Toc457481092"/>
      <w:bookmarkStart w:id="865" w:name="_Toc35510121"/>
      <w:r>
        <w:rPr>
          <w:rFonts w:hint="eastAsia" w:eastAsia="黑体"/>
          <w:bCs/>
          <w:sz w:val="28"/>
          <w:szCs w:val="28"/>
        </w:rPr>
        <w:t>1</w:t>
      </w:r>
      <w:r>
        <w:rPr>
          <w:rFonts w:eastAsia="黑体"/>
          <w:bCs/>
          <w:sz w:val="28"/>
          <w:szCs w:val="28"/>
        </w:rPr>
        <w:t>2</w:t>
      </w:r>
      <w:r>
        <w:rPr>
          <w:rFonts w:hint="eastAsia" w:eastAsia="黑体"/>
          <w:bCs/>
          <w:sz w:val="28"/>
          <w:szCs w:val="28"/>
        </w:rPr>
        <w:t xml:space="preserve">.2.1 </w:t>
      </w:r>
      <w:r>
        <w:rPr>
          <w:rFonts w:eastAsia="黑体"/>
          <w:bCs/>
          <w:sz w:val="28"/>
          <w:szCs w:val="28"/>
        </w:rPr>
        <w:t>环境监测的主要任务</w:t>
      </w:r>
      <w:bookmarkEnd w:id="855"/>
      <w:bookmarkEnd w:id="856"/>
      <w:bookmarkEnd w:id="857"/>
      <w:bookmarkEnd w:id="858"/>
      <w:bookmarkEnd w:id="859"/>
      <w:bookmarkEnd w:id="860"/>
      <w:bookmarkEnd w:id="861"/>
      <w:bookmarkEnd w:id="862"/>
      <w:bookmarkEnd w:id="863"/>
      <w:bookmarkEnd w:id="864"/>
      <w:bookmarkEnd w:id="865"/>
    </w:p>
    <w:p>
      <w:pPr>
        <w:pStyle w:val="970"/>
        <w:snapToGrid w:val="0"/>
        <w:ind w:firstLine="480" w:firstLineChars="200"/>
      </w:pPr>
      <w:bookmarkStart w:id="866" w:name="_Toc82857380"/>
      <w:bookmarkStart w:id="867" w:name="_Toc76139526"/>
      <w:bookmarkStart w:id="868" w:name="_Toc140507362"/>
      <w:bookmarkStart w:id="869" w:name="_Toc88466880"/>
      <w:bookmarkStart w:id="870" w:name="_Toc187517460"/>
      <w:bookmarkStart w:id="871" w:name="_Toc114997910"/>
      <w:bookmarkStart w:id="872" w:name="_Toc115259987"/>
      <w:bookmarkStart w:id="873" w:name="_Toc188096014"/>
      <w:bookmarkStart w:id="874" w:name="_Toc35510123"/>
      <w:r>
        <w:t>公司环境监测以厂区污染源源强排放监测为重点，环境监测的主要任务是：</w:t>
      </w:r>
    </w:p>
    <w:p>
      <w:pPr>
        <w:pStyle w:val="970"/>
        <w:snapToGrid w:val="0"/>
        <w:ind w:firstLine="480" w:firstLineChars="200"/>
      </w:pPr>
      <w:r>
        <w:rPr>
          <w:rFonts w:hint="eastAsia"/>
        </w:rPr>
        <w:t>（1）预留地下水监测井，定期</w:t>
      </w:r>
      <w:r>
        <w:t>对</w:t>
      </w:r>
      <w:r>
        <w:rPr>
          <w:rFonts w:hint="eastAsia"/>
        </w:rPr>
        <w:t>地下水</w:t>
      </w:r>
      <w:r>
        <w:t>进行监测</w:t>
      </w:r>
      <w:r>
        <w:rPr>
          <w:rFonts w:hint="eastAsia"/>
        </w:rPr>
        <w:t>；</w:t>
      </w:r>
    </w:p>
    <w:p>
      <w:pPr>
        <w:pStyle w:val="970"/>
        <w:snapToGrid w:val="0"/>
        <w:ind w:firstLine="480" w:firstLineChars="200"/>
      </w:pPr>
      <w:r>
        <w:rPr>
          <w:rFonts w:hint="eastAsia"/>
        </w:rPr>
        <w:t>（2）定期对卫生防护距离范围处进行监测；</w:t>
      </w:r>
    </w:p>
    <w:p>
      <w:pPr>
        <w:pStyle w:val="970"/>
        <w:snapToGrid w:val="0"/>
        <w:ind w:firstLine="480" w:firstLineChars="200"/>
      </w:pPr>
      <w:r>
        <w:rPr>
          <w:rFonts w:hint="eastAsia"/>
        </w:rPr>
        <w:t>（3）</w:t>
      </w:r>
      <w:r>
        <w:t>定期对厂界噪声进行监测；</w:t>
      </w:r>
    </w:p>
    <w:p>
      <w:pPr>
        <w:pStyle w:val="970"/>
        <w:snapToGrid w:val="0"/>
        <w:ind w:firstLine="480" w:firstLineChars="200"/>
      </w:pPr>
      <w:r>
        <w:rPr>
          <w:rFonts w:hint="eastAsia"/>
        </w:rPr>
        <w:t>（4）</w:t>
      </w:r>
      <w:r>
        <w:t>对环保治理设施的运行情况进行监测，以便及时对设施的设计和处理效果进行比较；发现问题及时报告公司有关部门；</w:t>
      </w:r>
    </w:p>
    <w:p>
      <w:pPr>
        <w:pStyle w:val="970"/>
        <w:snapToGrid w:val="0"/>
        <w:ind w:firstLine="480" w:firstLineChars="200"/>
      </w:pPr>
      <w:r>
        <w:rPr>
          <w:rFonts w:hint="eastAsia"/>
        </w:rPr>
        <w:t>（5）</w:t>
      </w:r>
      <w:r>
        <w:t>当发生污染事故时，进行应急监测，为采取处理措施提供第一手资料；</w:t>
      </w:r>
    </w:p>
    <w:p>
      <w:pPr>
        <w:pStyle w:val="970"/>
        <w:snapToGrid w:val="0"/>
        <w:ind w:firstLine="480" w:firstLineChars="200"/>
      </w:pPr>
      <w:r>
        <w:rPr>
          <w:rFonts w:hint="eastAsia"/>
        </w:rPr>
        <w:t>（6）</w:t>
      </w:r>
      <w:r>
        <w:t>编制环境监测季报或年报，及时上报区、市环保主管部门。</w:t>
      </w:r>
    </w:p>
    <w:p>
      <w:pPr>
        <w:spacing w:before="120" w:after="60"/>
        <w:jc w:val="left"/>
        <w:outlineLvl w:val="2"/>
        <w:rPr>
          <w:rFonts w:eastAsia="黑体"/>
          <w:bCs/>
          <w:sz w:val="28"/>
          <w:szCs w:val="28"/>
        </w:rPr>
      </w:pPr>
      <w:bookmarkStart w:id="875" w:name="_Toc457481093"/>
      <w:bookmarkStart w:id="876" w:name="_Toc423336849"/>
      <w:r>
        <w:rPr>
          <w:rFonts w:hint="eastAsia" w:eastAsia="黑体"/>
          <w:bCs/>
          <w:sz w:val="28"/>
          <w:szCs w:val="28"/>
        </w:rPr>
        <w:t>1</w:t>
      </w:r>
      <w:r>
        <w:rPr>
          <w:rFonts w:eastAsia="黑体"/>
          <w:bCs/>
          <w:sz w:val="28"/>
          <w:szCs w:val="28"/>
        </w:rPr>
        <w:t>2</w:t>
      </w:r>
      <w:r>
        <w:rPr>
          <w:rFonts w:hint="eastAsia" w:eastAsia="黑体"/>
          <w:bCs/>
          <w:sz w:val="28"/>
          <w:szCs w:val="28"/>
        </w:rPr>
        <w:t xml:space="preserve">.2.2 </w:t>
      </w:r>
      <w:r>
        <w:rPr>
          <w:rFonts w:eastAsia="黑体"/>
          <w:bCs/>
          <w:sz w:val="28"/>
          <w:szCs w:val="28"/>
        </w:rPr>
        <w:t>环境监测计划</w:t>
      </w:r>
      <w:bookmarkEnd w:id="866"/>
      <w:bookmarkEnd w:id="867"/>
      <w:bookmarkEnd w:id="868"/>
      <w:bookmarkEnd w:id="869"/>
      <w:bookmarkEnd w:id="870"/>
      <w:bookmarkEnd w:id="871"/>
      <w:bookmarkEnd w:id="872"/>
      <w:bookmarkEnd w:id="873"/>
      <w:bookmarkEnd w:id="874"/>
      <w:bookmarkEnd w:id="875"/>
      <w:bookmarkEnd w:id="876"/>
    </w:p>
    <w:p>
      <w:pPr>
        <w:pStyle w:val="970"/>
        <w:snapToGrid w:val="0"/>
        <w:ind w:left="480" w:leftChars="200" w:firstLine="480" w:firstLineChars="200"/>
      </w:pPr>
      <w:r>
        <w:t>为切实控制本工程治理设施的有效地运行和“达标排放”，落实排污总量控制制度，根据《建设项目环境保护管理条例》第八条的规定，本环评对建设项目实施环境监测建议。建议的环境监测计划见下表12.2-1。</w:t>
      </w:r>
    </w:p>
    <w:p>
      <w:pPr>
        <w:widowControl/>
        <w:spacing w:line="240" w:lineRule="auto"/>
        <w:ind w:firstLine="480" w:firstLineChars="200"/>
        <w:jc w:val="center"/>
        <w:rPr>
          <w:rFonts w:eastAsia="黑体"/>
        </w:rPr>
      </w:pPr>
      <w:r>
        <w:rPr>
          <w:rFonts w:eastAsia="黑体"/>
        </w:rPr>
        <w:t>表12.2-1  环境监测计划一览表</w:t>
      </w:r>
    </w:p>
    <w:tbl>
      <w:tblPr>
        <w:tblStyle w:val="88"/>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374"/>
        <w:gridCol w:w="968"/>
        <w:gridCol w:w="2775"/>
        <w:gridCol w:w="2478"/>
        <w:gridCol w:w="1992"/>
        <w:gridCol w:w="76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75" w:hRule="atLeast"/>
          <w:jc w:val="center"/>
        </w:trPr>
        <w:tc>
          <w:tcPr>
            <w:tcW w:w="1342" w:type="dxa"/>
            <w:gridSpan w:val="2"/>
            <w:tcBorders>
              <w:top w:val="single" w:color="000000" w:sz="12" w:space="0"/>
              <w:left w:val="nil"/>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项目</w:t>
            </w:r>
          </w:p>
        </w:tc>
        <w:tc>
          <w:tcPr>
            <w:tcW w:w="2775" w:type="dxa"/>
            <w:tcBorders>
              <w:top w:val="single" w:color="000000" w:sz="12"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监测点</w:t>
            </w:r>
          </w:p>
        </w:tc>
        <w:tc>
          <w:tcPr>
            <w:tcW w:w="2478" w:type="dxa"/>
            <w:tcBorders>
              <w:top w:val="single" w:color="000000" w:sz="12"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监测项目</w:t>
            </w:r>
          </w:p>
        </w:tc>
        <w:tc>
          <w:tcPr>
            <w:tcW w:w="1992" w:type="dxa"/>
            <w:tcBorders>
              <w:top w:val="single" w:color="000000" w:sz="12"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监测频率</w:t>
            </w:r>
          </w:p>
        </w:tc>
        <w:tc>
          <w:tcPr>
            <w:tcW w:w="767" w:type="dxa"/>
            <w:tcBorders>
              <w:top w:val="single" w:color="000000" w:sz="12"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监测方式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65" w:hRule="atLeast"/>
          <w:jc w:val="center"/>
        </w:trPr>
        <w:tc>
          <w:tcPr>
            <w:tcW w:w="374" w:type="dxa"/>
            <w:vMerge w:val="restart"/>
            <w:tcBorders>
              <w:top w:val="single" w:color="000000" w:sz="6" w:space="0"/>
              <w:left w:val="nil"/>
              <w:tl2br w:val="nil"/>
              <w:tr2bl w:val="nil"/>
            </w:tcBorders>
            <w:vAlign w:val="center"/>
          </w:tcPr>
          <w:p>
            <w:pPr>
              <w:widowControl/>
              <w:spacing w:line="240" w:lineRule="auto"/>
              <w:jc w:val="center"/>
              <w:rPr>
                <w:kern w:val="0"/>
                <w:sz w:val="21"/>
                <w:szCs w:val="21"/>
              </w:rPr>
            </w:pPr>
            <w:r>
              <w:rPr>
                <w:kern w:val="0"/>
                <w:sz w:val="21"/>
                <w:szCs w:val="21"/>
              </w:rPr>
              <w:t>废气</w:t>
            </w:r>
          </w:p>
        </w:tc>
        <w:tc>
          <w:tcPr>
            <w:tcW w:w="968" w:type="dxa"/>
            <w:vMerge w:val="restart"/>
            <w:tcBorders>
              <w:top w:val="single" w:color="000000" w:sz="6" w:space="0"/>
              <w:tl2br w:val="nil"/>
              <w:tr2bl w:val="nil"/>
            </w:tcBorders>
            <w:vAlign w:val="center"/>
          </w:tcPr>
          <w:p>
            <w:pPr>
              <w:widowControl/>
              <w:spacing w:line="240" w:lineRule="auto"/>
              <w:jc w:val="center"/>
              <w:rPr>
                <w:kern w:val="0"/>
                <w:sz w:val="21"/>
                <w:szCs w:val="21"/>
              </w:rPr>
            </w:pPr>
            <w:r>
              <w:rPr>
                <w:rFonts w:hint="eastAsia"/>
                <w:kern w:val="0"/>
                <w:sz w:val="21"/>
                <w:szCs w:val="21"/>
              </w:rPr>
              <w:t>无组织排放监测点</w:t>
            </w:r>
          </w:p>
        </w:tc>
        <w:tc>
          <w:tcPr>
            <w:tcW w:w="2775"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厂界上风向</w:t>
            </w:r>
          </w:p>
        </w:tc>
        <w:tc>
          <w:tcPr>
            <w:tcW w:w="2478"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氨、H</w:t>
            </w:r>
            <w:r>
              <w:rPr>
                <w:kern w:val="0"/>
                <w:sz w:val="21"/>
                <w:szCs w:val="21"/>
                <w:vertAlign w:val="subscript"/>
              </w:rPr>
              <w:t>2</w:t>
            </w:r>
            <w:r>
              <w:rPr>
                <w:kern w:val="0"/>
                <w:sz w:val="21"/>
                <w:szCs w:val="21"/>
              </w:rPr>
              <w:t>S、臭气浓度等</w:t>
            </w:r>
          </w:p>
        </w:tc>
        <w:tc>
          <w:tcPr>
            <w:tcW w:w="1992"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每季一次</w:t>
            </w:r>
          </w:p>
        </w:tc>
        <w:tc>
          <w:tcPr>
            <w:tcW w:w="767" w:type="dxa"/>
            <w:tcBorders>
              <w:top w:val="single" w:color="000000" w:sz="6"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65" w:hRule="atLeast"/>
          <w:jc w:val="center"/>
        </w:trPr>
        <w:tc>
          <w:tcPr>
            <w:tcW w:w="374" w:type="dxa"/>
            <w:vMerge w:val="continue"/>
            <w:tcBorders>
              <w:left w:val="nil"/>
              <w:tl2br w:val="nil"/>
              <w:tr2bl w:val="nil"/>
            </w:tcBorders>
            <w:vAlign w:val="center"/>
          </w:tcPr>
          <w:p>
            <w:pPr>
              <w:widowControl/>
              <w:spacing w:line="240" w:lineRule="auto"/>
              <w:jc w:val="center"/>
              <w:rPr>
                <w:kern w:val="0"/>
                <w:sz w:val="21"/>
                <w:szCs w:val="21"/>
              </w:rPr>
            </w:pPr>
          </w:p>
        </w:tc>
        <w:tc>
          <w:tcPr>
            <w:tcW w:w="968" w:type="dxa"/>
            <w:vMerge w:val="continue"/>
            <w:tcBorders>
              <w:tl2br w:val="nil"/>
              <w:tr2bl w:val="nil"/>
            </w:tcBorders>
            <w:vAlign w:val="center"/>
          </w:tcPr>
          <w:p>
            <w:pPr>
              <w:widowControl/>
              <w:spacing w:line="240" w:lineRule="auto"/>
              <w:jc w:val="center"/>
              <w:rPr>
                <w:kern w:val="0"/>
                <w:sz w:val="21"/>
                <w:szCs w:val="21"/>
              </w:rPr>
            </w:pPr>
          </w:p>
        </w:tc>
        <w:tc>
          <w:tcPr>
            <w:tcW w:w="2775"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厂界</w:t>
            </w:r>
            <w:r>
              <w:rPr>
                <w:rFonts w:hint="eastAsia"/>
                <w:kern w:val="0"/>
                <w:sz w:val="21"/>
                <w:szCs w:val="21"/>
              </w:rPr>
              <w:t>下</w:t>
            </w:r>
            <w:r>
              <w:rPr>
                <w:kern w:val="0"/>
                <w:sz w:val="21"/>
                <w:szCs w:val="21"/>
              </w:rPr>
              <w:t>风向</w:t>
            </w:r>
            <w:r>
              <w:rPr>
                <w:rFonts w:hint="eastAsia"/>
                <w:kern w:val="0"/>
                <w:sz w:val="21"/>
                <w:szCs w:val="21"/>
              </w:rPr>
              <w:t>（厂界外1</w:t>
            </w:r>
            <w:r>
              <w:rPr>
                <w:kern w:val="0"/>
                <w:sz w:val="21"/>
                <w:szCs w:val="21"/>
              </w:rPr>
              <w:t>0m</w:t>
            </w:r>
            <w:r>
              <w:rPr>
                <w:rFonts w:hint="eastAsia"/>
                <w:kern w:val="0"/>
                <w:sz w:val="21"/>
                <w:szCs w:val="21"/>
              </w:rPr>
              <w:t>）</w:t>
            </w:r>
          </w:p>
        </w:tc>
        <w:tc>
          <w:tcPr>
            <w:tcW w:w="2478"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氨、H</w:t>
            </w:r>
            <w:r>
              <w:rPr>
                <w:kern w:val="0"/>
                <w:sz w:val="21"/>
                <w:szCs w:val="21"/>
                <w:vertAlign w:val="subscript"/>
              </w:rPr>
              <w:t>2</w:t>
            </w:r>
            <w:r>
              <w:rPr>
                <w:kern w:val="0"/>
                <w:sz w:val="21"/>
                <w:szCs w:val="21"/>
              </w:rPr>
              <w:t>S、臭气浓度等</w:t>
            </w:r>
          </w:p>
        </w:tc>
        <w:tc>
          <w:tcPr>
            <w:tcW w:w="1992"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每季度一次</w:t>
            </w:r>
          </w:p>
          <w:p>
            <w:pPr>
              <w:widowControl/>
              <w:spacing w:line="240" w:lineRule="auto"/>
              <w:ind w:left="42" w:right="-42"/>
              <w:jc w:val="center"/>
              <w:rPr>
                <w:kern w:val="0"/>
                <w:sz w:val="21"/>
                <w:szCs w:val="21"/>
              </w:rPr>
            </w:pPr>
            <w:r>
              <w:rPr>
                <w:rFonts w:hint="eastAsia"/>
                <w:kern w:val="0"/>
                <w:sz w:val="21"/>
                <w:szCs w:val="21"/>
              </w:rPr>
              <w:t>（夏季每月一次）</w:t>
            </w:r>
          </w:p>
        </w:tc>
        <w:tc>
          <w:tcPr>
            <w:tcW w:w="767" w:type="dxa"/>
            <w:tcBorders>
              <w:top w:val="single" w:color="000000" w:sz="6"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65" w:hRule="atLeast"/>
          <w:jc w:val="center"/>
        </w:trPr>
        <w:tc>
          <w:tcPr>
            <w:tcW w:w="374" w:type="dxa"/>
            <w:vMerge w:val="continue"/>
            <w:tcBorders>
              <w:left w:val="nil"/>
              <w:tl2br w:val="nil"/>
              <w:tr2bl w:val="nil"/>
            </w:tcBorders>
            <w:vAlign w:val="center"/>
          </w:tcPr>
          <w:p>
            <w:pPr>
              <w:widowControl/>
              <w:spacing w:line="240" w:lineRule="auto"/>
              <w:jc w:val="center"/>
              <w:rPr>
                <w:kern w:val="0"/>
                <w:sz w:val="21"/>
                <w:szCs w:val="21"/>
              </w:rPr>
            </w:pPr>
          </w:p>
        </w:tc>
        <w:tc>
          <w:tcPr>
            <w:tcW w:w="968" w:type="dxa"/>
            <w:tcBorders>
              <w:top w:val="single" w:color="000000" w:sz="6" w:space="0"/>
              <w:tl2br w:val="nil"/>
              <w:tr2bl w:val="nil"/>
            </w:tcBorders>
            <w:vAlign w:val="center"/>
          </w:tcPr>
          <w:p>
            <w:pPr>
              <w:widowControl/>
              <w:spacing w:line="240" w:lineRule="auto"/>
              <w:jc w:val="center"/>
              <w:rPr>
                <w:kern w:val="0"/>
                <w:sz w:val="21"/>
                <w:szCs w:val="21"/>
              </w:rPr>
            </w:pPr>
            <w:r>
              <w:rPr>
                <w:rFonts w:hint="eastAsia"/>
                <w:kern w:val="0"/>
                <w:sz w:val="21"/>
                <w:szCs w:val="21"/>
              </w:rPr>
              <w:t>敏感点</w:t>
            </w:r>
          </w:p>
        </w:tc>
        <w:tc>
          <w:tcPr>
            <w:tcW w:w="2775"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rFonts w:hint="eastAsia"/>
                <w:kern w:val="0"/>
                <w:sz w:val="21"/>
                <w:szCs w:val="21"/>
              </w:rPr>
              <w:t>车间西侧星星亮村农户</w:t>
            </w:r>
          </w:p>
        </w:tc>
        <w:tc>
          <w:tcPr>
            <w:tcW w:w="2478"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氨、H</w:t>
            </w:r>
            <w:r>
              <w:rPr>
                <w:kern w:val="0"/>
                <w:sz w:val="21"/>
                <w:szCs w:val="21"/>
                <w:vertAlign w:val="subscript"/>
              </w:rPr>
              <w:t>2</w:t>
            </w:r>
            <w:r>
              <w:rPr>
                <w:kern w:val="0"/>
                <w:sz w:val="21"/>
                <w:szCs w:val="21"/>
              </w:rPr>
              <w:t>S、臭气浓度等</w:t>
            </w:r>
          </w:p>
        </w:tc>
        <w:tc>
          <w:tcPr>
            <w:tcW w:w="1992"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每季度一次</w:t>
            </w:r>
          </w:p>
          <w:p>
            <w:pPr>
              <w:widowControl/>
              <w:spacing w:line="240" w:lineRule="auto"/>
              <w:ind w:left="42" w:right="-42"/>
              <w:jc w:val="center"/>
              <w:rPr>
                <w:kern w:val="0"/>
                <w:sz w:val="21"/>
                <w:szCs w:val="21"/>
              </w:rPr>
            </w:pPr>
            <w:r>
              <w:rPr>
                <w:rFonts w:hint="eastAsia"/>
                <w:kern w:val="0"/>
                <w:sz w:val="21"/>
                <w:szCs w:val="21"/>
              </w:rPr>
              <w:t>（夏季每月一次）</w:t>
            </w:r>
          </w:p>
        </w:tc>
        <w:tc>
          <w:tcPr>
            <w:tcW w:w="767" w:type="dxa"/>
            <w:tcBorders>
              <w:top w:val="single" w:color="000000" w:sz="6"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65" w:hRule="atLeast"/>
          <w:jc w:val="center"/>
        </w:trPr>
        <w:tc>
          <w:tcPr>
            <w:tcW w:w="374" w:type="dxa"/>
            <w:vMerge w:val="continue"/>
            <w:tcBorders>
              <w:left w:val="nil"/>
              <w:tl2br w:val="nil"/>
              <w:tr2bl w:val="nil"/>
            </w:tcBorders>
            <w:vAlign w:val="center"/>
          </w:tcPr>
          <w:p>
            <w:pPr>
              <w:widowControl/>
              <w:spacing w:line="240" w:lineRule="auto"/>
              <w:jc w:val="center"/>
              <w:rPr>
                <w:kern w:val="0"/>
                <w:sz w:val="21"/>
                <w:szCs w:val="21"/>
              </w:rPr>
            </w:pPr>
          </w:p>
        </w:tc>
        <w:tc>
          <w:tcPr>
            <w:tcW w:w="968" w:type="dxa"/>
            <w:tcBorders>
              <w:top w:val="single" w:color="000000" w:sz="6" w:space="0"/>
              <w:bottom w:val="single" w:color="000000" w:sz="6" w:space="0"/>
              <w:tl2br w:val="nil"/>
              <w:tr2bl w:val="nil"/>
            </w:tcBorders>
            <w:vAlign w:val="center"/>
          </w:tcPr>
          <w:p>
            <w:pPr>
              <w:widowControl/>
              <w:spacing w:line="240" w:lineRule="auto"/>
              <w:jc w:val="center"/>
              <w:rPr>
                <w:kern w:val="0"/>
                <w:sz w:val="21"/>
                <w:szCs w:val="21"/>
              </w:rPr>
            </w:pPr>
            <w:r>
              <w:rPr>
                <w:rFonts w:hint="eastAsia"/>
                <w:kern w:val="0"/>
                <w:sz w:val="21"/>
                <w:szCs w:val="21"/>
              </w:rPr>
              <w:t>无组织排放</w:t>
            </w:r>
          </w:p>
        </w:tc>
        <w:tc>
          <w:tcPr>
            <w:tcW w:w="2775"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rFonts w:hint="eastAsia"/>
                <w:kern w:val="0"/>
                <w:sz w:val="21"/>
                <w:szCs w:val="21"/>
              </w:rPr>
              <w:t>东厂界、北</w:t>
            </w:r>
            <w:r>
              <w:rPr>
                <w:kern w:val="0"/>
                <w:sz w:val="21"/>
                <w:szCs w:val="21"/>
              </w:rPr>
              <w:t>厂界</w:t>
            </w:r>
            <w:r>
              <w:rPr>
                <w:rFonts w:hint="eastAsia"/>
                <w:kern w:val="0"/>
                <w:sz w:val="21"/>
                <w:szCs w:val="21"/>
              </w:rPr>
              <w:t>、</w:t>
            </w:r>
            <w:r>
              <w:rPr>
                <w:kern w:val="0"/>
                <w:sz w:val="21"/>
                <w:szCs w:val="21"/>
              </w:rPr>
              <w:t>南厂界</w:t>
            </w:r>
            <w:r>
              <w:rPr>
                <w:rFonts w:hint="eastAsia"/>
                <w:kern w:val="0"/>
                <w:sz w:val="21"/>
                <w:szCs w:val="21"/>
              </w:rPr>
              <w:t>、</w:t>
            </w:r>
            <w:r>
              <w:rPr>
                <w:kern w:val="0"/>
                <w:sz w:val="21"/>
                <w:szCs w:val="21"/>
              </w:rPr>
              <w:t>西厂界外100m</w:t>
            </w:r>
            <w:r>
              <w:rPr>
                <w:rFonts w:hint="eastAsia"/>
                <w:kern w:val="0"/>
                <w:sz w:val="21"/>
                <w:szCs w:val="21"/>
              </w:rPr>
              <w:t>处（卫生防护距离包络线处）</w:t>
            </w:r>
          </w:p>
        </w:tc>
        <w:tc>
          <w:tcPr>
            <w:tcW w:w="2478"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氨、H</w:t>
            </w:r>
            <w:r>
              <w:rPr>
                <w:kern w:val="0"/>
                <w:sz w:val="21"/>
                <w:szCs w:val="21"/>
                <w:vertAlign w:val="subscript"/>
              </w:rPr>
              <w:t>2</w:t>
            </w:r>
            <w:r>
              <w:rPr>
                <w:kern w:val="0"/>
                <w:sz w:val="21"/>
                <w:szCs w:val="21"/>
              </w:rPr>
              <w:t>S、臭气浓度等</w:t>
            </w:r>
          </w:p>
        </w:tc>
        <w:tc>
          <w:tcPr>
            <w:tcW w:w="1992"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每季一次</w:t>
            </w:r>
          </w:p>
        </w:tc>
        <w:tc>
          <w:tcPr>
            <w:tcW w:w="767" w:type="dxa"/>
            <w:tcBorders>
              <w:top w:val="single" w:color="000000" w:sz="6"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65" w:hRule="atLeast"/>
          <w:jc w:val="center"/>
        </w:trPr>
        <w:tc>
          <w:tcPr>
            <w:tcW w:w="1342" w:type="dxa"/>
            <w:gridSpan w:val="2"/>
            <w:tcBorders>
              <w:top w:val="single" w:color="000000" w:sz="6" w:space="0"/>
              <w:left w:val="nil"/>
              <w:bottom w:val="single" w:color="000000" w:sz="6" w:space="0"/>
              <w:tl2br w:val="nil"/>
              <w:tr2bl w:val="nil"/>
            </w:tcBorders>
            <w:vAlign w:val="center"/>
          </w:tcPr>
          <w:p>
            <w:pPr>
              <w:widowControl/>
              <w:spacing w:line="240" w:lineRule="auto"/>
              <w:jc w:val="center"/>
              <w:rPr>
                <w:kern w:val="0"/>
                <w:sz w:val="21"/>
                <w:szCs w:val="21"/>
              </w:rPr>
            </w:pPr>
            <w:r>
              <w:rPr>
                <w:rFonts w:hint="eastAsia"/>
                <w:kern w:val="0"/>
                <w:sz w:val="21"/>
                <w:szCs w:val="21"/>
              </w:rPr>
              <w:t>噪声</w:t>
            </w:r>
          </w:p>
        </w:tc>
        <w:tc>
          <w:tcPr>
            <w:tcW w:w="2775"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厂界噪声</w:t>
            </w:r>
          </w:p>
        </w:tc>
        <w:tc>
          <w:tcPr>
            <w:tcW w:w="2478"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连续等效</w:t>
            </w:r>
            <w:r>
              <w:rPr>
                <w:rFonts w:hint="eastAsia"/>
                <w:kern w:val="0"/>
                <w:sz w:val="21"/>
                <w:szCs w:val="21"/>
              </w:rPr>
              <w:t>A声级</w:t>
            </w:r>
          </w:p>
        </w:tc>
        <w:tc>
          <w:tcPr>
            <w:tcW w:w="1992" w:type="dxa"/>
            <w:tcBorders>
              <w:top w:val="single" w:color="000000" w:sz="6" w:space="0"/>
              <w:bottom w:val="single" w:color="000000" w:sz="6" w:space="0"/>
              <w:tl2br w:val="nil"/>
              <w:tr2bl w:val="nil"/>
            </w:tcBorders>
            <w:vAlign w:val="center"/>
          </w:tcPr>
          <w:p>
            <w:pPr>
              <w:widowControl/>
              <w:spacing w:line="240" w:lineRule="auto"/>
              <w:ind w:left="42" w:right="-42"/>
              <w:jc w:val="center"/>
              <w:rPr>
                <w:kern w:val="0"/>
                <w:sz w:val="21"/>
                <w:szCs w:val="21"/>
              </w:rPr>
            </w:pPr>
            <w:r>
              <w:rPr>
                <w:kern w:val="0"/>
                <w:sz w:val="21"/>
                <w:szCs w:val="21"/>
              </w:rPr>
              <w:t>每季一次</w:t>
            </w:r>
          </w:p>
        </w:tc>
        <w:tc>
          <w:tcPr>
            <w:tcW w:w="767" w:type="dxa"/>
            <w:tcBorders>
              <w:top w:val="single" w:color="000000" w:sz="6" w:space="0"/>
              <w:bottom w:val="single" w:color="000000" w:sz="6"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1342" w:type="dxa"/>
            <w:gridSpan w:val="2"/>
            <w:tcBorders>
              <w:top w:val="single" w:color="000000" w:sz="6" w:space="0"/>
              <w:left w:val="nil"/>
              <w:bottom w:val="single" w:color="000000" w:sz="12" w:space="0"/>
              <w:tl2br w:val="nil"/>
              <w:tr2bl w:val="nil"/>
            </w:tcBorders>
            <w:vAlign w:val="center"/>
          </w:tcPr>
          <w:p>
            <w:pPr>
              <w:widowControl/>
              <w:spacing w:line="240" w:lineRule="auto"/>
              <w:ind w:left="42" w:right="-42"/>
              <w:jc w:val="center"/>
              <w:rPr>
                <w:kern w:val="0"/>
                <w:sz w:val="21"/>
                <w:szCs w:val="21"/>
              </w:rPr>
            </w:pPr>
            <w:r>
              <w:rPr>
                <w:rFonts w:hint="eastAsia"/>
                <w:kern w:val="0"/>
                <w:sz w:val="21"/>
                <w:szCs w:val="21"/>
              </w:rPr>
              <w:t>地下水</w:t>
            </w:r>
          </w:p>
        </w:tc>
        <w:tc>
          <w:tcPr>
            <w:tcW w:w="2775" w:type="dxa"/>
            <w:tcBorders>
              <w:top w:val="single" w:color="000000" w:sz="6" w:space="0"/>
              <w:bottom w:val="single" w:color="000000" w:sz="12" w:space="0"/>
              <w:tl2br w:val="nil"/>
              <w:tr2bl w:val="nil"/>
            </w:tcBorders>
            <w:vAlign w:val="center"/>
          </w:tcPr>
          <w:p>
            <w:pPr>
              <w:widowControl/>
              <w:spacing w:line="240" w:lineRule="auto"/>
              <w:ind w:left="42" w:right="-42"/>
              <w:jc w:val="center"/>
              <w:rPr>
                <w:kern w:val="0"/>
                <w:sz w:val="21"/>
                <w:szCs w:val="21"/>
              </w:rPr>
            </w:pPr>
            <w:r>
              <w:rPr>
                <w:rFonts w:hint="eastAsia"/>
                <w:kern w:val="0"/>
                <w:sz w:val="21"/>
                <w:szCs w:val="21"/>
              </w:rPr>
              <w:t>地下水监测井</w:t>
            </w:r>
          </w:p>
        </w:tc>
        <w:tc>
          <w:tcPr>
            <w:tcW w:w="2478" w:type="dxa"/>
            <w:tcBorders>
              <w:top w:val="single" w:color="000000" w:sz="6" w:space="0"/>
              <w:bottom w:val="single" w:color="000000" w:sz="12" w:space="0"/>
              <w:tl2br w:val="nil"/>
              <w:tr2bl w:val="nil"/>
            </w:tcBorders>
            <w:vAlign w:val="center"/>
          </w:tcPr>
          <w:p>
            <w:pPr>
              <w:widowControl/>
              <w:spacing w:line="240" w:lineRule="auto"/>
              <w:ind w:left="42" w:right="-42"/>
              <w:jc w:val="center"/>
              <w:rPr>
                <w:kern w:val="0"/>
                <w:sz w:val="21"/>
                <w:szCs w:val="21"/>
              </w:rPr>
            </w:pPr>
            <w:r>
              <w:rPr>
                <w:bCs/>
                <w:kern w:val="0"/>
                <w:sz w:val="21"/>
                <w:szCs w:val="21"/>
              </w:rPr>
              <w:t>pH、氨氮、</w:t>
            </w:r>
            <w:r>
              <w:rPr>
                <w:rFonts w:hint="eastAsia"/>
                <w:bCs/>
                <w:kern w:val="0"/>
                <w:sz w:val="21"/>
                <w:szCs w:val="21"/>
              </w:rPr>
              <w:t>耗氧量</w:t>
            </w:r>
            <w:r>
              <w:rPr>
                <w:bCs/>
                <w:kern w:val="0"/>
                <w:sz w:val="21"/>
                <w:szCs w:val="21"/>
              </w:rPr>
              <w:t>、总硬度</w:t>
            </w:r>
            <w:r>
              <w:rPr>
                <w:rFonts w:hint="eastAsia"/>
                <w:kern w:val="0"/>
                <w:sz w:val="21"/>
                <w:szCs w:val="21"/>
              </w:rPr>
              <w:t>（以CaCO</w:t>
            </w:r>
            <w:r>
              <w:rPr>
                <w:rFonts w:hint="eastAsia"/>
                <w:kern w:val="0"/>
                <w:sz w:val="21"/>
                <w:szCs w:val="21"/>
                <w:vertAlign w:val="subscript"/>
              </w:rPr>
              <w:t>3</w:t>
            </w:r>
            <w:r>
              <w:rPr>
                <w:rFonts w:hint="eastAsia"/>
                <w:kern w:val="0"/>
                <w:sz w:val="21"/>
                <w:szCs w:val="21"/>
              </w:rPr>
              <w:t>计）</w:t>
            </w:r>
            <w:r>
              <w:rPr>
                <w:bCs/>
                <w:kern w:val="0"/>
                <w:sz w:val="21"/>
                <w:szCs w:val="21"/>
              </w:rPr>
              <w:t>、总大肠菌群、氯化物</w:t>
            </w:r>
          </w:p>
        </w:tc>
        <w:tc>
          <w:tcPr>
            <w:tcW w:w="1992" w:type="dxa"/>
            <w:tcBorders>
              <w:top w:val="single" w:color="000000" w:sz="6" w:space="0"/>
              <w:bottom w:val="single" w:color="000000" w:sz="12" w:space="0"/>
              <w:tl2br w:val="nil"/>
              <w:tr2bl w:val="nil"/>
            </w:tcBorders>
            <w:vAlign w:val="center"/>
          </w:tcPr>
          <w:p>
            <w:pPr>
              <w:widowControl/>
              <w:spacing w:line="240" w:lineRule="auto"/>
              <w:ind w:left="42" w:right="-42"/>
              <w:jc w:val="center"/>
              <w:rPr>
                <w:kern w:val="0"/>
                <w:sz w:val="21"/>
                <w:szCs w:val="21"/>
              </w:rPr>
            </w:pPr>
            <w:r>
              <w:rPr>
                <w:kern w:val="0"/>
                <w:sz w:val="21"/>
                <w:szCs w:val="21"/>
              </w:rPr>
              <w:t>每季一次</w:t>
            </w:r>
          </w:p>
        </w:tc>
        <w:tc>
          <w:tcPr>
            <w:tcW w:w="767" w:type="dxa"/>
            <w:tcBorders>
              <w:top w:val="single" w:color="000000" w:sz="6" w:space="0"/>
              <w:bottom w:val="single" w:color="000000" w:sz="12" w:space="0"/>
              <w:right w:val="nil"/>
              <w:tl2br w:val="nil"/>
              <w:tr2bl w:val="nil"/>
            </w:tcBorders>
            <w:vAlign w:val="center"/>
          </w:tcPr>
          <w:p>
            <w:pPr>
              <w:widowControl/>
              <w:spacing w:line="240" w:lineRule="auto"/>
              <w:ind w:left="42" w:right="-42"/>
              <w:jc w:val="center"/>
              <w:rPr>
                <w:kern w:val="0"/>
                <w:sz w:val="21"/>
                <w:szCs w:val="21"/>
              </w:rPr>
            </w:pPr>
            <w:r>
              <w:rPr>
                <w:kern w:val="0"/>
                <w:sz w:val="21"/>
                <w:szCs w:val="21"/>
              </w:rPr>
              <w:t>外协</w:t>
            </w:r>
          </w:p>
        </w:tc>
      </w:tr>
    </w:tbl>
    <w:p>
      <w:pPr>
        <w:pStyle w:val="347"/>
        <w:keepNext/>
        <w:keepLines/>
        <w:pageBreakBefore/>
        <w:widowControl w:val="0"/>
        <w:numPr>
          <w:ilvl w:val="0"/>
          <w:numId w:val="1"/>
        </w:numPr>
        <w:tabs>
          <w:tab w:val="left" w:pos="0"/>
        </w:tabs>
        <w:spacing w:before="120" w:after="60" w:line="360" w:lineRule="auto"/>
        <w:ind w:left="648" w:hanging="648" w:hangingChars="180"/>
        <w:textAlignment w:val="baseline"/>
        <w:rPr>
          <w:rFonts w:ascii="Times New Roman" w:hAnsi="Times New Roman" w:eastAsia="黑体" w:cs="Times New Roman"/>
          <w:b w:val="0"/>
          <w:bCs/>
          <w:kern w:val="44"/>
          <w:sz w:val="36"/>
        </w:rPr>
      </w:pPr>
      <w:bookmarkStart w:id="877" w:name="_Toc29110632"/>
      <w:bookmarkStart w:id="878" w:name="_Toc423336850"/>
      <w:bookmarkStart w:id="879" w:name="_Toc76139527"/>
      <w:bookmarkStart w:id="880" w:name="_Toc457481094"/>
      <w:r>
        <w:rPr>
          <w:rFonts w:ascii="Times New Roman" w:hAnsi="Times New Roman" w:eastAsia="黑体" w:cs="Times New Roman"/>
          <w:b w:val="0"/>
          <w:bCs/>
          <w:kern w:val="44"/>
          <w:sz w:val="36"/>
        </w:rPr>
        <w:t>环境影响评价结论及建议</w:t>
      </w:r>
      <w:bookmarkEnd w:id="877"/>
      <w:bookmarkEnd w:id="878"/>
      <w:bookmarkEnd w:id="879"/>
      <w:bookmarkEnd w:id="880"/>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81" w:name="_Toc76139528"/>
      <w:bookmarkStart w:id="882" w:name="_Toc423336851"/>
      <w:bookmarkStart w:id="883" w:name="_Toc457481095"/>
      <w:bookmarkStart w:id="884" w:name="_Toc7363238"/>
      <w:bookmarkStart w:id="885" w:name="_Toc29110633"/>
      <w:bookmarkStart w:id="886" w:name="_Toc423336853"/>
      <w:bookmarkStart w:id="887" w:name="_Toc457481097"/>
      <w:r>
        <w:rPr>
          <w:rFonts w:hint="eastAsia" w:ascii="Times New Roman" w:hAnsi="Times New Roman" w:eastAsia="黑体" w:cs="Times New Roman"/>
          <w:b w:val="0"/>
          <w:bCs/>
          <w:spacing w:val="4"/>
          <w:kern w:val="2"/>
          <w:sz w:val="32"/>
          <w:szCs w:val="32"/>
        </w:rPr>
        <w:t>1</w:t>
      </w:r>
      <w:r>
        <w:rPr>
          <w:rFonts w:ascii="Times New Roman" w:hAnsi="Times New Roman" w:eastAsia="黑体" w:cs="Times New Roman"/>
          <w:b w:val="0"/>
          <w:bCs/>
          <w:spacing w:val="4"/>
          <w:kern w:val="2"/>
          <w:sz w:val="32"/>
          <w:szCs w:val="32"/>
        </w:rPr>
        <w:t>3</w:t>
      </w:r>
      <w:r>
        <w:rPr>
          <w:rFonts w:hint="eastAsia" w:ascii="Times New Roman" w:hAnsi="Times New Roman" w:eastAsia="黑体" w:cs="Times New Roman"/>
          <w:b w:val="0"/>
          <w:bCs/>
          <w:spacing w:val="4"/>
          <w:kern w:val="2"/>
          <w:sz w:val="32"/>
          <w:szCs w:val="32"/>
        </w:rPr>
        <w:t xml:space="preserve">.1 </w:t>
      </w:r>
      <w:r>
        <w:rPr>
          <w:rFonts w:ascii="Times New Roman" w:hAnsi="Times New Roman" w:eastAsia="黑体" w:cs="Times New Roman"/>
          <w:b w:val="0"/>
          <w:bCs/>
          <w:spacing w:val="4"/>
          <w:kern w:val="2"/>
          <w:sz w:val="32"/>
          <w:szCs w:val="32"/>
        </w:rPr>
        <w:t>环境影响评价结论</w:t>
      </w:r>
      <w:bookmarkEnd w:id="881"/>
      <w:bookmarkEnd w:id="882"/>
      <w:bookmarkEnd w:id="883"/>
      <w:bookmarkEnd w:id="884"/>
      <w:bookmarkEnd w:id="885"/>
    </w:p>
    <w:p>
      <w:pPr>
        <w:spacing w:before="120" w:after="60"/>
        <w:jc w:val="left"/>
        <w:outlineLvl w:val="2"/>
        <w:rPr>
          <w:rFonts w:eastAsia="黑体"/>
          <w:bCs/>
          <w:sz w:val="28"/>
          <w:szCs w:val="28"/>
        </w:rPr>
      </w:pPr>
      <w:bookmarkStart w:id="888" w:name="_Toc457481096"/>
      <w:bookmarkStart w:id="889" w:name="_Toc423336852"/>
      <w:r>
        <w:rPr>
          <w:rFonts w:hint="eastAsia" w:eastAsia="黑体"/>
          <w:bCs/>
          <w:sz w:val="28"/>
          <w:szCs w:val="28"/>
        </w:rPr>
        <w:t>1</w:t>
      </w:r>
      <w:r>
        <w:rPr>
          <w:rFonts w:eastAsia="黑体"/>
          <w:bCs/>
          <w:sz w:val="28"/>
          <w:szCs w:val="28"/>
        </w:rPr>
        <w:t>3</w:t>
      </w:r>
      <w:r>
        <w:rPr>
          <w:rFonts w:hint="eastAsia" w:eastAsia="黑体"/>
          <w:bCs/>
          <w:sz w:val="28"/>
          <w:szCs w:val="28"/>
        </w:rPr>
        <w:t xml:space="preserve">.1.1 </w:t>
      </w:r>
      <w:r>
        <w:rPr>
          <w:rFonts w:eastAsia="黑体"/>
          <w:bCs/>
          <w:sz w:val="28"/>
          <w:szCs w:val="28"/>
        </w:rPr>
        <w:t>产业政策符合性</w:t>
      </w:r>
      <w:bookmarkEnd w:id="888"/>
      <w:bookmarkEnd w:id="889"/>
    </w:p>
    <w:p>
      <w:pPr>
        <w:pStyle w:val="320"/>
        <w:snapToGrid w:val="0"/>
        <w:spacing w:before="0" w:line="360" w:lineRule="auto"/>
        <w:ind w:firstLine="480"/>
        <w:rPr>
          <w:rFonts w:ascii="Times New Roman" w:hAnsi="Times New Roman"/>
        </w:rPr>
      </w:pPr>
      <w:r>
        <w:rPr>
          <w:rFonts w:ascii="Times New Roman" w:hAnsi="Times New Roman"/>
        </w:rPr>
        <w:t>根据《国民经济行业分类》(GB/T 4754-201</w:t>
      </w:r>
      <w:r>
        <w:rPr>
          <w:rFonts w:hint="eastAsia" w:ascii="Times New Roman" w:hAnsi="Times New Roman"/>
        </w:rPr>
        <w:t>7</w:t>
      </w:r>
      <w:r>
        <w:rPr>
          <w:rFonts w:ascii="Times New Roman" w:hAnsi="Times New Roman"/>
        </w:rPr>
        <w:t>）关于国民经济行业的分类，项目属于“</w:t>
      </w:r>
      <w:r>
        <w:rPr>
          <w:rFonts w:hint="eastAsia" w:ascii="Times New Roman" w:hAnsi="Times New Roman"/>
        </w:rPr>
        <w:t>猪的饲养</w:t>
      </w:r>
      <w:r>
        <w:rPr>
          <w:rFonts w:ascii="Times New Roman" w:hAnsi="Times New Roman"/>
        </w:rPr>
        <w:t>（A0313）”，</w:t>
      </w:r>
      <w:r>
        <w:rPr>
          <w:rFonts w:hint="eastAsia" w:ascii="Times New Roman" w:hAnsi="Times New Roman"/>
        </w:rPr>
        <w:t>项目年存栏种猪3</w:t>
      </w:r>
      <w:r>
        <w:rPr>
          <w:rFonts w:ascii="Times New Roman" w:hAnsi="Times New Roman"/>
        </w:rPr>
        <w:t>600</w:t>
      </w:r>
      <w:r>
        <w:rPr>
          <w:rFonts w:hint="eastAsia" w:ascii="Times New Roman" w:hAnsi="Times New Roman"/>
        </w:rPr>
        <w:t>头，</w:t>
      </w:r>
      <w:r>
        <w:rPr>
          <w:rFonts w:ascii="Times New Roman" w:hAnsi="Times New Roman"/>
        </w:rPr>
        <w:t>对照中华人民共和国发展和改革委员会第</w:t>
      </w:r>
      <w:r>
        <w:rPr>
          <w:rFonts w:hint="eastAsia" w:ascii="Times New Roman" w:hAnsi="Times New Roman"/>
        </w:rPr>
        <w:t>2</w:t>
      </w:r>
      <w:r>
        <w:rPr>
          <w:rFonts w:ascii="Times New Roman" w:hAnsi="Times New Roman"/>
        </w:rPr>
        <w:t>9号令发布的《产业结构调整指导目录(2019年本）》中相关规定，本项目不属于规定的鼓励类、限制类和淘汰类。同时，依据国务院关于发布实施《促进产业结构调整暂行规定》的决定（国发[2005]40号），</w:t>
      </w:r>
      <w:r>
        <w:rPr>
          <w:rFonts w:hint="eastAsia" w:ascii="Times New Roman" w:hAnsi="Times New Roman"/>
        </w:rPr>
        <w:t>“</w:t>
      </w:r>
      <w:r>
        <w:rPr>
          <w:rFonts w:ascii="Times New Roman" w:hAnsi="Times New Roman"/>
        </w:rPr>
        <w:t>第十三条《产业结构调整指导目录》由鼓励、限制和淘汰三类目录组成。不属于鼓励类、限制类和淘汰类，且符合国家有关法律、法规和政策规定的，为允许类。允许类不列入《产业结构调整指导目录》</w:t>
      </w:r>
      <w:r>
        <w:rPr>
          <w:rFonts w:hint="eastAsia" w:ascii="Times New Roman" w:hAnsi="Times New Roman"/>
        </w:rPr>
        <w:t>”</w:t>
      </w:r>
      <w:r>
        <w:rPr>
          <w:rFonts w:ascii="Times New Roman" w:hAnsi="Times New Roman"/>
        </w:rPr>
        <w:t xml:space="preserve">。因此，本项目为允许类，项目的建设符合国家产业政策。 </w:t>
      </w:r>
    </w:p>
    <w:p>
      <w:pPr>
        <w:pStyle w:val="320"/>
        <w:snapToGrid w:val="0"/>
        <w:spacing w:before="0" w:line="360" w:lineRule="auto"/>
        <w:ind w:firstLine="480"/>
        <w:rPr>
          <w:rFonts w:ascii="Times New Roman" w:hAnsi="Times New Roman"/>
        </w:rPr>
      </w:pPr>
      <w:r>
        <w:rPr>
          <w:rFonts w:ascii="Times New Roman" w:hAnsi="Times New Roman"/>
        </w:rPr>
        <w:t>目前项目经</w:t>
      </w:r>
      <w:r>
        <w:rPr>
          <w:rFonts w:hint="eastAsia" w:ascii="Times New Roman" w:hAnsi="Times New Roman"/>
        </w:rPr>
        <w:t>乐山市发展和改革局</w:t>
      </w:r>
      <w:r>
        <w:rPr>
          <w:rFonts w:ascii="Times New Roman" w:hAnsi="Times New Roman"/>
        </w:rPr>
        <w:t>同意备案</w:t>
      </w:r>
      <w:r>
        <w:rPr>
          <w:rFonts w:hint="eastAsia" w:ascii="Times New Roman" w:hAnsi="Times New Roman"/>
        </w:rPr>
        <w:t>（川投资备</w:t>
      </w:r>
      <w:r>
        <w:rPr>
          <w:rFonts w:ascii="Times New Roman" w:hAnsi="Times New Roman"/>
        </w:rPr>
        <w:t>[</w:t>
      </w:r>
      <w:r>
        <w:rPr>
          <w:rFonts w:hint="eastAsia" w:ascii="Times New Roman" w:hAnsi="Times New Roman"/>
        </w:rPr>
        <w:t>201</w:t>
      </w:r>
      <w:r>
        <w:rPr>
          <w:rFonts w:ascii="Times New Roman" w:hAnsi="Times New Roman"/>
        </w:rPr>
        <w:t>9</w:t>
      </w:r>
      <w:r>
        <w:rPr>
          <w:rFonts w:hint="eastAsia" w:ascii="Times New Roman" w:hAnsi="Times New Roman"/>
        </w:rPr>
        <w:t>-5</w:t>
      </w:r>
      <w:r>
        <w:rPr>
          <w:rFonts w:ascii="Times New Roman" w:hAnsi="Times New Roman"/>
        </w:rPr>
        <w:t>11124</w:t>
      </w:r>
      <w:r>
        <w:rPr>
          <w:rFonts w:hint="eastAsia" w:ascii="Times New Roman" w:hAnsi="Times New Roman"/>
        </w:rPr>
        <w:t>-</w:t>
      </w:r>
      <w:r>
        <w:rPr>
          <w:rFonts w:ascii="Times New Roman" w:hAnsi="Times New Roman"/>
        </w:rPr>
        <w:t>03</w:t>
      </w:r>
      <w:r>
        <w:rPr>
          <w:rFonts w:hint="eastAsia" w:ascii="Times New Roman" w:hAnsi="Times New Roman"/>
        </w:rPr>
        <w:t>-03-</w:t>
      </w:r>
      <w:r>
        <w:rPr>
          <w:rFonts w:ascii="Times New Roman" w:hAnsi="Times New Roman"/>
        </w:rPr>
        <w:t>362212</w:t>
      </w:r>
      <w:r>
        <w:rPr>
          <w:rFonts w:hint="eastAsia" w:ascii="Times New Roman" w:hAnsi="Times New Roman"/>
        </w:rPr>
        <w:t>]FGQB-00</w:t>
      </w:r>
      <w:r>
        <w:rPr>
          <w:rFonts w:ascii="Times New Roman" w:hAnsi="Times New Roman"/>
        </w:rPr>
        <w:t>50</w:t>
      </w:r>
      <w:r>
        <w:rPr>
          <w:rFonts w:hint="eastAsia" w:ascii="Times New Roman" w:hAnsi="Times New Roman"/>
        </w:rPr>
        <w:t>号）</w:t>
      </w:r>
      <w:r>
        <w:rPr>
          <w:rFonts w:ascii="Times New Roman" w:hAnsi="Times New Roman"/>
        </w:rPr>
        <w:t>。</w:t>
      </w:r>
    </w:p>
    <w:p>
      <w:pPr>
        <w:pStyle w:val="320"/>
        <w:snapToGrid w:val="0"/>
        <w:spacing w:before="0" w:line="360" w:lineRule="auto"/>
        <w:ind w:firstLine="480"/>
        <w:rPr>
          <w:rFonts w:ascii="Times New Roman" w:hAnsi="Times New Roman"/>
        </w:rPr>
      </w:pPr>
      <w:r>
        <w:rPr>
          <w:rFonts w:ascii="Times New Roman" w:hAnsi="Times New Roman"/>
        </w:rPr>
        <w:t>因此，本项目符合国家现行产业政策。</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3</w:t>
      </w:r>
      <w:r>
        <w:rPr>
          <w:rFonts w:hint="eastAsia" w:eastAsia="黑体"/>
          <w:bCs/>
          <w:sz w:val="28"/>
          <w:szCs w:val="28"/>
        </w:rPr>
        <w:t xml:space="preserve">.1.2 </w:t>
      </w:r>
      <w:r>
        <w:rPr>
          <w:rFonts w:eastAsia="黑体"/>
          <w:bCs/>
          <w:sz w:val="28"/>
          <w:szCs w:val="28"/>
        </w:rPr>
        <w:t>规划符合性</w:t>
      </w:r>
    </w:p>
    <w:p>
      <w:pPr>
        <w:pStyle w:val="970"/>
        <w:ind w:firstLine="480" w:firstLineChars="200"/>
        <w:rPr>
          <w:color w:val="FF0000"/>
        </w:rPr>
      </w:pPr>
      <w:r>
        <w:rPr>
          <w:rFonts w:hint="eastAsia"/>
        </w:rPr>
        <w:t>（1）与《四川畜牧业发展“十三五”规划》的符合性分析</w:t>
      </w:r>
    </w:p>
    <w:p>
      <w:pPr>
        <w:pStyle w:val="320"/>
        <w:snapToGrid w:val="0"/>
        <w:spacing w:before="0" w:line="360" w:lineRule="auto"/>
        <w:ind w:firstLine="480"/>
        <w:rPr>
          <w:rFonts w:ascii="Times New Roman" w:hAnsi="Times New Roman"/>
        </w:rPr>
      </w:pPr>
      <w:r>
        <w:rPr>
          <w:rFonts w:hint="eastAsia" w:ascii="Times New Roman" w:hAnsi="Times New Roman"/>
        </w:rPr>
        <w:t>乐山正邦</w:t>
      </w:r>
      <w:r>
        <w:rPr>
          <w:rFonts w:ascii="Times New Roman" w:hAnsi="Times New Roman"/>
        </w:rPr>
        <w:t>养殖有限公司拟投资11064万元，在</w:t>
      </w:r>
      <w:r>
        <w:rPr>
          <w:rFonts w:hint="eastAsia" w:ascii="Times New Roman" w:hAnsi="Times New Roman"/>
        </w:rPr>
        <w:t>乐山市</w:t>
      </w:r>
      <w:r>
        <w:rPr>
          <w:rFonts w:ascii="Times New Roman" w:hAnsi="Times New Roman"/>
        </w:rPr>
        <w:t>井研县高凤乡星星亮村建设“</w:t>
      </w:r>
      <w:r>
        <w:rPr>
          <w:rFonts w:hint="eastAsia" w:ascii="Times New Roman" w:hAnsi="Times New Roman"/>
        </w:rPr>
        <w:t>井研县高凤循环农业生态园</w:t>
      </w:r>
      <w:r>
        <w:rPr>
          <w:rFonts w:ascii="Times New Roman" w:hAnsi="Times New Roman"/>
        </w:rPr>
        <w:t>生猪标准化</w:t>
      </w:r>
      <w:r>
        <w:rPr>
          <w:rFonts w:hint="eastAsia" w:ascii="Times New Roman" w:hAnsi="Times New Roman"/>
        </w:rPr>
        <w:t>生态养殖</w:t>
      </w:r>
      <w:r>
        <w:rPr>
          <w:rFonts w:ascii="Times New Roman" w:hAnsi="Times New Roman"/>
        </w:rPr>
        <w:t>园区建设项目”。项目</w:t>
      </w:r>
      <w:r>
        <w:rPr>
          <w:rFonts w:hint="eastAsia" w:ascii="Times New Roman" w:hAnsi="Times New Roman"/>
        </w:rPr>
        <w:t>为种猪场，建设猪舍等主体工程并配套办公区、集污池等基础设施</w:t>
      </w:r>
      <w:r>
        <w:rPr>
          <w:rFonts w:ascii="Times New Roman" w:hAnsi="Times New Roman"/>
        </w:rPr>
        <w:t>，对项目产生的污染物按照相关要求进行规范化、无害化、资源化处理；符合四川省畜牧业发展“十</w:t>
      </w:r>
      <w:r>
        <w:rPr>
          <w:rFonts w:hint="eastAsia" w:ascii="Times New Roman" w:hAnsi="Times New Roman"/>
        </w:rPr>
        <w:t>三</w:t>
      </w:r>
      <w:r>
        <w:rPr>
          <w:rFonts w:ascii="Times New Roman" w:hAnsi="Times New Roman"/>
        </w:rPr>
        <w:t>五”规划中的相关要求。</w:t>
      </w:r>
    </w:p>
    <w:p>
      <w:pPr>
        <w:pStyle w:val="970"/>
        <w:ind w:firstLine="480" w:firstLineChars="200"/>
      </w:pPr>
      <w:r>
        <w:rPr>
          <w:rFonts w:hint="eastAsia"/>
        </w:rPr>
        <w:t>（2）与井研县发展规划的符合性分析</w:t>
      </w:r>
    </w:p>
    <w:p>
      <w:pPr>
        <w:pStyle w:val="320"/>
        <w:snapToGrid w:val="0"/>
        <w:spacing w:before="0" w:line="360" w:lineRule="auto"/>
        <w:ind w:firstLine="480"/>
        <w:rPr>
          <w:rFonts w:ascii="Times New Roman" w:hAnsi="Times New Roman"/>
        </w:rPr>
      </w:pPr>
      <w:r>
        <w:rPr>
          <w:rFonts w:hint="eastAsia" w:ascii="Times New Roman" w:hAnsi="Times New Roman"/>
        </w:rPr>
        <w:t>根据</w:t>
      </w:r>
      <w:r>
        <w:rPr>
          <w:rFonts w:ascii="Times New Roman" w:hAnsi="Times New Roman"/>
        </w:rPr>
        <w:t>井研县</w:t>
      </w:r>
      <w:r>
        <w:rPr>
          <w:rFonts w:hint="eastAsia" w:ascii="Times New Roman" w:hAnsi="Times New Roman"/>
        </w:rPr>
        <w:t>农业</w:t>
      </w:r>
      <w:r>
        <w:rPr>
          <w:rFonts w:ascii="Times New Roman" w:hAnsi="Times New Roman"/>
        </w:rPr>
        <w:t>农村局、井研县自然资源</w:t>
      </w:r>
      <w:r>
        <w:rPr>
          <w:rFonts w:hint="eastAsia" w:ascii="Times New Roman" w:hAnsi="Times New Roman"/>
        </w:rPr>
        <w:t>井研县</w:t>
      </w:r>
      <w:r>
        <w:rPr>
          <w:rFonts w:ascii="Times New Roman" w:hAnsi="Times New Roman"/>
        </w:rPr>
        <w:t>高凤乡人民政府出具《</w:t>
      </w:r>
      <w:r>
        <w:rPr>
          <w:rFonts w:hint="eastAsia" w:ascii="Times New Roman" w:hAnsi="Times New Roman"/>
        </w:rPr>
        <w:t>设施</w:t>
      </w:r>
      <w:r>
        <w:rPr>
          <w:rFonts w:ascii="Times New Roman" w:hAnsi="Times New Roman"/>
        </w:rPr>
        <w:t>农业用地备案表》</w:t>
      </w:r>
      <w:r>
        <w:rPr>
          <w:rFonts w:hint="eastAsia" w:ascii="Times New Roman" w:hAnsi="Times New Roman"/>
        </w:rPr>
        <w:t>（井</w:t>
      </w:r>
      <w:r>
        <w:rPr>
          <w:rFonts w:ascii="Times New Roman" w:hAnsi="Times New Roman"/>
        </w:rPr>
        <w:t>设农备字[2019]</w:t>
      </w:r>
      <w:r>
        <w:rPr>
          <w:rFonts w:hint="eastAsia" w:ascii="Times New Roman" w:hAnsi="Times New Roman"/>
        </w:rPr>
        <w:t>第44号），</w:t>
      </w:r>
      <w:r>
        <w:rPr>
          <w:rFonts w:ascii="Times New Roman" w:hAnsi="Times New Roman"/>
        </w:rPr>
        <w:t>明确项目符合农业发展政策和规划，不在禁养</w:t>
      </w:r>
      <w:r>
        <w:rPr>
          <w:rFonts w:hint="eastAsia" w:ascii="Times New Roman" w:hAnsi="Times New Roman"/>
        </w:rPr>
        <w:t>区</w:t>
      </w:r>
      <w:r>
        <w:rPr>
          <w:rFonts w:ascii="Times New Roman" w:hAnsi="Times New Roman"/>
        </w:rPr>
        <w:t>、禁建</w:t>
      </w:r>
      <w:r>
        <w:rPr>
          <w:rFonts w:hint="eastAsia" w:ascii="Times New Roman" w:hAnsi="Times New Roman"/>
        </w:rPr>
        <w:t>区及井</w:t>
      </w:r>
      <w:r>
        <w:rPr>
          <w:rFonts w:ascii="Times New Roman" w:hAnsi="Times New Roman"/>
        </w:rPr>
        <w:t>研县人民政府《</w:t>
      </w:r>
      <w:r>
        <w:rPr>
          <w:rFonts w:hint="eastAsia" w:ascii="Times New Roman" w:hAnsi="Times New Roman"/>
        </w:rPr>
        <w:t>关于</w:t>
      </w:r>
      <w:r>
        <w:rPr>
          <w:rFonts w:ascii="Times New Roman" w:hAnsi="Times New Roman"/>
        </w:rPr>
        <w:t>印发井研县</w:t>
      </w:r>
      <w:r>
        <w:rPr>
          <w:rFonts w:hint="eastAsia" w:ascii="Times New Roman" w:hAnsi="Times New Roman"/>
        </w:rPr>
        <w:t>畜</w:t>
      </w:r>
      <w:r>
        <w:rPr>
          <w:rFonts w:ascii="Times New Roman" w:hAnsi="Times New Roman"/>
        </w:rPr>
        <w:t>禽养殖禁养区划定方案的通知》</w:t>
      </w:r>
      <w:r>
        <w:rPr>
          <w:rFonts w:hint="eastAsia" w:ascii="Times New Roman" w:hAnsi="Times New Roman"/>
        </w:rPr>
        <w:t>（井府【2017】2号），</w:t>
      </w:r>
      <w:r>
        <w:rPr>
          <w:rFonts w:ascii="Times New Roman" w:hAnsi="Times New Roman"/>
        </w:rPr>
        <w:t>本项目属于井研县宜养区，</w:t>
      </w:r>
      <w:r>
        <w:rPr>
          <w:rFonts w:hint="eastAsia" w:ascii="Times New Roman" w:hAnsi="Times New Roman"/>
        </w:rPr>
        <w:t>项目</w:t>
      </w:r>
      <w:r>
        <w:rPr>
          <w:rFonts w:ascii="Times New Roman" w:hAnsi="Times New Roman"/>
        </w:rPr>
        <w:t>符合井府【</w:t>
      </w:r>
      <w:r>
        <w:rPr>
          <w:rFonts w:hint="eastAsia" w:ascii="Times New Roman" w:hAnsi="Times New Roman"/>
        </w:rPr>
        <w:t>2017</w:t>
      </w:r>
      <w:r>
        <w:rPr>
          <w:rFonts w:ascii="Times New Roman" w:hAnsi="Times New Roman"/>
        </w:rPr>
        <w:t>】</w:t>
      </w:r>
      <w:r>
        <w:rPr>
          <w:rFonts w:hint="eastAsia" w:ascii="Times New Roman" w:hAnsi="Times New Roman"/>
        </w:rPr>
        <w:t>2号</w:t>
      </w:r>
      <w:r>
        <w:rPr>
          <w:rFonts w:ascii="Times New Roman" w:hAnsi="Times New Roman"/>
        </w:rPr>
        <w:t>要求，符合当地农业发展规划</w:t>
      </w:r>
      <w:r>
        <w:rPr>
          <w:rFonts w:hint="eastAsia" w:ascii="Times New Roman" w:hAnsi="Times New Roman"/>
        </w:rPr>
        <w:t>。</w:t>
      </w:r>
    </w:p>
    <w:p>
      <w:pPr>
        <w:pStyle w:val="320"/>
        <w:snapToGrid w:val="0"/>
        <w:spacing w:line="360" w:lineRule="auto"/>
        <w:ind w:firstLine="480"/>
        <w:rPr>
          <w:rFonts w:ascii="Times New Roman" w:hAnsi="Times New Roman"/>
        </w:rPr>
      </w:pPr>
      <w:r>
        <w:rPr>
          <w:rFonts w:hint="eastAsia" w:ascii="Times New Roman" w:hAnsi="Times New Roman"/>
        </w:rPr>
        <w:t>（3）与养殖场相关规划和要求符合性分析</w:t>
      </w:r>
    </w:p>
    <w:p>
      <w:pPr>
        <w:pStyle w:val="320"/>
        <w:snapToGrid w:val="0"/>
        <w:spacing w:line="360" w:lineRule="auto"/>
        <w:ind w:firstLine="480"/>
        <w:rPr>
          <w:rFonts w:ascii="Times New Roman" w:hAnsi="Times New Roman"/>
        </w:rPr>
      </w:pPr>
      <w:r>
        <w:rPr>
          <w:rFonts w:hint="eastAsia" w:ascii="Times New Roman" w:hAnsi="Times New Roman"/>
        </w:rPr>
        <w:t>项目选址符合《畜禽养殖业污染治理工程技术规范》、《农产品安全质量—</w:t>
      </w:r>
      <w:r>
        <w:t>无公害畜禽肉产地环境要求</w:t>
      </w:r>
      <w:r>
        <w:rPr>
          <w:rFonts w:hint="eastAsia" w:ascii="Times New Roman" w:hAnsi="Times New Roman"/>
        </w:rPr>
        <w:t>》、《</w:t>
      </w:r>
      <w:r>
        <w:t>畜禽养殖业污染防治技术规范</w:t>
      </w:r>
      <w:r>
        <w:rPr>
          <w:rFonts w:hint="eastAsia" w:ascii="Times New Roman" w:hAnsi="Times New Roman"/>
        </w:rPr>
        <w:t>》、</w:t>
      </w:r>
      <w:r>
        <w:t>《</w:t>
      </w:r>
      <w:r>
        <w:rPr>
          <w:rFonts w:hint="eastAsia"/>
        </w:rPr>
        <w:t>关于印发井研县畜禽养殖禁养区划定方案的通知</w:t>
      </w:r>
      <w:r>
        <w:t>》（</w:t>
      </w:r>
      <w:r>
        <w:rPr>
          <w:rFonts w:hint="eastAsia"/>
        </w:rPr>
        <w:t>井府发[2017]2号</w:t>
      </w:r>
      <w:r>
        <w:t>）</w:t>
      </w:r>
      <w:r>
        <w:rPr>
          <w:rFonts w:hint="eastAsia"/>
        </w:rPr>
        <w:t>对养殖场选址的要求。</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3</w:t>
      </w:r>
      <w:r>
        <w:rPr>
          <w:rFonts w:hint="eastAsia" w:eastAsia="黑体"/>
          <w:bCs/>
          <w:sz w:val="28"/>
          <w:szCs w:val="28"/>
        </w:rPr>
        <w:t xml:space="preserve">.1.2 </w:t>
      </w:r>
      <w:r>
        <w:rPr>
          <w:rFonts w:eastAsia="黑体"/>
          <w:bCs/>
          <w:sz w:val="28"/>
          <w:szCs w:val="28"/>
        </w:rPr>
        <w:t>选址合理性</w:t>
      </w:r>
    </w:p>
    <w:p>
      <w:pPr>
        <w:pStyle w:val="320"/>
        <w:snapToGrid w:val="0"/>
        <w:spacing w:line="360" w:lineRule="auto"/>
        <w:ind w:firstLine="480"/>
        <w:rPr>
          <w:rFonts w:ascii="Times New Roman" w:hAnsi="Times New Roman"/>
        </w:rPr>
      </w:pPr>
      <w:r>
        <w:rPr>
          <w:rFonts w:ascii="Times New Roman" w:hAnsi="Times New Roman"/>
        </w:rPr>
        <w:t>本项目选址主要受周围居民的制约，通过对拟划定的卫生防护距离内的居民进行</w:t>
      </w:r>
      <w:r>
        <w:rPr>
          <w:rFonts w:hint="eastAsia" w:ascii="Times New Roman" w:hAnsi="Times New Roman"/>
        </w:rPr>
        <w:t>租赁搬迁</w:t>
      </w:r>
      <w:r>
        <w:rPr>
          <w:rFonts w:ascii="Times New Roman" w:hAnsi="Times New Roman"/>
        </w:rPr>
        <w:t>，同时通过调整厂区布置，并采取相应的除臭、降噪措施后，项目选址具有环境合理性。</w:t>
      </w:r>
    </w:p>
    <w:p>
      <w:pPr>
        <w:spacing w:before="120" w:after="60"/>
        <w:jc w:val="left"/>
        <w:outlineLvl w:val="2"/>
        <w:rPr>
          <w:rFonts w:eastAsia="黑体"/>
          <w:bCs/>
          <w:sz w:val="28"/>
          <w:szCs w:val="28"/>
        </w:rPr>
      </w:pPr>
      <w:r>
        <w:rPr>
          <w:rFonts w:hint="eastAsia" w:eastAsia="黑体"/>
          <w:bCs/>
          <w:sz w:val="28"/>
          <w:szCs w:val="28"/>
        </w:rPr>
        <w:t>1</w:t>
      </w:r>
      <w:r>
        <w:rPr>
          <w:rFonts w:eastAsia="黑体"/>
          <w:bCs/>
          <w:sz w:val="28"/>
          <w:szCs w:val="28"/>
        </w:rPr>
        <w:t>3</w:t>
      </w:r>
      <w:r>
        <w:rPr>
          <w:rFonts w:hint="eastAsia" w:eastAsia="黑体"/>
          <w:bCs/>
          <w:sz w:val="28"/>
          <w:szCs w:val="28"/>
        </w:rPr>
        <w:t xml:space="preserve">.1.3 </w:t>
      </w:r>
      <w:r>
        <w:rPr>
          <w:rFonts w:eastAsia="黑体"/>
          <w:bCs/>
          <w:sz w:val="28"/>
          <w:szCs w:val="28"/>
        </w:rPr>
        <w:t>环境质量现状</w:t>
      </w:r>
    </w:p>
    <w:p>
      <w:pPr>
        <w:ind w:firstLine="480"/>
        <w:contextualSpacing/>
      </w:pPr>
      <w:r>
        <w:t>（1）</w:t>
      </w:r>
      <w:r>
        <w:rPr>
          <w:rFonts w:hint="eastAsia"/>
        </w:rPr>
        <w:t>大气环境</w:t>
      </w:r>
    </w:p>
    <w:p>
      <w:pPr>
        <w:ind w:firstLine="480" w:firstLineChars="200"/>
      </w:pPr>
      <w:r>
        <w:rPr>
          <w:rFonts w:hint="eastAsia"/>
        </w:rPr>
        <w:t>评价区域大气常规污染物根据《乐山市2018年环境质量公报》，</w:t>
      </w:r>
      <w:r>
        <w:rPr>
          <w:kern w:val="0"/>
        </w:rPr>
        <w:t>二氧化硫(SO</w:t>
      </w:r>
      <w:r>
        <w:rPr>
          <w:kern w:val="0"/>
          <w:vertAlign w:val="subscript"/>
        </w:rPr>
        <w:t>2</w:t>
      </w:r>
      <w:r>
        <w:rPr>
          <w:kern w:val="0"/>
        </w:rPr>
        <w:t>)、二氧化氮(NO</w:t>
      </w:r>
      <w:r>
        <w:rPr>
          <w:kern w:val="0"/>
          <w:vertAlign w:val="subscript"/>
        </w:rPr>
        <w:t>2</w:t>
      </w:r>
      <w:r>
        <w:rPr>
          <w:kern w:val="0"/>
        </w:rPr>
        <w:t>)、一氧化碳(CO)、臭氧(O</w:t>
      </w:r>
      <w:r>
        <w:rPr>
          <w:kern w:val="0"/>
          <w:vertAlign w:val="subscript"/>
        </w:rPr>
        <w:t>3</w:t>
      </w:r>
      <w:r>
        <w:rPr>
          <w:kern w:val="0"/>
        </w:rPr>
        <w:t>)</w:t>
      </w:r>
      <w:r>
        <w:rPr>
          <w:rFonts w:hint="eastAsia"/>
        </w:rPr>
        <w:t>环境空气质量达到</w:t>
      </w:r>
      <w:r>
        <w:rPr>
          <w:kern w:val="0"/>
        </w:rPr>
        <w:t>《环境空气质量标准》（GB 3095-2012）中的二级标准，可吸入颗粒物(PM</w:t>
      </w:r>
      <w:r>
        <w:rPr>
          <w:kern w:val="0"/>
          <w:vertAlign w:val="subscript"/>
        </w:rPr>
        <w:t>10)</w:t>
      </w:r>
      <w:r>
        <w:rPr>
          <w:kern w:val="0"/>
        </w:rPr>
        <w:t>、细颗粒物(PM</w:t>
      </w:r>
      <w:r>
        <w:rPr>
          <w:kern w:val="0"/>
          <w:vertAlign w:val="subscript"/>
        </w:rPr>
        <w:t>2.5</w:t>
      </w:r>
      <w:r>
        <w:rPr>
          <w:kern w:val="0"/>
        </w:rPr>
        <w:t>)</w:t>
      </w:r>
      <w:r>
        <w:rPr>
          <w:rFonts w:hint="eastAsia"/>
          <w:kern w:val="0"/>
        </w:rPr>
        <w:t>环境空气质量现状未达到</w:t>
      </w:r>
      <w:r>
        <w:rPr>
          <w:kern w:val="0"/>
        </w:rPr>
        <w:t>《环境空气质量标准》（GB 3095-2012）中的二级标准</w:t>
      </w:r>
      <w:r>
        <w:rPr>
          <w:rFonts w:hint="eastAsia"/>
          <w:kern w:val="0"/>
        </w:rPr>
        <w:t>，项目区属于不达标区，井研县已编制完成</w:t>
      </w:r>
      <w:r>
        <w:rPr>
          <w:rFonts w:hint="eastAsia"/>
        </w:rPr>
        <w:t>《井研县空气质量达标规划</w:t>
      </w:r>
      <w:r>
        <w:t>（201</w:t>
      </w:r>
      <w:r>
        <w:rPr>
          <w:rFonts w:hint="eastAsia"/>
        </w:rPr>
        <w:t>7</w:t>
      </w:r>
      <w:r>
        <w:t>~2025）</w:t>
      </w:r>
      <w:r>
        <w:rPr>
          <w:rFonts w:hint="eastAsia"/>
        </w:rPr>
        <w:t>》</w:t>
      </w:r>
      <w:r>
        <w:t>中大气环境质量达标总体战略</w:t>
      </w:r>
      <w:r>
        <w:rPr>
          <w:rFonts w:hint="eastAsia"/>
        </w:rPr>
        <w:t>，将在规划期内实现达标。根据大气环境质量的监测结果可看出，本项目所在区域各监测点的其他污染物均满足</w:t>
      </w:r>
      <w:r>
        <w:rPr>
          <w:rFonts w:hint="eastAsia"/>
          <w:color w:val="000000" w:themeColor="text1"/>
          <w14:textFill>
            <w14:solidFill>
              <w14:schemeClr w14:val="tx1"/>
            </w14:solidFill>
          </w14:textFill>
        </w:rPr>
        <w:t>《环境影响评价技术导则 大气环境》（HJ2.2-2018）附录D参考浓度限值要求。</w:t>
      </w:r>
    </w:p>
    <w:p>
      <w:pPr>
        <w:pStyle w:val="2"/>
        <w:ind w:firstLine="480"/>
        <w:rPr>
          <w:rFonts w:hint="default"/>
          <w:kern w:val="0"/>
        </w:rPr>
      </w:pPr>
      <w:r>
        <w:t>（2）评价区域内地表水环境质量现状检测数据均满足</w:t>
      </w:r>
      <w:r>
        <w:rPr>
          <w:kern w:val="0"/>
        </w:rPr>
        <w:t>《地表水环境质量标准》（GB3838-2002）中III类水域标准。</w:t>
      </w:r>
    </w:p>
    <w:p>
      <w:pPr>
        <w:pStyle w:val="970"/>
        <w:snapToGrid w:val="0"/>
        <w:ind w:firstLine="480" w:firstLineChars="200"/>
      </w:pPr>
      <w:r>
        <w:rPr>
          <w:kern w:val="0"/>
        </w:rPr>
        <w:t>（3）</w:t>
      </w:r>
      <w:r>
        <w:t>评价区域</w:t>
      </w:r>
      <w:r>
        <w:rPr>
          <w:szCs w:val="24"/>
        </w:rPr>
        <w:t>地下水各采样点的各项监测因子均满足</w:t>
      </w:r>
      <w:r>
        <w:t>《地下水环境质量标准》（GB/T 14848-</w:t>
      </w:r>
      <w:r>
        <w:rPr>
          <w:rFonts w:hint="eastAsia"/>
        </w:rPr>
        <w:t>2017</w:t>
      </w:r>
      <w:r>
        <w:t>）Ⅲ类标准要求。</w:t>
      </w:r>
    </w:p>
    <w:p>
      <w:pPr>
        <w:pStyle w:val="2"/>
        <w:ind w:firstLine="480"/>
        <w:rPr>
          <w:rFonts w:hint="default"/>
          <w:kern w:val="0"/>
        </w:rPr>
      </w:pPr>
      <w:r>
        <w:t>（4）</w:t>
      </w:r>
      <w:r>
        <w:rPr>
          <w:kern w:val="0"/>
        </w:rPr>
        <w:t>项目所在地厂界各监测点位声环境质量现状符合《声环境质量标准》（GB3096-2008）2类标准。</w:t>
      </w:r>
    </w:p>
    <w:p>
      <w:pPr>
        <w:pStyle w:val="2"/>
        <w:ind w:firstLine="480"/>
        <w:rPr>
          <w:rFonts w:hint="default"/>
          <w:kern w:val="0"/>
        </w:rPr>
      </w:pPr>
      <w:r>
        <w:rPr>
          <w:kern w:val="0"/>
        </w:rPr>
        <w:t>（5）项目区土壤满足《土壤环境质量 农用地土壤污染风险管控标准（试行）》（G</w:t>
      </w:r>
      <w:r>
        <w:rPr>
          <w:rFonts w:hint="default"/>
          <w:kern w:val="0"/>
        </w:rPr>
        <w:t>B15618</w:t>
      </w:r>
      <w:r>
        <w:rPr>
          <w:kern w:val="0"/>
        </w:rPr>
        <w:t>-</w:t>
      </w:r>
      <w:r>
        <w:rPr>
          <w:rFonts w:hint="default"/>
          <w:kern w:val="0"/>
        </w:rPr>
        <w:t>2018</w:t>
      </w:r>
      <w:r>
        <w:rPr>
          <w:kern w:val="0"/>
        </w:rPr>
        <w:t>）农用地标准。</w:t>
      </w:r>
    </w:p>
    <w:p>
      <w:pPr>
        <w:spacing w:before="120" w:after="60"/>
        <w:jc w:val="left"/>
        <w:outlineLvl w:val="2"/>
        <w:rPr>
          <w:rFonts w:eastAsia="黑体"/>
          <w:bCs/>
          <w:sz w:val="28"/>
          <w:szCs w:val="28"/>
        </w:rPr>
      </w:pPr>
      <w:bookmarkStart w:id="890" w:name="_Toc457481100"/>
      <w:r>
        <w:rPr>
          <w:rFonts w:hint="eastAsia" w:eastAsia="黑体"/>
          <w:bCs/>
          <w:sz w:val="28"/>
          <w:szCs w:val="28"/>
        </w:rPr>
        <w:t xml:space="preserve">14.1.4 </w:t>
      </w:r>
      <w:r>
        <w:rPr>
          <w:rFonts w:eastAsia="黑体"/>
          <w:bCs/>
          <w:sz w:val="28"/>
          <w:szCs w:val="28"/>
        </w:rPr>
        <w:t>环境影响分析</w:t>
      </w:r>
      <w:bookmarkEnd w:id="890"/>
    </w:p>
    <w:p>
      <w:pPr>
        <w:pStyle w:val="2"/>
        <w:ind w:firstLine="480"/>
        <w:rPr>
          <w:rFonts w:hint="default"/>
          <w:szCs w:val="21"/>
        </w:rPr>
      </w:pPr>
      <w:r>
        <w:t>（1）地表水：本项目的生活污水和养殖废水进入集污池暂存，一并交由</w:t>
      </w:r>
      <w:r>
        <w:rPr>
          <w:szCs w:val="21"/>
        </w:rPr>
        <w:t>乐山乐高勤力生物质能源综合利用有限公司“大沼”工程处理合理可行，可实现“零排放”，对地表水体无影响。</w:t>
      </w:r>
    </w:p>
    <w:p>
      <w:pPr>
        <w:pStyle w:val="2"/>
        <w:ind w:firstLine="480"/>
        <w:rPr>
          <w:rFonts w:hint="default"/>
        </w:rPr>
      </w:pPr>
      <w:r>
        <w:rPr>
          <w:szCs w:val="21"/>
        </w:rPr>
        <w:t>（2）地下水：根据</w:t>
      </w:r>
      <w:r>
        <w:t>分析，本项目在采取相应的工程防渗措施和管理措施后，对地下水环境影响较小。</w:t>
      </w:r>
    </w:p>
    <w:p>
      <w:pPr>
        <w:pStyle w:val="2"/>
        <w:ind w:firstLine="480"/>
        <w:rPr>
          <w:rFonts w:hint="default"/>
          <w:kern w:val="0"/>
        </w:rPr>
      </w:pPr>
      <w:r>
        <w:t>（3）大气：</w:t>
      </w:r>
      <w:r>
        <w:rPr>
          <w:kern w:val="0"/>
        </w:rPr>
        <w:t>根据分析，项目产生的废气均得到有效治理，能够做到达标排放，对评价范围内的大气环境影响较小，不会改变评价范围内的大气环境功能，不会对评价范围内的保护目标造成明显不利影响。</w:t>
      </w:r>
    </w:p>
    <w:p>
      <w:pPr>
        <w:pStyle w:val="2"/>
        <w:ind w:firstLine="480"/>
        <w:rPr>
          <w:rFonts w:hint="default"/>
          <w:szCs w:val="28"/>
        </w:rPr>
      </w:pPr>
      <w:r>
        <w:rPr>
          <w:kern w:val="0"/>
        </w:rPr>
        <w:t>（4）噪声：</w:t>
      </w:r>
      <w:r>
        <w:rPr>
          <w:szCs w:val="28"/>
        </w:rPr>
        <w:t>本项目噪声源经过采取降噪措施后，通过距离衰减，各厂界贡献值昼间、夜间噪声贡献值分别小于60dB(A)、50dB(A)，满足《工业企业厂界环境噪声排放标准》（GB 12348-2008）2类标准。可见本项目噪声源经过采取降噪措施后，通过距离衰减，对厂界噪声贡献较小。</w:t>
      </w:r>
    </w:p>
    <w:p>
      <w:pPr>
        <w:pStyle w:val="2"/>
        <w:ind w:firstLine="480"/>
        <w:rPr>
          <w:rFonts w:hint="default"/>
        </w:rPr>
      </w:pPr>
      <w:r>
        <w:rPr>
          <w:szCs w:val="28"/>
        </w:rPr>
        <w:t>（5）</w:t>
      </w:r>
      <w:r>
        <w:t>项目产生的固废均能得到妥善处理，不会对周围环境造成二次污染。</w:t>
      </w:r>
    </w:p>
    <w:p>
      <w:pPr>
        <w:spacing w:before="120" w:after="60"/>
        <w:jc w:val="left"/>
        <w:outlineLvl w:val="2"/>
        <w:rPr>
          <w:rFonts w:eastAsia="黑体"/>
          <w:bCs/>
          <w:sz w:val="28"/>
          <w:szCs w:val="28"/>
        </w:rPr>
      </w:pPr>
      <w:bookmarkStart w:id="891" w:name="_Toc281462310"/>
      <w:bookmarkStart w:id="892" w:name="_Toc372194640"/>
      <w:bookmarkStart w:id="893" w:name="_Toc407176244"/>
      <w:bookmarkStart w:id="894" w:name="_Toc287351463"/>
      <w:bookmarkStart w:id="895" w:name="_Toc306533106"/>
      <w:bookmarkStart w:id="896" w:name="_Toc287512736"/>
      <w:bookmarkStart w:id="897" w:name="_Toc457481101"/>
      <w:r>
        <w:rPr>
          <w:rFonts w:hint="eastAsia" w:eastAsia="黑体"/>
          <w:bCs/>
          <w:sz w:val="28"/>
          <w:szCs w:val="28"/>
        </w:rPr>
        <w:t xml:space="preserve">14.1.5 </w:t>
      </w:r>
      <w:r>
        <w:rPr>
          <w:rFonts w:eastAsia="黑体"/>
          <w:bCs/>
          <w:sz w:val="28"/>
          <w:szCs w:val="28"/>
        </w:rPr>
        <w:t>总量控制</w:t>
      </w:r>
      <w:bookmarkEnd w:id="891"/>
      <w:bookmarkEnd w:id="892"/>
      <w:bookmarkEnd w:id="893"/>
      <w:bookmarkEnd w:id="894"/>
      <w:bookmarkEnd w:id="895"/>
      <w:bookmarkEnd w:id="896"/>
      <w:bookmarkEnd w:id="897"/>
    </w:p>
    <w:p>
      <w:pPr>
        <w:pStyle w:val="2"/>
        <w:ind w:firstLine="480"/>
        <w:rPr>
          <w:rFonts w:hint="default"/>
        </w:rPr>
      </w:pPr>
      <w:r>
        <w:t>（1）废水</w:t>
      </w:r>
    </w:p>
    <w:p>
      <w:pPr>
        <w:pStyle w:val="2"/>
        <w:ind w:firstLine="480"/>
        <w:rPr>
          <w:rFonts w:hint="default"/>
        </w:rPr>
      </w:pPr>
      <w:r>
        <w:t>本项目废水排放量为</w:t>
      </w:r>
      <w:r>
        <w:rPr>
          <w:rFonts w:hint="default"/>
        </w:rPr>
        <w:t>45.49</w:t>
      </w:r>
      <w:r>
        <w:t xml:space="preserve"> m</w:t>
      </w:r>
      <w:r>
        <w:rPr>
          <w:vertAlign w:val="superscript"/>
        </w:rPr>
        <w:t>3</w:t>
      </w:r>
      <w:r>
        <w:t xml:space="preserve"> /d，全部交由</w:t>
      </w:r>
      <w:r>
        <w:rPr>
          <w:szCs w:val="21"/>
        </w:rPr>
        <w:t>乐山乐高勤力生物质能源综合利用有限公司“大沼”工程处理</w:t>
      </w:r>
      <w:r>
        <w:t>，进行处理后用于发电，不外排，不设置水污染总量控制。</w:t>
      </w:r>
    </w:p>
    <w:p>
      <w:pPr>
        <w:pStyle w:val="2"/>
        <w:ind w:firstLine="480"/>
        <w:rPr>
          <w:rFonts w:hint="default"/>
        </w:rPr>
      </w:pPr>
      <w:r>
        <w:t>（2）废气</w:t>
      </w:r>
    </w:p>
    <w:p>
      <w:pPr>
        <w:pStyle w:val="2"/>
        <w:ind w:firstLine="480"/>
        <w:rPr>
          <w:rFonts w:hint="default"/>
        </w:rPr>
      </w:pPr>
      <w:r>
        <w:t>本项目产生的废气无SO</w:t>
      </w:r>
      <w:r>
        <w:rPr>
          <w:vertAlign w:val="subscript"/>
        </w:rPr>
        <w:t>2</w:t>
      </w:r>
      <w:r>
        <w:t>、NO</w:t>
      </w:r>
      <w:r>
        <w:rPr>
          <w:vertAlign w:val="subscript"/>
        </w:rPr>
        <w:t>X</w:t>
      </w:r>
      <w:r>
        <w:t>，因此不需要申请大气污染物总量控制指标。</w:t>
      </w:r>
    </w:p>
    <w:p>
      <w:pPr>
        <w:spacing w:before="120" w:after="60"/>
        <w:jc w:val="left"/>
        <w:outlineLvl w:val="2"/>
        <w:rPr>
          <w:rFonts w:eastAsia="黑体"/>
          <w:bCs/>
          <w:sz w:val="28"/>
          <w:szCs w:val="28"/>
        </w:rPr>
      </w:pPr>
      <w:r>
        <w:rPr>
          <w:rFonts w:hint="eastAsia" w:eastAsia="黑体"/>
          <w:bCs/>
          <w:sz w:val="28"/>
          <w:szCs w:val="28"/>
        </w:rPr>
        <w:t xml:space="preserve">14.1.6 </w:t>
      </w:r>
      <w:r>
        <w:rPr>
          <w:rFonts w:eastAsia="黑体"/>
          <w:bCs/>
          <w:sz w:val="28"/>
          <w:szCs w:val="28"/>
        </w:rPr>
        <w:t>清洁生产</w:t>
      </w:r>
    </w:p>
    <w:p>
      <w:pPr>
        <w:pStyle w:val="970"/>
        <w:snapToGrid w:val="0"/>
        <w:ind w:firstLine="480" w:firstLineChars="200"/>
      </w:pPr>
      <w:r>
        <w:t>项目从生产管理措施、先进生产工艺、合理选用原辅材料、节能措施等各个环节采取有效、可行措施，能够达到清洁生产的要求。</w:t>
      </w:r>
    </w:p>
    <w:p>
      <w:pPr>
        <w:spacing w:before="120" w:after="60"/>
        <w:jc w:val="left"/>
        <w:outlineLvl w:val="2"/>
        <w:rPr>
          <w:rFonts w:eastAsia="黑体"/>
          <w:bCs/>
          <w:sz w:val="28"/>
          <w:szCs w:val="28"/>
        </w:rPr>
      </w:pPr>
      <w:r>
        <w:rPr>
          <w:rFonts w:hint="eastAsia" w:eastAsia="黑体"/>
          <w:bCs/>
          <w:sz w:val="28"/>
          <w:szCs w:val="28"/>
        </w:rPr>
        <w:t xml:space="preserve">14.1.7 </w:t>
      </w:r>
      <w:r>
        <w:rPr>
          <w:rFonts w:eastAsia="黑体"/>
          <w:bCs/>
          <w:sz w:val="28"/>
          <w:szCs w:val="28"/>
        </w:rPr>
        <w:t>公众参与</w:t>
      </w:r>
    </w:p>
    <w:p>
      <w:pPr>
        <w:pStyle w:val="970"/>
        <w:snapToGrid w:val="0"/>
        <w:ind w:firstLine="480" w:firstLineChars="200"/>
      </w:pPr>
      <w:r>
        <w:t>本次公众参与采取了网上公示和发放问卷调查表两种方式进行，公众参与调查问卷具体由建设单位负责。</w:t>
      </w:r>
    </w:p>
    <w:p>
      <w:pPr>
        <w:pStyle w:val="970"/>
        <w:snapToGrid w:val="0"/>
        <w:ind w:firstLine="480" w:firstLineChars="200"/>
      </w:pPr>
      <w:r>
        <w:t>201</w:t>
      </w:r>
      <w:r>
        <w:rPr>
          <w:rFonts w:hint="eastAsia"/>
        </w:rPr>
        <w:t>9</w:t>
      </w:r>
      <w:r>
        <w:t>年</w:t>
      </w:r>
      <w:r>
        <w:rPr>
          <w:rFonts w:hint="eastAsia"/>
        </w:rPr>
        <w:t>10</w:t>
      </w:r>
      <w:r>
        <w:t>月</w:t>
      </w:r>
      <w:r>
        <w:rPr>
          <w:rFonts w:hint="eastAsia"/>
        </w:rPr>
        <w:t>14</w:t>
      </w:r>
      <w:r>
        <w:t>日～201</w:t>
      </w:r>
      <w:r>
        <w:rPr>
          <w:rFonts w:hint="eastAsia"/>
        </w:rPr>
        <w:t>9</w:t>
      </w:r>
      <w:r>
        <w:t>年</w:t>
      </w:r>
      <w:r>
        <w:rPr>
          <w:rFonts w:hint="eastAsia"/>
        </w:rPr>
        <w:t>10</w:t>
      </w:r>
      <w:r>
        <w:t>月</w:t>
      </w:r>
      <w:r>
        <w:rPr>
          <w:rFonts w:hint="eastAsia"/>
        </w:rPr>
        <w:t>25</w:t>
      </w:r>
      <w:r>
        <w:t>日期间在</w:t>
      </w:r>
      <w:r>
        <w:rPr>
          <w:rFonts w:hint="eastAsia"/>
        </w:rPr>
        <w:t>环评互联网</w:t>
      </w:r>
      <w:r>
        <w:t>进行了第一次环评公示。评价单位在编制完成环境影响报告书初稿后，于2019年1</w:t>
      </w:r>
      <w:r>
        <w:rPr>
          <w:rFonts w:hint="eastAsia"/>
        </w:rPr>
        <w:t>1</w:t>
      </w:r>
      <w:r>
        <w:t>月</w:t>
      </w:r>
      <w:r>
        <w:rPr>
          <w:rFonts w:hint="eastAsia"/>
        </w:rPr>
        <w:t>5</w:t>
      </w:r>
      <w:r>
        <w:t>日～2019年1</w:t>
      </w:r>
      <w:r>
        <w:rPr>
          <w:rFonts w:hint="eastAsia"/>
        </w:rPr>
        <w:t>1</w:t>
      </w:r>
      <w:r>
        <w:t>月19日期间在</w:t>
      </w:r>
      <w:r>
        <w:rPr>
          <w:rFonts w:hint="eastAsia"/>
        </w:rPr>
        <w:t>环评互联网</w:t>
      </w:r>
      <w:r>
        <w:t>网站进行了第二次环评公示。</w:t>
      </w:r>
    </w:p>
    <w:p>
      <w:pPr>
        <w:pStyle w:val="970"/>
        <w:snapToGrid w:val="0"/>
        <w:ind w:firstLine="480" w:firstLineChars="200"/>
      </w:pPr>
      <w:r>
        <w:t>建设单位</w:t>
      </w:r>
      <w:r>
        <w:rPr>
          <w:rFonts w:hint="eastAsia"/>
        </w:rPr>
        <w:t>对项目周围4</w:t>
      </w:r>
      <w:r>
        <w:t>00m</w:t>
      </w:r>
      <w:r>
        <w:rPr>
          <w:rFonts w:hint="eastAsia"/>
        </w:rPr>
        <w:t>范围内的农户进行了全覆盖调查</w:t>
      </w:r>
      <w:r>
        <w:t>。共发放了</w:t>
      </w:r>
      <w:r>
        <w:rPr>
          <w:rFonts w:hint="eastAsia"/>
        </w:rPr>
        <w:t>20</w:t>
      </w:r>
      <w:r>
        <w:t>份个人调查表，问卷收回</w:t>
      </w:r>
      <w:r>
        <w:rPr>
          <w:rFonts w:hint="eastAsia"/>
        </w:rPr>
        <w:t>20</w:t>
      </w:r>
      <w:r>
        <w:t>份有效问卷，回收率为100%。回收的调查表均</w:t>
      </w:r>
      <w:r>
        <w:rPr>
          <w:rFonts w:hint="eastAsia"/>
        </w:rPr>
        <w:t>无人</w:t>
      </w:r>
      <w:r>
        <w:t>反对本项目的建设，</w:t>
      </w:r>
      <w:r>
        <w:rPr>
          <w:rFonts w:hint="eastAsia"/>
        </w:rPr>
        <w:t>同意</w:t>
      </w:r>
      <w:r>
        <w:t>项目建设的比例为100%，无人反对。</w:t>
      </w:r>
    </w:p>
    <w:p>
      <w:pPr>
        <w:pStyle w:val="970"/>
        <w:snapToGrid w:val="0"/>
        <w:ind w:firstLine="480" w:firstLineChars="200"/>
      </w:pPr>
      <w:r>
        <w:t>调查结果显示，该项目得到当地绝大多数居民的支持。</w:t>
      </w:r>
    </w:p>
    <w:p>
      <w:pPr>
        <w:spacing w:before="120" w:after="60"/>
        <w:jc w:val="left"/>
        <w:outlineLvl w:val="2"/>
        <w:rPr>
          <w:rFonts w:eastAsia="黑体"/>
          <w:bCs/>
          <w:sz w:val="28"/>
          <w:szCs w:val="28"/>
        </w:rPr>
      </w:pPr>
      <w:r>
        <w:rPr>
          <w:rFonts w:hint="eastAsia" w:eastAsia="黑体"/>
          <w:bCs/>
          <w:sz w:val="28"/>
          <w:szCs w:val="28"/>
        </w:rPr>
        <w:t xml:space="preserve">14.1.8 </w:t>
      </w:r>
      <w:r>
        <w:rPr>
          <w:rFonts w:eastAsia="黑体"/>
          <w:bCs/>
          <w:sz w:val="28"/>
          <w:szCs w:val="28"/>
        </w:rPr>
        <w:t>评价总结论</w:t>
      </w:r>
    </w:p>
    <w:p>
      <w:pPr>
        <w:pStyle w:val="970"/>
        <w:tabs>
          <w:tab w:val="left" w:pos="6426"/>
        </w:tabs>
        <w:ind w:firstLine="515"/>
        <w:rPr>
          <w:b/>
        </w:rPr>
      </w:pPr>
      <w:r>
        <w:rPr>
          <w:rFonts w:hint="eastAsia"/>
          <w:b/>
        </w:rPr>
        <w:t>乐山正邦养殖有限公司拟建的井研县高凤循环农业生态园生猪标准化生态养殖园区建设项目选址于乐山市井研县高凤乡星星亮村3、6、9组，项目</w:t>
      </w:r>
      <w:r>
        <w:rPr>
          <w:b/>
        </w:rPr>
        <w:t>符合国家当前产业政策</w:t>
      </w:r>
      <w:r>
        <w:rPr>
          <w:rFonts w:hint="eastAsia"/>
          <w:b/>
        </w:rPr>
        <w:t>、</w:t>
      </w:r>
      <w:r>
        <w:rPr>
          <w:b/>
        </w:rPr>
        <w:t>符合</w:t>
      </w:r>
      <w:r>
        <w:rPr>
          <w:rFonts w:hint="eastAsia"/>
          <w:b/>
        </w:rPr>
        <w:t>井研县</w:t>
      </w:r>
      <w:r>
        <w:rPr>
          <w:b/>
        </w:rPr>
        <w:t>城市规划。项目运营过程中尽管其生产不可避免产生一定量的废水、废气、噪声和固体废物，但与之配套的环保设施比较完善，治理方案选择合理，只要认真加强管理、落实环保措施，能满足国家和地方环境保护法规和标准要求。在贯彻落实本环境影响报告书各项环境保护措施的前提下，从环境影响的角度而言，本项目在</w:t>
      </w:r>
      <w:r>
        <w:rPr>
          <w:rFonts w:hint="eastAsia"/>
          <w:b/>
        </w:rPr>
        <w:t>乐山市井研县高凤乡星星亮村3、6、9组</w:t>
      </w:r>
      <w:r>
        <w:rPr>
          <w:b/>
        </w:rPr>
        <w:t>建设是可行的。</w:t>
      </w:r>
    </w:p>
    <w:p>
      <w:pPr>
        <w:pStyle w:val="588"/>
        <w:keepNext/>
        <w:keepLines/>
        <w:widowControl w:val="0"/>
        <w:adjustRightInd w:val="0"/>
        <w:spacing w:before="120" w:after="60" w:line="360" w:lineRule="auto"/>
        <w:textAlignment w:val="baseline"/>
        <w:rPr>
          <w:rFonts w:ascii="Times New Roman" w:hAnsi="Times New Roman" w:eastAsia="黑体" w:cs="Times New Roman"/>
          <w:b w:val="0"/>
          <w:bCs/>
          <w:spacing w:val="4"/>
          <w:kern w:val="2"/>
          <w:sz w:val="32"/>
          <w:szCs w:val="32"/>
        </w:rPr>
      </w:pPr>
      <w:bookmarkStart w:id="898" w:name="_Toc7363239"/>
      <w:bookmarkStart w:id="899" w:name="_Toc29110634"/>
      <w:r>
        <w:rPr>
          <w:rFonts w:hint="eastAsia" w:ascii="Times New Roman" w:hAnsi="Times New Roman" w:eastAsia="黑体" w:cs="Times New Roman"/>
          <w:b w:val="0"/>
          <w:bCs/>
          <w:spacing w:val="4"/>
          <w:kern w:val="2"/>
          <w:sz w:val="32"/>
          <w:szCs w:val="32"/>
        </w:rPr>
        <w:t xml:space="preserve">14.2 </w:t>
      </w:r>
      <w:r>
        <w:rPr>
          <w:rFonts w:ascii="Times New Roman" w:hAnsi="Times New Roman" w:eastAsia="黑体" w:cs="Times New Roman"/>
          <w:b w:val="0"/>
          <w:bCs/>
          <w:spacing w:val="4"/>
          <w:kern w:val="2"/>
          <w:sz w:val="32"/>
          <w:szCs w:val="32"/>
        </w:rPr>
        <w:t>环境保护对策建议</w:t>
      </w:r>
      <w:bookmarkEnd w:id="898"/>
      <w:bookmarkEnd w:id="899"/>
    </w:p>
    <w:p>
      <w:pPr>
        <w:ind w:firstLine="480" w:firstLineChars="200"/>
      </w:pPr>
      <w:r>
        <w:rPr>
          <w:rFonts w:hint="eastAsia"/>
        </w:rPr>
        <w:t>（1）</w:t>
      </w:r>
      <w:r>
        <w:t>项目在建设过程中应确保足够的环保资金，以实施污染物治理措施，做好建设项目的“三同时”工作。</w:t>
      </w:r>
    </w:p>
    <w:p>
      <w:pPr>
        <w:ind w:firstLine="480" w:firstLineChars="200"/>
      </w:pPr>
      <w:r>
        <w:rPr>
          <w:rFonts w:hint="eastAsia"/>
        </w:rPr>
        <w:t>（2）</w:t>
      </w:r>
      <w:r>
        <w:t>认真贯彻执行国家和地方的各项环保法规和方针政策，建立一套完善的</w:t>
      </w:r>
      <w:r>
        <w:rPr>
          <w:rFonts w:hint="eastAsia"/>
        </w:rPr>
        <w:t>“</w:t>
      </w:r>
      <w:r>
        <w:t>环境管理手册</w:t>
      </w:r>
      <w:r>
        <w:rPr>
          <w:rFonts w:hint="eastAsia"/>
        </w:rPr>
        <w:t>”</w:t>
      </w:r>
      <w:r>
        <w:t>，落实环境管理规章制度，强化管理，确定专门的环境管理人员，落实专人负责环保处理设施的运行和维护，接受当地环保部门的监督和管理。在当地环保部门的指导下，定期对污染物进行监测，并建立污染物管理档案。</w:t>
      </w:r>
    </w:p>
    <w:p>
      <w:pPr>
        <w:ind w:firstLine="480" w:firstLineChars="200"/>
      </w:pPr>
      <w:r>
        <w:rPr>
          <w:rFonts w:hint="eastAsia"/>
        </w:rPr>
        <w:t>（3）</w:t>
      </w:r>
      <w:r>
        <w:t>公司在生产过程中，应严格按照国家有关危险废物管理和处置的规定，加强对固废的分类收集和管理工作；在储存和运输过程中，严防中途泄漏，并定期对危险废物处置情况的回访，确保不对周围环境造成二次污染。</w:t>
      </w:r>
    </w:p>
    <w:p>
      <w:pPr>
        <w:snapToGrid w:val="0"/>
        <w:ind w:firstLine="480" w:firstLineChars="200"/>
      </w:pPr>
      <w:r>
        <w:rPr>
          <w:rFonts w:hint="eastAsia"/>
        </w:rPr>
        <w:t>（4）</w:t>
      </w:r>
      <w:r>
        <w:t>按国家《清洁生产促进法》的规定，建立有效的环境管理体系，提高企业管理水平，从产品设计、产品生产、商品流通和商品使用的各个环节，从新产品的原材料、技术装备、工艺流程、废物排放和废物处置的各个方面，进行“全过程控制”，进一步全面提高清洁生产水平，减少原材料消耗，降低能耗，降低生产成本，减少污染物排放。</w:t>
      </w:r>
    </w:p>
    <w:p>
      <w:pPr>
        <w:snapToGrid w:val="0"/>
        <w:ind w:firstLine="480" w:firstLineChars="200"/>
      </w:pPr>
      <w:r>
        <w:rPr>
          <w:rFonts w:hint="eastAsia"/>
        </w:rPr>
        <w:t>（5）项目建成运营一定时间后，建设单位须按照《</w:t>
      </w:r>
      <w:r>
        <w:t>建设项目环境影响后评价管理办法（试行）</w:t>
      </w:r>
      <w:r>
        <w:rPr>
          <w:rFonts w:hint="eastAsia"/>
        </w:rPr>
        <w:t>》（环境保护部令 第37号）积极开展环境影响后评价工作。</w:t>
      </w:r>
    </w:p>
    <w:p>
      <w:pPr>
        <w:snapToGrid w:val="0"/>
        <w:jc w:val="left"/>
        <w:rPr>
          <w:b/>
          <w:color w:val="FF0000"/>
        </w:rPr>
      </w:pPr>
    </w:p>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886"/>
    <w:bookmarkEnd w:id="887"/>
    <w:p>
      <w:pPr>
        <w:rPr>
          <w:color w:val="FF0000"/>
        </w:rPr>
      </w:pPr>
    </w:p>
    <w:sectPr>
      <w:headerReference r:id="rId8" w:type="default"/>
      <w:footerReference r:id="rId9" w:type="default"/>
      <w:pgSz w:w="11906" w:h="16838"/>
      <w:pgMar w:top="1418" w:right="1304" w:bottom="1418" w:left="1304" w:header="85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宋三简体">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imesNewRoman">
    <w:altName w:val="Times New Roman"/>
    <w:panose1 w:val="00000000000000000000"/>
    <w:charset w:val="00"/>
    <w:family w:val="roman"/>
    <w:pitch w:val="default"/>
    <w:sig w:usb0="00000000" w:usb1="00000000" w:usb2="00000000" w:usb3="00000000" w:csb0="00000001" w:csb1="00000000"/>
  </w:font>
  <w:font w:name="Batang">
    <w:altName w:val="Malgun Gothic"/>
    <w:panose1 w:val="02030600000101010101"/>
    <w:charset w:val="81"/>
    <w:family w:val="roman"/>
    <w:pitch w:val="default"/>
    <w:sig w:usb0="00000000" w:usb1="00000000" w:usb2="00000030" w:usb3="00000000" w:csb0="0008009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CommercialPi BT">
    <w:altName w:val="MS Reference Specialty"/>
    <w:panose1 w:val="05020102010206080802"/>
    <w:charset w:val="02"/>
    <w:family w:val="roman"/>
    <w:pitch w:val="default"/>
    <w:sig w:usb0="00000000" w:usb1="00000000" w:usb2="00000000" w:usb3="00000000" w:csb0="80000000" w:csb1="0000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Gulim">
    <w:altName w:val="Malgun Gothic"/>
    <w:panose1 w:val="020B0600000101010101"/>
    <w:charset w:val="81"/>
    <w:family w:val="swiss"/>
    <w:pitch w:val="default"/>
    <w:sig w:usb0="00000000" w:usb1="00000000" w:usb2="00000030" w:usb3="00000000" w:csb0="0008009F" w:csb1="00000000"/>
  </w:font>
  <w:font w:name="宋体-方正超大字符集">
    <w:altName w:val="宋体"/>
    <w:panose1 w:val="00000000000000000000"/>
    <w:charset w:val="86"/>
    <w:family w:val="script"/>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_GB2312">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方正舒体">
    <w:panose1 w:val="02010601030101010101"/>
    <w:charset w:val="86"/>
    <w:family w:val="auto"/>
    <w:pitch w:val="default"/>
    <w:sig w:usb0="00000003" w:usb1="080E0000" w:usb2="00000000" w:usb3="00000000" w:csb0="00040000" w:csb1="00000000"/>
  </w:font>
  <w:font w:name="MS Mincho">
    <w:panose1 w:val="02020609040205080304"/>
    <w:charset w:val="80"/>
    <w:family w:val="modern"/>
    <w:pitch w:val="default"/>
    <w:sig w:usb0="A00002BF" w:usb1="68C7FCFB" w:usb2="00000010" w:usb3="00000000" w:csb0="4002009F" w:csb1="DFD70000"/>
  </w:font>
  <w:font w:name="TimesNewRomanPSMT">
    <w:altName w:val="微软雅黑"/>
    <w:panose1 w:val="00000000000000000000"/>
    <w:charset w:val="00"/>
    <w:family w:val="roman"/>
    <w:pitch w:val="default"/>
    <w:sig w:usb0="00000000" w:usb1="00000000" w:usb2="00000000" w:usb3="00000000" w:csb0="00000000" w:csb1="00000000"/>
  </w:font>
  <w:font w:name="Verdana, Arial, 宋体">
    <w:altName w:val="宋体"/>
    <w:panose1 w:val="00000000000000000000"/>
    <w:charset w:val="86"/>
    <w:family w:val="roma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黑体简体">
    <w:altName w:val="黑体"/>
    <w:panose1 w:val="00000000000000000000"/>
    <w:charset w:val="86"/>
    <w:family w:val="auto"/>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PMingLiU">
    <w:altName w:val="PMingLiU-ExtB"/>
    <w:panose1 w:val="02020500000000000000"/>
    <w:charset w:val="88"/>
    <w:family w:val="roman"/>
    <w:pitch w:val="default"/>
    <w:sig w:usb0="00000000" w:usb1="00000000" w:usb2="00000016" w:usb3="00000000" w:csb0="00100001" w:csb1="00000000"/>
  </w:font>
  <w:font w:name="”“Times New Roman”“">
    <w:altName w:val="宋体"/>
    <w:panose1 w:val="00000000000000000000"/>
    <w:charset w:val="86"/>
    <w:family w:val="roman"/>
    <w:pitch w:val="default"/>
    <w:sig w:usb0="00000000" w:usb1="00000000" w:usb2="00000010" w:usb3="00000000" w:csb0="00040000" w:csb1="00000000"/>
  </w:font>
  <w:font w:name="DFKai-SB">
    <w:altName w:val="Microsoft JhengHei Light"/>
    <w:panose1 w:val="03000509000000000000"/>
    <w:charset w:val="88"/>
    <w:family w:val="script"/>
    <w:pitch w:val="default"/>
    <w:sig w:usb0="00000000" w:usb1="00000000" w:usb2="00000016" w:usb3="00000000" w:csb0="00100001" w:csb1="00000000"/>
  </w:font>
  <w:font w:name="Century Schoolbook">
    <w:panose1 w:val="02040604050505020304"/>
    <w:charset w:val="00"/>
    <w:family w:val="roman"/>
    <w:pitch w:val="default"/>
    <w:sig w:usb0="00000287" w:usb1="00000000" w:usb2="00000000" w:usb3="00000000" w:csb0="2000009F" w:csb1="DFD70000"/>
  </w:font>
  <w:font w:name="Book Antiqua">
    <w:panose1 w:val="02040602050305030304"/>
    <w:charset w:val="00"/>
    <w:family w:val="roman"/>
    <w:pitch w:val="default"/>
    <w:sig w:usb0="00000287" w:usb1="00000000" w:usb2="00000000" w:usb3="00000000" w:csb0="2000009F" w:csb1="DFD7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Tms Rmn">
    <w:altName w:val="Segoe Print"/>
    <w:panose1 w:val="02020603040505020304"/>
    <w:charset w:val="00"/>
    <w:family w:val="roman"/>
    <w:pitch w:val="default"/>
    <w:sig w:usb0="00000000" w:usb1="00000000" w:usb2="00000000" w:usb3="00000000" w:csb0="00000001" w:csb1="00000000"/>
  </w:font>
  <w:font w:name="五">
    <w:altName w:val="黑体"/>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華康中楷體">
    <w:altName w:val="Arial Unicode MS"/>
    <w:panose1 w:val="00000000000000000000"/>
    <w:charset w:val="88"/>
    <w:family w:val="modern"/>
    <w:pitch w:val="default"/>
    <w:sig w:usb0="00000000" w:usb1="00000000" w:usb2="00000010" w:usb3="00000000" w:csb0="00100000" w:csb1="00000000"/>
  </w:font>
  <w:font w:name="Plotter">
    <w:altName w:val="Arial"/>
    <w:panose1 w:val="00000000000000000000"/>
    <w:charset w:val="00"/>
    <w:family w:val="roman"/>
    <w:pitch w:val="default"/>
    <w:sig w:usb0="00000000" w:usb1="00000000" w:usb2="00000000" w:usb3="00000000" w:csb0="00000001" w:csb1="00000000"/>
  </w:font>
  <w:font w:name="MHei-Medium">
    <w:altName w:val="MingLiU-ExtB"/>
    <w:panose1 w:val="00000000000000000000"/>
    <w:charset w:val="88"/>
    <w:family w:val="auto"/>
    <w:pitch w:val="default"/>
    <w:sig w:usb0="00000000" w:usb1="00000000" w:usb2="00000010" w:usb3="00000000" w:csb0="00100000" w:csb1="00000000"/>
  </w:font>
  <w:font w:name="华文细黑">
    <w:panose1 w:val="02010600040101010101"/>
    <w:charset w:val="86"/>
    <w:family w:val="auto"/>
    <w:pitch w:val="default"/>
    <w:sig w:usb0="00000287" w:usb1="080F0000" w:usb2="00000000" w:usb3="00000000" w:csb0="0004009F" w:csb1="DFD70000"/>
  </w:font>
  <w:font w:name="Garamond">
    <w:panose1 w:val="02020404030301010803"/>
    <w:charset w:val="00"/>
    <w:family w:val="roman"/>
    <w:pitch w:val="default"/>
    <w:sig w:usb0="00000287" w:usb1="00000000" w:usb2="00000000" w:usb3="00000000" w:csb0="0000009F" w:csb1="DFD70000"/>
  </w:font>
  <w:font w:name="方正书宋_GBK">
    <w:altName w:val="仿宋"/>
    <w:panose1 w:val="00000000000000000000"/>
    <w:charset w:val="86"/>
    <w:family w:val="script"/>
    <w:pitch w:val="default"/>
    <w:sig w:usb0="00000000" w:usb1="00000000" w:usb2="00000010" w:usb3="00000000" w:csb0="00040000" w:csb1="00000000"/>
  </w:font>
  <w:font w:name="????">
    <w:altName w:val="Malgun Gothic"/>
    <w:panose1 w:val="00000000000000000000"/>
    <w:charset w:val="81"/>
    <w:family w:val="auto"/>
    <w:pitch w:val="default"/>
    <w:sig w:usb0="00000000" w:usb1="00000000" w:usb2="00000010" w:usb3="00000000" w:csb0="00080000" w:csb1="00000000"/>
  </w:font>
  <w:font w:name="新宋体">
    <w:panose1 w:val="02010609030101010101"/>
    <w:charset w:val="86"/>
    <w:family w:val="modern"/>
    <w:pitch w:val="default"/>
    <w:sig w:usb0="00000283" w:usb1="288F0000" w:usb2="00000006" w:usb3="00000000" w:csb0="00040001" w:csb1="00000000"/>
  </w:font>
  <w:font w:name="Comic Sans MS">
    <w:panose1 w:val="030F0702030302020204"/>
    <w:charset w:val="00"/>
    <w:family w:val="script"/>
    <w:pitch w:val="default"/>
    <w:sig w:usb0="00000287" w:usb1="00000013" w:usb2="00000000" w:usb3="00000000" w:csb0="2000009F" w:csb1="00000000"/>
  </w:font>
  <w:font w:name="華康粗黑體">
    <w:altName w:val="Arial Unicode MS"/>
    <w:panose1 w:val="00000000000000000000"/>
    <w:charset w:val="88"/>
    <w:family w:val="modern"/>
    <w:pitch w:val="default"/>
    <w:sig w:usb0="00000000" w:usb1="00000000" w:usb2="00000010" w:usb3="00000000" w:csb0="00100000" w:csb1="00000000"/>
  </w:font>
  <w:font w:name="仿宋体">
    <w:altName w:val="宋体"/>
    <w:panose1 w:val="00000000000000000000"/>
    <w:charset w:val="86"/>
    <w:family w:val="roman"/>
    <w:pitch w:val="default"/>
    <w:sig w:usb0="00000000" w:usb1="00000000" w:usb2="00000010" w:usb3="00000000" w:csb0="00040000" w:csb1="00000000"/>
  </w:font>
  <w:font w:name="CG Times">
    <w:altName w:val="Times New Roman"/>
    <w:panose1 w:val="00000000000000000000"/>
    <w:charset w:val="00"/>
    <w:family w:val="roman"/>
    <w:pitch w:val="default"/>
    <w:sig w:usb0="00000000" w:usb1="00000000" w:usb2="00000000" w:usb3="00000000" w:csb0="00000001" w:csb1="00000000"/>
  </w:font>
  <w:font w:name="Symusic">
    <w:altName w:val="Segoe Print"/>
    <w:panose1 w:val="00000400000000000000"/>
    <w:charset w:val="00"/>
    <w:family w:val="auto"/>
    <w:pitch w:val="default"/>
    <w:sig w:usb0="00000000" w:usb1="00000000" w:usb2="00000000" w:usb3="00000000" w:csb0="000001FF" w:csb1="00000000"/>
  </w:font>
  <w:font w:name="方正姚体">
    <w:panose1 w:val="02010601030101010101"/>
    <w:charset w:val="86"/>
    <w:family w:val="auto"/>
    <w:pitch w:val="default"/>
    <w:sig w:usb0="00000003" w:usb1="080E0000" w:usb2="00000000" w:usb3="00000000" w:csb0="00040000" w:csb1="00000000"/>
  </w:font>
  <w:font w:name="Angsana New">
    <w:altName w:val="Times New Roman"/>
    <w:panose1 w:val="02020603050405020304"/>
    <w:charset w:val="00"/>
    <w:family w:val="roman"/>
    <w:pitch w:val="default"/>
    <w:sig w:usb0="00000000" w:usb1="00000000" w:usb2="00000000" w:usb3="00000000" w:csb0="00010001" w:csb1="00000000"/>
  </w:font>
  <w:font w:name="華康中明體">
    <w:altName w:val="Arial Unicode MS"/>
    <w:panose1 w:val="00000000000000000000"/>
    <w:charset w:val="88"/>
    <w:family w:val="modern"/>
    <w:pitch w:val="default"/>
    <w:sig w:usb0="00000000" w:usb1="00000000" w:usb2="00000010" w:usb3="00000000" w:csb0="00100000"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Malgun Gothic">
    <w:panose1 w:val="020B0503020000020004"/>
    <w:charset w:val="81"/>
    <w:family w:val="auto"/>
    <w:pitch w:val="default"/>
    <w:sig w:usb0="9000002F" w:usb1="29D77CFB" w:usb2="00000012" w:usb3="00000000" w:csb0="00080001" w:csb1="00000000"/>
  </w:font>
  <w:font w:name="楷体">
    <w:panose1 w:val="02010609060101010101"/>
    <w:charset w:val="86"/>
    <w:family w:val="auto"/>
    <w:pitch w:val="default"/>
    <w:sig w:usb0="800002BF" w:usb1="38CF7CFA" w:usb2="00000016" w:usb3="00000000" w:csb0="00040001" w:csb1="00000000"/>
  </w:font>
  <w:font w:name="MS Reference Specialty">
    <w:panose1 w:val="05000500000000000000"/>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Microsoft JhengHei Light">
    <w:panose1 w:val="020B0304030504040204"/>
    <w:charset w:val="88"/>
    <w:family w:val="auto"/>
    <w:pitch w:val="default"/>
    <w:sig w:usb0="800002A7" w:usb1="28CF4400" w:usb2="00000016" w:usb3="00000000" w:csb0="00100009" w:csb1="00000000"/>
  </w:font>
  <w:font w:name="Segoe Print">
    <w:panose1 w:val="02000600000000000000"/>
    <w:charset w:val="00"/>
    <w:family w:val="auto"/>
    <w:pitch w:val="default"/>
    <w:sig w:usb0="0000028F" w:usb1="00000000" w:usb2="00000000" w:usb3="00000000" w:csb0="2000009F" w:csb1="47010000"/>
  </w:font>
  <w:font w:name="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rPr>
        <w:rStyle w:val="135"/>
      </w:rPr>
    </w:pPr>
    <w:r>
      <w:rPr>
        <w:rFonts w:hint="eastAsia"/>
      </w:rPr>
      <w:t xml:space="preserve">宁夏智诚安环技术咨询有限公司                        </w:t>
    </w:r>
    <w:r>
      <w:fldChar w:fldCharType="begin"/>
    </w:r>
    <w:r>
      <w:instrText xml:space="preserve">PAGE   \* MERGEFORMAT</w:instrText>
    </w:r>
    <w:r>
      <w:fldChar w:fldCharType="separate"/>
    </w:r>
    <w:r>
      <w:t>16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autoSpaceDE w:val="0"/>
      <w:autoSpaceDN w:val="0"/>
      <w:jc w:val="both"/>
      <w:textAlignment w:val="bottom"/>
    </w:pPr>
    <w: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6"/>
                            <w:rPr>
                              <w:rStyle w:val="135"/>
                            </w:rPr>
                          </w:pPr>
                          <w:r>
                            <w:fldChar w:fldCharType="begin"/>
                          </w:r>
                          <w:r>
                            <w:rPr>
                              <w:rStyle w:val="135"/>
                            </w:rPr>
                            <w:instrText xml:space="preserve">PAGE  </w:instrText>
                          </w:r>
                          <w:r>
                            <w:fldChar w:fldCharType="separate"/>
                          </w:r>
                          <w:r>
                            <w:rPr>
                              <w:rStyle w:val="135"/>
                            </w:rPr>
                            <w:t>80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6"/>
                      <w:rPr>
                        <w:rStyle w:val="135"/>
                      </w:rPr>
                    </w:pPr>
                    <w:r>
                      <w:fldChar w:fldCharType="begin"/>
                    </w:r>
                    <w:r>
                      <w:rPr>
                        <w:rStyle w:val="135"/>
                      </w:rPr>
                      <w:instrText xml:space="preserve">PAGE  </w:instrText>
                    </w:r>
                    <w:r>
                      <w:fldChar w:fldCharType="separate"/>
                    </w:r>
                    <w:r>
                      <w:rPr>
                        <w:rStyle w:val="135"/>
                      </w:rPr>
                      <w:t>80</w:t>
                    </w:r>
                    <w:r>
                      <w:fldChar w:fldCharType="end"/>
                    </w:r>
                  </w:p>
                </w:txbxContent>
              </v:textbox>
            </v:shape>
          </w:pict>
        </mc:Fallback>
      </mc:AlternateContent>
    </w:r>
    <w:r>
      <w:rPr>
        <w:rFonts w:hint="eastAsia"/>
      </w:rPr>
      <w:t>宁夏智诚安环技术咨询有限公司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autoSpaceDE w:val="0"/>
      <w:autoSpaceDN w:val="0"/>
      <w:jc w:val="both"/>
      <w:textAlignment w:val="bottom"/>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6"/>
                            <w:rPr>
                              <w:rStyle w:val="135"/>
                            </w:rPr>
                          </w:pPr>
                          <w:r>
                            <w:fldChar w:fldCharType="begin"/>
                          </w:r>
                          <w:r>
                            <w:rPr>
                              <w:rStyle w:val="135"/>
                            </w:rPr>
                            <w:instrText xml:space="preserve">PAGE  </w:instrText>
                          </w:r>
                          <w:r>
                            <w:fldChar w:fldCharType="separate"/>
                          </w:r>
                          <w:r>
                            <w:rPr>
                              <w:rStyle w:val="135"/>
                            </w:rPr>
                            <w:t>158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56"/>
                      <w:rPr>
                        <w:rStyle w:val="135"/>
                      </w:rPr>
                    </w:pPr>
                    <w:r>
                      <w:fldChar w:fldCharType="begin"/>
                    </w:r>
                    <w:r>
                      <w:rPr>
                        <w:rStyle w:val="135"/>
                      </w:rPr>
                      <w:instrText xml:space="preserve">PAGE  </w:instrText>
                    </w:r>
                    <w:r>
                      <w:fldChar w:fldCharType="separate"/>
                    </w:r>
                    <w:r>
                      <w:rPr>
                        <w:rStyle w:val="135"/>
                      </w:rPr>
                      <w:t>158</w:t>
                    </w:r>
                    <w:r>
                      <w:fldChar w:fldCharType="end"/>
                    </w:r>
                  </w:p>
                </w:txbxContent>
              </v:textbox>
            </v:shape>
          </w:pict>
        </mc:Fallback>
      </mc:AlternateContent>
    </w:r>
    <w:r>
      <w:rPr>
        <w:rFonts w:hint="eastAsia"/>
      </w:rPr>
      <w:t>宁夏智诚安环技术咨询有限公司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rPr>
        <w:b/>
      </w:rPr>
    </w:pPr>
    <w:r>
      <w:rPr>
        <w:rFonts w:hint="eastAsia"/>
        <w:sz w:val="19"/>
        <w:szCs w:val="21"/>
      </w:rPr>
      <w:t>四川黑洋洋农业有限公司黑山羊屠宰加工项目环境影响报告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spacing w:line="240" w:lineRule="auto"/>
      <w:rPr>
        <w:sz w:val="19"/>
        <w:szCs w:val="21"/>
      </w:rPr>
    </w:pPr>
    <w:r>
      <w:rPr>
        <w:rFonts w:hint="eastAsia"/>
        <w:sz w:val="19"/>
        <w:szCs w:val="21"/>
      </w:rPr>
      <w:t>井研县</w:t>
    </w:r>
    <w:r>
      <w:rPr>
        <w:sz w:val="19"/>
        <w:szCs w:val="21"/>
      </w:rPr>
      <w:t>高凤循环农业生态园</w:t>
    </w:r>
    <w:r>
      <w:rPr>
        <w:rFonts w:hint="eastAsia"/>
        <w:sz w:val="19"/>
        <w:szCs w:val="21"/>
      </w:rPr>
      <w:t>生猪标准化生态养殖</w:t>
    </w:r>
    <w:r>
      <w:rPr>
        <w:sz w:val="19"/>
        <w:szCs w:val="21"/>
      </w:rPr>
      <w:t>园区建设</w:t>
    </w:r>
    <w:r>
      <w:rPr>
        <w:rFonts w:hint="eastAsia"/>
        <w:sz w:val="19"/>
        <w:szCs w:val="21"/>
      </w:rPr>
      <w:t>项目环境影响报告书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jc w:val="both"/>
    </w:pPr>
    <w:r>
      <w:rPr>
        <w:rFonts w:hint="eastAsia"/>
        <w:sz w:val="19"/>
        <w:szCs w:val="21"/>
      </w:rPr>
      <w:t>乐山正邦养殖有限公司井研县</w:t>
    </w:r>
    <w:r>
      <w:rPr>
        <w:sz w:val="19"/>
        <w:szCs w:val="21"/>
      </w:rPr>
      <w:t>高凤循环农业生态园</w:t>
    </w:r>
    <w:r>
      <w:rPr>
        <w:rFonts w:hint="eastAsia"/>
        <w:sz w:val="19"/>
        <w:szCs w:val="21"/>
      </w:rPr>
      <w:t>生猪标准化生态养殖</w:t>
    </w:r>
    <w:r>
      <w:rPr>
        <w:sz w:val="19"/>
        <w:szCs w:val="21"/>
      </w:rPr>
      <w:t>园区建设</w:t>
    </w:r>
    <w:r>
      <w:rPr>
        <w:rFonts w:hint="eastAsia"/>
        <w:sz w:val="19"/>
        <w:szCs w:val="21"/>
      </w:rPr>
      <w:t>项目环境影响报告书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rPr>
        <w:sz w:val="19"/>
        <w:szCs w:val="21"/>
      </w:rPr>
    </w:pPr>
    <w:r>
      <w:rPr>
        <w:rFonts w:hint="eastAsia"/>
        <w:sz w:val="19"/>
        <w:szCs w:val="21"/>
      </w:rPr>
      <w:t>乐山正邦养殖有限公司井研县</w:t>
    </w:r>
    <w:r>
      <w:rPr>
        <w:sz w:val="19"/>
        <w:szCs w:val="21"/>
      </w:rPr>
      <w:t>高凤循环农业生态园</w:t>
    </w:r>
    <w:r>
      <w:rPr>
        <w:rFonts w:hint="eastAsia"/>
        <w:sz w:val="19"/>
        <w:szCs w:val="21"/>
      </w:rPr>
      <w:t>生猪标准化生态养殖</w:t>
    </w:r>
    <w:r>
      <w:rPr>
        <w:sz w:val="19"/>
        <w:szCs w:val="21"/>
      </w:rPr>
      <w:t>园区建设</w:t>
    </w:r>
    <w:r>
      <w:rPr>
        <w:rFonts w:hint="eastAsia"/>
        <w:sz w:val="19"/>
        <w:szCs w:val="21"/>
      </w:rPr>
      <w:t>项目环境影响报告书</w:t>
    </w: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pStyle w:val="2383"/>
      <w:lvlText w:val="%1"/>
      <w:lvlJc w:val="left"/>
      <w:pPr>
        <w:tabs>
          <w:tab w:val="left" w:pos="715"/>
        </w:tabs>
        <w:ind w:left="715" w:hanging="432"/>
      </w:pPr>
      <w:rPr>
        <w:rFonts w:hint="default"/>
      </w:rPr>
    </w:lvl>
    <w:lvl w:ilvl="1" w:tentative="0">
      <w:start w:val="1"/>
      <w:numFmt w:val="decimal"/>
      <w:pStyle w:val="6"/>
      <w:lvlText w:val="%1.%2"/>
      <w:lvlJc w:val="left"/>
      <w:pPr>
        <w:tabs>
          <w:tab w:val="left" w:pos="860"/>
        </w:tabs>
        <w:ind w:left="284" w:firstLine="0"/>
      </w:pPr>
      <w:rPr>
        <w:rFonts w:hint="eastAsia"/>
      </w:rPr>
    </w:lvl>
    <w:lvl w:ilvl="2" w:tentative="0">
      <w:start w:val="1"/>
      <w:numFmt w:val="decimal"/>
      <w:pStyle w:val="7"/>
      <w:lvlText w:val="%1.%2.%3"/>
      <w:lvlJc w:val="left"/>
      <w:pPr>
        <w:tabs>
          <w:tab w:val="left" w:pos="2705"/>
        </w:tabs>
        <w:ind w:left="2705" w:hanging="720"/>
      </w:pPr>
      <w:rPr>
        <w:rFonts w:hint="eastAsia"/>
        <w:color w:val="000000"/>
      </w:rPr>
    </w:lvl>
    <w:lvl w:ilvl="3" w:tentative="0">
      <w:start w:val="1"/>
      <w:numFmt w:val="decimal"/>
      <w:lvlText w:val="%1.%2.%3.%4"/>
      <w:lvlJc w:val="left"/>
      <w:pPr>
        <w:tabs>
          <w:tab w:val="left" w:pos="864"/>
        </w:tabs>
        <w:ind w:left="864" w:hanging="864"/>
      </w:pPr>
      <w:rPr>
        <w:rFonts w:hint="default" w:ascii="Times New Roman" w:hAnsi="Times New Roman" w:cs="Times New Roman"/>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00616F9"/>
    <w:multiLevelType w:val="multilevel"/>
    <w:tmpl w:val="000616F9"/>
    <w:lvl w:ilvl="0" w:tentative="0">
      <w:start w:val="1"/>
      <w:numFmt w:val="decimal"/>
      <w:pStyle w:val="2755"/>
      <w:lvlText w:val="表8.3 -%1"/>
      <w:lvlJc w:val="center"/>
      <w:pPr>
        <w:tabs>
          <w:tab w:val="left" w:pos="726"/>
        </w:tabs>
        <w:ind w:left="2" w:firstLine="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1C33499"/>
    <w:multiLevelType w:val="multilevel"/>
    <w:tmpl w:val="01C33499"/>
    <w:lvl w:ilvl="0" w:tentative="0">
      <w:start w:val="7"/>
      <w:numFmt w:val="decimal"/>
      <w:lvlText w:val="%1"/>
      <w:lvlJc w:val="left"/>
      <w:pPr>
        <w:tabs>
          <w:tab w:val="left" w:pos="-164"/>
        </w:tabs>
        <w:ind w:left="-164" w:hanging="425"/>
      </w:pPr>
      <w:rPr>
        <w:rFonts w:hint="eastAsia"/>
      </w:rPr>
    </w:lvl>
    <w:lvl w:ilvl="1" w:tentative="0">
      <w:start w:val="1"/>
      <w:numFmt w:val="decimal"/>
      <w:lvlText w:val="%1.%2"/>
      <w:lvlJc w:val="left"/>
      <w:pPr>
        <w:tabs>
          <w:tab w:val="left" w:pos="916"/>
        </w:tabs>
        <w:ind w:left="403" w:hanging="567"/>
      </w:pPr>
      <w:rPr>
        <w:rFonts w:hint="eastAsia"/>
      </w:rPr>
    </w:lvl>
    <w:lvl w:ilvl="2" w:tentative="0">
      <w:start w:val="1"/>
      <w:numFmt w:val="decimal"/>
      <w:lvlText w:val="%1.%2.%3"/>
      <w:lvlJc w:val="left"/>
      <w:pPr>
        <w:tabs>
          <w:tab w:val="left" w:pos="1702"/>
        </w:tabs>
        <w:ind w:left="829" w:hanging="567"/>
      </w:pPr>
      <w:rPr>
        <w:rFonts w:hint="eastAsia"/>
      </w:rPr>
    </w:lvl>
    <w:lvl w:ilvl="3" w:tentative="0">
      <w:start w:val="1"/>
      <w:numFmt w:val="decimal"/>
      <w:pStyle w:val="1605"/>
      <w:lvlText w:val="%1.5.4.%4"/>
      <w:lvlJc w:val="left"/>
      <w:pPr>
        <w:tabs>
          <w:tab w:val="left" w:pos="2847"/>
        </w:tabs>
        <w:ind w:left="1395" w:hanging="708"/>
      </w:pPr>
      <w:rPr>
        <w:rFonts w:hint="default" w:ascii="Times New Roman" w:hAnsi="Times New Roman"/>
      </w:rPr>
    </w:lvl>
    <w:lvl w:ilvl="4" w:tentative="0">
      <w:start w:val="1"/>
      <w:numFmt w:val="decimal"/>
      <w:lvlText w:val="%1.%2.%3.%4.%5"/>
      <w:lvlJc w:val="left"/>
      <w:pPr>
        <w:tabs>
          <w:tab w:val="left" w:pos="3992"/>
        </w:tabs>
        <w:ind w:left="1962" w:hanging="850"/>
      </w:pPr>
      <w:rPr>
        <w:rFonts w:hint="eastAsia"/>
      </w:rPr>
    </w:lvl>
    <w:lvl w:ilvl="5" w:tentative="0">
      <w:start w:val="1"/>
      <w:numFmt w:val="decimal"/>
      <w:lvlText w:val="%1.%2.%3.%4.%5.%6"/>
      <w:lvlJc w:val="left"/>
      <w:pPr>
        <w:tabs>
          <w:tab w:val="left" w:pos="4777"/>
        </w:tabs>
        <w:ind w:left="2671" w:hanging="1134"/>
      </w:pPr>
      <w:rPr>
        <w:rFonts w:hint="eastAsia"/>
      </w:rPr>
    </w:lvl>
    <w:lvl w:ilvl="6" w:tentative="0">
      <w:start w:val="1"/>
      <w:numFmt w:val="decimal"/>
      <w:lvlText w:val="%1.%2.%3.%4.%5.%6.%7"/>
      <w:lvlJc w:val="left"/>
      <w:pPr>
        <w:tabs>
          <w:tab w:val="left" w:pos="5922"/>
        </w:tabs>
        <w:ind w:left="3238" w:hanging="1276"/>
      </w:pPr>
      <w:rPr>
        <w:rFonts w:hint="eastAsia"/>
      </w:rPr>
    </w:lvl>
    <w:lvl w:ilvl="7" w:tentative="0">
      <w:start w:val="1"/>
      <w:numFmt w:val="decimal"/>
      <w:lvlText w:val="%1.%2.%3.%4.%5.%6.%7.%8"/>
      <w:lvlJc w:val="left"/>
      <w:pPr>
        <w:tabs>
          <w:tab w:val="left" w:pos="6707"/>
        </w:tabs>
        <w:ind w:left="3805" w:hanging="1418"/>
      </w:pPr>
      <w:rPr>
        <w:rFonts w:hint="eastAsia"/>
      </w:rPr>
    </w:lvl>
    <w:lvl w:ilvl="8" w:tentative="0">
      <w:start w:val="1"/>
      <w:numFmt w:val="decimal"/>
      <w:lvlText w:val="%1.%2.%3.%4.%5.%6.%7.%8.%9"/>
      <w:lvlJc w:val="left"/>
      <w:pPr>
        <w:tabs>
          <w:tab w:val="left" w:pos="7853"/>
        </w:tabs>
        <w:ind w:left="4513" w:hanging="1700"/>
      </w:pPr>
      <w:rPr>
        <w:rFonts w:hint="eastAsia"/>
      </w:rPr>
    </w:lvl>
  </w:abstractNum>
  <w:abstractNum w:abstractNumId="3">
    <w:nsid w:val="01D31CB4"/>
    <w:multiLevelType w:val="multilevel"/>
    <w:tmpl w:val="01D31CB4"/>
    <w:lvl w:ilvl="0" w:tentative="0">
      <w:start w:val="1"/>
      <w:numFmt w:val="decimal"/>
      <w:pStyle w:val="2901"/>
      <w:lvlText w:val="表7.2 -%1"/>
      <w:lvlJc w:val="center"/>
      <w:pPr>
        <w:tabs>
          <w:tab w:val="left" w:pos="726"/>
        </w:tabs>
        <w:ind w:left="2" w:firstLine="4"/>
      </w:pPr>
      <w:rPr>
        <w:rFonts w:hint="default" w:ascii="Times New Roman" w:hAnsi="Times New Roman"/>
        <w:b/>
        <w:i w:val="0"/>
        <w:sz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22D2185"/>
    <w:multiLevelType w:val="multilevel"/>
    <w:tmpl w:val="022D2185"/>
    <w:lvl w:ilvl="0" w:tentative="0">
      <w:start w:val="16"/>
      <w:numFmt w:val="decimal"/>
      <w:lvlText w:val="%1"/>
      <w:lvlJc w:val="left"/>
      <w:pPr>
        <w:tabs>
          <w:tab w:val="left" w:pos="425"/>
        </w:tabs>
        <w:ind w:left="425" w:hanging="425"/>
      </w:pPr>
      <w:rPr>
        <w:rFonts w:hint="eastAsia"/>
      </w:rPr>
    </w:lvl>
    <w:lvl w:ilvl="1" w:tentative="0">
      <w:start w:val="7"/>
      <w:numFmt w:val="decimal"/>
      <w:lvlText w:val="%1.%2"/>
      <w:lvlJc w:val="left"/>
      <w:pPr>
        <w:tabs>
          <w:tab w:val="left" w:pos="-186"/>
        </w:tabs>
        <w:ind w:left="-906" w:firstLine="0"/>
      </w:pPr>
      <w:rPr>
        <w:rFonts w:hint="eastAsia"/>
      </w:rPr>
    </w:lvl>
    <w:lvl w:ilvl="2" w:tentative="0">
      <w:start w:val="1"/>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2242"/>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09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311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4DD54C0"/>
    <w:multiLevelType w:val="multilevel"/>
    <w:tmpl w:val="04DD54C0"/>
    <w:lvl w:ilvl="0" w:tentative="0">
      <w:start w:val="1"/>
      <w:numFmt w:val="decimal"/>
      <w:pStyle w:val="2232"/>
      <w:lvlText w:val="(%1)"/>
      <w:lvlJc w:val="left"/>
      <w:pPr>
        <w:tabs>
          <w:tab w:val="left" w:pos="1202"/>
        </w:tabs>
        <w:ind w:left="1202"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6243E8C"/>
    <w:multiLevelType w:val="multilevel"/>
    <w:tmpl w:val="06243E8C"/>
    <w:lvl w:ilvl="0" w:tentative="0">
      <w:start w:val="1"/>
      <w:numFmt w:val="decimal"/>
      <w:pStyle w:val="1661"/>
      <w:lvlText w:val="表3.3-%1"/>
      <w:lvlJc w:val="center"/>
      <w:pPr>
        <w:tabs>
          <w:tab w:val="left" w:pos="720"/>
        </w:tabs>
        <w:ind w:left="-4" w:firstLine="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83E6BB7"/>
    <w:multiLevelType w:val="multilevel"/>
    <w:tmpl w:val="083E6BB7"/>
    <w:lvl w:ilvl="0" w:tentative="0">
      <w:start w:val="1"/>
      <w:numFmt w:val="decimal"/>
      <w:pStyle w:val="1930"/>
      <w:lvlText w:val="表5.3-%1"/>
      <w:lvlJc w:val="left"/>
      <w:pPr>
        <w:tabs>
          <w:tab w:val="left" w:pos="420"/>
        </w:tabs>
        <w:ind w:left="420" w:hanging="420"/>
      </w:pPr>
      <w:rPr>
        <w:rFonts w:hint="default" w:ascii="Times New Roman" w:hAnsi="Times New Roman"/>
        <w:b/>
        <w:i w:val="0"/>
        <w:color w:val="000000"/>
        <w:sz w:val="24"/>
        <w:szCs w:val="24"/>
      </w:rPr>
    </w:lvl>
    <w:lvl w:ilvl="1" w:tentative="0">
      <w:start w:val="1"/>
      <w:numFmt w:val="lowerLetter"/>
      <w:lvlText w:val="%2)"/>
      <w:lvlJc w:val="left"/>
      <w:pPr>
        <w:tabs>
          <w:tab w:val="left" w:pos="2307"/>
        </w:tabs>
        <w:ind w:left="2307" w:hanging="420"/>
      </w:pPr>
    </w:lvl>
    <w:lvl w:ilvl="2" w:tentative="0">
      <w:start w:val="1"/>
      <w:numFmt w:val="lowerRoman"/>
      <w:lvlText w:val="%3."/>
      <w:lvlJc w:val="right"/>
      <w:pPr>
        <w:tabs>
          <w:tab w:val="left" w:pos="2727"/>
        </w:tabs>
        <w:ind w:left="2727" w:hanging="420"/>
      </w:pPr>
    </w:lvl>
    <w:lvl w:ilvl="3" w:tentative="0">
      <w:start w:val="1"/>
      <w:numFmt w:val="decimal"/>
      <w:lvlText w:val="%4."/>
      <w:lvlJc w:val="left"/>
      <w:pPr>
        <w:tabs>
          <w:tab w:val="left" w:pos="3147"/>
        </w:tabs>
        <w:ind w:left="3147" w:hanging="420"/>
      </w:pPr>
    </w:lvl>
    <w:lvl w:ilvl="4" w:tentative="0">
      <w:start w:val="1"/>
      <w:numFmt w:val="lowerLetter"/>
      <w:lvlText w:val="%5)"/>
      <w:lvlJc w:val="left"/>
      <w:pPr>
        <w:tabs>
          <w:tab w:val="left" w:pos="3567"/>
        </w:tabs>
        <w:ind w:left="3567" w:hanging="420"/>
      </w:pPr>
    </w:lvl>
    <w:lvl w:ilvl="5" w:tentative="0">
      <w:start w:val="1"/>
      <w:numFmt w:val="lowerRoman"/>
      <w:lvlText w:val="%6."/>
      <w:lvlJc w:val="right"/>
      <w:pPr>
        <w:tabs>
          <w:tab w:val="left" w:pos="3987"/>
        </w:tabs>
        <w:ind w:left="3987" w:hanging="420"/>
      </w:pPr>
    </w:lvl>
    <w:lvl w:ilvl="6" w:tentative="0">
      <w:start w:val="1"/>
      <w:numFmt w:val="decimal"/>
      <w:lvlText w:val="%7."/>
      <w:lvlJc w:val="left"/>
      <w:pPr>
        <w:tabs>
          <w:tab w:val="left" w:pos="4407"/>
        </w:tabs>
        <w:ind w:left="4407" w:hanging="420"/>
      </w:pPr>
    </w:lvl>
    <w:lvl w:ilvl="7" w:tentative="0">
      <w:start w:val="1"/>
      <w:numFmt w:val="lowerLetter"/>
      <w:lvlText w:val="%8)"/>
      <w:lvlJc w:val="left"/>
      <w:pPr>
        <w:tabs>
          <w:tab w:val="left" w:pos="4827"/>
        </w:tabs>
        <w:ind w:left="4827" w:hanging="420"/>
      </w:pPr>
    </w:lvl>
    <w:lvl w:ilvl="8" w:tentative="0">
      <w:start w:val="1"/>
      <w:numFmt w:val="lowerRoman"/>
      <w:lvlText w:val="%9."/>
      <w:lvlJc w:val="right"/>
      <w:pPr>
        <w:tabs>
          <w:tab w:val="left" w:pos="5247"/>
        </w:tabs>
        <w:ind w:left="5247" w:hanging="420"/>
      </w:pPr>
    </w:lvl>
  </w:abstractNum>
  <w:abstractNum w:abstractNumId="9">
    <w:nsid w:val="0A5213F3"/>
    <w:multiLevelType w:val="multilevel"/>
    <w:tmpl w:val="0A5213F3"/>
    <w:lvl w:ilvl="0" w:tentative="0">
      <w:start w:val="1"/>
      <w:numFmt w:val="decimal"/>
      <w:pStyle w:val="2656"/>
      <w:lvlText w:val="表5.8-%1"/>
      <w:lvlJc w:val="left"/>
      <w:pPr>
        <w:tabs>
          <w:tab w:val="left" w:pos="1653"/>
        </w:tabs>
        <w:ind w:left="993" w:hanging="42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CD74E55"/>
    <w:multiLevelType w:val="multilevel"/>
    <w:tmpl w:val="0CD74E55"/>
    <w:lvl w:ilvl="0" w:tentative="0">
      <w:start w:val="16"/>
      <w:numFmt w:val="decimal"/>
      <w:lvlText w:val="%1"/>
      <w:lvlJc w:val="left"/>
      <w:pPr>
        <w:tabs>
          <w:tab w:val="left" w:pos="425"/>
        </w:tabs>
        <w:ind w:left="425" w:hanging="425"/>
      </w:pPr>
      <w:rPr>
        <w:rFonts w:hint="eastAsia"/>
      </w:rPr>
    </w:lvl>
    <w:lvl w:ilvl="1" w:tentative="0">
      <w:start w:val="9"/>
      <w:numFmt w:val="decimal"/>
      <w:lvlText w:val="%1.%2"/>
      <w:lvlJc w:val="left"/>
      <w:pPr>
        <w:tabs>
          <w:tab w:val="left" w:pos="-186"/>
        </w:tabs>
        <w:ind w:left="-906" w:firstLine="0"/>
      </w:pPr>
      <w:rPr>
        <w:rFonts w:hint="eastAsia"/>
      </w:rPr>
    </w:lvl>
    <w:lvl w:ilvl="2" w:tentative="0">
      <w:start w:val="2"/>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3034"/>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1">
    <w:nsid w:val="10D1472A"/>
    <w:multiLevelType w:val="multilevel"/>
    <w:tmpl w:val="10D1472A"/>
    <w:lvl w:ilvl="0" w:tentative="0">
      <w:start w:val="13"/>
      <w:numFmt w:val="decimal"/>
      <w:lvlText w:val="%1"/>
      <w:lvlJc w:val="left"/>
      <w:pPr>
        <w:tabs>
          <w:tab w:val="left" w:pos="-2556"/>
        </w:tabs>
        <w:ind w:left="-2556" w:hanging="425"/>
      </w:pPr>
      <w:rPr>
        <w:rFonts w:hint="eastAsia"/>
      </w:rPr>
    </w:lvl>
    <w:lvl w:ilvl="1" w:tentative="0">
      <w:start w:val="1"/>
      <w:numFmt w:val="decimal"/>
      <w:lvlText w:val="%1.%2"/>
      <w:lvlJc w:val="left"/>
      <w:pPr>
        <w:tabs>
          <w:tab w:val="left" w:pos="-1476"/>
        </w:tabs>
        <w:ind w:left="-1989" w:hanging="567"/>
      </w:pPr>
      <w:rPr>
        <w:rFonts w:hint="eastAsia"/>
      </w:rPr>
    </w:lvl>
    <w:lvl w:ilvl="2" w:tentative="0">
      <w:start w:val="1"/>
      <w:numFmt w:val="decimal"/>
      <w:lvlText w:val="%1.%2.%3"/>
      <w:lvlJc w:val="left"/>
      <w:pPr>
        <w:tabs>
          <w:tab w:val="left" w:pos="-690"/>
        </w:tabs>
        <w:ind w:left="-1563" w:hanging="567"/>
      </w:pPr>
      <w:rPr>
        <w:rFonts w:hint="eastAsia"/>
      </w:rPr>
    </w:lvl>
    <w:lvl w:ilvl="3" w:tentative="0">
      <w:start w:val="1"/>
      <w:numFmt w:val="decimal"/>
      <w:pStyle w:val="2141"/>
      <w:lvlText w:val="17.%2.%3.%4"/>
      <w:lvlJc w:val="left"/>
      <w:pPr>
        <w:tabs>
          <w:tab w:val="left" w:pos="284"/>
        </w:tabs>
        <w:ind w:left="-997" w:firstLine="997"/>
      </w:pPr>
      <w:rPr>
        <w:rFonts w:hint="default" w:ascii="Times New Roman" w:hAnsi="Times New Roman"/>
      </w:rPr>
    </w:lvl>
    <w:lvl w:ilvl="4" w:tentative="0">
      <w:start w:val="1"/>
      <w:numFmt w:val="decimal"/>
      <w:lvlText w:val="%1.%2.%3.%4.%5"/>
      <w:lvlJc w:val="left"/>
      <w:pPr>
        <w:tabs>
          <w:tab w:val="left" w:pos="1600"/>
        </w:tabs>
        <w:ind w:left="-430" w:hanging="850"/>
      </w:pPr>
      <w:rPr>
        <w:rFonts w:hint="eastAsia"/>
      </w:rPr>
    </w:lvl>
    <w:lvl w:ilvl="5" w:tentative="0">
      <w:start w:val="1"/>
      <w:numFmt w:val="decimal"/>
      <w:lvlText w:val="%1.%2.%3.%4.%5.%6"/>
      <w:lvlJc w:val="left"/>
      <w:pPr>
        <w:tabs>
          <w:tab w:val="left" w:pos="2385"/>
        </w:tabs>
        <w:ind w:left="279" w:hanging="1134"/>
      </w:pPr>
      <w:rPr>
        <w:rFonts w:hint="eastAsia"/>
      </w:rPr>
    </w:lvl>
    <w:lvl w:ilvl="6" w:tentative="0">
      <w:start w:val="1"/>
      <w:numFmt w:val="decimal"/>
      <w:lvlText w:val="%1.%2.%3.%4.%5.%6.%7"/>
      <w:lvlJc w:val="left"/>
      <w:pPr>
        <w:tabs>
          <w:tab w:val="left" w:pos="3530"/>
        </w:tabs>
        <w:ind w:left="846" w:hanging="1276"/>
      </w:pPr>
      <w:rPr>
        <w:rFonts w:hint="eastAsia"/>
      </w:rPr>
    </w:lvl>
    <w:lvl w:ilvl="7" w:tentative="0">
      <w:start w:val="1"/>
      <w:numFmt w:val="decimal"/>
      <w:lvlText w:val="%1.%2.%3.%4.%5.%6.%7.%8"/>
      <w:lvlJc w:val="left"/>
      <w:pPr>
        <w:tabs>
          <w:tab w:val="left" w:pos="4315"/>
        </w:tabs>
        <w:ind w:left="1413" w:hanging="1418"/>
      </w:pPr>
      <w:rPr>
        <w:rFonts w:hint="eastAsia"/>
      </w:rPr>
    </w:lvl>
    <w:lvl w:ilvl="8" w:tentative="0">
      <w:start w:val="1"/>
      <w:numFmt w:val="decimal"/>
      <w:lvlText w:val="%1.%2.%3.%4.%5.%6.%7.%8.%9"/>
      <w:lvlJc w:val="left"/>
      <w:pPr>
        <w:tabs>
          <w:tab w:val="left" w:pos="5461"/>
        </w:tabs>
        <w:ind w:left="2121" w:hanging="1700"/>
      </w:pPr>
      <w:rPr>
        <w:rFonts w:hint="eastAsia"/>
      </w:rPr>
    </w:lvl>
  </w:abstractNum>
  <w:abstractNum w:abstractNumId="12">
    <w:nsid w:val="11953967"/>
    <w:multiLevelType w:val="multilevel"/>
    <w:tmpl w:val="11953967"/>
    <w:lvl w:ilvl="0" w:tentative="0">
      <w:start w:val="1"/>
      <w:numFmt w:val="decimal"/>
      <w:pStyle w:val="1811"/>
      <w:lvlText w:val="第%1条"/>
      <w:lvlJc w:val="left"/>
      <w:pPr>
        <w:tabs>
          <w:tab w:val="left" w:pos="1021"/>
        </w:tabs>
        <w:ind w:left="1021" w:hanging="1021"/>
      </w:pPr>
      <w:rPr>
        <w:rFonts w:hint="eastAsia" w:eastAsia="宋体"/>
        <w:b/>
        <w:i w:val="0"/>
        <w:color w:val="000000"/>
        <w:sz w:val="24"/>
        <w:szCs w:val="24"/>
        <w:u w:val="none"/>
        <w:lang w:val="en-U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lang w:val="en-US"/>
      </w:rPr>
    </w:lvl>
    <w:lvl w:ilvl="3" w:tentative="0">
      <w:start w:val="1"/>
      <w:numFmt w:val="decimal"/>
      <w:lvlText w:val="(%4)"/>
      <w:lvlJc w:val="left"/>
      <w:pPr>
        <w:tabs>
          <w:tab w:val="left" w:pos="1620"/>
        </w:tabs>
        <w:ind w:left="1620" w:hanging="360"/>
      </w:pPr>
      <w:rPr>
        <w:rFonts w:hint="eastAsia"/>
      </w:rPr>
    </w:lvl>
    <w:lvl w:ilvl="4" w:tentative="0">
      <w:start w:val="1"/>
      <w:numFmt w:val="decimal"/>
      <w:lvlText w:val="%5、"/>
      <w:lvlJc w:val="left"/>
      <w:pPr>
        <w:tabs>
          <w:tab w:val="left" w:pos="2040"/>
        </w:tabs>
        <w:ind w:left="2040" w:hanging="360"/>
      </w:pPr>
      <w:rPr>
        <w:rFonts w:hint="eastAsia"/>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14CB681D"/>
    <w:multiLevelType w:val="multilevel"/>
    <w:tmpl w:val="14CB681D"/>
    <w:lvl w:ilvl="0" w:tentative="0">
      <w:start w:val="16"/>
      <w:numFmt w:val="decimal"/>
      <w:lvlText w:val="%1"/>
      <w:lvlJc w:val="left"/>
      <w:pPr>
        <w:tabs>
          <w:tab w:val="left" w:pos="425"/>
        </w:tabs>
        <w:ind w:left="425" w:hanging="425"/>
      </w:pPr>
      <w:rPr>
        <w:rFonts w:hint="eastAsia"/>
      </w:rPr>
    </w:lvl>
    <w:lvl w:ilvl="1" w:tentative="0">
      <w:start w:val="8"/>
      <w:numFmt w:val="decimal"/>
      <w:lvlText w:val="%1.%2"/>
      <w:lvlJc w:val="left"/>
      <w:pPr>
        <w:tabs>
          <w:tab w:val="left" w:pos="-186"/>
        </w:tabs>
        <w:ind w:left="-906" w:firstLine="0"/>
      </w:pPr>
      <w:rPr>
        <w:rFonts w:hint="eastAsia"/>
      </w:rPr>
    </w:lvl>
    <w:lvl w:ilvl="2" w:tentative="0">
      <w:start w:val="1"/>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2380"/>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14FB26B7"/>
    <w:multiLevelType w:val="multilevel"/>
    <w:tmpl w:val="14FB26B7"/>
    <w:lvl w:ilvl="0" w:tentative="0">
      <w:start w:val="16"/>
      <w:numFmt w:val="decimal"/>
      <w:isLgl/>
      <w:suff w:val="nothing"/>
      <w:lvlText w:val="%1"/>
      <w:lvlJc w:val="left"/>
      <w:pPr>
        <w:ind w:left="432" w:hanging="432"/>
      </w:pPr>
      <w:rPr>
        <w:rFonts w:hint="eastAsia" w:eastAsia="黑体"/>
        <w:b/>
        <w:i w:val="0"/>
        <w:caps/>
        <w:sz w:val="36"/>
      </w:rPr>
    </w:lvl>
    <w:lvl w:ilvl="1" w:tentative="0">
      <w:start w:val="2"/>
      <w:numFmt w:val="decimal"/>
      <w:suff w:val="nothing"/>
      <w:lvlText w:val="%1.%2"/>
      <w:lvlJc w:val="left"/>
      <w:pPr>
        <w:ind w:left="576" w:hanging="576"/>
      </w:pPr>
      <w:rPr>
        <w:rFonts w:hint="default" w:ascii="Times New Roman" w:hAnsi="Times New Roman" w:eastAsia="宋体"/>
        <w:b/>
        <w:i w:val="0"/>
        <w:caps/>
        <w:sz w:val="30"/>
      </w:rPr>
    </w:lvl>
    <w:lvl w:ilvl="2" w:tentative="0">
      <w:start w:val="1"/>
      <w:numFmt w:val="decimal"/>
      <w:suff w:val="nothing"/>
      <w:lvlText w:val="%1.%2.%3"/>
      <w:lvlJc w:val="left"/>
      <w:pPr>
        <w:ind w:left="720" w:hanging="720"/>
      </w:pPr>
      <w:rPr>
        <w:rFonts w:hint="default" w:ascii="Times New Roman" w:hAnsi="Times New Roman"/>
        <w:sz w:val="24"/>
      </w:rPr>
    </w:lvl>
    <w:lvl w:ilvl="3" w:tentative="0">
      <w:start w:val="1"/>
      <w:numFmt w:val="decimal"/>
      <w:pStyle w:val="2747"/>
      <w:suff w:val="nothing"/>
      <w:lvlText w:val="%1.%2.%3.%4"/>
      <w:lvlJc w:val="left"/>
      <w:pPr>
        <w:ind w:left="864" w:hanging="864"/>
      </w:pPr>
      <w:rPr>
        <w:rFonts w:hint="default" w:ascii="Times New Roman" w:hAnsi="Times New Roman"/>
        <w:sz w:val="24"/>
      </w:rPr>
    </w:lvl>
    <w:lvl w:ilvl="4" w:tentative="0">
      <w:start w:val="1"/>
      <w:numFmt w:val="decimal"/>
      <w:lvlText w:val="%111.%2.%3.%4.%5"/>
      <w:lvlJc w:val="left"/>
      <w:pPr>
        <w:tabs>
          <w:tab w:val="left" w:pos="216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5">
    <w:nsid w:val="1509323A"/>
    <w:multiLevelType w:val="multilevel"/>
    <w:tmpl w:val="1509323A"/>
    <w:lvl w:ilvl="0" w:tentative="0">
      <w:start w:val="1"/>
      <w:numFmt w:val="decimal"/>
      <w:lvlText w:val="%1"/>
      <w:lvlJc w:val="left"/>
      <w:pPr>
        <w:tabs>
          <w:tab w:val="left" w:pos="567"/>
        </w:tabs>
        <w:ind w:left="567" w:hanging="567"/>
      </w:pPr>
      <w:rPr>
        <w:rFonts w:hint="eastAsia"/>
      </w:rPr>
    </w:lvl>
    <w:lvl w:ilvl="1" w:tentative="0">
      <w:start w:val="1"/>
      <w:numFmt w:val="decimal"/>
      <w:pStyle w:val="622"/>
      <w:lvlText w:val="%1.%2"/>
      <w:lvlJc w:val="left"/>
      <w:pPr>
        <w:tabs>
          <w:tab w:val="left" w:pos="567"/>
        </w:tabs>
        <w:ind w:left="567" w:hanging="567"/>
      </w:pPr>
      <w:rPr>
        <w:rFonts w:hint="eastAsia"/>
      </w:rPr>
    </w:lvl>
    <w:lvl w:ilvl="2" w:tentative="0">
      <w:start w:val="1"/>
      <w:numFmt w:val="bullet"/>
      <w:lvlText w:val=""/>
      <w:lvlJc w:val="left"/>
      <w:pPr>
        <w:tabs>
          <w:tab w:val="left" w:pos="927"/>
        </w:tabs>
        <w:ind w:left="794" w:hanging="227"/>
      </w:pPr>
      <w:rPr>
        <w:rFonts w:hint="default" w:ascii="Symbol" w:hAnsi="Symbol"/>
        <w:color w:val="auto"/>
      </w:rPr>
    </w:lvl>
    <w:lvl w:ilvl="3" w:tentative="0">
      <w:start w:val="1"/>
      <w:numFmt w:val="none"/>
      <w:lvlText w:val=""/>
      <w:lvlJc w:val="left"/>
      <w:pPr>
        <w:tabs>
          <w:tab w:val="left" w:pos="927"/>
        </w:tabs>
        <w:ind w:left="794" w:hanging="227"/>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6">
    <w:nsid w:val="15785348"/>
    <w:multiLevelType w:val="multilevel"/>
    <w:tmpl w:val="15785348"/>
    <w:lvl w:ilvl="0" w:tentative="0">
      <w:start w:val="1"/>
      <w:numFmt w:val="decimal"/>
      <w:pStyle w:val="2961"/>
      <w:lvlText w:val="表6.4-%1"/>
      <w:lvlJc w:val="left"/>
      <w:pPr>
        <w:tabs>
          <w:tab w:val="left" w:pos="2723"/>
        </w:tabs>
        <w:ind w:left="0" w:firstLine="1643"/>
      </w:pPr>
      <w:rPr>
        <w:rFonts w:hint="default" w:ascii="Times New Roman" w:hAnsi="Times New Roman"/>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16591406"/>
    <w:multiLevelType w:val="multilevel"/>
    <w:tmpl w:val="16591406"/>
    <w:lvl w:ilvl="0" w:tentative="0">
      <w:start w:val="1"/>
      <w:numFmt w:val="decimal"/>
      <w:pStyle w:val="279"/>
      <w:lvlText w:val="表5.9-%1"/>
      <w:lvlJc w:val="left"/>
      <w:pPr>
        <w:tabs>
          <w:tab w:val="left" w:pos="1080"/>
        </w:tabs>
        <w:ind w:left="420" w:hanging="42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1B316B28"/>
    <w:multiLevelType w:val="multilevel"/>
    <w:tmpl w:val="1B316B28"/>
    <w:lvl w:ilvl="0" w:tentative="0">
      <w:start w:val="16"/>
      <w:numFmt w:val="decimal"/>
      <w:lvlText w:val="%1"/>
      <w:lvlJc w:val="left"/>
      <w:pPr>
        <w:tabs>
          <w:tab w:val="left" w:pos="425"/>
        </w:tabs>
        <w:ind w:left="425" w:hanging="425"/>
      </w:pPr>
      <w:rPr>
        <w:rFonts w:hint="eastAsia"/>
      </w:rPr>
    </w:lvl>
    <w:lvl w:ilvl="1" w:tentative="0">
      <w:start w:val="4"/>
      <w:numFmt w:val="decimal"/>
      <w:lvlText w:val="%1.%2"/>
      <w:lvlJc w:val="left"/>
      <w:pPr>
        <w:tabs>
          <w:tab w:val="left" w:pos="-186"/>
        </w:tabs>
        <w:ind w:left="-906" w:firstLine="0"/>
      </w:pPr>
      <w:rPr>
        <w:rFonts w:hint="eastAsia"/>
      </w:rPr>
    </w:lvl>
    <w:lvl w:ilvl="2" w:tentative="0">
      <w:start w:val="2"/>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1991"/>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9">
    <w:nsid w:val="1B6705E0"/>
    <w:multiLevelType w:val="multilevel"/>
    <w:tmpl w:val="1B6705E0"/>
    <w:lvl w:ilvl="0" w:tentative="0">
      <w:start w:val="1"/>
      <w:numFmt w:val="decimal"/>
      <w:pStyle w:val="1567"/>
      <w:lvlText w:val="表5.10-%1"/>
      <w:lvlJc w:val="left"/>
      <w:pPr>
        <w:tabs>
          <w:tab w:val="left" w:pos="1653"/>
        </w:tabs>
        <w:ind w:left="993" w:hanging="420"/>
      </w:pPr>
      <w:rPr>
        <w:rFonts w:hint="default" w:ascii="Times New Roman" w:hAnsi="Times New Roman"/>
        <w:b/>
        <w:i w:val="0"/>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1B746EEF"/>
    <w:multiLevelType w:val="multilevel"/>
    <w:tmpl w:val="1B746EEF"/>
    <w:lvl w:ilvl="0" w:tentative="0">
      <w:start w:val="1"/>
      <w:numFmt w:val="decimal"/>
      <w:pStyle w:val="1994"/>
      <w:lvlText w:val="表16.10-%1"/>
      <w:lvlJc w:val="left"/>
      <w:pPr>
        <w:tabs>
          <w:tab w:val="left" w:pos="3360"/>
        </w:tabs>
        <w:ind w:left="2700" w:hanging="420"/>
      </w:pPr>
      <w:rPr>
        <w:rFonts w:hint="default" w:ascii="Times New Roman" w:hAnsi="Times New Roman"/>
        <w:b/>
        <w:i w:val="0"/>
        <w:sz w:val="26"/>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1D40588D"/>
    <w:multiLevelType w:val="multilevel"/>
    <w:tmpl w:val="1D40588D"/>
    <w:lvl w:ilvl="0" w:tentative="0">
      <w:start w:val="1"/>
      <w:numFmt w:val="decimal"/>
      <w:pStyle w:val="3088"/>
      <w:lvlText w:val="表3.8-%1"/>
      <w:lvlJc w:val="left"/>
      <w:pPr>
        <w:tabs>
          <w:tab w:val="left" w:pos="420"/>
        </w:tabs>
        <w:ind w:left="0" w:firstLine="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1D5B6675"/>
    <w:multiLevelType w:val="multilevel"/>
    <w:tmpl w:val="1D5B6675"/>
    <w:lvl w:ilvl="0" w:tentative="0">
      <w:start w:val="7"/>
      <w:numFmt w:val="decimal"/>
      <w:lvlText w:val="%1"/>
      <w:lvlJc w:val="left"/>
      <w:pPr>
        <w:tabs>
          <w:tab w:val="left" w:pos="-1440"/>
        </w:tabs>
        <w:ind w:left="-1440" w:hanging="425"/>
      </w:pPr>
      <w:rPr>
        <w:rFonts w:hint="eastAsia"/>
      </w:rPr>
    </w:lvl>
    <w:lvl w:ilvl="1" w:tentative="0">
      <w:start w:val="1"/>
      <w:numFmt w:val="decimal"/>
      <w:lvlText w:val="%1.%2"/>
      <w:lvlJc w:val="left"/>
      <w:pPr>
        <w:tabs>
          <w:tab w:val="left" w:pos="-360"/>
        </w:tabs>
        <w:ind w:left="-873" w:hanging="567"/>
      </w:pPr>
      <w:rPr>
        <w:rFonts w:hint="eastAsia"/>
      </w:rPr>
    </w:lvl>
    <w:lvl w:ilvl="2" w:tentative="0">
      <w:start w:val="1"/>
      <w:numFmt w:val="decimal"/>
      <w:lvlText w:val="%1.%2.%3"/>
      <w:lvlJc w:val="left"/>
      <w:pPr>
        <w:tabs>
          <w:tab w:val="left" w:pos="426"/>
        </w:tabs>
        <w:ind w:left="-447" w:hanging="567"/>
      </w:pPr>
      <w:rPr>
        <w:rFonts w:hint="eastAsia"/>
      </w:rPr>
    </w:lvl>
    <w:lvl w:ilvl="3" w:tentative="0">
      <w:start w:val="1"/>
      <w:numFmt w:val="decimal"/>
      <w:pStyle w:val="1001"/>
      <w:lvlText w:val="%1.4.2.%4"/>
      <w:lvlJc w:val="left"/>
      <w:pPr>
        <w:tabs>
          <w:tab w:val="left" w:pos="1571"/>
        </w:tabs>
        <w:ind w:left="119" w:hanging="708"/>
      </w:pPr>
      <w:rPr>
        <w:rFonts w:hint="default" w:ascii="Times New Roman" w:hAnsi="Times New Roman"/>
      </w:rPr>
    </w:lvl>
    <w:lvl w:ilvl="4" w:tentative="0">
      <w:start w:val="1"/>
      <w:numFmt w:val="decimal"/>
      <w:lvlText w:val="%1.%2.%3.%4.%5"/>
      <w:lvlJc w:val="left"/>
      <w:pPr>
        <w:tabs>
          <w:tab w:val="left" w:pos="2716"/>
        </w:tabs>
        <w:ind w:left="686" w:hanging="850"/>
      </w:pPr>
      <w:rPr>
        <w:rFonts w:hint="eastAsia"/>
      </w:rPr>
    </w:lvl>
    <w:lvl w:ilvl="5" w:tentative="0">
      <w:start w:val="1"/>
      <w:numFmt w:val="decimal"/>
      <w:lvlText w:val="%1.%2.%3.%4.%5.%6"/>
      <w:lvlJc w:val="left"/>
      <w:pPr>
        <w:tabs>
          <w:tab w:val="left" w:pos="3501"/>
        </w:tabs>
        <w:ind w:left="1395" w:hanging="1134"/>
      </w:pPr>
      <w:rPr>
        <w:rFonts w:hint="eastAsia"/>
      </w:rPr>
    </w:lvl>
    <w:lvl w:ilvl="6" w:tentative="0">
      <w:start w:val="1"/>
      <w:numFmt w:val="decimal"/>
      <w:lvlText w:val="%1.%2.%3.%4.%5.%6.%7"/>
      <w:lvlJc w:val="left"/>
      <w:pPr>
        <w:tabs>
          <w:tab w:val="left" w:pos="4646"/>
        </w:tabs>
        <w:ind w:left="1962" w:hanging="1276"/>
      </w:pPr>
      <w:rPr>
        <w:rFonts w:hint="eastAsia"/>
      </w:rPr>
    </w:lvl>
    <w:lvl w:ilvl="7" w:tentative="0">
      <w:start w:val="1"/>
      <w:numFmt w:val="decimal"/>
      <w:lvlText w:val="%1.%2.%3.%4.%5.%6.%7.%8"/>
      <w:lvlJc w:val="left"/>
      <w:pPr>
        <w:tabs>
          <w:tab w:val="left" w:pos="5431"/>
        </w:tabs>
        <w:ind w:left="2529" w:hanging="1418"/>
      </w:pPr>
      <w:rPr>
        <w:rFonts w:hint="eastAsia"/>
      </w:rPr>
    </w:lvl>
    <w:lvl w:ilvl="8" w:tentative="0">
      <w:start w:val="1"/>
      <w:numFmt w:val="decimal"/>
      <w:lvlText w:val="%1.%2.%3.%4.%5.%6.%7.%8.%9"/>
      <w:lvlJc w:val="left"/>
      <w:pPr>
        <w:tabs>
          <w:tab w:val="left" w:pos="6577"/>
        </w:tabs>
        <w:ind w:left="3237" w:hanging="1700"/>
      </w:pPr>
      <w:rPr>
        <w:rFonts w:hint="eastAsia"/>
      </w:rPr>
    </w:lvl>
  </w:abstractNum>
  <w:abstractNum w:abstractNumId="23">
    <w:nsid w:val="1DF03496"/>
    <w:multiLevelType w:val="multilevel"/>
    <w:tmpl w:val="1DF03496"/>
    <w:lvl w:ilvl="0" w:tentative="0">
      <w:start w:val="1"/>
      <w:numFmt w:val="decimal"/>
      <w:pStyle w:val="1891"/>
      <w:isLgl/>
      <w:suff w:val="space"/>
      <w:lvlText w:val="%1"/>
      <w:lvlJc w:val="left"/>
      <w:pPr>
        <w:ind w:left="0" w:firstLine="0"/>
      </w:pPr>
      <w:rPr>
        <w:rFonts w:hint="default" w:ascii="Times New Roman" w:hAnsi="Times New Roman" w:eastAsia="黑体"/>
        <w:b w:val="0"/>
        <w:i w:val="0"/>
        <w:sz w:val="32"/>
        <w:szCs w:val="32"/>
      </w:rPr>
    </w:lvl>
    <w:lvl w:ilvl="1" w:tentative="0">
      <w:start w:val="1"/>
      <w:numFmt w:val="decimal"/>
      <w:isLgl/>
      <w:suff w:val="space"/>
      <w:lvlText w:val="%1.%2"/>
      <w:lvlJc w:val="left"/>
      <w:pPr>
        <w:ind w:left="0" w:firstLine="0"/>
      </w:pPr>
      <w:rPr>
        <w:rFonts w:hint="default" w:ascii="Times New Roman" w:hAnsi="Times New Roman" w:eastAsia="黑体"/>
        <w:b w:val="0"/>
        <w:i w:val="0"/>
        <w:sz w:val="28"/>
        <w:szCs w:val="28"/>
      </w:rPr>
    </w:lvl>
    <w:lvl w:ilvl="2" w:tentative="0">
      <w:start w:val="1"/>
      <w:numFmt w:val="decimal"/>
      <w:isLgl/>
      <w:suff w:val="space"/>
      <w:lvlText w:val="%1.%2.%3"/>
      <w:lvlJc w:val="left"/>
      <w:pPr>
        <w:ind w:left="0" w:firstLine="0"/>
      </w:pPr>
      <w:rPr>
        <w:rFonts w:hint="default" w:ascii="Times New Roman" w:hAnsi="Times New Roman" w:eastAsia="黑体"/>
        <w:b w:val="0"/>
        <w:i w:val="0"/>
        <w:sz w:val="24"/>
        <w:szCs w:val="24"/>
      </w:rPr>
    </w:lvl>
    <w:lvl w:ilvl="3" w:tentative="0">
      <w:start w:val="1"/>
      <w:numFmt w:val="decimal"/>
      <w:isLgl/>
      <w:suff w:val="space"/>
      <w:lvlText w:val="%1.%2.%3.%4"/>
      <w:lvlJc w:val="left"/>
      <w:pPr>
        <w:ind w:left="0" w:firstLine="0"/>
      </w:pPr>
      <w:rPr>
        <w:rFonts w:hint="default" w:ascii="Times New Roman" w:hAnsi="Times New Roman" w:eastAsia="黑体"/>
        <w:b w:val="0"/>
        <w:i w:val="0"/>
        <w:sz w:val="24"/>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1F401198"/>
    <w:multiLevelType w:val="multilevel"/>
    <w:tmpl w:val="1F401198"/>
    <w:lvl w:ilvl="0" w:tentative="0">
      <w:start w:val="14"/>
      <w:numFmt w:val="decimal"/>
      <w:lvlText w:val="%1"/>
      <w:lvlJc w:val="center"/>
      <w:pPr>
        <w:tabs>
          <w:tab w:val="left" w:pos="867"/>
        </w:tabs>
        <w:ind w:left="143" w:firstLine="4"/>
      </w:pPr>
      <w:rPr>
        <w:rFonts w:hint="default" w:ascii="Times New Roman" w:hAnsi="Times New Roman"/>
        <w:b/>
        <w:i w:val="0"/>
        <w:color w:val="auto"/>
        <w:sz w:val="24"/>
        <w:szCs w:val="24"/>
        <w:lang w:val="en-US"/>
      </w:rPr>
    </w:lvl>
    <w:lvl w:ilvl="1" w:tentative="0">
      <w:start w:val="4"/>
      <w:numFmt w:val="decimal"/>
      <w:lvlText w:val="%1.%2"/>
      <w:lvlJc w:val="left"/>
      <w:pPr>
        <w:tabs>
          <w:tab w:val="left" w:pos="723"/>
        </w:tabs>
        <w:ind w:left="723" w:hanging="576"/>
      </w:pPr>
      <w:rPr>
        <w:rFonts w:hint="default" w:ascii="Arial" w:hAnsi="Arial" w:eastAsia="黑体"/>
        <w:sz w:val="24"/>
      </w:rPr>
    </w:lvl>
    <w:lvl w:ilvl="2" w:tentative="0">
      <w:start w:val="1"/>
      <w:numFmt w:val="decimal"/>
      <w:lvlText w:val="%1.%2.%3"/>
      <w:lvlJc w:val="left"/>
      <w:pPr>
        <w:tabs>
          <w:tab w:val="left" w:pos="867"/>
        </w:tabs>
        <w:ind w:left="867" w:hanging="720"/>
      </w:pPr>
      <w:rPr>
        <w:rFonts w:hint="default" w:ascii="Arial" w:hAnsi="Arial" w:eastAsia="黑体"/>
        <w:sz w:val="24"/>
      </w:rPr>
    </w:lvl>
    <w:lvl w:ilvl="3" w:tentative="0">
      <w:start w:val="1"/>
      <w:numFmt w:val="decimal"/>
      <w:pStyle w:val="3020"/>
      <w:suff w:val="nothing"/>
      <w:lvlText w:val="%1.%2.%3.%4"/>
      <w:lvlJc w:val="left"/>
      <w:pPr>
        <w:ind w:left="0" w:firstLine="0"/>
      </w:pPr>
      <w:rPr>
        <w:rFonts w:hint="default" w:ascii="Times New Roman" w:hAnsi="Times New Roman" w:eastAsia="黑体" w:cs="Times New Roman"/>
        <w:b/>
        <w:i w:val="0"/>
        <w:sz w:val="24"/>
        <w:szCs w:val="24"/>
      </w:rPr>
    </w:lvl>
    <w:lvl w:ilvl="4" w:tentative="0">
      <w:start w:val="1"/>
      <w:numFmt w:val="decimal"/>
      <w:lvlText w:val="%1.%2.%3.%4.%5"/>
      <w:lvlJc w:val="left"/>
      <w:pPr>
        <w:tabs>
          <w:tab w:val="left" w:pos="1947"/>
        </w:tabs>
        <w:ind w:left="1155" w:hanging="1008"/>
      </w:pPr>
      <w:rPr>
        <w:rFonts w:hint="eastAsia"/>
      </w:rPr>
    </w:lvl>
    <w:lvl w:ilvl="5" w:tentative="0">
      <w:start w:val="1"/>
      <w:numFmt w:val="decimal"/>
      <w:lvlText w:val="%1.%2.%3.%4.%5.%6"/>
      <w:lvlJc w:val="left"/>
      <w:pPr>
        <w:tabs>
          <w:tab w:val="left" w:pos="2307"/>
        </w:tabs>
        <w:ind w:left="1299" w:hanging="1152"/>
      </w:pPr>
      <w:rPr>
        <w:rFonts w:hint="eastAsia"/>
      </w:rPr>
    </w:lvl>
    <w:lvl w:ilvl="6" w:tentative="0">
      <w:start w:val="1"/>
      <w:numFmt w:val="decimal"/>
      <w:lvlText w:val="%1.%2.%3.%4.%5.%6.%7"/>
      <w:lvlJc w:val="left"/>
      <w:pPr>
        <w:tabs>
          <w:tab w:val="left" w:pos="1443"/>
        </w:tabs>
        <w:ind w:left="1443" w:hanging="1296"/>
      </w:pPr>
      <w:rPr>
        <w:rFonts w:hint="eastAsia"/>
      </w:rPr>
    </w:lvl>
    <w:lvl w:ilvl="7" w:tentative="0">
      <w:start w:val="1"/>
      <w:numFmt w:val="decimal"/>
      <w:lvlText w:val="%1.%2.%3.%4.%5.%6.%7.%8"/>
      <w:lvlJc w:val="left"/>
      <w:pPr>
        <w:tabs>
          <w:tab w:val="left" w:pos="1587"/>
        </w:tabs>
        <w:ind w:left="1587" w:hanging="1440"/>
      </w:pPr>
      <w:rPr>
        <w:rFonts w:hint="eastAsia"/>
      </w:rPr>
    </w:lvl>
    <w:lvl w:ilvl="8" w:tentative="0">
      <w:start w:val="1"/>
      <w:numFmt w:val="decimal"/>
      <w:lvlText w:val="%1.%2.%3.%4.%5.%6.%7.%8.%9"/>
      <w:lvlJc w:val="left"/>
      <w:pPr>
        <w:tabs>
          <w:tab w:val="left" w:pos="1731"/>
        </w:tabs>
        <w:ind w:left="1731" w:hanging="1584"/>
      </w:pPr>
      <w:rPr>
        <w:rFonts w:hint="eastAsia"/>
      </w:rPr>
    </w:lvl>
  </w:abstractNum>
  <w:abstractNum w:abstractNumId="25">
    <w:nsid w:val="1F5D5FAC"/>
    <w:multiLevelType w:val="multilevel"/>
    <w:tmpl w:val="1F5D5FAC"/>
    <w:lvl w:ilvl="0" w:tentative="0">
      <w:start w:val="9"/>
      <w:numFmt w:val="decimal"/>
      <w:lvlText w:val="%1"/>
      <w:lvlJc w:val="left"/>
      <w:pPr>
        <w:tabs>
          <w:tab w:val="left" w:pos="432"/>
        </w:tabs>
        <w:ind w:left="432" w:hanging="432"/>
      </w:pPr>
      <w:rPr>
        <w:rFonts w:hint="eastAsia" w:ascii="黑体" w:hAnsi="Arial" w:eastAsia="黑体"/>
        <w:b w:val="0"/>
        <w:i w:val="0"/>
        <w:color w:val="auto"/>
        <w:sz w:val="28"/>
      </w:rPr>
    </w:lvl>
    <w:lvl w:ilvl="1" w:tentative="0">
      <w:start w:val="1"/>
      <w:numFmt w:val="decimal"/>
      <w:lvlText w:val="%1.%2"/>
      <w:lvlJc w:val="left"/>
      <w:pPr>
        <w:tabs>
          <w:tab w:val="left" w:pos="72"/>
        </w:tabs>
        <w:ind w:left="72" w:hanging="576"/>
      </w:pPr>
      <w:rPr>
        <w:rFonts w:hint="default" w:ascii="Arial" w:hAnsi="Arial" w:eastAsia="黑体"/>
        <w:sz w:val="24"/>
      </w:rPr>
    </w:lvl>
    <w:lvl w:ilvl="2" w:tentative="0">
      <w:start w:val="2"/>
      <w:numFmt w:val="decimal"/>
      <w:lvlText w:val="%1.%2.%3"/>
      <w:lvlJc w:val="left"/>
      <w:pPr>
        <w:tabs>
          <w:tab w:val="left" w:pos="720"/>
        </w:tabs>
        <w:ind w:left="720" w:hanging="720"/>
      </w:pPr>
      <w:rPr>
        <w:rFonts w:hint="default" w:ascii="Arial" w:hAnsi="Arial" w:eastAsia="黑体"/>
        <w:sz w:val="24"/>
      </w:rPr>
    </w:lvl>
    <w:lvl w:ilvl="3" w:tentative="0">
      <w:start w:val="1"/>
      <w:numFmt w:val="decimal"/>
      <w:pStyle w:val="1998"/>
      <w:lvlText w:val="%1.%2.%3.%4"/>
      <w:lvlJc w:val="left"/>
      <w:pPr>
        <w:tabs>
          <w:tab w:val="left" w:pos="0"/>
        </w:tabs>
        <w:ind w:left="0" w:firstLine="0"/>
      </w:pPr>
      <w:rPr>
        <w:rFonts w:hint="eastAsia" w:ascii="宋体" w:hAnsi="Arial" w:eastAsia="宋体"/>
        <w:color w:val="auto"/>
        <w:sz w:val="28"/>
      </w:rPr>
    </w:lvl>
    <w:lvl w:ilvl="4" w:tentative="0">
      <w:start w:val="1"/>
      <w:numFmt w:val="decimal"/>
      <w:lvlText w:val="%1.%2.%3.%4.%5"/>
      <w:lvlJc w:val="left"/>
      <w:pPr>
        <w:tabs>
          <w:tab w:val="left" w:pos="180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6">
    <w:nsid w:val="21FF788F"/>
    <w:multiLevelType w:val="multilevel"/>
    <w:tmpl w:val="21FF788F"/>
    <w:lvl w:ilvl="0" w:tentative="0">
      <w:start w:val="1"/>
      <w:numFmt w:val="decimal"/>
      <w:pStyle w:val="2339"/>
      <w:lvlText w:val="(%1)"/>
      <w:lvlJc w:val="left"/>
      <w:pPr>
        <w:tabs>
          <w:tab w:val="left" w:pos="655"/>
        </w:tabs>
        <w:ind w:left="655" w:hanging="431"/>
      </w:pPr>
      <w:rPr>
        <w:rFonts w:hint="eastAsia"/>
      </w:rPr>
    </w:lvl>
    <w:lvl w:ilvl="1" w:tentative="0">
      <w:start w:val="1"/>
      <w:numFmt w:val="decimal"/>
      <w:pStyle w:val="1975"/>
      <w:lvlText w:val="(%2)"/>
      <w:lvlJc w:val="left"/>
      <w:pPr>
        <w:tabs>
          <w:tab w:val="left" w:pos="807"/>
        </w:tabs>
        <w:ind w:left="807" w:hanging="431"/>
      </w:pPr>
      <w:rPr>
        <w:rFonts w:hint="eastAsia"/>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245A563F"/>
    <w:multiLevelType w:val="multilevel"/>
    <w:tmpl w:val="245A563F"/>
    <w:lvl w:ilvl="0" w:tentative="0">
      <w:start w:val="1"/>
      <w:numFmt w:val="decimal"/>
      <w:pStyle w:val="2015"/>
      <w:lvlText w:val="表1.10-%1"/>
      <w:lvlJc w:val="center"/>
      <w:pPr>
        <w:tabs>
          <w:tab w:val="left" w:pos="4395"/>
        </w:tabs>
        <w:ind w:left="3671" w:firstLine="4"/>
      </w:pPr>
      <w:rPr>
        <w:rFonts w:hint="default" w:ascii="Times New Roman" w:hAnsi="Times New Roman"/>
        <w:b/>
        <w:i w:val="0"/>
        <w:sz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25381F4F"/>
    <w:multiLevelType w:val="multilevel"/>
    <w:tmpl w:val="25381F4F"/>
    <w:lvl w:ilvl="0" w:tentative="0">
      <w:start w:val="1"/>
      <w:numFmt w:val="decimal"/>
      <w:pStyle w:val="1420"/>
      <w:lvlText w:val="表1.7-%1"/>
      <w:lvlJc w:val="left"/>
      <w:pPr>
        <w:tabs>
          <w:tab w:val="left" w:pos="1931"/>
        </w:tabs>
        <w:ind w:left="1271" w:hanging="420"/>
      </w:pPr>
      <w:rPr>
        <w:rFonts w:hint="default" w:ascii="Times New Roman" w:hAnsi="Times New Roman" w:eastAsia="黑体"/>
        <w:b/>
        <w:i w:val="0"/>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25961A1E"/>
    <w:multiLevelType w:val="multilevel"/>
    <w:tmpl w:val="25961A1E"/>
    <w:lvl w:ilvl="0" w:tentative="0">
      <w:start w:val="7"/>
      <w:numFmt w:val="decimal"/>
      <w:lvlText w:val="%1"/>
      <w:lvlJc w:val="center"/>
      <w:pPr>
        <w:tabs>
          <w:tab w:val="left" w:pos="720"/>
        </w:tabs>
        <w:ind w:left="-4" w:firstLine="4"/>
      </w:pPr>
      <w:rPr>
        <w:rFonts w:hint="default" w:ascii="Times New Roman" w:hAnsi="Times New Roman"/>
        <w:b/>
        <w:i w:val="0"/>
        <w:color w:val="auto"/>
        <w:sz w:val="24"/>
        <w:szCs w:val="24"/>
      </w:rPr>
    </w:lvl>
    <w:lvl w:ilvl="1" w:tentative="0">
      <w:start w:val="4"/>
      <w:numFmt w:val="decimal"/>
      <w:lvlText w:val="%1.%2"/>
      <w:lvlJc w:val="left"/>
      <w:pPr>
        <w:tabs>
          <w:tab w:val="left" w:pos="576"/>
        </w:tabs>
        <w:ind w:left="576" w:hanging="576"/>
      </w:pPr>
      <w:rPr>
        <w:rFonts w:hint="default" w:ascii="Arial" w:hAnsi="Arial" w:eastAsia="黑体"/>
        <w:sz w:val="24"/>
      </w:rPr>
    </w:lvl>
    <w:lvl w:ilvl="2" w:tentative="0">
      <w:start w:val="5"/>
      <w:numFmt w:val="decimal"/>
      <w:lvlText w:val="%1.%2.%3"/>
      <w:lvlJc w:val="left"/>
      <w:pPr>
        <w:tabs>
          <w:tab w:val="left" w:pos="720"/>
        </w:tabs>
        <w:ind w:left="720" w:hanging="720"/>
      </w:pPr>
      <w:rPr>
        <w:rFonts w:hint="default" w:ascii="Arial" w:hAnsi="Arial" w:eastAsia="黑体"/>
        <w:sz w:val="24"/>
      </w:rPr>
    </w:lvl>
    <w:lvl w:ilvl="3" w:tentative="0">
      <w:start w:val="1"/>
      <w:numFmt w:val="decimal"/>
      <w:pStyle w:val="2097"/>
      <w:lvlText w:val="%1.%2.6.%4"/>
      <w:lvlJc w:val="left"/>
      <w:pPr>
        <w:tabs>
          <w:tab w:val="left" w:pos="864"/>
        </w:tabs>
        <w:ind w:left="864" w:hanging="864"/>
      </w:pPr>
      <w:rPr>
        <w:rFonts w:hint="default" w:ascii="Times New Roman" w:hAnsi="Times New Roman" w:eastAsia="黑体" w:cs="Times New Roman"/>
        <w:b/>
        <w:i w:val="0"/>
        <w:sz w:val="24"/>
        <w:szCs w:val="24"/>
      </w:rPr>
    </w:lvl>
    <w:lvl w:ilvl="4" w:tentative="0">
      <w:start w:val="1"/>
      <w:numFmt w:val="decimal"/>
      <w:lvlText w:val="%1.%2.%3.%4.%5"/>
      <w:lvlJc w:val="left"/>
      <w:pPr>
        <w:tabs>
          <w:tab w:val="left" w:pos="180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0">
    <w:nsid w:val="275C1E33"/>
    <w:multiLevelType w:val="multilevel"/>
    <w:tmpl w:val="275C1E33"/>
    <w:lvl w:ilvl="0" w:tentative="0">
      <w:start w:val="7"/>
      <w:numFmt w:val="decimal"/>
      <w:lvlText w:val="%1"/>
      <w:lvlJc w:val="left"/>
      <w:pPr>
        <w:tabs>
          <w:tab w:val="left" w:pos="-1440"/>
        </w:tabs>
        <w:ind w:left="-1440" w:hanging="425"/>
      </w:pPr>
      <w:rPr>
        <w:rFonts w:hint="eastAsia"/>
      </w:rPr>
    </w:lvl>
    <w:lvl w:ilvl="1" w:tentative="0">
      <w:start w:val="1"/>
      <w:numFmt w:val="decimal"/>
      <w:lvlText w:val="%1.%2"/>
      <w:lvlJc w:val="left"/>
      <w:pPr>
        <w:tabs>
          <w:tab w:val="left" w:pos="-360"/>
        </w:tabs>
        <w:ind w:left="-873" w:hanging="567"/>
      </w:pPr>
      <w:rPr>
        <w:rFonts w:hint="eastAsia"/>
      </w:rPr>
    </w:lvl>
    <w:lvl w:ilvl="2" w:tentative="0">
      <w:start w:val="1"/>
      <w:numFmt w:val="decimal"/>
      <w:lvlText w:val="%1.%2.%3"/>
      <w:lvlJc w:val="left"/>
      <w:pPr>
        <w:tabs>
          <w:tab w:val="left" w:pos="426"/>
        </w:tabs>
        <w:ind w:left="-447" w:hanging="567"/>
      </w:pPr>
      <w:rPr>
        <w:rFonts w:hint="eastAsia"/>
      </w:rPr>
    </w:lvl>
    <w:lvl w:ilvl="3" w:tentative="0">
      <w:start w:val="1"/>
      <w:numFmt w:val="decimal"/>
      <w:pStyle w:val="2437"/>
      <w:lvlText w:val="%1.5.7.%4"/>
      <w:lvlJc w:val="left"/>
      <w:pPr>
        <w:tabs>
          <w:tab w:val="left" w:pos="1571"/>
        </w:tabs>
        <w:ind w:left="119" w:hanging="708"/>
      </w:pPr>
      <w:rPr>
        <w:rFonts w:hint="default" w:ascii="Times New Roman" w:hAnsi="Times New Roman"/>
      </w:rPr>
    </w:lvl>
    <w:lvl w:ilvl="4" w:tentative="0">
      <w:start w:val="1"/>
      <w:numFmt w:val="decimal"/>
      <w:lvlText w:val="%1.%2.%3.%4.%5"/>
      <w:lvlJc w:val="left"/>
      <w:pPr>
        <w:tabs>
          <w:tab w:val="left" w:pos="2716"/>
        </w:tabs>
        <w:ind w:left="686" w:hanging="850"/>
      </w:pPr>
      <w:rPr>
        <w:rFonts w:hint="eastAsia"/>
      </w:rPr>
    </w:lvl>
    <w:lvl w:ilvl="5" w:tentative="0">
      <w:start w:val="1"/>
      <w:numFmt w:val="decimal"/>
      <w:lvlText w:val="%1.%2.%3.%4.%5.%6"/>
      <w:lvlJc w:val="left"/>
      <w:pPr>
        <w:tabs>
          <w:tab w:val="left" w:pos="3501"/>
        </w:tabs>
        <w:ind w:left="1395" w:hanging="1134"/>
      </w:pPr>
      <w:rPr>
        <w:rFonts w:hint="eastAsia"/>
      </w:rPr>
    </w:lvl>
    <w:lvl w:ilvl="6" w:tentative="0">
      <w:start w:val="1"/>
      <w:numFmt w:val="decimal"/>
      <w:lvlText w:val="%1.%2.%3.%4.%5.%6.%7"/>
      <w:lvlJc w:val="left"/>
      <w:pPr>
        <w:tabs>
          <w:tab w:val="left" w:pos="4646"/>
        </w:tabs>
        <w:ind w:left="1962" w:hanging="1276"/>
      </w:pPr>
      <w:rPr>
        <w:rFonts w:hint="eastAsia"/>
      </w:rPr>
    </w:lvl>
    <w:lvl w:ilvl="7" w:tentative="0">
      <w:start w:val="1"/>
      <w:numFmt w:val="decimal"/>
      <w:lvlText w:val="%1.%2.%3.%4.%5.%6.%7.%8"/>
      <w:lvlJc w:val="left"/>
      <w:pPr>
        <w:tabs>
          <w:tab w:val="left" w:pos="5431"/>
        </w:tabs>
        <w:ind w:left="2529" w:hanging="1418"/>
      </w:pPr>
      <w:rPr>
        <w:rFonts w:hint="eastAsia"/>
      </w:rPr>
    </w:lvl>
    <w:lvl w:ilvl="8" w:tentative="0">
      <w:start w:val="1"/>
      <w:numFmt w:val="decimal"/>
      <w:lvlText w:val="%1.%2.%3.%4.%5.%6.%7.%8.%9"/>
      <w:lvlJc w:val="left"/>
      <w:pPr>
        <w:tabs>
          <w:tab w:val="left" w:pos="6577"/>
        </w:tabs>
        <w:ind w:left="3237" w:hanging="1700"/>
      </w:pPr>
      <w:rPr>
        <w:rFonts w:hint="eastAsia"/>
      </w:rPr>
    </w:lvl>
  </w:abstractNum>
  <w:abstractNum w:abstractNumId="31">
    <w:nsid w:val="282E1E64"/>
    <w:multiLevelType w:val="multilevel"/>
    <w:tmpl w:val="282E1E64"/>
    <w:lvl w:ilvl="0" w:tentative="0">
      <w:start w:val="1"/>
      <w:numFmt w:val="decimal"/>
      <w:pStyle w:val="325"/>
      <w:lvlText w:val="表7.3-%1"/>
      <w:lvlJc w:val="center"/>
      <w:pPr>
        <w:tabs>
          <w:tab w:val="left" w:pos="720"/>
        </w:tabs>
        <w:ind w:left="-4" w:firstLine="4"/>
      </w:pPr>
      <w:rPr>
        <w:rFonts w:hint="default" w:ascii="Times New Roman" w:hAnsi="Times New Roman"/>
        <w:b/>
        <w:i w:val="0"/>
        <w:sz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28AB543D"/>
    <w:multiLevelType w:val="multilevel"/>
    <w:tmpl w:val="28AB543D"/>
    <w:lvl w:ilvl="0" w:tentative="0">
      <w:start w:val="13"/>
      <w:numFmt w:val="decimal"/>
      <w:pStyle w:val="1513"/>
      <w:lvlText w:val="%1"/>
      <w:lvlJc w:val="center"/>
      <w:pPr>
        <w:tabs>
          <w:tab w:val="left" w:pos="3732"/>
        </w:tabs>
        <w:ind w:left="3008" w:firstLine="4"/>
      </w:pPr>
      <w:rPr>
        <w:rFonts w:hint="default" w:ascii="Times New Roman" w:hAnsi="Times New Roman"/>
        <w:b/>
        <w:i w:val="0"/>
        <w:color w:val="auto"/>
        <w:sz w:val="24"/>
        <w:szCs w:val="24"/>
      </w:rPr>
    </w:lvl>
    <w:lvl w:ilvl="1" w:tentative="0">
      <w:start w:val="6"/>
      <w:numFmt w:val="decimal"/>
      <w:lvlText w:val="%1.%2"/>
      <w:lvlJc w:val="left"/>
      <w:pPr>
        <w:tabs>
          <w:tab w:val="left" w:pos="3588"/>
        </w:tabs>
        <w:ind w:left="3588" w:hanging="576"/>
      </w:pPr>
      <w:rPr>
        <w:rFonts w:hint="default" w:ascii="Arial" w:hAnsi="Arial" w:eastAsia="黑体"/>
        <w:sz w:val="24"/>
      </w:rPr>
    </w:lvl>
    <w:lvl w:ilvl="2" w:tentative="0">
      <w:start w:val="6"/>
      <w:numFmt w:val="decimal"/>
      <w:lvlText w:val="%1.%2.%3"/>
      <w:lvlJc w:val="left"/>
      <w:pPr>
        <w:tabs>
          <w:tab w:val="left" w:pos="3732"/>
        </w:tabs>
        <w:ind w:left="3732" w:hanging="720"/>
      </w:pPr>
      <w:rPr>
        <w:rFonts w:hint="default" w:ascii="Arial" w:hAnsi="Arial" w:eastAsia="黑体"/>
        <w:sz w:val="24"/>
      </w:rPr>
    </w:lvl>
    <w:lvl w:ilvl="3" w:tentative="0">
      <w:start w:val="1"/>
      <w:numFmt w:val="decimal"/>
      <w:pStyle w:val="1897"/>
      <w:lvlText w:val="%1.%2.%3.%4"/>
      <w:lvlJc w:val="left"/>
      <w:pPr>
        <w:tabs>
          <w:tab w:val="left" w:pos="3876"/>
        </w:tabs>
        <w:ind w:left="3876" w:hanging="864"/>
      </w:pPr>
      <w:rPr>
        <w:rFonts w:hint="default" w:ascii="Arial" w:hAnsi="Arial" w:eastAsia="黑体" w:cs="Times New Roman"/>
        <w:b/>
        <w:bCs/>
        <w:i w:val="0"/>
        <w:iCs w:val="0"/>
        <w:caps w:val="0"/>
        <w:smallCaps w:val="0"/>
        <w:strike w:val="0"/>
        <w:dstrike w:val="0"/>
        <w:color w:val="FF0000"/>
        <w:spacing w:val="0"/>
        <w:w w:val="100"/>
        <w:kern w:val="2"/>
        <w:position w:val="0"/>
        <w:sz w:val="24"/>
        <w:szCs w:val="24"/>
        <w:u w:val="none"/>
        <w:shd w:val="clear" w:color="auto" w:fill="auto"/>
      </w:rPr>
    </w:lvl>
    <w:lvl w:ilvl="4" w:tentative="0">
      <w:start w:val="1"/>
      <w:numFmt w:val="decimal"/>
      <w:lvlText w:val="%1.%2.%3.%4.%5"/>
      <w:lvlJc w:val="left"/>
      <w:pPr>
        <w:tabs>
          <w:tab w:val="left" w:pos="4812"/>
        </w:tabs>
        <w:ind w:left="4020" w:hanging="1008"/>
      </w:pPr>
      <w:rPr>
        <w:rFonts w:hint="eastAsia"/>
      </w:rPr>
    </w:lvl>
    <w:lvl w:ilvl="5" w:tentative="0">
      <w:start w:val="1"/>
      <w:numFmt w:val="decimal"/>
      <w:lvlText w:val="%1.%2.%3.%4.%5.%6"/>
      <w:lvlJc w:val="left"/>
      <w:pPr>
        <w:tabs>
          <w:tab w:val="left" w:pos="5172"/>
        </w:tabs>
        <w:ind w:left="4164" w:hanging="1152"/>
      </w:pPr>
      <w:rPr>
        <w:rFonts w:hint="eastAsia"/>
      </w:rPr>
    </w:lvl>
    <w:lvl w:ilvl="6" w:tentative="0">
      <w:start w:val="1"/>
      <w:numFmt w:val="decimal"/>
      <w:lvlText w:val="%1.%2.%3.%4.%5.%6.%7"/>
      <w:lvlJc w:val="left"/>
      <w:pPr>
        <w:tabs>
          <w:tab w:val="left" w:pos="4308"/>
        </w:tabs>
        <w:ind w:left="4308" w:hanging="1296"/>
      </w:pPr>
      <w:rPr>
        <w:rFonts w:hint="eastAsia"/>
      </w:rPr>
    </w:lvl>
    <w:lvl w:ilvl="7" w:tentative="0">
      <w:start w:val="1"/>
      <w:numFmt w:val="decimal"/>
      <w:lvlText w:val="%1.%2.%3.%4.%5.%6.%7.%8"/>
      <w:lvlJc w:val="left"/>
      <w:pPr>
        <w:tabs>
          <w:tab w:val="left" w:pos="4452"/>
        </w:tabs>
        <w:ind w:left="4452" w:hanging="1440"/>
      </w:pPr>
      <w:rPr>
        <w:rFonts w:hint="eastAsia"/>
      </w:rPr>
    </w:lvl>
    <w:lvl w:ilvl="8" w:tentative="0">
      <w:start w:val="1"/>
      <w:numFmt w:val="decimal"/>
      <w:lvlText w:val="%1.%2.%3.%4.%5.%6.%7.%8.%9"/>
      <w:lvlJc w:val="left"/>
      <w:pPr>
        <w:tabs>
          <w:tab w:val="left" w:pos="4596"/>
        </w:tabs>
        <w:ind w:left="4596" w:hanging="1584"/>
      </w:pPr>
      <w:rPr>
        <w:rFonts w:hint="eastAsia"/>
      </w:rPr>
    </w:lvl>
  </w:abstractNum>
  <w:abstractNum w:abstractNumId="33">
    <w:nsid w:val="294C1627"/>
    <w:multiLevelType w:val="multilevel"/>
    <w:tmpl w:val="294C1627"/>
    <w:lvl w:ilvl="0" w:tentative="0">
      <w:start w:val="16"/>
      <w:numFmt w:val="decimal"/>
      <w:lvlText w:val="%1"/>
      <w:lvlJc w:val="left"/>
      <w:pPr>
        <w:tabs>
          <w:tab w:val="left" w:pos="425"/>
        </w:tabs>
        <w:ind w:left="425" w:hanging="425"/>
      </w:pPr>
      <w:rPr>
        <w:rFonts w:hint="eastAsia"/>
      </w:rPr>
    </w:lvl>
    <w:lvl w:ilvl="1" w:tentative="0">
      <w:start w:val="9"/>
      <w:numFmt w:val="decimal"/>
      <w:lvlText w:val="%1.%2"/>
      <w:lvlJc w:val="left"/>
      <w:pPr>
        <w:tabs>
          <w:tab w:val="left" w:pos="-186"/>
        </w:tabs>
        <w:ind w:left="-906" w:firstLine="0"/>
      </w:pPr>
      <w:rPr>
        <w:rFonts w:hint="eastAsia"/>
      </w:rPr>
    </w:lvl>
    <w:lvl w:ilvl="2" w:tentative="0">
      <w:start w:val="5"/>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1845"/>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4">
    <w:nsid w:val="2AC03A3B"/>
    <w:multiLevelType w:val="multilevel"/>
    <w:tmpl w:val="2AC03A3B"/>
    <w:lvl w:ilvl="0" w:tentative="0">
      <w:start w:val="1"/>
      <w:numFmt w:val="decimal"/>
      <w:pStyle w:val="2764"/>
      <w:lvlText w:val="表9.3-%1"/>
      <w:lvlJc w:val="center"/>
      <w:pPr>
        <w:tabs>
          <w:tab w:val="left" w:pos="720"/>
        </w:tabs>
        <w:ind w:left="-4" w:firstLine="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2F1628AA"/>
    <w:multiLevelType w:val="multilevel"/>
    <w:tmpl w:val="2F1628AA"/>
    <w:lvl w:ilvl="0" w:tentative="0">
      <w:start w:val="9"/>
      <w:numFmt w:val="decimal"/>
      <w:pStyle w:val="1814"/>
      <w:lvlText w:val="%1"/>
      <w:lvlJc w:val="left"/>
      <w:pPr>
        <w:tabs>
          <w:tab w:val="left" w:pos="0"/>
        </w:tabs>
        <w:ind w:left="0" w:firstLine="0"/>
      </w:pPr>
      <w:rPr>
        <w:rFonts w:hint="eastAsia" w:ascii="黑体" w:hAnsi="Arial" w:eastAsia="黑体"/>
        <w:b w:val="0"/>
        <w:i w:val="0"/>
        <w:color w:val="auto"/>
        <w:sz w:val="28"/>
      </w:rPr>
    </w:lvl>
    <w:lvl w:ilvl="1" w:tentative="0">
      <w:start w:val="1"/>
      <w:numFmt w:val="decimal"/>
      <w:lvlText w:val="%1.%2"/>
      <w:lvlJc w:val="left"/>
      <w:pPr>
        <w:tabs>
          <w:tab w:val="left" w:pos="576"/>
        </w:tabs>
        <w:ind w:left="576" w:hanging="576"/>
      </w:pPr>
      <w:rPr>
        <w:rFonts w:hint="default" w:ascii="Arial" w:hAnsi="Arial" w:eastAsia="黑体"/>
        <w:sz w:val="24"/>
      </w:rPr>
    </w:lvl>
    <w:lvl w:ilvl="2" w:tentative="0">
      <w:start w:val="1"/>
      <w:numFmt w:val="decimal"/>
      <w:lvlText w:val="%1.%2.%3"/>
      <w:lvlJc w:val="left"/>
      <w:pPr>
        <w:tabs>
          <w:tab w:val="left" w:pos="720"/>
        </w:tabs>
        <w:ind w:left="720" w:hanging="720"/>
      </w:pPr>
      <w:rPr>
        <w:rFonts w:hint="default" w:ascii="Arial" w:hAnsi="Arial" w:eastAsia="黑体"/>
        <w:sz w:val="24"/>
      </w:rPr>
    </w:lvl>
    <w:lvl w:ilvl="3" w:tentative="0">
      <w:start w:val="1"/>
      <w:numFmt w:val="decimal"/>
      <w:pStyle w:val="518"/>
      <w:lvlText w:val="%1.%2.%3.%4"/>
      <w:lvlJc w:val="left"/>
      <w:pPr>
        <w:tabs>
          <w:tab w:val="left" w:pos="864"/>
        </w:tabs>
        <w:ind w:left="864" w:hanging="864"/>
      </w:pPr>
      <w:rPr>
        <w:rFonts w:hint="default" w:ascii="Arial" w:hAnsi="Arial" w:eastAsia="黑体"/>
        <w:sz w:val="24"/>
      </w:rPr>
    </w:lvl>
    <w:lvl w:ilvl="4" w:tentative="0">
      <w:start w:val="1"/>
      <w:numFmt w:val="decimal"/>
      <w:lvlText w:val="%1.%2.%3.%4.%5"/>
      <w:lvlJc w:val="left"/>
      <w:pPr>
        <w:tabs>
          <w:tab w:val="left" w:pos="180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6">
    <w:nsid w:val="30572ABB"/>
    <w:multiLevelType w:val="multilevel"/>
    <w:tmpl w:val="30572ABB"/>
    <w:lvl w:ilvl="0" w:tentative="0">
      <w:start w:val="1"/>
      <w:numFmt w:val="decimal"/>
      <w:pStyle w:val="2917"/>
      <w:suff w:val="space"/>
      <w:lvlText w:val="%1"/>
      <w:lvlJc w:val="left"/>
      <w:pPr>
        <w:ind w:left="0" w:firstLine="0"/>
      </w:pPr>
      <w:rPr>
        <w:rFonts w:hint="default" w:ascii="Arial" w:hAnsi="Arial" w:eastAsia="黑体"/>
        <w:b w:val="0"/>
        <w:i w:val="0"/>
        <w:sz w:val="24"/>
        <w:szCs w:val="24"/>
      </w:rPr>
    </w:lvl>
    <w:lvl w:ilvl="1" w:tentative="0">
      <w:start w:val="1"/>
      <w:numFmt w:val="decimal"/>
      <w:lvlText w:val="%1.%2"/>
      <w:lvlJc w:val="left"/>
      <w:pPr>
        <w:tabs>
          <w:tab w:val="left" w:pos="737"/>
        </w:tabs>
        <w:ind w:left="567" w:hanging="567"/>
      </w:pPr>
      <w:rPr>
        <w:rFonts w:hint="default" w:ascii="Arial" w:hAnsi="Arial" w:eastAsia="黑体"/>
        <w:b w:val="0"/>
        <w:i w:val="0"/>
        <w:sz w:val="30"/>
        <w:szCs w:val="30"/>
      </w:rPr>
    </w:lvl>
    <w:lvl w:ilvl="2" w:tentative="0">
      <w:start w:val="1"/>
      <w:numFmt w:val="decimal"/>
      <w:lvlText w:val="%1.%2.%3"/>
      <w:lvlJc w:val="left"/>
      <w:pPr>
        <w:tabs>
          <w:tab w:val="left" w:pos="794"/>
        </w:tabs>
        <w:ind w:left="709" w:hanging="709"/>
      </w:pPr>
      <w:rPr>
        <w:rFonts w:hint="default" w:ascii="Arial" w:hAnsi="Arial" w:eastAsia="黑体"/>
        <w:b w:val="0"/>
        <w:i w:val="0"/>
        <w:sz w:val="30"/>
        <w:szCs w:val="30"/>
      </w:rPr>
    </w:lvl>
    <w:lvl w:ilvl="3" w:tentative="0">
      <w:start w:val="1"/>
      <w:numFmt w:val="decimal"/>
      <w:suff w:val="space"/>
      <w:lvlText w:val="%1.3.%3"/>
      <w:lvlJc w:val="left"/>
      <w:pPr>
        <w:ind w:left="851" w:hanging="851"/>
      </w:pPr>
      <w:rPr>
        <w:rFonts w:hint="default" w:ascii="Arial" w:hAnsi="Arial" w:eastAsia="黑体"/>
        <w:b w:val="0"/>
        <w:i w:val="0"/>
        <w:sz w:val="28"/>
        <w:szCs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7">
    <w:nsid w:val="33725EB7"/>
    <w:multiLevelType w:val="multilevel"/>
    <w:tmpl w:val="33725EB7"/>
    <w:lvl w:ilvl="0" w:tentative="0">
      <w:start w:val="16"/>
      <w:numFmt w:val="decimal"/>
      <w:lvlText w:val="%1"/>
      <w:lvlJc w:val="left"/>
      <w:pPr>
        <w:tabs>
          <w:tab w:val="left" w:pos="425"/>
        </w:tabs>
        <w:ind w:left="425" w:hanging="425"/>
      </w:pPr>
      <w:rPr>
        <w:rFonts w:hint="eastAsia"/>
      </w:rPr>
    </w:lvl>
    <w:lvl w:ilvl="1" w:tentative="0">
      <w:start w:val="7"/>
      <w:numFmt w:val="decimal"/>
      <w:lvlText w:val="%1.%2"/>
      <w:lvlJc w:val="left"/>
      <w:pPr>
        <w:tabs>
          <w:tab w:val="left" w:pos="-186"/>
        </w:tabs>
        <w:ind w:left="-906" w:firstLine="0"/>
      </w:pPr>
      <w:rPr>
        <w:rFonts w:hint="eastAsia"/>
      </w:rPr>
    </w:lvl>
    <w:lvl w:ilvl="2" w:tentative="0">
      <w:start w:val="3"/>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3010"/>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8">
    <w:nsid w:val="364816FF"/>
    <w:multiLevelType w:val="multilevel"/>
    <w:tmpl w:val="364816FF"/>
    <w:lvl w:ilvl="0" w:tentative="0">
      <w:start w:val="1"/>
      <w:numFmt w:val="decimal"/>
      <w:lvlText w:val="%1"/>
      <w:lvlJc w:val="left"/>
      <w:pPr>
        <w:tabs>
          <w:tab w:val="left" w:pos="432"/>
        </w:tabs>
        <w:ind w:left="432" w:hanging="432"/>
      </w:pPr>
    </w:lvl>
    <w:lvl w:ilvl="1" w:tentative="0">
      <w:start w:val="1"/>
      <w:numFmt w:val="decimal"/>
      <w:pStyle w:val="2201"/>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39">
    <w:nsid w:val="37A04360"/>
    <w:multiLevelType w:val="multilevel"/>
    <w:tmpl w:val="37A04360"/>
    <w:lvl w:ilvl="0" w:tentative="0">
      <w:start w:val="1"/>
      <w:numFmt w:val="decimal"/>
      <w:pStyle w:val="1398"/>
      <w:lvlText w:val="表1.11-%1"/>
      <w:lvlJc w:val="center"/>
      <w:pPr>
        <w:tabs>
          <w:tab w:val="left" w:pos="2444"/>
        </w:tabs>
        <w:ind w:left="1720" w:firstLine="4"/>
      </w:pPr>
      <w:rPr>
        <w:rFonts w:hint="default" w:ascii="Times New Roman" w:hAnsi="Times New Roman"/>
        <w:b/>
        <w:i w:val="0"/>
        <w:sz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3A9076B2"/>
    <w:multiLevelType w:val="multilevel"/>
    <w:tmpl w:val="3A9076B2"/>
    <w:lvl w:ilvl="0" w:tentative="0">
      <w:start w:val="2"/>
      <w:numFmt w:val="decimal"/>
      <w:lvlText w:val="%1、"/>
      <w:lvlJc w:val="left"/>
      <w:pPr>
        <w:tabs>
          <w:tab w:val="left" w:pos="929"/>
        </w:tabs>
        <w:ind w:left="929"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pStyle w:val="2425"/>
      <w:lvlText w:val="%4."/>
      <w:lvlJc w:val="left"/>
      <w:pPr>
        <w:tabs>
          <w:tab w:val="left" w:pos="2249"/>
        </w:tabs>
        <w:ind w:left="2249"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1">
    <w:nsid w:val="3D7D29B0"/>
    <w:multiLevelType w:val="multilevel"/>
    <w:tmpl w:val="3D7D29B0"/>
    <w:lvl w:ilvl="0" w:tentative="0">
      <w:start w:val="16"/>
      <w:numFmt w:val="decimal"/>
      <w:lvlText w:val="%1"/>
      <w:lvlJc w:val="left"/>
      <w:pPr>
        <w:tabs>
          <w:tab w:val="left" w:pos="998"/>
        </w:tabs>
        <w:ind w:left="998" w:hanging="425"/>
      </w:pPr>
      <w:rPr>
        <w:rFonts w:hint="eastAsia"/>
      </w:rPr>
    </w:lvl>
    <w:lvl w:ilvl="1" w:tentative="0">
      <w:start w:val="9"/>
      <w:numFmt w:val="decimal"/>
      <w:lvlText w:val="%1.%2"/>
      <w:lvlJc w:val="left"/>
      <w:pPr>
        <w:tabs>
          <w:tab w:val="left" w:pos="387"/>
        </w:tabs>
        <w:ind w:left="-333" w:firstLine="0"/>
      </w:pPr>
      <w:rPr>
        <w:rFonts w:hint="eastAsia"/>
      </w:rPr>
    </w:lvl>
    <w:lvl w:ilvl="2" w:tentative="0">
      <w:start w:val="3"/>
      <w:numFmt w:val="decimal"/>
      <w:lvlText w:val="%1.%2.%3"/>
      <w:lvlJc w:val="left"/>
      <w:pPr>
        <w:tabs>
          <w:tab w:val="left" w:pos="136"/>
        </w:tabs>
        <w:ind w:left="136"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427"/>
      <w:lvlText w:val="%1.%2.%3.%4"/>
      <w:lvlJc w:val="left"/>
      <w:pPr>
        <w:tabs>
          <w:tab w:val="left" w:pos="2373"/>
        </w:tabs>
        <w:ind w:left="1424" w:hanging="851"/>
      </w:pPr>
      <w:rPr>
        <w:rFonts w:hint="eastAsia"/>
      </w:rPr>
    </w:lvl>
    <w:lvl w:ilvl="4" w:tentative="0">
      <w:start w:val="1"/>
      <w:numFmt w:val="decimal"/>
      <w:lvlText w:val="%1.%2.%3.%4.%5."/>
      <w:lvlJc w:val="left"/>
      <w:pPr>
        <w:tabs>
          <w:tab w:val="left" w:pos="1565"/>
        </w:tabs>
        <w:ind w:left="1565" w:hanging="992"/>
      </w:pPr>
      <w:rPr>
        <w:rFonts w:hint="eastAsia"/>
      </w:rPr>
    </w:lvl>
    <w:lvl w:ilvl="5" w:tentative="0">
      <w:start w:val="1"/>
      <w:numFmt w:val="decimal"/>
      <w:lvlText w:val="%1.%2.%3.%4.%5.%6."/>
      <w:lvlJc w:val="left"/>
      <w:pPr>
        <w:tabs>
          <w:tab w:val="left" w:pos="1707"/>
        </w:tabs>
        <w:ind w:left="1707" w:hanging="1134"/>
      </w:pPr>
      <w:rPr>
        <w:rFonts w:hint="eastAsia"/>
      </w:rPr>
    </w:lvl>
    <w:lvl w:ilvl="6" w:tentative="0">
      <w:start w:val="1"/>
      <w:numFmt w:val="decimal"/>
      <w:lvlText w:val="%1.%2.%3.%4.%5.%6.%7."/>
      <w:lvlJc w:val="left"/>
      <w:pPr>
        <w:tabs>
          <w:tab w:val="left" w:pos="1849"/>
        </w:tabs>
        <w:ind w:left="1849" w:hanging="1276"/>
      </w:pPr>
      <w:rPr>
        <w:rFonts w:hint="eastAsia"/>
      </w:rPr>
    </w:lvl>
    <w:lvl w:ilvl="7" w:tentative="0">
      <w:start w:val="1"/>
      <w:numFmt w:val="decimal"/>
      <w:lvlText w:val="%1.%2.%3.%4.%5.%6.%7.%8."/>
      <w:lvlJc w:val="left"/>
      <w:pPr>
        <w:tabs>
          <w:tab w:val="left" w:pos="1991"/>
        </w:tabs>
        <w:ind w:left="1991" w:hanging="1418"/>
      </w:pPr>
      <w:rPr>
        <w:rFonts w:hint="eastAsia"/>
      </w:rPr>
    </w:lvl>
    <w:lvl w:ilvl="8" w:tentative="0">
      <w:start w:val="1"/>
      <w:numFmt w:val="decimal"/>
      <w:lvlText w:val="%1.%2.%3.%4.%5.%6.%7.%8.%9."/>
      <w:lvlJc w:val="left"/>
      <w:pPr>
        <w:tabs>
          <w:tab w:val="left" w:pos="2132"/>
        </w:tabs>
        <w:ind w:left="2132" w:hanging="1559"/>
      </w:pPr>
      <w:rPr>
        <w:rFonts w:hint="eastAsia"/>
      </w:rPr>
    </w:lvl>
  </w:abstractNum>
  <w:abstractNum w:abstractNumId="42">
    <w:nsid w:val="3DB57900"/>
    <w:multiLevelType w:val="multilevel"/>
    <w:tmpl w:val="3DB57900"/>
    <w:lvl w:ilvl="0" w:tentative="0">
      <w:start w:val="1"/>
      <w:numFmt w:val="decimal"/>
      <w:isLgl/>
      <w:suff w:val="space"/>
      <w:lvlText w:val="%1"/>
      <w:lvlJc w:val="left"/>
      <w:pPr>
        <w:ind w:left="0" w:firstLine="0"/>
      </w:pPr>
      <w:rPr>
        <w:rFonts w:hint="default" w:ascii="Times New Roman" w:hAnsi="Times New Roman" w:eastAsia="黑体"/>
        <w:b w:val="0"/>
        <w:i w:val="0"/>
        <w:sz w:val="32"/>
        <w:szCs w:val="32"/>
      </w:rPr>
    </w:lvl>
    <w:lvl w:ilvl="1" w:tentative="0">
      <w:start w:val="1"/>
      <w:numFmt w:val="decimal"/>
      <w:pStyle w:val="2697"/>
      <w:isLgl/>
      <w:suff w:val="space"/>
      <w:lvlText w:val="%1.%2"/>
      <w:lvlJc w:val="left"/>
      <w:pPr>
        <w:ind w:left="0" w:firstLine="0"/>
      </w:pPr>
      <w:rPr>
        <w:rFonts w:hint="default" w:ascii="Times New Roman" w:hAnsi="Times New Roman" w:eastAsia="黑体"/>
        <w:b w:val="0"/>
        <w:i w:val="0"/>
        <w:sz w:val="28"/>
        <w:szCs w:val="28"/>
      </w:rPr>
    </w:lvl>
    <w:lvl w:ilvl="2" w:tentative="0">
      <w:start w:val="1"/>
      <w:numFmt w:val="decimal"/>
      <w:pStyle w:val="2021"/>
      <w:isLgl/>
      <w:suff w:val="space"/>
      <w:lvlText w:val="%1.%2.%3"/>
      <w:lvlJc w:val="left"/>
      <w:pPr>
        <w:ind w:left="0" w:firstLine="0"/>
      </w:pPr>
      <w:rPr>
        <w:rFonts w:hint="default" w:ascii="Times New Roman" w:hAnsi="Times New Roman" w:eastAsia="黑体"/>
        <w:b w:val="0"/>
        <w:i w:val="0"/>
        <w:sz w:val="24"/>
        <w:szCs w:val="24"/>
      </w:rPr>
    </w:lvl>
    <w:lvl w:ilvl="3" w:tentative="0">
      <w:start w:val="1"/>
      <w:numFmt w:val="decimal"/>
      <w:pStyle w:val="2855"/>
      <w:isLgl/>
      <w:suff w:val="space"/>
      <w:lvlText w:val="%1.%2.%3.%4"/>
      <w:lvlJc w:val="left"/>
      <w:pPr>
        <w:ind w:left="0" w:firstLine="0"/>
      </w:pPr>
      <w:rPr>
        <w:rFonts w:hint="default" w:ascii="Times New Roman" w:hAnsi="Times New Roman" w:eastAsia="黑体"/>
        <w:b w:val="0"/>
        <w:i w:val="0"/>
        <w:sz w:val="24"/>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3">
    <w:nsid w:val="40570932"/>
    <w:multiLevelType w:val="multilevel"/>
    <w:tmpl w:val="40570932"/>
    <w:lvl w:ilvl="0" w:tentative="0">
      <w:start w:val="16"/>
      <w:numFmt w:val="decimal"/>
      <w:lvlText w:val="%1"/>
      <w:lvlJc w:val="left"/>
      <w:pPr>
        <w:tabs>
          <w:tab w:val="left" w:pos="425"/>
        </w:tabs>
        <w:ind w:left="425" w:hanging="425"/>
      </w:pPr>
      <w:rPr>
        <w:rFonts w:hint="eastAsia"/>
      </w:rPr>
    </w:lvl>
    <w:lvl w:ilvl="1" w:tentative="0">
      <w:start w:val="9"/>
      <w:numFmt w:val="decimal"/>
      <w:lvlText w:val="%1.%2"/>
      <w:lvlJc w:val="left"/>
      <w:pPr>
        <w:tabs>
          <w:tab w:val="left" w:pos="-186"/>
        </w:tabs>
        <w:ind w:left="-906" w:firstLine="0"/>
      </w:pPr>
      <w:rPr>
        <w:rFonts w:hint="eastAsia"/>
      </w:rPr>
    </w:lvl>
    <w:lvl w:ilvl="2" w:tentative="0">
      <w:start w:val="6"/>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1758"/>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4">
    <w:nsid w:val="408202FF"/>
    <w:multiLevelType w:val="multilevel"/>
    <w:tmpl w:val="408202FF"/>
    <w:lvl w:ilvl="0" w:tentative="0">
      <w:start w:val="1"/>
      <w:numFmt w:val="decimal"/>
      <w:pStyle w:val="2340"/>
      <w:lvlText w:val="(%1)"/>
      <w:lvlJc w:val="left"/>
      <w:pPr>
        <w:tabs>
          <w:tab w:val="left" w:pos="851"/>
        </w:tabs>
        <w:ind w:left="851" w:hanging="431"/>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5">
    <w:nsid w:val="414A71FA"/>
    <w:multiLevelType w:val="multilevel"/>
    <w:tmpl w:val="414A71FA"/>
    <w:lvl w:ilvl="0" w:tentative="0">
      <w:start w:val="1"/>
      <w:numFmt w:val="decimal"/>
      <w:pStyle w:val="278"/>
      <w:lvlText w:val="表5.6-%1"/>
      <w:lvlJc w:val="left"/>
      <w:pPr>
        <w:tabs>
          <w:tab w:val="left" w:pos="4200"/>
        </w:tabs>
        <w:ind w:left="3540" w:hanging="420"/>
      </w:pPr>
      <w:rPr>
        <w:rFonts w:hint="default" w:ascii="Times New Roman" w:hAnsi="Times New Roman"/>
        <w:b/>
        <w:i w:val="0"/>
        <w:sz w:val="24"/>
        <w:szCs w:val="24"/>
      </w:rPr>
    </w:lvl>
    <w:lvl w:ilvl="1" w:tentative="0">
      <w:start w:val="1"/>
      <w:numFmt w:val="lowerLetter"/>
      <w:lvlText w:val="%2)"/>
      <w:lvlJc w:val="left"/>
      <w:pPr>
        <w:tabs>
          <w:tab w:val="left" w:pos="3960"/>
        </w:tabs>
        <w:ind w:left="3960" w:hanging="420"/>
      </w:pPr>
    </w:lvl>
    <w:lvl w:ilvl="2" w:tentative="0">
      <w:start w:val="1"/>
      <w:numFmt w:val="lowerRoman"/>
      <w:lvlText w:val="%3."/>
      <w:lvlJc w:val="right"/>
      <w:pPr>
        <w:tabs>
          <w:tab w:val="left" w:pos="4380"/>
        </w:tabs>
        <w:ind w:left="4380" w:hanging="420"/>
      </w:pPr>
    </w:lvl>
    <w:lvl w:ilvl="3" w:tentative="0">
      <w:start w:val="1"/>
      <w:numFmt w:val="decimal"/>
      <w:lvlText w:val="%4."/>
      <w:lvlJc w:val="left"/>
      <w:pPr>
        <w:tabs>
          <w:tab w:val="left" w:pos="4800"/>
        </w:tabs>
        <w:ind w:left="4800" w:hanging="420"/>
      </w:pPr>
    </w:lvl>
    <w:lvl w:ilvl="4" w:tentative="0">
      <w:start w:val="1"/>
      <w:numFmt w:val="lowerLetter"/>
      <w:lvlText w:val="%5)"/>
      <w:lvlJc w:val="left"/>
      <w:pPr>
        <w:tabs>
          <w:tab w:val="left" w:pos="5220"/>
        </w:tabs>
        <w:ind w:left="5220" w:hanging="420"/>
      </w:pPr>
    </w:lvl>
    <w:lvl w:ilvl="5" w:tentative="0">
      <w:start w:val="1"/>
      <w:numFmt w:val="lowerRoman"/>
      <w:lvlText w:val="%6."/>
      <w:lvlJc w:val="right"/>
      <w:pPr>
        <w:tabs>
          <w:tab w:val="left" w:pos="5640"/>
        </w:tabs>
        <w:ind w:left="5640" w:hanging="420"/>
      </w:pPr>
    </w:lvl>
    <w:lvl w:ilvl="6" w:tentative="0">
      <w:start w:val="1"/>
      <w:numFmt w:val="decimal"/>
      <w:lvlText w:val="%7."/>
      <w:lvlJc w:val="left"/>
      <w:pPr>
        <w:tabs>
          <w:tab w:val="left" w:pos="6060"/>
        </w:tabs>
        <w:ind w:left="6060" w:hanging="420"/>
      </w:pPr>
    </w:lvl>
    <w:lvl w:ilvl="7" w:tentative="0">
      <w:start w:val="1"/>
      <w:numFmt w:val="lowerLetter"/>
      <w:lvlText w:val="%8)"/>
      <w:lvlJc w:val="left"/>
      <w:pPr>
        <w:tabs>
          <w:tab w:val="left" w:pos="6480"/>
        </w:tabs>
        <w:ind w:left="6480" w:hanging="420"/>
      </w:pPr>
    </w:lvl>
    <w:lvl w:ilvl="8" w:tentative="0">
      <w:start w:val="1"/>
      <w:numFmt w:val="lowerRoman"/>
      <w:lvlText w:val="%9."/>
      <w:lvlJc w:val="right"/>
      <w:pPr>
        <w:tabs>
          <w:tab w:val="left" w:pos="6900"/>
        </w:tabs>
        <w:ind w:left="6900" w:hanging="420"/>
      </w:pPr>
    </w:lvl>
  </w:abstractNum>
  <w:abstractNum w:abstractNumId="46">
    <w:nsid w:val="42C83A4B"/>
    <w:multiLevelType w:val="multilevel"/>
    <w:tmpl w:val="42C83A4B"/>
    <w:lvl w:ilvl="0" w:tentative="0">
      <w:start w:val="13"/>
      <w:numFmt w:val="decimal"/>
      <w:lvlText w:val="%1"/>
      <w:lvlJc w:val="left"/>
      <w:pPr>
        <w:tabs>
          <w:tab w:val="left" w:pos="-851"/>
        </w:tabs>
        <w:ind w:left="-851" w:hanging="425"/>
      </w:pPr>
      <w:rPr>
        <w:rFonts w:hint="eastAsia"/>
      </w:rPr>
    </w:lvl>
    <w:lvl w:ilvl="1" w:tentative="0">
      <w:start w:val="3"/>
      <w:numFmt w:val="decimal"/>
      <w:lvlText w:val="%1.%2"/>
      <w:lvlJc w:val="left"/>
      <w:pPr>
        <w:tabs>
          <w:tab w:val="left" w:pos="229"/>
        </w:tabs>
        <w:ind w:left="-284" w:hanging="567"/>
      </w:pPr>
      <w:rPr>
        <w:rFonts w:hint="eastAsia"/>
      </w:rPr>
    </w:lvl>
    <w:lvl w:ilvl="2" w:tentative="0">
      <w:start w:val="2"/>
      <w:numFmt w:val="decimal"/>
      <w:lvlText w:val="%1.%2.%3"/>
      <w:lvlJc w:val="left"/>
      <w:pPr>
        <w:tabs>
          <w:tab w:val="left" w:pos="1015"/>
        </w:tabs>
        <w:ind w:left="142" w:hanging="567"/>
      </w:pPr>
      <w:rPr>
        <w:rFonts w:hint="eastAsia"/>
      </w:rPr>
    </w:lvl>
    <w:lvl w:ilvl="3" w:tentative="0">
      <w:start w:val="1"/>
      <w:numFmt w:val="decimal"/>
      <w:pStyle w:val="2706"/>
      <w:lvlText w:val="%1.3.2.%4"/>
      <w:lvlJc w:val="left"/>
      <w:pPr>
        <w:tabs>
          <w:tab w:val="left" w:pos="2160"/>
        </w:tabs>
        <w:ind w:left="708" w:hanging="708"/>
      </w:pPr>
      <w:rPr>
        <w:rFonts w:hint="eastAsia"/>
      </w:rPr>
    </w:lvl>
    <w:lvl w:ilvl="4" w:tentative="0">
      <w:start w:val="1"/>
      <w:numFmt w:val="decimal"/>
      <w:lvlText w:val="%1.%2.%3.%4.%5"/>
      <w:lvlJc w:val="left"/>
      <w:pPr>
        <w:tabs>
          <w:tab w:val="left" w:pos="3305"/>
        </w:tabs>
        <w:ind w:left="1275" w:hanging="850"/>
      </w:pPr>
      <w:rPr>
        <w:rFonts w:hint="eastAsia"/>
      </w:rPr>
    </w:lvl>
    <w:lvl w:ilvl="5" w:tentative="0">
      <w:start w:val="1"/>
      <w:numFmt w:val="decimal"/>
      <w:lvlText w:val="%1.%2.%3.%4.%5.%6"/>
      <w:lvlJc w:val="left"/>
      <w:pPr>
        <w:tabs>
          <w:tab w:val="left" w:pos="4090"/>
        </w:tabs>
        <w:ind w:left="1984" w:hanging="1134"/>
      </w:pPr>
      <w:rPr>
        <w:rFonts w:hint="eastAsia"/>
      </w:rPr>
    </w:lvl>
    <w:lvl w:ilvl="6" w:tentative="0">
      <w:start w:val="1"/>
      <w:numFmt w:val="decimal"/>
      <w:lvlText w:val="%1.%2.%3.%4.%5.%6.%7"/>
      <w:lvlJc w:val="left"/>
      <w:pPr>
        <w:tabs>
          <w:tab w:val="left" w:pos="5235"/>
        </w:tabs>
        <w:ind w:left="2551" w:hanging="1276"/>
      </w:pPr>
      <w:rPr>
        <w:rFonts w:hint="eastAsia"/>
      </w:rPr>
    </w:lvl>
    <w:lvl w:ilvl="7" w:tentative="0">
      <w:start w:val="1"/>
      <w:numFmt w:val="decimal"/>
      <w:lvlText w:val="%1.%2.%3.%4.%5.%6.%7.%8"/>
      <w:lvlJc w:val="left"/>
      <w:pPr>
        <w:tabs>
          <w:tab w:val="left" w:pos="6020"/>
        </w:tabs>
        <w:ind w:left="3118" w:hanging="1418"/>
      </w:pPr>
      <w:rPr>
        <w:rFonts w:hint="eastAsia"/>
      </w:rPr>
    </w:lvl>
    <w:lvl w:ilvl="8" w:tentative="0">
      <w:start w:val="1"/>
      <w:numFmt w:val="decimal"/>
      <w:lvlText w:val="%1.%2.%3.%4.%5.%6.%7.%8.%9"/>
      <w:lvlJc w:val="left"/>
      <w:pPr>
        <w:tabs>
          <w:tab w:val="left" w:pos="7166"/>
        </w:tabs>
        <w:ind w:left="3826" w:hanging="1700"/>
      </w:pPr>
      <w:rPr>
        <w:rFonts w:hint="eastAsia"/>
      </w:rPr>
    </w:lvl>
  </w:abstractNum>
  <w:abstractNum w:abstractNumId="47">
    <w:nsid w:val="44913A94"/>
    <w:multiLevelType w:val="multilevel"/>
    <w:tmpl w:val="44913A94"/>
    <w:lvl w:ilvl="0" w:tentative="0">
      <w:start w:val="1"/>
      <w:numFmt w:val="chineseCountingThousand"/>
      <w:pStyle w:val="1616"/>
      <w:lvlText w:val="%1、"/>
      <w:lvlJc w:val="left"/>
      <w:pPr>
        <w:tabs>
          <w:tab w:val="left" w:pos="4686"/>
        </w:tabs>
        <w:ind w:left="4026" w:hanging="420"/>
      </w:pPr>
      <w:rPr>
        <w:rFonts w:hint="default" w:ascii="Times New Roman" w:hAnsi="Times New Roman" w:eastAsia="黑体"/>
        <w:b/>
        <w:i w:val="0"/>
        <w:sz w:val="21"/>
        <w:szCs w:val="21"/>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8">
    <w:nsid w:val="464C1D55"/>
    <w:multiLevelType w:val="singleLevel"/>
    <w:tmpl w:val="464C1D55"/>
    <w:lvl w:ilvl="0" w:tentative="0">
      <w:start w:val="1"/>
      <w:numFmt w:val="bullet"/>
      <w:pStyle w:val="3004"/>
      <w:lvlText w:val=""/>
      <w:lvlJc w:val="left"/>
      <w:pPr>
        <w:tabs>
          <w:tab w:val="left" w:pos="1040"/>
        </w:tabs>
        <w:ind w:left="1021" w:hanging="341"/>
      </w:pPr>
      <w:rPr>
        <w:rFonts w:hint="default" w:ascii="Symbol" w:hAnsi="Symbol"/>
      </w:rPr>
    </w:lvl>
  </w:abstractNum>
  <w:abstractNum w:abstractNumId="49">
    <w:nsid w:val="49C60472"/>
    <w:multiLevelType w:val="multilevel"/>
    <w:tmpl w:val="49C60472"/>
    <w:lvl w:ilvl="0" w:tentative="0">
      <w:start w:val="16"/>
      <w:numFmt w:val="decimal"/>
      <w:lvlText w:val="%1"/>
      <w:lvlJc w:val="left"/>
      <w:pPr>
        <w:tabs>
          <w:tab w:val="left" w:pos="425"/>
        </w:tabs>
        <w:ind w:left="425" w:hanging="425"/>
      </w:pPr>
      <w:rPr>
        <w:rFonts w:hint="eastAsia"/>
      </w:rPr>
    </w:lvl>
    <w:lvl w:ilvl="1" w:tentative="0">
      <w:start w:val="6"/>
      <w:numFmt w:val="decimal"/>
      <w:lvlText w:val="%1.%2"/>
      <w:lvlJc w:val="left"/>
      <w:pPr>
        <w:tabs>
          <w:tab w:val="left" w:pos="-186"/>
        </w:tabs>
        <w:ind w:left="-906" w:firstLine="0"/>
      </w:pPr>
      <w:rPr>
        <w:rFonts w:hint="eastAsia"/>
      </w:rPr>
    </w:lvl>
    <w:lvl w:ilvl="2" w:tentative="0">
      <w:start w:val="2"/>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2507"/>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0">
    <w:nsid w:val="4C6915EE"/>
    <w:multiLevelType w:val="multilevel"/>
    <w:tmpl w:val="4C6915EE"/>
    <w:lvl w:ilvl="0" w:tentative="0">
      <w:start w:val="1"/>
      <w:numFmt w:val="decimal"/>
      <w:pStyle w:val="1632"/>
      <w:lvlText w:val="表16.4-%1"/>
      <w:lvlJc w:val="center"/>
      <w:pPr>
        <w:tabs>
          <w:tab w:val="left" w:pos="720"/>
        </w:tabs>
        <w:ind w:left="-4" w:firstLine="4"/>
      </w:pPr>
      <w:rPr>
        <w:rFonts w:hint="eastAsia" w:ascii="黑体" w:hAnsi="宋体" w:eastAsia="黑体"/>
        <w:b w:val="0"/>
        <w:bCs w:val="0"/>
        <w:i w:val="0"/>
        <w:iCs w:val="0"/>
        <w:caps w:val="0"/>
        <w:smallCaps w:val="0"/>
        <w:strike w:val="0"/>
        <w:dstrike w:val="0"/>
        <w:color w:val="auto"/>
        <w:spacing w:val="0"/>
        <w:w w:val="100"/>
        <w:kern w:val="2"/>
        <w:position w:val="0"/>
        <w:sz w:val="24"/>
        <w:u w:val="none"/>
        <w:shd w:val="clear" w:color="auto" w:fil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1">
    <w:nsid w:val="51CE162B"/>
    <w:multiLevelType w:val="multilevel"/>
    <w:tmpl w:val="51CE162B"/>
    <w:lvl w:ilvl="0" w:tentative="0">
      <w:start w:val="7"/>
      <w:numFmt w:val="decimal"/>
      <w:lvlText w:val="%1"/>
      <w:lvlJc w:val="left"/>
      <w:pPr>
        <w:tabs>
          <w:tab w:val="left" w:pos="295"/>
        </w:tabs>
        <w:ind w:left="295" w:hanging="425"/>
      </w:pPr>
      <w:rPr>
        <w:rFonts w:hint="eastAsia"/>
      </w:rPr>
    </w:lvl>
    <w:lvl w:ilvl="1" w:tentative="0">
      <w:start w:val="1"/>
      <w:numFmt w:val="decimal"/>
      <w:lvlText w:val="%1.%2"/>
      <w:lvlJc w:val="left"/>
      <w:pPr>
        <w:tabs>
          <w:tab w:val="left" w:pos="1375"/>
        </w:tabs>
        <w:ind w:left="862" w:hanging="567"/>
      </w:pPr>
      <w:rPr>
        <w:rFonts w:hint="eastAsia"/>
      </w:rPr>
    </w:lvl>
    <w:lvl w:ilvl="2" w:tentative="0">
      <w:start w:val="1"/>
      <w:numFmt w:val="decimal"/>
      <w:lvlText w:val="%1.%2.%3"/>
      <w:lvlJc w:val="left"/>
      <w:pPr>
        <w:tabs>
          <w:tab w:val="left" w:pos="2161"/>
        </w:tabs>
        <w:ind w:left="1288" w:hanging="567"/>
      </w:pPr>
      <w:rPr>
        <w:rFonts w:hint="eastAsia"/>
      </w:rPr>
    </w:lvl>
    <w:lvl w:ilvl="3" w:tentative="0">
      <w:start w:val="1"/>
      <w:numFmt w:val="decimal"/>
      <w:pStyle w:val="1000"/>
      <w:lvlText w:val="%1.4.3.%4"/>
      <w:lvlJc w:val="left"/>
      <w:pPr>
        <w:tabs>
          <w:tab w:val="left" w:pos="3306"/>
        </w:tabs>
        <w:ind w:left="1854" w:hanging="708"/>
      </w:pPr>
      <w:rPr>
        <w:rFonts w:hint="eastAsia"/>
        <w:b/>
        <w:i w:val="0"/>
        <w:color w:val="000000"/>
      </w:rPr>
    </w:lvl>
    <w:lvl w:ilvl="4" w:tentative="0">
      <w:start w:val="1"/>
      <w:numFmt w:val="decimal"/>
      <w:lvlText w:val="%1.%2.%3.%4.%5"/>
      <w:lvlJc w:val="left"/>
      <w:pPr>
        <w:tabs>
          <w:tab w:val="left" w:pos="4451"/>
        </w:tabs>
        <w:ind w:left="2421" w:hanging="850"/>
      </w:pPr>
      <w:rPr>
        <w:rFonts w:hint="eastAsia"/>
      </w:rPr>
    </w:lvl>
    <w:lvl w:ilvl="5" w:tentative="0">
      <w:start w:val="1"/>
      <w:numFmt w:val="decimal"/>
      <w:lvlText w:val="%1.%2.%3.%4.%5.%6"/>
      <w:lvlJc w:val="left"/>
      <w:pPr>
        <w:tabs>
          <w:tab w:val="left" w:pos="5236"/>
        </w:tabs>
        <w:ind w:left="3130" w:hanging="1134"/>
      </w:pPr>
      <w:rPr>
        <w:rFonts w:hint="eastAsia"/>
      </w:rPr>
    </w:lvl>
    <w:lvl w:ilvl="6" w:tentative="0">
      <w:start w:val="1"/>
      <w:numFmt w:val="decimal"/>
      <w:lvlText w:val="%1.%2.%3.%4.%5.%6.%7"/>
      <w:lvlJc w:val="left"/>
      <w:pPr>
        <w:tabs>
          <w:tab w:val="left" w:pos="6381"/>
        </w:tabs>
        <w:ind w:left="3697" w:hanging="1276"/>
      </w:pPr>
      <w:rPr>
        <w:rFonts w:hint="eastAsia"/>
      </w:rPr>
    </w:lvl>
    <w:lvl w:ilvl="7" w:tentative="0">
      <w:start w:val="1"/>
      <w:numFmt w:val="decimal"/>
      <w:lvlText w:val="%1.%2.%3.%4.%5.%6.%7.%8"/>
      <w:lvlJc w:val="left"/>
      <w:pPr>
        <w:tabs>
          <w:tab w:val="left" w:pos="7166"/>
        </w:tabs>
        <w:ind w:left="4264" w:hanging="1418"/>
      </w:pPr>
      <w:rPr>
        <w:rFonts w:hint="eastAsia"/>
      </w:rPr>
    </w:lvl>
    <w:lvl w:ilvl="8" w:tentative="0">
      <w:start w:val="1"/>
      <w:numFmt w:val="decimal"/>
      <w:lvlText w:val="%1.%2.%3.%4.%5.%6.%7.%8.%9"/>
      <w:lvlJc w:val="left"/>
      <w:pPr>
        <w:tabs>
          <w:tab w:val="left" w:pos="8312"/>
        </w:tabs>
        <w:ind w:left="4972" w:hanging="1700"/>
      </w:pPr>
      <w:rPr>
        <w:rFonts w:hint="eastAsia"/>
      </w:rPr>
    </w:lvl>
  </w:abstractNum>
  <w:abstractNum w:abstractNumId="52">
    <w:nsid w:val="53FC2D62"/>
    <w:multiLevelType w:val="multilevel"/>
    <w:tmpl w:val="53FC2D62"/>
    <w:lvl w:ilvl="0" w:tentative="0">
      <w:start w:val="22"/>
      <w:numFmt w:val="decimal"/>
      <w:lvlText w:val="%1"/>
      <w:lvlJc w:val="left"/>
      <w:pPr>
        <w:tabs>
          <w:tab w:val="left" w:pos="-2556"/>
        </w:tabs>
        <w:ind w:left="-2556" w:hanging="425"/>
      </w:pPr>
      <w:rPr>
        <w:rFonts w:hint="eastAsia"/>
      </w:rPr>
    </w:lvl>
    <w:lvl w:ilvl="1" w:tentative="0">
      <w:start w:val="1"/>
      <w:numFmt w:val="decimal"/>
      <w:lvlText w:val="%1.%2"/>
      <w:lvlJc w:val="left"/>
      <w:pPr>
        <w:tabs>
          <w:tab w:val="left" w:pos="-1476"/>
        </w:tabs>
        <w:ind w:left="-1989" w:hanging="567"/>
      </w:pPr>
      <w:rPr>
        <w:rFonts w:hint="eastAsia"/>
      </w:rPr>
    </w:lvl>
    <w:lvl w:ilvl="2" w:tentative="0">
      <w:start w:val="7"/>
      <w:numFmt w:val="decimal"/>
      <w:lvlText w:val="%1.%2.%3"/>
      <w:lvlJc w:val="left"/>
      <w:pPr>
        <w:tabs>
          <w:tab w:val="left" w:pos="-690"/>
        </w:tabs>
        <w:ind w:left="-1563" w:hanging="567"/>
      </w:pPr>
      <w:rPr>
        <w:rFonts w:hint="eastAsia"/>
      </w:rPr>
    </w:lvl>
    <w:lvl w:ilvl="3" w:tentative="0">
      <w:start w:val="1"/>
      <w:numFmt w:val="decimal"/>
      <w:pStyle w:val="2492"/>
      <w:lvlText w:val="20.%2.%3.%4"/>
      <w:lvlJc w:val="left"/>
      <w:pPr>
        <w:tabs>
          <w:tab w:val="left" w:pos="455"/>
        </w:tabs>
        <w:ind w:left="-997" w:firstLine="997"/>
      </w:pPr>
      <w:rPr>
        <w:rFonts w:hint="default" w:ascii="Times New Roman" w:hAnsi="Times New Roman"/>
      </w:rPr>
    </w:lvl>
    <w:lvl w:ilvl="4" w:tentative="0">
      <w:start w:val="1"/>
      <w:numFmt w:val="decimal"/>
      <w:lvlText w:val="%1.%2.%3.%4.%5"/>
      <w:lvlJc w:val="left"/>
      <w:pPr>
        <w:tabs>
          <w:tab w:val="left" w:pos="1600"/>
        </w:tabs>
        <w:ind w:left="-430" w:hanging="850"/>
      </w:pPr>
      <w:rPr>
        <w:rFonts w:hint="eastAsia"/>
      </w:rPr>
    </w:lvl>
    <w:lvl w:ilvl="5" w:tentative="0">
      <w:start w:val="1"/>
      <w:numFmt w:val="decimal"/>
      <w:lvlText w:val="%1.%2.%3.%4.%5.%6"/>
      <w:lvlJc w:val="left"/>
      <w:pPr>
        <w:tabs>
          <w:tab w:val="left" w:pos="2385"/>
        </w:tabs>
        <w:ind w:left="279" w:hanging="1134"/>
      </w:pPr>
      <w:rPr>
        <w:rFonts w:hint="eastAsia"/>
      </w:rPr>
    </w:lvl>
    <w:lvl w:ilvl="6" w:tentative="0">
      <w:start w:val="1"/>
      <w:numFmt w:val="decimal"/>
      <w:lvlText w:val="%1.%2.%3.%4.%5.%6.%7"/>
      <w:lvlJc w:val="left"/>
      <w:pPr>
        <w:tabs>
          <w:tab w:val="left" w:pos="3530"/>
        </w:tabs>
        <w:ind w:left="846" w:hanging="1276"/>
      </w:pPr>
      <w:rPr>
        <w:rFonts w:hint="eastAsia"/>
      </w:rPr>
    </w:lvl>
    <w:lvl w:ilvl="7" w:tentative="0">
      <w:start w:val="1"/>
      <w:numFmt w:val="decimal"/>
      <w:lvlText w:val="%1.%2.%3.%4.%5.%6.%7.%8"/>
      <w:lvlJc w:val="left"/>
      <w:pPr>
        <w:tabs>
          <w:tab w:val="left" w:pos="4315"/>
        </w:tabs>
        <w:ind w:left="1413" w:hanging="1418"/>
      </w:pPr>
      <w:rPr>
        <w:rFonts w:hint="eastAsia"/>
      </w:rPr>
    </w:lvl>
    <w:lvl w:ilvl="8" w:tentative="0">
      <w:start w:val="1"/>
      <w:numFmt w:val="decimal"/>
      <w:lvlText w:val="%1.%2.%3.%4.%5.%6.%7.%8.%9"/>
      <w:lvlJc w:val="left"/>
      <w:pPr>
        <w:tabs>
          <w:tab w:val="left" w:pos="5461"/>
        </w:tabs>
        <w:ind w:left="2121" w:hanging="1700"/>
      </w:pPr>
      <w:rPr>
        <w:rFonts w:hint="eastAsia"/>
      </w:rPr>
    </w:lvl>
  </w:abstractNum>
  <w:abstractNum w:abstractNumId="53">
    <w:nsid w:val="544646F5"/>
    <w:multiLevelType w:val="multilevel"/>
    <w:tmpl w:val="544646F5"/>
    <w:lvl w:ilvl="0" w:tentative="0">
      <w:start w:val="1"/>
      <w:numFmt w:val="decimal"/>
      <w:pStyle w:val="1618"/>
      <w:lvlText w:val="表5.13 -%1"/>
      <w:lvlJc w:val="center"/>
      <w:pPr>
        <w:tabs>
          <w:tab w:val="left" w:pos="4080"/>
        </w:tabs>
        <w:ind w:left="3356" w:firstLine="4"/>
      </w:pPr>
      <w:rPr>
        <w:rFonts w:hint="default" w:ascii="Times New Roman" w:hAnsi="Times New Roman"/>
        <w:b/>
        <w:i w:val="0"/>
        <w:sz w:val="24"/>
        <w:lang w:val="en-US"/>
      </w:rPr>
    </w:lvl>
    <w:lvl w:ilvl="1" w:tentative="0">
      <w:start w:val="1"/>
      <w:numFmt w:val="lowerLetter"/>
      <w:lvlText w:val="%2)"/>
      <w:lvlJc w:val="left"/>
      <w:pPr>
        <w:tabs>
          <w:tab w:val="left" w:pos="2476"/>
        </w:tabs>
        <w:ind w:left="2476" w:hanging="420"/>
      </w:pPr>
    </w:lvl>
    <w:lvl w:ilvl="2" w:tentative="0">
      <w:start w:val="1"/>
      <w:numFmt w:val="lowerRoman"/>
      <w:lvlText w:val="%3."/>
      <w:lvlJc w:val="right"/>
      <w:pPr>
        <w:tabs>
          <w:tab w:val="left" w:pos="2896"/>
        </w:tabs>
        <w:ind w:left="2896" w:hanging="420"/>
      </w:pPr>
    </w:lvl>
    <w:lvl w:ilvl="3" w:tentative="0">
      <w:start w:val="1"/>
      <w:numFmt w:val="decimal"/>
      <w:lvlText w:val="%4."/>
      <w:lvlJc w:val="left"/>
      <w:pPr>
        <w:tabs>
          <w:tab w:val="left" w:pos="3316"/>
        </w:tabs>
        <w:ind w:left="3316" w:hanging="420"/>
      </w:pPr>
    </w:lvl>
    <w:lvl w:ilvl="4" w:tentative="0">
      <w:start w:val="1"/>
      <w:numFmt w:val="lowerLetter"/>
      <w:lvlText w:val="%5)"/>
      <w:lvlJc w:val="left"/>
      <w:pPr>
        <w:tabs>
          <w:tab w:val="left" w:pos="3736"/>
        </w:tabs>
        <w:ind w:left="3736" w:hanging="420"/>
      </w:pPr>
    </w:lvl>
    <w:lvl w:ilvl="5" w:tentative="0">
      <w:start w:val="1"/>
      <w:numFmt w:val="lowerRoman"/>
      <w:lvlText w:val="%6."/>
      <w:lvlJc w:val="right"/>
      <w:pPr>
        <w:tabs>
          <w:tab w:val="left" w:pos="4156"/>
        </w:tabs>
        <w:ind w:left="4156" w:hanging="420"/>
      </w:pPr>
    </w:lvl>
    <w:lvl w:ilvl="6" w:tentative="0">
      <w:start w:val="1"/>
      <w:numFmt w:val="decimal"/>
      <w:lvlText w:val="%7."/>
      <w:lvlJc w:val="left"/>
      <w:pPr>
        <w:tabs>
          <w:tab w:val="left" w:pos="4576"/>
        </w:tabs>
        <w:ind w:left="4576" w:hanging="420"/>
      </w:pPr>
    </w:lvl>
    <w:lvl w:ilvl="7" w:tentative="0">
      <w:start w:val="1"/>
      <w:numFmt w:val="lowerLetter"/>
      <w:lvlText w:val="%8)"/>
      <w:lvlJc w:val="left"/>
      <w:pPr>
        <w:tabs>
          <w:tab w:val="left" w:pos="4996"/>
        </w:tabs>
        <w:ind w:left="4996" w:hanging="420"/>
      </w:pPr>
    </w:lvl>
    <w:lvl w:ilvl="8" w:tentative="0">
      <w:start w:val="1"/>
      <w:numFmt w:val="lowerRoman"/>
      <w:lvlText w:val="%9."/>
      <w:lvlJc w:val="right"/>
      <w:pPr>
        <w:tabs>
          <w:tab w:val="left" w:pos="5416"/>
        </w:tabs>
        <w:ind w:left="5416" w:hanging="420"/>
      </w:pPr>
    </w:lvl>
  </w:abstractNum>
  <w:abstractNum w:abstractNumId="54">
    <w:nsid w:val="571C150E"/>
    <w:multiLevelType w:val="multilevel"/>
    <w:tmpl w:val="571C150E"/>
    <w:lvl w:ilvl="0" w:tentative="0">
      <w:start w:val="16"/>
      <w:numFmt w:val="decimal"/>
      <w:lvlText w:val="%1"/>
      <w:lvlJc w:val="left"/>
      <w:pPr>
        <w:tabs>
          <w:tab w:val="left" w:pos="425"/>
        </w:tabs>
        <w:ind w:left="425" w:hanging="425"/>
      </w:pPr>
      <w:rPr>
        <w:rFonts w:hint="eastAsia"/>
      </w:rPr>
    </w:lvl>
    <w:lvl w:ilvl="1" w:tentative="0">
      <w:start w:val="7"/>
      <w:numFmt w:val="decimal"/>
      <w:lvlText w:val="%1.%2"/>
      <w:lvlJc w:val="left"/>
      <w:pPr>
        <w:tabs>
          <w:tab w:val="left" w:pos="-186"/>
        </w:tabs>
        <w:ind w:left="-906" w:firstLine="0"/>
      </w:pPr>
      <w:rPr>
        <w:rFonts w:hint="eastAsia"/>
      </w:rPr>
    </w:lvl>
    <w:lvl w:ilvl="2" w:tentative="0">
      <w:start w:val="2"/>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2786"/>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5">
    <w:nsid w:val="57C13D3F"/>
    <w:multiLevelType w:val="multilevel"/>
    <w:tmpl w:val="57C13D3F"/>
    <w:lvl w:ilvl="0" w:tentative="0">
      <w:start w:val="1"/>
      <w:numFmt w:val="decimal"/>
      <w:pStyle w:val="1326"/>
      <w:lvlText w:val="表5.17-%1"/>
      <w:lvlJc w:val="left"/>
      <w:pPr>
        <w:tabs>
          <w:tab w:val="left" w:pos="420"/>
        </w:tabs>
        <w:ind w:left="420" w:hanging="420"/>
      </w:pPr>
      <w:rPr>
        <w:rFonts w:hint="default" w:ascii="Times New Roman" w:hAnsi="Times New Roman"/>
        <w:b/>
        <w:i w:val="0"/>
        <w:color w:val="000000"/>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6">
    <w:nsid w:val="580B5EC5"/>
    <w:multiLevelType w:val="multilevel"/>
    <w:tmpl w:val="580B5EC5"/>
    <w:lvl w:ilvl="0" w:tentative="0">
      <w:start w:val="1"/>
      <w:numFmt w:val="decimal"/>
      <w:lvlText w:val="第%1章  "/>
      <w:lvlJc w:val="center"/>
      <w:pPr>
        <w:tabs>
          <w:tab w:val="left" w:pos="567"/>
        </w:tabs>
        <w:ind w:left="0" w:firstLine="0"/>
      </w:pPr>
      <w:rPr>
        <w:rFonts w:hint="eastAsia"/>
      </w:rPr>
    </w:lvl>
    <w:lvl w:ilvl="1" w:tentative="0">
      <w:start w:val="1"/>
      <w:numFmt w:val="decimal"/>
      <w:pStyle w:val="1346"/>
      <w:lvlText w:val="%1.%2"/>
      <w:lvlJc w:val="left"/>
      <w:pPr>
        <w:tabs>
          <w:tab w:val="left" w:pos="567"/>
        </w:tabs>
        <w:ind w:left="567" w:hanging="567"/>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7">
    <w:nsid w:val="596002BA"/>
    <w:multiLevelType w:val="multilevel"/>
    <w:tmpl w:val="596002BA"/>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8">
    <w:nsid w:val="598A5572"/>
    <w:multiLevelType w:val="multilevel"/>
    <w:tmpl w:val="598A5572"/>
    <w:lvl w:ilvl="0" w:tentative="0">
      <w:start w:val="1"/>
      <w:numFmt w:val="decimal"/>
      <w:pStyle w:val="1477"/>
      <w:lvlText w:val="表2.6-%1"/>
      <w:lvlJc w:val="left"/>
      <w:pPr>
        <w:tabs>
          <w:tab w:val="left" w:pos="420"/>
        </w:tabs>
        <w:ind w:left="0" w:firstLine="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9">
    <w:nsid w:val="5D681B95"/>
    <w:multiLevelType w:val="multilevel"/>
    <w:tmpl w:val="5D681B95"/>
    <w:lvl w:ilvl="0" w:tentative="0">
      <w:start w:val="1"/>
      <w:numFmt w:val="decimal"/>
      <w:pStyle w:val="2393"/>
      <w:lvlText w:val="表5.14-%1"/>
      <w:lvlJc w:val="left"/>
      <w:pPr>
        <w:tabs>
          <w:tab w:val="left" w:pos="993"/>
        </w:tabs>
        <w:ind w:left="993" w:hanging="420"/>
      </w:pPr>
      <w:rPr>
        <w:rFonts w:hint="default" w:ascii="Times New Roman" w:hAnsi="Times New Roman"/>
        <w:b/>
        <w:i w:val="0"/>
        <w:color w:val="00000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0">
    <w:nsid w:val="5E5A70AE"/>
    <w:multiLevelType w:val="multilevel"/>
    <w:tmpl w:val="5E5A70AE"/>
    <w:lvl w:ilvl="0" w:tentative="0">
      <w:start w:val="7"/>
      <w:numFmt w:val="decimal"/>
      <w:lvlText w:val="%1"/>
      <w:lvlJc w:val="center"/>
      <w:pPr>
        <w:tabs>
          <w:tab w:val="left" w:pos="720"/>
        </w:tabs>
        <w:ind w:left="-4" w:firstLine="4"/>
      </w:pPr>
      <w:rPr>
        <w:rFonts w:hint="default" w:ascii="Times New Roman" w:hAnsi="Times New Roman"/>
        <w:b/>
        <w:i w:val="0"/>
        <w:color w:val="auto"/>
        <w:sz w:val="24"/>
        <w:szCs w:val="24"/>
      </w:rPr>
    </w:lvl>
    <w:lvl w:ilvl="1" w:tentative="0">
      <w:start w:val="4"/>
      <w:numFmt w:val="decimal"/>
      <w:lvlText w:val="%1.%2"/>
      <w:lvlJc w:val="left"/>
      <w:pPr>
        <w:tabs>
          <w:tab w:val="left" w:pos="576"/>
        </w:tabs>
        <w:ind w:left="576" w:hanging="576"/>
      </w:pPr>
      <w:rPr>
        <w:rFonts w:hint="default" w:ascii="Arial" w:hAnsi="Arial" w:eastAsia="黑体"/>
        <w:sz w:val="24"/>
      </w:rPr>
    </w:lvl>
    <w:lvl w:ilvl="2" w:tentative="0">
      <w:start w:val="3"/>
      <w:numFmt w:val="decimal"/>
      <w:lvlText w:val="%1.3.5"/>
      <w:lvlJc w:val="left"/>
      <w:pPr>
        <w:tabs>
          <w:tab w:val="left" w:pos="720"/>
        </w:tabs>
        <w:ind w:left="720" w:hanging="720"/>
      </w:pPr>
      <w:rPr>
        <w:rFonts w:hint="default" w:ascii="Arial" w:hAnsi="Arial" w:eastAsia="黑体"/>
        <w:sz w:val="24"/>
      </w:rPr>
    </w:lvl>
    <w:lvl w:ilvl="3" w:tentative="0">
      <w:start w:val="1"/>
      <w:numFmt w:val="decimal"/>
      <w:pStyle w:val="2107"/>
      <w:lvlText w:val="%1.3.5.%4"/>
      <w:lvlJc w:val="left"/>
      <w:pPr>
        <w:tabs>
          <w:tab w:val="left" w:pos="864"/>
        </w:tabs>
        <w:ind w:left="864" w:hanging="864"/>
      </w:pPr>
      <w:rPr>
        <w:rFonts w:hint="default" w:ascii="Times New Roman" w:hAnsi="Times New Roman" w:eastAsia="黑体" w:cs="Times New Roman"/>
        <w:b/>
        <w:i w:val="0"/>
        <w:sz w:val="24"/>
        <w:szCs w:val="24"/>
      </w:rPr>
    </w:lvl>
    <w:lvl w:ilvl="4" w:tentative="0">
      <w:start w:val="1"/>
      <w:numFmt w:val="decimal"/>
      <w:lvlText w:val="%1.%2.%3.%4.%5"/>
      <w:lvlJc w:val="left"/>
      <w:pPr>
        <w:tabs>
          <w:tab w:val="left" w:pos="180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61">
    <w:nsid w:val="61565974"/>
    <w:multiLevelType w:val="multilevel"/>
    <w:tmpl w:val="61565974"/>
    <w:lvl w:ilvl="0" w:tentative="0">
      <w:start w:val="1"/>
      <w:numFmt w:val="decimal"/>
      <w:pStyle w:val="1570"/>
      <w:lvlText w:val="表13.6-%1"/>
      <w:lvlJc w:val="center"/>
      <w:pPr>
        <w:tabs>
          <w:tab w:val="left" w:pos="1293"/>
        </w:tabs>
        <w:ind w:left="569" w:firstLine="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2">
    <w:nsid w:val="63946DFA"/>
    <w:multiLevelType w:val="multilevel"/>
    <w:tmpl w:val="63946DFA"/>
    <w:lvl w:ilvl="0" w:tentative="0">
      <w:start w:val="1"/>
      <w:numFmt w:val="bullet"/>
      <w:pStyle w:val="2468"/>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63">
    <w:nsid w:val="666F0C6F"/>
    <w:multiLevelType w:val="multilevel"/>
    <w:tmpl w:val="666F0C6F"/>
    <w:lvl w:ilvl="0" w:tentative="0">
      <w:start w:val="16"/>
      <w:numFmt w:val="decimal"/>
      <w:lvlText w:val="%1"/>
      <w:lvlJc w:val="left"/>
      <w:pPr>
        <w:tabs>
          <w:tab w:val="left" w:pos="425"/>
        </w:tabs>
        <w:ind w:left="425" w:hanging="425"/>
      </w:pPr>
      <w:rPr>
        <w:rFonts w:hint="eastAsia"/>
      </w:rPr>
    </w:lvl>
    <w:lvl w:ilvl="1" w:tentative="0">
      <w:start w:val="9"/>
      <w:numFmt w:val="decimal"/>
      <w:lvlText w:val="%1.%2"/>
      <w:lvlJc w:val="left"/>
      <w:pPr>
        <w:tabs>
          <w:tab w:val="left" w:pos="-186"/>
        </w:tabs>
        <w:ind w:left="-906" w:firstLine="0"/>
      </w:pPr>
      <w:rPr>
        <w:rFonts w:hint="eastAsia"/>
      </w:rPr>
    </w:lvl>
    <w:lvl w:ilvl="2" w:tentative="0">
      <w:start w:val="1"/>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428"/>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4">
    <w:nsid w:val="67946377"/>
    <w:multiLevelType w:val="multilevel"/>
    <w:tmpl w:val="67946377"/>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pStyle w:val="2234"/>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5">
    <w:nsid w:val="68EB54A9"/>
    <w:multiLevelType w:val="multilevel"/>
    <w:tmpl w:val="68EB54A9"/>
    <w:lvl w:ilvl="0" w:tentative="0">
      <w:start w:val="1"/>
      <w:numFmt w:val="decimal"/>
      <w:pStyle w:val="2872"/>
      <w:lvlText w:val="表6-%1"/>
      <w:lvlJc w:val="center"/>
      <w:pPr>
        <w:tabs>
          <w:tab w:val="left" w:pos="0"/>
        </w:tabs>
        <w:ind w:left="0" w:firstLine="0"/>
      </w:pPr>
      <w:rPr>
        <w:rFonts w:hint="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6">
    <w:nsid w:val="69FE0AD2"/>
    <w:multiLevelType w:val="multilevel"/>
    <w:tmpl w:val="69FE0AD2"/>
    <w:lvl w:ilvl="0" w:tentative="0">
      <w:start w:val="1"/>
      <w:numFmt w:val="decimalEnclosedParen"/>
      <w:lvlText w:val="%1"/>
      <w:lvlJc w:val="left"/>
      <w:pPr>
        <w:ind w:left="874" w:hanging="360"/>
      </w:pPr>
      <w:rPr>
        <w:rFonts w:hint="default"/>
      </w:rPr>
    </w:lvl>
    <w:lvl w:ilvl="1" w:tentative="0">
      <w:start w:val="1"/>
      <w:numFmt w:val="lowerLetter"/>
      <w:pStyle w:val="1704"/>
      <w:lvlText w:val="%2)"/>
      <w:lvlJc w:val="left"/>
      <w:pPr>
        <w:ind w:left="1354" w:hanging="420"/>
      </w:pPr>
    </w:lvl>
    <w:lvl w:ilvl="2" w:tentative="0">
      <w:start w:val="1"/>
      <w:numFmt w:val="lowerRoman"/>
      <w:lvlText w:val="%3."/>
      <w:lvlJc w:val="right"/>
      <w:pPr>
        <w:ind w:left="1774" w:hanging="420"/>
      </w:pPr>
    </w:lvl>
    <w:lvl w:ilvl="3" w:tentative="0">
      <w:start w:val="1"/>
      <w:numFmt w:val="decimal"/>
      <w:lvlText w:val="%4."/>
      <w:lvlJc w:val="left"/>
      <w:pPr>
        <w:ind w:left="2194" w:hanging="420"/>
      </w:pPr>
    </w:lvl>
    <w:lvl w:ilvl="4" w:tentative="0">
      <w:start w:val="1"/>
      <w:numFmt w:val="lowerLetter"/>
      <w:lvlText w:val="%5)"/>
      <w:lvlJc w:val="left"/>
      <w:pPr>
        <w:ind w:left="2614" w:hanging="420"/>
      </w:pPr>
    </w:lvl>
    <w:lvl w:ilvl="5" w:tentative="0">
      <w:start w:val="1"/>
      <w:numFmt w:val="lowerRoman"/>
      <w:lvlText w:val="%6."/>
      <w:lvlJc w:val="right"/>
      <w:pPr>
        <w:ind w:left="3034" w:hanging="420"/>
      </w:pPr>
    </w:lvl>
    <w:lvl w:ilvl="6" w:tentative="0">
      <w:start w:val="1"/>
      <w:numFmt w:val="decimal"/>
      <w:lvlText w:val="%7."/>
      <w:lvlJc w:val="left"/>
      <w:pPr>
        <w:ind w:left="3454" w:hanging="420"/>
      </w:pPr>
    </w:lvl>
    <w:lvl w:ilvl="7" w:tentative="0">
      <w:start w:val="1"/>
      <w:numFmt w:val="lowerLetter"/>
      <w:lvlText w:val="%8)"/>
      <w:lvlJc w:val="left"/>
      <w:pPr>
        <w:ind w:left="3874" w:hanging="420"/>
      </w:pPr>
    </w:lvl>
    <w:lvl w:ilvl="8" w:tentative="0">
      <w:start w:val="1"/>
      <w:numFmt w:val="lowerRoman"/>
      <w:lvlText w:val="%9."/>
      <w:lvlJc w:val="right"/>
      <w:pPr>
        <w:ind w:left="4294" w:hanging="420"/>
      </w:pPr>
    </w:lvl>
  </w:abstractNum>
  <w:abstractNum w:abstractNumId="67">
    <w:nsid w:val="6C8A3257"/>
    <w:multiLevelType w:val="multilevel"/>
    <w:tmpl w:val="6C8A3257"/>
    <w:lvl w:ilvl="0" w:tentative="0">
      <w:start w:val="1"/>
      <w:numFmt w:val="decimal"/>
      <w:pStyle w:val="1450"/>
      <w:lvlText w:val="(%1)"/>
      <w:lvlJc w:val="left"/>
      <w:pPr>
        <w:tabs>
          <w:tab w:val="left" w:pos="431"/>
        </w:tabs>
        <w:ind w:left="431" w:hanging="431"/>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8">
    <w:nsid w:val="6D424C50"/>
    <w:multiLevelType w:val="multilevel"/>
    <w:tmpl w:val="6D424C50"/>
    <w:lvl w:ilvl="0" w:tentative="0">
      <w:start w:val="1"/>
      <w:numFmt w:val="bullet"/>
      <w:pStyle w:val="2091"/>
      <w:lvlText w:val=""/>
      <w:lvlJc w:val="left"/>
      <w:pPr>
        <w:tabs>
          <w:tab w:val="left" w:pos="1353"/>
        </w:tabs>
        <w:ind w:left="1353" w:hanging="360"/>
      </w:pPr>
      <w:rPr>
        <w:rFonts w:hint="default" w:ascii="Wingdings" w:hAnsi="Wingdings"/>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69">
    <w:nsid w:val="6D744A0A"/>
    <w:multiLevelType w:val="multilevel"/>
    <w:tmpl w:val="6D744A0A"/>
    <w:lvl w:ilvl="0" w:tentative="0">
      <w:start w:val="7"/>
      <w:numFmt w:val="decimal"/>
      <w:lvlText w:val="%1"/>
      <w:lvlJc w:val="left"/>
      <w:pPr>
        <w:tabs>
          <w:tab w:val="left" w:pos="-1440"/>
        </w:tabs>
        <w:ind w:left="-1440" w:hanging="425"/>
      </w:pPr>
      <w:rPr>
        <w:rFonts w:hint="eastAsia"/>
      </w:rPr>
    </w:lvl>
    <w:lvl w:ilvl="1" w:tentative="0">
      <w:start w:val="1"/>
      <w:numFmt w:val="decimal"/>
      <w:lvlText w:val="%1.%2"/>
      <w:lvlJc w:val="left"/>
      <w:pPr>
        <w:tabs>
          <w:tab w:val="left" w:pos="-360"/>
        </w:tabs>
        <w:ind w:left="-873" w:hanging="567"/>
      </w:pPr>
      <w:rPr>
        <w:rFonts w:hint="eastAsia"/>
      </w:rPr>
    </w:lvl>
    <w:lvl w:ilvl="2" w:tentative="0">
      <w:start w:val="1"/>
      <w:numFmt w:val="decimal"/>
      <w:lvlText w:val="%1.%2.%3"/>
      <w:lvlJc w:val="left"/>
      <w:pPr>
        <w:tabs>
          <w:tab w:val="left" w:pos="426"/>
        </w:tabs>
        <w:ind w:left="-447" w:hanging="567"/>
      </w:pPr>
      <w:rPr>
        <w:rFonts w:hint="eastAsia"/>
      </w:rPr>
    </w:lvl>
    <w:lvl w:ilvl="3" w:tentative="0">
      <w:start w:val="1"/>
      <w:numFmt w:val="decimal"/>
      <w:pStyle w:val="1432"/>
      <w:lvlText w:val="%1.3.4.%4"/>
      <w:lvlJc w:val="left"/>
      <w:pPr>
        <w:tabs>
          <w:tab w:val="left" w:pos="1571"/>
        </w:tabs>
        <w:ind w:left="119" w:hanging="708"/>
      </w:pPr>
      <w:rPr>
        <w:rFonts w:hint="default" w:ascii="Times New Roman" w:hAnsi="Times New Roman"/>
      </w:rPr>
    </w:lvl>
    <w:lvl w:ilvl="4" w:tentative="0">
      <w:start w:val="1"/>
      <w:numFmt w:val="decimal"/>
      <w:lvlText w:val="%1.%2.%3.%4.%5"/>
      <w:lvlJc w:val="left"/>
      <w:pPr>
        <w:tabs>
          <w:tab w:val="left" w:pos="2716"/>
        </w:tabs>
        <w:ind w:left="686" w:hanging="850"/>
      </w:pPr>
      <w:rPr>
        <w:rFonts w:hint="eastAsia"/>
      </w:rPr>
    </w:lvl>
    <w:lvl w:ilvl="5" w:tentative="0">
      <w:start w:val="1"/>
      <w:numFmt w:val="decimal"/>
      <w:lvlText w:val="%1.%2.%3.%4.%5.%6"/>
      <w:lvlJc w:val="left"/>
      <w:pPr>
        <w:tabs>
          <w:tab w:val="left" w:pos="3501"/>
        </w:tabs>
        <w:ind w:left="1395" w:hanging="1134"/>
      </w:pPr>
      <w:rPr>
        <w:rFonts w:hint="eastAsia"/>
      </w:rPr>
    </w:lvl>
    <w:lvl w:ilvl="6" w:tentative="0">
      <w:start w:val="1"/>
      <w:numFmt w:val="decimal"/>
      <w:lvlText w:val="%1.%2.%3.%4.%5.%6.%7"/>
      <w:lvlJc w:val="left"/>
      <w:pPr>
        <w:tabs>
          <w:tab w:val="left" w:pos="4646"/>
        </w:tabs>
        <w:ind w:left="1962" w:hanging="1276"/>
      </w:pPr>
      <w:rPr>
        <w:rFonts w:hint="eastAsia"/>
      </w:rPr>
    </w:lvl>
    <w:lvl w:ilvl="7" w:tentative="0">
      <w:start w:val="1"/>
      <w:numFmt w:val="decimal"/>
      <w:lvlText w:val="%1.%2.%3.%4.%5.%6.%7.%8"/>
      <w:lvlJc w:val="left"/>
      <w:pPr>
        <w:tabs>
          <w:tab w:val="left" w:pos="5431"/>
        </w:tabs>
        <w:ind w:left="2529" w:hanging="1418"/>
      </w:pPr>
      <w:rPr>
        <w:rFonts w:hint="eastAsia"/>
      </w:rPr>
    </w:lvl>
    <w:lvl w:ilvl="8" w:tentative="0">
      <w:start w:val="1"/>
      <w:numFmt w:val="decimal"/>
      <w:lvlText w:val="%1.%2.%3.%4.%5.%6.%7.%8.%9"/>
      <w:lvlJc w:val="left"/>
      <w:pPr>
        <w:tabs>
          <w:tab w:val="left" w:pos="6577"/>
        </w:tabs>
        <w:ind w:left="3237" w:hanging="1700"/>
      </w:pPr>
      <w:rPr>
        <w:rFonts w:hint="eastAsia"/>
      </w:rPr>
    </w:lvl>
  </w:abstractNum>
  <w:abstractNum w:abstractNumId="70">
    <w:nsid w:val="6E8C3B45"/>
    <w:multiLevelType w:val="multilevel"/>
    <w:tmpl w:val="6E8C3B45"/>
    <w:lvl w:ilvl="0" w:tentative="0">
      <w:start w:val="1"/>
      <w:numFmt w:val="decimal"/>
      <w:pStyle w:val="1466"/>
      <w:lvlText w:val="表9.1-%1"/>
      <w:lvlJc w:val="left"/>
      <w:pPr>
        <w:tabs>
          <w:tab w:val="left" w:pos="1680"/>
        </w:tabs>
        <w:ind w:left="1020" w:hanging="420"/>
      </w:pPr>
      <w:rPr>
        <w:rFonts w:hint="default" w:ascii="Times New Roman" w:hAnsi="Times New Roman"/>
        <w:b/>
        <w:i w:val="0"/>
        <w:sz w:val="26"/>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1">
    <w:nsid w:val="71227CFF"/>
    <w:multiLevelType w:val="multilevel"/>
    <w:tmpl w:val="71227CFF"/>
    <w:lvl w:ilvl="0" w:tentative="0">
      <w:start w:val="1"/>
      <w:numFmt w:val="decimal"/>
      <w:pStyle w:val="2389"/>
      <w:lvlText w:val="表5-%1    "/>
      <w:lvlJc w:val="left"/>
      <w:pPr>
        <w:ind w:left="420" w:hanging="420"/>
      </w:pPr>
      <w:rPr>
        <w:rFonts w:hint="eastAsia"/>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71AC1274"/>
    <w:multiLevelType w:val="multilevel"/>
    <w:tmpl w:val="71AC1274"/>
    <w:lvl w:ilvl="0" w:tentative="0">
      <w:start w:val="9"/>
      <w:numFmt w:val="decimal"/>
      <w:lvlText w:val="%1"/>
      <w:lvlJc w:val="left"/>
      <w:pPr>
        <w:tabs>
          <w:tab w:val="left" w:pos="432"/>
        </w:tabs>
        <w:ind w:left="432" w:hanging="432"/>
      </w:pPr>
      <w:rPr>
        <w:rFonts w:hint="default" w:ascii="Arial" w:hAnsi="Arial" w:eastAsia="黑体"/>
        <w:sz w:val="24"/>
      </w:rPr>
    </w:lvl>
    <w:lvl w:ilvl="1" w:tentative="0">
      <w:start w:val="1"/>
      <w:numFmt w:val="decimal"/>
      <w:pStyle w:val="2407"/>
      <w:suff w:val="space"/>
      <w:lvlText w:val="%1.%2"/>
      <w:lvlJc w:val="left"/>
      <w:pPr>
        <w:ind w:left="0" w:firstLine="0"/>
      </w:pPr>
      <w:rPr>
        <w:rFonts w:hint="default" w:ascii="Arial" w:hAnsi="Arial" w:eastAsia="黑体"/>
        <w:sz w:val="24"/>
      </w:rPr>
    </w:lvl>
    <w:lvl w:ilvl="2" w:tentative="0">
      <w:start w:val="1"/>
      <w:numFmt w:val="decimal"/>
      <w:pStyle w:val="2824"/>
      <w:suff w:val="space"/>
      <w:lvlText w:val="%1.%2.%3"/>
      <w:lvlJc w:val="left"/>
      <w:pPr>
        <w:ind w:left="0" w:firstLine="0"/>
      </w:pPr>
      <w:rPr>
        <w:rFonts w:hint="eastAsia" w:ascii="宋体" w:hAnsi="Arial" w:eastAsia="宋体"/>
        <w:b w:val="0"/>
        <w:i w:val="0"/>
        <w:sz w:val="28"/>
        <w:szCs w:val="28"/>
      </w:rPr>
    </w:lvl>
    <w:lvl w:ilvl="3" w:tentative="0">
      <w:start w:val="1"/>
      <w:numFmt w:val="decimal"/>
      <w:lvlText w:val="%1.%2.%3.%4"/>
      <w:lvlJc w:val="left"/>
      <w:pPr>
        <w:tabs>
          <w:tab w:val="left" w:pos="864"/>
        </w:tabs>
        <w:ind w:left="864" w:hanging="864"/>
      </w:pPr>
      <w:rPr>
        <w:rFonts w:hint="default" w:ascii="Arial" w:hAnsi="Arial" w:eastAsia="黑体"/>
        <w:sz w:val="24"/>
      </w:rPr>
    </w:lvl>
    <w:lvl w:ilvl="4" w:tentative="0">
      <w:start w:val="1"/>
      <w:numFmt w:val="decimal"/>
      <w:lvlText w:val="%1.%2.%3.%4.%5"/>
      <w:lvlJc w:val="left"/>
      <w:pPr>
        <w:tabs>
          <w:tab w:val="left" w:pos="1800"/>
        </w:tabs>
        <w:ind w:left="1008" w:hanging="1008"/>
      </w:pPr>
      <w:rPr>
        <w:rFonts w:hint="eastAsia"/>
      </w:rPr>
    </w:lvl>
    <w:lvl w:ilvl="5" w:tentative="0">
      <w:start w:val="1"/>
      <w:numFmt w:val="decimal"/>
      <w:lvlText w:val="%1.%2.%3.%4.%5.%6"/>
      <w:lvlJc w:val="left"/>
      <w:pPr>
        <w:tabs>
          <w:tab w:val="left" w:pos="2160"/>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73">
    <w:nsid w:val="73303BDC"/>
    <w:multiLevelType w:val="multilevel"/>
    <w:tmpl w:val="73303BDC"/>
    <w:lvl w:ilvl="0" w:tentative="0">
      <w:start w:val="16"/>
      <w:numFmt w:val="decimal"/>
      <w:lvlText w:val="%1"/>
      <w:lvlJc w:val="left"/>
      <w:pPr>
        <w:tabs>
          <w:tab w:val="left" w:pos="425"/>
        </w:tabs>
        <w:ind w:left="425" w:hanging="425"/>
      </w:pPr>
      <w:rPr>
        <w:rFonts w:hint="eastAsia"/>
      </w:rPr>
    </w:lvl>
    <w:lvl w:ilvl="1" w:tentative="0">
      <w:start w:val="1"/>
      <w:numFmt w:val="decimal"/>
      <w:lvlText w:val="%1.%2"/>
      <w:lvlJc w:val="left"/>
      <w:pPr>
        <w:tabs>
          <w:tab w:val="left" w:pos="-186"/>
        </w:tabs>
        <w:ind w:left="-906" w:firstLine="0"/>
      </w:pPr>
      <w:rPr>
        <w:rFonts w:hint="eastAsia"/>
      </w:rPr>
    </w:lvl>
    <w:lvl w:ilvl="2" w:tentative="0">
      <w:start w:val="1"/>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1625"/>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4">
    <w:nsid w:val="74953A83"/>
    <w:multiLevelType w:val="multilevel"/>
    <w:tmpl w:val="74953A83"/>
    <w:lvl w:ilvl="0" w:tentative="0">
      <w:start w:val="1"/>
      <w:numFmt w:val="decimal"/>
      <w:pStyle w:val="2458"/>
      <w:lvlText w:val="表1.7-%1"/>
      <w:lvlJc w:val="center"/>
      <w:pPr>
        <w:tabs>
          <w:tab w:val="left" w:pos="2444"/>
        </w:tabs>
        <w:ind w:left="0" w:firstLine="172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5">
    <w:nsid w:val="778D3F9C"/>
    <w:multiLevelType w:val="multilevel"/>
    <w:tmpl w:val="778D3F9C"/>
    <w:lvl w:ilvl="0" w:tentative="0">
      <w:start w:val="1"/>
      <w:numFmt w:val="decimal"/>
      <w:pStyle w:val="1385"/>
      <w:lvlText w:val="（%1）"/>
      <w:lvlJc w:val="left"/>
      <w:pPr>
        <w:tabs>
          <w:tab w:val="left" w:pos="72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6">
    <w:nsid w:val="78AC367B"/>
    <w:multiLevelType w:val="multilevel"/>
    <w:tmpl w:val="78AC367B"/>
    <w:lvl w:ilvl="0" w:tentative="0">
      <w:start w:val="16"/>
      <w:numFmt w:val="decimal"/>
      <w:lvlText w:val="%1"/>
      <w:lvlJc w:val="left"/>
      <w:pPr>
        <w:tabs>
          <w:tab w:val="left" w:pos="425"/>
        </w:tabs>
        <w:ind w:left="425" w:hanging="425"/>
      </w:pPr>
      <w:rPr>
        <w:rFonts w:hint="eastAsia"/>
      </w:rPr>
    </w:lvl>
    <w:lvl w:ilvl="1" w:tentative="0">
      <w:start w:val="6"/>
      <w:numFmt w:val="decimal"/>
      <w:lvlText w:val="%1.%2"/>
      <w:lvlJc w:val="left"/>
      <w:pPr>
        <w:tabs>
          <w:tab w:val="left" w:pos="-186"/>
        </w:tabs>
        <w:ind w:left="-906" w:firstLine="0"/>
      </w:pPr>
      <w:rPr>
        <w:rFonts w:hint="eastAsia"/>
      </w:rPr>
    </w:lvl>
    <w:lvl w:ilvl="2" w:tentative="0">
      <w:start w:val="3"/>
      <w:numFmt w:val="decimal"/>
      <w:lvlText w:val="%1.%2.%3"/>
      <w:lvlJc w:val="left"/>
      <w:pPr>
        <w:tabs>
          <w:tab w:val="left" w:pos="-437"/>
        </w:tabs>
        <w:ind w:left="-437" w:hanging="709"/>
      </w:pPr>
      <w:rPr>
        <w:rFonts w:hint="default" w:ascii="Times New Roman" w:hAnsi="Times New Roman" w:eastAsia="黑体" w:cs="Times New Roman"/>
        <w:b/>
        <w:bCs w:val="0"/>
        <w:i w:val="0"/>
        <w:iCs w:val="0"/>
        <w:caps w:val="0"/>
        <w:smallCaps w:val="0"/>
        <w:strike w:val="0"/>
        <w:dstrike w:val="0"/>
        <w:vanish w:val="0"/>
        <w:color w:val="000000"/>
        <w:spacing w:val="0"/>
        <w:position w:val="0"/>
        <w:sz w:val="24"/>
        <w:szCs w:val="24"/>
        <w:u w:val="none"/>
        <w:vertAlign w:val="baseline"/>
      </w:rPr>
    </w:lvl>
    <w:lvl w:ilvl="3" w:tentative="0">
      <w:start w:val="1"/>
      <w:numFmt w:val="decimal"/>
      <w:pStyle w:val="2569"/>
      <w:lvlText w:val="%1.%2.%3.%4"/>
      <w:lvlJc w:val="left"/>
      <w:pPr>
        <w:tabs>
          <w:tab w:val="left" w:pos="180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7">
    <w:nsid w:val="78BD4145"/>
    <w:multiLevelType w:val="multilevel"/>
    <w:tmpl w:val="78BD4145"/>
    <w:lvl w:ilvl="0" w:tentative="0">
      <w:start w:val="1"/>
      <w:numFmt w:val="decimal"/>
      <w:pStyle w:val="1671"/>
      <w:lvlText w:val="表3.7-%1"/>
      <w:lvlJc w:val="center"/>
      <w:pPr>
        <w:tabs>
          <w:tab w:val="left" w:pos="2444"/>
        </w:tabs>
        <w:ind w:left="1720" w:firstLine="4"/>
      </w:pPr>
      <w:rPr>
        <w:rFonts w:hint="default" w:ascii="Times New Roman" w:hAnsi="Times New Roman"/>
        <w:b/>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8">
    <w:nsid w:val="79B84C7F"/>
    <w:multiLevelType w:val="multilevel"/>
    <w:tmpl w:val="79B84C7F"/>
    <w:lvl w:ilvl="0" w:tentative="0">
      <w:start w:val="7"/>
      <w:numFmt w:val="decimal"/>
      <w:lvlText w:val="%1"/>
      <w:lvlJc w:val="left"/>
      <w:pPr>
        <w:tabs>
          <w:tab w:val="left" w:pos="-1440"/>
        </w:tabs>
        <w:ind w:left="-1440" w:hanging="425"/>
      </w:pPr>
      <w:rPr>
        <w:rFonts w:hint="eastAsia"/>
      </w:rPr>
    </w:lvl>
    <w:lvl w:ilvl="1" w:tentative="0">
      <w:start w:val="1"/>
      <w:numFmt w:val="decimal"/>
      <w:lvlText w:val="%1.%2"/>
      <w:lvlJc w:val="left"/>
      <w:pPr>
        <w:tabs>
          <w:tab w:val="left" w:pos="-360"/>
        </w:tabs>
        <w:ind w:left="-873" w:hanging="567"/>
      </w:pPr>
      <w:rPr>
        <w:rFonts w:hint="eastAsia"/>
      </w:rPr>
    </w:lvl>
    <w:lvl w:ilvl="2" w:tentative="0">
      <w:start w:val="1"/>
      <w:numFmt w:val="decimal"/>
      <w:lvlText w:val="%1.%2.%3"/>
      <w:lvlJc w:val="left"/>
      <w:pPr>
        <w:tabs>
          <w:tab w:val="left" w:pos="426"/>
        </w:tabs>
        <w:ind w:left="-447" w:hanging="567"/>
      </w:pPr>
      <w:rPr>
        <w:rFonts w:hint="eastAsia"/>
      </w:rPr>
    </w:lvl>
    <w:lvl w:ilvl="3" w:tentative="0">
      <w:start w:val="1"/>
      <w:numFmt w:val="decimal"/>
      <w:pStyle w:val="1606"/>
      <w:lvlText w:val="%1.4.5.%4"/>
      <w:lvlJc w:val="left"/>
      <w:pPr>
        <w:tabs>
          <w:tab w:val="left" w:pos="1571"/>
        </w:tabs>
        <w:ind w:left="119" w:hanging="708"/>
      </w:pPr>
      <w:rPr>
        <w:rFonts w:hint="default" w:ascii="Times New Roman" w:hAnsi="Times New Roman"/>
      </w:rPr>
    </w:lvl>
    <w:lvl w:ilvl="4" w:tentative="0">
      <w:start w:val="1"/>
      <w:numFmt w:val="decimal"/>
      <w:lvlText w:val="%1.%2.%3.%4.%5"/>
      <w:lvlJc w:val="left"/>
      <w:pPr>
        <w:tabs>
          <w:tab w:val="left" w:pos="2716"/>
        </w:tabs>
        <w:ind w:left="686" w:hanging="850"/>
      </w:pPr>
      <w:rPr>
        <w:rFonts w:hint="eastAsia"/>
      </w:rPr>
    </w:lvl>
    <w:lvl w:ilvl="5" w:tentative="0">
      <w:start w:val="1"/>
      <w:numFmt w:val="decimal"/>
      <w:lvlText w:val="%1.%2.%3.%4.%5.%6"/>
      <w:lvlJc w:val="left"/>
      <w:pPr>
        <w:tabs>
          <w:tab w:val="left" w:pos="3501"/>
        </w:tabs>
        <w:ind w:left="1395" w:hanging="1134"/>
      </w:pPr>
      <w:rPr>
        <w:rFonts w:hint="eastAsia"/>
      </w:rPr>
    </w:lvl>
    <w:lvl w:ilvl="6" w:tentative="0">
      <w:start w:val="1"/>
      <w:numFmt w:val="decimal"/>
      <w:lvlText w:val="%1.%2.%3.%4.%5.%6.%7"/>
      <w:lvlJc w:val="left"/>
      <w:pPr>
        <w:tabs>
          <w:tab w:val="left" w:pos="4646"/>
        </w:tabs>
        <w:ind w:left="1962" w:hanging="1276"/>
      </w:pPr>
      <w:rPr>
        <w:rFonts w:hint="eastAsia"/>
      </w:rPr>
    </w:lvl>
    <w:lvl w:ilvl="7" w:tentative="0">
      <w:start w:val="1"/>
      <w:numFmt w:val="decimal"/>
      <w:lvlText w:val="%1.%2.%3.%4.%5.%6.%7.%8"/>
      <w:lvlJc w:val="left"/>
      <w:pPr>
        <w:tabs>
          <w:tab w:val="left" w:pos="5431"/>
        </w:tabs>
        <w:ind w:left="2529" w:hanging="1418"/>
      </w:pPr>
      <w:rPr>
        <w:rFonts w:hint="eastAsia"/>
      </w:rPr>
    </w:lvl>
    <w:lvl w:ilvl="8" w:tentative="0">
      <w:start w:val="1"/>
      <w:numFmt w:val="decimal"/>
      <w:lvlText w:val="%1.%2.%3.%4.%5.%6.%7.%8.%9"/>
      <w:lvlJc w:val="left"/>
      <w:pPr>
        <w:tabs>
          <w:tab w:val="left" w:pos="6577"/>
        </w:tabs>
        <w:ind w:left="3237" w:hanging="1700"/>
      </w:pPr>
      <w:rPr>
        <w:rFonts w:hint="eastAsia"/>
      </w:rPr>
    </w:lvl>
  </w:abstractNum>
  <w:abstractNum w:abstractNumId="79">
    <w:nsid w:val="7A3772BB"/>
    <w:multiLevelType w:val="multilevel"/>
    <w:tmpl w:val="7A3772BB"/>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D224BF4"/>
    <w:multiLevelType w:val="multilevel"/>
    <w:tmpl w:val="7D224BF4"/>
    <w:lvl w:ilvl="0" w:tentative="0">
      <w:start w:val="1"/>
      <w:numFmt w:val="decimal"/>
      <w:pStyle w:val="1496"/>
      <w:lvlText w:val="表3.10-%1"/>
      <w:lvlJc w:val="left"/>
      <w:pPr>
        <w:tabs>
          <w:tab w:val="left" w:pos="2025"/>
        </w:tabs>
        <w:ind w:left="1365" w:hanging="42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45"/>
  </w:num>
  <w:num w:numId="3">
    <w:abstractNumId w:val="17"/>
  </w:num>
  <w:num w:numId="4">
    <w:abstractNumId w:val="31"/>
  </w:num>
  <w:num w:numId="5">
    <w:abstractNumId w:val="41"/>
  </w:num>
  <w:num w:numId="6">
    <w:abstractNumId w:val="63"/>
  </w:num>
  <w:num w:numId="7">
    <w:abstractNumId w:val="35"/>
  </w:num>
  <w:num w:numId="8">
    <w:abstractNumId w:val="15"/>
  </w:num>
  <w:num w:numId="9">
    <w:abstractNumId w:val="51"/>
  </w:num>
  <w:num w:numId="10">
    <w:abstractNumId w:val="22"/>
  </w:num>
  <w:num w:numId="11">
    <w:abstractNumId w:val="55"/>
  </w:num>
  <w:num w:numId="12">
    <w:abstractNumId w:val="56"/>
  </w:num>
  <w:num w:numId="13">
    <w:abstractNumId w:val="75"/>
  </w:num>
  <w:num w:numId="14">
    <w:abstractNumId w:val="39"/>
  </w:num>
  <w:num w:numId="15">
    <w:abstractNumId w:val="28"/>
  </w:num>
  <w:num w:numId="16">
    <w:abstractNumId w:val="69"/>
  </w:num>
  <w:num w:numId="17">
    <w:abstractNumId w:val="67"/>
  </w:num>
  <w:num w:numId="18">
    <w:abstractNumId w:val="70"/>
  </w:num>
  <w:num w:numId="19">
    <w:abstractNumId w:val="58"/>
  </w:num>
  <w:num w:numId="20">
    <w:abstractNumId w:val="80"/>
  </w:num>
  <w:num w:numId="21">
    <w:abstractNumId w:val="32"/>
  </w:num>
  <w:num w:numId="22">
    <w:abstractNumId w:val="19"/>
  </w:num>
  <w:num w:numId="23">
    <w:abstractNumId w:val="61"/>
  </w:num>
  <w:num w:numId="24">
    <w:abstractNumId w:val="2"/>
  </w:num>
  <w:num w:numId="25">
    <w:abstractNumId w:val="78"/>
  </w:num>
  <w:num w:numId="26">
    <w:abstractNumId w:val="47"/>
  </w:num>
  <w:num w:numId="27">
    <w:abstractNumId w:val="53"/>
  </w:num>
  <w:num w:numId="28">
    <w:abstractNumId w:val="73"/>
  </w:num>
  <w:num w:numId="29">
    <w:abstractNumId w:val="50"/>
  </w:num>
  <w:num w:numId="30">
    <w:abstractNumId w:val="7"/>
  </w:num>
  <w:num w:numId="31">
    <w:abstractNumId w:val="77"/>
  </w:num>
  <w:num w:numId="32">
    <w:abstractNumId w:val="66"/>
  </w:num>
  <w:num w:numId="33">
    <w:abstractNumId w:val="43"/>
  </w:num>
  <w:num w:numId="34">
    <w:abstractNumId w:val="12"/>
  </w:num>
  <w:num w:numId="35">
    <w:abstractNumId w:val="33"/>
  </w:num>
  <w:num w:numId="36">
    <w:abstractNumId w:val="23"/>
  </w:num>
  <w:num w:numId="37">
    <w:abstractNumId w:val="8"/>
  </w:num>
  <w:num w:numId="38">
    <w:abstractNumId w:val="26"/>
  </w:num>
  <w:num w:numId="39">
    <w:abstractNumId w:val="18"/>
  </w:num>
  <w:num w:numId="40">
    <w:abstractNumId w:val="20"/>
  </w:num>
  <w:num w:numId="41">
    <w:abstractNumId w:val="25"/>
  </w:num>
  <w:num w:numId="42">
    <w:abstractNumId w:val="27"/>
  </w:num>
  <w:num w:numId="43">
    <w:abstractNumId w:val="42"/>
  </w:num>
  <w:num w:numId="44">
    <w:abstractNumId w:val="68"/>
  </w:num>
  <w:num w:numId="45">
    <w:abstractNumId w:val="29"/>
  </w:num>
  <w:num w:numId="46">
    <w:abstractNumId w:val="60"/>
  </w:num>
  <w:num w:numId="47">
    <w:abstractNumId w:val="11"/>
  </w:num>
  <w:num w:numId="48">
    <w:abstractNumId w:val="38"/>
  </w:num>
  <w:num w:numId="49">
    <w:abstractNumId w:val="6"/>
  </w:num>
  <w:num w:numId="50">
    <w:abstractNumId w:val="64"/>
  </w:num>
  <w:num w:numId="51">
    <w:abstractNumId w:val="4"/>
  </w:num>
  <w:num w:numId="52">
    <w:abstractNumId w:val="44"/>
  </w:num>
  <w:num w:numId="53">
    <w:abstractNumId w:val="13"/>
  </w:num>
  <w:num w:numId="54">
    <w:abstractNumId w:val="71"/>
  </w:num>
  <w:num w:numId="55">
    <w:abstractNumId w:val="59"/>
  </w:num>
  <w:num w:numId="56">
    <w:abstractNumId w:val="72"/>
  </w:num>
  <w:num w:numId="57">
    <w:abstractNumId w:val="4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0"/>
  </w:num>
  <w:num w:numId="59">
    <w:abstractNumId w:val="74"/>
  </w:num>
  <w:num w:numId="60">
    <w:abstractNumId w:val="62"/>
  </w:num>
  <w:num w:numId="61">
    <w:abstractNumId w:val="52"/>
  </w:num>
  <w:num w:numId="62">
    <w:abstractNumId w:val="49"/>
  </w:num>
  <w:num w:numId="63">
    <w:abstractNumId w:val="76"/>
  </w:num>
  <w:num w:numId="64">
    <w:abstractNumId w:val="9"/>
  </w:num>
  <w:num w:numId="65">
    <w:abstractNumId w:val="46"/>
  </w:num>
  <w:num w:numId="66">
    <w:abstractNumId w:val="14"/>
  </w:num>
  <w:num w:numId="67">
    <w:abstractNumId w:val="1"/>
  </w:num>
  <w:num w:numId="68">
    <w:abstractNumId w:val="34"/>
  </w:num>
  <w:num w:numId="69">
    <w:abstractNumId w:val="54"/>
  </w:num>
  <w:num w:numId="70">
    <w:abstractNumId w:val="65"/>
  </w:num>
  <w:num w:numId="71">
    <w:abstractNumId w:val="3"/>
  </w:num>
  <w:num w:numId="72">
    <w:abstractNumId w:val="36"/>
  </w:num>
  <w:num w:numId="73">
    <w:abstractNumId w:val="16"/>
  </w:num>
  <w:num w:numId="74">
    <w:abstractNumId w:val="48"/>
  </w:num>
  <w:num w:numId="75">
    <w:abstractNumId w:val="37"/>
  </w:num>
  <w:num w:numId="76">
    <w:abstractNumId w:val="24"/>
  </w:num>
  <w:num w:numId="77">
    <w:abstractNumId w:val="10"/>
  </w:num>
  <w:num w:numId="78">
    <w:abstractNumId w:val="21"/>
  </w:num>
  <w:num w:numId="79">
    <w:abstractNumId w:val="5"/>
  </w:num>
  <w:num w:numId="80">
    <w:abstractNumId w:val="79"/>
  </w:num>
  <w:num w:numId="81">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06F"/>
    <w:rsid w:val="000005D1"/>
    <w:rsid w:val="000035EB"/>
    <w:rsid w:val="00006557"/>
    <w:rsid w:val="000072C3"/>
    <w:rsid w:val="0001140B"/>
    <w:rsid w:val="000142DB"/>
    <w:rsid w:val="00014A79"/>
    <w:rsid w:val="0001668F"/>
    <w:rsid w:val="00017A10"/>
    <w:rsid w:val="00017B5D"/>
    <w:rsid w:val="000204D5"/>
    <w:rsid w:val="0002098C"/>
    <w:rsid w:val="00020D7A"/>
    <w:rsid w:val="00022A78"/>
    <w:rsid w:val="00024841"/>
    <w:rsid w:val="00024A3A"/>
    <w:rsid w:val="00025053"/>
    <w:rsid w:val="0003287E"/>
    <w:rsid w:val="000357DC"/>
    <w:rsid w:val="000362A2"/>
    <w:rsid w:val="00037ABE"/>
    <w:rsid w:val="00037EDC"/>
    <w:rsid w:val="0004067C"/>
    <w:rsid w:val="00040A0F"/>
    <w:rsid w:val="00045579"/>
    <w:rsid w:val="000509A0"/>
    <w:rsid w:val="00052B06"/>
    <w:rsid w:val="00053F3A"/>
    <w:rsid w:val="0005482E"/>
    <w:rsid w:val="000549EB"/>
    <w:rsid w:val="00057260"/>
    <w:rsid w:val="00057D79"/>
    <w:rsid w:val="0006064F"/>
    <w:rsid w:val="0006195E"/>
    <w:rsid w:val="0006296E"/>
    <w:rsid w:val="00063CED"/>
    <w:rsid w:val="00064275"/>
    <w:rsid w:val="000700DE"/>
    <w:rsid w:val="000713C7"/>
    <w:rsid w:val="000714DA"/>
    <w:rsid w:val="0007311E"/>
    <w:rsid w:val="00075D80"/>
    <w:rsid w:val="00080BE2"/>
    <w:rsid w:val="00082700"/>
    <w:rsid w:val="00082828"/>
    <w:rsid w:val="00082B39"/>
    <w:rsid w:val="00086DC3"/>
    <w:rsid w:val="000900D6"/>
    <w:rsid w:val="000910D1"/>
    <w:rsid w:val="00092313"/>
    <w:rsid w:val="000928D3"/>
    <w:rsid w:val="000936DA"/>
    <w:rsid w:val="000969E1"/>
    <w:rsid w:val="00097240"/>
    <w:rsid w:val="00097314"/>
    <w:rsid w:val="000A14C0"/>
    <w:rsid w:val="000A1AE4"/>
    <w:rsid w:val="000A321E"/>
    <w:rsid w:val="000A5C47"/>
    <w:rsid w:val="000A6011"/>
    <w:rsid w:val="000B15EB"/>
    <w:rsid w:val="000B49F3"/>
    <w:rsid w:val="000C4AC0"/>
    <w:rsid w:val="000D00C3"/>
    <w:rsid w:val="000D0682"/>
    <w:rsid w:val="000D1FA2"/>
    <w:rsid w:val="000D4088"/>
    <w:rsid w:val="000D4A22"/>
    <w:rsid w:val="000D52F1"/>
    <w:rsid w:val="000D7052"/>
    <w:rsid w:val="000E0BFD"/>
    <w:rsid w:val="000E0CAA"/>
    <w:rsid w:val="000E2638"/>
    <w:rsid w:val="000E76D6"/>
    <w:rsid w:val="000F0A0E"/>
    <w:rsid w:val="000F3B4B"/>
    <w:rsid w:val="000F40D7"/>
    <w:rsid w:val="001067C7"/>
    <w:rsid w:val="00106B75"/>
    <w:rsid w:val="00110643"/>
    <w:rsid w:val="00111A7E"/>
    <w:rsid w:val="00111EBC"/>
    <w:rsid w:val="001168BE"/>
    <w:rsid w:val="00116F0E"/>
    <w:rsid w:val="00121C48"/>
    <w:rsid w:val="00124DB9"/>
    <w:rsid w:val="001251C5"/>
    <w:rsid w:val="00126433"/>
    <w:rsid w:val="00127750"/>
    <w:rsid w:val="00131289"/>
    <w:rsid w:val="00134AD2"/>
    <w:rsid w:val="00137D1E"/>
    <w:rsid w:val="0014071D"/>
    <w:rsid w:val="001428A5"/>
    <w:rsid w:val="00143CE1"/>
    <w:rsid w:val="00143CF4"/>
    <w:rsid w:val="00146166"/>
    <w:rsid w:val="00146C06"/>
    <w:rsid w:val="0014716C"/>
    <w:rsid w:val="001511E3"/>
    <w:rsid w:val="001527A0"/>
    <w:rsid w:val="00152F76"/>
    <w:rsid w:val="001539F5"/>
    <w:rsid w:val="00153C1F"/>
    <w:rsid w:val="00157DCE"/>
    <w:rsid w:val="001618C5"/>
    <w:rsid w:val="00162342"/>
    <w:rsid w:val="001628EB"/>
    <w:rsid w:val="00162A68"/>
    <w:rsid w:val="00164E0A"/>
    <w:rsid w:val="00167C30"/>
    <w:rsid w:val="00171A9D"/>
    <w:rsid w:val="0017459F"/>
    <w:rsid w:val="001761A7"/>
    <w:rsid w:val="00181C47"/>
    <w:rsid w:val="001825FE"/>
    <w:rsid w:val="0018391A"/>
    <w:rsid w:val="00185D09"/>
    <w:rsid w:val="00190A7C"/>
    <w:rsid w:val="0019102C"/>
    <w:rsid w:val="00191802"/>
    <w:rsid w:val="0019228D"/>
    <w:rsid w:val="0019401A"/>
    <w:rsid w:val="00195342"/>
    <w:rsid w:val="001958A1"/>
    <w:rsid w:val="00196CB7"/>
    <w:rsid w:val="001A0A4F"/>
    <w:rsid w:val="001A2594"/>
    <w:rsid w:val="001A4A6F"/>
    <w:rsid w:val="001A5162"/>
    <w:rsid w:val="001B2C16"/>
    <w:rsid w:val="001B2E65"/>
    <w:rsid w:val="001B5ABD"/>
    <w:rsid w:val="001C3059"/>
    <w:rsid w:val="001C3618"/>
    <w:rsid w:val="001C3D7E"/>
    <w:rsid w:val="001C44D0"/>
    <w:rsid w:val="001C5402"/>
    <w:rsid w:val="001C694B"/>
    <w:rsid w:val="001C7B21"/>
    <w:rsid w:val="001D00E0"/>
    <w:rsid w:val="001D0EE1"/>
    <w:rsid w:val="001D39CE"/>
    <w:rsid w:val="001D4F15"/>
    <w:rsid w:val="001D4FA5"/>
    <w:rsid w:val="001D5CA6"/>
    <w:rsid w:val="001D5ECF"/>
    <w:rsid w:val="001D66A5"/>
    <w:rsid w:val="001E1525"/>
    <w:rsid w:val="001E3DB1"/>
    <w:rsid w:val="001E40DA"/>
    <w:rsid w:val="001F09BA"/>
    <w:rsid w:val="001F26D4"/>
    <w:rsid w:val="001F2817"/>
    <w:rsid w:val="001F2F61"/>
    <w:rsid w:val="001F392A"/>
    <w:rsid w:val="001F39E8"/>
    <w:rsid w:val="002000BD"/>
    <w:rsid w:val="00201424"/>
    <w:rsid w:val="002023E0"/>
    <w:rsid w:val="00202DB7"/>
    <w:rsid w:val="002036DB"/>
    <w:rsid w:val="002045BE"/>
    <w:rsid w:val="00204A95"/>
    <w:rsid w:val="002059AB"/>
    <w:rsid w:val="002059E1"/>
    <w:rsid w:val="002079DD"/>
    <w:rsid w:val="00210228"/>
    <w:rsid w:val="002104AB"/>
    <w:rsid w:val="00213C4C"/>
    <w:rsid w:val="00214F59"/>
    <w:rsid w:val="00216A39"/>
    <w:rsid w:val="00222854"/>
    <w:rsid w:val="00222B43"/>
    <w:rsid w:val="002233CD"/>
    <w:rsid w:val="002256B1"/>
    <w:rsid w:val="002266B3"/>
    <w:rsid w:val="0022779B"/>
    <w:rsid w:val="00230021"/>
    <w:rsid w:val="00234C54"/>
    <w:rsid w:val="00234C92"/>
    <w:rsid w:val="00235BA0"/>
    <w:rsid w:val="00236DC6"/>
    <w:rsid w:val="002421C0"/>
    <w:rsid w:val="00242E98"/>
    <w:rsid w:val="00247045"/>
    <w:rsid w:val="00247C39"/>
    <w:rsid w:val="002506F0"/>
    <w:rsid w:val="00253457"/>
    <w:rsid w:val="0025364D"/>
    <w:rsid w:val="00255304"/>
    <w:rsid w:val="00257D56"/>
    <w:rsid w:val="002610A4"/>
    <w:rsid w:val="002615F6"/>
    <w:rsid w:val="00262478"/>
    <w:rsid w:val="002632EC"/>
    <w:rsid w:val="00265283"/>
    <w:rsid w:val="0026587B"/>
    <w:rsid w:val="00272DE2"/>
    <w:rsid w:val="00272FB2"/>
    <w:rsid w:val="00274C63"/>
    <w:rsid w:val="00276749"/>
    <w:rsid w:val="00276D5C"/>
    <w:rsid w:val="00277BCC"/>
    <w:rsid w:val="00277E1E"/>
    <w:rsid w:val="002809DE"/>
    <w:rsid w:val="0028536A"/>
    <w:rsid w:val="00285CE0"/>
    <w:rsid w:val="002A04B1"/>
    <w:rsid w:val="002A13E3"/>
    <w:rsid w:val="002A2B2E"/>
    <w:rsid w:val="002A3D1C"/>
    <w:rsid w:val="002B15C2"/>
    <w:rsid w:val="002B2585"/>
    <w:rsid w:val="002B3033"/>
    <w:rsid w:val="002B3616"/>
    <w:rsid w:val="002B65F6"/>
    <w:rsid w:val="002C0EDC"/>
    <w:rsid w:val="002C0FF9"/>
    <w:rsid w:val="002C1A05"/>
    <w:rsid w:val="002C2852"/>
    <w:rsid w:val="002C34A5"/>
    <w:rsid w:val="002C4CDA"/>
    <w:rsid w:val="002C67D5"/>
    <w:rsid w:val="002C6C17"/>
    <w:rsid w:val="002D055A"/>
    <w:rsid w:val="002D178B"/>
    <w:rsid w:val="002D2EB3"/>
    <w:rsid w:val="002D3CF8"/>
    <w:rsid w:val="002D77A8"/>
    <w:rsid w:val="002E043D"/>
    <w:rsid w:val="002E3F12"/>
    <w:rsid w:val="002E5237"/>
    <w:rsid w:val="002E565D"/>
    <w:rsid w:val="002E64B4"/>
    <w:rsid w:val="002E684F"/>
    <w:rsid w:val="002E7134"/>
    <w:rsid w:val="002F24DF"/>
    <w:rsid w:val="002F3F8E"/>
    <w:rsid w:val="002F4372"/>
    <w:rsid w:val="002F71BB"/>
    <w:rsid w:val="002F74E2"/>
    <w:rsid w:val="00307848"/>
    <w:rsid w:val="00314F1C"/>
    <w:rsid w:val="00315C4B"/>
    <w:rsid w:val="00320866"/>
    <w:rsid w:val="00320BBE"/>
    <w:rsid w:val="00322A9E"/>
    <w:rsid w:val="0032337D"/>
    <w:rsid w:val="0032348B"/>
    <w:rsid w:val="00327B59"/>
    <w:rsid w:val="00330A0B"/>
    <w:rsid w:val="0033257D"/>
    <w:rsid w:val="003326FF"/>
    <w:rsid w:val="00332999"/>
    <w:rsid w:val="003329F2"/>
    <w:rsid w:val="00333CFE"/>
    <w:rsid w:val="0033543F"/>
    <w:rsid w:val="003363D2"/>
    <w:rsid w:val="00340C72"/>
    <w:rsid w:val="00342BF2"/>
    <w:rsid w:val="00342D17"/>
    <w:rsid w:val="00343C20"/>
    <w:rsid w:val="00344657"/>
    <w:rsid w:val="0034769C"/>
    <w:rsid w:val="00347B05"/>
    <w:rsid w:val="00351C0E"/>
    <w:rsid w:val="00352523"/>
    <w:rsid w:val="003575EB"/>
    <w:rsid w:val="00360086"/>
    <w:rsid w:val="00363D24"/>
    <w:rsid w:val="00365EB6"/>
    <w:rsid w:val="00371E41"/>
    <w:rsid w:val="0037437C"/>
    <w:rsid w:val="003764F1"/>
    <w:rsid w:val="00380690"/>
    <w:rsid w:val="003809A0"/>
    <w:rsid w:val="00380A41"/>
    <w:rsid w:val="00383459"/>
    <w:rsid w:val="003839E7"/>
    <w:rsid w:val="00384E7F"/>
    <w:rsid w:val="003859B3"/>
    <w:rsid w:val="00385CBB"/>
    <w:rsid w:val="003864FC"/>
    <w:rsid w:val="0038734E"/>
    <w:rsid w:val="003876A3"/>
    <w:rsid w:val="003912B2"/>
    <w:rsid w:val="00393D96"/>
    <w:rsid w:val="00394DCE"/>
    <w:rsid w:val="00395E21"/>
    <w:rsid w:val="003966E2"/>
    <w:rsid w:val="003A07BB"/>
    <w:rsid w:val="003B29FE"/>
    <w:rsid w:val="003B500D"/>
    <w:rsid w:val="003B6187"/>
    <w:rsid w:val="003B66A0"/>
    <w:rsid w:val="003C01C7"/>
    <w:rsid w:val="003C0635"/>
    <w:rsid w:val="003C6EB4"/>
    <w:rsid w:val="003C7033"/>
    <w:rsid w:val="003D394D"/>
    <w:rsid w:val="003D3E34"/>
    <w:rsid w:val="003D4C98"/>
    <w:rsid w:val="003D5FCB"/>
    <w:rsid w:val="003E184E"/>
    <w:rsid w:val="003E272A"/>
    <w:rsid w:val="003E2E13"/>
    <w:rsid w:val="003E3D25"/>
    <w:rsid w:val="003E486B"/>
    <w:rsid w:val="003F09AE"/>
    <w:rsid w:val="003F0C99"/>
    <w:rsid w:val="003F0EBB"/>
    <w:rsid w:val="003F45C2"/>
    <w:rsid w:val="00400BC3"/>
    <w:rsid w:val="00401D02"/>
    <w:rsid w:val="00404089"/>
    <w:rsid w:val="00404248"/>
    <w:rsid w:val="00407CA0"/>
    <w:rsid w:val="00410AFE"/>
    <w:rsid w:val="004124A2"/>
    <w:rsid w:val="00413B87"/>
    <w:rsid w:val="00414126"/>
    <w:rsid w:val="004151CE"/>
    <w:rsid w:val="004151D5"/>
    <w:rsid w:val="00421154"/>
    <w:rsid w:val="00421A0B"/>
    <w:rsid w:val="00422EE5"/>
    <w:rsid w:val="00423444"/>
    <w:rsid w:val="00426767"/>
    <w:rsid w:val="00430738"/>
    <w:rsid w:val="004311D2"/>
    <w:rsid w:val="00434C40"/>
    <w:rsid w:val="004356DD"/>
    <w:rsid w:val="00436831"/>
    <w:rsid w:val="00436C98"/>
    <w:rsid w:val="00437D1E"/>
    <w:rsid w:val="004421BA"/>
    <w:rsid w:val="00443000"/>
    <w:rsid w:val="004436E9"/>
    <w:rsid w:val="00443715"/>
    <w:rsid w:val="00446B27"/>
    <w:rsid w:val="00447185"/>
    <w:rsid w:val="00447F72"/>
    <w:rsid w:val="004537F0"/>
    <w:rsid w:val="00454188"/>
    <w:rsid w:val="004550BA"/>
    <w:rsid w:val="0045775D"/>
    <w:rsid w:val="00460330"/>
    <w:rsid w:val="0046076C"/>
    <w:rsid w:val="004614CA"/>
    <w:rsid w:val="00465CDD"/>
    <w:rsid w:val="00472F98"/>
    <w:rsid w:val="004745F9"/>
    <w:rsid w:val="0047479E"/>
    <w:rsid w:val="0047516D"/>
    <w:rsid w:val="004753F9"/>
    <w:rsid w:val="00475628"/>
    <w:rsid w:val="00483218"/>
    <w:rsid w:val="00484B8B"/>
    <w:rsid w:val="00485C6F"/>
    <w:rsid w:val="00491001"/>
    <w:rsid w:val="004921EE"/>
    <w:rsid w:val="0049540D"/>
    <w:rsid w:val="00496418"/>
    <w:rsid w:val="00497DB6"/>
    <w:rsid w:val="004A14B3"/>
    <w:rsid w:val="004A320E"/>
    <w:rsid w:val="004A5DC7"/>
    <w:rsid w:val="004A7C7D"/>
    <w:rsid w:val="004B0D8A"/>
    <w:rsid w:val="004B1CBA"/>
    <w:rsid w:val="004B22F1"/>
    <w:rsid w:val="004B4B56"/>
    <w:rsid w:val="004B4F17"/>
    <w:rsid w:val="004B76EA"/>
    <w:rsid w:val="004B7769"/>
    <w:rsid w:val="004B7D78"/>
    <w:rsid w:val="004C1C59"/>
    <w:rsid w:val="004C43FA"/>
    <w:rsid w:val="004C5759"/>
    <w:rsid w:val="004C59C2"/>
    <w:rsid w:val="004D03C8"/>
    <w:rsid w:val="004D10C4"/>
    <w:rsid w:val="004D38E8"/>
    <w:rsid w:val="004D4A3A"/>
    <w:rsid w:val="004D7404"/>
    <w:rsid w:val="004E16F2"/>
    <w:rsid w:val="004E3DA9"/>
    <w:rsid w:val="004E537E"/>
    <w:rsid w:val="004E6C03"/>
    <w:rsid w:val="004F1768"/>
    <w:rsid w:val="004F1FAF"/>
    <w:rsid w:val="004F25A6"/>
    <w:rsid w:val="004F25E1"/>
    <w:rsid w:val="004F27E0"/>
    <w:rsid w:val="0050045F"/>
    <w:rsid w:val="00501701"/>
    <w:rsid w:val="005022F4"/>
    <w:rsid w:val="005025C3"/>
    <w:rsid w:val="00505FC7"/>
    <w:rsid w:val="00506EB9"/>
    <w:rsid w:val="005111E9"/>
    <w:rsid w:val="00513667"/>
    <w:rsid w:val="00515C3C"/>
    <w:rsid w:val="00515F9D"/>
    <w:rsid w:val="00517801"/>
    <w:rsid w:val="00521518"/>
    <w:rsid w:val="00521CC9"/>
    <w:rsid w:val="00524B75"/>
    <w:rsid w:val="00524D1C"/>
    <w:rsid w:val="00526A4A"/>
    <w:rsid w:val="00532231"/>
    <w:rsid w:val="005346C4"/>
    <w:rsid w:val="005375C8"/>
    <w:rsid w:val="0054248F"/>
    <w:rsid w:val="005434B0"/>
    <w:rsid w:val="005434F0"/>
    <w:rsid w:val="005441AB"/>
    <w:rsid w:val="005466D9"/>
    <w:rsid w:val="005504B0"/>
    <w:rsid w:val="00552581"/>
    <w:rsid w:val="00553015"/>
    <w:rsid w:val="00553896"/>
    <w:rsid w:val="00560831"/>
    <w:rsid w:val="0056652A"/>
    <w:rsid w:val="00566FE2"/>
    <w:rsid w:val="00571B9C"/>
    <w:rsid w:val="00572692"/>
    <w:rsid w:val="00572DFA"/>
    <w:rsid w:val="00575C28"/>
    <w:rsid w:val="00575D07"/>
    <w:rsid w:val="00580724"/>
    <w:rsid w:val="0058089E"/>
    <w:rsid w:val="00581392"/>
    <w:rsid w:val="00581F23"/>
    <w:rsid w:val="0058359F"/>
    <w:rsid w:val="00585970"/>
    <w:rsid w:val="00585F11"/>
    <w:rsid w:val="005911E3"/>
    <w:rsid w:val="00596174"/>
    <w:rsid w:val="00596D4A"/>
    <w:rsid w:val="005A0F23"/>
    <w:rsid w:val="005A107E"/>
    <w:rsid w:val="005A313F"/>
    <w:rsid w:val="005A48AE"/>
    <w:rsid w:val="005A66D0"/>
    <w:rsid w:val="005A6795"/>
    <w:rsid w:val="005B01CA"/>
    <w:rsid w:val="005B676D"/>
    <w:rsid w:val="005B7DBE"/>
    <w:rsid w:val="005C3E58"/>
    <w:rsid w:val="005C3EC6"/>
    <w:rsid w:val="005C4FA3"/>
    <w:rsid w:val="005C5CDA"/>
    <w:rsid w:val="005D04E4"/>
    <w:rsid w:val="005D0BE9"/>
    <w:rsid w:val="005D155E"/>
    <w:rsid w:val="005D3276"/>
    <w:rsid w:val="005D3F13"/>
    <w:rsid w:val="005D4BA9"/>
    <w:rsid w:val="005D60ED"/>
    <w:rsid w:val="005D6B86"/>
    <w:rsid w:val="005D76E4"/>
    <w:rsid w:val="005E0849"/>
    <w:rsid w:val="005E0A67"/>
    <w:rsid w:val="005E0B86"/>
    <w:rsid w:val="005E399B"/>
    <w:rsid w:val="005F14B7"/>
    <w:rsid w:val="005F1FA1"/>
    <w:rsid w:val="005F4D18"/>
    <w:rsid w:val="005F4EA2"/>
    <w:rsid w:val="0060073C"/>
    <w:rsid w:val="006020BF"/>
    <w:rsid w:val="00602D43"/>
    <w:rsid w:val="00603982"/>
    <w:rsid w:val="006040C0"/>
    <w:rsid w:val="00607D82"/>
    <w:rsid w:val="006145EF"/>
    <w:rsid w:val="00623C68"/>
    <w:rsid w:val="00624C0A"/>
    <w:rsid w:val="0062517A"/>
    <w:rsid w:val="00625329"/>
    <w:rsid w:val="00625931"/>
    <w:rsid w:val="00625D8B"/>
    <w:rsid w:val="006261A0"/>
    <w:rsid w:val="00633ED7"/>
    <w:rsid w:val="0063552F"/>
    <w:rsid w:val="00637F99"/>
    <w:rsid w:val="0064035E"/>
    <w:rsid w:val="00640E29"/>
    <w:rsid w:val="00646D15"/>
    <w:rsid w:val="00650ABD"/>
    <w:rsid w:val="0065329E"/>
    <w:rsid w:val="00654CEE"/>
    <w:rsid w:val="00655898"/>
    <w:rsid w:val="00655CCE"/>
    <w:rsid w:val="0066182E"/>
    <w:rsid w:val="00664746"/>
    <w:rsid w:val="006674DB"/>
    <w:rsid w:val="00667A86"/>
    <w:rsid w:val="00670873"/>
    <w:rsid w:val="00671669"/>
    <w:rsid w:val="006716B1"/>
    <w:rsid w:val="00671891"/>
    <w:rsid w:val="00672EFB"/>
    <w:rsid w:val="00673D0E"/>
    <w:rsid w:val="00675577"/>
    <w:rsid w:val="00676F2C"/>
    <w:rsid w:val="0068224B"/>
    <w:rsid w:val="00682782"/>
    <w:rsid w:val="00683E88"/>
    <w:rsid w:val="0068436D"/>
    <w:rsid w:val="00685934"/>
    <w:rsid w:val="00685CEA"/>
    <w:rsid w:val="00690A56"/>
    <w:rsid w:val="00690BF1"/>
    <w:rsid w:val="006911D2"/>
    <w:rsid w:val="00693AA8"/>
    <w:rsid w:val="00696192"/>
    <w:rsid w:val="006973B2"/>
    <w:rsid w:val="006A00FB"/>
    <w:rsid w:val="006A1276"/>
    <w:rsid w:val="006A2FD8"/>
    <w:rsid w:val="006A3902"/>
    <w:rsid w:val="006A4218"/>
    <w:rsid w:val="006A4C5B"/>
    <w:rsid w:val="006A56EB"/>
    <w:rsid w:val="006A5CBD"/>
    <w:rsid w:val="006A6FD6"/>
    <w:rsid w:val="006B298C"/>
    <w:rsid w:val="006B7C43"/>
    <w:rsid w:val="006C1217"/>
    <w:rsid w:val="006C181D"/>
    <w:rsid w:val="006C1F0A"/>
    <w:rsid w:val="006C434A"/>
    <w:rsid w:val="006C43C1"/>
    <w:rsid w:val="006C4718"/>
    <w:rsid w:val="006C5988"/>
    <w:rsid w:val="006C5F08"/>
    <w:rsid w:val="006D340C"/>
    <w:rsid w:val="006D4714"/>
    <w:rsid w:val="006E2396"/>
    <w:rsid w:val="006E2FE2"/>
    <w:rsid w:val="006E69C8"/>
    <w:rsid w:val="006F0E97"/>
    <w:rsid w:val="006F17A6"/>
    <w:rsid w:val="006F3D88"/>
    <w:rsid w:val="006F512C"/>
    <w:rsid w:val="006F6EFF"/>
    <w:rsid w:val="006F74AE"/>
    <w:rsid w:val="00702672"/>
    <w:rsid w:val="00702712"/>
    <w:rsid w:val="0070296B"/>
    <w:rsid w:val="00705392"/>
    <w:rsid w:val="00705B01"/>
    <w:rsid w:val="00710595"/>
    <w:rsid w:val="0071079E"/>
    <w:rsid w:val="007139CE"/>
    <w:rsid w:val="00714217"/>
    <w:rsid w:val="00717F60"/>
    <w:rsid w:val="00722856"/>
    <w:rsid w:val="00723262"/>
    <w:rsid w:val="007248B8"/>
    <w:rsid w:val="0072545B"/>
    <w:rsid w:val="00726684"/>
    <w:rsid w:val="00727EF2"/>
    <w:rsid w:val="00727F52"/>
    <w:rsid w:val="0073186F"/>
    <w:rsid w:val="00740BFB"/>
    <w:rsid w:val="00740FFA"/>
    <w:rsid w:val="00741FD3"/>
    <w:rsid w:val="007423C8"/>
    <w:rsid w:val="00742DB7"/>
    <w:rsid w:val="00743D77"/>
    <w:rsid w:val="00750870"/>
    <w:rsid w:val="00750DE5"/>
    <w:rsid w:val="00751B3D"/>
    <w:rsid w:val="00752193"/>
    <w:rsid w:val="007552CA"/>
    <w:rsid w:val="0075585F"/>
    <w:rsid w:val="00756394"/>
    <w:rsid w:val="00756AB1"/>
    <w:rsid w:val="00757182"/>
    <w:rsid w:val="0076242C"/>
    <w:rsid w:val="00763FE3"/>
    <w:rsid w:val="0076631B"/>
    <w:rsid w:val="00767D34"/>
    <w:rsid w:val="00772F1C"/>
    <w:rsid w:val="00775FB1"/>
    <w:rsid w:val="007768BC"/>
    <w:rsid w:val="00786144"/>
    <w:rsid w:val="007915F5"/>
    <w:rsid w:val="00794A1D"/>
    <w:rsid w:val="00795542"/>
    <w:rsid w:val="007A0E84"/>
    <w:rsid w:val="007A153E"/>
    <w:rsid w:val="007A22D6"/>
    <w:rsid w:val="007A6962"/>
    <w:rsid w:val="007A6B47"/>
    <w:rsid w:val="007A6E82"/>
    <w:rsid w:val="007B1FDB"/>
    <w:rsid w:val="007B21A9"/>
    <w:rsid w:val="007B2EE8"/>
    <w:rsid w:val="007C019C"/>
    <w:rsid w:val="007C0EAF"/>
    <w:rsid w:val="007C3BBE"/>
    <w:rsid w:val="007C3ED5"/>
    <w:rsid w:val="007C45E2"/>
    <w:rsid w:val="007C4630"/>
    <w:rsid w:val="007C5CA6"/>
    <w:rsid w:val="007D00AF"/>
    <w:rsid w:val="007D0C40"/>
    <w:rsid w:val="007D18E8"/>
    <w:rsid w:val="007D1984"/>
    <w:rsid w:val="007D22A4"/>
    <w:rsid w:val="007D2541"/>
    <w:rsid w:val="007D4955"/>
    <w:rsid w:val="007E02C1"/>
    <w:rsid w:val="007E479A"/>
    <w:rsid w:val="007E7B69"/>
    <w:rsid w:val="007F0F1B"/>
    <w:rsid w:val="007F6427"/>
    <w:rsid w:val="007F6E5E"/>
    <w:rsid w:val="007F767B"/>
    <w:rsid w:val="0080141C"/>
    <w:rsid w:val="008022AB"/>
    <w:rsid w:val="00803F71"/>
    <w:rsid w:val="008045EC"/>
    <w:rsid w:val="00806D9A"/>
    <w:rsid w:val="0080732C"/>
    <w:rsid w:val="008073F8"/>
    <w:rsid w:val="0080793A"/>
    <w:rsid w:val="008118B1"/>
    <w:rsid w:val="00811F69"/>
    <w:rsid w:val="00812505"/>
    <w:rsid w:val="008137F2"/>
    <w:rsid w:val="00813F75"/>
    <w:rsid w:val="00814C1C"/>
    <w:rsid w:val="00814E0A"/>
    <w:rsid w:val="00827C3C"/>
    <w:rsid w:val="0083222C"/>
    <w:rsid w:val="0083422B"/>
    <w:rsid w:val="00834AED"/>
    <w:rsid w:val="00835B0B"/>
    <w:rsid w:val="00836943"/>
    <w:rsid w:val="008407D3"/>
    <w:rsid w:val="0084379F"/>
    <w:rsid w:val="00845A7E"/>
    <w:rsid w:val="00850A89"/>
    <w:rsid w:val="00850DFD"/>
    <w:rsid w:val="00853D6E"/>
    <w:rsid w:val="0085421A"/>
    <w:rsid w:val="008565D7"/>
    <w:rsid w:val="00857BD1"/>
    <w:rsid w:val="00860F2D"/>
    <w:rsid w:val="00864885"/>
    <w:rsid w:val="00865AEA"/>
    <w:rsid w:val="008667B1"/>
    <w:rsid w:val="00870794"/>
    <w:rsid w:val="00870E90"/>
    <w:rsid w:val="00871B6E"/>
    <w:rsid w:val="00872B83"/>
    <w:rsid w:val="0087446D"/>
    <w:rsid w:val="0087499D"/>
    <w:rsid w:val="00874A52"/>
    <w:rsid w:val="0087529A"/>
    <w:rsid w:val="00875F7F"/>
    <w:rsid w:val="00877BDD"/>
    <w:rsid w:val="0088081E"/>
    <w:rsid w:val="00880A16"/>
    <w:rsid w:val="00881A00"/>
    <w:rsid w:val="008820B9"/>
    <w:rsid w:val="00886327"/>
    <w:rsid w:val="00887184"/>
    <w:rsid w:val="008875E4"/>
    <w:rsid w:val="00894584"/>
    <w:rsid w:val="00897BFF"/>
    <w:rsid w:val="008A05B8"/>
    <w:rsid w:val="008A32E4"/>
    <w:rsid w:val="008B01CF"/>
    <w:rsid w:val="008B2919"/>
    <w:rsid w:val="008B2D7E"/>
    <w:rsid w:val="008B3D75"/>
    <w:rsid w:val="008B7173"/>
    <w:rsid w:val="008C1B0F"/>
    <w:rsid w:val="008C2540"/>
    <w:rsid w:val="008D03C5"/>
    <w:rsid w:val="008D4798"/>
    <w:rsid w:val="008D6204"/>
    <w:rsid w:val="008E0C26"/>
    <w:rsid w:val="008E2E5E"/>
    <w:rsid w:val="008E4588"/>
    <w:rsid w:val="008E5323"/>
    <w:rsid w:val="008E61D0"/>
    <w:rsid w:val="008E64FD"/>
    <w:rsid w:val="008E65A5"/>
    <w:rsid w:val="008E7DED"/>
    <w:rsid w:val="008F26E8"/>
    <w:rsid w:val="008F5707"/>
    <w:rsid w:val="008F5D32"/>
    <w:rsid w:val="008F5EBF"/>
    <w:rsid w:val="008F7E2E"/>
    <w:rsid w:val="0090523A"/>
    <w:rsid w:val="00906F4A"/>
    <w:rsid w:val="00910D55"/>
    <w:rsid w:val="0091133E"/>
    <w:rsid w:val="00913028"/>
    <w:rsid w:val="009132FB"/>
    <w:rsid w:val="009158C3"/>
    <w:rsid w:val="00917750"/>
    <w:rsid w:val="00920026"/>
    <w:rsid w:val="00922BC6"/>
    <w:rsid w:val="0092304B"/>
    <w:rsid w:val="00924BDB"/>
    <w:rsid w:val="00926241"/>
    <w:rsid w:val="00926B10"/>
    <w:rsid w:val="00926E07"/>
    <w:rsid w:val="00926FFB"/>
    <w:rsid w:val="00927822"/>
    <w:rsid w:val="0093061D"/>
    <w:rsid w:val="00931B9A"/>
    <w:rsid w:val="00932D2A"/>
    <w:rsid w:val="009330D2"/>
    <w:rsid w:val="0094296E"/>
    <w:rsid w:val="00950B9D"/>
    <w:rsid w:val="009529B1"/>
    <w:rsid w:val="00953525"/>
    <w:rsid w:val="009565B7"/>
    <w:rsid w:val="00956A8B"/>
    <w:rsid w:val="009600E1"/>
    <w:rsid w:val="00960543"/>
    <w:rsid w:val="00961555"/>
    <w:rsid w:val="00961685"/>
    <w:rsid w:val="009634DA"/>
    <w:rsid w:val="009638FD"/>
    <w:rsid w:val="009639FE"/>
    <w:rsid w:val="0096506F"/>
    <w:rsid w:val="009666BD"/>
    <w:rsid w:val="00966BEC"/>
    <w:rsid w:val="00966EE8"/>
    <w:rsid w:val="00971703"/>
    <w:rsid w:val="009728BA"/>
    <w:rsid w:val="00977892"/>
    <w:rsid w:val="00977C4D"/>
    <w:rsid w:val="00987F48"/>
    <w:rsid w:val="00991E60"/>
    <w:rsid w:val="00994AD0"/>
    <w:rsid w:val="009A23B8"/>
    <w:rsid w:val="009A24D2"/>
    <w:rsid w:val="009A339A"/>
    <w:rsid w:val="009B0B62"/>
    <w:rsid w:val="009B1689"/>
    <w:rsid w:val="009B4DD1"/>
    <w:rsid w:val="009B6422"/>
    <w:rsid w:val="009B7E44"/>
    <w:rsid w:val="009C24D7"/>
    <w:rsid w:val="009C25B4"/>
    <w:rsid w:val="009C390E"/>
    <w:rsid w:val="009C7331"/>
    <w:rsid w:val="009C7431"/>
    <w:rsid w:val="009D0CA3"/>
    <w:rsid w:val="009D1634"/>
    <w:rsid w:val="009D1F06"/>
    <w:rsid w:val="009D2FE2"/>
    <w:rsid w:val="009D65CB"/>
    <w:rsid w:val="009D6734"/>
    <w:rsid w:val="009D756D"/>
    <w:rsid w:val="009E3A00"/>
    <w:rsid w:val="009E3B9E"/>
    <w:rsid w:val="009E7325"/>
    <w:rsid w:val="009F0385"/>
    <w:rsid w:val="009F1291"/>
    <w:rsid w:val="009F242A"/>
    <w:rsid w:val="009F6793"/>
    <w:rsid w:val="00A01FDD"/>
    <w:rsid w:val="00A06582"/>
    <w:rsid w:val="00A0743E"/>
    <w:rsid w:val="00A07E40"/>
    <w:rsid w:val="00A1035C"/>
    <w:rsid w:val="00A10D4D"/>
    <w:rsid w:val="00A10D79"/>
    <w:rsid w:val="00A1100E"/>
    <w:rsid w:val="00A1248B"/>
    <w:rsid w:val="00A1448D"/>
    <w:rsid w:val="00A14742"/>
    <w:rsid w:val="00A237F7"/>
    <w:rsid w:val="00A246AF"/>
    <w:rsid w:val="00A25933"/>
    <w:rsid w:val="00A259C8"/>
    <w:rsid w:val="00A2644D"/>
    <w:rsid w:val="00A26C68"/>
    <w:rsid w:val="00A30B6F"/>
    <w:rsid w:val="00A315C1"/>
    <w:rsid w:val="00A3305E"/>
    <w:rsid w:val="00A36666"/>
    <w:rsid w:val="00A4018D"/>
    <w:rsid w:val="00A40238"/>
    <w:rsid w:val="00A41A9D"/>
    <w:rsid w:val="00A440AB"/>
    <w:rsid w:val="00A45F53"/>
    <w:rsid w:val="00A46755"/>
    <w:rsid w:val="00A46D91"/>
    <w:rsid w:val="00A47DF6"/>
    <w:rsid w:val="00A500D3"/>
    <w:rsid w:val="00A52783"/>
    <w:rsid w:val="00A55615"/>
    <w:rsid w:val="00A56144"/>
    <w:rsid w:val="00A6539E"/>
    <w:rsid w:val="00A66597"/>
    <w:rsid w:val="00A67FA6"/>
    <w:rsid w:val="00A706C8"/>
    <w:rsid w:val="00A74167"/>
    <w:rsid w:val="00A74F1A"/>
    <w:rsid w:val="00A7714F"/>
    <w:rsid w:val="00A8046B"/>
    <w:rsid w:val="00A809D8"/>
    <w:rsid w:val="00A81B4F"/>
    <w:rsid w:val="00A82344"/>
    <w:rsid w:val="00A83537"/>
    <w:rsid w:val="00A84701"/>
    <w:rsid w:val="00A85432"/>
    <w:rsid w:val="00A920D6"/>
    <w:rsid w:val="00A93DCB"/>
    <w:rsid w:val="00A978E5"/>
    <w:rsid w:val="00AA1EAD"/>
    <w:rsid w:val="00AA364A"/>
    <w:rsid w:val="00AA6854"/>
    <w:rsid w:val="00AA7BEC"/>
    <w:rsid w:val="00AB037B"/>
    <w:rsid w:val="00AB2B0B"/>
    <w:rsid w:val="00AB7A7F"/>
    <w:rsid w:val="00AB7B81"/>
    <w:rsid w:val="00AC0B7A"/>
    <w:rsid w:val="00AC1173"/>
    <w:rsid w:val="00AC1A99"/>
    <w:rsid w:val="00AC1EFF"/>
    <w:rsid w:val="00AC43D9"/>
    <w:rsid w:val="00AD0856"/>
    <w:rsid w:val="00AD48BD"/>
    <w:rsid w:val="00AE0917"/>
    <w:rsid w:val="00AE14DF"/>
    <w:rsid w:val="00AE714D"/>
    <w:rsid w:val="00AE7330"/>
    <w:rsid w:val="00AF1B24"/>
    <w:rsid w:val="00AF207B"/>
    <w:rsid w:val="00AF4972"/>
    <w:rsid w:val="00AF57E4"/>
    <w:rsid w:val="00AF5AD8"/>
    <w:rsid w:val="00B004CA"/>
    <w:rsid w:val="00B01E01"/>
    <w:rsid w:val="00B03F48"/>
    <w:rsid w:val="00B0663D"/>
    <w:rsid w:val="00B06ECA"/>
    <w:rsid w:val="00B0727F"/>
    <w:rsid w:val="00B13865"/>
    <w:rsid w:val="00B14105"/>
    <w:rsid w:val="00B14610"/>
    <w:rsid w:val="00B16179"/>
    <w:rsid w:val="00B17B88"/>
    <w:rsid w:val="00B230E5"/>
    <w:rsid w:val="00B26CA5"/>
    <w:rsid w:val="00B2781A"/>
    <w:rsid w:val="00B27CAA"/>
    <w:rsid w:val="00B30053"/>
    <w:rsid w:val="00B30800"/>
    <w:rsid w:val="00B31BF6"/>
    <w:rsid w:val="00B36C30"/>
    <w:rsid w:val="00B42862"/>
    <w:rsid w:val="00B43D89"/>
    <w:rsid w:val="00B44C6D"/>
    <w:rsid w:val="00B5218A"/>
    <w:rsid w:val="00B55A0C"/>
    <w:rsid w:val="00B56314"/>
    <w:rsid w:val="00B60D72"/>
    <w:rsid w:val="00B60F59"/>
    <w:rsid w:val="00B61FD3"/>
    <w:rsid w:val="00B622C6"/>
    <w:rsid w:val="00B652B5"/>
    <w:rsid w:val="00B66772"/>
    <w:rsid w:val="00B66C29"/>
    <w:rsid w:val="00B66EE2"/>
    <w:rsid w:val="00B70E81"/>
    <w:rsid w:val="00B71E53"/>
    <w:rsid w:val="00B7220A"/>
    <w:rsid w:val="00B73476"/>
    <w:rsid w:val="00B73E6A"/>
    <w:rsid w:val="00B76DE9"/>
    <w:rsid w:val="00B847D9"/>
    <w:rsid w:val="00B86648"/>
    <w:rsid w:val="00B87551"/>
    <w:rsid w:val="00B90CCD"/>
    <w:rsid w:val="00B91A5B"/>
    <w:rsid w:val="00B93802"/>
    <w:rsid w:val="00B96C8E"/>
    <w:rsid w:val="00B97DFB"/>
    <w:rsid w:val="00BA1E99"/>
    <w:rsid w:val="00BA6B10"/>
    <w:rsid w:val="00BB0C99"/>
    <w:rsid w:val="00BB15ED"/>
    <w:rsid w:val="00BB1D08"/>
    <w:rsid w:val="00BB2CE3"/>
    <w:rsid w:val="00BB5E77"/>
    <w:rsid w:val="00BB72EC"/>
    <w:rsid w:val="00BC0FA8"/>
    <w:rsid w:val="00BC25BB"/>
    <w:rsid w:val="00BC309D"/>
    <w:rsid w:val="00BC3A41"/>
    <w:rsid w:val="00BC3CB0"/>
    <w:rsid w:val="00BC4252"/>
    <w:rsid w:val="00BC7A30"/>
    <w:rsid w:val="00BD0055"/>
    <w:rsid w:val="00BD0423"/>
    <w:rsid w:val="00BD5EC8"/>
    <w:rsid w:val="00BD7190"/>
    <w:rsid w:val="00BE430C"/>
    <w:rsid w:val="00BE5433"/>
    <w:rsid w:val="00BE5FE4"/>
    <w:rsid w:val="00BE6D5C"/>
    <w:rsid w:val="00BE7837"/>
    <w:rsid w:val="00BF00C2"/>
    <w:rsid w:val="00BF04EE"/>
    <w:rsid w:val="00BF1559"/>
    <w:rsid w:val="00BF1BC0"/>
    <w:rsid w:val="00BF2757"/>
    <w:rsid w:val="00BF3CE3"/>
    <w:rsid w:val="00C01A14"/>
    <w:rsid w:val="00C0378A"/>
    <w:rsid w:val="00C0676A"/>
    <w:rsid w:val="00C06BE2"/>
    <w:rsid w:val="00C07184"/>
    <w:rsid w:val="00C07705"/>
    <w:rsid w:val="00C10F8B"/>
    <w:rsid w:val="00C11972"/>
    <w:rsid w:val="00C1519B"/>
    <w:rsid w:val="00C1601E"/>
    <w:rsid w:val="00C174AB"/>
    <w:rsid w:val="00C2198E"/>
    <w:rsid w:val="00C21E3D"/>
    <w:rsid w:val="00C22061"/>
    <w:rsid w:val="00C22232"/>
    <w:rsid w:val="00C2388C"/>
    <w:rsid w:val="00C25D25"/>
    <w:rsid w:val="00C2665F"/>
    <w:rsid w:val="00C2711C"/>
    <w:rsid w:val="00C276C4"/>
    <w:rsid w:val="00C3004D"/>
    <w:rsid w:val="00C3096D"/>
    <w:rsid w:val="00C3361F"/>
    <w:rsid w:val="00C3504D"/>
    <w:rsid w:val="00C36267"/>
    <w:rsid w:val="00C429DB"/>
    <w:rsid w:val="00C44B3B"/>
    <w:rsid w:val="00C47ED4"/>
    <w:rsid w:val="00C5778C"/>
    <w:rsid w:val="00C60321"/>
    <w:rsid w:val="00C62811"/>
    <w:rsid w:val="00C62D04"/>
    <w:rsid w:val="00C62F0F"/>
    <w:rsid w:val="00C632B1"/>
    <w:rsid w:val="00C6480A"/>
    <w:rsid w:val="00C653BA"/>
    <w:rsid w:val="00C70C69"/>
    <w:rsid w:val="00C73A47"/>
    <w:rsid w:val="00C749D7"/>
    <w:rsid w:val="00C75C7E"/>
    <w:rsid w:val="00C760B9"/>
    <w:rsid w:val="00C761FD"/>
    <w:rsid w:val="00C7784B"/>
    <w:rsid w:val="00C8072D"/>
    <w:rsid w:val="00C82FA2"/>
    <w:rsid w:val="00C84D93"/>
    <w:rsid w:val="00C901F9"/>
    <w:rsid w:val="00C90F3F"/>
    <w:rsid w:val="00C91C94"/>
    <w:rsid w:val="00C9555A"/>
    <w:rsid w:val="00C964A3"/>
    <w:rsid w:val="00CA06F3"/>
    <w:rsid w:val="00CA1883"/>
    <w:rsid w:val="00CA2B3D"/>
    <w:rsid w:val="00CA4E0A"/>
    <w:rsid w:val="00CB05C6"/>
    <w:rsid w:val="00CB0CCA"/>
    <w:rsid w:val="00CB1489"/>
    <w:rsid w:val="00CB3EA9"/>
    <w:rsid w:val="00CC1CA6"/>
    <w:rsid w:val="00CC2DFC"/>
    <w:rsid w:val="00CC4138"/>
    <w:rsid w:val="00CC600E"/>
    <w:rsid w:val="00CC6B4B"/>
    <w:rsid w:val="00CD24EE"/>
    <w:rsid w:val="00CD2582"/>
    <w:rsid w:val="00CD4D46"/>
    <w:rsid w:val="00CD5125"/>
    <w:rsid w:val="00CD57FD"/>
    <w:rsid w:val="00CD5891"/>
    <w:rsid w:val="00CE166B"/>
    <w:rsid w:val="00CE1E13"/>
    <w:rsid w:val="00CE251A"/>
    <w:rsid w:val="00CE50BE"/>
    <w:rsid w:val="00CE6510"/>
    <w:rsid w:val="00CF0AF6"/>
    <w:rsid w:val="00CF4CC8"/>
    <w:rsid w:val="00CF6F98"/>
    <w:rsid w:val="00D0185A"/>
    <w:rsid w:val="00D01E58"/>
    <w:rsid w:val="00D03933"/>
    <w:rsid w:val="00D04309"/>
    <w:rsid w:val="00D05675"/>
    <w:rsid w:val="00D1589D"/>
    <w:rsid w:val="00D16C00"/>
    <w:rsid w:val="00D224A8"/>
    <w:rsid w:val="00D239CD"/>
    <w:rsid w:val="00D2485C"/>
    <w:rsid w:val="00D24CD2"/>
    <w:rsid w:val="00D260C5"/>
    <w:rsid w:val="00D27C78"/>
    <w:rsid w:val="00D33297"/>
    <w:rsid w:val="00D35C88"/>
    <w:rsid w:val="00D37B8A"/>
    <w:rsid w:val="00D42EFF"/>
    <w:rsid w:val="00D533B9"/>
    <w:rsid w:val="00D53E04"/>
    <w:rsid w:val="00D6052F"/>
    <w:rsid w:val="00D60939"/>
    <w:rsid w:val="00D62455"/>
    <w:rsid w:val="00D62780"/>
    <w:rsid w:val="00D65652"/>
    <w:rsid w:val="00D656B9"/>
    <w:rsid w:val="00D667A2"/>
    <w:rsid w:val="00D66999"/>
    <w:rsid w:val="00D66E80"/>
    <w:rsid w:val="00D66F8E"/>
    <w:rsid w:val="00D703B8"/>
    <w:rsid w:val="00D70543"/>
    <w:rsid w:val="00D708E3"/>
    <w:rsid w:val="00D73E24"/>
    <w:rsid w:val="00D7605F"/>
    <w:rsid w:val="00D834AC"/>
    <w:rsid w:val="00D83EC5"/>
    <w:rsid w:val="00D847FE"/>
    <w:rsid w:val="00D90BBC"/>
    <w:rsid w:val="00D90E56"/>
    <w:rsid w:val="00D92B04"/>
    <w:rsid w:val="00D92FC3"/>
    <w:rsid w:val="00D94275"/>
    <w:rsid w:val="00D95F68"/>
    <w:rsid w:val="00D97B41"/>
    <w:rsid w:val="00DA09E1"/>
    <w:rsid w:val="00DA0E53"/>
    <w:rsid w:val="00DA2CA9"/>
    <w:rsid w:val="00DA3C2E"/>
    <w:rsid w:val="00DA3F03"/>
    <w:rsid w:val="00DB338A"/>
    <w:rsid w:val="00DB4915"/>
    <w:rsid w:val="00DB6CC0"/>
    <w:rsid w:val="00DB7C6E"/>
    <w:rsid w:val="00DC1626"/>
    <w:rsid w:val="00DC2C3D"/>
    <w:rsid w:val="00DC50D3"/>
    <w:rsid w:val="00DC5797"/>
    <w:rsid w:val="00DC7BB8"/>
    <w:rsid w:val="00DD0C31"/>
    <w:rsid w:val="00DD1609"/>
    <w:rsid w:val="00DD2319"/>
    <w:rsid w:val="00DD2D04"/>
    <w:rsid w:val="00DD3482"/>
    <w:rsid w:val="00DD3D58"/>
    <w:rsid w:val="00DD4631"/>
    <w:rsid w:val="00DD736C"/>
    <w:rsid w:val="00DE07CB"/>
    <w:rsid w:val="00DE0C8A"/>
    <w:rsid w:val="00DE257C"/>
    <w:rsid w:val="00DE4C3E"/>
    <w:rsid w:val="00DE6026"/>
    <w:rsid w:val="00DE7129"/>
    <w:rsid w:val="00E029A6"/>
    <w:rsid w:val="00E11ECB"/>
    <w:rsid w:val="00E14150"/>
    <w:rsid w:val="00E154EE"/>
    <w:rsid w:val="00E16CD2"/>
    <w:rsid w:val="00E20720"/>
    <w:rsid w:val="00E24126"/>
    <w:rsid w:val="00E272B9"/>
    <w:rsid w:val="00E33633"/>
    <w:rsid w:val="00E33C7B"/>
    <w:rsid w:val="00E37027"/>
    <w:rsid w:val="00E374C9"/>
    <w:rsid w:val="00E37575"/>
    <w:rsid w:val="00E40A7A"/>
    <w:rsid w:val="00E40DD3"/>
    <w:rsid w:val="00E4198B"/>
    <w:rsid w:val="00E4256F"/>
    <w:rsid w:val="00E428C3"/>
    <w:rsid w:val="00E46691"/>
    <w:rsid w:val="00E46C71"/>
    <w:rsid w:val="00E4768D"/>
    <w:rsid w:val="00E47F72"/>
    <w:rsid w:val="00E5288D"/>
    <w:rsid w:val="00E52A7F"/>
    <w:rsid w:val="00E54912"/>
    <w:rsid w:val="00E55FB3"/>
    <w:rsid w:val="00E56CD9"/>
    <w:rsid w:val="00E6131A"/>
    <w:rsid w:val="00E61DF9"/>
    <w:rsid w:val="00E61FDB"/>
    <w:rsid w:val="00E71164"/>
    <w:rsid w:val="00E7274E"/>
    <w:rsid w:val="00E73603"/>
    <w:rsid w:val="00E74983"/>
    <w:rsid w:val="00E74A41"/>
    <w:rsid w:val="00E74A93"/>
    <w:rsid w:val="00E75C9C"/>
    <w:rsid w:val="00E8058D"/>
    <w:rsid w:val="00E8238D"/>
    <w:rsid w:val="00E84605"/>
    <w:rsid w:val="00E84AC8"/>
    <w:rsid w:val="00E84E9A"/>
    <w:rsid w:val="00E86C7C"/>
    <w:rsid w:val="00E86E86"/>
    <w:rsid w:val="00E87F46"/>
    <w:rsid w:val="00E91AFC"/>
    <w:rsid w:val="00E9260D"/>
    <w:rsid w:val="00EA0A55"/>
    <w:rsid w:val="00EA18AD"/>
    <w:rsid w:val="00EA36E7"/>
    <w:rsid w:val="00EA3F50"/>
    <w:rsid w:val="00EA5F51"/>
    <w:rsid w:val="00EA601F"/>
    <w:rsid w:val="00EA7221"/>
    <w:rsid w:val="00EA7224"/>
    <w:rsid w:val="00EB0EC3"/>
    <w:rsid w:val="00EB278F"/>
    <w:rsid w:val="00EC1E74"/>
    <w:rsid w:val="00EC446F"/>
    <w:rsid w:val="00EC73F1"/>
    <w:rsid w:val="00ED0126"/>
    <w:rsid w:val="00ED12AD"/>
    <w:rsid w:val="00ED26F8"/>
    <w:rsid w:val="00ED5CBA"/>
    <w:rsid w:val="00ED5F75"/>
    <w:rsid w:val="00ED6186"/>
    <w:rsid w:val="00EE3B1C"/>
    <w:rsid w:val="00EE7974"/>
    <w:rsid w:val="00EE7B44"/>
    <w:rsid w:val="00EF2BA4"/>
    <w:rsid w:val="00EF2D95"/>
    <w:rsid w:val="00EF317F"/>
    <w:rsid w:val="00EF60B6"/>
    <w:rsid w:val="00F02386"/>
    <w:rsid w:val="00F145D3"/>
    <w:rsid w:val="00F22B5A"/>
    <w:rsid w:val="00F2594A"/>
    <w:rsid w:val="00F33824"/>
    <w:rsid w:val="00F33AD0"/>
    <w:rsid w:val="00F33B79"/>
    <w:rsid w:val="00F36FF6"/>
    <w:rsid w:val="00F40773"/>
    <w:rsid w:val="00F40B37"/>
    <w:rsid w:val="00F4301F"/>
    <w:rsid w:val="00F51155"/>
    <w:rsid w:val="00F5243A"/>
    <w:rsid w:val="00F52595"/>
    <w:rsid w:val="00F5286B"/>
    <w:rsid w:val="00F52F06"/>
    <w:rsid w:val="00F5402A"/>
    <w:rsid w:val="00F55E18"/>
    <w:rsid w:val="00F61300"/>
    <w:rsid w:val="00F6299A"/>
    <w:rsid w:val="00F6382B"/>
    <w:rsid w:val="00F644D1"/>
    <w:rsid w:val="00F64A03"/>
    <w:rsid w:val="00F66DE2"/>
    <w:rsid w:val="00F67B6E"/>
    <w:rsid w:val="00F77BBD"/>
    <w:rsid w:val="00F82DDC"/>
    <w:rsid w:val="00F84147"/>
    <w:rsid w:val="00F848C2"/>
    <w:rsid w:val="00F873AA"/>
    <w:rsid w:val="00F948A9"/>
    <w:rsid w:val="00F96961"/>
    <w:rsid w:val="00F97863"/>
    <w:rsid w:val="00FA17D9"/>
    <w:rsid w:val="00FA408B"/>
    <w:rsid w:val="00FA704C"/>
    <w:rsid w:val="00FB225D"/>
    <w:rsid w:val="00FB24B7"/>
    <w:rsid w:val="00FB253B"/>
    <w:rsid w:val="00FB4B50"/>
    <w:rsid w:val="00FC18BE"/>
    <w:rsid w:val="00FC5387"/>
    <w:rsid w:val="00FC5BA4"/>
    <w:rsid w:val="00FC6046"/>
    <w:rsid w:val="00FC75BB"/>
    <w:rsid w:val="00FC7687"/>
    <w:rsid w:val="00FD161D"/>
    <w:rsid w:val="00FD2872"/>
    <w:rsid w:val="00FD4B26"/>
    <w:rsid w:val="00FD4DB9"/>
    <w:rsid w:val="00FD5433"/>
    <w:rsid w:val="00FD5AF5"/>
    <w:rsid w:val="00FE177C"/>
    <w:rsid w:val="00FE3675"/>
    <w:rsid w:val="00FE5F7A"/>
    <w:rsid w:val="00FF0F82"/>
    <w:rsid w:val="00FF1DA6"/>
    <w:rsid w:val="00FF32A8"/>
    <w:rsid w:val="00FF405D"/>
    <w:rsid w:val="00FF5A6F"/>
    <w:rsid w:val="00FF72B7"/>
    <w:rsid w:val="5F921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iPriority="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qFormat="1" w:unhideWhenUsed="0" w:uiPriority="0" w:semiHidden="0" w:name="Signature"/>
    <w:lsdException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5">
    <w:name w:val="heading 1"/>
    <w:basedOn w:val="1"/>
    <w:next w:val="1"/>
    <w:link w:val="152"/>
    <w:qFormat/>
    <w:uiPriority w:val="0"/>
    <w:pPr>
      <w:keepNext/>
      <w:spacing w:line="520" w:lineRule="exact"/>
      <w:outlineLvl w:val="0"/>
    </w:pPr>
    <w:rPr>
      <w:rFonts w:ascii="宋体" w:hAnsi="宋体"/>
      <w:sz w:val="28"/>
    </w:rPr>
  </w:style>
  <w:style w:type="paragraph" w:styleId="6">
    <w:name w:val="heading 2"/>
    <w:basedOn w:val="1"/>
    <w:next w:val="1"/>
    <w:link w:val="153"/>
    <w:qFormat/>
    <w:uiPriority w:val="0"/>
    <w:pPr>
      <w:numPr>
        <w:ilvl w:val="1"/>
        <w:numId w:val="1"/>
      </w:numPr>
      <w:tabs>
        <w:tab w:val="left" w:pos="-181"/>
      </w:tabs>
      <w:adjustRightInd w:val="0"/>
      <w:snapToGrid w:val="0"/>
      <w:spacing w:before="312" w:beforeLines="100"/>
      <w:jc w:val="left"/>
      <w:textAlignment w:val="baseline"/>
      <w:outlineLvl w:val="1"/>
    </w:pPr>
    <w:rPr>
      <w:rFonts w:eastAsia="黑体"/>
      <w:kern w:val="0"/>
      <w:sz w:val="30"/>
      <w:szCs w:val="28"/>
    </w:rPr>
  </w:style>
  <w:style w:type="paragraph" w:styleId="7">
    <w:name w:val="heading 3"/>
    <w:basedOn w:val="1"/>
    <w:next w:val="1"/>
    <w:link w:val="154"/>
    <w:qFormat/>
    <w:uiPriority w:val="0"/>
    <w:pPr>
      <w:keepNext/>
      <w:keepLines/>
      <w:numPr>
        <w:ilvl w:val="2"/>
        <w:numId w:val="1"/>
      </w:numPr>
      <w:spacing w:before="260" w:after="260" w:line="416" w:lineRule="auto"/>
      <w:outlineLvl w:val="2"/>
    </w:pPr>
    <w:rPr>
      <w:rFonts w:ascii="宋体" w:hAnsi="宋体"/>
      <w:b/>
      <w:bCs/>
      <w:color w:val="000000"/>
      <w:sz w:val="28"/>
      <w:szCs w:val="32"/>
    </w:rPr>
  </w:style>
  <w:style w:type="paragraph" w:styleId="8">
    <w:name w:val="heading 4"/>
    <w:basedOn w:val="1"/>
    <w:next w:val="1"/>
    <w:link w:val="155"/>
    <w:qFormat/>
    <w:uiPriority w:val="0"/>
    <w:pPr>
      <w:keepNext/>
      <w:tabs>
        <w:tab w:val="left" w:pos="864"/>
      </w:tabs>
      <w:ind w:left="864" w:hanging="864"/>
      <w:jc w:val="center"/>
      <w:outlineLvl w:val="3"/>
    </w:pPr>
    <w:rPr>
      <w:b/>
      <w:bCs/>
    </w:rPr>
  </w:style>
  <w:style w:type="paragraph" w:styleId="9">
    <w:name w:val="heading 5"/>
    <w:basedOn w:val="1"/>
    <w:next w:val="1"/>
    <w:link w:val="156"/>
    <w:qFormat/>
    <w:uiPriority w:val="0"/>
    <w:pPr>
      <w:keepNext/>
      <w:keepLines/>
      <w:tabs>
        <w:tab w:val="left" w:pos="1008"/>
      </w:tabs>
      <w:adjustRightInd w:val="0"/>
      <w:spacing w:before="60" w:after="60"/>
      <w:ind w:left="1008" w:hanging="1008"/>
      <w:jc w:val="left"/>
      <w:textAlignment w:val="baseline"/>
      <w:outlineLvl w:val="4"/>
    </w:pPr>
    <w:rPr>
      <w:rFonts w:eastAsia="黑体"/>
      <w:b/>
      <w:kern w:val="0"/>
      <w:sz w:val="28"/>
      <w:szCs w:val="20"/>
    </w:rPr>
  </w:style>
  <w:style w:type="paragraph" w:styleId="10">
    <w:name w:val="heading 6"/>
    <w:basedOn w:val="1"/>
    <w:next w:val="1"/>
    <w:link w:val="157"/>
    <w:qFormat/>
    <w:uiPriority w:val="0"/>
    <w:pPr>
      <w:keepNext/>
      <w:keepLines/>
      <w:tabs>
        <w:tab w:val="left" w:pos="1152"/>
      </w:tabs>
      <w:adjustRightInd w:val="0"/>
      <w:spacing w:before="60" w:after="60"/>
      <w:ind w:left="1152" w:hanging="1152"/>
      <w:jc w:val="left"/>
      <w:textAlignment w:val="baseline"/>
      <w:outlineLvl w:val="5"/>
    </w:pPr>
    <w:rPr>
      <w:rFonts w:ascii="Arial" w:hAnsi="Arial" w:eastAsia="黑体"/>
      <w:b/>
      <w:kern w:val="0"/>
      <w:szCs w:val="20"/>
    </w:rPr>
  </w:style>
  <w:style w:type="paragraph" w:styleId="11">
    <w:name w:val="heading 7"/>
    <w:basedOn w:val="1"/>
    <w:next w:val="1"/>
    <w:link w:val="158"/>
    <w:qFormat/>
    <w:uiPriority w:val="0"/>
    <w:pPr>
      <w:keepNext/>
      <w:keepLines/>
      <w:tabs>
        <w:tab w:val="left" w:pos="1296"/>
      </w:tabs>
      <w:adjustRightInd w:val="0"/>
      <w:spacing w:before="60" w:after="60"/>
      <w:ind w:left="1296" w:hanging="1296"/>
      <w:jc w:val="left"/>
      <w:textAlignment w:val="baseline"/>
      <w:outlineLvl w:val="6"/>
    </w:pPr>
    <w:rPr>
      <w:rFonts w:ascii="宋体"/>
      <w:b/>
      <w:kern w:val="0"/>
      <w:szCs w:val="20"/>
    </w:rPr>
  </w:style>
  <w:style w:type="paragraph" w:styleId="12">
    <w:name w:val="heading 8"/>
    <w:basedOn w:val="1"/>
    <w:next w:val="1"/>
    <w:link w:val="159"/>
    <w:qFormat/>
    <w:uiPriority w:val="0"/>
    <w:pPr>
      <w:keepNext/>
      <w:keepLines/>
      <w:tabs>
        <w:tab w:val="left" w:pos="1440"/>
      </w:tabs>
      <w:adjustRightInd w:val="0"/>
      <w:spacing w:before="60" w:after="60"/>
      <w:ind w:left="1440" w:hanging="1440"/>
      <w:jc w:val="left"/>
      <w:textAlignment w:val="baseline"/>
      <w:outlineLvl w:val="7"/>
    </w:pPr>
    <w:rPr>
      <w:rFonts w:ascii="Arial" w:hAnsi="Arial" w:eastAsia="黑体"/>
      <w:kern w:val="0"/>
      <w:szCs w:val="20"/>
    </w:rPr>
  </w:style>
  <w:style w:type="paragraph" w:styleId="13">
    <w:name w:val="heading 9"/>
    <w:basedOn w:val="1"/>
    <w:next w:val="1"/>
    <w:link w:val="160"/>
    <w:qFormat/>
    <w:uiPriority w:val="0"/>
    <w:pPr>
      <w:keepNext/>
      <w:keepLines/>
      <w:tabs>
        <w:tab w:val="left" w:pos="1584"/>
      </w:tabs>
      <w:adjustRightInd w:val="0"/>
      <w:spacing w:before="60" w:after="60"/>
      <w:ind w:left="1584" w:hanging="1584"/>
      <w:jc w:val="left"/>
      <w:textAlignment w:val="baseline"/>
      <w:outlineLvl w:val="8"/>
    </w:pPr>
    <w:rPr>
      <w:rFonts w:ascii="Arial" w:hAnsi="Arial" w:eastAsia="黑体"/>
      <w:kern w:val="0"/>
      <w:szCs w:val="20"/>
    </w:rPr>
  </w:style>
  <w:style w:type="character" w:default="1" w:styleId="133">
    <w:name w:val="Default Paragraph Font"/>
    <w:semiHidden/>
    <w:unhideWhenUsed/>
    <w:uiPriority w:val="1"/>
  </w:style>
  <w:style w:type="table" w:default="1" w:styleId="8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51"/>
    <w:qFormat/>
    <w:uiPriority w:val="0"/>
    <w:pPr>
      <w:autoSpaceDE w:val="0"/>
      <w:autoSpaceDN w:val="0"/>
      <w:spacing w:after="0"/>
      <w:ind w:left="0" w:leftChars="0" w:firstLine="420" w:firstLineChars="200"/>
    </w:pPr>
    <w:rPr>
      <w:rFonts w:hint="eastAsia"/>
      <w:color w:val="000000"/>
      <w:szCs w:val="20"/>
    </w:rPr>
  </w:style>
  <w:style w:type="paragraph" w:styleId="3">
    <w:name w:val="Body Text Indent"/>
    <w:basedOn w:val="1"/>
    <w:link w:val="150"/>
    <w:unhideWhenUsed/>
    <w:qFormat/>
    <w:uiPriority w:val="0"/>
    <w:pPr>
      <w:spacing w:after="120"/>
      <w:ind w:left="420" w:leftChars="200"/>
    </w:pPr>
  </w:style>
  <w:style w:type="paragraph" w:styleId="4">
    <w:name w:val="macro"/>
    <w:link w:val="169"/>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4">
    <w:name w:val="List 3"/>
    <w:basedOn w:val="1"/>
    <w:qFormat/>
    <w:uiPriority w:val="0"/>
    <w:pPr>
      <w:spacing w:line="240" w:lineRule="auto"/>
      <w:ind w:left="100" w:leftChars="400" w:hanging="200" w:hangingChars="200"/>
    </w:pPr>
    <w:rPr>
      <w:sz w:val="21"/>
    </w:rPr>
  </w:style>
  <w:style w:type="paragraph" w:styleId="15">
    <w:name w:val="toc 7"/>
    <w:basedOn w:val="1"/>
    <w:next w:val="1"/>
    <w:qFormat/>
    <w:uiPriority w:val="39"/>
    <w:pPr>
      <w:ind w:left="1440"/>
      <w:jc w:val="left"/>
    </w:pPr>
    <w:rPr>
      <w:sz w:val="18"/>
      <w:szCs w:val="18"/>
    </w:rPr>
  </w:style>
  <w:style w:type="paragraph" w:styleId="16">
    <w:name w:val="List Number 2"/>
    <w:basedOn w:val="1"/>
    <w:qFormat/>
    <w:uiPriority w:val="0"/>
    <w:pPr>
      <w:tabs>
        <w:tab w:val="left" w:pos="432"/>
      </w:tabs>
      <w:ind w:left="432" w:hanging="432" w:firstLineChars="200"/>
    </w:pPr>
    <w:rPr>
      <w:szCs w:val="20"/>
    </w:rPr>
  </w:style>
  <w:style w:type="paragraph" w:styleId="17">
    <w:name w:val="table of authorities"/>
    <w:basedOn w:val="1"/>
    <w:next w:val="1"/>
    <w:qFormat/>
    <w:uiPriority w:val="0"/>
    <w:pPr>
      <w:ind w:left="420" w:leftChars="200"/>
    </w:pPr>
  </w:style>
  <w:style w:type="paragraph" w:styleId="18">
    <w:name w:val="Note Heading"/>
    <w:basedOn w:val="1"/>
    <w:next w:val="1"/>
    <w:link w:val="170"/>
    <w:qFormat/>
    <w:uiPriority w:val="0"/>
    <w:pPr>
      <w:jc w:val="center"/>
    </w:pPr>
  </w:style>
  <w:style w:type="paragraph" w:styleId="19">
    <w:name w:val="List Bullet 4"/>
    <w:basedOn w:val="1"/>
    <w:qFormat/>
    <w:uiPriority w:val="0"/>
    <w:pPr>
      <w:tabs>
        <w:tab w:val="left" w:pos="432"/>
      </w:tabs>
      <w:ind w:left="432" w:hanging="432" w:firstLineChars="200"/>
    </w:pPr>
    <w:rPr>
      <w:szCs w:val="20"/>
    </w:rPr>
  </w:style>
  <w:style w:type="paragraph" w:styleId="20">
    <w:name w:val="index 8"/>
    <w:basedOn w:val="1"/>
    <w:next w:val="1"/>
    <w:qFormat/>
    <w:uiPriority w:val="0"/>
    <w:pPr>
      <w:adjustRightInd w:val="0"/>
      <w:snapToGrid w:val="0"/>
      <w:ind w:left="1680" w:hanging="210" w:firstLineChars="200"/>
      <w:jc w:val="left"/>
    </w:pPr>
  </w:style>
  <w:style w:type="paragraph" w:styleId="21">
    <w:name w:val="E-mail Signature"/>
    <w:basedOn w:val="1"/>
    <w:link w:val="171"/>
    <w:qFormat/>
    <w:uiPriority w:val="0"/>
    <w:pPr>
      <w:ind w:firstLine="480" w:firstLineChars="200"/>
    </w:pPr>
    <w:rPr>
      <w:szCs w:val="20"/>
    </w:rPr>
  </w:style>
  <w:style w:type="paragraph" w:styleId="22">
    <w:name w:val="List Number"/>
    <w:basedOn w:val="1"/>
    <w:qFormat/>
    <w:uiPriority w:val="0"/>
    <w:pPr>
      <w:tabs>
        <w:tab w:val="left" w:pos="432"/>
      </w:tabs>
      <w:ind w:left="432" w:hanging="432" w:firstLineChars="200"/>
    </w:pPr>
    <w:rPr>
      <w:szCs w:val="20"/>
    </w:rPr>
  </w:style>
  <w:style w:type="paragraph" w:styleId="23">
    <w:name w:val="Normal Indent"/>
    <w:basedOn w:val="1"/>
    <w:link w:val="172"/>
    <w:qFormat/>
    <w:uiPriority w:val="0"/>
    <w:pPr>
      <w:spacing w:line="240" w:lineRule="auto"/>
      <w:ind w:firstLine="420"/>
    </w:pPr>
    <w:rPr>
      <w:sz w:val="21"/>
      <w:szCs w:val="20"/>
    </w:rPr>
  </w:style>
  <w:style w:type="paragraph" w:styleId="24">
    <w:name w:val="caption"/>
    <w:basedOn w:val="1"/>
    <w:next w:val="1"/>
    <w:link w:val="173"/>
    <w:qFormat/>
    <w:uiPriority w:val="0"/>
    <w:pPr>
      <w:keepNext/>
      <w:jc w:val="center"/>
    </w:pPr>
    <w:rPr>
      <w:rFonts w:cs="Arial"/>
      <w:b/>
      <w:szCs w:val="20"/>
    </w:rPr>
  </w:style>
  <w:style w:type="paragraph" w:styleId="25">
    <w:name w:val="index 5"/>
    <w:basedOn w:val="1"/>
    <w:next w:val="1"/>
    <w:qFormat/>
    <w:uiPriority w:val="0"/>
    <w:pPr>
      <w:spacing w:line="240" w:lineRule="auto"/>
      <w:ind w:left="800" w:leftChars="800" w:firstLine="480" w:firstLineChars="200"/>
    </w:pPr>
    <w:rPr>
      <w:sz w:val="21"/>
    </w:rPr>
  </w:style>
  <w:style w:type="paragraph" w:styleId="26">
    <w:name w:val="List Bullet"/>
    <w:basedOn w:val="1"/>
    <w:qFormat/>
    <w:uiPriority w:val="0"/>
    <w:pPr>
      <w:tabs>
        <w:tab w:val="left" w:pos="432"/>
      </w:tabs>
      <w:ind w:left="432" w:hanging="432" w:firstLineChars="200"/>
    </w:pPr>
    <w:rPr>
      <w:szCs w:val="20"/>
    </w:rPr>
  </w:style>
  <w:style w:type="paragraph" w:styleId="27">
    <w:name w:val="envelope address"/>
    <w:basedOn w:val="1"/>
    <w:qFormat/>
    <w:uiPriority w:val="0"/>
    <w:pPr>
      <w:snapToGrid w:val="0"/>
      <w:ind w:left="100" w:leftChars="1400" w:firstLine="480" w:firstLineChars="200"/>
    </w:pPr>
    <w:rPr>
      <w:rFonts w:ascii="Arial" w:hAnsi="Arial" w:cs="Arial"/>
    </w:rPr>
  </w:style>
  <w:style w:type="paragraph" w:styleId="28">
    <w:name w:val="Document Map"/>
    <w:basedOn w:val="1"/>
    <w:link w:val="174"/>
    <w:qFormat/>
    <w:uiPriority w:val="0"/>
    <w:pPr>
      <w:shd w:val="clear" w:color="auto" w:fill="000080"/>
      <w:spacing w:line="240" w:lineRule="auto"/>
    </w:pPr>
    <w:rPr>
      <w:sz w:val="21"/>
      <w:szCs w:val="20"/>
    </w:rPr>
  </w:style>
  <w:style w:type="paragraph" w:styleId="29">
    <w:name w:val="toa heading"/>
    <w:basedOn w:val="1"/>
    <w:next w:val="1"/>
    <w:qFormat/>
    <w:uiPriority w:val="0"/>
    <w:rPr>
      <w:rFonts w:ascii="Arial" w:hAnsi="Arial" w:cs="Arial"/>
    </w:rPr>
  </w:style>
  <w:style w:type="paragraph" w:styleId="30">
    <w:name w:val="annotation text"/>
    <w:basedOn w:val="1"/>
    <w:link w:val="165"/>
    <w:unhideWhenUsed/>
    <w:qFormat/>
    <w:uiPriority w:val="0"/>
    <w:pPr>
      <w:jc w:val="left"/>
    </w:pPr>
  </w:style>
  <w:style w:type="paragraph" w:styleId="31">
    <w:name w:val="index 6"/>
    <w:basedOn w:val="1"/>
    <w:next w:val="1"/>
    <w:qFormat/>
    <w:uiPriority w:val="0"/>
    <w:pPr>
      <w:adjustRightInd w:val="0"/>
      <w:snapToGrid w:val="0"/>
      <w:ind w:left="1260" w:hanging="210" w:firstLineChars="200"/>
      <w:jc w:val="left"/>
    </w:pPr>
  </w:style>
  <w:style w:type="paragraph" w:styleId="32">
    <w:name w:val="Salutation"/>
    <w:basedOn w:val="1"/>
    <w:next w:val="1"/>
    <w:link w:val="175"/>
    <w:qFormat/>
    <w:uiPriority w:val="0"/>
    <w:pPr>
      <w:spacing w:line="240" w:lineRule="auto"/>
    </w:pPr>
    <w:rPr>
      <w:sz w:val="21"/>
    </w:rPr>
  </w:style>
  <w:style w:type="paragraph" w:styleId="33">
    <w:name w:val="Body Text 3"/>
    <w:basedOn w:val="1"/>
    <w:link w:val="176"/>
    <w:qFormat/>
    <w:uiPriority w:val="0"/>
    <w:pPr>
      <w:spacing w:line="320" w:lineRule="exact"/>
    </w:pPr>
    <w:rPr>
      <w:color w:val="000000"/>
    </w:rPr>
  </w:style>
  <w:style w:type="paragraph" w:styleId="34">
    <w:name w:val="Closing"/>
    <w:basedOn w:val="1"/>
    <w:link w:val="177"/>
    <w:qFormat/>
    <w:uiPriority w:val="0"/>
    <w:pPr>
      <w:ind w:left="100" w:leftChars="2100" w:firstLine="480" w:firstLineChars="200"/>
    </w:pPr>
    <w:rPr>
      <w:szCs w:val="20"/>
    </w:rPr>
  </w:style>
  <w:style w:type="paragraph" w:styleId="35">
    <w:name w:val="List Bullet 3"/>
    <w:basedOn w:val="1"/>
    <w:qFormat/>
    <w:uiPriority w:val="0"/>
    <w:pPr>
      <w:tabs>
        <w:tab w:val="left" w:pos="432"/>
      </w:tabs>
      <w:ind w:left="432" w:hanging="432" w:firstLineChars="200"/>
    </w:pPr>
    <w:rPr>
      <w:szCs w:val="20"/>
    </w:rPr>
  </w:style>
  <w:style w:type="paragraph" w:styleId="36">
    <w:name w:val="Body Text"/>
    <w:basedOn w:val="1"/>
    <w:link w:val="167"/>
    <w:unhideWhenUsed/>
    <w:qFormat/>
    <w:uiPriority w:val="0"/>
    <w:pPr>
      <w:spacing w:after="120"/>
    </w:pPr>
  </w:style>
  <w:style w:type="paragraph" w:styleId="37">
    <w:name w:val="List Number 3"/>
    <w:basedOn w:val="1"/>
    <w:qFormat/>
    <w:uiPriority w:val="0"/>
    <w:pPr>
      <w:tabs>
        <w:tab w:val="left" w:pos="432"/>
      </w:tabs>
      <w:ind w:left="432" w:hanging="432" w:firstLineChars="200"/>
    </w:pPr>
    <w:rPr>
      <w:szCs w:val="20"/>
    </w:rPr>
  </w:style>
  <w:style w:type="paragraph" w:styleId="38">
    <w:name w:val="List 2"/>
    <w:basedOn w:val="1"/>
    <w:link w:val="3246"/>
    <w:qFormat/>
    <w:uiPriority w:val="0"/>
    <w:pPr>
      <w:ind w:left="100" w:leftChars="200" w:hanging="200" w:hangingChars="200"/>
    </w:pPr>
    <w:rPr>
      <w:szCs w:val="20"/>
    </w:rPr>
  </w:style>
  <w:style w:type="paragraph" w:styleId="39">
    <w:name w:val="List Continue"/>
    <w:basedOn w:val="1"/>
    <w:qFormat/>
    <w:uiPriority w:val="0"/>
    <w:pPr>
      <w:spacing w:after="120"/>
      <w:ind w:left="420" w:leftChars="200" w:firstLine="480" w:firstLineChars="200"/>
    </w:pPr>
    <w:rPr>
      <w:szCs w:val="20"/>
    </w:rPr>
  </w:style>
  <w:style w:type="paragraph" w:styleId="40">
    <w:name w:val="Block Text"/>
    <w:basedOn w:val="1"/>
    <w:qFormat/>
    <w:uiPriority w:val="0"/>
    <w:pPr>
      <w:spacing w:line="480" w:lineRule="exact"/>
      <w:ind w:left="181" w:leftChars="86" w:right="145" w:rightChars="69" w:firstLine="480" w:firstLineChars="200"/>
    </w:pPr>
    <w:rPr>
      <w:szCs w:val="20"/>
    </w:rPr>
  </w:style>
  <w:style w:type="paragraph" w:styleId="41">
    <w:name w:val="List Bullet 2"/>
    <w:basedOn w:val="1"/>
    <w:qFormat/>
    <w:uiPriority w:val="0"/>
    <w:pPr>
      <w:tabs>
        <w:tab w:val="left" w:pos="432"/>
      </w:tabs>
      <w:ind w:left="432" w:hanging="432" w:firstLineChars="200"/>
    </w:pPr>
    <w:rPr>
      <w:szCs w:val="20"/>
    </w:rPr>
  </w:style>
  <w:style w:type="paragraph" w:styleId="42">
    <w:name w:val="HTML Address"/>
    <w:basedOn w:val="1"/>
    <w:link w:val="178"/>
    <w:qFormat/>
    <w:uiPriority w:val="0"/>
    <w:pPr>
      <w:ind w:firstLine="480" w:firstLineChars="200"/>
    </w:pPr>
    <w:rPr>
      <w:i/>
      <w:iCs/>
      <w:szCs w:val="20"/>
    </w:rPr>
  </w:style>
  <w:style w:type="paragraph" w:styleId="43">
    <w:name w:val="index 4"/>
    <w:basedOn w:val="1"/>
    <w:next w:val="1"/>
    <w:qFormat/>
    <w:uiPriority w:val="0"/>
    <w:pPr>
      <w:spacing w:line="240" w:lineRule="auto"/>
      <w:ind w:left="600" w:leftChars="600" w:firstLine="480" w:firstLineChars="200"/>
    </w:pPr>
    <w:rPr>
      <w:sz w:val="21"/>
    </w:rPr>
  </w:style>
  <w:style w:type="paragraph" w:styleId="44">
    <w:name w:val="toc 5"/>
    <w:basedOn w:val="1"/>
    <w:next w:val="1"/>
    <w:qFormat/>
    <w:uiPriority w:val="39"/>
    <w:pPr>
      <w:ind w:left="960"/>
      <w:jc w:val="left"/>
    </w:pPr>
    <w:rPr>
      <w:sz w:val="18"/>
      <w:szCs w:val="18"/>
    </w:rPr>
  </w:style>
  <w:style w:type="paragraph" w:styleId="45">
    <w:name w:val="toc 3"/>
    <w:basedOn w:val="1"/>
    <w:next w:val="1"/>
    <w:qFormat/>
    <w:uiPriority w:val="39"/>
    <w:pPr>
      <w:ind w:left="480"/>
      <w:jc w:val="left"/>
    </w:pPr>
    <w:rPr>
      <w:i/>
      <w:iCs/>
      <w:sz w:val="20"/>
      <w:szCs w:val="20"/>
    </w:rPr>
  </w:style>
  <w:style w:type="paragraph" w:styleId="46">
    <w:name w:val="Plain Text"/>
    <w:basedOn w:val="1"/>
    <w:link w:val="179"/>
    <w:qFormat/>
    <w:uiPriority w:val="0"/>
    <w:rPr>
      <w:rFonts w:ascii="宋体" w:hAnsi="Courier New"/>
      <w:szCs w:val="21"/>
    </w:rPr>
  </w:style>
  <w:style w:type="paragraph" w:styleId="47">
    <w:name w:val="List Bullet 5"/>
    <w:basedOn w:val="1"/>
    <w:qFormat/>
    <w:uiPriority w:val="0"/>
    <w:pPr>
      <w:tabs>
        <w:tab w:val="left" w:pos="432"/>
      </w:tabs>
      <w:ind w:left="432" w:hanging="432" w:firstLineChars="200"/>
    </w:pPr>
    <w:rPr>
      <w:szCs w:val="20"/>
    </w:rPr>
  </w:style>
  <w:style w:type="paragraph" w:styleId="48">
    <w:name w:val="List Number 4"/>
    <w:basedOn w:val="1"/>
    <w:qFormat/>
    <w:uiPriority w:val="0"/>
    <w:pPr>
      <w:tabs>
        <w:tab w:val="left" w:pos="432"/>
      </w:tabs>
      <w:ind w:left="432" w:hanging="432" w:firstLineChars="200"/>
    </w:pPr>
    <w:rPr>
      <w:szCs w:val="20"/>
    </w:rPr>
  </w:style>
  <w:style w:type="paragraph" w:styleId="49">
    <w:name w:val="toc 8"/>
    <w:basedOn w:val="1"/>
    <w:next w:val="1"/>
    <w:qFormat/>
    <w:uiPriority w:val="39"/>
    <w:pPr>
      <w:ind w:left="1680"/>
      <w:jc w:val="left"/>
    </w:pPr>
    <w:rPr>
      <w:sz w:val="18"/>
      <w:szCs w:val="18"/>
    </w:rPr>
  </w:style>
  <w:style w:type="paragraph" w:styleId="50">
    <w:name w:val="index 3"/>
    <w:basedOn w:val="1"/>
    <w:next w:val="1"/>
    <w:qFormat/>
    <w:uiPriority w:val="0"/>
    <w:pPr>
      <w:spacing w:line="240" w:lineRule="auto"/>
      <w:jc w:val="center"/>
    </w:pPr>
  </w:style>
  <w:style w:type="paragraph" w:styleId="51">
    <w:name w:val="Date"/>
    <w:basedOn w:val="1"/>
    <w:next w:val="1"/>
    <w:link w:val="180"/>
    <w:qFormat/>
    <w:uiPriority w:val="0"/>
    <w:pPr>
      <w:ind w:left="100" w:leftChars="2500"/>
    </w:pPr>
    <w:rPr>
      <w:rFonts w:ascii="宋体" w:hAnsi="宋体"/>
      <w:sz w:val="28"/>
    </w:rPr>
  </w:style>
  <w:style w:type="paragraph" w:styleId="52">
    <w:name w:val="Body Text Indent 2"/>
    <w:basedOn w:val="1"/>
    <w:link w:val="181"/>
    <w:qFormat/>
    <w:uiPriority w:val="0"/>
    <w:pPr>
      <w:spacing w:line="600" w:lineRule="exact"/>
      <w:ind w:firstLine="578"/>
    </w:pPr>
    <w:rPr>
      <w:rFonts w:ascii="宋体" w:hAnsi="宋体"/>
      <w:sz w:val="28"/>
    </w:rPr>
  </w:style>
  <w:style w:type="paragraph" w:styleId="53">
    <w:name w:val="endnote text"/>
    <w:basedOn w:val="1"/>
    <w:link w:val="182"/>
    <w:qFormat/>
    <w:uiPriority w:val="0"/>
    <w:pPr>
      <w:adjustRightInd w:val="0"/>
      <w:snapToGrid w:val="0"/>
      <w:spacing w:before="60" w:line="240" w:lineRule="auto"/>
      <w:jc w:val="left"/>
      <w:textAlignment w:val="baseline"/>
    </w:pPr>
    <w:rPr>
      <w:szCs w:val="20"/>
    </w:rPr>
  </w:style>
  <w:style w:type="paragraph" w:styleId="54">
    <w:name w:val="List Continue 5"/>
    <w:basedOn w:val="1"/>
    <w:qFormat/>
    <w:uiPriority w:val="0"/>
    <w:pPr>
      <w:spacing w:after="120"/>
      <w:ind w:left="2100" w:leftChars="1000" w:firstLine="480" w:firstLineChars="200"/>
    </w:pPr>
    <w:rPr>
      <w:szCs w:val="20"/>
    </w:rPr>
  </w:style>
  <w:style w:type="paragraph" w:styleId="55">
    <w:name w:val="Balloon Text"/>
    <w:basedOn w:val="1"/>
    <w:link w:val="183"/>
    <w:qFormat/>
    <w:uiPriority w:val="0"/>
    <w:pPr>
      <w:spacing w:line="240" w:lineRule="auto"/>
    </w:pPr>
    <w:rPr>
      <w:sz w:val="18"/>
      <w:szCs w:val="18"/>
    </w:rPr>
  </w:style>
  <w:style w:type="paragraph" w:styleId="56">
    <w:name w:val="footer"/>
    <w:basedOn w:val="1"/>
    <w:link w:val="162"/>
    <w:unhideWhenUsed/>
    <w:qFormat/>
    <w:uiPriority w:val="99"/>
    <w:pPr>
      <w:tabs>
        <w:tab w:val="center" w:pos="4153"/>
        <w:tab w:val="right" w:pos="8306"/>
      </w:tabs>
      <w:snapToGrid w:val="0"/>
      <w:jc w:val="left"/>
    </w:pPr>
    <w:rPr>
      <w:sz w:val="18"/>
      <w:szCs w:val="18"/>
    </w:rPr>
  </w:style>
  <w:style w:type="paragraph" w:styleId="57">
    <w:name w:val="envelope return"/>
    <w:basedOn w:val="1"/>
    <w:qFormat/>
    <w:uiPriority w:val="0"/>
    <w:pPr>
      <w:snapToGrid w:val="0"/>
      <w:ind w:firstLine="480" w:firstLineChars="200"/>
    </w:pPr>
    <w:rPr>
      <w:rFonts w:ascii="Arial" w:hAnsi="Arial" w:cs="Arial"/>
      <w:szCs w:val="20"/>
    </w:rPr>
  </w:style>
  <w:style w:type="paragraph" w:styleId="58">
    <w:name w:val="header"/>
    <w:basedOn w:val="1"/>
    <w:link w:val="161"/>
    <w:unhideWhenUsed/>
    <w:qFormat/>
    <w:uiPriority w:val="99"/>
    <w:pPr>
      <w:pBdr>
        <w:bottom w:val="single" w:color="auto" w:sz="6" w:space="1"/>
      </w:pBdr>
      <w:tabs>
        <w:tab w:val="center" w:pos="4153"/>
        <w:tab w:val="right" w:pos="8306"/>
      </w:tabs>
      <w:snapToGrid w:val="0"/>
      <w:jc w:val="center"/>
    </w:pPr>
    <w:rPr>
      <w:sz w:val="18"/>
      <w:szCs w:val="18"/>
    </w:rPr>
  </w:style>
  <w:style w:type="paragraph" w:styleId="59">
    <w:name w:val="Signature"/>
    <w:basedOn w:val="1"/>
    <w:link w:val="184"/>
    <w:qFormat/>
    <w:uiPriority w:val="0"/>
    <w:pPr>
      <w:ind w:left="100" w:leftChars="2100" w:firstLine="480" w:firstLineChars="200"/>
    </w:pPr>
    <w:rPr>
      <w:szCs w:val="20"/>
    </w:rPr>
  </w:style>
  <w:style w:type="paragraph" w:styleId="60">
    <w:name w:val="toc 1"/>
    <w:basedOn w:val="1"/>
    <w:next w:val="1"/>
    <w:qFormat/>
    <w:uiPriority w:val="39"/>
    <w:pPr>
      <w:spacing w:line="240" w:lineRule="auto"/>
      <w:jc w:val="left"/>
    </w:pPr>
    <w:rPr>
      <w:rFonts w:eastAsia="黑体"/>
      <w:b/>
      <w:bCs/>
      <w:caps/>
      <w:sz w:val="28"/>
      <w:szCs w:val="20"/>
    </w:rPr>
  </w:style>
  <w:style w:type="paragraph" w:styleId="61">
    <w:name w:val="List Continue 4"/>
    <w:basedOn w:val="1"/>
    <w:qFormat/>
    <w:uiPriority w:val="0"/>
    <w:pPr>
      <w:spacing w:after="120"/>
      <w:ind w:left="1680" w:leftChars="800" w:firstLine="480" w:firstLineChars="200"/>
    </w:pPr>
    <w:rPr>
      <w:szCs w:val="20"/>
    </w:rPr>
  </w:style>
  <w:style w:type="paragraph" w:styleId="62">
    <w:name w:val="toc 4"/>
    <w:basedOn w:val="1"/>
    <w:next w:val="1"/>
    <w:qFormat/>
    <w:uiPriority w:val="39"/>
    <w:pPr>
      <w:ind w:left="720"/>
      <w:jc w:val="left"/>
    </w:pPr>
    <w:rPr>
      <w:sz w:val="18"/>
      <w:szCs w:val="18"/>
    </w:rPr>
  </w:style>
  <w:style w:type="paragraph" w:styleId="63">
    <w:name w:val="index heading"/>
    <w:basedOn w:val="1"/>
    <w:next w:val="64"/>
    <w:qFormat/>
    <w:uiPriority w:val="0"/>
    <w:pPr>
      <w:spacing w:line="240" w:lineRule="auto"/>
    </w:pPr>
    <w:rPr>
      <w:sz w:val="21"/>
    </w:rPr>
  </w:style>
  <w:style w:type="paragraph" w:styleId="64">
    <w:name w:val="index 1"/>
    <w:basedOn w:val="1"/>
    <w:next w:val="1"/>
    <w:unhideWhenUsed/>
    <w:qFormat/>
    <w:uiPriority w:val="0"/>
  </w:style>
  <w:style w:type="paragraph" w:styleId="65">
    <w:name w:val="Subtitle"/>
    <w:basedOn w:val="1"/>
    <w:link w:val="185"/>
    <w:qFormat/>
    <w:uiPriority w:val="0"/>
    <w:pPr>
      <w:spacing w:before="240" w:after="60" w:line="312" w:lineRule="auto"/>
      <w:ind w:firstLine="480" w:firstLineChars="200"/>
      <w:jc w:val="center"/>
      <w:outlineLvl w:val="1"/>
    </w:pPr>
    <w:rPr>
      <w:rFonts w:ascii="Arial" w:hAnsi="Arial" w:cs="Arial"/>
      <w:b/>
      <w:bCs/>
      <w:kern w:val="28"/>
      <w:sz w:val="32"/>
      <w:szCs w:val="32"/>
    </w:rPr>
  </w:style>
  <w:style w:type="paragraph" w:styleId="66">
    <w:name w:val="List Number 5"/>
    <w:basedOn w:val="1"/>
    <w:qFormat/>
    <w:uiPriority w:val="0"/>
    <w:pPr>
      <w:tabs>
        <w:tab w:val="left" w:pos="432"/>
      </w:tabs>
      <w:ind w:left="432" w:hanging="432" w:firstLineChars="200"/>
    </w:pPr>
    <w:rPr>
      <w:szCs w:val="20"/>
    </w:rPr>
  </w:style>
  <w:style w:type="paragraph" w:styleId="67">
    <w:name w:val="List"/>
    <w:basedOn w:val="1"/>
    <w:link w:val="3226"/>
    <w:qFormat/>
    <w:uiPriority w:val="0"/>
    <w:pPr>
      <w:spacing w:line="240" w:lineRule="auto"/>
      <w:ind w:left="200" w:hanging="200" w:hangingChars="200"/>
    </w:pPr>
    <w:rPr>
      <w:sz w:val="21"/>
      <w:szCs w:val="20"/>
    </w:rPr>
  </w:style>
  <w:style w:type="paragraph" w:styleId="68">
    <w:name w:val="footnote text"/>
    <w:basedOn w:val="1"/>
    <w:link w:val="186"/>
    <w:qFormat/>
    <w:uiPriority w:val="0"/>
    <w:pPr>
      <w:snapToGrid w:val="0"/>
      <w:spacing w:line="240" w:lineRule="auto"/>
      <w:jc w:val="left"/>
    </w:pPr>
    <w:rPr>
      <w:sz w:val="18"/>
      <w:szCs w:val="18"/>
    </w:rPr>
  </w:style>
  <w:style w:type="paragraph" w:styleId="69">
    <w:name w:val="toc 6"/>
    <w:basedOn w:val="1"/>
    <w:next w:val="1"/>
    <w:qFormat/>
    <w:uiPriority w:val="39"/>
    <w:pPr>
      <w:ind w:left="1200"/>
      <w:jc w:val="left"/>
    </w:pPr>
    <w:rPr>
      <w:sz w:val="18"/>
      <w:szCs w:val="18"/>
    </w:rPr>
  </w:style>
  <w:style w:type="paragraph" w:styleId="70">
    <w:name w:val="List 5"/>
    <w:basedOn w:val="1"/>
    <w:qFormat/>
    <w:uiPriority w:val="0"/>
    <w:pPr>
      <w:ind w:left="100" w:leftChars="800" w:hanging="200" w:hangingChars="200"/>
    </w:pPr>
    <w:rPr>
      <w:szCs w:val="20"/>
    </w:rPr>
  </w:style>
  <w:style w:type="paragraph" w:styleId="71">
    <w:name w:val="Body Text Indent 3"/>
    <w:basedOn w:val="1"/>
    <w:link w:val="187"/>
    <w:qFormat/>
    <w:uiPriority w:val="0"/>
    <w:pPr>
      <w:spacing w:line="600" w:lineRule="exact"/>
      <w:ind w:firstLine="630"/>
    </w:pPr>
    <w:rPr>
      <w:bCs/>
      <w:sz w:val="28"/>
    </w:rPr>
  </w:style>
  <w:style w:type="paragraph" w:styleId="72">
    <w:name w:val="index 7"/>
    <w:basedOn w:val="1"/>
    <w:next w:val="1"/>
    <w:qFormat/>
    <w:uiPriority w:val="0"/>
    <w:pPr>
      <w:adjustRightInd w:val="0"/>
      <w:snapToGrid w:val="0"/>
      <w:ind w:left="1470" w:hanging="210" w:firstLineChars="200"/>
      <w:jc w:val="left"/>
    </w:pPr>
  </w:style>
  <w:style w:type="paragraph" w:styleId="73">
    <w:name w:val="index 9"/>
    <w:basedOn w:val="1"/>
    <w:next w:val="1"/>
    <w:qFormat/>
    <w:uiPriority w:val="0"/>
    <w:pPr>
      <w:adjustRightInd w:val="0"/>
      <w:snapToGrid w:val="0"/>
      <w:ind w:left="1890" w:hanging="210" w:firstLineChars="200"/>
      <w:jc w:val="left"/>
    </w:pPr>
  </w:style>
  <w:style w:type="paragraph" w:styleId="74">
    <w:name w:val="table of figures"/>
    <w:basedOn w:val="18"/>
    <w:next w:val="5"/>
    <w:qFormat/>
    <w:uiPriority w:val="0"/>
    <w:pPr>
      <w:ind w:left="480" w:hanging="480"/>
      <w:jc w:val="left"/>
    </w:pPr>
    <w:rPr>
      <w:smallCaps/>
      <w:sz w:val="20"/>
      <w:szCs w:val="20"/>
    </w:rPr>
  </w:style>
  <w:style w:type="paragraph" w:styleId="75">
    <w:name w:val="toc 2"/>
    <w:basedOn w:val="1"/>
    <w:next w:val="1"/>
    <w:qFormat/>
    <w:uiPriority w:val="39"/>
    <w:pPr>
      <w:adjustRightInd w:val="0"/>
      <w:snapToGrid w:val="0"/>
      <w:spacing w:line="240" w:lineRule="auto"/>
      <w:ind w:firstLine="200" w:firstLineChars="200"/>
      <w:jc w:val="left"/>
    </w:pPr>
    <w:rPr>
      <w:smallCaps/>
      <w:szCs w:val="20"/>
    </w:rPr>
  </w:style>
  <w:style w:type="paragraph" w:styleId="76">
    <w:name w:val="toc 9"/>
    <w:basedOn w:val="1"/>
    <w:next w:val="1"/>
    <w:qFormat/>
    <w:uiPriority w:val="39"/>
    <w:pPr>
      <w:ind w:left="1920"/>
      <w:jc w:val="left"/>
    </w:pPr>
    <w:rPr>
      <w:sz w:val="18"/>
      <w:szCs w:val="18"/>
    </w:rPr>
  </w:style>
  <w:style w:type="paragraph" w:styleId="77">
    <w:name w:val="Body Text 2"/>
    <w:basedOn w:val="1"/>
    <w:link w:val="188"/>
    <w:qFormat/>
    <w:uiPriority w:val="0"/>
    <w:pPr>
      <w:spacing w:line="320" w:lineRule="exact"/>
      <w:jc w:val="left"/>
    </w:pPr>
  </w:style>
  <w:style w:type="paragraph" w:styleId="78">
    <w:name w:val="List 4"/>
    <w:basedOn w:val="1"/>
    <w:qFormat/>
    <w:uiPriority w:val="0"/>
    <w:pPr>
      <w:ind w:left="100" w:leftChars="600" w:hanging="200" w:hangingChars="200"/>
    </w:pPr>
    <w:rPr>
      <w:szCs w:val="20"/>
    </w:rPr>
  </w:style>
  <w:style w:type="paragraph" w:styleId="79">
    <w:name w:val="List Continue 2"/>
    <w:basedOn w:val="1"/>
    <w:qFormat/>
    <w:uiPriority w:val="0"/>
    <w:pPr>
      <w:spacing w:after="120"/>
      <w:ind w:left="840" w:leftChars="400" w:firstLine="480" w:firstLineChars="200"/>
    </w:pPr>
    <w:rPr>
      <w:szCs w:val="20"/>
    </w:rPr>
  </w:style>
  <w:style w:type="paragraph" w:styleId="80">
    <w:name w:val="Message Header"/>
    <w:basedOn w:val="1"/>
    <w:link w:val="18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rPr>
  </w:style>
  <w:style w:type="paragraph" w:styleId="81">
    <w:name w:val="HTML Preformatted"/>
    <w:basedOn w:val="1"/>
    <w:link w:val="1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w:hAnsi="Arial" w:cs="Arial"/>
      <w:kern w:val="0"/>
    </w:rPr>
  </w:style>
  <w:style w:type="paragraph" w:styleId="82">
    <w:name w:val="Normal (Web)"/>
    <w:basedOn w:val="1"/>
    <w:qFormat/>
    <w:uiPriority w:val="0"/>
    <w:pPr>
      <w:widowControl/>
      <w:spacing w:before="100" w:beforeAutospacing="1" w:after="100" w:afterAutospacing="1"/>
      <w:jc w:val="left"/>
    </w:pPr>
    <w:rPr>
      <w:rFonts w:ascii="宋体" w:hAnsi="宋体"/>
      <w:kern w:val="0"/>
    </w:rPr>
  </w:style>
  <w:style w:type="paragraph" w:styleId="83">
    <w:name w:val="List Continue 3"/>
    <w:basedOn w:val="1"/>
    <w:qFormat/>
    <w:uiPriority w:val="0"/>
    <w:pPr>
      <w:spacing w:after="120" w:line="240" w:lineRule="auto"/>
      <w:ind w:left="1260" w:leftChars="600"/>
    </w:pPr>
    <w:rPr>
      <w:sz w:val="21"/>
    </w:rPr>
  </w:style>
  <w:style w:type="paragraph" w:styleId="84">
    <w:name w:val="index 2"/>
    <w:basedOn w:val="1"/>
    <w:next w:val="1"/>
    <w:qFormat/>
    <w:uiPriority w:val="0"/>
    <w:pPr>
      <w:adjustRightInd w:val="0"/>
      <w:snapToGrid w:val="0"/>
      <w:ind w:left="420" w:hanging="210" w:firstLineChars="200"/>
      <w:jc w:val="left"/>
    </w:pPr>
  </w:style>
  <w:style w:type="paragraph" w:styleId="85">
    <w:name w:val="Title"/>
    <w:basedOn w:val="1"/>
    <w:link w:val="191"/>
    <w:qFormat/>
    <w:uiPriority w:val="10"/>
    <w:pPr>
      <w:spacing w:before="240" w:after="60"/>
      <w:ind w:firstLine="480" w:firstLineChars="200"/>
      <w:jc w:val="center"/>
      <w:outlineLvl w:val="0"/>
    </w:pPr>
    <w:rPr>
      <w:rFonts w:ascii="Arial" w:hAnsi="Arial" w:cs="Arial"/>
      <w:b/>
      <w:bCs/>
      <w:sz w:val="32"/>
      <w:szCs w:val="32"/>
    </w:rPr>
  </w:style>
  <w:style w:type="paragraph" w:styleId="86">
    <w:name w:val="annotation subject"/>
    <w:basedOn w:val="1"/>
    <w:next w:val="1"/>
    <w:link w:val="166"/>
    <w:qFormat/>
    <w:uiPriority w:val="0"/>
    <w:pPr>
      <w:ind w:firstLine="480" w:firstLineChars="200"/>
      <w:jc w:val="left"/>
    </w:pPr>
    <w:rPr>
      <w:b/>
      <w:bCs/>
      <w:szCs w:val="20"/>
    </w:rPr>
  </w:style>
  <w:style w:type="paragraph" w:styleId="87">
    <w:name w:val="Body Text First Indent"/>
    <w:basedOn w:val="36"/>
    <w:link w:val="168"/>
    <w:qFormat/>
    <w:uiPriority w:val="0"/>
    <w:pPr>
      <w:ind w:firstLine="420" w:firstLineChars="100"/>
    </w:pPr>
  </w:style>
  <w:style w:type="table" w:styleId="89">
    <w:name w:val="Table Grid"/>
    <w:basedOn w:val="8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uiPriority w:val="0"/>
    <w:pPr>
      <w:spacing w:line="520" w:lineRule="exact"/>
      <w:ind w:firstLine="700" w:firstLineChars="250"/>
      <w:jc w:val="both"/>
    </w:pPr>
    <w:rPr>
      <w:rFonts w:ascii="Times New Roman" w:hAnsi="Times New Roman" w:eastAsia="宋体" w:cs="Times New Roman"/>
      <w:color w:val="FFFFFF"/>
      <w:kern w:val="0"/>
      <w:sz w:val="20"/>
      <w:szCs w:val="20"/>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uiPriority w:val="0"/>
    <w:pPr>
      <w:widowControl w:val="0"/>
      <w:jc w:val="both"/>
    </w:pPr>
    <w:rPr>
      <w:rFonts w:ascii="Times New Roman" w:hAnsi="Times New Roman" w:eastAsia="宋体" w:cs="Times New Roman"/>
      <w:kern w:val="0"/>
      <w:sz w:val="20"/>
      <w:szCs w:val="20"/>
    </w:r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uiPriority w:val="0"/>
    <w:pPr>
      <w:widowControl w:val="0"/>
      <w:jc w:val="both"/>
    </w:pPr>
    <w:rPr>
      <w:rFonts w:ascii="Times New Roman" w:hAnsi="Times New Roman" w:eastAsia="宋体" w:cs="Times New Roman"/>
      <w:kern w:val="0"/>
      <w:sz w:val="20"/>
      <w:szCs w:val="20"/>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uiPriority w:val="0"/>
    <w:pPr>
      <w:widowControl w:val="0"/>
      <w:jc w:val="both"/>
    </w:pPr>
    <w:rPr>
      <w:rFonts w:ascii="Times New Roman" w:hAnsi="Times New Roman" w:eastAsia="宋体" w:cs="Times New Roman"/>
      <w:color w:val="000080"/>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uiPriority w:val="0"/>
    <w:pPr>
      <w:widowControl w:val="0"/>
      <w:jc w:val="both"/>
    </w:pPr>
    <w:rPr>
      <w:rFonts w:ascii="Times New Roman" w:hAnsi="Times New Roman" w:eastAsia="宋体" w:cs="Times New Roman"/>
      <w:kern w:val="0"/>
      <w:sz w:val="20"/>
      <w:szCs w:val="20"/>
    </w:r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uiPriority w:val="0"/>
    <w:pPr>
      <w:widowControl w:val="0"/>
      <w:jc w:val="both"/>
    </w:pPr>
    <w:rPr>
      <w:rFonts w:ascii="Times New Roman" w:hAnsi="Times New Roman" w:eastAsia="宋体" w:cs="Times New Roman"/>
      <w:kern w:val="0"/>
      <w:sz w:val="20"/>
      <w:szCs w:val="20"/>
    </w:r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uiPriority w:val="0"/>
    <w:pPr>
      <w:widowControl w:val="0"/>
      <w:jc w:val="both"/>
    </w:pPr>
    <w:rPr>
      <w:rFonts w:ascii="Times New Roman" w:hAnsi="Times New Roman" w:eastAsia="宋体" w:cs="Times New Roman"/>
      <w:kern w:val="0"/>
      <w:sz w:val="20"/>
      <w:szCs w:val="20"/>
    </w:r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uiPriority w:val="0"/>
    <w:pPr>
      <w:widowControl w:val="0"/>
      <w:jc w:val="both"/>
    </w:pPr>
    <w:rPr>
      <w:rFonts w:ascii="Times New Roman" w:hAnsi="Times New Roman" w:eastAsia="宋体" w:cs="Times New Roman"/>
      <w:kern w:val="0"/>
      <w:sz w:val="20"/>
      <w:szCs w:val="20"/>
    </w:r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uiPriority w:val="0"/>
    <w:pPr>
      <w:widowControl w:val="0"/>
      <w:jc w:val="both"/>
    </w:pPr>
    <w:rPr>
      <w:rFonts w:ascii="Times New Roman" w:hAnsi="Times New Roman" w:eastAsia="宋体" w:cs="Times New Roman"/>
      <w:kern w:val="0"/>
      <w:sz w:val="20"/>
      <w:szCs w:val="20"/>
    </w:r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uiPriority w:val="0"/>
    <w:pPr>
      <w:widowControl w:val="0"/>
      <w:jc w:val="both"/>
    </w:pPr>
    <w:rPr>
      <w:rFonts w:ascii="Times New Roman" w:hAnsi="Times New Roman" w:eastAsia="宋体" w:cs="Times New Roman"/>
      <w:kern w:val="0"/>
      <w:sz w:val="20"/>
      <w:szCs w:val="20"/>
    </w:r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uiPriority w:val="0"/>
    <w:pPr>
      <w:widowControl w:val="0"/>
      <w:jc w:val="both"/>
    </w:pPr>
    <w:rPr>
      <w:rFonts w:ascii="Times New Roman" w:hAnsi="Times New Roman" w:eastAsia="宋体" w:cs="Times New Roman"/>
      <w:b/>
      <w:bCs/>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uiPriority w:val="0"/>
    <w:pPr>
      <w:widowControl w:val="0"/>
      <w:jc w:val="both"/>
    </w:pPr>
    <w:rPr>
      <w:rFonts w:ascii="Times New Roman" w:hAnsi="Times New Roman" w:eastAsia="宋体" w:cs="Times New Roman"/>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uiPriority w:val="0"/>
    <w:pPr>
      <w:tabs>
        <w:tab w:val="left" w:pos="8820"/>
      </w:tabs>
      <w:spacing w:line="560" w:lineRule="exact"/>
      <w:ind w:firstLine="560" w:firstLineChars="200"/>
    </w:pPr>
    <w:rPr>
      <w:rFonts w:ascii="Times New Roman" w:hAnsi="Times New Roman" w:eastAsia="宋体" w:cs="Times New Roman"/>
      <w:kern w:val="0"/>
      <w:sz w:val="20"/>
      <w:szCs w:val="20"/>
    </w:r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uiPriority w:val="0"/>
    <w:pPr>
      <w:widowControl w:val="0"/>
      <w:jc w:val="both"/>
    </w:pPr>
    <w:rPr>
      <w:rFonts w:ascii="Times New Roman" w:hAnsi="Times New Roman" w:eastAsia="宋体" w:cs="Times New Roman"/>
      <w:b/>
      <w:bCs/>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uiPriority w:val="0"/>
    <w:pPr>
      <w:widowControl w:val="0"/>
      <w:jc w:val="both"/>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uiPriority w:val="0"/>
    <w:pPr>
      <w:widowControl w:val="0"/>
      <w:jc w:val="both"/>
    </w:pPr>
    <w:rPr>
      <w:rFonts w:ascii="Times New Roman" w:hAnsi="Times New Roman" w:eastAsia="宋体" w:cs="Times New Roman"/>
      <w:kern w:val="0"/>
      <w:sz w:val="20"/>
      <w:szCs w:val="20"/>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uiPriority w:val="0"/>
    <w:pPr>
      <w:widowControl w:val="0"/>
      <w:jc w:val="both"/>
    </w:pPr>
    <w:rPr>
      <w:rFonts w:ascii="Times New Roman" w:hAnsi="Times New Roman" w:eastAsia="宋体" w:cs="Times New Roman"/>
      <w:kern w:val="0"/>
      <w:sz w:val="20"/>
      <w:szCs w:val="20"/>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iPriority w:val="0"/>
    <w:pPr>
      <w:widowControl w:val="0"/>
      <w:jc w:val="both"/>
    </w:pPr>
    <w:rPr>
      <w:rFonts w:ascii="Times New Roman" w:hAnsi="Times New Roman" w:eastAsia="宋体" w:cs="Times New Roman"/>
      <w:kern w:val="0"/>
      <w:sz w:val="20"/>
      <w:szCs w:val="20"/>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character" w:styleId="134">
    <w:name w:val="Strong"/>
    <w:qFormat/>
    <w:uiPriority w:val="22"/>
    <w:rPr>
      <w:rFonts w:ascii="Times New Roman" w:hAnsi="Times New Roman" w:eastAsia="宋体" w:cs="Times New Roman"/>
      <w:b/>
      <w:bCs/>
    </w:rPr>
  </w:style>
  <w:style w:type="character" w:styleId="135">
    <w:name w:val="page number"/>
    <w:qFormat/>
    <w:uiPriority w:val="0"/>
    <w:rPr>
      <w:rFonts w:ascii="Times New Roman" w:hAnsi="Times New Roman" w:eastAsia="宋体" w:cs="Times New Roman"/>
    </w:rPr>
  </w:style>
  <w:style w:type="character" w:styleId="136">
    <w:name w:val="FollowedHyperlink"/>
    <w:qFormat/>
    <w:uiPriority w:val="0"/>
    <w:rPr>
      <w:rFonts w:ascii="Times New Roman" w:hAnsi="Times New Roman" w:eastAsia="宋体" w:cs="Times New Roman"/>
      <w:color w:val="800080"/>
      <w:u w:val="single"/>
    </w:rPr>
  </w:style>
  <w:style w:type="character" w:styleId="137">
    <w:name w:val="Emphasis"/>
    <w:qFormat/>
    <w:uiPriority w:val="0"/>
    <w:rPr>
      <w:rFonts w:ascii="Times New Roman" w:hAnsi="Times New Roman" w:eastAsia="宋体" w:cs="Times New Roman"/>
      <w:color w:val="CC0033"/>
    </w:rPr>
  </w:style>
  <w:style w:type="character" w:styleId="138">
    <w:name w:val="line number"/>
    <w:qFormat/>
    <w:uiPriority w:val="0"/>
    <w:rPr>
      <w:rFonts w:ascii="Times New Roman" w:hAnsi="Times New Roman" w:eastAsia="宋体" w:cs="Times New Roman"/>
    </w:rPr>
  </w:style>
  <w:style w:type="character" w:styleId="139">
    <w:name w:val="HTML Definition"/>
    <w:qFormat/>
    <w:uiPriority w:val="0"/>
    <w:rPr>
      <w:rFonts w:ascii="Times New Roman" w:hAnsi="Times New Roman" w:eastAsia="宋体" w:cs="Times New Roman"/>
      <w:i/>
      <w:iCs/>
    </w:rPr>
  </w:style>
  <w:style w:type="character" w:styleId="140">
    <w:name w:val="HTML Typewriter"/>
    <w:qFormat/>
    <w:uiPriority w:val="0"/>
    <w:rPr>
      <w:rFonts w:ascii="Courier New" w:hAnsi="Courier New" w:eastAsia="宋体" w:cs="Courier New"/>
      <w:sz w:val="20"/>
      <w:szCs w:val="20"/>
    </w:rPr>
  </w:style>
  <w:style w:type="character" w:styleId="141">
    <w:name w:val="HTML Acronym"/>
    <w:qFormat/>
    <w:uiPriority w:val="0"/>
    <w:rPr>
      <w:rFonts w:ascii="Times New Roman" w:hAnsi="Times New Roman" w:eastAsia="宋体" w:cs="Times New Roman"/>
    </w:rPr>
  </w:style>
  <w:style w:type="character" w:styleId="142">
    <w:name w:val="HTML Variable"/>
    <w:qFormat/>
    <w:uiPriority w:val="0"/>
    <w:rPr>
      <w:rFonts w:ascii="Times New Roman" w:hAnsi="Times New Roman" w:eastAsia="宋体" w:cs="Times New Roman"/>
      <w:i/>
      <w:iCs/>
    </w:rPr>
  </w:style>
  <w:style w:type="character" w:styleId="143">
    <w:name w:val="Hyperlink"/>
    <w:qFormat/>
    <w:uiPriority w:val="99"/>
    <w:rPr>
      <w:rFonts w:ascii="Times New Roman" w:hAnsi="Times New Roman" w:eastAsia="宋体" w:cs="Times New Roman"/>
      <w:color w:val="0033CC"/>
      <w:u w:val="none"/>
    </w:rPr>
  </w:style>
  <w:style w:type="character" w:styleId="144">
    <w:name w:val="HTML Code"/>
    <w:qFormat/>
    <w:uiPriority w:val="0"/>
    <w:rPr>
      <w:rFonts w:ascii="Courier New" w:hAnsi="Courier New" w:eastAsia="宋体" w:cs="Courier New"/>
      <w:sz w:val="20"/>
      <w:szCs w:val="20"/>
    </w:rPr>
  </w:style>
  <w:style w:type="character" w:styleId="145">
    <w:name w:val="annotation reference"/>
    <w:qFormat/>
    <w:uiPriority w:val="0"/>
    <w:rPr>
      <w:rFonts w:ascii="Times New Roman" w:hAnsi="Times New Roman" w:eastAsia="宋体" w:cs="Times New Roman"/>
      <w:sz w:val="21"/>
      <w:szCs w:val="21"/>
    </w:rPr>
  </w:style>
  <w:style w:type="character" w:styleId="146">
    <w:name w:val="HTML Cite"/>
    <w:qFormat/>
    <w:uiPriority w:val="0"/>
    <w:rPr>
      <w:rFonts w:ascii="Times New Roman" w:hAnsi="Times New Roman" w:eastAsia="宋体" w:cs="Times New Roman"/>
      <w:i/>
      <w:iCs/>
    </w:rPr>
  </w:style>
  <w:style w:type="character" w:styleId="147">
    <w:name w:val="footnote reference"/>
    <w:qFormat/>
    <w:uiPriority w:val="0"/>
    <w:rPr>
      <w:rFonts w:ascii="Times New Roman" w:hAnsi="Times New Roman" w:eastAsia="宋体" w:cs="Times New Roman"/>
      <w:vertAlign w:val="superscript"/>
    </w:rPr>
  </w:style>
  <w:style w:type="character" w:styleId="148">
    <w:name w:val="HTML Keyboard"/>
    <w:qFormat/>
    <w:uiPriority w:val="0"/>
    <w:rPr>
      <w:rFonts w:ascii="Courier New" w:hAnsi="Courier New" w:eastAsia="宋体" w:cs="Courier New"/>
      <w:sz w:val="20"/>
      <w:szCs w:val="20"/>
    </w:rPr>
  </w:style>
  <w:style w:type="character" w:styleId="149">
    <w:name w:val="HTML Sample"/>
    <w:qFormat/>
    <w:uiPriority w:val="0"/>
    <w:rPr>
      <w:rFonts w:ascii="Courier New" w:hAnsi="Courier New" w:eastAsia="宋体" w:cs="Courier New"/>
    </w:rPr>
  </w:style>
  <w:style w:type="character" w:customStyle="1" w:styleId="150">
    <w:name w:val="正文文本缩进 Char"/>
    <w:basedOn w:val="133"/>
    <w:link w:val="3"/>
    <w:qFormat/>
    <w:uiPriority w:val="0"/>
    <w:rPr>
      <w:rFonts w:ascii="Times New Roman" w:hAnsi="Times New Roman" w:eastAsia="宋体" w:cs="Times New Roman"/>
      <w:sz w:val="24"/>
      <w:szCs w:val="24"/>
    </w:rPr>
  </w:style>
  <w:style w:type="character" w:customStyle="1" w:styleId="151">
    <w:name w:val="正文首行缩进 2 Char"/>
    <w:basedOn w:val="150"/>
    <w:link w:val="2"/>
    <w:qFormat/>
    <w:uiPriority w:val="0"/>
    <w:rPr>
      <w:rFonts w:ascii="Times New Roman" w:hAnsi="Times New Roman" w:eastAsia="宋体" w:cs="Times New Roman"/>
      <w:color w:val="000000"/>
      <w:sz w:val="24"/>
      <w:szCs w:val="20"/>
    </w:rPr>
  </w:style>
  <w:style w:type="character" w:customStyle="1" w:styleId="152">
    <w:name w:val="标题 1 Char"/>
    <w:basedOn w:val="133"/>
    <w:link w:val="5"/>
    <w:qFormat/>
    <w:uiPriority w:val="0"/>
    <w:rPr>
      <w:rFonts w:ascii="宋体" w:hAnsi="宋体" w:eastAsia="宋体" w:cs="Times New Roman"/>
      <w:sz w:val="28"/>
      <w:szCs w:val="24"/>
    </w:rPr>
  </w:style>
  <w:style w:type="character" w:customStyle="1" w:styleId="153">
    <w:name w:val="标题 2 Char"/>
    <w:basedOn w:val="133"/>
    <w:link w:val="6"/>
    <w:qFormat/>
    <w:uiPriority w:val="0"/>
    <w:rPr>
      <w:rFonts w:ascii="Times New Roman" w:hAnsi="Times New Roman" w:eastAsia="黑体" w:cs="Times New Roman"/>
      <w:kern w:val="0"/>
      <w:sz w:val="30"/>
      <w:szCs w:val="28"/>
    </w:rPr>
  </w:style>
  <w:style w:type="character" w:customStyle="1" w:styleId="154">
    <w:name w:val="标题 3 Char"/>
    <w:basedOn w:val="133"/>
    <w:link w:val="7"/>
    <w:qFormat/>
    <w:uiPriority w:val="0"/>
    <w:rPr>
      <w:rFonts w:ascii="宋体" w:hAnsi="宋体" w:eastAsia="宋体" w:cs="Times New Roman"/>
      <w:b/>
      <w:bCs/>
      <w:color w:val="000000"/>
      <w:sz w:val="28"/>
      <w:szCs w:val="32"/>
    </w:rPr>
  </w:style>
  <w:style w:type="character" w:customStyle="1" w:styleId="155">
    <w:name w:val="标题 4 Char2"/>
    <w:link w:val="8"/>
    <w:qFormat/>
    <w:uiPriority w:val="0"/>
    <w:rPr>
      <w:rFonts w:ascii="Times New Roman" w:hAnsi="Times New Roman" w:eastAsia="宋体" w:cs="Times New Roman"/>
      <w:b/>
      <w:bCs/>
      <w:sz w:val="24"/>
      <w:szCs w:val="24"/>
    </w:rPr>
  </w:style>
  <w:style w:type="character" w:customStyle="1" w:styleId="156">
    <w:name w:val="标题 5 Char1"/>
    <w:link w:val="9"/>
    <w:qFormat/>
    <w:uiPriority w:val="0"/>
    <w:rPr>
      <w:rFonts w:ascii="Times New Roman" w:hAnsi="Times New Roman" w:eastAsia="黑体" w:cs="Times New Roman"/>
      <w:b/>
      <w:kern w:val="0"/>
      <w:sz w:val="28"/>
      <w:szCs w:val="20"/>
    </w:rPr>
  </w:style>
  <w:style w:type="character" w:customStyle="1" w:styleId="157">
    <w:name w:val="标题 6 Char"/>
    <w:basedOn w:val="133"/>
    <w:link w:val="10"/>
    <w:qFormat/>
    <w:uiPriority w:val="0"/>
    <w:rPr>
      <w:rFonts w:ascii="Arial" w:hAnsi="Arial" w:eastAsia="黑体" w:cs="Times New Roman"/>
      <w:b/>
      <w:kern w:val="0"/>
      <w:sz w:val="24"/>
      <w:szCs w:val="20"/>
    </w:rPr>
  </w:style>
  <w:style w:type="character" w:customStyle="1" w:styleId="158">
    <w:name w:val="标题 7 Char"/>
    <w:basedOn w:val="133"/>
    <w:link w:val="11"/>
    <w:qFormat/>
    <w:uiPriority w:val="0"/>
    <w:rPr>
      <w:rFonts w:ascii="宋体" w:hAnsi="Times New Roman" w:eastAsia="宋体" w:cs="Times New Roman"/>
      <w:b/>
      <w:kern w:val="0"/>
      <w:sz w:val="24"/>
      <w:szCs w:val="20"/>
    </w:rPr>
  </w:style>
  <w:style w:type="character" w:customStyle="1" w:styleId="159">
    <w:name w:val="标题 8 Char"/>
    <w:basedOn w:val="133"/>
    <w:link w:val="12"/>
    <w:qFormat/>
    <w:uiPriority w:val="0"/>
    <w:rPr>
      <w:rFonts w:ascii="Arial" w:hAnsi="Arial" w:eastAsia="黑体" w:cs="Times New Roman"/>
      <w:kern w:val="0"/>
      <w:sz w:val="24"/>
      <w:szCs w:val="20"/>
    </w:rPr>
  </w:style>
  <w:style w:type="character" w:customStyle="1" w:styleId="160">
    <w:name w:val="标题 9 Char"/>
    <w:basedOn w:val="133"/>
    <w:link w:val="13"/>
    <w:qFormat/>
    <w:uiPriority w:val="0"/>
    <w:rPr>
      <w:rFonts w:ascii="Arial" w:hAnsi="Arial" w:eastAsia="黑体" w:cs="Times New Roman"/>
      <w:kern w:val="0"/>
      <w:sz w:val="24"/>
      <w:szCs w:val="20"/>
    </w:rPr>
  </w:style>
  <w:style w:type="character" w:customStyle="1" w:styleId="161">
    <w:name w:val="页眉 Char"/>
    <w:basedOn w:val="133"/>
    <w:link w:val="58"/>
    <w:qFormat/>
    <w:uiPriority w:val="99"/>
    <w:rPr>
      <w:sz w:val="18"/>
      <w:szCs w:val="18"/>
    </w:rPr>
  </w:style>
  <w:style w:type="character" w:customStyle="1" w:styleId="162">
    <w:name w:val="页脚 Char"/>
    <w:basedOn w:val="133"/>
    <w:link w:val="56"/>
    <w:qFormat/>
    <w:uiPriority w:val="99"/>
    <w:rPr>
      <w:sz w:val="18"/>
      <w:szCs w:val="18"/>
    </w:rPr>
  </w:style>
  <w:style w:type="character" w:customStyle="1" w:styleId="163">
    <w:name w:val="标题 4 Char"/>
    <w:basedOn w:val="133"/>
    <w:qFormat/>
    <w:uiPriority w:val="0"/>
    <w:rPr>
      <w:rFonts w:asciiTheme="majorHAnsi" w:hAnsiTheme="majorHAnsi" w:eastAsiaTheme="majorEastAsia" w:cstheme="majorBidi"/>
      <w:b/>
      <w:bCs/>
      <w:sz w:val="28"/>
      <w:szCs w:val="28"/>
    </w:rPr>
  </w:style>
  <w:style w:type="character" w:customStyle="1" w:styleId="164">
    <w:name w:val="标题 5 Char"/>
    <w:basedOn w:val="133"/>
    <w:qFormat/>
    <w:uiPriority w:val="0"/>
    <w:rPr>
      <w:rFonts w:ascii="Times New Roman" w:hAnsi="Times New Roman" w:eastAsia="宋体" w:cs="Times New Roman"/>
      <w:b/>
      <w:bCs/>
      <w:sz w:val="28"/>
      <w:szCs w:val="28"/>
    </w:rPr>
  </w:style>
  <w:style w:type="character" w:customStyle="1" w:styleId="165">
    <w:name w:val="批注文字 Char2"/>
    <w:basedOn w:val="133"/>
    <w:link w:val="30"/>
    <w:qFormat/>
    <w:uiPriority w:val="0"/>
    <w:rPr>
      <w:rFonts w:ascii="Times New Roman" w:hAnsi="Times New Roman" w:eastAsia="宋体" w:cs="Times New Roman"/>
      <w:sz w:val="24"/>
      <w:szCs w:val="24"/>
    </w:rPr>
  </w:style>
  <w:style w:type="character" w:customStyle="1" w:styleId="166">
    <w:name w:val="批注主题 Char"/>
    <w:basedOn w:val="165"/>
    <w:link w:val="86"/>
    <w:qFormat/>
    <w:uiPriority w:val="0"/>
    <w:rPr>
      <w:rFonts w:ascii="Times New Roman" w:hAnsi="Times New Roman" w:eastAsia="宋体" w:cs="Times New Roman"/>
      <w:b/>
      <w:bCs/>
      <w:sz w:val="24"/>
      <w:szCs w:val="20"/>
    </w:rPr>
  </w:style>
  <w:style w:type="character" w:customStyle="1" w:styleId="167">
    <w:name w:val="正文文本 Char"/>
    <w:basedOn w:val="133"/>
    <w:link w:val="36"/>
    <w:qFormat/>
    <w:uiPriority w:val="0"/>
    <w:rPr>
      <w:rFonts w:ascii="Times New Roman" w:hAnsi="Times New Roman" w:eastAsia="宋体" w:cs="Times New Roman"/>
      <w:sz w:val="24"/>
      <w:szCs w:val="24"/>
    </w:rPr>
  </w:style>
  <w:style w:type="character" w:customStyle="1" w:styleId="168">
    <w:name w:val="正文首行缩进 Char"/>
    <w:basedOn w:val="167"/>
    <w:link w:val="87"/>
    <w:uiPriority w:val="0"/>
    <w:rPr>
      <w:rFonts w:ascii="Times New Roman" w:hAnsi="Times New Roman" w:eastAsia="宋体" w:cs="Times New Roman"/>
      <w:sz w:val="24"/>
      <w:szCs w:val="24"/>
    </w:rPr>
  </w:style>
  <w:style w:type="character" w:customStyle="1" w:styleId="169">
    <w:name w:val="宏文本 Char"/>
    <w:basedOn w:val="133"/>
    <w:link w:val="4"/>
    <w:qFormat/>
    <w:uiPriority w:val="0"/>
    <w:rPr>
      <w:rFonts w:ascii="Courier New" w:hAnsi="Courier New" w:eastAsia="宋体" w:cs="Courier New"/>
      <w:sz w:val="24"/>
      <w:szCs w:val="24"/>
    </w:rPr>
  </w:style>
  <w:style w:type="character" w:customStyle="1" w:styleId="170">
    <w:name w:val="注释标题 Char"/>
    <w:basedOn w:val="133"/>
    <w:link w:val="18"/>
    <w:qFormat/>
    <w:uiPriority w:val="0"/>
    <w:rPr>
      <w:rFonts w:ascii="Times New Roman" w:hAnsi="Times New Roman" w:eastAsia="宋体" w:cs="Times New Roman"/>
      <w:sz w:val="24"/>
      <w:szCs w:val="24"/>
    </w:rPr>
  </w:style>
  <w:style w:type="character" w:customStyle="1" w:styleId="171">
    <w:name w:val="电子邮件签名 Char"/>
    <w:basedOn w:val="133"/>
    <w:link w:val="21"/>
    <w:qFormat/>
    <w:uiPriority w:val="0"/>
    <w:rPr>
      <w:rFonts w:ascii="Times New Roman" w:hAnsi="Times New Roman" w:eastAsia="宋体" w:cs="Times New Roman"/>
      <w:sz w:val="24"/>
      <w:szCs w:val="20"/>
    </w:rPr>
  </w:style>
  <w:style w:type="character" w:customStyle="1" w:styleId="172">
    <w:name w:val="正文缩进 Char1"/>
    <w:link w:val="23"/>
    <w:qFormat/>
    <w:uiPriority w:val="0"/>
    <w:rPr>
      <w:rFonts w:ascii="Times New Roman" w:hAnsi="Times New Roman" w:eastAsia="宋体" w:cs="Times New Roman"/>
      <w:szCs w:val="20"/>
    </w:rPr>
  </w:style>
  <w:style w:type="character" w:customStyle="1" w:styleId="173">
    <w:name w:val="题注 Char2"/>
    <w:link w:val="24"/>
    <w:qFormat/>
    <w:uiPriority w:val="0"/>
    <w:rPr>
      <w:rFonts w:ascii="Times New Roman" w:hAnsi="Times New Roman" w:eastAsia="宋体" w:cs="Arial"/>
      <w:b/>
      <w:sz w:val="24"/>
      <w:szCs w:val="20"/>
    </w:rPr>
  </w:style>
  <w:style w:type="character" w:customStyle="1" w:styleId="174">
    <w:name w:val="文档结构图 Char"/>
    <w:basedOn w:val="133"/>
    <w:link w:val="28"/>
    <w:qFormat/>
    <w:uiPriority w:val="0"/>
    <w:rPr>
      <w:rFonts w:ascii="Times New Roman" w:hAnsi="Times New Roman" w:eastAsia="宋体" w:cs="Times New Roman"/>
      <w:szCs w:val="20"/>
      <w:shd w:val="clear" w:color="auto" w:fill="000080"/>
    </w:rPr>
  </w:style>
  <w:style w:type="character" w:customStyle="1" w:styleId="175">
    <w:name w:val="称呼 Char"/>
    <w:basedOn w:val="133"/>
    <w:link w:val="32"/>
    <w:qFormat/>
    <w:uiPriority w:val="0"/>
    <w:rPr>
      <w:rFonts w:ascii="Times New Roman" w:hAnsi="Times New Roman" w:eastAsia="宋体" w:cs="Times New Roman"/>
      <w:szCs w:val="24"/>
    </w:rPr>
  </w:style>
  <w:style w:type="character" w:customStyle="1" w:styleId="176">
    <w:name w:val="正文文本 3 Char"/>
    <w:basedOn w:val="133"/>
    <w:link w:val="33"/>
    <w:qFormat/>
    <w:uiPriority w:val="0"/>
    <w:rPr>
      <w:rFonts w:ascii="Times New Roman" w:hAnsi="Times New Roman" w:eastAsia="宋体" w:cs="Times New Roman"/>
      <w:color w:val="000000"/>
      <w:sz w:val="24"/>
      <w:szCs w:val="24"/>
    </w:rPr>
  </w:style>
  <w:style w:type="character" w:customStyle="1" w:styleId="177">
    <w:name w:val="结束语 Char"/>
    <w:basedOn w:val="133"/>
    <w:link w:val="34"/>
    <w:qFormat/>
    <w:uiPriority w:val="0"/>
    <w:rPr>
      <w:rFonts w:ascii="Times New Roman" w:hAnsi="Times New Roman" w:eastAsia="宋体" w:cs="Times New Roman"/>
      <w:sz w:val="24"/>
      <w:szCs w:val="20"/>
    </w:rPr>
  </w:style>
  <w:style w:type="character" w:customStyle="1" w:styleId="178">
    <w:name w:val="HTML 地址 Char"/>
    <w:basedOn w:val="133"/>
    <w:link w:val="42"/>
    <w:qFormat/>
    <w:uiPriority w:val="0"/>
    <w:rPr>
      <w:rFonts w:ascii="Times New Roman" w:hAnsi="Times New Roman" w:eastAsia="宋体" w:cs="Times New Roman"/>
      <w:i/>
      <w:iCs/>
      <w:sz w:val="24"/>
      <w:szCs w:val="20"/>
    </w:rPr>
  </w:style>
  <w:style w:type="character" w:customStyle="1" w:styleId="179">
    <w:name w:val="纯文本 Char"/>
    <w:basedOn w:val="133"/>
    <w:link w:val="46"/>
    <w:qFormat/>
    <w:uiPriority w:val="0"/>
    <w:rPr>
      <w:rFonts w:ascii="宋体" w:hAnsi="Courier New" w:eastAsia="宋体" w:cs="Times New Roman"/>
      <w:sz w:val="24"/>
      <w:szCs w:val="21"/>
    </w:rPr>
  </w:style>
  <w:style w:type="character" w:customStyle="1" w:styleId="180">
    <w:name w:val="日期 Char"/>
    <w:basedOn w:val="133"/>
    <w:link w:val="51"/>
    <w:qFormat/>
    <w:uiPriority w:val="0"/>
    <w:rPr>
      <w:rFonts w:ascii="宋体" w:hAnsi="宋体" w:eastAsia="宋体" w:cs="Times New Roman"/>
      <w:sz w:val="28"/>
      <w:szCs w:val="24"/>
    </w:rPr>
  </w:style>
  <w:style w:type="character" w:customStyle="1" w:styleId="181">
    <w:name w:val="正文文本缩进 2 Char"/>
    <w:basedOn w:val="133"/>
    <w:link w:val="52"/>
    <w:qFormat/>
    <w:uiPriority w:val="0"/>
    <w:rPr>
      <w:rFonts w:ascii="宋体" w:hAnsi="宋体" w:eastAsia="宋体" w:cs="Times New Roman"/>
      <w:sz w:val="28"/>
      <w:szCs w:val="24"/>
    </w:rPr>
  </w:style>
  <w:style w:type="character" w:customStyle="1" w:styleId="182">
    <w:name w:val="尾注文本 Char"/>
    <w:basedOn w:val="133"/>
    <w:link w:val="53"/>
    <w:qFormat/>
    <w:uiPriority w:val="0"/>
    <w:rPr>
      <w:rFonts w:ascii="Times New Roman" w:hAnsi="Times New Roman" w:eastAsia="宋体" w:cs="Times New Roman"/>
      <w:sz w:val="24"/>
      <w:szCs w:val="20"/>
    </w:rPr>
  </w:style>
  <w:style w:type="character" w:customStyle="1" w:styleId="183">
    <w:name w:val="批注框文本 Char"/>
    <w:basedOn w:val="133"/>
    <w:link w:val="55"/>
    <w:qFormat/>
    <w:uiPriority w:val="0"/>
    <w:rPr>
      <w:rFonts w:ascii="Times New Roman" w:hAnsi="Times New Roman" w:eastAsia="宋体" w:cs="Times New Roman"/>
      <w:sz w:val="18"/>
      <w:szCs w:val="18"/>
    </w:rPr>
  </w:style>
  <w:style w:type="character" w:customStyle="1" w:styleId="184">
    <w:name w:val="签名 Char"/>
    <w:basedOn w:val="133"/>
    <w:link w:val="59"/>
    <w:qFormat/>
    <w:uiPriority w:val="0"/>
    <w:rPr>
      <w:rFonts w:ascii="Times New Roman" w:hAnsi="Times New Roman" w:eastAsia="宋体" w:cs="Times New Roman"/>
      <w:sz w:val="24"/>
      <w:szCs w:val="20"/>
    </w:rPr>
  </w:style>
  <w:style w:type="character" w:customStyle="1" w:styleId="185">
    <w:name w:val="副标题 Char"/>
    <w:basedOn w:val="133"/>
    <w:link w:val="65"/>
    <w:qFormat/>
    <w:uiPriority w:val="0"/>
    <w:rPr>
      <w:rFonts w:ascii="Arial" w:hAnsi="Arial" w:eastAsia="宋体" w:cs="Arial"/>
      <w:b/>
      <w:bCs/>
      <w:kern w:val="28"/>
      <w:sz w:val="32"/>
      <w:szCs w:val="32"/>
    </w:rPr>
  </w:style>
  <w:style w:type="character" w:customStyle="1" w:styleId="186">
    <w:name w:val="脚注文本 Char"/>
    <w:basedOn w:val="133"/>
    <w:link w:val="68"/>
    <w:qFormat/>
    <w:uiPriority w:val="0"/>
    <w:rPr>
      <w:rFonts w:ascii="Times New Roman" w:hAnsi="Times New Roman" w:eastAsia="宋体" w:cs="Times New Roman"/>
      <w:sz w:val="18"/>
      <w:szCs w:val="18"/>
    </w:rPr>
  </w:style>
  <w:style w:type="character" w:customStyle="1" w:styleId="187">
    <w:name w:val="正文文本缩进 3 Char"/>
    <w:basedOn w:val="133"/>
    <w:link w:val="71"/>
    <w:qFormat/>
    <w:uiPriority w:val="0"/>
    <w:rPr>
      <w:rFonts w:ascii="Times New Roman" w:hAnsi="Times New Roman" w:eastAsia="宋体" w:cs="Times New Roman"/>
      <w:bCs/>
      <w:sz w:val="28"/>
      <w:szCs w:val="24"/>
    </w:rPr>
  </w:style>
  <w:style w:type="character" w:customStyle="1" w:styleId="188">
    <w:name w:val="正文文本 2 Char"/>
    <w:basedOn w:val="133"/>
    <w:link w:val="77"/>
    <w:qFormat/>
    <w:uiPriority w:val="0"/>
    <w:rPr>
      <w:rFonts w:ascii="Times New Roman" w:hAnsi="Times New Roman" w:eastAsia="宋体" w:cs="Times New Roman"/>
      <w:sz w:val="24"/>
      <w:szCs w:val="24"/>
    </w:rPr>
  </w:style>
  <w:style w:type="character" w:customStyle="1" w:styleId="189">
    <w:name w:val="信息标题 Char"/>
    <w:basedOn w:val="133"/>
    <w:link w:val="80"/>
    <w:qFormat/>
    <w:uiPriority w:val="0"/>
    <w:rPr>
      <w:rFonts w:ascii="Arial" w:hAnsi="Arial" w:eastAsia="宋体" w:cs="Arial"/>
      <w:sz w:val="24"/>
      <w:szCs w:val="24"/>
      <w:shd w:val="pct20" w:color="auto" w:fill="auto"/>
    </w:rPr>
  </w:style>
  <w:style w:type="character" w:customStyle="1" w:styleId="190">
    <w:name w:val="HTML 预设格式 Char"/>
    <w:basedOn w:val="133"/>
    <w:link w:val="81"/>
    <w:qFormat/>
    <w:uiPriority w:val="0"/>
    <w:rPr>
      <w:rFonts w:ascii="Arial" w:hAnsi="Arial" w:eastAsia="宋体" w:cs="Arial"/>
      <w:kern w:val="0"/>
      <w:sz w:val="24"/>
      <w:szCs w:val="24"/>
    </w:rPr>
  </w:style>
  <w:style w:type="character" w:customStyle="1" w:styleId="191">
    <w:name w:val="标题 Char"/>
    <w:basedOn w:val="133"/>
    <w:link w:val="85"/>
    <w:qFormat/>
    <w:uiPriority w:val="10"/>
    <w:rPr>
      <w:rFonts w:ascii="Arial" w:hAnsi="Arial" w:eastAsia="宋体" w:cs="Arial"/>
      <w:b/>
      <w:bCs/>
      <w:sz w:val="32"/>
      <w:szCs w:val="32"/>
    </w:rPr>
  </w:style>
  <w:style w:type="paragraph" w:customStyle="1" w:styleId="192">
    <w:name w:val="0正文"/>
    <w:basedOn w:val="1"/>
    <w:link w:val="3173"/>
    <w:qFormat/>
    <w:uiPriority w:val="0"/>
    <w:pPr>
      <w:adjustRightInd w:val="0"/>
      <w:snapToGrid w:val="0"/>
      <w:ind w:firstLine="480" w:firstLineChars="200"/>
    </w:pPr>
  </w:style>
  <w:style w:type="character" w:customStyle="1" w:styleId="193">
    <w:name w:val="图表标题 Char"/>
    <w:qFormat/>
    <w:uiPriority w:val="0"/>
    <w:rPr>
      <w:rFonts w:ascii="黑体" w:eastAsia="黑体"/>
      <w:kern w:val="2"/>
      <w:sz w:val="21"/>
      <w:szCs w:val="21"/>
      <w:lang w:val="en-US" w:eastAsia="zh-CN" w:bidi="ar-SA"/>
    </w:rPr>
  </w:style>
  <w:style w:type="character" w:customStyle="1" w:styleId="194">
    <w:name w:val="f91"/>
    <w:qFormat/>
    <w:uiPriority w:val="0"/>
    <w:rPr>
      <w:sz w:val="18"/>
      <w:szCs w:val="18"/>
      <w:u w:val="none"/>
    </w:rPr>
  </w:style>
  <w:style w:type="character" w:customStyle="1" w:styleId="195">
    <w:name w:val="timu1"/>
    <w:qFormat/>
    <w:uiPriority w:val="0"/>
    <w:rPr>
      <w:rFonts w:ascii="宋体" w:hAnsi="宋体" w:eastAsia="黑体" w:cs="宋体"/>
      <w:spacing w:val="4"/>
      <w:kern w:val="2"/>
      <w:sz w:val="24"/>
      <w:szCs w:val="24"/>
      <w:lang w:val="en-US" w:eastAsia="zh-CN" w:bidi="ar-SA"/>
    </w:rPr>
  </w:style>
  <w:style w:type="character" w:customStyle="1" w:styleId="196">
    <w:name w:val="样式 表格 + (中文) 黑体 Char"/>
    <w:link w:val="197"/>
    <w:qFormat/>
    <w:uiPriority w:val="0"/>
    <w:rPr>
      <w:rFonts w:ascii="宋体" w:hAnsi="宋体"/>
      <w:color w:val="000000"/>
      <w:spacing w:val="-8"/>
      <w:sz w:val="24"/>
      <w:szCs w:val="24"/>
    </w:rPr>
  </w:style>
  <w:style w:type="paragraph" w:customStyle="1" w:styleId="197">
    <w:name w:val="样式 表格 + (中文) 黑体"/>
    <w:basedOn w:val="1"/>
    <w:link w:val="196"/>
    <w:qFormat/>
    <w:uiPriority w:val="0"/>
    <w:pPr>
      <w:tabs>
        <w:tab w:val="left" w:pos="1680"/>
        <w:tab w:val="left" w:pos="3465"/>
      </w:tabs>
      <w:adjustRightInd w:val="0"/>
      <w:spacing w:line="240" w:lineRule="auto"/>
      <w:jc w:val="center"/>
      <w:textAlignment w:val="baseline"/>
    </w:pPr>
    <w:rPr>
      <w:rFonts w:ascii="宋体" w:hAnsi="宋体" w:eastAsiaTheme="minorEastAsia" w:cstheme="minorBidi"/>
      <w:color w:val="000000"/>
      <w:spacing w:val="-8"/>
    </w:rPr>
  </w:style>
  <w:style w:type="character" w:customStyle="1" w:styleId="198">
    <w:name w:val="标题 6 Char2"/>
    <w:qFormat/>
    <w:uiPriority w:val="0"/>
    <w:rPr>
      <w:rFonts w:ascii="Arial" w:hAnsi="Arial" w:eastAsia="黑体"/>
      <w:b/>
      <w:kern w:val="2"/>
      <w:sz w:val="24"/>
      <w:szCs w:val="24"/>
    </w:rPr>
  </w:style>
  <w:style w:type="character" w:customStyle="1" w:styleId="199">
    <w:name w:val="表5.6 Char Char"/>
    <w:qFormat/>
    <w:uiPriority w:val="0"/>
    <w:rPr>
      <w:rFonts w:ascii="黑体" w:eastAsia="黑体"/>
      <w:b/>
      <w:bCs/>
      <w:color w:val="FF0000"/>
      <w:kern w:val="2"/>
      <w:sz w:val="24"/>
      <w:szCs w:val="24"/>
    </w:rPr>
  </w:style>
  <w:style w:type="character" w:customStyle="1" w:styleId="200">
    <w:name w:val="样式 (西文) 仿宋_GB2312 小四"/>
    <w:qFormat/>
    <w:uiPriority w:val="0"/>
    <w:rPr>
      <w:rFonts w:ascii="仿宋_GB2312" w:hAnsi="仿宋_GB2312" w:eastAsia="宋体"/>
      <w:sz w:val="24"/>
    </w:rPr>
  </w:style>
  <w:style w:type="character" w:customStyle="1" w:styleId="201">
    <w:name w:val="样式 大正文 + 黑色 Char"/>
    <w:qFormat/>
    <w:uiPriority w:val="0"/>
    <w:rPr>
      <w:rFonts w:ascii="仿宋_GB2312" w:hAnsi="宋体" w:eastAsia="仿宋_GB2312"/>
      <w:color w:val="000000"/>
      <w:kern w:val="2"/>
      <w:sz w:val="28"/>
      <w:szCs w:val="28"/>
      <w:lang w:val="en-US" w:eastAsia="zh-CN" w:bidi="ar-SA"/>
    </w:rPr>
  </w:style>
  <w:style w:type="character" w:customStyle="1" w:styleId="202">
    <w:name w:val="样式 样式 正文 首行缩进:  2 字符 SL CON + 首行缩进:  2 字符 + (符号) 宋体 Char"/>
    <w:link w:val="203"/>
    <w:qFormat/>
    <w:locked/>
    <w:uiPriority w:val="0"/>
    <w:rPr>
      <w:rFonts w:ascii="宋体" w:hAnsi="宋体" w:cs="宋体"/>
      <w:sz w:val="24"/>
      <w:szCs w:val="24"/>
    </w:rPr>
  </w:style>
  <w:style w:type="paragraph" w:customStyle="1" w:styleId="203">
    <w:name w:val="样式 样式 正文 首行缩进:  2 字符 SL CON + 首行缩进:  2 字符 + (符号) 宋体"/>
    <w:basedOn w:val="1"/>
    <w:link w:val="202"/>
    <w:qFormat/>
    <w:uiPriority w:val="0"/>
    <w:pPr>
      <w:widowControl/>
      <w:tabs>
        <w:tab w:val="left" w:pos="377"/>
      </w:tabs>
      <w:ind w:firstLine="480" w:firstLineChars="200"/>
    </w:pPr>
    <w:rPr>
      <w:rFonts w:ascii="宋体" w:hAnsi="宋体" w:cs="宋体" w:eastAsiaTheme="minorEastAsia"/>
    </w:rPr>
  </w:style>
  <w:style w:type="character" w:customStyle="1" w:styleId="204">
    <w:name w:val="表头样式 Char"/>
    <w:link w:val="205"/>
    <w:qFormat/>
    <w:uiPriority w:val="0"/>
    <w:rPr>
      <w:rFonts w:ascii="黑体" w:eastAsia="黑体"/>
      <w:sz w:val="28"/>
      <w:szCs w:val="24"/>
    </w:rPr>
  </w:style>
  <w:style w:type="paragraph" w:customStyle="1" w:styleId="205">
    <w:name w:val="表头样式"/>
    <w:basedOn w:val="1"/>
    <w:link w:val="204"/>
    <w:qFormat/>
    <w:uiPriority w:val="0"/>
    <w:pPr>
      <w:spacing w:line="240" w:lineRule="auto"/>
      <w:ind w:firstLine="560" w:firstLineChars="200"/>
    </w:pPr>
    <w:rPr>
      <w:rFonts w:ascii="黑体" w:eastAsia="黑体" w:hAnsiTheme="minorHAnsi" w:cstheme="minorBidi"/>
      <w:sz w:val="28"/>
    </w:rPr>
  </w:style>
  <w:style w:type="character" w:customStyle="1" w:styleId="206">
    <w:name w:val="正文3 Char Char"/>
    <w:qFormat/>
    <w:uiPriority w:val="0"/>
    <w:rPr>
      <w:rFonts w:ascii="宋体"/>
      <w:sz w:val="24"/>
      <w:lang w:val="en-US" w:eastAsia="zh-CN" w:bidi="ar-SA"/>
    </w:rPr>
  </w:style>
  <w:style w:type="character" w:customStyle="1" w:styleId="207">
    <w:name w:val="三级目录(康健城) Char"/>
    <w:link w:val="208"/>
    <w:qFormat/>
    <w:uiPriority w:val="0"/>
    <w:rPr>
      <w:rFonts w:eastAsia="黑体"/>
      <w:b/>
      <w:sz w:val="28"/>
      <w:szCs w:val="28"/>
    </w:rPr>
  </w:style>
  <w:style w:type="paragraph" w:customStyle="1" w:styleId="208">
    <w:name w:val="三级目录(康健城)"/>
    <w:basedOn w:val="1"/>
    <w:link w:val="207"/>
    <w:qFormat/>
    <w:uiPriority w:val="0"/>
    <w:pPr>
      <w:adjustRightInd w:val="0"/>
      <w:snapToGrid w:val="0"/>
      <w:spacing w:before="200" w:after="200"/>
      <w:outlineLvl w:val="2"/>
    </w:pPr>
    <w:rPr>
      <w:rFonts w:eastAsia="黑体" w:asciiTheme="minorHAnsi" w:hAnsiTheme="minorHAnsi" w:cstheme="minorBidi"/>
      <w:b/>
      <w:sz w:val="28"/>
      <w:szCs w:val="28"/>
    </w:rPr>
  </w:style>
  <w:style w:type="character" w:customStyle="1" w:styleId="209">
    <w:name w:val="【标题3】 Char Char"/>
    <w:qFormat/>
    <w:uiPriority w:val="0"/>
    <w:rPr>
      <w:rFonts w:ascii="宋体" w:hAnsi="宋体" w:eastAsia="宋体" w:cs="宋体"/>
      <w:b/>
      <w:bCs/>
      <w:spacing w:val="4"/>
      <w:kern w:val="2"/>
      <w:sz w:val="30"/>
      <w:szCs w:val="24"/>
      <w:lang w:val="en-US" w:eastAsia="zh-CN" w:bidi="ar-SA"/>
    </w:rPr>
  </w:style>
  <w:style w:type="character" w:customStyle="1" w:styleId="210">
    <w:name w:val="报告正文 Char Char"/>
    <w:qFormat/>
    <w:uiPriority w:val="0"/>
    <w:rPr>
      <w:rFonts w:ascii="宋体" w:hAnsi="宋体" w:eastAsia="宋体" w:cs="宋体"/>
      <w:spacing w:val="4"/>
      <w:kern w:val="2"/>
      <w:sz w:val="24"/>
      <w:szCs w:val="24"/>
      <w:lang w:val="en-US" w:eastAsia="zh-CN" w:bidi="ar-SA"/>
    </w:rPr>
  </w:style>
  <w:style w:type="character" w:customStyle="1" w:styleId="211">
    <w:name w:val="f12 fgy"/>
    <w:qFormat/>
    <w:uiPriority w:val="0"/>
    <w:rPr>
      <w:rFonts w:ascii="宋体" w:hAnsi="宋体" w:eastAsia="汉鼎简书宋" w:cs="宋体"/>
      <w:spacing w:val="4"/>
      <w:kern w:val="2"/>
      <w:sz w:val="24"/>
      <w:szCs w:val="24"/>
      <w:lang w:val="en-US" w:eastAsia="zh-CN" w:bidi="ar-SA"/>
    </w:rPr>
  </w:style>
  <w:style w:type="character" w:customStyle="1" w:styleId="212">
    <w:name w:val="样式 标题 21.1标题 21.1标题2标题 2 Char1节_Heading 2标2二级标题1.1标题一... Char Char"/>
    <w:qFormat/>
    <w:uiPriority w:val="0"/>
    <w:rPr>
      <w:rFonts w:ascii="黑体" w:hAnsi="黑体" w:eastAsia="黑体" w:cs="宋体"/>
      <w:b/>
      <w:bCs/>
      <w:spacing w:val="4"/>
      <w:kern w:val="2"/>
      <w:sz w:val="24"/>
      <w:szCs w:val="24"/>
      <w:lang w:val="en-US" w:eastAsia="zh-CN" w:bidi="ar-SA"/>
    </w:rPr>
  </w:style>
  <w:style w:type="character" w:customStyle="1" w:styleId="213">
    <w:name w:val="正文部分 Char Char"/>
    <w:qFormat/>
    <w:uiPriority w:val="0"/>
    <w:rPr>
      <w:rFonts w:ascii="宋体" w:hAnsi="宋体" w:eastAsia="宋体" w:cs="宋体"/>
      <w:bCs/>
      <w:spacing w:val="4"/>
      <w:kern w:val="2"/>
      <w:sz w:val="28"/>
      <w:szCs w:val="32"/>
      <w:lang w:val="en-US" w:eastAsia="zh-CN" w:bidi="ar-SA"/>
    </w:rPr>
  </w:style>
  <w:style w:type="character" w:customStyle="1" w:styleId="214">
    <w:name w:val="表题 Char"/>
    <w:qFormat/>
    <w:uiPriority w:val="0"/>
    <w:rPr>
      <w:rFonts w:ascii="宋体" w:hAnsi="宋体" w:eastAsia="宋体" w:cs="宋体"/>
      <w:b/>
      <w:spacing w:val="12"/>
      <w:w w:val="90"/>
      <w:kern w:val="2"/>
      <w:sz w:val="24"/>
      <w:szCs w:val="24"/>
      <w:lang w:val="en-US" w:eastAsia="zh-CN" w:bidi="ar-SA"/>
    </w:rPr>
  </w:style>
  <w:style w:type="character" w:customStyle="1" w:styleId="215">
    <w:name w:val="表文 Char Char1"/>
    <w:link w:val="216"/>
    <w:qFormat/>
    <w:uiPriority w:val="0"/>
    <w:rPr>
      <w:szCs w:val="21"/>
    </w:rPr>
  </w:style>
  <w:style w:type="paragraph" w:customStyle="1" w:styleId="216">
    <w:name w:val="表文 Char"/>
    <w:basedOn w:val="1"/>
    <w:link w:val="215"/>
    <w:qFormat/>
    <w:uiPriority w:val="0"/>
    <w:pPr>
      <w:autoSpaceDE w:val="0"/>
      <w:autoSpaceDN w:val="0"/>
      <w:adjustRightInd w:val="0"/>
      <w:spacing w:line="300" w:lineRule="exact"/>
      <w:jc w:val="center"/>
      <w:textAlignment w:val="baseline"/>
    </w:pPr>
    <w:rPr>
      <w:rFonts w:asciiTheme="minorHAnsi" w:hAnsiTheme="minorHAnsi" w:eastAsiaTheme="minorEastAsia" w:cstheme="minorBidi"/>
      <w:sz w:val="21"/>
      <w:szCs w:val="21"/>
    </w:rPr>
  </w:style>
  <w:style w:type="character" w:customStyle="1" w:styleId="217">
    <w:name w:val="正文1 Char"/>
    <w:link w:val="218"/>
    <w:qFormat/>
    <w:uiPriority w:val="0"/>
    <w:rPr>
      <w:rFonts w:ascii="宋体"/>
      <w:sz w:val="24"/>
    </w:rPr>
  </w:style>
  <w:style w:type="paragraph" w:customStyle="1" w:styleId="218">
    <w:name w:val="正文11"/>
    <w:basedOn w:val="1"/>
    <w:link w:val="217"/>
    <w:uiPriority w:val="0"/>
    <w:pPr>
      <w:adjustRightInd w:val="0"/>
      <w:spacing w:line="360" w:lineRule="atLeast"/>
      <w:jc w:val="left"/>
      <w:textAlignment w:val="baseline"/>
    </w:pPr>
    <w:rPr>
      <w:rFonts w:ascii="宋体" w:hAnsiTheme="minorHAnsi" w:eastAsiaTheme="minorEastAsia" w:cstheme="minorBidi"/>
      <w:szCs w:val="22"/>
    </w:rPr>
  </w:style>
  <w:style w:type="character" w:customStyle="1" w:styleId="219">
    <w:name w:val="正文文本缩进 Char Char Char"/>
    <w:qFormat/>
    <w:locked/>
    <w:uiPriority w:val="0"/>
    <w:rPr>
      <w:rFonts w:ascii="宋体" w:hAnsi="宋体" w:eastAsia="宋体"/>
      <w:spacing w:val="20"/>
      <w:kern w:val="2"/>
      <w:sz w:val="24"/>
      <w:lang w:val="en-US" w:eastAsia="zh-CN" w:bidi="ar-SA"/>
    </w:rPr>
  </w:style>
  <w:style w:type="character" w:customStyle="1" w:styleId="220">
    <w:name w:val="font01"/>
    <w:qFormat/>
    <w:uiPriority w:val="0"/>
    <w:rPr>
      <w:rFonts w:hint="default" w:ascii="Times New Roman" w:hAnsi="Times New Roman" w:eastAsia="宋体" w:cs="Times New Roman"/>
      <w:color w:val="000000"/>
      <w:sz w:val="18"/>
      <w:szCs w:val="18"/>
      <w:u w:val="none"/>
    </w:rPr>
  </w:style>
  <w:style w:type="character" w:customStyle="1" w:styleId="221">
    <w:name w:val="12"/>
    <w:qFormat/>
    <w:uiPriority w:val="0"/>
    <w:rPr>
      <w:rFonts w:ascii="宋体" w:hAnsi="宋体" w:eastAsia="汉鼎简书宋" w:cs="宋体"/>
      <w:spacing w:val="4"/>
      <w:kern w:val="2"/>
      <w:sz w:val="24"/>
      <w:szCs w:val="24"/>
      <w:lang w:val="en-US" w:eastAsia="zh-CN" w:bidi="ar-SA"/>
    </w:rPr>
  </w:style>
  <w:style w:type="character" w:customStyle="1" w:styleId="222">
    <w:name w:val="11p1"/>
    <w:qFormat/>
    <w:uiPriority w:val="0"/>
    <w:rPr>
      <w:rFonts w:ascii="Times New Roman" w:hAnsi="Times New Roman" w:eastAsia="宋体" w:cs="Times New Roman"/>
      <w:sz w:val="23"/>
    </w:rPr>
  </w:style>
  <w:style w:type="character" w:customStyle="1" w:styleId="223">
    <w:name w:val="泸县焦化二级标题 Char"/>
    <w:link w:val="224"/>
    <w:qFormat/>
    <w:uiPriority w:val="0"/>
    <w:rPr>
      <w:rFonts w:ascii="宋体" w:hAnsi="宋体"/>
      <w:b/>
      <w:bCs/>
      <w:spacing w:val="4"/>
      <w:sz w:val="28"/>
      <w:szCs w:val="28"/>
    </w:rPr>
  </w:style>
  <w:style w:type="paragraph" w:customStyle="1" w:styleId="224">
    <w:name w:val="泸县焦化二级标题"/>
    <w:basedOn w:val="225"/>
    <w:link w:val="223"/>
    <w:qFormat/>
    <w:uiPriority w:val="0"/>
    <w:pPr>
      <w:tabs>
        <w:tab w:val="left" w:pos="860"/>
      </w:tabs>
    </w:pPr>
    <w:rPr>
      <w:rFonts w:eastAsiaTheme="minorEastAsia" w:cstheme="minorBidi"/>
      <w:snapToGrid/>
    </w:rPr>
  </w:style>
  <w:style w:type="paragraph" w:customStyle="1" w:styleId="225">
    <w:name w:val="蒲标题2"/>
    <w:basedOn w:val="6"/>
    <w:link w:val="226"/>
    <w:qFormat/>
    <w:uiPriority w:val="0"/>
    <w:pPr>
      <w:keepNext/>
      <w:keepLines/>
      <w:numPr>
        <w:ilvl w:val="0"/>
        <w:numId w:val="0"/>
      </w:numPr>
      <w:tabs>
        <w:tab w:val="clear" w:pos="-181"/>
      </w:tabs>
      <w:spacing w:before="0" w:beforeLines="0"/>
      <w:jc w:val="both"/>
      <w:textAlignment w:val="auto"/>
      <w:outlineLvl w:val="0"/>
    </w:pPr>
    <w:rPr>
      <w:rFonts w:ascii="宋体" w:hAnsi="宋体" w:eastAsia="宋体"/>
      <w:b/>
      <w:bCs/>
      <w:snapToGrid w:val="0"/>
      <w:spacing w:val="4"/>
      <w:kern w:val="2"/>
      <w:sz w:val="28"/>
    </w:rPr>
  </w:style>
  <w:style w:type="character" w:customStyle="1" w:styleId="226">
    <w:name w:val="蒲标题2 Char"/>
    <w:link w:val="225"/>
    <w:qFormat/>
    <w:uiPriority w:val="0"/>
    <w:rPr>
      <w:rFonts w:ascii="宋体" w:hAnsi="宋体" w:eastAsia="宋体" w:cs="Times New Roman"/>
      <w:b/>
      <w:bCs/>
      <w:snapToGrid w:val="0"/>
      <w:spacing w:val="4"/>
      <w:sz w:val="28"/>
      <w:szCs w:val="28"/>
    </w:rPr>
  </w:style>
  <w:style w:type="character" w:customStyle="1" w:styleId="227">
    <w:name w:val="正文:  2 字符 Char"/>
    <w:link w:val="228"/>
    <w:qFormat/>
    <w:uiPriority w:val="0"/>
    <w:rPr>
      <w:sz w:val="24"/>
    </w:rPr>
  </w:style>
  <w:style w:type="paragraph" w:customStyle="1" w:styleId="228">
    <w:name w:val="正文:  2 字符"/>
    <w:basedOn w:val="1"/>
    <w:link w:val="227"/>
    <w:qFormat/>
    <w:uiPriority w:val="0"/>
    <w:pPr>
      <w:spacing w:line="300" w:lineRule="auto"/>
      <w:ind w:firstLine="200" w:firstLineChars="200"/>
    </w:pPr>
    <w:rPr>
      <w:rFonts w:asciiTheme="minorHAnsi" w:hAnsiTheme="minorHAnsi" w:eastAsiaTheme="minorEastAsia" w:cstheme="minorBidi"/>
      <w:szCs w:val="22"/>
    </w:rPr>
  </w:style>
  <w:style w:type="character" w:customStyle="1" w:styleId="229">
    <w:name w:val="标题 1 Char1 Char"/>
    <w:qFormat/>
    <w:uiPriority w:val="0"/>
    <w:rPr>
      <w:rFonts w:ascii="宋体" w:hAnsi="宋体" w:eastAsia="汉鼎简书宋" w:cs="宋体"/>
      <w:b/>
      <w:spacing w:val="4"/>
      <w:kern w:val="44"/>
      <w:sz w:val="44"/>
      <w:szCs w:val="30"/>
      <w:lang w:val="en-US" w:eastAsia="zh-CN" w:bidi="ar-SA"/>
    </w:rPr>
  </w:style>
  <w:style w:type="character" w:customStyle="1" w:styleId="230">
    <w:name w:val="段落1 Char1"/>
    <w:link w:val="231"/>
    <w:qFormat/>
    <w:uiPriority w:val="0"/>
    <w:rPr>
      <w:rFonts w:ascii="宋体" w:hAnsi="宋体"/>
      <w:spacing w:val="4"/>
      <w:sz w:val="24"/>
      <w:szCs w:val="24"/>
    </w:rPr>
  </w:style>
  <w:style w:type="paragraph" w:customStyle="1" w:styleId="231">
    <w:name w:val="段落1"/>
    <w:basedOn w:val="1"/>
    <w:link w:val="230"/>
    <w:qFormat/>
    <w:uiPriority w:val="0"/>
    <w:pPr>
      <w:adjustRightInd w:val="0"/>
      <w:spacing w:line="480" w:lineRule="exact"/>
      <w:ind w:firstLine="480" w:firstLineChars="200"/>
      <w:textAlignment w:val="baseline"/>
    </w:pPr>
    <w:rPr>
      <w:rFonts w:ascii="宋体" w:hAnsi="宋体" w:eastAsiaTheme="minorEastAsia" w:cstheme="minorBidi"/>
      <w:spacing w:val="4"/>
    </w:rPr>
  </w:style>
  <w:style w:type="character" w:customStyle="1" w:styleId="232">
    <w:name w:val="泸县焦化三级标题 Char Char"/>
    <w:qFormat/>
    <w:uiPriority w:val="0"/>
  </w:style>
  <w:style w:type="character" w:customStyle="1" w:styleId="233">
    <w:name w:val="可研报告正文 Char"/>
    <w:link w:val="234"/>
    <w:qFormat/>
    <w:uiPriority w:val="0"/>
    <w:rPr>
      <w:sz w:val="24"/>
      <w:szCs w:val="24"/>
    </w:rPr>
  </w:style>
  <w:style w:type="paragraph" w:customStyle="1" w:styleId="234">
    <w:name w:val="可研报告正文"/>
    <w:basedOn w:val="1"/>
    <w:link w:val="233"/>
    <w:qFormat/>
    <w:uiPriority w:val="0"/>
    <w:pPr>
      <w:tabs>
        <w:tab w:val="left" w:pos="5880"/>
      </w:tabs>
      <w:spacing w:beforeLines="50" w:line="440" w:lineRule="exact"/>
      <w:ind w:left="425" w:firstLine="482"/>
    </w:pPr>
    <w:rPr>
      <w:rFonts w:asciiTheme="minorHAnsi" w:hAnsiTheme="minorHAnsi" w:eastAsiaTheme="minorEastAsia" w:cstheme="minorBidi"/>
    </w:rPr>
  </w:style>
  <w:style w:type="character" w:customStyle="1" w:styleId="235">
    <w:name w:val="txt1"/>
    <w:qFormat/>
    <w:uiPriority w:val="0"/>
    <w:rPr>
      <w:color w:val="000000"/>
      <w:sz w:val="18"/>
      <w:szCs w:val="18"/>
      <w:u w:val="none"/>
    </w:rPr>
  </w:style>
  <w:style w:type="character" w:customStyle="1" w:styleId="236">
    <w:name w:val="可研-正文首行缩进 Char Char1"/>
    <w:qFormat/>
    <w:uiPriority w:val="0"/>
    <w:rPr>
      <w:rFonts w:ascii="宋体" w:hAnsi="宋体" w:eastAsia="宋体"/>
      <w:color w:val="000000"/>
      <w:sz w:val="28"/>
      <w:szCs w:val="28"/>
      <w:lang w:val="en-US" w:eastAsia="zh-CN" w:bidi="ar-SA"/>
    </w:rPr>
  </w:style>
  <w:style w:type="character" w:customStyle="1" w:styleId="237">
    <w:name w:val="Char Char5"/>
    <w:qFormat/>
    <w:uiPriority w:val="0"/>
    <w:rPr>
      <w:rFonts w:ascii="黑体" w:hAnsi="宋体" w:eastAsia="黑体" w:cs="宋体"/>
      <w:b/>
      <w:bCs/>
      <w:snapToGrid w:val="0"/>
      <w:color w:val="000000"/>
      <w:spacing w:val="4"/>
      <w:kern w:val="44"/>
      <w:sz w:val="36"/>
      <w:szCs w:val="44"/>
      <w:lang w:val="en-US" w:eastAsia="zh-CN" w:bidi="ar-SA"/>
    </w:rPr>
  </w:style>
  <w:style w:type="character" w:customStyle="1" w:styleId="238">
    <w:name w:val="1标题3级 Char"/>
    <w:link w:val="239"/>
    <w:qFormat/>
    <w:uiPriority w:val="0"/>
    <w:rPr>
      <w:rFonts w:eastAsia="仿宋_GB2312"/>
      <w:sz w:val="28"/>
    </w:rPr>
  </w:style>
  <w:style w:type="paragraph" w:customStyle="1" w:styleId="239">
    <w:name w:val="1标题3级"/>
    <w:basedOn w:val="1"/>
    <w:link w:val="238"/>
    <w:qFormat/>
    <w:uiPriority w:val="0"/>
    <w:pPr>
      <w:snapToGrid w:val="0"/>
    </w:pPr>
    <w:rPr>
      <w:rFonts w:eastAsia="仿宋_GB2312" w:asciiTheme="minorHAnsi" w:hAnsiTheme="minorHAnsi" w:cstheme="minorBidi"/>
      <w:sz w:val="28"/>
      <w:szCs w:val="22"/>
    </w:rPr>
  </w:style>
  <w:style w:type="character" w:customStyle="1" w:styleId="240">
    <w:name w:val="样式 仿宋_GB2312 小四 黑色"/>
    <w:qFormat/>
    <w:uiPriority w:val="0"/>
    <w:rPr>
      <w:rFonts w:ascii="Times New Roman" w:hAnsi="Times New Roman" w:eastAsia="仿宋_GB2312" w:cs="Courier New"/>
      <w:snapToGrid w:val="0"/>
      <w:color w:val="000000"/>
      <w:spacing w:val="4"/>
      <w:kern w:val="2"/>
      <w:sz w:val="24"/>
      <w:szCs w:val="24"/>
      <w:lang w:val="en-US" w:eastAsia="zh-CN" w:bidi="ar-SA"/>
    </w:rPr>
  </w:style>
  <w:style w:type="character" w:customStyle="1" w:styleId="241">
    <w:name w:val="txt41"/>
    <w:qFormat/>
    <w:uiPriority w:val="0"/>
    <w:rPr>
      <w:color w:val="000000"/>
      <w:sz w:val="25"/>
      <w:szCs w:val="25"/>
      <w:bdr w:val="single" w:color="000000" w:sz="4" w:space="0"/>
    </w:rPr>
  </w:style>
  <w:style w:type="character" w:customStyle="1" w:styleId="242">
    <w:name w:val="邵光高速小四号宋体 Char Char"/>
    <w:qFormat/>
    <w:uiPriority w:val="0"/>
    <w:rPr>
      <w:rFonts w:eastAsia="Times New Roman"/>
      <w:sz w:val="24"/>
      <w:szCs w:val="24"/>
      <w:lang w:val="en-US" w:eastAsia="zh-CN" w:bidi="ar-SA"/>
    </w:rPr>
  </w:style>
  <w:style w:type="character" w:customStyle="1" w:styleId="243">
    <w:name w:val="style81"/>
    <w:qFormat/>
    <w:uiPriority w:val="0"/>
    <w:rPr>
      <w:rFonts w:ascii="宋体" w:hAnsi="宋体" w:eastAsia="汉鼎简书宋" w:cs="宋体"/>
      <w:spacing w:val="4"/>
      <w:kern w:val="2"/>
      <w:sz w:val="24"/>
      <w:szCs w:val="24"/>
      <w:lang w:val="en-US" w:eastAsia="zh-CN" w:bidi="ar-SA"/>
    </w:rPr>
  </w:style>
  <w:style w:type="character" w:customStyle="1" w:styleId="244">
    <w:name w:val="z-窗体顶端 Char"/>
    <w:link w:val="245"/>
    <w:qFormat/>
    <w:uiPriority w:val="0"/>
    <w:rPr>
      <w:rFonts w:ascii="Arial" w:hAnsi="Arial" w:eastAsia="宋体" w:cs="Times New Roman"/>
      <w:vanish/>
      <w:sz w:val="16"/>
      <w:szCs w:val="16"/>
    </w:rPr>
  </w:style>
  <w:style w:type="paragraph" w:customStyle="1" w:styleId="245">
    <w:name w:val="z-窗体顶端1"/>
    <w:basedOn w:val="1"/>
    <w:next w:val="1"/>
    <w:link w:val="244"/>
    <w:qFormat/>
    <w:uiPriority w:val="0"/>
    <w:pPr>
      <w:widowControl/>
      <w:pBdr>
        <w:bottom w:val="single" w:color="auto" w:sz="6" w:space="1"/>
      </w:pBdr>
      <w:spacing w:line="240" w:lineRule="auto"/>
      <w:jc w:val="center"/>
    </w:pPr>
    <w:rPr>
      <w:rFonts w:ascii="Arial" w:hAnsi="Arial"/>
      <w:vanish/>
      <w:sz w:val="16"/>
      <w:szCs w:val="16"/>
    </w:rPr>
  </w:style>
  <w:style w:type="character" w:customStyle="1" w:styleId="246">
    <w:name w:val="可研-正文 Char1"/>
    <w:qFormat/>
    <w:uiPriority w:val="0"/>
    <w:rPr>
      <w:rFonts w:ascii="宋体" w:hAnsi="宋体" w:eastAsia="宋体" w:cs="宋体"/>
      <w:spacing w:val="4"/>
      <w:kern w:val="2"/>
      <w:sz w:val="28"/>
      <w:szCs w:val="24"/>
      <w:lang w:val="en-US" w:eastAsia="zh-CN" w:bidi="ar-SA"/>
    </w:rPr>
  </w:style>
  <w:style w:type="character" w:customStyle="1" w:styleId="247">
    <w:name w:val="Char Char171"/>
    <w:qFormat/>
    <w:uiPriority w:val="0"/>
    <w:rPr>
      <w:rFonts w:ascii="宋体" w:hAnsi="宋体" w:eastAsia="黑体" w:cs="Arial"/>
      <w:bCs/>
      <w:spacing w:val="4"/>
      <w:kern w:val="28"/>
      <w:sz w:val="24"/>
      <w:szCs w:val="32"/>
      <w:lang w:val="en-US" w:eastAsia="zh-CN" w:bidi="ar-SA"/>
    </w:rPr>
  </w:style>
  <w:style w:type="character" w:customStyle="1" w:styleId="248">
    <w:name w:val="陶瓷正文2 Char"/>
    <w:link w:val="249"/>
    <w:qFormat/>
    <w:uiPriority w:val="0"/>
    <w:rPr>
      <w:szCs w:val="28"/>
    </w:rPr>
  </w:style>
  <w:style w:type="paragraph" w:customStyle="1" w:styleId="249">
    <w:name w:val="陶瓷正文2"/>
    <w:basedOn w:val="250"/>
    <w:link w:val="248"/>
    <w:qFormat/>
    <w:uiPriority w:val="0"/>
    <w:rPr>
      <w:rFonts w:asciiTheme="minorHAnsi" w:hAnsiTheme="minorHAnsi" w:eastAsiaTheme="minorEastAsia" w:cstheme="minorBidi"/>
    </w:rPr>
  </w:style>
  <w:style w:type="paragraph" w:customStyle="1" w:styleId="250">
    <w:name w:val="正文（陶瓷）"/>
    <w:basedOn w:val="1"/>
    <w:link w:val="251"/>
    <w:qFormat/>
    <w:uiPriority w:val="0"/>
    <w:pPr>
      <w:spacing w:line="240" w:lineRule="auto"/>
      <w:ind w:firstLine="480" w:firstLineChars="200"/>
    </w:pPr>
    <w:rPr>
      <w:sz w:val="21"/>
      <w:szCs w:val="28"/>
    </w:rPr>
  </w:style>
  <w:style w:type="character" w:customStyle="1" w:styleId="251">
    <w:name w:val="正文（陶瓷） Char"/>
    <w:link w:val="250"/>
    <w:qFormat/>
    <w:uiPriority w:val="0"/>
    <w:rPr>
      <w:rFonts w:ascii="Times New Roman" w:hAnsi="Times New Roman" w:eastAsia="宋体" w:cs="Times New Roman"/>
      <w:szCs w:val="28"/>
    </w:rPr>
  </w:style>
  <w:style w:type="character" w:customStyle="1" w:styleId="252">
    <w:name w:val="报告书正文 Char Char Char Char Char Char Char Char Char"/>
    <w:qFormat/>
    <w:uiPriority w:val="0"/>
    <w:rPr>
      <w:rFonts w:eastAsia="宋体"/>
      <w:color w:val="000000"/>
      <w:kern w:val="2"/>
      <w:sz w:val="24"/>
      <w:szCs w:val="24"/>
      <w:lang w:val="en-US" w:eastAsia="zh-CN" w:bidi="ar-SA"/>
    </w:rPr>
  </w:style>
  <w:style w:type="character" w:customStyle="1" w:styleId="253">
    <w:name w:val="normalclass1"/>
    <w:qFormat/>
    <w:uiPriority w:val="0"/>
    <w:rPr>
      <w:rFonts w:ascii="宋体" w:hAnsi="宋体" w:eastAsia="汉鼎简书宋" w:cs="宋体"/>
      <w:spacing w:val="4"/>
      <w:kern w:val="2"/>
      <w:sz w:val="24"/>
      <w:szCs w:val="24"/>
      <w:lang w:val="en-US" w:eastAsia="zh-CN" w:bidi="ar-SA"/>
    </w:rPr>
  </w:style>
  <w:style w:type="character" w:customStyle="1" w:styleId="254">
    <w:name w:val="二章正文 Char Char Char Char"/>
    <w:qFormat/>
    <w:uiPriority w:val="0"/>
    <w:rPr>
      <w:rFonts w:ascii="宋体" w:hAnsi="宋体" w:eastAsia="宋体"/>
      <w:color w:val="000000"/>
      <w:spacing w:val="-18"/>
      <w:kern w:val="2"/>
      <w:sz w:val="18"/>
      <w:szCs w:val="18"/>
      <w:lang w:val="en-US" w:eastAsia="zh-CN" w:bidi="ar-SA"/>
    </w:rPr>
  </w:style>
  <w:style w:type="character" w:customStyle="1" w:styleId="255">
    <w:name w:val="表格正文 Char Char Char Char"/>
    <w:qFormat/>
    <w:uiPriority w:val="0"/>
    <w:rPr>
      <w:rFonts w:ascii="宋体" w:hAnsi="宋体" w:eastAsia="宋体" w:cs="宋体"/>
      <w:snapToGrid w:val="0"/>
      <w:color w:val="000000"/>
      <w:spacing w:val="4"/>
      <w:w w:val="90"/>
      <w:kern w:val="2"/>
      <w:sz w:val="24"/>
      <w:szCs w:val="24"/>
      <w:lang w:val="en-US" w:eastAsia="zh-CN" w:bidi="ar-SA"/>
    </w:rPr>
  </w:style>
  <w:style w:type="character" w:customStyle="1" w:styleId="256">
    <w:name w:val="y标题1 Char Char"/>
    <w:qFormat/>
    <w:uiPriority w:val="0"/>
    <w:rPr>
      <w:rFonts w:ascii="Calibri" w:hAnsi="Calibri" w:eastAsia="黑体" w:cs="宋体"/>
      <w:b/>
      <w:bCs/>
      <w:caps/>
      <w:spacing w:val="4"/>
      <w:kern w:val="44"/>
      <w:sz w:val="32"/>
      <w:szCs w:val="28"/>
      <w:lang w:val="en-US" w:eastAsia="zh-CN" w:bidi="ar-SA"/>
    </w:rPr>
  </w:style>
  <w:style w:type="character" w:customStyle="1" w:styleId="257">
    <w:name w:val="正文（固定） Char"/>
    <w:link w:val="258"/>
    <w:qFormat/>
    <w:uiPriority w:val="0"/>
    <w:rPr>
      <w:rFonts w:ascii="宋体" w:hAnsi="宋体" w:eastAsia="汉鼎简书宋" w:cs="Arial"/>
      <w:spacing w:val="4"/>
      <w:kern w:val="44"/>
      <w:sz w:val="24"/>
      <w:szCs w:val="24"/>
    </w:rPr>
  </w:style>
  <w:style w:type="paragraph" w:customStyle="1" w:styleId="258">
    <w:name w:val="正文（固定）"/>
    <w:basedOn w:val="259"/>
    <w:link w:val="257"/>
    <w:qFormat/>
    <w:uiPriority w:val="0"/>
    <w:pPr>
      <w:keepNext w:val="0"/>
      <w:keepLines w:val="0"/>
      <w:tabs>
        <w:tab w:val="left" w:pos="431"/>
      </w:tabs>
      <w:spacing w:line="500" w:lineRule="exact"/>
      <w:ind w:firstLine="480" w:firstLineChars="200"/>
      <w:jc w:val="left"/>
      <w:outlineLvl w:val="9"/>
    </w:pPr>
    <w:rPr>
      <w:rFonts w:ascii="宋体" w:hAnsi="宋体" w:eastAsia="汉鼎简书宋" w:cs="Arial"/>
      <w:b w:val="0"/>
      <w:bCs w:val="0"/>
      <w:spacing w:val="4"/>
      <w:kern w:val="44"/>
      <w:sz w:val="24"/>
      <w:szCs w:val="24"/>
    </w:rPr>
  </w:style>
  <w:style w:type="paragraph" w:customStyle="1" w:styleId="259">
    <w:name w:val="样式1"/>
    <w:basedOn w:val="5"/>
    <w:link w:val="260"/>
    <w:qFormat/>
    <w:uiPriority w:val="0"/>
    <w:pPr>
      <w:keepLines/>
      <w:tabs>
        <w:tab w:val="left" w:pos="431"/>
      </w:tabs>
      <w:spacing w:line="240" w:lineRule="auto"/>
    </w:pPr>
    <w:rPr>
      <w:rFonts w:ascii="Times New Roman" w:hAnsi="Times New Roman"/>
      <w:b/>
      <w:bCs/>
      <w:kern w:val="28"/>
      <w:szCs w:val="30"/>
    </w:rPr>
  </w:style>
  <w:style w:type="character" w:customStyle="1" w:styleId="260">
    <w:name w:val="样式1 Char"/>
    <w:link w:val="259"/>
    <w:qFormat/>
    <w:uiPriority w:val="0"/>
    <w:rPr>
      <w:rFonts w:ascii="Times New Roman" w:hAnsi="Times New Roman" w:eastAsia="宋体" w:cs="Times New Roman"/>
      <w:b/>
      <w:bCs/>
      <w:kern w:val="28"/>
      <w:sz w:val="28"/>
      <w:szCs w:val="30"/>
    </w:rPr>
  </w:style>
  <w:style w:type="character" w:customStyle="1" w:styleId="261">
    <w:name w:val="重点"/>
    <w:qFormat/>
    <w:uiPriority w:val="0"/>
    <w:rPr>
      <w:i/>
    </w:rPr>
  </w:style>
  <w:style w:type="character" w:customStyle="1" w:styleId="262">
    <w:name w:val="表注 Char Char"/>
    <w:qFormat/>
    <w:uiPriority w:val="0"/>
    <w:rPr>
      <w:rFonts w:ascii="宋体" w:hAnsi="宋体" w:eastAsia="宋体" w:cs="Courier New"/>
      <w:snapToGrid w:val="0"/>
      <w:color w:val="000000"/>
      <w:spacing w:val="4"/>
      <w:kern w:val="2"/>
      <w:sz w:val="18"/>
      <w:szCs w:val="21"/>
      <w:lang w:val="en-US" w:eastAsia="zh-CN" w:bidi="ar-SA"/>
    </w:rPr>
  </w:style>
  <w:style w:type="character" w:customStyle="1" w:styleId="263">
    <w:name w:val="【公式】 Char Char"/>
    <w:qFormat/>
    <w:uiPriority w:val="0"/>
    <w:rPr>
      <w:rFonts w:ascii="宋体" w:hAnsi="宋体" w:eastAsia="宋体" w:cs="宋体"/>
      <w:spacing w:val="16"/>
      <w:kern w:val="2"/>
      <w:sz w:val="24"/>
      <w:szCs w:val="24"/>
      <w:lang w:val="en-US" w:eastAsia="zh-CN" w:bidi="ar-SA"/>
    </w:rPr>
  </w:style>
  <w:style w:type="character" w:customStyle="1" w:styleId="264">
    <w:name w:val="样式61 Char"/>
    <w:link w:val="265"/>
    <w:qFormat/>
    <w:uiPriority w:val="0"/>
    <w:rPr>
      <w:rFonts w:ascii="黑体" w:hAnsi="黑体" w:eastAsia="黑体"/>
      <w:b/>
      <w:sz w:val="24"/>
      <w:szCs w:val="24"/>
    </w:rPr>
  </w:style>
  <w:style w:type="paragraph" w:customStyle="1" w:styleId="265">
    <w:name w:val="样式61"/>
    <w:basedOn w:val="1"/>
    <w:link w:val="264"/>
    <w:qFormat/>
    <w:uiPriority w:val="0"/>
    <w:pPr>
      <w:adjustRightInd w:val="0"/>
      <w:snapToGrid w:val="0"/>
      <w:outlineLvl w:val="3"/>
    </w:pPr>
    <w:rPr>
      <w:rFonts w:ascii="黑体" w:hAnsi="黑体" w:eastAsia="黑体" w:cstheme="minorBidi"/>
      <w:b/>
    </w:rPr>
  </w:style>
  <w:style w:type="character" w:customStyle="1" w:styleId="266">
    <w:name w:val="表头(新康健城) Char"/>
    <w:link w:val="267"/>
    <w:qFormat/>
    <w:uiPriority w:val="0"/>
    <w:rPr>
      <w:rFonts w:eastAsia="黑体"/>
      <w:sz w:val="24"/>
      <w:szCs w:val="24"/>
    </w:rPr>
  </w:style>
  <w:style w:type="paragraph" w:customStyle="1" w:styleId="267">
    <w:name w:val="表头(新康健城)"/>
    <w:basedOn w:val="1"/>
    <w:link w:val="266"/>
    <w:qFormat/>
    <w:uiPriority w:val="0"/>
    <w:pPr>
      <w:jc w:val="center"/>
    </w:pPr>
    <w:rPr>
      <w:rFonts w:eastAsia="黑体" w:asciiTheme="minorHAnsi" w:hAnsiTheme="minorHAnsi" w:cstheme="minorBidi"/>
    </w:rPr>
  </w:style>
  <w:style w:type="character" w:customStyle="1" w:styleId="268">
    <w:name w:val="xyb自建正文 Char Char"/>
    <w:qFormat/>
    <w:uiPriority w:val="0"/>
    <w:rPr>
      <w:rFonts w:ascii="宋体" w:hAnsi="宋体" w:eastAsia="宋体"/>
      <w:sz w:val="24"/>
      <w:szCs w:val="24"/>
      <w:lang w:val="en-US" w:eastAsia="zh-CN" w:bidi="ar-SA"/>
    </w:rPr>
  </w:style>
  <w:style w:type="character" w:customStyle="1" w:styleId="269">
    <w:name w:val="Char Char6"/>
    <w:qFormat/>
    <w:uiPriority w:val="0"/>
    <w:rPr>
      <w:rFonts w:ascii="宋体" w:hAnsi="宋体" w:eastAsia="宋体" w:cs="宋体"/>
      <w:snapToGrid w:val="0"/>
      <w:color w:val="000000"/>
      <w:spacing w:val="4"/>
      <w:kern w:val="2"/>
      <w:sz w:val="18"/>
      <w:szCs w:val="18"/>
      <w:lang w:val="en-US" w:eastAsia="zh-CN" w:bidi="ar-SA"/>
    </w:rPr>
  </w:style>
  <w:style w:type="character" w:customStyle="1" w:styleId="270">
    <w:name w:val="hhcwt表格内文字 Char"/>
    <w:link w:val="271"/>
    <w:qFormat/>
    <w:uiPriority w:val="0"/>
    <w:rPr>
      <w:rFonts w:eastAsia="仿宋_GB2312" w:cs="宋体"/>
    </w:rPr>
  </w:style>
  <w:style w:type="paragraph" w:customStyle="1" w:styleId="271">
    <w:name w:val="hhcwt表格内文字"/>
    <w:basedOn w:val="1"/>
    <w:link w:val="270"/>
    <w:qFormat/>
    <w:uiPriority w:val="0"/>
    <w:pPr>
      <w:spacing w:line="240" w:lineRule="auto"/>
      <w:jc w:val="center"/>
    </w:pPr>
    <w:rPr>
      <w:rFonts w:eastAsia="仿宋_GB2312" w:cs="宋体" w:asciiTheme="minorHAnsi" w:hAnsiTheme="minorHAnsi"/>
      <w:sz w:val="21"/>
      <w:szCs w:val="22"/>
    </w:rPr>
  </w:style>
  <w:style w:type="character" w:customStyle="1" w:styleId="272">
    <w:name w:val="环评正文 Char"/>
    <w:link w:val="273"/>
    <w:qFormat/>
    <w:uiPriority w:val="0"/>
    <w:rPr>
      <w:rFonts w:ascii="Times New Roman" w:hAnsi="Times New Roman" w:eastAsia="仿宋_GB2312" w:cs="Times New Roman"/>
      <w:bCs/>
      <w:kern w:val="44"/>
      <w:sz w:val="24"/>
      <w:szCs w:val="44"/>
    </w:rPr>
  </w:style>
  <w:style w:type="paragraph" w:customStyle="1" w:styleId="273">
    <w:name w:val="环评正文"/>
    <w:basedOn w:val="5"/>
    <w:link w:val="272"/>
    <w:qFormat/>
    <w:uiPriority w:val="0"/>
    <w:pPr>
      <w:keepNext w:val="0"/>
      <w:adjustRightInd w:val="0"/>
      <w:snapToGrid w:val="0"/>
      <w:spacing w:before="60" w:after="60" w:line="400" w:lineRule="exact"/>
      <w:ind w:firstLine="484"/>
      <w:outlineLvl w:val="9"/>
    </w:pPr>
    <w:rPr>
      <w:rFonts w:ascii="Times New Roman" w:hAnsi="Times New Roman" w:eastAsia="仿宋_GB2312"/>
      <w:bCs/>
      <w:kern w:val="44"/>
      <w:sz w:val="24"/>
      <w:szCs w:val="44"/>
    </w:rPr>
  </w:style>
  <w:style w:type="character" w:customStyle="1" w:styleId="274">
    <w:name w:val="fb1"/>
    <w:qFormat/>
    <w:uiPriority w:val="0"/>
    <w:rPr>
      <w:b/>
      <w:bCs/>
    </w:rPr>
  </w:style>
  <w:style w:type="character" w:customStyle="1" w:styleId="275">
    <w:name w:val="正文1 Char Char Char1"/>
    <w:qFormat/>
    <w:uiPriority w:val="0"/>
    <w:rPr>
      <w:rFonts w:ascii="宋体" w:hAnsi="宋体" w:eastAsia="仿宋_GB2312" w:cs="宋体"/>
      <w:color w:val="000000"/>
      <w:spacing w:val="4"/>
      <w:kern w:val="2"/>
      <w:sz w:val="28"/>
      <w:szCs w:val="28"/>
      <w:lang w:val="en-US" w:eastAsia="zh-CN" w:bidi="ar-SA"/>
    </w:rPr>
  </w:style>
  <w:style w:type="character" w:customStyle="1" w:styleId="276">
    <w:name w:val="文本正文专用 Char Char"/>
    <w:qFormat/>
    <w:uiPriority w:val="0"/>
    <w:rPr>
      <w:rFonts w:eastAsia="宋体" w:cs="宋体"/>
      <w:kern w:val="2"/>
      <w:sz w:val="24"/>
      <w:szCs w:val="24"/>
      <w:lang w:val="en-US" w:eastAsia="zh-CN" w:bidi="ar-SA"/>
    </w:rPr>
  </w:style>
  <w:style w:type="character" w:customStyle="1" w:styleId="277">
    <w:name w:val="表5.6 Char"/>
    <w:link w:val="278"/>
    <w:qFormat/>
    <w:uiPriority w:val="0"/>
    <w:rPr>
      <w:rFonts w:ascii="黑体" w:eastAsia="黑体"/>
      <w:b/>
      <w:bCs/>
      <w:color w:val="FF0000"/>
      <w:sz w:val="24"/>
      <w:szCs w:val="24"/>
    </w:rPr>
  </w:style>
  <w:style w:type="paragraph" w:customStyle="1" w:styleId="278">
    <w:name w:val="表5.6"/>
    <w:basedOn w:val="279"/>
    <w:link w:val="277"/>
    <w:qFormat/>
    <w:uiPriority w:val="0"/>
    <w:pPr>
      <w:numPr>
        <w:numId w:val="2"/>
      </w:numPr>
      <w:tabs>
        <w:tab w:val="left" w:pos="360"/>
        <w:tab w:val="left" w:pos="1080"/>
        <w:tab w:val="left" w:pos="1234"/>
        <w:tab w:val="left" w:pos="1844"/>
        <w:tab w:val="center" w:pos="4060"/>
        <w:tab w:val="left" w:pos="4200"/>
        <w:tab w:val="right" w:pos="8261"/>
      </w:tabs>
      <w:ind w:left="1234" w:hanging="720"/>
    </w:pPr>
    <w:rPr>
      <w:rFonts w:hAnsiTheme="minorHAnsi" w:cstheme="minorBidi"/>
      <w:bCs/>
      <w:color w:val="FF0000"/>
      <w:kern w:val="2"/>
      <w:szCs w:val="24"/>
    </w:rPr>
  </w:style>
  <w:style w:type="paragraph" w:customStyle="1" w:styleId="279">
    <w:name w:val="表2.1"/>
    <w:basedOn w:val="1"/>
    <w:link w:val="280"/>
    <w:qFormat/>
    <w:uiPriority w:val="0"/>
    <w:pPr>
      <w:numPr>
        <w:ilvl w:val="0"/>
        <w:numId w:val="3"/>
      </w:numPr>
      <w:tabs>
        <w:tab w:val="center" w:pos="4060"/>
        <w:tab w:val="right" w:pos="8261"/>
      </w:tabs>
      <w:suppressAutoHyphens/>
      <w:adjustRightInd w:val="0"/>
      <w:spacing w:before="240" w:line="0" w:lineRule="atLeast"/>
    </w:pPr>
    <w:rPr>
      <w:rFonts w:ascii="黑体" w:eastAsia="黑体"/>
      <w:b/>
      <w:kern w:val="0"/>
      <w:szCs w:val="26"/>
    </w:rPr>
  </w:style>
  <w:style w:type="character" w:customStyle="1" w:styleId="280">
    <w:name w:val="表2.1 Char Char"/>
    <w:link w:val="279"/>
    <w:qFormat/>
    <w:uiPriority w:val="0"/>
    <w:rPr>
      <w:rFonts w:ascii="黑体" w:hAnsi="Times New Roman" w:eastAsia="黑体" w:cs="Times New Roman"/>
      <w:b/>
      <w:kern w:val="0"/>
      <w:sz w:val="24"/>
      <w:szCs w:val="26"/>
    </w:rPr>
  </w:style>
  <w:style w:type="character" w:customStyle="1" w:styleId="281">
    <w:name w:val="新标题3 Char"/>
    <w:link w:val="282"/>
    <w:qFormat/>
    <w:uiPriority w:val="0"/>
    <w:rPr>
      <w:rFonts w:ascii="黑体" w:eastAsia="黑体" w:cs="宋体"/>
      <w:b/>
      <w:bCs/>
      <w:color w:val="000000"/>
      <w:sz w:val="24"/>
      <w:szCs w:val="24"/>
      <w:lang w:val="zh-CN"/>
    </w:rPr>
  </w:style>
  <w:style w:type="paragraph" w:customStyle="1" w:styleId="282">
    <w:name w:val="新标题3"/>
    <w:basedOn w:val="1"/>
    <w:link w:val="281"/>
    <w:qFormat/>
    <w:uiPriority w:val="0"/>
    <w:pPr>
      <w:keepNext/>
      <w:autoSpaceDE w:val="0"/>
      <w:autoSpaceDN w:val="0"/>
      <w:adjustRightInd w:val="0"/>
      <w:spacing w:before="120" w:after="120" w:line="460" w:lineRule="exact"/>
      <w:outlineLvl w:val="2"/>
    </w:pPr>
    <w:rPr>
      <w:rFonts w:ascii="黑体" w:eastAsia="黑体" w:cs="宋体" w:hAnsiTheme="minorHAnsi"/>
      <w:b/>
      <w:bCs/>
      <w:color w:val="000000"/>
      <w:lang w:val="zh-CN"/>
    </w:rPr>
  </w:style>
  <w:style w:type="character" w:customStyle="1" w:styleId="283">
    <w:name w:val="样式 宋体 五号 加粗 黑色 居中 行距: 单倍行距"/>
    <w:qFormat/>
    <w:uiPriority w:val="0"/>
    <w:rPr>
      <w:rFonts w:ascii="宋体" w:hAnsi="宋体" w:eastAsia="宋体" w:cs="宋体"/>
      <w:bCs/>
      <w:color w:val="000000"/>
      <w:sz w:val="21"/>
      <w:szCs w:val="21"/>
    </w:rPr>
  </w:style>
  <w:style w:type="character" w:customStyle="1" w:styleId="284">
    <w:name w:val="环小四1.1（二级） Char Char"/>
    <w:qFormat/>
    <w:uiPriority w:val="0"/>
    <w:rPr>
      <w:rFonts w:ascii="宋体" w:hAnsi="宋体"/>
      <w:b/>
      <w:bCs/>
      <w:color w:val="000000"/>
      <w:kern w:val="24"/>
      <w:sz w:val="24"/>
      <w:szCs w:val="24"/>
      <w:lang w:val="en-US" w:eastAsia="zh-CN" w:bidi="ar-SA"/>
    </w:rPr>
  </w:style>
  <w:style w:type="character" w:customStyle="1" w:styleId="285">
    <w:name w:val="表格内文字 Char"/>
    <w:link w:val="286"/>
    <w:qFormat/>
    <w:uiPriority w:val="0"/>
    <w:rPr>
      <w:spacing w:val="10"/>
      <w:sz w:val="24"/>
    </w:rPr>
  </w:style>
  <w:style w:type="paragraph" w:customStyle="1" w:styleId="286">
    <w:name w:val="表格内文字"/>
    <w:basedOn w:val="1"/>
    <w:link w:val="285"/>
    <w:qFormat/>
    <w:uiPriority w:val="0"/>
    <w:pPr>
      <w:spacing w:before="100" w:after="100" w:line="320" w:lineRule="exact"/>
      <w:jc w:val="center"/>
    </w:pPr>
    <w:rPr>
      <w:rFonts w:asciiTheme="minorHAnsi" w:hAnsiTheme="minorHAnsi" w:eastAsiaTheme="minorEastAsia" w:cstheme="minorBidi"/>
      <w:spacing w:val="10"/>
      <w:szCs w:val="22"/>
    </w:rPr>
  </w:style>
  <w:style w:type="character" w:customStyle="1" w:styleId="287">
    <w:name w:val="宏文本 Char1"/>
    <w:qFormat/>
    <w:uiPriority w:val="0"/>
    <w:rPr>
      <w:rFonts w:ascii="Courier New" w:hAnsi="Courier New" w:cs="Courier New"/>
      <w:kern w:val="2"/>
      <w:sz w:val="24"/>
      <w:szCs w:val="24"/>
    </w:rPr>
  </w:style>
  <w:style w:type="character" w:customStyle="1" w:styleId="288">
    <w:name w:val="Char Char17"/>
    <w:qFormat/>
    <w:uiPriority w:val="0"/>
    <w:rPr>
      <w:rFonts w:ascii="宋体" w:hAnsi="宋体" w:eastAsia="黑体" w:cs="Arial"/>
      <w:bCs/>
      <w:spacing w:val="4"/>
      <w:kern w:val="28"/>
      <w:sz w:val="24"/>
      <w:szCs w:val="32"/>
      <w:lang w:val="en-US" w:eastAsia="zh-CN" w:bidi="ar-SA"/>
    </w:rPr>
  </w:style>
  <w:style w:type="character" w:customStyle="1" w:styleId="289">
    <w:name w:val="Lead-in Emphasis"/>
    <w:qFormat/>
    <w:uiPriority w:val="0"/>
    <w:rPr>
      <w:rFonts w:ascii="Arial" w:hAnsi="Arial"/>
      <w:b/>
      <w:spacing w:val="-8"/>
      <w:sz w:val="18"/>
    </w:rPr>
  </w:style>
  <w:style w:type="character" w:customStyle="1" w:styleId="290">
    <w:name w:val="泸县焦化二级标题 Char Char"/>
    <w:qFormat/>
    <w:uiPriority w:val="0"/>
  </w:style>
  <w:style w:type="character" w:customStyle="1" w:styleId="291">
    <w:name w:val="Char Char23"/>
    <w:qFormat/>
    <w:uiPriority w:val="0"/>
    <w:rPr>
      <w:sz w:val="18"/>
      <w:szCs w:val="18"/>
    </w:rPr>
  </w:style>
  <w:style w:type="character" w:customStyle="1" w:styleId="292">
    <w:name w:val="标题4 Char Char"/>
    <w:qFormat/>
    <w:uiPriority w:val="0"/>
    <w:rPr>
      <w:rFonts w:ascii="宋体" w:hAnsi="宋体" w:eastAsia="宋体" w:cs="宋体"/>
      <w:snapToGrid w:val="0"/>
      <w:color w:val="000000"/>
      <w:spacing w:val="4"/>
      <w:kern w:val="2"/>
      <w:sz w:val="21"/>
      <w:szCs w:val="24"/>
      <w:lang w:val="en-US" w:eastAsia="zh-CN" w:bidi="ar-SA"/>
    </w:rPr>
  </w:style>
  <w:style w:type="character" w:customStyle="1" w:styleId="293">
    <w:name w:val="A1 Char1"/>
    <w:qFormat/>
    <w:uiPriority w:val="0"/>
    <w:rPr>
      <w:rFonts w:ascii="Times New Roman" w:hAnsi="Times New Roman" w:eastAsia="宋体" w:cs="Times New Roman"/>
      <w:b/>
      <w:bCs/>
      <w:kern w:val="44"/>
      <w:sz w:val="44"/>
      <w:szCs w:val="44"/>
    </w:rPr>
  </w:style>
  <w:style w:type="character" w:customStyle="1" w:styleId="294">
    <w:name w:val="样式 正文首行缩进 + 四号 黑色 Char"/>
    <w:link w:val="295"/>
    <w:qFormat/>
    <w:uiPriority w:val="0"/>
    <w:rPr>
      <w:rFonts w:ascii="宋体" w:hAnsi="宋体"/>
      <w:color w:val="000000"/>
      <w:spacing w:val="4"/>
      <w:sz w:val="28"/>
      <w:szCs w:val="24"/>
    </w:rPr>
  </w:style>
  <w:style w:type="paragraph" w:customStyle="1" w:styleId="295">
    <w:name w:val="样式 正文首行缩进 + 四号 黑色"/>
    <w:basedOn w:val="87"/>
    <w:link w:val="294"/>
    <w:qFormat/>
    <w:uiPriority w:val="0"/>
    <w:pPr>
      <w:spacing w:line="240" w:lineRule="auto"/>
    </w:pPr>
    <w:rPr>
      <w:rFonts w:ascii="宋体" w:hAnsi="宋体" w:eastAsiaTheme="minorEastAsia" w:cstheme="minorBidi"/>
      <w:color w:val="000000"/>
      <w:spacing w:val="4"/>
      <w:sz w:val="28"/>
    </w:rPr>
  </w:style>
  <w:style w:type="character" w:customStyle="1" w:styleId="296">
    <w:name w:val="表格 Char Char"/>
    <w:qFormat/>
    <w:uiPriority w:val="0"/>
    <w:rPr>
      <w:rFonts w:ascii="宋体" w:hAnsi="宋体" w:eastAsia="黑体" w:cs="宋体"/>
      <w:spacing w:val="4"/>
      <w:kern w:val="2"/>
      <w:sz w:val="21"/>
      <w:szCs w:val="24"/>
      <w:lang w:val="en-US" w:eastAsia="zh-CN" w:bidi="ar-SA"/>
    </w:rPr>
  </w:style>
  <w:style w:type="character" w:customStyle="1" w:styleId="297">
    <w:name w:val="style61"/>
    <w:qFormat/>
    <w:uiPriority w:val="0"/>
    <w:rPr>
      <w:rFonts w:hint="default" w:ascii="Times New Roman" w:hAnsi="Times New Roman" w:eastAsia="宋体" w:cs="Times New Roman"/>
      <w:sz w:val="18"/>
    </w:rPr>
  </w:style>
  <w:style w:type="character" w:customStyle="1" w:styleId="298">
    <w:name w:val="批注主题 Char1"/>
    <w:qFormat/>
    <w:uiPriority w:val="99"/>
    <w:rPr>
      <w:b/>
      <w:bCs/>
      <w:kern w:val="2"/>
      <w:sz w:val="21"/>
      <w:szCs w:val="24"/>
    </w:rPr>
  </w:style>
  <w:style w:type="character" w:customStyle="1" w:styleId="299">
    <w:name w:val="样式 正文 +"/>
    <w:qFormat/>
    <w:uiPriority w:val="0"/>
    <w:rPr>
      <w:rFonts w:ascii="宋体" w:hAnsi="宋体" w:eastAsia="宋体" w:cs="宋体"/>
      <w:color w:val="000000"/>
      <w:spacing w:val="4"/>
      <w:kern w:val="2"/>
      <w:sz w:val="21"/>
      <w:szCs w:val="24"/>
      <w:lang w:val="en-US" w:eastAsia="zh-CN" w:bidi="ar-SA"/>
    </w:rPr>
  </w:style>
  <w:style w:type="character" w:customStyle="1" w:styleId="300">
    <w:name w:val="水资源论证正文 Char"/>
    <w:link w:val="301"/>
    <w:qFormat/>
    <w:uiPriority w:val="0"/>
    <w:rPr>
      <w:rFonts w:ascii="宋体" w:hAnsi="宋体" w:cs="宋体"/>
      <w:spacing w:val="4"/>
      <w:sz w:val="24"/>
      <w:szCs w:val="24"/>
    </w:rPr>
  </w:style>
  <w:style w:type="paragraph" w:customStyle="1" w:styleId="301">
    <w:name w:val="水资源论证正文"/>
    <w:basedOn w:val="1"/>
    <w:link w:val="300"/>
    <w:qFormat/>
    <w:uiPriority w:val="0"/>
    <w:pPr>
      <w:spacing w:line="440" w:lineRule="exact"/>
      <w:ind w:firstLine="480" w:firstLineChars="200"/>
    </w:pPr>
    <w:rPr>
      <w:rFonts w:ascii="宋体" w:hAnsi="宋体" w:cs="宋体" w:eastAsiaTheme="minorEastAsia"/>
      <w:spacing w:val="4"/>
    </w:rPr>
  </w:style>
  <w:style w:type="character" w:customStyle="1" w:styleId="302">
    <w:name w:val="表号 Char3"/>
    <w:qFormat/>
    <w:uiPriority w:val="0"/>
    <w:rPr>
      <w:rFonts w:ascii="黑体" w:eastAsia="黑体"/>
      <w:sz w:val="21"/>
      <w:lang w:val="en-US" w:eastAsia="zh-CN" w:bidi="ar-SA"/>
    </w:rPr>
  </w:style>
  <w:style w:type="character" w:customStyle="1" w:styleId="303">
    <w:name w:val="表格样式 Char"/>
    <w:link w:val="304"/>
    <w:qFormat/>
    <w:uiPriority w:val="0"/>
    <w:rPr>
      <w:rFonts w:ascii="Times New Roman" w:hAnsi="Times New Roman" w:eastAsia="仿宋_GB2312" w:cs="Times New Roman"/>
      <w:sz w:val="24"/>
    </w:rPr>
  </w:style>
  <w:style w:type="paragraph" w:customStyle="1" w:styleId="304">
    <w:name w:val="表格样式"/>
    <w:basedOn w:val="1"/>
    <w:link w:val="303"/>
    <w:qFormat/>
    <w:uiPriority w:val="0"/>
    <w:pPr>
      <w:adjustRightInd w:val="0"/>
      <w:snapToGrid w:val="0"/>
      <w:spacing w:line="240" w:lineRule="auto"/>
      <w:jc w:val="center"/>
    </w:pPr>
    <w:rPr>
      <w:rFonts w:eastAsia="仿宋_GB2312"/>
      <w:szCs w:val="22"/>
    </w:rPr>
  </w:style>
  <w:style w:type="character" w:customStyle="1" w:styleId="305">
    <w:name w:val="Char Char51"/>
    <w:qFormat/>
    <w:uiPriority w:val="0"/>
    <w:rPr>
      <w:rFonts w:ascii="黑体" w:hAnsi="宋体" w:eastAsia="黑体" w:cs="宋体"/>
      <w:b/>
      <w:bCs/>
      <w:snapToGrid w:val="0"/>
      <w:color w:val="000000"/>
      <w:spacing w:val="4"/>
      <w:kern w:val="44"/>
      <w:sz w:val="36"/>
      <w:szCs w:val="44"/>
      <w:lang w:val="en-US" w:eastAsia="zh-CN" w:bidi="ar-SA"/>
    </w:rPr>
  </w:style>
  <w:style w:type="character" w:customStyle="1" w:styleId="306">
    <w:name w:val="二章正文 Char Char Char"/>
    <w:link w:val="307"/>
    <w:qFormat/>
    <w:uiPriority w:val="0"/>
    <w:rPr>
      <w:rFonts w:ascii="宋体" w:hAnsi="宋体"/>
      <w:color w:val="000000"/>
      <w:spacing w:val="-18"/>
      <w:sz w:val="18"/>
      <w:szCs w:val="18"/>
    </w:rPr>
  </w:style>
  <w:style w:type="paragraph" w:customStyle="1" w:styleId="307">
    <w:name w:val="二章正文 Char Char"/>
    <w:basedOn w:val="1"/>
    <w:link w:val="306"/>
    <w:qFormat/>
    <w:uiPriority w:val="0"/>
    <w:pPr>
      <w:adjustRightInd w:val="0"/>
      <w:snapToGrid w:val="0"/>
      <w:spacing w:line="240" w:lineRule="exact"/>
      <w:jc w:val="center"/>
    </w:pPr>
    <w:rPr>
      <w:rFonts w:ascii="宋体" w:hAnsi="宋体" w:eastAsiaTheme="minorEastAsia" w:cstheme="minorBidi"/>
      <w:color w:val="000000"/>
      <w:spacing w:val="-18"/>
      <w:sz w:val="18"/>
      <w:szCs w:val="18"/>
    </w:rPr>
  </w:style>
  <w:style w:type="character" w:customStyle="1" w:styleId="308">
    <w:name w:val="正文文本缩进 2 Char1"/>
    <w:qFormat/>
    <w:uiPriority w:val="0"/>
    <w:rPr>
      <w:rFonts w:ascii="宋体" w:hAnsi="宋体" w:eastAsia="宋体" w:cs="Times New Roman"/>
      <w:spacing w:val="20"/>
      <w:kern w:val="0"/>
      <w:sz w:val="28"/>
      <w:szCs w:val="20"/>
    </w:rPr>
  </w:style>
  <w:style w:type="character" w:customStyle="1" w:styleId="309">
    <w:name w:val="wz"/>
    <w:qFormat/>
    <w:uiPriority w:val="0"/>
  </w:style>
  <w:style w:type="character" w:customStyle="1" w:styleId="310">
    <w:name w:val="样式 二级标题 + 自动设置 Char Char"/>
    <w:qFormat/>
    <w:uiPriority w:val="0"/>
    <w:rPr>
      <w:rFonts w:ascii="宋体" w:hAnsi="Arial" w:eastAsia="黑体" w:cs="宋体"/>
      <w:b/>
      <w:bCs/>
      <w:spacing w:val="4"/>
      <w:kern w:val="2"/>
      <w:sz w:val="32"/>
      <w:szCs w:val="32"/>
    </w:rPr>
  </w:style>
  <w:style w:type="character" w:customStyle="1" w:styleId="311">
    <w:name w:val="上标"/>
    <w:qFormat/>
    <w:uiPriority w:val="0"/>
    <w:rPr>
      <w:vertAlign w:val="superscript"/>
    </w:rPr>
  </w:style>
  <w:style w:type="character" w:customStyle="1" w:styleId="312">
    <w:name w:val="1正文段落 Char"/>
    <w:link w:val="313"/>
    <w:qFormat/>
    <w:uiPriority w:val="0"/>
    <w:rPr>
      <w:sz w:val="24"/>
      <w:szCs w:val="24"/>
    </w:rPr>
  </w:style>
  <w:style w:type="paragraph" w:customStyle="1" w:styleId="313">
    <w:name w:val="1正文段落"/>
    <w:basedOn w:val="1"/>
    <w:link w:val="312"/>
    <w:qFormat/>
    <w:uiPriority w:val="0"/>
    <w:pPr>
      <w:ind w:firstLine="480" w:firstLineChars="200"/>
      <w:jc w:val="left"/>
    </w:pPr>
    <w:rPr>
      <w:rFonts w:asciiTheme="minorHAnsi" w:hAnsiTheme="minorHAnsi" w:eastAsiaTheme="minorEastAsia" w:cstheme="minorBidi"/>
    </w:rPr>
  </w:style>
  <w:style w:type="character" w:customStyle="1" w:styleId="314">
    <w:name w:val="无间隔 Char"/>
    <w:link w:val="315"/>
    <w:qFormat/>
    <w:uiPriority w:val="0"/>
    <w:rPr>
      <w:rFonts w:ascii="Verdana" w:hAnsi="Verdana" w:eastAsia="黑体"/>
      <w:b/>
      <w:sz w:val="32"/>
      <w:szCs w:val="32"/>
      <w:lang w:eastAsia="en-US"/>
    </w:rPr>
  </w:style>
  <w:style w:type="paragraph" w:customStyle="1" w:styleId="315">
    <w:name w:val="标题4"/>
    <w:basedOn w:val="1"/>
    <w:link w:val="314"/>
    <w:qFormat/>
    <w:uiPriority w:val="0"/>
    <w:pPr>
      <w:widowControl/>
      <w:snapToGrid w:val="0"/>
      <w:spacing w:line="500" w:lineRule="exact"/>
      <w:ind w:firstLine="641"/>
      <w:jc w:val="left"/>
    </w:pPr>
    <w:rPr>
      <w:rFonts w:ascii="Verdana" w:hAnsi="Verdana" w:eastAsia="黑体" w:cstheme="minorBidi"/>
      <w:b/>
      <w:sz w:val="32"/>
      <w:szCs w:val="32"/>
      <w:lang w:eastAsia="en-US"/>
    </w:rPr>
  </w:style>
  <w:style w:type="character" w:customStyle="1" w:styleId="316">
    <w:name w:val="样式 正文文本缩进 + 宋体 Char"/>
    <w:link w:val="317"/>
    <w:qFormat/>
    <w:uiPriority w:val="0"/>
    <w:rPr>
      <w:rFonts w:ascii="宋体" w:hAnsi="宋体"/>
      <w:sz w:val="24"/>
      <w:szCs w:val="24"/>
    </w:rPr>
  </w:style>
  <w:style w:type="paragraph" w:customStyle="1" w:styleId="317">
    <w:name w:val="样式 正文文本缩进 + 宋体"/>
    <w:basedOn w:val="3"/>
    <w:link w:val="316"/>
    <w:qFormat/>
    <w:uiPriority w:val="0"/>
    <w:pPr>
      <w:spacing w:after="0"/>
      <w:ind w:left="0" w:leftChars="0" w:firstLine="480" w:firstLineChars="200"/>
    </w:pPr>
    <w:rPr>
      <w:rFonts w:ascii="宋体" w:hAnsi="宋体" w:eastAsiaTheme="minorEastAsia" w:cstheme="minorBidi"/>
    </w:rPr>
  </w:style>
  <w:style w:type="character" w:customStyle="1" w:styleId="318">
    <w:name w:val="陶瓷正文 Char"/>
    <w:link w:val="319"/>
    <w:qFormat/>
    <w:uiPriority w:val="0"/>
    <w:rPr>
      <w:sz w:val="24"/>
      <w:szCs w:val="24"/>
    </w:rPr>
  </w:style>
  <w:style w:type="paragraph" w:customStyle="1" w:styleId="319">
    <w:name w:val="陶瓷正文"/>
    <w:basedOn w:val="320"/>
    <w:link w:val="318"/>
    <w:qFormat/>
    <w:uiPriority w:val="0"/>
    <w:pPr>
      <w:adjustRightInd w:val="0"/>
      <w:snapToGrid w:val="0"/>
      <w:spacing w:before="0" w:line="360" w:lineRule="auto"/>
      <w:ind w:firstLine="480" w:firstLineChars="0"/>
      <w:jc w:val="left"/>
    </w:pPr>
    <w:rPr>
      <w:rFonts w:asciiTheme="minorHAnsi" w:hAnsiTheme="minorHAnsi" w:eastAsiaTheme="minorEastAsia" w:cstheme="minorBidi"/>
    </w:rPr>
  </w:style>
  <w:style w:type="paragraph" w:customStyle="1" w:styleId="320">
    <w:name w:val="正文01"/>
    <w:basedOn w:val="1"/>
    <w:link w:val="321"/>
    <w:qFormat/>
    <w:uiPriority w:val="0"/>
    <w:pPr>
      <w:spacing w:before="60" w:line="460" w:lineRule="exact"/>
      <w:ind w:firstLine="200" w:firstLineChars="200"/>
    </w:pPr>
    <w:rPr>
      <w:rFonts w:ascii="Arial" w:hAnsi="Arial"/>
    </w:rPr>
  </w:style>
  <w:style w:type="character" w:customStyle="1" w:styleId="321">
    <w:name w:val="正文01 Char"/>
    <w:link w:val="320"/>
    <w:qFormat/>
    <w:uiPriority w:val="0"/>
    <w:rPr>
      <w:rFonts w:ascii="Arial" w:hAnsi="Arial" w:eastAsia="宋体" w:cs="Times New Roman"/>
      <w:sz w:val="24"/>
      <w:szCs w:val="24"/>
    </w:rPr>
  </w:style>
  <w:style w:type="character" w:customStyle="1" w:styleId="322">
    <w:name w:val="环小四表尾 Char"/>
    <w:link w:val="323"/>
    <w:qFormat/>
    <w:uiPriority w:val="0"/>
    <w:rPr>
      <w:rFonts w:ascii="宋体"/>
      <w:b/>
      <w:bCs/>
      <w:szCs w:val="21"/>
    </w:rPr>
  </w:style>
  <w:style w:type="paragraph" w:customStyle="1" w:styleId="323">
    <w:name w:val="环小四表尾"/>
    <w:link w:val="322"/>
    <w:qFormat/>
    <w:uiPriority w:val="0"/>
    <w:pPr>
      <w:spacing w:line="560" w:lineRule="exact"/>
      <w:jc w:val="right"/>
    </w:pPr>
    <w:rPr>
      <w:rFonts w:ascii="宋体" w:hAnsiTheme="minorHAnsi" w:eastAsiaTheme="minorEastAsia" w:cstheme="minorBidi"/>
      <w:b/>
      <w:bCs/>
      <w:kern w:val="2"/>
      <w:sz w:val="21"/>
      <w:szCs w:val="21"/>
      <w:lang w:val="en-US" w:eastAsia="zh-CN" w:bidi="ar-SA"/>
    </w:rPr>
  </w:style>
  <w:style w:type="character" w:customStyle="1" w:styleId="324">
    <w:name w:val="7.3 Char"/>
    <w:link w:val="325"/>
    <w:qFormat/>
    <w:uiPriority w:val="0"/>
    <w:rPr>
      <w:rFonts w:ascii="宋体" w:hAnsi="宋体" w:eastAsia="黑体"/>
      <w:b/>
      <w:bCs/>
      <w:color w:val="000000"/>
      <w:sz w:val="24"/>
      <w:szCs w:val="24"/>
    </w:rPr>
  </w:style>
  <w:style w:type="paragraph" w:customStyle="1" w:styleId="325">
    <w:name w:val="7.3"/>
    <w:basedOn w:val="1"/>
    <w:link w:val="324"/>
    <w:qFormat/>
    <w:uiPriority w:val="0"/>
    <w:pPr>
      <w:widowControl/>
      <w:numPr>
        <w:ilvl w:val="0"/>
        <w:numId w:val="4"/>
      </w:numPr>
      <w:tabs>
        <w:tab w:val="left" w:pos="8207"/>
      </w:tabs>
      <w:adjustRightInd w:val="0"/>
      <w:snapToGrid w:val="0"/>
      <w:spacing w:before="240" w:line="0" w:lineRule="atLeast"/>
      <w:jc w:val="center"/>
      <w:textAlignment w:val="baseline"/>
    </w:pPr>
    <w:rPr>
      <w:rFonts w:ascii="宋体" w:hAnsi="宋体" w:eastAsia="黑体" w:cstheme="minorBidi"/>
      <w:b/>
      <w:bCs/>
      <w:color w:val="000000"/>
    </w:rPr>
  </w:style>
  <w:style w:type="character" w:customStyle="1" w:styleId="326">
    <w:name w:val="样式 标题 4 + 四号 Char"/>
    <w:link w:val="327"/>
    <w:qFormat/>
    <w:uiPriority w:val="0"/>
    <w:rPr>
      <w:rFonts w:ascii="Times New Roman" w:hAnsi="Times New Roman" w:eastAsia="黑体" w:cs="Times New Roman"/>
      <w:snapToGrid w:val="0"/>
      <w:sz w:val="28"/>
      <w:szCs w:val="28"/>
    </w:rPr>
  </w:style>
  <w:style w:type="paragraph" w:customStyle="1" w:styleId="327">
    <w:name w:val="样式 标题 4 + 四号"/>
    <w:basedOn w:val="8"/>
    <w:link w:val="326"/>
    <w:qFormat/>
    <w:uiPriority w:val="0"/>
    <w:pPr>
      <w:keepLines/>
      <w:adjustRightInd w:val="0"/>
      <w:snapToGrid w:val="0"/>
      <w:jc w:val="both"/>
    </w:pPr>
    <w:rPr>
      <w:rFonts w:eastAsia="黑体"/>
      <w:b w:val="0"/>
      <w:bCs w:val="0"/>
      <w:snapToGrid w:val="0"/>
      <w:sz w:val="28"/>
      <w:szCs w:val="28"/>
    </w:rPr>
  </w:style>
  <w:style w:type="character" w:customStyle="1" w:styleId="328">
    <w:name w:val="页脚1 Char"/>
    <w:qFormat/>
    <w:uiPriority w:val="0"/>
    <w:rPr>
      <w:rFonts w:ascii="宋体" w:hAnsi="宋体" w:eastAsia="宋体" w:cs="宋体"/>
      <w:spacing w:val="4"/>
      <w:kern w:val="2"/>
      <w:sz w:val="18"/>
      <w:szCs w:val="18"/>
      <w:lang w:val="en-US" w:eastAsia="zh-CN" w:bidi="ar-SA"/>
    </w:rPr>
  </w:style>
  <w:style w:type="character" w:customStyle="1" w:styleId="329">
    <w:name w:val="页眉 Char Char Char"/>
    <w:qFormat/>
    <w:locked/>
    <w:uiPriority w:val="0"/>
    <w:rPr>
      <w:rFonts w:eastAsia="宋体"/>
      <w:kern w:val="2"/>
      <w:sz w:val="18"/>
      <w:szCs w:val="18"/>
      <w:lang w:val="en-US" w:eastAsia="zh-CN" w:bidi="ar-SA"/>
    </w:rPr>
  </w:style>
  <w:style w:type="character" w:customStyle="1" w:styleId="330">
    <w:name w:val="样式 样式 标题 3标题 3 Char标题 3 Char Char标题 3XW3h33rd levelH3l3CT... + (... Char Char"/>
    <w:link w:val="331"/>
    <w:qFormat/>
    <w:uiPriority w:val="0"/>
    <w:rPr>
      <w:rFonts w:ascii="宋体"/>
      <w:sz w:val="28"/>
    </w:rPr>
  </w:style>
  <w:style w:type="paragraph" w:customStyle="1" w:styleId="331">
    <w:name w:val="样式 样式 标题 3标题 3 Char标题 3 Char Char标题 3XW3h33rd levelH3l3CT... + (..."/>
    <w:basedOn w:val="1"/>
    <w:link w:val="330"/>
    <w:qFormat/>
    <w:uiPriority w:val="0"/>
    <w:pPr>
      <w:keepNext/>
      <w:keepLines/>
      <w:tabs>
        <w:tab w:val="left" w:pos="-707"/>
      </w:tabs>
      <w:ind w:left="-140" w:firstLine="480"/>
      <w:outlineLvl w:val="2"/>
    </w:pPr>
    <w:rPr>
      <w:rFonts w:ascii="宋体" w:hAnsiTheme="minorHAnsi" w:eastAsiaTheme="minorEastAsia" w:cstheme="minorBidi"/>
      <w:sz w:val="28"/>
      <w:szCs w:val="22"/>
    </w:rPr>
  </w:style>
  <w:style w:type="character" w:customStyle="1" w:styleId="332">
    <w:name w:val="【公式】 Char"/>
    <w:link w:val="333"/>
    <w:qFormat/>
    <w:uiPriority w:val="0"/>
    <w:rPr>
      <w:rFonts w:ascii="宋体" w:hAnsi="宋体"/>
      <w:spacing w:val="16"/>
      <w:sz w:val="24"/>
      <w:szCs w:val="24"/>
    </w:rPr>
  </w:style>
  <w:style w:type="paragraph" w:customStyle="1" w:styleId="333">
    <w:name w:val="【公式】"/>
    <w:basedOn w:val="1"/>
    <w:link w:val="332"/>
    <w:qFormat/>
    <w:uiPriority w:val="0"/>
    <w:pPr>
      <w:ind w:left="100" w:leftChars="100" w:right="100" w:rightChars="100"/>
      <w:jc w:val="center"/>
      <w:textAlignment w:val="center"/>
    </w:pPr>
    <w:rPr>
      <w:rFonts w:ascii="宋体" w:hAnsi="宋体" w:eastAsiaTheme="minorEastAsia" w:cstheme="minorBidi"/>
      <w:spacing w:val="16"/>
    </w:rPr>
  </w:style>
  <w:style w:type="character" w:customStyle="1" w:styleId="334">
    <w:name w:val="oo1"/>
    <w:qFormat/>
    <w:uiPriority w:val="0"/>
    <w:rPr>
      <w:spacing w:val="284"/>
    </w:rPr>
  </w:style>
  <w:style w:type="character" w:customStyle="1" w:styleId="335">
    <w:name w:val="样式 泸县焦化三级标题 + 蓝色 Char"/>
    <w:link w:val="336"/>
    <w:qFormat/>
    <w:uiPriority w:val="0"/>
    <w:rPr>
      <w:rFonts w:ascii="宋体" w:hAnsi="宋体"/>
      <w:b/>
      <w:color w:val="0000FF"/>
      <w:spacing w:val="4"/>
      <w:sz w:val="24"/>
      <w:szCs w:val="24"/>
    </w:rPr>
  </w:style>
  <w:style w:type="paragraph" w:customStyle="1" w:styleId="336">
    <w:name w:val="样式 泸县焦化三级标题 + 蓝色"/>
    <w:basedOn w:val="337"/>
    <w:link w:val="335"/>
    <w:qFormat/>
    <w:uiPriority w:val="0"/>
    <w:pPr>
      <w:tabs>
        <w:tab w:val="left" w:pos="2705"/>
      </w:tabs>
    </w:pPr>
    <w:rPr>
      <w:rFonts w:eastAsiaTheme="minorEastAsia" w:cstheme="minorBidi"/>
      <w:b/>
      <w:color w:val="0000FF"/>
    </w:rPr>
  </w:style>
  <w:style w:type="paragraph" w:customStyle="1" w:styleId="337">
    <w:name w:val="泸县焦化三级标题"/>
    <w:basedOn w:val="338"/>
    <w:link w:val="340"/>
    <w:qFormat/>
    <w:uiPriority w:val="0"/>
    <w:pPr>
      <w:tabs>
        <w:tab w:val="left" w:pos="2705"/>
      </w:tabs>
      <w:outlineLvl w:val="2"/>
    </w:pPr>
    <w:rPr>
      <w:b w:val="0"/>
    </w:rPr>
  </w:style>
  <w:style w:type="paragraph" w:customStyle="1" w:styleId="338">
    <w:name w:val="蒲标题3"/>
    <w:basedOn w:val="7"/>
    <w:link w:val="339"/>
    <w:qFormat/>
    <w:uiPriority w:val="0"/>
    <w:pPr>
      <w:keepNext w:val="0"/>
      <w:keepLines w:val="0"/>
      <w:numPr>
        <w:ilvl w:val="0"/>
        <w:numId w:val="0"/>
      </w:numPr>
      <w:adjustRightInd w:val="0"/>
      <w:snapToGrid w:val="0"/>
      <w:spacing w:before="0" w:after="0" w:line="360" w:lineRule="auto"/>
      <w:outlineLvl w:val="0"/>
    </w:pPr>
    <w:rPr>
      <w:bCs w:val="0"/>
      <w:color w:val="auto"/>
      <w:spacing w:val="4"/>
      <w:sz w:val="24"/>
      <w:szCs w:val="24"/>
    </w:rPr>
  </w:style>
  <w:style w:type="character" w:customStyle="1" w:styleId="339">
    <w:name w:val="蒲标题3 Char"/>
    <w:link w:val="338"/>
    <w:qFormat/>
    <w:uiPriority w:val="0"/>
    <w:rPr>
      <w:rFonts w:ascii="宋体" w:hAnsi="宋体" w:eastAsia="宋体" w:cs="Times New Roman"/>
      <w:b/>
      <w:spacing w:val="4"/>
      <w:sz w:val="24"/>
      <w:szCs w:val="24"/>
    </w:rPr>
  </w:style>
  <w:style w:type="character" w:customStyle="1" w:styleId="340">
    <w:name w:val="泸县焦化三级标题 Char"/>
    <w:link w:val="337"/>
    <w:qFormat/>
    <w:uiPriority w:val="0"/>
    <w:rPr>
      <w:rFonts w:ascii="宋体" w:hAnsi="宋体" w:eastAsia="宋体" w:cs="Times New Roman"/>
      <w:spacing w:val="4"/>
      <w:sz w:val="24"/>
      <w:szCs w:val="24"/>
    </w:rPr>
  </w:style>
  <w:style w:type="character" w:customStyle="1" w:styleId="341">
    <w:name w:val="样式 标题 3 + 黑色 Char Char Char Char"/>
    <w:qFormat/>
    <w:uiPriority w:val="0"/>
    <w:rPr>
      <w:rFonts w:eastAsia="宋体"/>
      <w:color w:val="000000"/>
      <w:kern w:val="2"/>
      <w:sz w:val="24"/>
      <w:lang w:val="en-US" w:eastAsia="zh-CN" w:bidi="ar-SA"/>
    </w:rPr>
  </w:style>
  <w:style w:type="character" w:customStyle="1" w:styleId="342">
    <w:name w:val="样式 泸县焦化三级标题 + 蓝色1 Char Char"/>
    <w:qFormat/>
    <w:uiPriority w:val="0"/>
    <w:rPr>
      <w:rFonts w:ascii="宋体" w:hAnsi="宋体" w:eastAsia="宋体" w:cs="宋体"/>
      <w:b/>
      <w:color w:val="0000FF"/>
      <w:spacing w:val="4"/>
      <w:kern w:val="2"/>
      <w:sz w:val="24"/>
      <w:szCs w:val="24"/>
      <w:lang w:val="en-US" w:eastAsia="zh-CN" w:bidi="ar-SA"/>
    </w:rPr>
  </w:style>
  <w:style w:type="character" w:customStyle="1" w:styleId="343">
    <w:name w:val="表名称 Char"/>
    <w:qFormat/>
    <w:uiPriority w:val="0"/>
    <w:rPr>
      <w:rFonts w:ascii="黑体" w:hAnsi="宋体" w:eastAsia="黑体" w:cs="宋体"/>
      <w:spacing w:val="4"/>
      <w:kern w:val="2"/>
      <w:sz w:val="24"/>
      <w:szCs w:val="28"/>
      <w:lang w:val="en-US" w:eastAsia="zh-CN" w:bidi="ar-SA"/>
    </w:rPr>
  </w:style>
  <w:style w:type="character" w:customStyle="1" w:styleId="344">
    <w:name w:val="表格居中 Char1"/>
    <w:link w:val="345"/>
    <w:qFormat/>
    <w:uiPriority w:val="0"/>
    <w:rPr>
      <w:rFonts w:ascii="宋体" w:hAnsi="Courier New" w:cs="Courier New"/>
      <w:szCs w:val="21"/>
    </w:rPr>
  </w:style>
  <w:style w:type="paragraph" w:customStyle="1" w:styleId="345">
    <w:name w:val="表格居中"/>
    <w:basedOn w:val="46"/>
    <w:link w:val="344"/>
    <w:qFormat/>
    <w:uiPriority w:val="0"/>
    <w:pPr>
      <w:adjustRightInd w:val="0"/>
      <w:snapToGrid w:val="0"/>
      <w:spacing w:line="240" w:lineRule="atLeast"/>
      <w:jc w:val="center"/>
      <w:textAlignment w:val="baseline"/>
    </w:pPr>
    <w:rPr>
      <w:rFonts w:cs="Courier New" w:eastAsiaTheme="minorEastAsia"/>
      <w:sz w:val="21"/>
    </w:rPr>
  </w:style>
  <w:style w:type="character" w:customStyle="1" w:styleId="346">
    <w:name w:val="一级标题 Char"/>
    <w:link w:val="347"/>
    <w:qFormat/>
    <w:uiPriority w:val="0"/>
    <w:rPr>
      <w:rFonts w:ascii="宋体" w:hAnsi="宋体" w:cs="宋体"/>
      <w:b/>
      <w:sz w:val="32"/>
      <w:szCs w:val="24"/>
    </w:rPr>
  </w:style>
  <w:style w:type="paragraph" w:customStyle="1" w:styleId="347">
    <w:name w:val="一级标题"/>
    <w:basedOn w:val="1"/>
    <w:link w:val="346"/>
    <w:qFormat/>
    <w:uiPriority w:val="0"/>
    <w:pPr>
      <w:widowControl/>
      <w:spacing w:line="500" w:lineRule="exact"/>
      <w:jc w:val="left"/>
      <w:outlineLvl w:val="0"/>
    </w:pPr>
    <w:rPr>
      <w:rFonts w:ascii="宋体" w:hAnsi="宋体" w:cs="宋体" w:eastAsiaTheme="minorEastAsia"/>
      <w:b/>
      <w:sz w:val="32"/>
    </w:rPr>
  </w:style>
  <w:style w:type="character" w:customStyle="1" w:styleId="348">
    <w:name w:val="表头王 Char"/>
    <w:link w:val="349"/>
    <w:qFormat/>
    <w:uiPriority w:val="0"/>
    <w:rPr>
      <w:rFonts w:ascii="黑体" w:hAnsi="宋体" w:eastAsia="黑体"/>
      <w:b/>
      <w:spacing w:val="4"/>
      <w:sz w:val="24"/>
      <w:szCs w:val="24"/>
      <w:lang w:val="zh-CN"/>
    </w:rPr>
  </w:style>
  <w:style w:type="paragraph" w:customStyle="1" w:styleId="349">
    <w:name w:val="表头王"/>
    <w:basedOn w:val="1"/>
    <w:link w:val="348"/>
    <w:qFormat/>
    <w:uiPriority w:val="0"/>
    <w:pPr>
      <w:adjustRightInd w:val="0"/>
      <w:snapToGrid w:val="0"/>
      <w:jc w:val="center"/>
    </w:pPr>
    <w:rPr>
      <w:rFonts w:ascii="黑体" w:hAnsi="宋体" w:eastAsia="黑体" w:cstheme="minorBidi"/>
      <w:b/>
      <w:spacing w:val="4"/>
      <w:lang w:val="zh-CN"/>
    </w:rPr>
  </w:style>
  <w:style w:type="character" w:customStyle="1" w:styleId="350">
    <w:name w:val="jq1"/>
    <w:qFormat/>
    <w:uiPriority w:val="0"/>
    <w:rPr>
      <w:rFonts w:hint="eastAsia" w:ascii="宋体" w:hAnsi="宋体" w:eastAsia="宋体" w:cs="Times New Roman"/>
      <w:sz w:val="18"/>
      <w:szCs w:val="18"/>
    </w:rPr>
  </w:style>
  <w:style w:type="character" w:customStyle="1" w:styleId="351">
    <w:name w:val="表 头 Char"/>
    <w:link w:val="352"/>
    <w:qFormat/>
    <w:uiPriority w:val="0"/>
    <w:rPr>
      <w:rFonts w:eastAsia="黑体"/>
      <w:spacing w:val="10"/>
      <w:sz w:val="24"/>
    </w:rPr>
  </w:style>
  <w:style w:type="paragraph" w:customStyle="1" w:styleId="352">
    <w:name w:val="表 头"/>
    <w:basedOn w:val="1"/>
    <w:link w:val="351"/>
    <w:qFormat/>
    <w:uiPriority w:val="0"/>
    <w:pPr>
      <w:adjustRightInd w:val="0"/>
      <w:spacing w:before="120" w:after="120" w:line="360" w:lineRule="atLeast"/>
      <w:jc w:val="center"/>
    </w:pPr>
    <w:rPr>
      <w:rFonts w:eastAsia="黑体" w:asciiTheme="minorHAnsi" w:hAnsiTheme="minorHAnsi" w:cstheme="minorBidi"/>
      <w:spacing w:val="10"/>
      <w:szCs w:val="22"/>
    </w:rPr>
  </w:style>
  <w:style w:type="character" w:customStyle="1" w:styleId="353">
    <w:name w:val="正文000000000 Char"/>
    <w:link w:val="354"/>
    <w:qFormat/>
    <w:uiPriority w:val="0"/>
    <w:rPr>
      <w:rFonts w:ascii="宋体" w:hAnsi="宋体"/>
      <w:sz w:val="24"/>
      <w:szCs w:val="24"/>
    </w:rPr>
  </w:style>
  <w:style w:type="paragraph" w:customStyle="1" w:styleId="354">
    <w:name w:val="正文000000000"/>
    <w:basedOn w:val="1"/>
    <w:next w:val="1"/>
    <w:link w:val="353"/>
    <w:qFormat/>
    <w:uiPriority w:val="0"/>
    <w:pPr>
      <w:ind w:firstLine="480" w:firstLineChars="200"/>
    </w:pPr>
    <w:rPr>
      <w:rFonts w:ascii="宋体" w:hAnsi="宋体" w:eastAsiaTheme="minorEastAsia" w:cstheme="minorBidi"/>
    </w:rPr>
  </w:style>
  <w:style w:type="character" w:customStyle="1" w:styleId="355">
    <w:name w:val="【正文】 Char Char"/>
    <w:qFormat/>
    <w:uiPriority w:val="0"/>
    <w:rPr>
      <w:rFonts w:ascii="宋体" w:hAnsi="宋体" w:eastAsia="宋体" w:cs="宋体"/>
      <w:spacing w:val="4"/>
      <w:kern w:val="2"/>
      <w:sz w:val="24"/>
      <w:szCs w:val="24"/>
      <w:lang w:val="en-US" w:eastAsia="zh-CN" w:bidi="ar-SA"/>
    </w:rPr>
  </w:style>
  <w:style w:type="character" w:customStyle="1" w:styleId="356">
    <w:name w:val="【标题4】 Char Char"/>
    <w:qFormat/>
    <w:uiPriority w:val="0"/>
    <w:rPr>
      <w:rFonts w:ascii="宋体" w:hAnsi="宋体" w:eastAsia="宋体" w:cs="宋体"/>
      <w:b/>
      <w:bCs/>
      <w:spacing w:val="4"/>
      <w:kern w:val="2"/>
      <w:sz w:val="24"/>
      <w:szCs w:val="24"/>
      <w:lang w:val="en-US" w:eastAsia="zh-CN" w:bidi="ar-SA"/>
    </w:rPr>
  </w:style>
  <w:style w:type="character" w:customStyle="1" w:styleId="357">
    <w:name w:val="样式 报告 + 加粗 下划线"/>
    <w:qFormat/>
    <w:uiPriority w:val="0"/>
    <w:rPr>
      <w:b/>
      <w:u w:val="single"/>
    </w:rPr>
  </w:style>
  <w:style w:type="character" w:customStyle="1" w:styleId="358">
    <w:name w:val="样式 正文文本 + (中文) 黑体 红色 Char Char Char Char"/>
    <w:link w:val="359"/>
    <w:qFormat/>
    <w:uiPriority w:val="0"/>
    <w:rPr>
      <w:rFonts w:eastAsia="黑体"/>
      <w:color w:val="FF0000"/>
      <w:sz w:val="24"/>
      <w:szCs w:val="24"/>
    </w:rPr>
  </w:style>
  <w:style w:type="paragraph" w:customStyle="1" w:styleId="359">
    <w:name w:val="样式 正文文本 + (中文) 黑体 红色 Char Char Char"/>
    <w:basedOn w:val="1"/>
    <w:link w:val="358"/>
    <w:qFormat/>
    <w:uiPriority w:val="0"/>
    <w:pPr>
      <w:adjustRightInd w:val="0"/>
      <w:snapToGrid w:val="0"/>
      <w:spacing w:before="60" w:after="60" w:line="264" w:lineRule="auto"/>
      <w:ind w:firstLine="200" w:firstLineChars="200"/>
      <w:textAlignment w:val="baseline"/>
    </w:pPr>
    <w:rPr>
      <w:rFonts w:eastAsia="黑体" w:asciiTheme="minorHAnsi" w:hAnsiTheme="minorHAnsi" w:cstheme="minorBidi"/>
      <w:color w:val="FF0000"/>
    </w:rPr>
  </w:style>
  <w:style w:type="character" w:customStyle="1" w:styleId="360">
    <w:name w:val="nw1"/>
    <w:qFormat/>
    <w:uiPriority w:val="0"/>
    <w:rPr>
      <w:sz w:val="21"/>
      <w:szCs w:val="21"/>
    </w:rPr>
  </w:style>
  <w:style w:type="character" w:customStyle="1" w:styleId="361">
    <w:name w:val="环小四表题 Char Char"/>
    <w:link w:val="362"/>
    <w:qFormat/>
    <w:uiPriority w:val="0"/>
    <w:rPr>
      <w:rFonts w:ascii="宋体"/>
      <w:b/>
      <w:sz w:val="24"/>
      <w:szCs w:val="24"/>
    </w:rPr>
  </w:style>
  <w:style w:type="paragraph" w:customStyle="1" w:styleId="362">
    <w:name w:val="环小四表题"/>
    <w:basedOn w:val="1"/>
    <w:link w:val="361"/>
    <w:qFormat/>
    <w:uiPriority w:val="0"/>
    <w:pPr>
      <w:wordWrap w:val="0"/>
      <w:spacing w:line="240" w:lineRule="auto"/>
      <w:jc w:val="right"/>
    </w:pPr>
    <w:rPr>
      <w:rFonts w:ascii="宋体" w:hAnsiTheme="minorHAnsi" w:eastAsiaTheme="minorEastAsia" w:cstheme="minorBidi"/>
      <w:b/>
    </w:rPr>
  </w:style>
  <w:style w:type="character" w:customStyle="1" w:styleId="363">
    <w:name w:val="link_w1"/>
    <w:qFormat/>
    <w:uiPriority w:val="0"/>
    <w:rPr>
      <w:rFonts w:ascii="宋体" w:hAnsi="宋体" w:eastAsia="汉鼎简书宋" w:cs="宋体"/>
      <w:color w:val="FFFFFF"/>
      <w:spacing w:val="4"/>
      <w:kern w:val="2"/>
      <w:sz w:val="18"/>
      <w:szCs w:val="18"/>
      <w:lang w:val="en-US" w:eastAsia="zh-CN" w:bidi="ar-SA"/>
    </w:rPr>
  </w:style>
  <w:style w:type="character" w:customStyle="1" w:styleId="364">
    <w:name w:val="样式 样式 样式 标题 3标题 3 Char + 黑体 段前: 6 磅 段后: 0 磅 行距: 1.5 倍行距 + 左侧:  2... Char"/>
    <w:link w:val="365"/>
    <w:qFormat/>
    <w:uiPriority w:val="0"/>
    <w:rPr>
      <w:rFonts w:ascii="黑体" w:hAnsi="黑体" w:eastAsia="黑体"/>
      <w:color w:val="000000"/>
      <w:spacing w:val="4"/>
      <w:kern w:val="18"/>
      <w:sz w:val="24"/>
      <w:szCs w:val="24"/>
    </w:rPr>
  </w:style>
  <w:style w:type="paragraph" w:customStyle="1" w:styleId="365">
    <w:name w:val="样式 样式 样式 标题 3标题 3 Char + 黑体 段前: 6 磅 段后: 0 磅 行距: 1.5 倍行距 + 左侧:  2..."/>
    <w:basedOn w:val="1"/>
    <w:link w:val="364"/>
    <w:qFormat/>
    <w:uiPriority w:val="0"/>
    <w:pPr>
      <w:keepNext/>
      <w:keepLines/>
      <w:adjustRightInd w:val="0"/>
      <w:spacing w:before="120"/>
      <w:ind w:left="420" w:leftChars="200"/>
      <w:textAlignment w:val="baseline"/>
      <w:outlineLvl w:val="2"/>
    </w:pPr>
    <w:rPr>
      <w:rFonts w:ascii="黑体" w:hAnsi="黑体" w:eastAsia="黑体" w:cstheme="minorBidi"/>
      <w:color w:val="000000"/>
      <w:spacing w:val="4"/>
      <w:kern w:val="18"/>
    </w:rPr>
  </w:style>
  <w:style w:type="character" w:customStyle="1" w:styleId="366">
    <w:name w:val="样式78 Char"/>
    <w:link w:val="367"/>
    <w:qFormat/>
    <w:uiPriority w:val="0"/>
    <w:rPr>
      <w:rFonts w:eastAsia="黑体"/>
      <w:b/>
      <w:sz w:val="28"/>
      <w:szCs w:val="28"/>
    </w:rPr>
  </w:style>
  <w:style w:type="paragraph" w:customStyle="1" w:styleId="367">
    <w:name w:val="样式78"/>
    <w:basedOn w:val="368"/>
    <w:link w:val="366"/>
    <w:qFormat/>
    <w:uiPriority w:val="0"/>
    <w:pPr>
      <w:tabs>
        <w:tab w:val="left" w:pos="630"/>
        <w:tab w:val="left" w:pos="1260"/>
        <w:tab w:val="left" w:pos="2705"/>
      </w:tabs>
    </w:pPr>
    <w:rPr>
      <w:rFonts w:asciiTheme="minorHAnsi" w:hAnsiTheme="minorHAnsi" w:cstheme="minorBidi"/>
    </w:rPr>
  </w:style>
  <w:style w:type="paragraph" w:customStyle="1" w:styleId="368">
    <w:name w:val="样式34"/>
    <w:basedOn w:val="369"/>
    <w:link w:val="373"/>
    <w:qFormat/>
    <w:uiPriority w:val="0"/>
    <w:pPr>
      <w:tabs>
        <w:tab w:val="left" w:pos="630"/>
        <w:tab w:val="left" w:pos="1260"/>
        <w:tab w:val="left" w:pos="2705"/>
      </w:tabs>
    </w:pPr>
  </w:style>
  <w:style w:type="paragraph" w:customStyle="1" w:styleId="369">
    <w:name w:val="样式28"/>
    <w:basedOn w:val="370"/>
    <w:link w:val="372"/>
    <w:qFormat/>
    <w:uiPriority w:val="0"/>
    <w:pPr>
      <w:keepNext w:val="0"/>
      <w:keepLines w:val="0"/>
      <w:tabs>
        <w:tab w:val="left" w:pos="630"/>
        <w:tab w:val="left" w:pos="1260"/>
        <w:tab w:val="left" w:pos="2705"/>
      </w:tabs>
      <w:ind w:left="0" w:leftChars="0" w:firstLine="0" w:firstLineChars="0"/>
      <w:textAlignment w:val="auto"/>
    </w:pPr>
    <w:rPr>
      <w:rFonts w:ascii="Times New Roman" w:hAnsi="Times New Roman"/>
      <w:kern w:val="2"/>
      <w:szCs w:val="28"/>
    </w:rPr>
  </w:style>
  <w:style w:type="paragraph" w:customStyle="1" w:styleId="370">
    <w:name w:val="样式11"/>
    <w:basedOn w:val="7"/>
    <w:link w:val="371"/>
    <w:qFormat/>
    <w:uiPriority w:val="0"/>
    <w:pPr>
      <w:numPr>
        <w:ilvl w:val="0"/>
        <w:numId w:val="0"/>
      </w:numPr>
      <w:tabs>
        <w:tab w:val="left" w:pos="630"/>
        <w:tab w:val="left" w:pos="1260"/>
      </w:tabs>
      <w:adjustRightInd w:val="0"/>
      <w:snapToGrid w:val="0"/>
      <w:spacing w:before="0" w:after="0" w:line="360" w:lineRule="auto"/>
      <w:ind w:left="800" w:leftChars="800" w:hanging="200" w:hangingChars="200"/>
      <w:textAlignment w:val="baseline"/>
    </w:pPr>
    <w:rPr>
      <w:rFonts w:ascii="黑体" w:hAnsi="黑体" w:eastAsia="黑体"/>
      <w:bCs w:val="0"/>
      <w:color w:val="auto"/>
      <w:kern w:val="0"/>
      <w:szCs w:val="20"/>
    </w:rPr>
  </w:style>
  <w:style w:type="character" w:customStyle="1" w:styleId="371">
    <w:name w:val="样式11 Char"/>
    <w:link w:val="370"/>
    <w:qFormat/>
    <w:uiPriority w:val="0"/>
    <w:rPr>
      <w:rFonts w:ascii="黑体" w:hAnsi="黑体" w:eastAsia="黑体" w:cs="Times New Roman"/>
      <w:b/>
      <w:kern w:val="0"/>
      <w:sz w:val="28"/>
      <w:szCs w:val="20"/>
    </w:rPr>
  </w:style>
  <w:style w:type="character" w:customStyle="1" w:styleId="372">
    <w:name w:val="样式28 Char"/>
    <w:link w:val="369"/>
    <w:qFormat/>
    <w:uiPriority w:val="0"/>
    <w:rPr>
      <w:rFonts w:ascii="Times New Roman" w:hAnsi="Times New Roman" w:eastAsia="黑体" w:cs="Times New Roman"/>
      <w:b/>
      <w:sz w:val="28"/>
      <w:szCs w:val="28"/>
    </w:rPr>
  </w:style>
  <w:style w:type="character" w:customStyle="1" w:styleId="373">
    <w:name w:val="样式34 Char"/>
    <w:link w:val="368"/>
    <w:qFormat/>
    <w:uiPriority w:val="0"/>
    <w:rPr>
      <w:rFonts w:ascii="Times New Roman" w:hAnsi="Times New Roman" w:eastAsia="黑体" w:cs="Times New Roman"/>
      <w:b/>
      <w:sz w:val="28"/>
      <w:szCs w:val="28"/>
    </w:rPr>
  </w:style>
  <w:style w:type="character" w:customStyle="1" w:styleId="374">
    <w:name w:val="表6.2-1 Char Char"/>
    <w:link w:val="375"/>
    <w:qFormat/>
    <w:uiPriority w:val="0"/>
    <w:rPr>
      <w:rFonts w:ascii="黑体" w:hAnsi="宋体" w:eastAsia="黑体"/>
      <w:b/>
      <w:spacing w:val="4"/>
      <w:sz w:val="24"/>
      <w:szCs w:val="26"/>
    </w:rPr>
  </w:style>
  <w:style w:type="paragraph" w:customStyle="1" w:styleId="375">
    <w:name w:val="表6.2-1"/>
    <w:basedOn w:val="1"/>
    <w:link w:val="374"/>
    <w:qFormat/>
    <w:uiPriority w:val="0"/>
    <w:pPr>
      <w:tabs>
        <w:tab w:val="left" w:pos="1653"/>
        <w:tab w:val="right" w:pos="8261"/>
      </w:tabs>
      <w:suppressAutoHyphens/>
      <w:adjustRightInd w:val="0"/>
      <w:spacing w:before="240" w:line="0" w:lineRule="atLeast"/>
      <w:ind w:left="993" w:hanging="420"/>
    </w:pPr>
    <w:rPr>
      <w:rFonts w:ascii="黑体" w:hAnsi="宋体" w:eastAsia="黑体" w:cstheme="minorBidi"/>
      <w:b/>
      <w:spacing w:val="4"/>
      <w:szCs w:val="26"/>
    </w:rPr>
  </w:style>
  <w:style w:type="character" w:customStyle="1" w:styleId="376">
    <w:name w:val="表、图名 Char Char"/>
    <w:qFormat/>
    <w:uiPriority w:val="0"/>
    <w:rPr>
      <w:rFonts w:ascii="宋体" w:hAnsi="宋体" w:eastAsia="黑体" w:cs="宋体"/>
      <w:spacing w:val="4"/>
      <w:kern w:val="2"/>
      <w:sz w:val="21"/>
      <w:szCs w:val="21"/>
      <w:lang w:val="en-US" w:eastAsia="zh-CN" w:bidi="ar-SA"/>
    </w:rPr>
  </w:style>
  <w:style w:type="character" w:customStyle="1" w:styleId="377">
    <w:name w:val="备注和单位"/>
    <w:qFormat/>
    <w:uiPriority w:val="0"/>
    <w:rPr>
      <w:rFonts w:ascii="Times New Roman" w:hAnsi="Times New Roman" w:eastAsia="宋体" w:cs="Times New Roman"/>
      <w:sz w:val="21"/>
    </w:rPr>
  </w:style>
  <w:style w:type="character" w:customStyle="1" w:styleId="378">
    <w:name w:val="样式 小四 首行缩进:  0.85 厘米 行距: 1.5 倍行距 Char"/>
    <w:link w:val="379"/>
    <w:qFormat/>
    <w:uiPriority w:val="0"/>
    <w:rPr>
      <w:sz w:val="24"/>
    </w:rPr>
  </w:style>
  <w:style w:type="paragraph" w:customStyle="1" w:styleId="379">
    <w:name w:val="样式 小四 首行缩进:  0.85 厘米 行距: 1.5 倍行距"/>
    <w:basedOn w:val="1"/>
    <w:link w:val="378"/>
    <w:qFormat/>
    <w:uiPriority w:val="0"/>
    <w:pPr>
      <w:ind w:firstLine="482"/>
    </w:pPr>
    <w:rPr>
      <w:rFonts w:asciiTheme="minorHAnsi" w:hAnsiTheme="minorHAnsi" w:eastAsiaTheme="minorEastAsia" w:cstheme="minorBidi"/>
      <w:szCs w:val="22"/>
    </w:rPr>
  </w:style>
  <w:style w:type="character" w:customStyle="1" w:styleId="380">
    <w:name w:val="样式 五号 加粗 左 行距: 单倍行距"/>
    <w:qFormat/>
    <w:uiPriority w:val="0"/>
    <w:rPr>
      <w:rFonts w:ascii="Times New Roman" w:hAnsi="Times New Roman" w:eastAsia="宋体" w:cs="宋体"/>
      <w:bCs/>
      <w:kern w:val="0"/>
      <w:sz w:val="21"/>
      <w:szCs w:val="21"/>
    </w:rPr>
  </w:style>
  <w:style w:type="character" w:customStyle="1" w:styleId="381">
    <w:name w:val="style111"/>
    <w:qFormat/>
    <w:uiPriority w:val="0"/>
    <w:rPr>
      <w:rFonts w:hint="eastAsia" w:ascii="仿宋_GB2312" w:hAnsi="宋体" w:eastAsia="仿宋_GB2312" w:cs="宋体"/>
      <w:snapToGrid w:val="0"/>
      <w:color w:val="FF9900"/>
      <w:spacing w:val="4"/>
      <w:kern w:val="2"/>
      <w:sz w:val="30"/>
      <w:szCs w:val="30"/>
      <w:lang w:val="en-US" w:eastAsia="zh-CN" w:bidi="ar-SA"/>
    </w:rPr>
  </w:style>
  <w:style w:type="character" w:customStyle="1" w:styleId="382">
    <w:name w:val="Normal Char Char Char Char Char"/>
    <w:link w:val="383"/>
    <w:qFormat/>
    <w:uiPriority w:val="0"/>
    <w:rPr>
      <w:rFonts w:ascii="宋体" w:hAnsi="宋体" w:cs="宋体"/>
      <w:spacing w:val="4"/>
      <w:sz w:val="24"/>
      <w:szCs w:val="24"/>
    </w:rPr>
  </w:style>
  <w:style w:type="paragraph" w:customStyle="1" w:styleId="383">
    <w:name w:val="Normal Char Char Char"/>
    <w:basedOn w:val="1"/>
    <w:link w:val="382"/>
    <w:qFormat/>
    <w:uiPriority w:val="0"/>
    <w:pPr>
      <w:tabs>
        <w:tab w:val="left" w:pos="3480"/>
      </w:tabs>
      <w:adjustRightInd w:val="0"/>
      <w:spacing w:line="500" w:lineRule="atLeast"/>
      <w:textAlignment w:val="baseline"/>
    </w:pPr>
    <w:rPr>
      <w:rFonts w:ascii="宋体" w:hAnsi="宋体" w:cs="宋体" w:eastAsiaTheme="minorEastAsia"/>
      <w:spacing w:val="4"/>
    </w:rPr>
  </w:style>
  <w:style w:type="character" w:customStyle="1" w:styleId="384">
    <w:name w:val="样式 表格文字居中 Char + 五号 黑色1"/>
    <w:qFormat/>
    <w:uiPriority w:val="0"/>
    <w:rPr>
      <w:rFonts w:ascii="宋体" w:hAnsi="宋体" w:eastAsia="宋体" w:cs="宋体"/>
      <w:color w:val="000000"/>
      <w:spacing w:val="4"/>
      <w:kern w:val="2"/>
      <w:sz w:val="24"/>
      <w:szCs w:val="24"/>
      <w:lang w:val="en-US" w:eastAsia="zh-CN" w:bidi="ar-SA"/>
    </w:rPr>
  </w:style>
  <w:style w:type="character" w:customStyle="1" w:styleId="385">
    <w:name w:val="headline-content2"/>
    <w:qFormat/>
    <w:uiPriority w:val="0"/>
    <w:rPr>
      <w:rFonts w:ascii="Times New Roman" w:hAnsi="Times New Roman" w:eastAsia="宋体" w:cs="Times New Roman"/>
    </w:rPr>
  </w:style>
  <w:style w:type="character" w:customStyle="1" w:styleId="386">
    <w:name w:val="五级标题王 Char Char"/>
    <w:qFormat/>
    <w:uiPriority w:val="0"/>
    <w:rPr>
      <w:rFonts w:ascii="黑体" w:hAnsi="宋体" w:eastAsia="黑体" w:cs="宋体"/>
      <w:bCs/>
      <w:snapToGrid w:val="0"/>
      <w:spacing w:val="4"/>
      <w:kern w:val="2"/>
      <w:sz w:val="24"/>
      <w:szCs w:val="24"/>
      <w:lang w:val="en-US" w:eastAsia="zh-CN" w:bidi="ar-SA"/>
    </w:rPr>
  </w:style>
  <w:style w:type="character" w:customStyle="1" w:styleId="387">
    <w:name w:val="正文文字 Char Char Char Char Char"/>
    <w:qFormat/>
    <w:uiPriority w:val="0"/>
    <w:rPr>
      <w:rFonts w:eastAsia="宋体"/>
      <w:kern w:val="2"/>
      <w:sz w:val="24"/>
      <w:lang w:val="en-US" w:eastAsia="zh-CN" w:bidi="ar-SA"/>
    </w:rPr>
  </w:style>
  <w:style w:type="character" w:customStyle="1" w:styleId="388">
    <w:name w:val="样式 样式 二级标题 + 自动设置 + (西文) 宋体 (中文) 汉鼎简书宋 小四 Char Char"/>
    <w:qFormat/>
    <w:uiPriority w:val="0"/>
    <w:rPr>
      <w:rFonts w:ascii="宋体" w:hAnsi="宋体" w:eastAsia="汉鼎简书宋" w:cs="宋体"/>
      <w:b/>
      <w:bCs/>
      <w:spacing w:val="4"/>
      <w:kern w:val="2"/>
      <w:sz w:val="24"/>
      <w:szCs w:val="32"/>
    </w:rPr>
  </w:style>
  <w:style w:type="character" w:customStyle="1" w:styleId="389">
    <w:name w:val="Char Char61"/>
    <w:qFormat/>
    <w:uiPriority w:val="0"/>
    <w:rPr>
      <w:rFonts w:ascii="宋体" w:hAnsi="宋体" w:eastAsia="宋体" w:cs="宋体"/>
      <w:snapToGrid w:val="0"/>
      <w:color w:val="000000"/>
      <w:spacing w:val="4"/>
      <w:kern w:val="2"/>
      <w:sz w:val="18"/>
      <w:szCs w:val="18"/>
      <w:lang w:val="en-US" w:eastAsia="zh-CN" w:bidi="ar-SA"/>
    </w:rPr>
  </w:style>
  <w:style w:type="character" w:customStyle="1" w:styleId="390">
    <w:name w:val="unnamed31"/>
    <w:qFormat/>
    <w:uiPriority w:val="0"/>
    <w:rPr>
      <w:sz w:val="18"/>
      <w:szCs w:val="18"/>
    </w:rPr>
  </w:style>
  <w:style w:type="character" w:customStyle="1" w:styleId="391">
    <w:name w:val="正文 + 首行缩进:  2 字符 Char Char"/>
    <w:qFormat/>
    <w:uiPriority w:val="0"/>
    <w:rPr>
      <w:rFonts w:ascii="宋体" w:hAnsi="宋体" w:eastAsia="宋体" w:cs="宋体"/>
      <w:spacing w:val="12"/>
      <w:kern w:val="2"/>
      <w:sz w:val="24"/>
      <w:szCs w:val="24"/>
      <w:lang w:val="en-US" w:eastAsia="zh-CN" w:bidi="ar-SA"/>
    </w:rPr>
  </w:style>
  <w:style w:type="character" w:customStyle="1" w:styleId="392">
    <w:name w:val="规划正文样式 Char Char"/>
    <w:qFormat/>
    <w:uiPriority w:val="0"/>
    <w:rPr>
      <w:rFonts w:ascii="宋体" w:hAnsi="宋体" w:eastAsia="宋体" w:cs="宋体"/>
      <w:spacing w:val="4"/>
      <w:kern w:val="2"/>
      <w:sz w:val="24"/>
      <w:szCs w:val="24"/>
      <w:lang w:val="en-US" w:eastAsia="zh-CN" w:bidi="ar-SA"/>
    </w:rPr>
  </w:style>
  <w:style w:type="character" w:customStyle="1" w:styleId="393">
    <w:name w:val="【标题2】 Char Char"/>
    <w:qFormat/>
    <w:uiPriority w:val="0"/>
    <w:rPr>
      <w:rFonts w:ascii="宋体" w:hAnsi="宋体" w:eastAsia="宋体" w:cs="宋体"/>
      <w:b/>
      <w:bCs/>
      <w:spacing w:val="4"/>
      <w:kern w:val="2"/>
      <w:sz w:val="32"/>
      <w:szCs w:val="24"/>
      <w:lang w:val="en-US" w:eastAsia="zh-CN" w:bidi="ar-SA"/>
    </w:rPr>
  </w:style>
  <w:style w:type="character" w:customStyle="1" w:styleId="394">
    <w:name w:val="正文(首行缩进)宋旭峰 Char Char"/>
    <w:link w:val="395"/>
    <w:qFormat/>
    <w:uiPriority w:val="0"/>
    <w:rPr>
      <w:rFonts w:ascii="宋体" w:hAnsi="宋体" w:cs="Arial"/>
      <w:sz w:val="24"/>
      <w:szCs w:val="24"/>
    </w:rPr>
  </w:style>
  <w:style w:type="paragraph" w:customStyle="1" w:styleId="395">
    <w:name w:val="正文(首行缩进)宋旭峰"/>
    <w:basedOn w:val="23"/>
    <w:link w:val="394"/>
    <w:qFormat/>
    <w:uiPriority w:val="0"/>
    <w:pPr>
      <w:adjustRightInd w:val="0"/>
      <w:snapToGrid w:val="0"/>
      <w:spacing w:before="120" w:beforeLines="50" w:after="120" w:afterLines="50" w:line="360" w:lineRule="auto"/>
      <w:ind w:firstLine="480" w:firstLineChars="200"/>
      <w:contextualSpacing/>
    </w:pPr>
    <w:rPr>
      <w:rFonts w:ascii="宋体" w:hAnsi="宋体" w:cs="Arial" w:eastAsiaTheme="minorEastAsia"/>
      <w:sz w:val="24"/>
      <w:szCs w:val="24"/>
    </w:rPr>
  </w:style>
  <w:style w:type="character" w:customStyle="1" w:styleId="396">
    <w:name w:val="样式14 Char Char"/>
    <w:qFormat/>
    <w:uiPriority w:val="0"/>
    <w:rPr>
      <w:rFonts w:ascii="宋体" w:hAnsi="黑体" w:eastAsia="黑体" w:cs="宋体"/>
      <w:b/>
      <w:spacing w:val="4"/>
      <w:kern w:val="2"/>
      <w:sz w:val="21"/>
      <w:szCs w:val="24"/>
      <w:lang w:val="en-US" w:eastAsia="zh-CN" w:bidi="ar-SA"/>
    </w:rPr>
  </w:style>
  <w:style w:type="character" w:customStyle="1" w:styleId="397">
    <w:name w:val="工可文本格式 Char"/>
    <w:link w:val="398"/>
    <w:qFormat/>
    <w:uiPriority w:val="0"/>
    <w:rPr>
      <w:sz w:val="24"/>
    </w:rPr>
  </w:style>
  <w:style w:type="paragraph" w:customStyle="1" w:styleId="398">
    <w:name w:val="工可文本格式"/>
    <w:basedOn w:val="1"/>
    <w:link w:val="397"/>
    <w:qFormat/>
    <w:uiPriority w:val="0"/>
    <w:pPr>
      <w:spacing w:line="500" w:lineRule="exact"/>
      <w:ind w:firstLine="480" w:firstLineChars="200"/>
    </w:pPr>
    <w:rPr>
      <w:rFonts w:asciiTheme="minorHAnsi" w:hAnsiTheme="minorHAnsi" w:eastAsiaTheme="minorEastAsia" w:cstheme="minorBidi"/>
      <w:szCs w:val="22"/>
    </w:rPr>
  </w:style>
  <w:style w:type="character" w:customStyle="1" w:styleId="399">
    <w:name w:val="样式 样式 方正宋三简体 14 磅 行距: 1.5 倍行距1 + 首行缩进:  2 字符 Char"/>
    <w:link w:val="400"/>
    <w:qFormat/>
    <w:uiPriority w:val="0"/>
    <w:rPr>
      <w:rFonts w:ascii="宋体" w:hAnsi="方正宋三简体" w:cs="宋体"/>
      <w:spacing w:val="4"/>
      <w:sz w:val="27"/>
      <w:szCs w:val="27"/>
    </w:rPr>
  </w:style>
  <w:style w:type="paragraph" w:customStyle="1" w:styleId="400">
    <w:name w:val="样式 样式 方正宋三简体 14 磅 行距: 1.5 倍行距1 + 首行缩进:  2 字符"/>
    <w:basedOn w:val="1"/>
    <w:link w:val="399"/>
    <w:qFormat/>
    <w:uiPriority w:val="0"/>
    <w:pPr>
      <w:spacing w:line="240" w:lineRule="auto"/>
      <w:ind w:firstLine="200" w:firstLineChars="200"/>
    </w:pPr>
    <w:rPr>
      <w:rFonts w:ascii="宋体" w:hAnsi="方正宋三简体" w:cs="宋体" w:eastAsiaTheme="minorEastAsia"/>
      <w:spacing w:val="4"/>
      <w:sz w:val="27"/>
      <w:szCs w:val="27"/>
    </w:rPr>
  </w:style>
  <w:style w:type="character" w:customStyle="1" w:styleId="401">
    <w:name w:val="p11"/>
    <w:qFormat/>
    <w:uiPriority w:val="0"/>
    <w:rPr>
      <w:rFonts w:hint="default" w:eastAsia="宋体" w:cs="宋体"/>
      <w:snapToGrid w:val="0"/>
      <w:color w:val="000000"/>
      <w:spacing w:val="4"/>
      <w:kern w:val="2"/>
      <w:sz w:val="18"/>
      <w:szCs w:val="18"/>
      <w:lang w:val="en-US" w:eastAsia="zh-CN" w:bidi="ar-SA"/>
    </w:rPr>
  </w:style>
  <w:style w:type="character" w:customStyle="1" w:styleId="402">
    <w:name w:val="ncnjw01"/>
    <w:qFormat/>
    <w:uiPriority w:val="0"/>
    <w:rPr>
      <w:rFonts w:ascii="宋体" w:hAnsi="宋体" w:eastAsia="汉鼎简书宋" w:cs="宋体"/>
      <w:spacing w:val="4"/>
      <w:kern w:val="2"/>
      <w:sz w:val="24"/>
      <w:szCs w:val="24"/>
      <w:lang w:val="en-US" w:eastAsia="zh-CN" w:bidi="ar-SA"/>
    </w:rPr>
  </w:style>
  <w:style w:type="character" w:customStyle="1" w:styleId="403">
    <w:name w:val="样式 宋体 小四 行距: 固定值 25 磅 Char Char Char Char Char Char"/>
    <w:qFormat/>
    <w:uiPriority w:val="0"/>
    <w:rPr>
      <w:rFonts w:ascii="宋体" w:hAnsi="宋体" w:eastAsia="宋体" w:cs="宋体"/>
      <w:kern w:val="2"/>
      <w:sz w:val="24"/>
      <w:szCs w:val="24"/>
      <w:lang w:val="en-US" w:eastAsia="zh-CN" w:bidi="ar-SA"/>
    </w:rPr>
  </w:style>
  <w:style w:type="character" w:customStyle="1" w:styleId="404">
    <w:name w:val="style12"/>
    <w:qFormat/>
    <w:uiPriority w:val="0"/>
    <w:rPr>
      <w:rFonts w:ascii="宋体" w:hAnsi="宋体" w:eastAsia="汉鼎简书宋" w:cs="宋体"/>
      <w:spacing w:val="4"/>
      <w:kern w:val="2"/>
      <w:sz w:val="24"/>
      <w:szCs w:val="24"/>
      <w:lang w:val="en-US" w:eastAsia="zh-CN" w:bidi="ar-SA"/>
    </w:rPr>
  </w:style>
  <w:style w:type="character" w:customStyle="1" w:styleId="405">
    <w:name w:val="keyword"/>
    <w:qFormat/>
    <w:uiPriority w:val="0"/>
    <w:rPr>
      <w:rFonts w:ascii="Times New Roman" w:hAnsi="Times New Roman" w:eastAsia="宋体" w:cs="Times New Roman"/>
    </w:rPr>
  </w:style>
  <w:style w:type="character" w:customStyle="1" w:styleId="406">
    <w:name w:val="小节 Char Char"/>
    <w:qFormat/>
    <w:uiPriority w:val="0"/>
    <w:rPr>
      <w:rFonts w:eastAsia="仿宋_GB2312"/>
      <w:b/>
      <w:bCs/>
      <w:kern w:val="2"/>
      <w:sz w:val="32"/>
      <w:szCs w:val="32"/>
      <w:lang w:val="en-US" w:eastAsia="zh-CN" w:bidi="ar-SA"/>
    </w:rPr>
  </w:style>
  <w:style w:type="character" w:customStyle="1" w:styleId="407">
    <w:name w:val="样式 标题 4 + 左侧:  0 厘米 悬挂缩进: 8.64 字符 段前: 6 磅 段后: 6 磅 行距: 单倍行距 Char Char"/>
    <w:qFormat/>
    <w:uiPriority w:val="0"/>
    <w:rPr>
      <w:rFonts w:ascii="Arial" w:hAnsi="Arial" w:eastAsia="黑体" w:cs="宋体"/>
      <w:b/>
      <w:bCs/>
      <w:spacing w:val="4"/>
      <w:kern w:val="2"/>
      <w:sz w:val="24"/>
      <w:szCs w:val="24"/>
      <w:lang w:val="en-US" w:eastAsia="zh-CN" w:bidi="ar-SA"/>
    </w:rPr>
  </w:style>
  <w:style w:type="character" w:customStyle="1" w:styleId="408">
    <w:name w:val="表格1 Char"/>
    <w:link w:val="409"/>
    <w:qFormat/>
    <w:uiPriority w:val="0"/>
    <w:rPr>
      <w:rFonts w:ascii="宋体"/>
      <w:spacing w:val="6"/>
      <w:sz w:val="18"/>
    </w:rPr>
  </w:style>
  <w:style w:type="paragraph" w:customStyle="1" w:styleId="409">
    <w:name w:val="表格1"/>
    <w:basedOn w:val="1"/>
    <w:link w:val="408"/>
    <w:qFormat/>
    <w:uiPriority w:val="0"/>
    <w:pPr>
      <w:adjustRightInd w:val="0"/>
      <w:spacing w:line="280" w:lineRule="exact"/>
      <w:textAlignment w:val="baseline"/>
    </w:pPr>
    <w:rPr>
      <w:rFonts w:ascii="宋体" w:hAnsiTheme="minorHAnsi" w:eastAsiaTheme="minorEastAsia" w:cstheme="minorBidi"/>
      <w:spacing w:val="6"/>
      <w:sz w:val="18"/>
      <w:szCs w:val="22"/>
    </w:rPr>
  </w:style>
  <w:style w:type="character" w:customStyle="1" w:styleId="410">
    <w:name w:val="表格填充1 Char"/>
    <w:link w:val="411"/>
    <w:qFormat/>
    <w:uiPriority w:val="0"/>
    <w:rPr>
      <w:szCs w:val="18"/>
    </w:rPr>
  </w:style>
  <w:style w:type="paragraph" w:customStyle="1" w:styleId="411">
    <w:name w:val="表格填充1"/>
    <w:basedOn w:val="1"/>
    <w:link w:val="410"/>
    <w:qFormat/>
    <w:uiPriority w:val="0"/>
    <w:pPr>
      <w:adjustRightInd w:val="0"/>
      <w:snapToGrid w:val="0"/>
      <w:spacing w:line="400" w:lineRule="exact"/>
      <w:jc w:val="center"/>
    </w:pPr>
    <w:rPr>
      <w:rFonts w:asciiTheme="minorHAnsi" w:hAnsiTheme="minorHAnsi" w:eastAsiaTheme="minorEastAsia" w:cstheme="minorBidi"/>
      <w:sz w:val="21"/>
      <w:szCs w:val="18"/>
    </w:rPr>
  </w:style>
  <w:style w:type="character" w:customStyle="1" w:styleId="412">
    <w:name w:val="标准文本 首行缩进: 2 字符 行距: 单倍 Char"/>
    <w:link w:val="413"/>
    <w:qFormat/>
    <w:uiPriority w:val="0"/>
    <w:rPr>
      <w:rFonts w:cs="宋体"/>
      <w:sz w:val="24"/>
      <w:szCs w:val="24"/>
    </w:rPr>
  </w:style>
  <w:style w:type="paragraph" w:customStyle="1" w:styleId="413">
    <w:name w:val="标准文本 首行缩进: 2 字符 行距: 单倍"/>
    <w:basedOn w:val="1"/>
    <w:link w:val="412"/>
    <w:qFormat/>
    <w:uiPriority w:val="0"/>
    <w:pPr>
      <w:adjustRightInd w:val="0"/>
      <w:snapToGrid w:val="0"/>
      <w:spacing w:line="240" w:lineRule="auto"/>
      <w:ind w:firstLine="480" w:firstLineChars="200"/>
      <w:textAlignment w:val="baseline"/>
    </w:pPr>
    <w:rPr>
      <w:rFonts w:cs="宋体" w:asciiTheme="minorHAnsi" w:hAnsiTheme="minorHAnsi" w:eastAsiaTheme="minorEastAsia"/>
    </w:rPr>
  </w:style>
  <w:style w:type="character" w:customStyle="1" w:styleId="414">
    <w:name w:val="表号 Char"/>
    <w:link w:val="415"/>
    <w:qFormat/>
    <w:locked/>
    <w:uiPriority w:val="0"/>
    <w:rPr>
      <w:rFonts w:ascii="宋体" w:hAnsi="宋体"/>
      <w:sz w:val="24"/>
      <w:szCs w:val="24"/>
    </w:rPr>
  </w:style>
  <w:style w:type="paragraph" w:customStyle="1" w:styleId="415">
    <w:name w:val="表号"/>
    <w:link w:val="414"/>
    <w:qFormat/>
    <w:uiPriority w:val="0"/>
    <w:pPr>
      <w:adjustRightInd w:val="0"/>
      <w:snapToGrid w:val="0"/>
      <w:spacing w:line="240" w:lineRule="atLeast"/>
      <w:jc w:val="both"/>
      <w:outlineLvl w:val="4"/>
    </w:pPr>
    <w:rPr>
      <w:rFonts w:ascii="宋体" w:hAnsi="宋体" w:eastAsiaTheme="minorEastAsia" w:cstheme="minorBidi"/>
      <w:kern w:val="2"/>
      <w:sz w:val="24"/>
      <w:szCs w:val="24"/>
      <w:lang w:val="en-US" w:eastAsia="zh-CN" w:bidi="ar-SA"/>
    </w:rPr>
  </w:style>
  <w:style w:type="character" w:customStyle="1" w:styleId="416">
    <w:name w:val="middle"/>
    <w:qFormat/>
    <w:uiPriority w:val="0"/>
  </w:style>
  <w:style w:type="character" w:customStyle="1" w:styleId="417">
    <w:name w:val="ln1"/>
    <w:qFormat/>
    <w:uiPriority w:val="0"/>
    <w:rPr>
      <w:rFonts w:hint="default"/>
      <w:color w:val="000000"/>
      <w:sz w:val="28"/>
      <w:szCs w:val="28"/>
      <w:u w:val="none"/>
    </w:rPr>
  </w:style>
  <w:style w:type="character" w:customStyle="1" w:styleId="418">
    <w:name w:val="样式 正文首行缩进 + 黑体 四号 黑色 Char Char"/>
    <w:qFormat/>
    <w:uiPriority w:val="0"/>
    <w:rPr>
      <w:rFonts w:ascii="黑体" w:hAnsi="Arial" w:eastAsia="黑体" w:cs="宋体"/>
      <w:color w:val="000000"/>
      <w:kern w:val="2"/>
      <w:sz w:val="28"/>
      <w:szCs w:val="24"/>
    </w:rPr>
  </w:style>
  <w:style w:type="character" w:customStyle="1" w:styleId="419">
    <w:name w:val="样式 正文首行缩进 + Arial 四号 Char"/>
    <w:link w:val="420"/>
    <w:qFormat/>
    <w:uiPriority w:val="0"/>
    <w:rPr>
      <w:rFonts w:ascii="宋体" w:hAnsi="Arial"/>
      <w:spacing w:val="4"/>
      <w:sz w:val="28"/>
      <w:szCs w:val="24"/>
    </w:rPr>
  </w:style>
  <w:style w:type="paragraph" w:customStyle="1" w:styleId="420">
    <w:name w:val="样式 正文首行缩进 + Arial 四号"/>
    <w:basedOn w:val="87"/>
    <w:link w:val="419"/>
    <w:qFormat/>
    <w:uiPriority w:val="0"/>
    <w:pPr>
      <w:spacing w:line="240" w:lineRule="auto"/>
    </w:pPr>
    <w:rPr>
      <w:rFonts w:ascii="宋体" w:hAnsi="Arial" w:eastAsiaTheme="minorEastAsia" w:cstheme="minorBidi"/>
      <w:spacing w:val="4"/>
      <w:sz w:val="28"/>
    </w:rPr>
  </w:style>
  <w:style w:type="character" w:customStyle="1" w:styleId="421">
    <w:name w:val="表注 Char"/>
    <w:link w:val="422"/>
    <w:qFormat/>
    <w:uiPriority w:val="0"/>
    <w:rPr>
      <w:rFonts w:ascii="宋体" w:hAnsi="宋体" w:cs="Courier New"/>
      <w:color w:val="000000"/>
      <w:spacing w:val="4"/>
      <w:sz w:val="18"/>
      <w:szCs w:val="21"/>
    </w:rPr>
  </w:style>
  <w:style w:type="paragraph" w:customStyle="1" w:styleId="422">
    <w:name w:val="表注"/>
    <w:basedOn w:val="1"/>
    <w:next w:val="1"/>
    <w:link w:val="421"/>
    <w:qFormat/>
    <w:uiPriority w:val="0"/>
    <w:pPr>
      <w:keepLines/>
      <w:adjustRightInd w:val="0"/>
      <w:spacing w:line="240" w:lineRule="atLeast"/>
    </w:pPr>
    <w:rPr>
      <w:rFonts w:ascii="宋体" w:hAnsi="宋体" w:cs="Courier New" w:eastAsiaTheme="minorEastAsia"/>
      <w:color w:val="000000"/>
      <w:spacing w:val="4"/>
      <w:sz w:val="18"/>
      <w:szCs w:val="21"/>
    </w:rPr>
  </w:style>
  <w:style w:type="character" w:customStyle="1" w:styleId="423">
    <w:name w:val="nmtitle gray font14 rowspan18"/>
    <w:qFormat/>
    <w:uiPriority w:val="0"/>
    <w:rPr>
      <w:rFonts w:ascii="宋体" w:hAnsi="宋体" w:eastAsia="宋体" w:cs="宋体"/>
      <w:snapToGrid w:val="0"/>
      <w:color w:val="000000"/>
      <w:spacing w:val="4"/>
      <w:kern w:val="2"/>
      <w:sz w:val="28"/>
      <w:szCs w:val="28"/>
      <w:lang w:val="en-US" w:eastAsia="zh-CN" w:bidi="ar-SA"/>
    </w:rPr>
  </w:style>
  <w:style w:type="character" w:customStyle="1" w:styleId="424">
    <w:name w:val="正文文本缩进 Char1"/>
    <w:qFormat/>
    <w:uiPriority w:val="0"/>
    <w:rPr>
      <w:rFonts w:hint="default" w:ascii="Times New Roman" w:hAnsi="Times New Roman" w:eastAsia="宋体" w:cs="Times New Roman"/>
      <w:kern w:val="2"/>
      <w:sz w:val="21"/>
    </w:rPr>
  </w:style>
  <w:style w:type="character" w:customStyle="1" w:styleId="425">
    <w:name w:val="正文1 Char Char4"/>
    <w:qFormat/>
    <w:uiPriority w:val="0"/>
    <w:rPr>
      <w:rFonts w:ascii="宋体" w:hAnsi="宋体" w:eastAsia="宋体" w:cs="宋体"/>
      <w:spacing w:val="4"/>
      <w:kern w:val="2"/>
      <w:sz w:val="24"/>
      <w:szCs w:val="28"/>
      <w:lang w:val="en-US" w:eastAsia="zh-CN" w:bidi="ar-SA"/>
    </w:rPr>
  </w:style>
  <w:style w:type="character" w:customStyle="1" w:styleId="426">
    <w:name w:val="16.9.3.1 Char Char"/>
    <w:link w:val="427"/>
    <w:qFormat/>
    <w:uiPriority w:val="0"/>
    <w:rPr>
      <w:rFonts w:ascii="Arial" w:hAnsi="Arial" w:eastAsia="黑体"/>
      <w:b/>
      <w:bCs/>
      <w:sz w:val="24"/>
    </w:rPr>
  </w:style>
  <w:style w:type="paragraph" w:customStyle="1" w:styleId="427">
    <w:name w:val="16.9.3.1"/>
    <w:basedOn w:val="428"/>
    <w:link w:val="426"/>
    <w:qFormat/>
    <w:uiPriority w:val="0"/>
    <w:pPr>
      <w:numPr>
        <w:numId w:val="5"/>
      </w:numPr>
      <w:tabs>
        <w:tab w:val="left" w:pos="360"/>
        <w:tab w:val="left" w:pos="998"/>
        <w:tab w:val="left" w:pos="1080"/>
        <w:tab w:val="left" w:pos="1800"/>
        <w:tab w:val="left" w:pos="5910"/>
      </w:tabs>
      <w:ind w:left="851" w:firstLine="0"/>
    </w:pPr>
    <w:rPr>
      <w:rFonts w:cstheme="minorBidi"/>
      <w:szCs w:val="22"/>
    </w:rPr>
  </w:style>
  <w:style w:type="paragraph" w:customStyle="1" w:styleId="428">
    <w:name w:val="16.9.1.1"/>
    <w:basedOn w:val="8"/>
    <w:link w:val="429"/>
    <w:qFormat/>
    <w:uiPriority w:val="0"/>
    <w:pPr>
      <w:keepLines/>
      <w:numPr>
        <w:ilvl w:val="3"/>
        <w:numId w:val="6"/>
      </w:numPr>
      <w:tabs>
        <w:tab w:val="left" w:pos="1080"/>
        <w:tab w:val="clear" w:pos="864"/>
      </w:tabs>
      <w:spacing w:before="120" w:after="120" w:line="312" w:lineRule="auto"/>
      <w:jc w:val="both"/>
    </w:pPr>
    <w:rPr>
      <w:rFonts w:ascii="Arial" w:hAnsi="Arial" w:eastAsia="黑体"/>
      <w:szCs w:val="20"/>
    </w:rPr>
  </w:style>
  <w:style w:type="character" w:customStyle="1" w:styleId="429">
    <w:name w:val="16.9.1.1 Char Char"/>
    <w:link w:val="428"/>
    <w:qFormat/>
    <w:uiPriority w:val="0"/>
    <w:rPr>
      <w:rFonts w:ascii="Arial" w:hAnsi="Arial" w:eastAsia="黑体" w:cs="Times New Roman"/>
      <w:b/>
      <w:bCs/>
      <w:sz w:val="24"/>
      <w:szCs w:val="20"/>
    </w:rPr>
  </w:style>
  <w:style w:type="character" w:customStyle="1" w:styleId="430">
    <w:name w:val="环小四表内容 Char"/>
    <w:link w:val="431"/>
    <w:qFormat/>
    <w:uiPriority w:val="0"/>
    <w:rPr>
      <w:rFonts w:ascii="宋体" w:hAnsi="宋体"/>
      <w:sz w:val="18"/>
      <w:szCs w:val="21"/>
    </w:rPr>
  </w:style>
  <w:style w:type="paragraph" w:customStyle="1" w:styleId="431">
    <w:name w:val="环小四表内容"/>
    <w:basedOn w:val="1"/>
    <w:link w:val="430"/>
    <w:qFormat/>
    <w:uiPriority w:val="0"/>
    <w:pPr>
      <w:wordWrap w:val="0"/>
      <w:spacing w:line="240" w:lineRule="exact"/>
      <w:jc w:val="center"/>
    </w:pPr>
    <w:rPr>
      <w:rFonts w:ascii="宋体" w:hAnsi="宋体" w:eastAsiaTheme="minorEastAsia" w:cstheme="minorBidi"/>
      <w:sz w:val="18"/>
      <w:szCs w:val="21"/>
    </w:rPr>
  </w:style>
  <w:style w:type="character" w:customStyle="1" w:styleId="432">
    <w:name w:val="标题 1 Char Char Char Char Char Char Char Char"/>
    <w:qFormat/>
    <w:uiPriority w:val="0"/>
    <w:rPr>
      <w:rFonts w:ascii="宋体" w:hAnsi="宋体" w:eastAsia="宋体" w:cs="宋体"/>
      <w:kern w:val="44"/>
      <w:sz w:val="28"/>
      <w:szCs w:val="24"/>
      <w:lang w:val="en-US" w:eastAsia="zh-CN" w:bidi="ar-SA"/>
    </w:rPr>
  </w:style>
  <w:style w:type="character" w:customStyle="1" w:styleId="433">
    <w:name w:val="报告书正文 Char Char Char Char Char Char"/>
    <w:qFormat/>
    <w:uiPriority w:val="0"/>
    <w:rPr>
      <w:rFonts w:ascii="宋体" w:hAnsi="宋体" w:eastAsia="宋体" w:cs="宋体"/>
      <w:spacing w:val="4"/>
      <w:kern w:val="2"/>
      <w:sz w:val="24"/>
      <w:szCs w:val="24"/>
      <w:lang w:val="en-US" w:eastAsia="zh-CN" w:bidi="ar-SA"/>
    </w:rPr>
  </w:style>
  <w:style w:type="character" w:customStyle="1" w:styleId="434">
    <w:name w:val="ourfont2"/>
    <w:qFormat/>
    <w:uiPriority w:val="0"/>
    <w:rPr>
      <w:rFonts w:eastAsia="黑体"/>
      <w:snapToGrid w:val="0"/>
      <w:kern w:val="2"/>
      <w:sz w:val="24"/>
      <w:lang w:val="en-US" w:eastAsia="zh-CN"/>
    </w:rPr>
  </w:style>
  <w:style w:type="character" w:customStyle="1" w:styleId="435">
    <w:name w:val="标题 3 Char1"/>
    <w:qFormat/>
    <w:uiPriority w:val="0"/>
    <w:rPr>
      <w:b/>
      <w:bCs/>
      <w:kern w:val="32"/>
      <w:sz w:val="30"/>
      <w:szCs w:val="30"/>
      <w:lang w:val="en-GB"/>
    </w:rPr>
  </w:style>
  <w:style w:type="character" w:customStyle="1" w:styleId="436">
    <w:name w:val="报告正文格式 Char"/>
    <w:link w:val="437"/>
    <w:qFormat/>
    <w:uiPriority w:val="0"/>
    <w:rPr>
      <w:rFonts w:ascii="宋体" w:hAnsi="宋体" w:eastAsia="汉鼎简书宋"/>
      <w:spacing w:val="4"/>
      <w:sz w:val="24"/>
      <w:szCs w:val="21"/>
    </w:rPr>
  </w:style>
  <w:style w:type="paragraph" w:customStyle="1" w:styleId="437">
    <w:name w:val="报告正文格式"/>
    <w:basedOn w:val="1"/>
    <w:link w:val="436"/>
    <w:qFormat/>
    <w:uiPriority w:val="0"/>
    <w:pPr>
      <w:spacing w:after="60"/>
      <w:ind w:firstLine="496" w:firstLineChars="200"/>
    </w:pPr>
    <w:rPr>
      <w:rFonts w:ascii="宋体" w:hAnsi="宋体" w:eastAsia="汉鼎简书宋" w:cstheme="minorBidi"/>
      <w:spacing w:val="4"/>
      <w:szCs w:val="21"/>
    </w:rPr>
  </w:style>
  <w:style w:type="character" w:customStyle="1" w:styleId="438">
    <w:name w:val="样式 (符号) 宋体 13 磅"/>
    <w:qFormat/>
    <w:uiPriority w:val="0"/>
    <w:rPr>
      <w:rFonts w:ascii="宋体" w:hAnsi="宋体" w:eastAsia="宋体" w:cs="宋体"/>
      <w:spacing w:val="4"/>
      <w:kern w:val="2"/>
      <w:sz w:val="27"/>
      <w:szCs w:val="27"/>
      <w:lang w:val="en-US" w:eastAsia="zh-CN" w:bidi="ar-SA"/>
    </w:rPr>
  </w:style>
  <w:style w:type="character" w:customStyle="1" w:styleId="439">
    <w:name w:val="正文王 Char Char Char"/>
    <w:qFormat/>
    <w:uiPriority w:val="0"/>
    <w:rPr>
      <w:rFonts w:ascii="宋体" w:hAnsi="宋体" w:eastAsia="宋体" w:cs="宋体"/>
      <w:b/>
      <w:snapToGrid w:val="0"/>
      <w:spacing w:val="4"/>
      <w:kern w:val="2"/>
      <w:sz w:val="24"/>
      <w:szCs w:val="24"/>
      <w:lang w:val="en-US" w:eastAsia="zh-CN" w:bidi="ar-SA"/>
    </w:rPr>
  </w:style>
  <w:style w:type="character" w:customStyle="1" w:styleId="440">
    <w:name w:val="环小四说明 Char"/>
    <w:link w:val="441"/>
    <w:qFormat/>
    <w:uiPriority w:val="0"/>
    <w:rPr>
      <w:rFonts w:ascii="宋体" w:hAnsi="宋体"/>
      <w:bCs/>
      <w:color w:val="000000"/>
      <w:kern w:val="24"/>
      <w:sz w:val="24"/>
      <w:szCs w:val="24"/>
    </w:rPr>
  </w:style>
  <w:style w:type="paragraph" w:customStyle="1" w:styleId="441">
    <w:name w:val="环小四说明"/>
    <w:link w:val="440"/>
    <w:qFormat/>
    <w:uiPriority w:val="0"/>
    <w:pPr>
      <w:widowControl w:val="0"/>
      <w:ind w:firstLine="200" w:firstLineChars="200"/>
      <w:jc w:val="both"/>
    </w:pPr>
    <w:rPr>
      <w:rFonts w:ascii="宋体" w:hAnsi="宋体" w:eastAsiaTheme="minorEastAsia" w:cstheme="minorBidi"/>
      <w:bCs/>
      <w:color w:val="000000"/>
      <w:kern w:val="24"/>
      <w:sz w:val="24"/>
      <w:szCs w:val="24"/>
      <w:lang w:val="en-US" w:eastAsia="zh-CN" w:bidi="ar-SA"/>
    </w:rPr>
  </w:style>
  <w:style w:type="character" w:customStyle="1" w:styleId="442">
    <w:name w:val="正文 Char Char"/>
    <w:qFormat/>
    <w:uiPriority w:val="0"/>
    <w:rPr>
      <w:rFonts w:eastAsia="宋体"/>
      <w:kern w:val="2"/>
      <w:sz w:val="24"/>
      <w:szCs w:val="24"/>
      <w:lang w:val="en-US" w:eastAsia="zh-CN" w:bidi="ar-SA"/>
    </w:rPr>
  </w:style>
  <w:style w:type="character" w:customStyle="1" w:styleId="443">
    <w:name w:val="style201"/>
    <w:qFormat/>
    <w:uiPriority w:val="0"/>
    <w:rPr>
      <w:color w:val="000000"/>
      <w:sz w:val="24"/>
      <w:szCs w:val="24"/>
    </w:rPr>
  </w:style>
  <w:style w:type="character" w:customStyle="1" w:styleId="444">
    <w:name w:val="link14pp1"/>
    <w:qFormat/>
    <w:uiPriority w:val="0"/>
    <w:rPr>
      <w:rFonts w:ascii="Times New Roman" w:hAnsi="Times New Roman" w:eastAsia="宋体" w:cs="Times New Roman"/>
      <w:color w:val="000000"/>
      <w:sz w:val="19"/>
      <w:szCs w:val="19"/>
    </w:rPr>
  </w:style>
  <w:style w:type="character" w:customStyle="1" w:styleId="445">
    <w:name w:val="样式 (符号) 宋体 五号 加粗 左 行距: 单倍行距1"/>
    <w:qFormat/>
    <w:uiPriority w:val="0"/>
    <w:rPr>
      <w:rFonts w:ascii="Times New Roman" w:hAnsi="宋体" w:eastAsia="宋体" w:cs="宋体"/>
      <w:bCs/>
      <w:kern w:val="0"/>
      <w:sz w:val="21"/>
      <w:szCs w:val="21"/>
    </w:rPr>
  </w:style>
  <w:style w:type="character" w:customStyle="1" w:styleId="446">
    <w:name w:val="样式12 Char"/>
    <w:link w:val="447"/>
    <w:qFormat/>
    <w:uiPriority w:val="0"/>
    <w:rPr>
      <w:rFonts w:ascii="黑体" w:hAnsi="黑体" w:eastAsia="黑体"/>
      <w:b/>
      <w:spacing w:val="4"/>
      <w:szCs w:val="24"/>
    </w:rPr>
  </w:style>
  <w:style w:type="paragraph" w:customStyle="1" w:styleId="447">
    <w:name w:val="样式12"/>
    <w:basedOn w:val="1"/>
    <w:link w:val="446"/>
    <w:qFormat/>
    <w:uiPriority w:val="0"/>
    <w:pPr>
      <w:adjustRightInd w:val="0"/>
      <w:snapToGrid w:val="0"/>
      <w:ind w:left="480" w:hanging="480" w:hangingChars="200"/>
      <w:jc w:val="center"/>
    </w:pPr>
    <w:rPr>
      <w:rFonts w:ascii="黑体" w:hAnsi="黑体" w:eastAsia="黑体" w:cstheme="minorBidi"/>
      <w:b/>
      <w:spacing w:val="4"/>
      <w:sz w:val="21"/>
    </w:rPr>
  </w:style>
  <w:style w:type="character" w:customStyle="1" w:styleId="448">
    <w:name w:val="邵光高速小四号宋体 Char"/>
    <w:link w:val="449"/>
    <w:qFormat/>
    <w:uiPriority w:val="0"/>
    <w:rPr>
      <w:rFonts w:eastAsia="Times New Roman"/>
      <w:sz w:val="24"/>
      <w:szCs w:val="24"/>
    </w:rPr>
  </w:style>
  <w:style w:type="paragraph" w:customStyle="1" w:styleId="449">
    <w:name w:val="邵光高速小四号宋体"/>
    <w:link w:val="448"/>
    <w:qFormat/>
    <w:uiPriority w:val="0"/>
    <w:pPr>
      <w:widowControl w:val="0"/>
      <w:spacing w:line="360" w:lineRule="auto"/>
      <w:ind w:firstLine="480" w:firstLineChars="200"/>
      <w:jc w:val="both"/>
    </w:pPr>
    <w:rPr>
      <w:rFonts w:eastAsia="Times New Roman" w:asciiTheme="minorHAnsi" w:hAnsiTheme="minorHAnsi" w:cstheme="minorBidi"/>
      <w:kern w:val="2"/>
      <w:sz w:val="24"/>
      <w:szCs w:val="24"/>
      <w:lang w:val="en-US" w:eastAsia="zh-CN" w:bidi="ar-SA"/>
    </w:rPr>
  </w:style>
  <w:style w:type="character" w:customStyle="1" w:styleId="450">
    <w:name w:val="hb4 Char"/>
    <w:link w:val="451"/>
    <w:qFormat/>
    <w:uiPriority w:val="0"/>
    <w:rPr>
      <w:rFonts w:ascii="宋体" w:hAnsi="Arial" w:cs="宋体"/>
      <w:b/>
      <w:sz w:val="24"/>
      <w:szCs w:val="24"/>
    </w:rPr>
  </w:style>
  <w:style w:type="paragraph" w:customStyle="1" w:styleId="451">
    <w:name w:val="hb4"/>
    <w:basedOn w:val="8"/>
    <w:link w:val="450"/>
    <w:qFormat/>
    <w:uiPriority w:val="0"/>
    <w:pPr>
      <w:keepLines/>
      <w:tabs>
        <w:tab w:val="clear" w:pos="864"/>
      </w:tabs>
      <w:adjustRightInd w:val="0"/>
      <w:spacing w:before="120" w:beforeLines="50" w:after="120" w:afterLines="50" w:line="529" w:lineRule="exact"/>
      <w:ind w:left="0" w:firstLine="480" w:firstLineChars="200"/>
      <w:jc w:val="both"/>
      <w:textAlignment w:val="baseline"/>
    </w:pPr>
    <w:rPr>
      <w:rFonts w:ascii="宋体" w:hAnsi="Arial" w:cs="宋体" w:eastAsiaTheme="minorEastAsia"/>
      <w:bCs w:val="0"/>
    </w:rPr>
  </w:style>
  <w:style w:type="character" w:customStyle="1" w:styleId="452">
    <w:name w:val="表格文字居中 Char1"/>
    <w:link w:val="453"/>
    <w:qFormat/>
    <w:locked/>
    <w:uiPriority w:val="0"/>
    <w:rPr>
      <w:rFonts w:ascii="宋体" w:hAnsi="宋体"/>
      <w:color w:val="000000"/>
      <w:spacing w:val="4"/>
      <w:szCs w:val="24"/>
    </w:rPr>
  </w:style>
  <w:style w:type="paragraph" w:customStyle="1" w:styleId="453">
    <w:name w:val="表格文字居中"/>
    <w:basedOn w:val="87"/>
    <w:link w:val="452"/>
    <w:qFormat/>
    <w:uiPriority w:val="0"/>
    <w:pPr>
      <w:spacing w:after="0" w:line="240" w:lineRule="auto"/>
      <w:ind w:right="-105" w:rightChars="-50" w:firstLine="0" w:firstLineChars="0"/>
      <w:jc w:val="center"/>
    </w:pPr>
    <w:rPr>
      <w:rFonts w:ascii="宋体" w:hAnsi="宋体" w:eastAsiaTheme="minorEastAsia" w:cstheme="minorBidi"/>
      <w:color w:val="000000"/>
      <w:spacing w:val="4"/>
      <w:sz w:val="21"/>
    </w:rPr>
  </w:style>
  <w:style w:type="character" w:customStyle="1" w:styleId="454">
    <w:name w:val="表格文字居中 Char"/>
    <w:qFormat/>
    <w:uiPriority w:val="0"/>
    <w:rPr>
      <w:rFonts w:ascii="宋体" w:hAnsi="宋体" w:eastAsia="宋体" w:cs="宋体"/>
      <w:spacing w:val="4"/>
      <w:kern w:val="2"/>
      <w:sz w:val="24"/>
      <w:szCs w:val="24"/>
      <w:lang w:val="en-US" w:eastAsia="zh-CN" w:bidi="ar-SA"/>
    </w:rPr>
  </w:style>
  <w:style w:type="character" w:customStyle="1" w:styleId="455">
    <w:name w:val="H1 Char1"/>
    <w:qFormat/>
    <w:uiPriority w:val="0"/>
    <w:rPr>
      <w:rFonts w:ascii="Cambria" w:hAnsi="Cambria" w:eastAsia="宋体" w:cs="宋体"/>
      <w:b/>
      <w:bCs/>
      <w:spacing w:val="4"/>
      <w:kern w:val="32"/>
      <w:sz w:val="32"/>
      <w:szCs w:val="32"/>
      <w:lang w:val="en-US" w:eastAsia="en-US" w:bidi="en-US"/>
    </w:rPr>
  </w:style>
  <w:style w:type="character" w:customStyle="1" w:styleId="456">
    <w:name w:val="德胜表头 Char"/>
    <w:link w:val="457"/>
    <w:qFormat/>
    <w:uiPriority w:val="0"/>
    <w:rPr>
      <w:rFonts w:ascii="宋体" w:hAnsi="宋体" w:cs="宋体"/>
      <w:b/>
      <w:color w:val="0000FF"/>
      <w:spacing w:val="4"/>
      <w:sz w:val="24"/>
      <w:szCs w:val="28"/>
    </w:rPr>
  </w:style>
  <w:style w:type="paragraph" w:customStyle="1" w:styleId="457">
    <w:name w:val="德胜表头"/>
    <w:basedOn w:val="1"/>
    <w:link w:val="456"/>
    <w:qFormat/>
    <w:uiPriority w:val="0"/>
    <w:pPr>
      <w:adjustRightInd w:val="0"/>
      <w:snapToGrid w:val="0"/>
      <w:jc w:val="center"/>
    </w:pPr>
    <w:rPr>
      <w:rFonts w:ascii="宋体" w:hAnsi="宋体" w:cs="宋体" w:eastAsiaTheme="minorEastAsia"/>
      <w:b/>
      <w:color w:val="0000FF"/>
      <w:spacing w:val="4"/>
      <w:szCs w:val="28"/>
    </w:rPr>
  </w:style>
  <w:style w:type="character" w:customStyle="1" w:styleId="458">
    <w:name w:val="图表名称 Char"/>
    <w:link w:val="459"/>
    <w:qFormat/>
    <w:uiPriority w:val="0"/>
    <w:rPr>
      <w:rFonts w:ascii="Calibri" w:hAnsi="Calibri" w:eastAsia="黑体"/>
      <w:b/>
      <w:bCs/>
      <w:sz w:val="24"/>
      <w:szCs w:val="21"/>
    </w:rPr>
  </w:style>
  <w:style w:type="paragraph" w:customStyle="1" w:styleId="459">
    <w:name w:val="图表名称"/>
    <w:next w:val="1"/>
    <w:link w:val="458"/>
    <w:qFormat/>
    <w:uiPriority w:val="0"/>
    <w:pPr>
      <w:spacing w:before="25" w:after="25" w:line="360" w:lineRule="auto"/>
      <w:jc w:val="center"/>
    </w:pPr>
    <w:rPr>
      <w:rFonts w:ascii="Calibri" w:hAnsi="Calibri" w:eastAsia="黑体" w:cstheme="minorBidi"/>
      <w:b/>
      <w:bCs/>
      <w:kern w:val="2"/>
      <w:sz w:val="24"/>
      <w:szCs w:val="21"/>
      <w:lang w:val="en-US" w:eastAsia="zh-CN" w:bidi="ar-SA"/>
    </w:rPr>
  </w:style>
  <w:style w:type="character" w:customStyle="1" w:styleId="460">
    <w:name w:val="陶瓷三级目录 Char"/>
    <w:link w:val="461"/>
    <w:qFormat/>
    <w:uiPriority w:val="0"/>
    <w:rPr>
      <w:rFonts w:eastAsia="黑体"/>
      <w:b/>
      <w:color w:val="000000"/>
      <w:sz w:val="28"/>
      <w:szCs w:val="28"/>
    </w:rPr>
  </w:style>
  <w:style w:type="paragraph" w:customStyle="1" w:styleId="461">
    <w:name w:val="陶瓷三级目录"/>
    <w:basedOn w:val="462"/>
    <w:link w:val="460"/>
    <w:qFormat/>
    <w:uiPriority w:val="0"/>
    <w:pPr>
      <w:keepNext w:val="0"/>
      <w:keepLines w:val="0"/>
      <w:numPr>
        <w:ilvl w:val="0"/>
        <w:numId w:val="0"/>
      </w:numPr>
      <w:tabs>
        <w:tab w:val="left" w:pos="720"/>
        <w:tab w:val="left" w:pos="1365"/>
        <w:tab w:val="left" w:pos="2705"/>
      </w:tabs>
      <w:adjustRightInd w:val="0"/>
      <w:snapToGrid w:val="0"/>
      <w:spacing w:line="360" w:lineRule="auto"/>
      <w:textAlignment w:val="auto"/>
    </w:pPr>
    <w:rPr>
      <w:rFonts w:eastAsia="黑体" w:asciiTheme="minorHAnsi" w:hAnsiTheme="minorHAnsi" w:cstheme="minorBidi"/>
      <w:bCs w:val="0"/>
    </w:rPr>
  </w:style>
  <w:style w:type="paragraph" w:customStyle="1" w:styleId="462">
    <w:name w:val="三级标题"/>
    <w:basedOn w:val="7"/>
    <w:link w:val="463"/>
    <w:qFormat/>
    <w:uiPriority w:val="0"/>
    <w:pPr>
      <w:tabs>
        <w:tab w:val="left" w:pos="720"/>
        <w:tab w:val="left" w:pos="1365"/>
      </w:tabs>
      <w:spacing w:before="0" w:after="0" w:line="480" w:lineRule="auto"/>
      <w:jc w:val="left"/>
      <w:textAlignment w:val="baseline"/>
    </w:pPr>
    <w:rPr>
      <w:rFonts w:ascii="Times New Roman" w:hAnsi="Times New Roman"/>
      <w:szCs w:val="28"/>
    </w:rPr>
  </w:style>
  <w:style w:type="character" w:customStyle="1" w:styleId="463">
    <w:name w:val="三级标题 Char"/>
    <w:link w:val="462"/>
    <w:qFormat/>
    <w:uiPriority w:val="0"/>
    <w:rPr>
      <w:rFonts w:ascii="Times New Roman" w:hAnsi="Times New Roman" w:eastAsia="宋体" w:cs="Times New Roman"/>
      <w:b/>
      <w:bCs/>
      <w:color w:val="000000"/>
      <w:sz w:val="28"/>
      <w:szCs w:val="28"/>
    </w:rPr>
  </w:style>
  <w:style w:type="character" w:customStyle="1" w:styleId="464">
    <w:name w:val="标准正文 Char"/>
    <w:link w:val="465"/>
    <w:qFormat/>
    <w:uiPriority w:val="0"/>
    <w:rPr>
      <w:color w:val="0000FF"/>
      <w:sz w:val="28"/>
    </w:rPr>
  </w:style>
  <w:style w:type="paragraph" w:customStyle="1" w:styleId="465">
    <w:name w:val="标准正文"/>
    <w:basedOn w:val="1"/>
    <w:link w:val="464"/>
    <w:qFormat/>
    <w:uiPriority w:val="0"/>
    <w:pPr>
      <w:autoSpaceDE w:val="0"/>
      <w:autoSpaceDN w:val="0"/>
      <w:adjustRightInd w:val="0"/>
      <w:snapToGrid w:val="0"/>
      <w:ind w:firstLine="510"/>
    </w:pPr>
    <w:rPr>
      <w:rFonts w:asciiTheme="minorHAnsi" w:hAnsiTheme="minorHAnsi" w:eastAsiaTheme="minorEastAsia" w:cstheme="minorBidi"/>
      <w:color w:val="0000FF"/>
      <w:sz w:val="28"/>
      <w:szCs w:val="22"/>
    </w:rPr>
  </w:style>
  <w:style w:type="character" w:customStyle="1" w:styleId="466">
    <w:name w:val="样式 正文样式1 + 首行缩进:  2 字符 Char"/>
    <w:link w:val="467"/>
    <w:qFormat/>
    <w:uiPriority w:val="0"/>
    <w:rPr>
      <w:rFonts w:ascii="宋体" w:hAnsi="宋体"/>
      <w:spacing w:val="4"/>
      <w:sz w:val="24"/>
      <w:szCs w:val="24"/>
    </w:rPr>
  </w:style>
  <w:style w:type="paragraph" w:customStyle="1" w:styleId="467">
    <w:name w:val="样式 正文样式1 + 首行缩进:  2 字符"/>
    <w:basedOn w:val="1"/>
    <w:link w:val="466"/>
    <w:qFormat/>
    <w:uiPriority w:val="0"/>
    <w:pPr>
      <w:widowControl/>
      <w:ind w:firstLine="200" w:firstLineChars="200"/>
    </w:pPr>
    <w:rPr>
      <w:rFonts w:ascii="宋体" w:hAnsi="宋体" w:eastAsiaTheme="minorEastAsia" w:cstheme="minorBidi"/>
      <w:spacing w:val="4"/>
    </w:rPr>
  </w:style>
  <w:style w:type="character" w:customStyle="1" w:styleId="468">
    <w:name w:val="样式 正文文本缩进 2正文文字缩进 2 + 四号 蓝色 Char Char Char Char"/>
    <w:qFormat/>
    <w:uiPriority w:val="0"/>
    <w:rPr>
      <w:rFonts w:ascii="宋体" w:hAnsi="宋体"/>
      <w:color w:val="0000FF"/>
      <w:spacing w:val="8"/>
      <w:sz w:val="24"/>
      <w:szCs w:val="24"/>
      <w:lang w:bidi="ar-SA"/>
    </w:rPr>
  </w:style>
  <w:style w:type="character" w:customStyle="1" w:styleId="469">
    <w:name w:val="表文 Char Char Char Char Char Char"/>
    <w:qFormat/>
    <w:uiPriority w:val="0"/>
    <w:rPr>
      <w:rFonts w:ascii="宋体" w:hAnsi="宋体" w:eastAsia="宋体" w:cs="宋体"/>
      <w:spacing w:val="4"/>
      <w:kern w:val="2"/>
      <w:sz w:val="18"/>
      <w:szCs w:val="18"/>
      <w:lang w:val="en-US" w:eastAsia="zh-CN" w:bidi="ar-SA"/>
    </w:rPr>
  </w:style>
  <w:style w:type="character" w:customStyle="1" w:styleId="470">
    <w:name w:val="标题 2 SL CON Char"/>
    <w:link w:val="471"/>
    <w:qFormat/>
    <w:locked/>
    <w:uiPriority w:val="99"/>
    <w:rPr>
      <w:rFonts w:eastAsia="黑体" w:cs="宋体"/>
      <w:sz w:val="28"/>
      <w:szCs w:val="28"/>
    </w:rPr>
  </w:style>
  <w:style w:type="paragraph" w:customStyle="1" w:styleId="471">
    <w:name w:val="标题 2 SL CON"/>
    <w:basedOn w:val="1"/>
    <w:next w:val="1"/>
    <w:link w:val="470"/>
    <w:qFormat/>
    <w:uiPriority w:val="0"/>
    <w:pPr>
      <w:widowControl/>
      <w:tabs>
        <w:tab w:val="left" w:pos="377"/>
        <w:tab w:val="left" w:pos="858"/>
      </w:tabs>
      <w:spacing w:before="100" w:beforeAutospacing="1"/>
      <w:ind w:left="858" w:hanging="680"/>
      <w:outlineLvl w:val="1"/>
    </w:pPr>
    <w:rPr>
      <w:rFonts w:eastAsia="黑体" w:cs="宋体" w:asciiTheme="minorHAnsi" w:hAnsiTheme="minorHAnsi"/>
      <w:sz w:val="28"/>
      <w:szCs w:val="28"/>
    </w:rPr>
  </w:style>
  <w:style w:type="character" w:customStyle="1" w:styleId="472">
    <w:name w:val="表格正文 Char Char"/>
    <w:qFormat/>
    <w:uiPriority w:val="0"/>
    <w:rPr>
      <w:rFonts w:eastAsia="宋体"/>
      <w:kern w:val="2"/>
      <w:sz w:val="24"/>
      <w:szCs w:val="24"/>
      <w:lang w:val="en-US" w:eastAsia="zh-CN" w:bidi="ar-SA"/>
    </w:rPr>
  </w:style>
  <w:style w:type="character" w:customStyle="1" w:styleId="473">
    <w:name w:val="正文(首行缩进) Char Char"/>
    <w:qFormat/>
    <w:uiPriority w:val="0"/>
    <w:rPr>
      <w:rFonts w:ascii="宋体" w:hAnsi="宋体" w:eastAsia="宋体" w:cs="宋体"/>
      <w:snapToGrid w:val="0"/>
      <w:color w:val="000000"/>
      <w:spacing w:val="4"/>
      <w:kern w:val="2"/>
      <w:sz w:val="24"/>
      <w:szCs w:val="24"/>
      <w:lang w:val="en-US" w:eastAsia="zh-CN" w:bidi="ar-SA"/>
    </w:rPr>
  </w:style>
  <w:style w:type="character" w:customStyle="1" w:styleId="474">
    <w:name w:val="图表名称 Char Char"/>
    <w:qFormat/>
    <w:uiPriority w:val="0"/>
    <w:rPr>
      <w:rFonts w:ascii="Calibri" w:hAnsi="Calibri" w:eastAsia="黑体"/>
      <w:b/>
      <w:bCs/>
      <w:kern w:val="2"/>
      <w:sz w:val="24"/>
      <w:szCs w:val="21"/>
      <w:lang w:val="en-US" w:eastAsia="zh-CN" w:bidi="ar-SA"/>
    </w:rPr>
  </w:style>
  <w:style w:type="character" w:customStyle="1" w:styleId="475">
    <w:name w:val="表格中的文字 Char Char"/>
    <w:qFormat/>
    <w:uiPriority w:val="0"/>
    <w:rPr>
      <w:rFonts w:ascii="Calibri" w:hAnsi="Calibri"/>
      <w:lang w:bidi="ar-SA"/>
    </w:rPr>
  </w:style>
  <w:style w:type="character" w:customStyle="1" w:styleId="476">
    <w:name w:val="正文王 Char Char"/>
    <w:qFormat/>
    <w:uiPriority w:val="0"/>
    <w:rPr>
      <w:rFonts w:ascii="Arial" w:hAnsi="Arial" w:cs="宋体"/>
      <w:snapToGrid w:val="0"/>
      <w:spacing w:val="4"/>
      <w:kern w:val="2"/>
      <w:sz w:val="24"/>
      <w:szCs w:val="24"/>
    </w:rPr>
  </w:style>
  <w:style w:type="character" w:customStyle="1" w:styleId="477">
    <w:name w:val="yyp Char Char"/>
    <w:qFormat/>
    <w:uiPriority w:val="0"/>
    <w:rPr>
      <w:rFonts w:ascii="Calibri" w:hAnsi="Calibri"/>
      <w:sz w:val="24"/>
      <w:lang w:bidi="ar-SA"/>
    </w:rPr>
  </w:style>
  <w:style w:type="character" w:customStyle="1" w:styleId="478">
    <w:name w:val="表内左齐 Char Char"/>
    <w:qFormat/>
    <w:uiPriority w:val="0"/>
    <w:rPr>
      <w:rFonts w:eastAsia="宋体"/>
      <w:kern w:val="2"/>
      <w:sz w:val="21"/>
      <w:szCs w:val="24"/>
      <w:lang w:val="en-US" w:eastAsia="zh-CN" w:bidi="ar-SA"/>
    </w:rPr>
  </w:style>
  <w:style w:type="character" w:customStyle="1" w:styleId="479">
    <w:name w:val="Char Char21"/>
    <w:qFormat/>
    <w:uiPriority w:val="0"/>
    <w:rPr>
      <w:rFonts w:ascii="黑体" w:eastAsia="黑体"/>
      <w:color w:val="FF0000"/>
      <w:kern w:val="28"/>
      <w:sz w:val="24"/>
      <w:szCs w:val="24"/>
    </w:rPr>
  </w:style>
  <w:style w:type="character" w:customStyle="1" w:styleId="480">
    <w:name w:val="项目正文 Char Char"/>
    <w:qFormat/>
    <w:uiPriority w:val="0"/>
    <w:rPr>
      <w:rFonts w:ascii="Calibri" w:hAnsi="Calibri"/>
      <w:kern w:val="2"/>
      <w:sz w:val="26"/>
      <w:szCs w:val="26"/>
      <w:lang w:bidi="ar-SA"/>
    </w:rPr>
  </w:style>
  <w:style w:type="character" w:customStyle="1" w:styleId="481">
    <w:name w:val="样式 泸县焦化三级标题 + 蓝色1 Char"/>
    <w:link w:val="482"/>
    <w:qFormat/>
    <w:uiPriority w:val="0"/>
    <w:rPr>
      <w:rFonts w:ascii="宋体" w:hAnsi="宋体"/>
      <w:b/>
      <w:color w:val="0000FF"/>
      <w:spacing w:val="4"/>
      <w:sz w:val="24"/>
      <w:szCs w:val="24"/>
    </w:rPr>
  </w:style>
  <w:style w:type="paragraph" w:customStyle="1" w:styleId="482">
    <w:name w:val="样式 泸县焦化三级标题 + 蓝色1"/>
    <w:basedOn w:val="337"/>
    <w:link w:val="481"/>
    <w:qFormat/>
    <w:uiPriority w:val="0"/>
    <w:rPr>
      <w:rFonts w:eastAsiaTheme="minorEastAsia" w:cstheme="minorBidi"/>
      <w:b/>
      <w:color w:val="0000FF"/>
    </w:rPr>
  </w:style>
  <w:style w:type="character" w:customStyle="1" w:styleId="483">
    <w:name w:val="1表格 Char"/>
    <w:link w:val="484"/>
    <w:qFormat/>
    <w:uiPriority w:val="0"/>
    <w:rPr>
      <w:rFonts w:ascii="Times New Roman" w:hAnsi="Times New Roman" w:eastAsia="仿宋_GB2312" w:cs="Times New Roman"/>
      <w:sz w:val="24"/>
    </w:rPr>
  </w:style>
  <w:style w:type="paragraph" w:customStyle="1" w:styleId="484">
    <w:name w:val="1表格"/>
    <w:basedOn w:val="1"/>
    <w:link w:val="483"/>
    <w:qFormat/>
    <w:uiPriority w:val="0"/>
    <w:pPr>
      <w:snapToGrid w:val="0"/>
      <w:spacing w:line="160" w:lineRule="atLeast"/>
      <w:jc w:val="center"/>
    </w:pPr>
    <w:rPr>
      <w:rFonts w:eastAsia="仿宋_GB2312"/>
      <w:szCs w:val="22"/>
    </w:rPr>
  </w:style>
  <w:style w:type="character" w:customStyle="1" w:styleId="485">
    <w:name w:val="表头 Char2"/>
    <w:qFormat/>
    <w:uiPriority w:val="0"/>
    <w:rPr>
      <w:rFonts w:ascii="黑体" w:hAnsi="宋体" w:eastAsia="黑体" w:cs="Courier New"/>
      <w:snapToGrid w:val="0"/>
      <w:color w:val="000000"/>
      <w:spacing w:val="8"/>
      <w:kern w:val="21"/>
      <w:sz w:val="24"/>
      <w:szCs w:val="32"/>
      <w:lang w:val="en-US" w:eastAsia="zh-CN" w:bidi="ar-SA"/>
    </w:rPr>
  </w:style>
  <w:style w:type="character" w:customStyle="1" w:styleId="486">
    <w:name w:val="unnamed2"/>
    <w:qFormat/>
    <w:uiPriority w:val="0"/>
    <w:rPr>
      <w:rFonts w:ascii="Times New Roman" w:hAnsi="Times New Roman" w:eastAsia="宋体" w:cs="Times New Roman"/>
    </w:rPr>
  </w:style>
  <w:style w:type="character" w:customStyle="1" w:styleId="487">
    <w:name w:val="Char Char18"/>
    <w:qFormat/>
    <w:uiPriority w:val="0"/>
    <w:rPr>
      <w:rFonts w:ascii="宋体" w:hAnsi="宋体" w:eastAsia="宋体" w:cs="宋体"/>
      <w:color w:val="000000"/>
      <w:spacing w:val="4"/>
      <w:kern w:val="2"/>
      <w:sz w:val="21"/>
      <w:szCs w:val="24"/>
      <w:lang w:val="en-US" w:eastAsia="zh-CN" w:bidi="ar-SA"/>
    </w:rPr>
  </w:style>
  <w:style w:type="character" w:customStyle="1" w:styleId="488">
    <w:name w:val="正文001 Char"/>
    <w:link w:val="489"/>
    <w:qFormat/>
    <w:uiPriority w:val="0"/>
    <w:rPr>
      <w:rFonts w:ascii="Arial" w:hAnsi="Arial"/>
      <w:sz w:val="24"/>
    </w:rPr>
  </w:style>
  <w:style w:type="paragraph" w:customStyle="1" w:styleId="489">
    <w:name w:val="正文001"/>
    <w:basedOn w:val="1"/>
    <w:link w:val="488"/>
    <w:qFormat/>
    <w:uiPriority w:val="0"/>
    <w:pPr>
      <w:spacing w:before="60" w:line="460" w:lineRule="exact"/>
      <w:ind w:firstLine="200" w:firstLineChars="200"/>
    </w:pPr>
    <w:rPr>
      <w:rFonts w:ascii="Arial" w:hAnsi="Arial" w:eastAsiaTheme="minorEastAsia" w:cstheme="minorBidi"/>
      <w:szCs w:val="22"/>
    </w:rPr>
  </w:style>
  <w:style w:type="character" w:customStyle="1" w:styleId="490">
    <w:name w:val="样式 正文首行缩进 + 首行缩进:  2 字符 行距: 固定值 25 磅1 Char Char"/>
    <w:qFormat/>
    <w:uiPriority w:val="0"/>
    <w:rPr>
      <w:rFonts w:eastAsia="宋体" w:cs="宋体"/>
      <w:kern w:val="2"/>
      <w:sz w:val="24"/>
      <w:lang w:val="en-US" w:eastAsia="zh-CN" w:bidi="ar-SA"/>
    </w:rPr>
  </w:style>
  <w:style w:type="character" w:customStyle="1" w:styleId="491">
    <w:name w:val="表名 Char Char Char"/>
    <w:link w:val="492"/>
    <w:qFormat/>
    <w:uiPriority w:val="0"/>
    <w:rPr>
      <w:rFonts w:ascii="Arial" w:hAnsi="Arial" w:eastAsia="黑体"/>
      <w:spacing w:val="4"/>
      <w:szCs w:val="24"/>
    </w:rPr>
  </w:style>
  <w:style w:type="paragraph" w:customStyle="1" w:styleId="492">
    <w:name w:val="表名 Char Char"/>
    <w:basedOn w:val="1"/>
    <w:link w:val="491"/>
    <w:qFormat/>
    <w:uiPriority w:val="0"/>
    <w:pPr>
      <w:overflowPunct w:val="0"/>
      <w:adjustRightInd w:val="0"/>
      <w:snapToGrid w:val="0"/>
      <w:jc w:val="center"/>
      <w:textAlignment w:val="baseline"/>
    </w:pPr>
    <w:rPr>
      <w:rFonts w:ascii="Arial" w:hAnsi="Arial" w:eastAsia="黑体" w:cstheme="minorBidi"/>
      <w:spacing w:val="4"/>
      <w:sz w:val="21"/>
    </w:rPr>
  </w:style>
  <w:style w:type="character" w:customStyle="1" w:styleId="493">
    <w:name w:val="默认段落字体 Para Char Char Char"/>
    <w:qFormat/>
    <w:uiPriority w:val="0"/>
    <w:rPr>
      <w:rFonts w:ascii="宋体" w:hAnsi="宋体" w:eastAsia="宋体" w:cs="宋体"/>
      <w:color w:val="000000"/>
      <w:sz w:val="24"/>
      <w:szCs w:val="24"/>
      <w:lang w:val="en-US" w:eastAsia="zh-CN" w:bidi="ar-SA"/>
    </w:rPr>
  </w:style>
  <w:style w:type="character" w:customStyle="1" w:styleId="494">
    <w:name w:val="1-正文 Char"/>
    <w:qFormat/>
    <w:uiPriority w:val="0"/>
    <w:rPr>
      <w:rFonts w:ascii="宋体" w:hAnsi="宋体" w:eastAsia="宋体"/>
      <w:kern w:val="2"/>
      <w:sz w:val="24"/>
      <w:szCs w:val="24"/>
      <w:lang w:val="en-US" w:eastAsia="zh-CN" w:bidi="ar-SA"/>
    </w:rPr>
  </w:style>
  <w:style w:type="character" w:customStyle="1" w:styleId="495">
    <w:name w:val="表中文字 Char"/>
    <w:qFormat/>
    <w:uiPriority w:val="0"/>
    <w:rPr>
      <w:rFonts w:ascii="宋体" w:hAnsi="宋体" w:eastAsia="宋体" w:cs="宋体"/>
      <w:spacing w:val="4"/>
      <w:kern w:val="2"/>
      <w:sz w:val="24"/>
      <w:szCs w:val="24"/>
      <w:lang w:val="en-US" w:eastAsia="zh-CN" w:bidi="ar-SA"/>
    </w:rPr>
  </w:style>
  <w:style w:type="character" w:customStyle="1" w:styleId="496">
    <w:name w:val="表标题 Char"/>
    <w:link w:val="497"/>
    <w:qFormat/>
    <w:uiPriority w:val="0"/>
    <w:rPr>
      <w:rFonts w:ascii="宋体"/>
      <w:b/>
      <w:kern w:val="2"/>
      <w:sz w:val="18"/>
      <w:szCs w:val="18"/>
    </w:rPr>
  </w:style>
  <w:style w:type="paragraph" w:customStyle="1" w:styleId="497">
    <w:name w:val="表标题"/>
    <w:basedOn w:val="1"/>
    <w:link w:val="496"/>
    <w:uiPriority w:val="0"/>
    <w:pPr>
      <w:keepNext/>
      <w:keepLines/>
      <w:widowControl/>
      <w:adjustRightInd w:val="0"/>
      <w:spacing w:before="120" w:after="120" w:line="360" w:lineRule="atLeast"/>
      <w:jc w:val="center"/>
      <w:textAlignment w:val="baseline"/>
    </w:pPr>
    <w:rPr>
      <w:rFonts w:ascii="宋体" w:hAnsiTheme="minorHAnsi" w:eastAsiaTheme="minorEastAsia" w:cstheme="minorBidi"/>
      <w:b/>
      <w:sz w:val="18"/>
      <w:szCs w:val="18"/>
    </w:rPr>
  </w:style>
  <w:style w:type="character" w:customStyle="1" w:styleId="498">
    <w:name w:val="正文1 Char Char"/>
    <w:qFormat/>
    <w:uiPriority w:val="0"/>
    <w:rPr>
      <w:rFonts w:ascii="宋体" w:hAnsi="宋体" w:eastAsia="宋体" w:cs="宋体"/>
      <w:color w:val="000000"/>
      <w:spacing w:val="4"/>
      <w:kern w:val="2"/>
      <w:sz w:val="24"/>
      <w:szCs w:val="24"/>
      <w:lang w:val="en-US" w:eastAsia="zh-CN" w:bidi="ar-SA"/>
    </w:rPr>
  </w:style>
  <w:style w:type="character" w:customStyle="1" w:styleId="499">
    <w:name w:val="样式 正文文本缩进正文文字( 首段缩进两字）特点标题Body Text 2 + 宋体 小四 黑色 行距: 固定值 2... Char Char"/>
    <w:qFormat/>
    <w:uiPriority w:val="0"/>
    <w:rPr>
      <w:rFonts w:ascii="宋体" w:hAnsi="宋体" w:eastAsia="宋体" w:cs="宋体"/>
      <w:bCs/>
      <w:color w:val="000000"/>
      <w:spacing w:val="4"/>
      <w:kern w:val="2"/>
      <w:sz w:val="24"/>
      <w:szCs w:val="24"/>
      <w:lang w:val="en-US" w:eastAsia="zh-CN" w:bidi="ar-SA"/>
    </w:rPr>
  </w:style>
  <w:style w:type="character" w:customStyle="1" w:styleId="500">
    <w:name w:val="明显引用 Char1"/>
    <w:qFormat/>
    <w:uiPriority w:val="0"/>
    <w:rPr>
      <w:rFonts w:ascii="Calibri" w:hAnsi="Calibri" w:eastAsia="宋体" w:cs="宋体"/>
      <w:b/>
      <w:i/>
      <w:spacing w:val="4"/>
      <w:kern w:val="2"/>
      <w:sz w:val="24"/>
      <w:szCs w:val="22"/>
      <w:lang w:val="en-US" w:eastAsia="en-US" w:bidi="en-US"/>
    </w:rPr>
  </w:style>
  <w:style w:type="character" w:customStyle="1" w:styleId="501">
    <w:name w:val="章标题(无序号) Char Char"/>
    <w:qFormat/>
    <w:uiPriority w:val="0"/>
    <w:rPr>
      <w:rFonts w:ascii="Arial" w:hAnsi="Arial" w:eastAsia="宋体" w:cs="Arial"/>
      <w:b/>
      <w:bCs/>
      <w:spacing w:val="4"/>
      <w:kern w:val="2"/>
      <w:sz w:val="32"/>
      <w:szCs w:val="32"/>
      <w:lang w:val="en-US" w:eastAsia="zh-CN" w:bidi="ar-SA"/>
    </w:rPr>
  </w:style>
  <w:style w:type="character" w:customStyle="1" w:styleId="502">
    <w:name w:val="Char Char1"/>
    <w:qFormat/>
    <w:uiPriority w:val="0"/>
    <w:rPr>
      <w:rFonts w:eastAsia="宋体"/>
      <w:kern w:val="2"/>
      <w:sz w:val="21"/>
      <w:szCs w:val="24"/>
      <w:lang w:val="en-US" w:eastAsia="zh-CN" w:bidi="ar-SA"/>
    </w:rPr>
  </w:style>
  <w:style w:type="character" w:customStyle="1" w:styleId="503">
    <w:name w:val="黑点 Char"/>
    <w:link w:val="504"/>
    <w:qFormat/>
    <w:uiPriority w:val="0"/>
    <w:rPr>
      <w:rFonts w:ascii="宋体" w:hAnsi="宋体"/>
      <w:color w:val="000000"/>
      <w:sz w:val="24"/>
    </w:rPr>
  </w:style>
  <w:style w:type="paragraph" w:customStyle="1" w:styleId="504">
    <w:name w:val="黑点"/>
    <w:basedOn w:val="1"/>
    <w:link w:val="503"/>
    <w:qFormat/>
    <w:uiPriority w:val="0"/>
    <w:pPr>
      <w:tabs>
        <w:tab w:val="left" w:pos="600"/>
        <w:tab w:val="left" w:pos="2100"/>
      </w:tabs>
      <w:adjustRightInd w:val="0"/>
      <w:ind w:left="2100" w:hanging="425"/>
      <w:jc w:val="left"/>
      <w:textAlignment w:val="baseline"/>
    </w:pPr>
    <w:rPr>
      <w:rFonts w:ascii="宋体" w:hAnsi="宋体" w:eastAsiaTheme="minorEastAsia" w:cstheme="minorBidi"/>
      <w:color w:val="000000"/>
      <w:szCs w:val="22"/>
    </w:rPr>
  </w:style>
  <w:style w:type="character" w:customStyle="1" w:styleId="505">
    <w:name w:val="正文-------- Char Char"/>
    <w:qFormat/>
    <w:uiPriority w:val="0"/>
    <w:rPr>
      <w:rFonts w:eastAsia="宋体" w:cs="宋体"/>
      <w:kern w:val="2"/>
      <w:sz w:val="24"/>
      <w:lang w:val="en-US" w:eastAsia="zh-CN" w:bidi="ar-SA"/>
    </w:rPr>
  </w:style>
  <w:style w:type="character" w:customStyle="1" w:styleId="506">
    <w:name w:val="样式 样式 小四 蓝色 行距: 固定值 30 磅 + 行距: 1.5 倍行距 Char Char"/>
    <w:qFormat/>
    <w:uiPriority w:val="0"/>
    <w:rPr>
      <w:rFonts w:eastAsia="宋体" w:cs="宋体"/>
      <w:color w:val="0000FF"/>
      <w:kern w:val="2"/>
      <w:sz w:val="24"/>
      <w:lang w:val="en-US" w:eastAsia="zh-CN" w:bidi="ar-SA"/>
    </w:rPr>
  </w:style>
  <w:style w:type="character" w:customStyle="1" w:styleId="507">
    <w:name w:val="陶瓷一级目录 Char"/>
    <w:link w:val="508"/>
    <w:qFormat/>
    <w:uiPriority w:val="0"/>
    <w:rPr>
      <w:rFonts w:ascii="黑体" w:hAnsi="黑体" w:eastAsia="黑体"/>
      <w:b/>
      <w:kern w:val="44"/>
      <w:sz w:val="44"/>
      <w:szCs w:val="44"/>
    </w:rPr>
  </w:style>
  <w:style w:type="paragraph" w:customStyle="1" w:styleId="508">
    <w:name w:val="陶瓷一级目录"/>
    <w:basedOn w:val="347"/>
    <w:link w:val="507"/>
    <w:qFormat/>
    <w:uiPriority w:val="0"/>
    <w:pPr>
      <w:widowControl w:val="0"/>
      <w:adjustRightInd w:val="0"/>
      <w:snapToGrid w:val="0"/>
      <w:spacing w:line="360" w:lineRule="auto"/>
    </w:pPr>
    <w:rPr>
      <w:rFonts w:ascii="黑体" w:hAnsi="黑体" w:eastAsia="黑体" w:cstheme="minorBidi"/>
      <w:kern w:val="44"/>
      <w:sz w:val="44"/>
      <w:szCs w:val="44"/>
    </w:rPr>
  </w:style>
  <w:style w:type="character" w:customStyle="1" w:styleId="509">
    <w:name w:val="报告 Char"/>
    <w:qFormat/>
    <w:uiPriority w:val="0"/>
    <w:rPr>
      <w:rFonts w:ascii="TimesNewRoman" w:hAnsi="TimesNewRoman" w:eastAsia="宋体" w:cs="Times New Roman"/>
      <w:sz w:val="24"/>
      <w:lang w:val="en-US" w:eastAsia="zh-CN" w:bidi="ar-SA"/>
    </w:rPr>
  </w:style>
  <w:style w:type="character" w:customStyle="1" w:styleId="510">
    <w:name w:val="Char Char11"/>
    <w:qFormat/>
    <w:uiPriority w:val="0"/>
    <w:rPr>
      <w:rFonts w:ascii="宋体" w:hAnsi="宋体" w:eastAsia="宋体" w:cs="宋体"/>
      <w:b/>
      <w:bCs/>
      <w:spacing w:val="4"/>
      <w:kern w:val="44"/>
      <w:sz w:val="44"/>
      <w:szCs w:val="44"/>
      <w:lang w:val="en-US" w:eastAsia="zh-CN" w:bidi="ar-SA"/>
    </w:rPr>
  </w:style>
  <w:style w:type="character" w:customStyle="1" w:styleId="511">
    <w:name w:val="样式3 Char Char"/>
    <w:qFormat/>
    <w:uiPriority w:val="0"/>
    <w:rPr>
      <w:rFonts w:ascii="宋体" w:hAnsi="Batang" w:eastAsia="宋体" w:cs="宋体"/>
      <w:snapToGrid w:val="0"/>
      <w:color w:val="000000"/>
      <w:spacing w:val="4"/>
      <w:kern w:val="2"/>
      <w:sz w:val="28"/>
      <w:szCs w:val="24"/>
      <w:lang w:val="en-US" w:eastAsia="zh-CN" w:bidi="ar-SA"/>
    </w:rPr>
  </w:style>
  <w:style w:type="character" w:customStyle="1" w:styleId="512">
    <w:name w:val="样式 正文文本缩进 2正文文字缩进 2 + 自动设置 Char Char"/>
    <w:link w:val="513"/>
    <w:qFormat/>
    <w:uiPriority w:val="0"/>
    <w:rPr>
      <w:rFonts w:ascii="宋体" w:hAnsi="宋体"/>
      <w:sz w:val="24"/>
    </w:rPr>
  </w:style>
  <w:style w:type="paragraph" w:customStyle="1" w:styleId="513">
    <w:name w:val="样式 正文文本缩进 2正文文字缩进 2 + 自动设置 Char"/>
    <w:basedOn w:val="1"/>
    <w:link w:val="512"/>
    <w:qFormat/>
    <w:uiPriority w:val="0"/>
    <w:pPr>
      <w:tabs>
        <w:tab w:val="left" w:pos="4500"/>
      </w:tabs>
      <w:snapToGrid w:val="0"/>
      <w:spacing w:line="440" w:lineRule="exact"/>
      <w:ind w:firstLine="420" w:firstLineChars="200"/>
    </w:pPr>
    <w:rPr>
      <w:rFonts w:ascii="宋体" w:hAnsi="宋体" w:eastAsiaTheme="minorEastAsia" w:cstheme="minorBidi"/>
      <w:szCs w:val="22"/>
    </w:rPr>
  </w:style>
  <w:style w:type="character" w:customStyle="1" w:styleId="514">
    <w:name w:val="样式 样式 正文首行缩进 + 首行缩进:  2 字符 + 首行缩进:  2 字符 Char1"/>
    <w:qFormat/>
    <w:uiPriority w:val="0"/>
    <w:rPr>
      <w:rFonts w:ascii="宋体" w:hAnsi="宋体" w:eastAsia="宋体"/>
      <w:sz w:val="24"/>
      <w:lang w:val="en-US" w:eastAsia="zh-CN"/>
    </w:rPr>
  </w:style>
  <w:style w:type="character" w:customStyle="1" w:styleId="515">
    <w:name w:val="标题 Char1"/>
    <w:qFormat/>
    <w:uiPriority w:val="10"/>
    <w:rPr>
      <w:rFonts w:ascii="Cambria" w:hAnsi="Cambria" w:eastAsia="宋体" w:cs="Times New Roman"/>
      <w:b/>
      <w:bCs/>
      <w:sz w:val="32"/>
      <w:szCs w:val="32"/>
    </w:rPr>
  </w:style>
  <w:style w:type="character" w:customStyle="1" w:styleId="516">
    <w:name w:val="准 正文 左侧:  2 字符 + 首行缩进:  2 字符 Char Char"/>
    <w:qFormat/>
    <w:uiPriority w:val="0"/>
    <w:rPr>
      <w:rFonts w:eastAsia="宋体" w:cs="宋体"/>
      <w:kern w:val="2"/>
      <w:sz w:val="24"/>
      <w:lang w:val="en-US" w:eastAsia="zh-CN" w:bidi="ar-SA"/>
    </w:rPr>
  </w:style>
  <w:style w:type="character" w:customStyle="1" w:styleId="517">
    <w:name w:val="样式 正文首行缩进 + 黑体 四号 黑色 Char"/>
    <w:link w:val="518"/>
    <w:qFormat/>
    <w:uiPriority w:val="0"/>
    <w:rPr>
      <w:rFonts w:ascii="黑体" w:hAnsi="Arial" w:eastAsia="黑体"/>
      <w:color w:val="000000"/>
      <w:sz w:val="28"/>
    </w:rPr>
  </w:style>
  <w:style w:type="paragraph" w:customStyle="1" w:styleId="518">
    <w:name w:val="样式 正文首行缩进 + 黑体 四号 黑色"/>
    <w:basedOn w:val="1"/>
    <w:next w:val="1"/>
    <w:link w:val="517"/>
    <w:qFormat/>
    <w:uiPriority w:val="0"/>
    <w:pPr>
      <w:numPr>
        <w:ilvl w:val="3"/>
        <w:numId w:val="7"/>
      </w:numPr>
      <w:tabs>
        <w:tab w:val="left" w:pos="2514"/>
      </w:tabs>
      <w:ind w:right="-132" w:rightChars="-47"/>
      <w:outlineLvl w:val="3"/>
    </w:pPr>
    <w:rPr>
      <w:rFonts w:ascii="黑体" w:hAnsi="Arial" w:eastAsia="黑体" w:cstheme="minorBidi"/>
      <w:color w:val="000000"/>
      <w:sz w:val="28"/>
      <w:szCs w:val="22"/>
    </w:rPr>
  </w:style>
  <w:style w:type="character" w:customStyle="1" w:styleId="519">
    <w:name w:val="样式 黑色 首行缩进:  2 字符 行距: 1.5 倍行距 Char Char"/>
    <w:qFormat/>
    <w:uiPriority w:val="0"/>
    <w:rPr>
      <w:rFonts w:ascii="宋体" w:hAnsi="宋体" w:eastAsia="宋体" w:cs="宋体"/>
      <w:color w:val="000000"/>
      <w:spacing w:val="4"/>
      <w:kern w:val="2"/>
      <w:sz w:val="24"/>
      <w:szCs w:val="24"/>
      <w:lang w:val="en-US" w:eastAsia="zh-CN" w:bidi="ar-SA"/>
    </w:rPr>
  </w:style>
  <w:style w:type="character" w:customStyle="1" w:styleId="520">
    <w:name w:val="ca-2"/>
    <w:qFormat/>
    <w:uiPriority w:val="0"/>
  </w:style>
  <w:style w:type="character" w:customStyle="1" w:styleId="521">
    <w:name w:val="报告正文 Char"/>
    <w:link w:val="522"/>
    <w:qFormat/>
    <w:uiPriority w:val="0"/>
    <w:rPr>
      <w:rFonts w:ascii="宋体"/>
      <w:sz w:val="28"/>
    </w:rPr>
  </w:style>
  <w:style w:type="paragraph" w:customStyle="1" w:styleId="522">
    <w:name w:val="报告正文"/>
    <w:basedOn w:val="1"/>
    <w:link w:val="521"/>
    <w:qFormat/>
    <w:uiPriority w:val="0"/>
    <w:pPr>
      <w:adjustRightInd w:val="0"/>
      <w:snapToGrid w:val="0"/>
      <w:spacing w:line="300" w:lineRule="auto"/>
    </w:pPr>
    <w:rPr>
      <w:rFonts w:ascii="宋体" w:hAnsiTheme="minorHAnsi" w:eastAsiaTheme="minorEastAsia" w:cstheme="minorBidi"/>
      <w:sz w:val="28"/>
      <w:szCs w:val="22"/>
    </w:rPr>
  </w:style>
  <w:style w:type="character" w:customStyle="1" w:styleId="523">
    <w:name w:val="新标题4 Char Char"/>
    <w:qFormat/>
    <w:uiPriority w:val="0"/>
    <w:rPr>
      <w:rFonts w:ascii="Arial" w:hAnsi="Arial"/>
      <w:b/>
      <w:bCs/>
      <w:spacing w:val="8"/>
      <w:sz w:val="24"/>
      <w:lang w:bidi="ar-SA"/>
    </w:rPr>
  </w:style>
  <w:style w:type="character" w:customStyle="1" w:styleId="524">
    <w:name w:val="class11"/>
    <w:qFormat/>
    <w:uiPriority w:val="0"/>
    <w:rPr>
      <w:color w:val="003366"/>
      <w:sz w:val="18"/>
      <w:szCs w:val="18"/>
    </w:rPr>
  </w:style>
  <w:style w:type="character" w:customStyle="1" w:styleId="525">
    <w:name w:val="main1"/>
    <w:qFormat/>
    <w:uiPriority w:val="0"/>
    <w:rPr>
      <w:rFonts w:hint="default"/>
      <w:color w:val="0033CC"/>
      <w:spacing w:val="240"/>
      <w:sz w:val="18"/>
      <w:szCs w:val="18"/>
    </w:rPr>
  </w:style>
  <w:style w:type="character" w:customStyle="1" w:styleId="526">
    <w:name w:val="正文(康健城) Char"/>
    <w:link w:val="527"/>
    <w:qFormat/>
    <w:uiPriority w:val="0"/>
    <w:rPr>
      <w:sz w:val="24"/>
      <w:szCs w:val="24"/>
    </w:rPr>
  </w:style>
  <w:style w:type="paragraph" w:customStyle="1" w:styleId="527">
    <w:name w:val="正文(康健城)"/>
    <w:basedOn w:val="1"/>
    <w:link w:val="526"/>
    <w:qFormat/>
    <w:uiPriority w:val="0"/>
    <w:pPr>
      <w:adjustRightInd w:val="0"/>
      <w:snapToGrid w:val="0"/>
      <w:ind w:firstLine="480" w:firstLineChars="200"/>
      <w:textAlignment w:val="baseline"/>
    </w:pPr>
    <w:rPr>
      <w:rFonts w:asciiTheme="minorHAnsi" w:hAnsiTheme="minorHAnsi" w:eastAsiaTheme="minorEastAsia" w:cstheme="minorBidi"/>
    </w:rPr>
  </w:style>
  <w:style w:type="character" w:customStyle="1" w:styleId="528">
    <w:name w:val="样式 正文3 + 首行缩进:  2 字符3 + 首行缩进:  2 字符1 Char Char"/>
    <w:qFormat/>
    <w:uiPriority w:val="0"/>
    <w:rPr>
      <w:rFonts w:ascii="宋体" w:hAnsi="宋体" w:eastAsia="宋体" w:cs="宋体"/>
      <w:bCs/>
      <w:snapToGrid w:val="0"/>
      <w:kern w:val="2"/>
      <w:sz w:val="24"/>
      <w:szCs w:val="28"/>
      <w:lang w:val="zh-CN" w:eastAsia="zh-CN" w:bidi="ar-SA"/>
    </w:rPr>
  </w:style>
  <w:style w:type="character" w:customStyle="1" w:styleId="529">
    <w:name w:val="规划正文样式 Char"/>
    <w:qFormat/>
    <w:uiPriority w:val="0"/>
    <w:rPr>
      <w:rFonts w:ascii="宋体" w:hAnsi="宋体" w:eastAsia="宋体" w:cs="宋体"/>
      <w:spacing w:val="4"/>
      <w:kern w:val="2"/>
      <w:sz w:val="24"/>
      <w:szCs w:val="24"/>
      <w:lang w:val="en-US" w:eastAsia="zh-CN" w:bidi="ar-SA"/>
    </w:rPr>
  </w:style>
  <w:style w:type="character" w:customStyle="1" w:styleId="530">
    <w:name w:val="表文 Char2"/>
    <w:link w:val="531"/>
    <w:qFormat/>
    <w:uiPriority w:val="0"/>
    <w:rPr>
      <w:sz w:val="28"/>
    </w:rPr>
  </w:style>
  <w:style w:type="paragraph" w:customStyle="1" w:styleId="531">
    <w:name w:val="表文"/>
    <w:basedOn w:val="1"/>
    <w:link w:val="530"/>
    <w:qFormat/>
    <w:uiPriority w:val="0"/>
    <w:pPr>
      <w:adjustRightInd w:val="0"/>
      <w:snapToGrid w:val="0"/>
      <w:spacing w:line="160" w:lineRule="atLeast"/>
      <w:jc w:val="center"/>
    </w:pPr>
    <w:rPr>
      <w:rFonts w:asciiTheme="minorHAnsi" w:hAnsiTheme="minorHAnsi" w:eastAsiaTheme="minorEastAsia" w:cstheme="minorBidi"/>
      <w:sz w:val="28"/>
      <w:szCs w:val="22"/>
    </w:rPr>
  </w:style>
  <w:style w:type="character" w:customStyle="1" w:styleId="532">
    <w:name w:val="【表中文字】 Char Char"/>
    <w:qFormat/>
    <w:uiPriority w:val="0"/>
    <w:rPr>
      <w:rFonts w:ascii="宋体" w:hAnsi="宋体" w:eastAsia="宋体" w:cs="宋体"/>
      <w:spacing w:val="4"/>
      <w:kern w:val="2"/>
      <w:sz w:val="21"/>
      <w:szCs w:val="24"/>
      <w:lang w:val="en-US" w:eastAsia="zh-CN" w:bidi="ar-SA"/>
    </w:rPr>
  </w:style>
  <w:style w:type="character" w:customStyle="1" w:styleId="533">
    <w:name w:val="4级标题 Char Char"/>
    <w:qFormat/>
    <w:uiPriority w:val="0"/>
    <w:rPr>
      <w:rFonts w:eastAsia="隶书"/>
      <w:b/>
      <w:color w:val="000000"/>
      <w:kern w:val="2"/>
      <w:sz w:val="24"/>
      <w:szCs w:val="24"/>
      <w:lang w:val="en-US" w:eastAsia="zh-CN" w:bidi="ar-SA"/>
    </w:rPr>
  </w:style>
  <w:style w:type="character" w:customStyle="1" w:styleId="534">
    <w:name w:val="样式41"/>
    <w:qFormat/>
    <w:uiPriority w:val="0"/>
    <w:rPr>
      <w:color w:val="313D42"/>
    </w:rPr>
  </w:style>
  <w:style w:type="character" w:customStyle="1" w:styleId="535">
    <w:name w:val="表头字体 Char1"/>
    <w:link w:val="536"/>
    <w:qFormat/>
    <w:uiPriority w:val="0"/>
    <w:rPr>
      <w:rFonts w:ascii="宋体" w:hAnsi="宋体" w:eastAsia="黑体" w:cs="宋体"/>
      <w:b/>
      <w:spacing w:val="4"/>
      <w:sz w:val="24"/>
      <w:szCs w:val="24"/>
    </w:rPr>
  </w:style>
  <w:style w:type="paragraph" w:customStyle="1" w:styleId="536">
    <w:name w:val="表头字体"/>
    <w:basedOn w:val="1"/>
    <w:next w:val="537"/>
    <w:link w:val="535"/>
    <w:qFormat/>
    <w:uiPriority w:val="0"/>
    <w:pPr>
      <w:spacing w:line="240" w:lineRule="auto"/>
      <w:jc w:val="center"/>
    </w:pPr>
    <w:rPr>
      <w:rFonts w:ascii="宋体" w:hAnsi="宋体" w:eastAsia="黑体" w:cs="宋体"/>
      <w:b/>
      <w:spacing w:val="4"/>
    </w:rPr>
  </w:style>
  <w:style w:type="paragraph" w:customStyle="1" w:styleId="537">
    <w:name w:val="君邦正文"/>
    <w:basedOn w:val="1"/>
    <w:link w:val="538"/>
    <w:qFormat/>
    <w:uiPriority w:val="0"/>
    <w:pPr>
      <w:spacing w:after="60"/>
      <w:ind w:firstLine="200" w:firstLineChars="200"/>
    </w:pPr>
    <w:rPr>
      <w:rFonts w:ascii="宋体" w:hAnsi="宋体" w:eastAsia="汉鼎简书宋" w:cs="宋体"/>
      <w:spacing w:val="4"/>
    </w:rPr>
  </w:style>
  <w:style w:type="character" w:customStyle="1" w:styleId="538">
    <w:name w:val="君邦正文 Char2"/>
    <w:link w:val="537"/>
    <w:qFormat/>
    <w:uiPriority w:val="0"/>
    <w:rPr>
      <w:rFonts w:ascii="宋体" w:hAnsi="宋体" w:eastAsia="汉鼎简书宋" w:cs="宋体"/>
      <w:spacing w:val="4"/>
      <w:sz w:val="24"/>
      <w:szCs w:val="24"/>
    </w:rPr>
  </w:style>
  <w:style w:type="character" w:customStyle="1" w:styleId="539">
    <w:name w:val="正文部分 Char"/>
    <w:link w:val="540"/>
    <w:qFormat/>
    <w:uiPriority w:val="0"/>
    <w:rPr>
      <w:rFonts w:ascii="宋体" w:hAnsi="宋体" w:cs="宋体"/>
      <w:bCs/>
      <w:spacing w:val="4"/>
      <w:sz w:val="28"/>
      <w:szCs w:val="32"/>
    </w:rPr>
  </w:style>
  <w:style w:type="paragraph" w:customStyle="1" w:styleId="540">
    <w:name w:val="正文部分"/>
    <w:basedOn w:val="1"/>
    <w:link w:val="539"/>
    <w:qFormat/>
    <w:uiPriority w:val="0"/>
    <w:pPr>
      <w:spacing w:line="500" w:lineRule="exact"/>
      <w:ind w:firstLine="200" w:firstLineChars="200"/>
      <w:jc w:val="left"/>
    </w:pPr>
    <w:rPr>
      <w:rFonts w:ascii="宋体" w:hAnsi="宋体" w:cs="宋体" w:eastAsiaTheme="minorEastAsia"/>
      <w:bCs/>
      <w:spacing w:val="4"/>
      <w:sz w:val="28"/>
      <w:szCs w:val="32"/>
    </w:rPr>
  </w:style>
  <w:style w:type="character" w:customStyle="1" w:styleId="541">
    <w:name w:val="正文3 Char"/>
    <w:link w:val="542"/>
    <w:qFormat/>
    <w:uiPriority w:val="0"/>
    <w:rPr>
      <w:color w:val="000000"/>
      <w:sz w:val="28"/>
    </w:rPr>
  </w:style>
  <w:style w:type="paragraph" w:customStyle="1" w:styleId="542">
    <w:name w:val="正文33"/>
    <w:basedOn w:val="1"/>
    <w:link w:val="541"/>
    <w:qFormat/>
    <w:uiPriority w:val="0"/>
    <w:pPr>
      <w:autoSpaceDE w:val="0"/>
      <w:autoSpaceDN w:val="0"/>
      <w:spacing w:after="160" w:line="440" w:lineRule="exact"/>
      <w:ind w:left="567" w:hanging="340"/>
      <w:textAlignment w:val="bottom"/>
    </w:pPr>
    <w:rPr>
      <w:rFonts w:asciiTheme="minorHAnsi" w:hAnsiTheme="minorHAnsi" w:eastAsiaTheme="minorEastAsia" w:cstheme="minorBidi"/>
      <w:color w:val="000000"/>
      <w:sz w:val="28"/>
      <w:szCs w:val="22"/>
    </w:rPr>
  </w:style>
  <w:style w:type="character" w:customStyle="1" w:styleId="543">
    <w:name w:val="样式 四号 黑色"/>
    <w:qFormat/>
    <w:uiPriority w:val="0"/>
    <w:rPr>
      <w:rFonts w:ascii="宋体" w:hAnsi="宋体" w:eastAsia="楷体_GB2312" w:cs="宋体"/>
      <w:snapToGrid w:val="0"/>
      <w:color w:val="000000"/>
      <w:spacing w:val="4"/>
      <w:kern w:val="2"/>
      <w:sz w:val="28"/>
      <w:szCs w:val="28"/>
      <w:lang w:val="en-US" w:eastAsia="zh-CN" w:bidi="ar-SA"/>
    </w:rPr>
  </w:style>
  <w:style w:type="character" w:customStyle="1" w:styleId="544">
    <w:name w:val="样式52 Char"/>
    <w:link w:val="545"/>
    <w:qFormat/>
    <w:uiPriority w:val="0"/>
    <w:rPr>
      <w:rFonts w:eastAsia="黑体"/>
      <w:b/>
      <w:sz w:val="28"/>
      <w:szCs w:val="28"/>
    </w:rPr>
  </w:style>
  <w:style w:type="paragraph" w:customStyle="1" w:styleId="545">
    <w:name w:val="样式52"/>
    <w:basedOn w:val="546"/>
    <w:link w:val="544"/>
    <w:qFormat/>
    <w:uiPriority w:val="0"/>
    <w:pPr>
      <w:ind w:firstLine="0" w:firstLineChars="0"/>
    </w:pPr>
    <w:rPr>
      <w:rFonts w:eastAsia="黑体" w:asciiTheme="minorHAnsi" w:hAnsiTheme="minorHAnsi" w:cstheme="minorBidi"/>
      <w:b/>
      <w:sz w:val="28"/>
      <w:szCs w:val="28"/>
    </w:rPr>
  </w:style>
  <w:style w:type="paragraph" w:customStyle="1" w:styleId="546">
    <w:name w:val="样式37"/>
    <w:basedOn w:val="547"/>
    <w:link w:val="549"/>
    <w:qFormat/>
    <w:uiPriority w:val="0"/>
  </w:style>
  <w:style w:type="paragraph" w:customStyle="1" w:styleId="547">
    <w:name w:val="样式29"/>
    <w:basedOn w:val="23"/>
    <w:link w:val="548"/>
    <w:qFormat/>
    <w:uiPriority w:val="0"/>
    <w:pPr>
      <w:adjustRightInd w:val="0"/>
      <w:snapToGrid w:val="0"/>
      <w:spacing w:line="360" w:lineRule="auto"/>
      <w:ind w:firstLine="480" w:firstLineChars="200"/>
    </w:pPr>
    <w:rPr>
      <w:rFonts w:hAnsi="宋体"/>
      <w:sz w:val="24"/>
      <w:szCs w:val="24"/>
    </w:rPr>
  </w:style>
  <w:style w:type="character" w:customStyle="1" w:styleId="548">
    <w:name w:val="样式29 Char"/>
    <w:link w:val="547"/>
    <w:qFormat/>
    <w:uiPriority w:val="0"/>
    <w:rPr>
      <w:rFonts w:ascii="Times New Roman" w:hAnsi="宋体" w:eastAsia="宋体" w:cs="Times New Roman"/>
      <w:sz w:val="24"/>
      <w:szCs w:val="24"/>
    </w:rPr>
  </w:style>
  <w:style w:type="character" w:customStyle="1" w:styleId="549">
    <w:name w:val="样式37 Char"/>
    <w:link w:val="546"/>
    <w:qFormat/>
    <w:uiPriority w:val="0"/>
    <w:rPr>
      <w:rFonts w:ascii="Times New Roman" w:hAnsi="宋体" w:eastAsia="宋体" w:cs="Times New Roman"/>
      <w:sz w:val="24"/>
      <w:szCs w:val="24"/>
    </w:rPr>
  </w:style>
  <w:style w:type="character" w:customStyle="1" w:styleId="550">
    <w:name w:val="样式 小四 首行缩进:  0.85 厘米 行距: 1.5 倍行距 Char Char"/>
    <w:qFormat/>
    <w:uiPriority w:val="0"/>
    <w:rPr>
      <w:kern w:val="2"/>
      <w:sz w:val="24"/>
      <w:lang w:bidi="ar-SA"/>
    </w:rPr>
  </w:style>
  <w:style w:type="character" w:customStyle="1" w:styleId="551">
    <w:name w:val="段落文字 Char"/>
    <w:qFormat/>
    <w:uiPriority w:val="0"/>
    <w:rPr>
      <w:rFonts w:ascii="宋体" w:hAnsi="宋体" w:eastAsia="宋体"/>
      <w:kern w:val="2"/>
      <w:sz w:val="24"/>
      <w:szCs w:val="24"/>
      <w:lang w:val="en-US" w:eastAsia="zh-CN" w:bidi="ar-SA"/>
    </w:rPr>
  </w:style>
  <w:style w:type="character" w:customStyle="1" w:styleId="552">
    <w:name w:val="articlecontentsspan1"/>
    <w:qFormat/>
    <w:uiPriority w:val="0"/>
    <w:rPr>
      <w:spacing w:val="420"/>
      <w:sz w:val="21"/>
      <w:szCs w:val="21"/>
    </w:rPr>
  </w:style>
  <w:style w:type="character" w:customStyle="1" w:styleId="553">
    <w:name w:val="医院标题 1 Char"/>
    <w:qFormat/>
    <w:uiPriority w:val="0"/>
    <w:rPr>
      <w:rFonts w:eastAsia="黑体"/>
      <w:b/>
      <w:bCs/>
      <w:kern w:val="44"/>
      <w:sz w:val="44"/>
      <w:szCs w:val="44"/>
      <w:lang w:val="en-US" w:eastAsia="zh-CN" w:bidi="ar-SA"/>
    </w:rPr>
  </w:style>
  <w:style w:type="character" w:customStyle="1" w:styleId="554">
    <w:name w:val="表格正文 Char1"/>
    <w:link w:val="555"/>
    <w:qFormat/>
    <w:uiPriority w:val="0"/>
    <w:rPr>
      <w:rFonts w:ascii="宋体" w:hAnsi="宋体"/>
      <w:spacing w:val="4"/>
      <w:w w:val="90"/>
      <w:szCs w:val="24"/>
    </w:rPr>
  </w:style>
  <w:style w:type="paragraph" w:customStyle="1" w:styleId="555">
    <w:name w:val="表格正文"/>
    <w:basedOn w:val="1"/>
    <w:next w:val="1"/>
    <w:link w:val="554"/>
    <w:qFormat/>
    <w:uiPriority w:val="0"/>
    <w:pPr>
      <w:adjustRightInd w:val="0"/>
      <w:snapToGrid w:val="0"/>
      <w:spacing w:line="240" w:lineRule="auto"/>
      <w:jc w:val="center"/>
      <w:textAlignment w:val="baseline"/>
    </w:pPr>
    <w:rPr>
      <w:rFonts w:ascii="宋体" w:hAnsi="宋体" w:eastAsiaTheme="minorEastAsia" w:cstheme="minorBidi"/>
      <w:spacing w:val="4"/>
      <w:w w:val="90"/>
      <w:sz w:val="21"/>
    </w:rPr>
  </w:style>
  <w:style w:type="character" w:customStyle="1" w:styleId="556">
    <w:name w:val="【正文】 Char"/>
    <w:link w:val="557"/>
    <w:qFormat/>
    <w:uiPriority w:val="0"/>
    <w:rPr>
      <w:rFonts w:cs="宋体"/>
      <w:sz w:val="24"/>
    </w:rPr>
  </w:style>
  <w:style w:type="paragraph" w:customStyle="1" w:styleId="557">
    <w:name w:val="【正文】"/>
    <w:basedOn w:val="1"/>
    <w:link w:val="556"/>
    <w:qFormat/>
    <w:uiPriority w:val="0"/>
    <w:pPr>
      <w:spacing w:line="440" w:lineRule="exact"/>
      <w:ind w:firstLine="544" w:firstLineChars="200"/>
    </w:pPr>
    <w:rPr>
      <w:rFonts w:cs="宋体" w:asciiTheme="minorHAnsi" w:hAnsiTheme="minorHAnsi" w:eastAsiaTheme="minorEastAsia"/>
      <w:szCs w:val="22"/>
    </w:rPr>
  </w:style>
  <w:style w:type="character" w:customStyle="1" w:styleId="558">
    <w:name w:val="style131"/>
    <w:qFormat/>
    <w:uiPriority w:val="0"/>
    <w:rPr>
      <w:rFonts w:hint="eastAsia" w:ascii="宋体" w:hAnsi="宋体" w:eastAsia="宋体"/>
      <w:sz w:val="24"/>
      <w:szCs w:val="24"/>
    </w:rPr>
  </w:style>
  <w:style w:type="character" w:customStyle="1" w:styleId="559">
    <w:name w:val="样式 标题 1标题 1 Char标1第一章章一级标题，黑粗，三号，序号可研-标题 1PartH1H11H12... Char"/>
    <w:link w:val="560"/>
    <w:qFormat/>
    <w:uiPriority w:val="0"/>
    <w:rPr>
      <w:rFonts w:ascii="宋体" w:hAnsi="宋体" w:eastAsia="黑体"/>
      <w:b/>
      <w:bCs/>
      <w:spacing w:val="4"/>
      <w:kern w:val="44"/>
      <w:sz w:val="36"/>
      <w:szCs w:val="36"/>
    </w:rPr>
  </w:style>
  <w:style w:type="paragraph" w:customStyle="1" w:styleId="560">
    <w:name w:val="样式 标题 1标题 1 Char标1第一章章一级标题，黑粗，三号，序号可研-标题 1PartH1H11H12..."/>
    <w:basedOn w:val="5"/>
    <w:link w:val="559"/>
    <w:qFormat/>
    <w:uiPriority w:val="0"/>
    <w:pPr>
      <w:keepNext w:val="0"/>
      <w:keepLines/>
      <w:tabs>
        <w:tab w:val="left" w:pos="3765"/>
      </w:tabs>
      <w:spacing w:before="840" w:after="360" w:line="312" w:lineRule="auto"/>
      <w:ind w:left="3041" w:firstLine="4"/>
    </w:pPr>
    <w:rPr>
      <w:rFonts w:eastAsia="黑体" w:cstheme="minorBidi"/>
      <w:b/>
      <w:bCs/>
      <w:spacing w:val="4"/>
      <w:kern w:val="44"/>
      <w:sz w:val="36"/>
      <w:szCs w:val="36"/>
    </w:rPr>
  </w:style>
  <w:style w:type="character" w:customStyle="1" w:styleId="561">
    <w:name w:val="样式 样式 首行缩进:  2.25 字符1 + Arial Char Char Char Char"/>
    <w:qFormat/>
    <w:uiPriority w:val="0"/>
    <w:rPr>
      <w:rFonts w:ascii="Arial"/>
      <w:kern w:val="2"/>
      <w:sz w:val="24"/>
      <w:lang w:bidi="ar-SA"/>
    </w:rPr>
  </w:style>
  <w:style w:type="character" w:customStyle="1" w:styleId="562">
    <w:name w:val="Char Char25"/>
    <w:qFormat/>
    <w:uiPriority w:val="0"/>
    <w:rPr>
      <w:rFonts w:ascii="宋体" w:hAnsi="宋体" w:eastAsia="宋体" w:cs="宋体"/>
      <w:spacing w:val="4"/>
      <w:kern w:val="2"/>
      <w:sz w:val="18"/>
      <w:szCs w:val="18"/>
      <w:lang w:val="en-US" w:eastAsia="zh-CN" w:bidi="ar-SA"/>
    </w:rPr>
  </w:style>
  <w:style w:type="character" w:customStyle="1" w:styleId="563">
    <w:name w:val="rd1"/>
    <w:qFormat/>
    <w:uiPriority w:val="0"/>
    <w:rPr>
      <w:rFonts w:hint="default" w:ascii="ˎ̥" w:hAnsi="ˎ̥" w:eastAsia="汉鼎简书宋" w:cs="宋体"/>
      <w:b/>
      <w:bCs/>
      <w:color w:val="900000"/>
      <w:spacing w:val="4"/>
      <w:kern w:val="2"/>
      <w:sz w:val="19"/>
      <w:szCs w:val="19"/>
      <w:lang w:val="en-US" w:eastAsia="zh-CN" w:bidi="ar-SA"/>
    </w:rPr>
  </w:style>
  <w:style w:type="character" w:customStyle="1" w:styleId="564">
    <w:name w:val="样式11 Char Char"/>
    <w:qFormat/>
    <w:uiPriority w:val="0"/>
    <w:rPr>
      <w:rFonts w:ascii="黑体" w:hAnsi="黑体" w:eastAsia="黑体"/>
      <w:b/>
      <w:kern w:val="2"/>
      <w:sz w:val="28"/>
      <w:szCs w:val="24"/>
    </w:rPr>
  </w:style>
  <w:style w:type="character" w:customStyle="1" w:styleId="565">
    <w:name w:val="表格非中文 Char Char"/>
    <w:qFormat/>
    <w:uiPriority w:val="0"/>
    <w:rPr>
      <w:rFonts w:eastAsia="宋体"/>
      <w:spacing w:val="4"/>
      <w:kern w:val="2"/>
      <w:sz w:val="21"/>
      <w:szCs w:val="21"/>
      <w:lang w:val="en-US" w:eastAsia="zh-CN" w:bidi="ar-SA"/>
    </w:rPr>
  </w:style>
  <w:style w:type="character" w:customStyle="1" w:styleId="566">
    <w:name w:val="样式 样式 表格 + (中文) 黑体 + (中文) 黑体 Char Char"/>
    <w:qFormat/>
    <w:uiPriority w:val="0"/>
    <w:rPr>
      <w:rFonts w:eastAsia="黑体"/>
      <w:color w:val="000000"/>
      <w:spacing w:val="-8"/>
      <w:kern w:val="2"/>
      <w:sz w:val="24"/>
      <w:szCs w:val="24"/>
      <w:lang w:val="en-US" w:eastAsia="zh-CN" w:bidi="ar-SA"/>
    </w:rPr>
  </w:style>
  <w:style w:type="character" w:customStyle="1" w:styleId="567">
    <w:name w:val="Char Char52"/>
    <w:qFormat/>
    <w:uiPriority w:val="0"/>
    <w:rPr>
      <w:b/>
      <w:bCs/>
      <w:kern w:val="44"/>
      <w:sz w:val="44"/>
      <w:szCs w:val="44"/>
    </w:rPr>
  </w:style>
  <w:style w:type="character" w:customStyle="1" w:styleId="568">
    <w:name w:val="报告表正文 Char"/>
    <w:link w:val="569"/>
    <w:qFormat/>
    <w:uiPriority w:val="0"/>
    <w:rPr>
      <w:rFonts w:ascii="Times New Roman" w:hAnsi="Times New Roman" w:eastAsia="宋体" w:cs="Times New Roman"/>
      <w:sz w:val="24"/>
    </w:rPr>
  </w:style>
  <w:style w:type="paragraph" w:customStyle="1" w:styleId="569">
    <w:name w:val="报告表正文"/>
    <w:basedOn w:val="1"/>
    <w:link w:val="568"/>
    <w:qFormat/>
    <w:uiPriority w:val="0"/>
    <w:pPr>
      <w:adjustRightInd w:val="0"/>
      <w:spacing w:line="312" w:lineRule="auto"/>
      <w:ind w:left="113" w:right="113" w:firstLine="482" w:firstLineChars="200"/>
      <w:jc w:val="left"/>
      <w:textAlignment w:val="baseline"/>
    </w:pPr>
    <w:rPr>
      <w:szCs w:val="22"/>
    </w:rPr>
  </w:style>
  <w:style w:type="character" w:customStyle="1" w:styleId="570">
    <w:name w:val="model11"/>
    <w:qFormat/>
    <w:uiPriority w:val="0"/>
    <w:rPr>
      <w:rFonts w:hint="eastAsia" w:ascii="宋体" w:hAnsi="宋体" w:eastAsia="宋体" w:cs="宋体"/>
      <w:spacing w:val="4"/>
      <w:kern w:val="2"/>
      <w:sz w:val="18"/>
      <w:szCs w:val="18"/>
      <w:u w:val="none"/>
      <w:lang w:val="en-US" w:eastAsia="zh-CN" w:bidi="ar-SA"/>
    </w:rPr>
  </w:style>
  <w:style w:type="character" w:customStyle="1" w:styleId="571">
    <w:name w:val="表体宋旭峰 Char"/>
    <w:link w:val="572"/>
    <w:qFormat/>
    <w:uiPriority w:val="0"/>
    <w:rPr>
      <w:rFonts w:ascii="宋体" w:hAnsi="宋体"/>
      <w:color w:val="000000"/>
      <w:spacing w:val="4"/>
      <w:kern w:val="24"/>
      <w:sz w:val="18"/>
      <w:szCs w:val="18"/>
    </w:rPr>
  </w:style>
  <w:style w:type="paragraph" w:customStyle="1" w:styleId="572">
    <w:name w:val="表体宋旭峰"/>
    <w:basedOn w:val="1"/>
    <w:link w:val="571"/>
    <w:qFormat/>
    <w:uiPriority w:val="0"/>
    <w:pPr>
      <w:overflowPunct w:val="0"/>
      <w:adjustRightInd w:val="0"/>
      <w:spacing w:line="280" w:lineRule="atLeast"/>
      <w:textAlignment w:val="baseline"/>
    </w:pPr>
    <w:rPr>
      <w:rFonts w:ascii="宋体" w:hAnsi="宋体" w:eastAsiaTheme="minorEastAsia" w:cstheme="minorBidi"/>
      <w:color w:val="000000"/>
      <w:spacing w:val="4"/>
      <w:kern w:val="24"/>
      <w:sz w:val="18"/>
      <w:szCs w:val="18"/>
    </w:rPr>
  </w:style>
  <w:style w:type="character" w:customStyle="1" w:styleId="573">
    <w:name w:val="样式 首行缩进:  2 字符 Char"/>
    <w:qFormat/>
    <w:uiPriority w:val="0"/>
    <w:rPr>
      <w:rFonts w:ascii="宋体" w:hAnsi="宋体" w:eastAsia="宋体" w:cs="宋体"/>
      <w:spacing w:val="4"/>
      <w:kern w:val="2"/>
      <w:sz w:val="28"/>
      <w:szCs w:val="28"/>
      <w:lang w:val="en-US" w:eastAsia="zh-CN" w:bidi="ar-SA"/>
    </w:rPr>
  </w:style>
  <w:style w:type="character" w:customStyle="1" w:styleId="574">
    <w:name w:val="样式 文本正文 + 仿宋_GB23121 Char"/>
    <w:link w:val="575"/>
    <w:qFormat/>
    <w:uiPriority w:val="0"/>
    <w:rPr>
      <w:rFonts w:ascii="仿宋_GB2312" w:hAnsi="仿宋_GB2312"/>
      <w:color w:val="000000"/>
      <w:spacing w:val="4"/>
      <w:kern w:val="18"/>
      <w:sz w:val="24"/>
      <w:szCs w:val="24"/>
    </w:rPr>
  </w:style>
  <w:style w:type="paragraph" w:customStyle="1" w:styleId="575">
    <w:name w:val="样式 文本正文 + 仿宋_GB23121"/>
    <w:basedOn w:val="1"/>
    <w:link w:val="574"/>
    <w:qFormat/>
    <w:uiPriority w:val="0"/>
    <w:pPr>
      <w:adjustRightInd w:val="0"/>
      <w:ind w:firstLine="510"/>
      <w:textAlignment w:val="baseline"/>
    </w:pPr>
    <w:rPr>
      <w:rFonts w:ascii="仿宋_GB2312" w:hAnsi="仿宋_GB2312" w:eastAsiaTheme="minorEastAsia" w:cstheme="minorBidi"/>
      <w:color w:val="000000"/>
      <w:spacing w:val="4"/>
      <w:kern w:val="18"/>
    </w:rPr>
  </w:style>
  <w:style w:type="character" w:customStyle="1" w:styleId="576">
    <w:name w:val="s c c"/>
    <w:qFormat/>
    <w:uiPriority w:val="0"/>
    <w:rPr>
      <w:rFonts w:ascii="宋体" w:hAnsi="宋体" w:eastAsia="汉鼎简书宋" w:cs="宋体"/>
      <w:spacing w:val="4"/>
      <w:kern w:val="2"/>
      <w:sz w:val="24"/>
      <w:szCs w:val="24"/>
      <w:lang w:val="en-US" w:eastAsia="zh-CN" w:bidi="ar-SA"/>
    </w:rPr>
  </w:style>
  <w:style w:type="character" w:customStyle="1" w:styleId="577">
    <w:name w:val="标题样式2 Char"/>
    <w:link w:val="578"/>
    <w:qFormat/>
    <w:uiPriority w:val="0"/>
    <w:rPr>
      <w:rFonts w:ascii="黑体" w:hAnsi="Arial" w:eastAsia="黑体"/>
      <w:sz w:val="24"/>
      <w:szCs w:val="24"/>
    </w:rPr>
  </w:style>
  <w:style w:type="paragraph" w:customStyle="1" w:styleId="578">
    <w:name w:val="标题样式2"/>
    <w:basedOn w:val="6"/>
    <w:link w:val="577"/>
    <w:qFormat/>
    <w:uiPriority w:val="0"/>
    <w:pPr>
      <w:keepNext/>
      <w:keepLines/>
      <w:numPr>
        <w:ilvl w:val="0"/>
        <w:numId w:val="0"/>
      </w:numPr>
      <w:tabs>
        <w:tab w:val="clear" w:pos="-181"/>
      </w:tabs>
      <w:snapToGrid/>
      <w:spacing w:before="0" w:beforeLines="0"/>
    </w:pPr>
    <w:rPr>
      <w:rFonts w:ascii="黑体" w:hAnsi="Arial" w:cstheme="minorBidi"/>
      <w:kern w:val="2"/>
      <w:sz w:val="24"/>
      <w:szCs w:val="24"/>
    </w:rPr>
  </w:style>
  <w:style w:type="character" w:customStyle="1" w:styleId="579">
    <w:name w:val="陶瓷四级3 Char"/>
    <w:link w:val="580"/>
    <w:qFormat/>
    <w:uiPriority w:val="0"/>
    <w:rPr>
      <w:rFonts w:eastAsia="黑体"/>
      <w:b/>
      <w:sz w:val="28"/>
      <w:szCs w:val="24"/>
    </w:rPr>
  </w:style>
  <w:style w:type="paragraph" w:customStyle="1" w:styleId="580">
    <w:name w:val="陶瓷四级3"/>
    <w:basedOn w:val="8"/>
    <w:link w:val="579"/>
    <w:qFormat/>
    <w:uiPriority w:val="0"/>
    <w:pPr>
      <w:keepLines/>
      <w:tabs>
        <w:tab w:val="left" w:pos="0"/>
        <w:tab w:val="left" w:pos="1080"/>
        <w:tab w:val="clear" w:pos="864"/>
      </w:tabs>
      <w:adjustRightInd w:val="0"/>
      <w:jc w:val="left"/>
      <w:textAlignment w:val="baseline"/>
    </w:pPr>
    <w:rPr>
      <w:rFonts w:eastAsia="黑体" w:asciiTheme="minorHAnsi" w:hAnsiTheme="minorHAnsi" w:cstheme="minorBidi"/>
      <w:bCs w:val="0"/>
      <w:sz w:val="28"/>
    </w:rPr>
  </w:style>
  <w:style w:type="character" w:customStyle="1" w:styleId="581">
    <w:name w:val="tab"/>
    <w:qFormat/>
    <w:uiPriority w:val="0"/>
    <w:rPr>
      <w:color w:val="A4BCD6"/>
      <w:sz w:val="24"/>
    </w:rPr>
  </w:style>
  <w:style w:type="character" w:customStyle="1" w:styleId="582">
    <w:name w:val="我的正文 Char"/>
    <w:link w:val="583"/>
    <w:qFormat/>
    <w:uiPriority w:val="0"/>
    <w:rPr>
      <w:rFonts w:ascii="Times New Roman" w:hAnsi="Times New Roman" w:eastAsia="宋体" w:cs="Times New Roman"/>
      <w:sz w:val="24"/>
    </w:rPr>
  </w:style>
  <w:style w:type="paragraph" w:customStyle="1" w:styleId="583">
    <w:name w:val="我的正文"/>
    <w:basedOn w:val="1"/>
    <w:link w:val="582"/>
    <w:qFormat/>
    <w:uiPriority w:val="0"/>
    <w:pPr>
      <w:ind w:firstLine="420"/>
    </w:pPr>
    <w:rPr>
      <w:szCs w:val="22"/>
    </w:rPr>
  </w:style>
  <w:style w:type="character" w:customStyle="1" w:styleId="584">
    <w:name w:val="个人撰写风格"/>
    <w:qFormat/>
    <w:uiPriority w:val="0"/>
    <w:rPr>
      <w:rFonts w:ascii="Arial" w:hAnsi="Arial" w:eastAsia="宋体" w:cs="Arial"/>
      <w:color w:val="auto"/>
      <w:sz w:val="20"/>
    </w:rPr>
  </w:style>
  <w:style w:type="character" w:customStyle="1" w:styleId="585">
    <w:name w:val="日期 Char1"/>
    <w:qFormat/>
    <w:uiPriority w:val="0"/>
    <w:rPr>
      <w:rFonts w:ascii="Times New Roman" w:hAnsi="Times New Roman" w:eastAsia="宋体" w:cs="Times New Roman"/>
      <w:szCs w:val="24"/>
    </w:rPr>
  </w:style>
  <w:style w:type="character" w:customStyle="1" w:styleId="586">
    <w:name w:val="陶瓷二级目录 Char"/>
    <w:link w:val="587"/>
    <w:qFormat/>
    <w:uiPriority w:val="0"/>
    <w:rPr>
      <w:rFonts w:ascii="宋体" w:hAnsi="Arial" w:eastAsia="黑体" w:cs="宋体"/>
      <w:b/>
      <w:spacing w:val="4"/>
      <w:sz w:val="32"/>
      <w:szCs w:val="32"/>
    </w:rPr>
  </w:style>
  <w:style w:type="paragraph" w:customStyle="1" w:styleId="587">
    <w:name w:val="陶瓷二级目录"/>
    <w:basedOn w:val="588"/>
    <w:link w:val="586"/>
    <w:qFormat/>
    <w:uiPriority w:val="0"/>
    <w:pPr>
      <w:widowControl w:val="0"/>
      <w:adjustRightInd w:val="0"/>
      <w:snapToGrid w:val="0"/>
      <w:spacing w:line="360" w:lineRule="auto"/>
    </w:pPr>
    <w:rPr>
      <w:rFonts w:hAnsi="Arial" w:eastAsia="黑体"/>
      <w:spacing w:val="4"/>
      <w:kern w:val="2"/>
      <w:sz w:val="32"/>
      <w:szCs w:val="32"/>
    </w:rPr>
  </w:style>
  <w:style w:type="paragraph" w:customStyle="1" w:styleId="588">
    <w:name w:val="二级标题"/>
    <w:basedOn w:val="1"/>
    <w:link w:val="589"/>
    <w:qFormat/>
    <w:uiPriority w:val="0"/>
    <w:pPr>
      <w:widowControl/>
      <w:spacing w:line="460" w:lineRule="exact"/>
      <w:jc w:val="left"/>
      <w:outlineLvl w:val="1"/>
    </w:pPr>
    <w:rPr>
      <w:rFonts w:ascii="宋体" w:hAnsi="宋体" w:cs="宋体"/>
      <w:b/>
      <w:kern w:val="0"/>
      <w:sz w:val="28"/>
    </w:rPr>
  </w:style>
  <w:style w:type="character" w:customStyle="1" w:styleId="589">
    <w:name w:val="二级标题 Char"/>
    <w:link w:val="588"/>
    <w:qFormat/>
    <w:uiPriority w:val="0"/>
    <w:rPr>
      <w:rFonts w:ascii="宋体" w:hAnsi="宋体" w:eastAsia="宋体" w:cs="宋体"/>
      <w:b/>
      <w:kern w:val="0"/>
      <w:sz w:val="28"/>
      <w:szCs w:val="24"/>
    </w:rPr>
  </w:style>
  <w:style w:type="character" w:customStyle="1" w:styleId="590">
    <w:name w:val="t1"/>
    <w:qFormat/>
    <w:uiPriority w:val="0"/>
    <w:rPr>
      <w:rFonts w:ascii="宋体" w:hAnsi="宋体" w:eastAsia="汉鼎简书宋" w:cs="宋体"/>
      <w:spacing w:val="4"/>
      <w:kern w:val="2"/>
      <w:sz w:val="24"/>
      <w:szCs w:val="24"/>
      <w:lang w:val="en-US" w:eastAsia="zh-CN" w:bidi="ar-SA"/>
    </w:rPr>
  </w:style>
  <w:style w:type="character" w:customStyle="1" w:styleId="591">
    <w:name w:val="报告表格 Char"/>
    <w:link w:val="592"/>
    <w:qFormat/>
    <w:uiPriority w:val="0"/>
    <w:rPr>
      <w:rFonts w:ascii="Times New Roman" w:hAnsi="Times New Roman" w:eastAsia="宋体" w:cs="Times New Roman"/>
      <w:sz w:val="24"/>
    </w:rPr>
  </w:style>
  <w:style w:type="paragraph" w:customStyle="1" w:styleId="592">
    <w:name w:val="报告表格"/>
    <w:basedOn w:val="1"/>
    <w:link w:val="591"/>
    <w:qFormat/>
    <w:uiPriority w:val="0"/>
    <w:pPr>
      <w:autoSpaceDE w:val="0"/>
      <w:autoSpaceDN w:val="0"/>
      <w:adjustRightInd w:val="0"/>
      <w:spacing w:before="40" w:after="40"/>
      <w:jc w:val="center"/>
      <w:textAlignment w:val="bottom"/>
    </w:pPr>
    <w:rPr>
      <w:szCs w:val="22"/>
    </w:rPr>
  </w:style>
  <w:style w:type="character" w:customStyle="1" w:styleId="593">
    <w:name w:val="Footer Char"/>
    <w:qFormat/>
    <w:locked/>
    <w:uiPriority w:val="0"/>
    <w:rPr>
      <w:rFonts w:cs="Times New Roman"/>
      <w:sz w:val="18"/>
      <w:szCs w:val="18"/>
    </w:rPr>
  </w:style>
  <w:style w:type="character" w:customStyle="1" w:styleId="594">
    <w:name w:val="style151"/>
    <w:qFormat/>
    <w:uiPriority w:val="0"/>
    <w:rPr>
      <w:rFonts w:eastAsia="黑体"/>
      <w:snapToGrid w:val="0"/>
      <w:color w:val="000000"/>
      <w:kern w:val="2"/>
      <w:sz w:val="24"/>
      <w:lang w:val="en-US" w:eastAsia="zh-CN"/>
    </w:rPr>
  </w:style>
  <w:style w:type="character" w:customStyle="1" w:styleId="595">
    <w:name w:val="141"/>
    <w:qFormat/>
    <w:uiPriority w:val="0"/>
    <w:rPr>
      <w:rFonts w:ascii="宋体" w:hAnsi="宋体" w:eastAsia="汉鼎简书宋" w:cs="宋体"/>
      <w:color w:val="000000"/>
      <w:spacing w:val="330"/>
      <w:kern w:val="2"/>
      <w:sz w:val="21"/>
      <w:szCs w:val="21"/>
      <w:lang w:val="en-US" w:eastAsia="zh-CN" w:bidi="ar-SA"/>
    </w:rPr>
  </w:style>
  <w:style w:type="character" w:customStyle="1" w:styleId="596">
    <w:name w:val="标题1"/>
    <w:qFormat/>
    <w:uiPriority w:val="0"/>
    <w:rPr>
      <w:rFonts w:ascii="Times New Roman" w:hAnsi="Times New Roman" w:eastAsia="宋体" w:cs="Times New Roman"/>
    </w:rPr>
  </w:style>
  <w:style w:type="character" w:customStyle="1" w:styleId="597">
    <w:name w:val="样式 宋体 小四 行距: 固定值 25 磅 Char Char Char Char Char Char Char"/>
    <w:qFormat/>
    <w:uiPriority w:val="0"/>
    <w:rPr>
      <w:rFonts w:ascii="宋体" w:hAnsi="宋体"/>
      <w:kern w:val="2"/>
      <w:sz w:val="24"/>
      <w:lang w:bidi="ar-SA"/>
    </w:rPr>
  </w:style>
  <w:style w:type="character" w:customStyle="1" w:styleId="598">
    <w:name w:val="列表 Char1"/>
    <w:qFormat/>
    <w:uiPriority w:val="0"/>
    <w:rPr>
      <w:rFonts w:ascii="宋体" w:hAnsi="宋体" w:eastAsia="黑体" w:cs="宋体"/>
      <w:spacing w:val="4"/>
      <w:kern w:val="2"/>
      <w:sz w:val="22"/>
      <w:szCs w:val="22"/>
      <w:lang w:val="en-US" w:eastAsia="zh-CN" w:bidi="ar-SA"/>
    </w:rPr>
  </w:style>
  <w:style w:type="character" w:customStyle="1" w:styleId="599">
    <w:name w:val="样式 表格 + (中文) 黑体 Char Char"/>
    <w:qFormat/>
    <w:uiPriority w:val="0"/>
    <w:rPr>
      <w:rFonts w:ascii="宋体" w:hAnsi="宋体"/>
      <w:color w:val="000000"/>
      <w:spacing w:val="-8"/>
      <w:kern w:val="2"/>
      <w:sz w:val="24"/>
      <w:szCs w:val="24"/>
      <w:lang w:val="en-US" w:eastAsia="zh-CN" w:bidi="ar-SA"/>
    </w:rPr>
  </w:style>
  <w:style w:type="character" w:customStyle="1" w:styleId="600">
    <w:name w:val="表格内字体 Char"/>
    <w:link w:val="601"/>
    <w:qFormat/>
    <w:uiPriority w:val="0"/>
    <w:rPr>
      <w:rFonts w:ascii="宋体" w:hAnsi="宋体" w:eastAsia="汉鼎简书宋"/>
      <w:spacing w:val="4"/>
      <w:szCs w:val="24"/>
    </w:rPr>
  </w:style>
  <w:style w:type="paragraph" w:customStyle="1" w:styleId="601">
    <w:name w:val="表格内字体"/>
    <w:basedOn w:val="602"/>
    <w:next w:val="602"/>
    <w:link w:val="600"/>
    <w:qFormat/>
    <w:uiPriority w:val="0"/>
    <w:pPr>
      <w:widowControl w:val="0"/>
      <w:spacing w:before="0" w:beforeLines="0" w:line="240" w:lineRule="auto"/>
      <w:ind w:firstLine="0" w:firstLineChars="0"/>
      <w:jc w:val="center"/>
    </w:pPr>
    <w:rPr>
      <w:rFonts w:ascii="宋体" w:hAnsi="宋体" w:eastAsia="汉鼎简书宋" w:cstheme="minorBidi"/>
      <w:spacing w:val="4"/>
      <w:sz w:val="21"/>
      <w:szCs w:val="24"/>
    </w:rPr>
  </w:style>
  <w:style w:type="paragraph" w:customStyle="1" w:styleId="602">
    <w:name w:val="正文格式"/>
    <w:next w:val="1"/>
    <w:link w:val="603"/>
    <w:qFormat/>
    <w:uiPriority w:val="0"/>
    <w:pPr>
      <w:spacing w:before="156" w:beforeLines="50" w:line="440" w:lineRule="exact"/>
      <w:ind w:firstLine="560" w:firstLineChars="200"/>
    </w:pPr>
    <w:rPr>
      <w:rFonts w:ascii="Times New Roman" w:hAnsi="Times New Roman" w:eastAsia="仿宋_GB2312" w:cs="Times New Roman"/>
      <w:kern w:val="2"/>
      <w:sz w:val="28"/>
      <w:szCs w:val="28"/>
      <w:lang w:val="en-US" w:eastAsia="zh-CN" w:bidi="ar-SA"/>
    </w:rPr>
  </w:style>
  <w:style w:type="character" w:customStyle="1" w:styleId="603">
    <w:name w:val="正文格式 Char"/>
    <w:link w:val="602"/>
    <w:qFormat/>
    <w:uiPriority w:val="0"/>
    <w:rPr>
      <w:rFonts w:ascii="Times New Roman" w:hAnsi="Times New Roman" w:eastAsia="仿宋_GB2312" w:cs="Times New Roman"/>
      <w:sz w:val="28"/>
      <w:szCs w:val="28"/>
    </w:rPr>
  </w:style>
  <w:style w:type="character" w:customStyle="1" w:styleId="604">
    <w:name w:val="四号 段前: 7.8 磅 行距: 多倍行距 1.3 字行 Char Char"/>
    <w:qFormat/>
    <w:uiPriority w:val="0"/>
    <w:rPr>
      <w:kern w:val="2"/>
      <w:sz w:val="28"/>
      <w:lang w:bidi="ar-SA"/>
    </w:rPr>
  </w:style>
  <w:style w:type="character" w:customStyle="1" w:styleId="605">
    <w:name w:val="文本 Char"/>
    <w:link w:val="606"/>
    <w:qFormat/>
    <w:uiPriority w:val="0"/>
    <w:rPr>
      <w:sz w:val="24"/>
      <w:szCs w:val="24"/>
    </w:rPr>
  </w:style>
  <w:style w:type="paragraph" w:customStyle="1" w:styleId="606">
    <w:name w:val="文本"/>
    <w:basedOn w:val="1"/>
    <w:next w:val="52"/>
    <w:link w:val="605"/>
    <w:qFormat/>
    <w:uiPriority w:val="0"/>
    <w:pPr>
      <w:ind w:firstLine="495"/>
    </w:pPr>
    <w:rPr>
      <w:rFonts w:asciiTheme="minorHAnsi" w:hAnsiTheme="minorHAnsi" w:eastAsiaTheme="minorEastAsia" w:cstheme="minorBidi"/>
    </w:rPr>
  </w:style>
  <w:style w:type="character" w:customStyle="1" w:styleId="607">
    <w:name w:val="样式 正文首行缩进 + 四号 Char"/>
    <w:link w:val="608"/>
    <w:qFormat/>
    <w:uiPriority w:val="0"/>
    <w:rPr>
      <w:rFonts w:ascii="宋体" w:hAnsi="宋体"/>
      <w:spacing w:val="4"/>
      <w:sz w:val="28"/>
      <w:szCs w:val="24"/>
    </w:rPr>
  </w:style>
  <w:style w:type="paragraph" w:customStyle="1" w:styleId="608">
    <w:name w:val="样式 正文首行缩进 + 四号"/>
    <w:basedOn w:val="87"/>
    <w:link w:val="607"/>
    <w:qFormat/>
    <w:uiPriority w:val="0"/>
    <w:pPr>
      <w:spacing w:line="240" w:lineRule="auto"/>
    </w:pPr>
    <w:rPr>
      <w:rFonts w:ascii="宋体" w:hAnsi="宋体" w:eastAsiaTheme="minorEastAsia" w:cstheme="minorBidi"/>
      <w:spacing w:val="4"/>
      <w:sz w:val="28"/>
    </w:rPr>
  </w:style>
  <w:style w:type="character" w:customStyle="1" w:styleId="609">
    <w:name w:val="正文:  2 字符 Char Char"/>
    <w:qFormat/>
    <w:uiPriority w:val="0"/>
    <w:rPr>
      <w:rFonts w:eastAsia="宋体" w:cs="宋体"/>
      <w:kern w:val="2"/>
      <w:sz w:val="24"/>
      <w:lang w:val="en-US" w:eastAsia="zh-CN" w:bidi="ar-SA"/>
    </w:rPr>
  </w:style>
  <w:style w:type="character" w:customStyle="1" w:styleId="610">
    <w:name w:val="yyp Char"/>
    <w:link w:val="611"/>
    <w:qFormat/>
    <w:uiPriority w:val="0"/>
    <w:rPr>
      <w:rFonts w:ascii="Calibri" w:hAnsi="Calibri"/>
      <w:sz w:val="24"/>
    </w:rPr>
  </w:style>
  <w:style w:type="paragraph" w:customStyle="1" w:styleId="611">
    <w:name w:val="yyp"/>
    <w:basedOn w:val="1"/>
    <w:link w:val="610"/>
    <w:qFormat/>
    <w:uiPriority w:val="0"/>
    <w:pPr>
      <w:spacing w:after="120"/>
      <w:ind w:firstLine="480" w:firstLineChars="200"/>
    </w:pPr>
    <w:rPr>
      <w:rFonts w:ascii="Calibri" w:hAnsi="Calibri" w:eastAsiaTheme="minorEastAsia" w:cstheme="minorBidi"/>
      <w:szCs w:val="22"/>
    </w:rPr>
  </w:style>
  <w:style w:type="character" w:customStyle="1" w:styleId="612">
    <w:name w:val="表格文字 Char"/>
    <w:link w:val="613"/>
    <w:qFormat/>
    <w:uiPriority w:val="0"/>
  </w:style>
  <w:style w:type="paragraph" w:customStyle="1" w:styleId="613">
    <w:name w:val="表格文字"/>
    <w:basedOn w:val="1"/>
    <w:link w:val="612"/>
    <w:qFormat/>
    <w:uiPriority w:val="0"/>
    <w:pPr>
      <w:autoSpaceDE w:val="0"/>
      <w:autoSpaceDN w:val="0"/>
      <w:adjustRightInd w:val="0"/>
      <w:spacing w:before="60" w:after="60" w:line="240" w:lineRule="auto"/>
      <w:jc w:val="left"/>
      <w:textAlignment w:val="bottom"/>
    </w:pPr>
    <w:rPr>
      <w:rFonts w:asciiTheme="minorHAnsi" w:hAnsiTheme="minorHAnsi" w:eastAsiaTheme="minorEastAsia" w:cstheme="minorBidi"/>
      <w:sz w:val="21"/>
      <w:szCs w:val="22"/>
    </w:rPr>
  </w:style>
  <w:style w:type="character" w:customStyle="1" w:styleId="614">
    <w:name w:val="样式 首行缩进:  2.25 字符1 Char Char"/>
    <w:qFormat/>
    <w:uiPriority w:val="0"/>
    <w:rPr>
      <w:kern w:val="2"/>
      <w:sz w:val="24"/>
      <w:lang w:bidi="ar-SA"/>
    </w:rPr>
  </w:style>
  <w:style w:type="character" w:customStyle="1" w:styleId="615">
    <w:name w:val="珠江啤酒正文 Char Char"/>
    <w:qFormat/>
    <w:uiPriority w:val="0"/>
    <w:rPr>
      <w:rFonts w:ascii="宋体" w:hAnsi="宋体"/>
      <w:kern w:val="2"/>
      <w:sz w:val="21"/>
      <w:lang w:bidi="ar-SA"/>
    </w:rPr>
  </w:style>
  <w:style w:type="character" w:customStyle="1" w:styleId="616">
    <w:name w:val="样式 宋体 五号 加粗 黑色 居中 段前: 6 磅 段后: 6 磅 行距: 单倍行距"/>
    <w:qFormat/>
    <w:uiPriority w:val="0"/>
    <w:rPr>
      <w:rFonts w:ascii="宋体" w:hAnsi="宋体" w:eastAsia="宋体" w:cs="宋体"/>
      <w:bCs/>
      <w:color w:val="000000"/>
      <w:sz w:val="21"/>
      <w:szCs w:val="21"/>
    </w:rPr>
  </w:style>
  <w:style w:type="character" w:customStyle="1" w:styleId="617">
    <w:name w:val="正文（首行缩进两字） Char Char Char2 Char"/>
    <w:link w:val="618"/>
    <w:qFormat/>
    <w:uiPriority w:val="0"/>
    <w:rPr>
      <w:rFonts w:ascii="Arial" w:hAnsi="Arial"/>
      <w:color w:val="000000"/>
      <w:sz w:val="24"/>
      <w:szCs w:val="24"/>
    </w:rPr>
  </w:style>
  <w:style w:type="paragraph" w:customStyle="1" w:styleId="618">
    <w:name w:val="正文（首行缩进两字） Char Char Char2"/>
    <w:basedOn w:val="1"/>
    <w:next w:val="23"/>
    <w:link w:val="617"/>
    <w:qFormat/>
    <w:uiPriority w:val="0"/>
    <w:pPr>
      <w:spacing w:line="440" w:lineRule="exact"/>
      <w:ind w:firstLine="200" w:firstLineChars="200"/>
    </w:pPr>
    <w:rPr>
      <w:rFonts w:ascii="Arial" w:hAnsi="Arial" w:eastAsiaTheme="minorEastAsia" w:cstheme="minorBidi"/>
      <w:color w:val="000000"/>
    </w:rPr>
  </w:style>
  <w:style w:type="character" w:customStyle="1" w:styleId="619">
    <w:name w:val="xxxxxx"/>
    <w:qFormat/>
    <w:uiPriority w:val="0"/>
    <w:rPr>
      <w:rFonts w:ascii="宋体" w:hAnsi="宋体" w:eastAsia="黑体" w:cs="宋体"/>
      <w:spacing w:val="4"/>
      <w:kern w:val="2"/>
      <w:sz w:val="30"/>
      <w:szCs w:val="30"/>
      <w:lang w:val="en-US" w:eastAsia="zh-CN" w:bidi="ar-SA"/>
    </w:rPr>
  </w:style>
  <w:style w:type="character" w:customStyle="1" w:styleId="620">
    <w:name w:val="燕山正文 Char"/>
    <w:qFormat/>
    <w:uiPriority w:val="0"/>
    <w:rPr>
      <w:rFonts w:ascii="宋体" w:hAnsi="Arial" w:eastAsia="宋体" w:cs="宋体"/>
      <w:snapToGrid w:val="0"/>
      <w:spacing w:val="10"/>
      <w:kern w:val="2"/>
      <w:sz w:val="24"/>
      <w:szCs w:val="24"/>
      <w:lang w:val="en-US" w:eastAsia="zh-CN" w:bidi="ar-SA"/>
    </w:rPr>
  </w:style>
  <w:style w:type="character" w:customStyle="1" w:styleId="621">
    <w:name w:val="样式 标题 2 + 段前: 0.5 行2 Char"/>
    <w:link w:val="622"/>
    <w:qFormat/>
    <w:uiPriority w:val="0"/>
    <w:rPr>
      <w:rFonts w:eastAsia="黑体"/>
      <w:b/>
      <w:sz w:val="24"/>
    </w:rPr>
  </w:style>
  <w:style w:type="paragraph" w:customStyle="1" w:styleId="622">
    <w:name w:val="样式 标题 2 + 段前: 0.5 行2"/>
    <w:basedOn w:val="6"/>
    <w:link w:val="621"/>
    <w:qFormat/>
    <w:uiPriority w:val="0"/>
    <w:pPr>
      <w:numPr>
        <w:numId w:val="8"/>
      </w:numPr>
      <w:tabs>
        <w:tab w:val="left" w:pos="567"/>
        <w:tab w:val="clear" w:pos="-181"/>
      </w:tabs>
      <w:adjustRightInd/>
      <w:snapToGrid/>
      <w:spacing w:before="50" w:beforeLines="50" w:after="60" w:line="240" w:lineRule="auto"/>
      <w:textAlignment w:val="auto"/>
    </w:pPr>
    <w:rPr>
      <w:rFonts w:asciiTheme="minorHAnsi" w:hAnsiTheme="minorHAnsi" w:cstheme="minorBidi"/>
      <w:b/>
      <w:kern w:val="2"/>
      <w:sz w:val="24"/>
      <w:szCs w:val="22"/>
    </w:rPr>
  </w:style>
  <w:style w:type="character" w:customStyle="1" w:styleId="623">
    <w:name w:val="sbody1"/>
    <w:qFormat/>
    <w:uiPriority w:val="0"/>
    <w:rPr>
      <w:spacing w:val="360"/>
      <w:sz w:val="14"/>
      <w:szCs w:val="14"/>
    </w:rPr>
  </w:style>
  <w:style w:type="character" w:customStyle="1" w:styleId="624">
    <w:name w:val="edri-A title Char1 Char"/>
    <w:qFormat/>
    <w:uiPriority w:val="0"/>
    <w:rPr>
      <w:rFonts w:eastAsia="宋体" w:cs="CommercialPi BT"/>
      <w:bCs/>
      <w:sz w:val="24"/>
      <w:szCs w:val="24"/>
      <w:lang w:val="en-US" w:eastAsia="zh-CN" w:bidi="ar-SA"/>
    </w:rPr>
  </w:style>
  <w:style w:type="character" w:customStyle="1" w:styleId="625">
    <w:name w:val="正文样式1 Char Char"/>
    <w:qFormat/>
    <w:uiPriority w:val="0"/>
    <w:rPr>
      <w:rFonts w:ascii="宋体" w:eastAsia="宋体"/>
      <w:kern w:val="2"/>
      <w:sz w:val="24"/>
      <w:szCs w:val="24"/>
      <w:lang w:val="en-US" w:eastAsia="zh-CN" w:bidi="ar-SA"/>
    </w:rPr>
  </w:style>
  <w:style w:type="character" w:customStyle="1" w:styleId="626">
    <w:name w:val="content1"/>
    <w:qFormat/>
    <w:uiPriority w:val="0"/>
    <w:rPr>
      <w:rFonts w:hint="eastAsia" w:ascii="宋体" w:hAnsi="宋体" w:eastAsia="宋体" w:cs="宋体"/>
      <w:snapToGrid w:val="0"/>
      <w:color w:val="333333"/>
      <w:spacing w:val="4"/>
      <w:kern w:val="2"/>
      <w:sz w:val="21"/>
      <w:szCs w:val="21"/>
      <w:lang w:val="en-US" w:eastAsia="zh-CN" w:bidi="ar-SA"/>
    </w:rPr>
  </w:style>
  <w:style w:type="character" w:customStyle="1" w:styleId="627">
    <w:name w:val="xyb自建表格名称 Char Char Char Char"/>
    <w:qFormat/>
    <w:uiPriority w:val="0"/>
    <w:rPr>
      <w:rFonts w:ascii="宋体" w:hAnsi="宋体" w:eastAsia="宋体"/>
      <w:kern w:val="2"/>
      <w:sz w:val="24"/>
      <w:szCs w:val="24"/>
      <w:lang w:val="en-US" w:eastAsia="zh-CN" w:bidi="ar-SA"/>
    </w:rPr>
  </w:style>
  <w:style w:type="character" w:customStyle="1" w:styleId="628">
    <w:name w:val="highlight1"/>
    <w:qFormat/>
    <w:uiPriority w:val="0"/>
    <w:rPr>
      <w:sz w:val="21"/>
      <w:szCs w:val="21"/>
    </w:rPr>
  </w:style>
  <w:style w:type="character" w:customStyle="1" w:styleId="629">
    <w:name w:val="样式 宋体 小四 行距: 固定值 25 磅 Char Char Char Char"/>
    <w:link w:val="630"/>
    <w:qFormat/>
    <w:uiPriority w:val="0"/>
    <w:rPr>
      <w:rFonts w:ascii="宋体" w:hAnsi="宋体"/>
      <w:sz w:val="24"/>
      <w:szCs w:val="24"/>
    </w:rPr>
  </w:style>
  <w:style w:type="paragraph" w:customStyle="1" w:styleId="630">
    <w:name w:val="样式 宋体 小四 行距: 固定值 25 磅 Char Char Char"/>
    <w:basedOn w:val="1"/>
    <w:link w:val="629"/>
    <w:qFormat/>
    <w:uiPriority w:val="0"/>
    <w:pPr>
      <w:ind w:firstLine="540" w:firstLineChars="225"/>
    </w:pPr>
    <w:rPr>
      <w:rFonts w:ascii="宋体" w:hAnsi="宋体" w:eastAsiaTheme="minorEastAsia" w:cstheme="minorBidi"/>
    </w:rPr>
  </w:style>
  <w:style w:type="character" w:customStyle="1" w:styleId="631">
    <w:name w:val="德胜空行 Char"/>
    <w:link w:val="632"/>
    <w:qFormat/>
    <w:uiPriority w:val="0"/>
    <w:rPr>
      <w:rFonts w:ascii="宋体" w:hAnsi="宋体" w:cs="宋体"/>
      <w:color w:val="0000FF"/>
      <w:spacing w:val="4"/>
      <w:szCs w:val="28"/>
    </w:rPr>
  </w:style>
  <w:style w:type="paragraph" w:customStyle="1" w:styleId="632">
    <w:name w:val="德胜空行"/>
    <w:basedOn w:val="1"/>
    <w:link w:val="631"/>
    <w:qFormat/>
    <w:uiPriority w:val="0"/>
    <w:pPr>
      <w:adjustRightInd w:val="0"/>
      <w:snapToGrid w:val="0"/>
    </w:pPr>
    <w:rPr>
      <w:rFonts w:ascii="宋体" w:hAnsi="宋体" w:cs="宋体" w:eastAsiaTheme="minorEastAsia"/>
      <w:color w:val="0000FF"/>
      <w:spacing w:val="4"/>
      <w:sz w:val="21"/>
      <w:szCs w:val="28"/>
    </w:rPr>
  </w:style>
  <w:style w:type="character" w:customStyle="1" w:styleId="633">
    <w:name w:val="text_l1"/>
    <w:qFormat/>
    <w:uiPriority w:val="0"/>
    <w:rPr>
      <w:color w:val="000066"/>
      <w:sz w:val="18"/>
      <w:szCs w:val="18"/>
    </w:rPr>
  </w:style>
  <w:style w:type="character" w:customStyle="1" w:styleId="634">
    <w:name w:val="表格中的文字 Char"/>
    <w:link w:val="635"/>
    <w:qFormat/>
    <w:uiPriority w:val="0"/>
    <w:rPr>
      <w:rFonts w:ascii="Calibri" w:hAnsi="Calibri"/>
    </w:rPr>
  </w:style>
  <w:style w:type="paragraph" w:customStyle="1" w:styleId="635">
    <w:name w:val="表格中的文字"/>
    <w:basedOn w:val="1"/>
    <w:link w:val="634"/>
    <w:qFormat/>
    <w:uiPriority w:val="0"/>
    <w:pPr>
      <w:spacing w:line="240" w:lineRule="auto"/>
      <w:jc w:val="center"/>
    </w:pPr>
    <w:rPr>
      <w:rFonts w:ascii="Calibri" w:hAnsi="Calibri" w:eastAsiaTheme="minorEastAsia" w:cstheme="minorBidi"/>
      <w:sz w:val="21"/>
      <w:szCs w:val="22"/>
    </w:rPr>
  </w:style>
  <w:style w:type="character" w:customStyle="1" w:styleId="636">
    <w:name w:val="样式 宋体 四号 加粗"/>
    <w:qFormat/>
    <w:uiPriority w:val="0"/>
    <w:rPr>
      <w:rFonts w:ascii="宋体" w:hAnsi="宋体"/>
      <w:b/>
      <w:bCs/>
      <w:sz w:val="28"/>
    </w:rPr>
  </w:style>
  <w:style w:type="character" w:customStyle="1" w:styleId="637">
    <w:name w:val="表格1 Char1"/>
    <w:qFormat/>
    <w:uiPriority w:val="0"/>
    <w:rPr>
      <w:rFonts w:ascii="宋体" w:hAnsi="宋体" w:eastAsia="宋体" w:cs="Arial"/>
      <w:spacing w:val="4"/>
      <w:kern w:val="2"/>
      <w:sz w:val="18"/>
      <w:szCs w:val="18"/>
      <w:lang w:val="en-US" w:eastAsia="zh-CN" w:bidi="ar-SA"/>
    </w:rPr>
  </w:style>
  <w:style w:type="character" w:customStyle="1" w:styleId="638">
    <w:name w:val="正文缩进（自定义） Char Char Char Char Char"/>
    <w:qFormat/>
    <w:uiPriority w:val="0"/>
    <w:rPr>
      <w:rFonts w:ascii="Century Gothic" w:hAnsi="Century Gothic" w:eastAsia="宋体" w:cs="宋体"/>
      <w:sz w:val="24"/>
      <w:szCs w:val="24"/>
      <w:lang w:val="en-US" w:eastAsia="zh-CN" w:bidi="ar-SA"/>
    </w:rPr>
  </w:style>
  <w:style w:type="character" w:customStyle="1" w:styleId="639">
    <w:name w:val="引用 Char"/>
    <w:link w:val="640"/>
    <w:qFormat/>
    <w:uiPriority w:val="0"/>
    <w:rPr>
      <w:rFonts w:ascii="Calibri" w:hAnsi="Calibri" w:eastAsia="宋体" w:cs="宋体"/>
      <w:i/>
      <w:spacing w:val="4"/>
      <w:sz w:val="24"/>
      <w:szCs w:val="24"/>
      <w:lang w:eastAsia="en-US" w:bidi="en-US"/>
    </w:rPr>
  </w:style>
  <w:style w:type="paragraph" w:styleId="640">
    <w:name w:val="Quote"/>
    <w:basedOn w:val="1"/>
    <w:next w:val="1"/>
    <w:link w:val="639"/>
    <w:qFormat/>
    <w:uiPriority w:val="0"/>
    <w:pPr>
      <w:widowControl/>
      <w:spacing w:line="240" w:lineRule="auto"/>
      <w:jc w:val="left"/>
    </w:pPr>
    <w:rPr>
      <w:rFonts w:ascii="Calibri" w:hAnsi="Calibri" w:cs="宋体"/>
      <w:i/>
      <w:spacing w:val="4"/>
      <w:lang w:eastAsia="en-US" w:bidi="en-US"/>
    </w:rPr>
  </w:style>
  <w:style w:type="character" w:customStyle="1" w:styleId="641">
    <w:name w:val="引用 Char1"/>
    <w:basedOn w:val="133"/>
    <w:qFormat/>
    <w:uiPriority w:val="0"/>
    <w:rPr>
      <w:rFonts w:ascii="Times New Roman" w:hAnsi="Times New Roman" w:eastAsia="宋体" w:cs="Times New Roman"/>
      <w:i/>
      <w:iCs/>
      <w:color w:val="404040" w:themeColor="text1" w:themeTint="BF"/>
      <w:sz w:val="24"/>
      <w:szCs w:val="24"/>
      <w14:textFill>
        <w14:solidFill>
          <w14:schemeClr w14:val="tx1">
            <w14:lumMod w14:val="75000"/>
            <w14:lumOff w14:val="25000"/>
          </w14:schemeClr>
        </w14:solidFill>
      </w14:textFill>
    </w:rPr>
  </w:style>
  <w:style w:type="character" w:customStyle="1" w:styleId="642">
    <w:name w:val="样式3 Char"/>
    <w:link w:val="643"/>
    <w:qFormat/>
    <w:uiPriority w:val="0"/>
    <w:rPr>
      <w:rFonts w:ascii="Times New Roman" w:hAnsi="Times New Roman" w:eastAsia="宋体" w:cs="Times New Roman"/>
      <w:sz w:val="28"/>
      <w:szCs w:val="24"/>
    </w:rPr>
  </w:style>
  <w:style w:type="paragraph" w:customStyle="1" w:styleId="643">
    <w:name w:val="样式3"/>
    <w:basedOn w:val="1"/>
    <w:link w:val="642"/>
    <w:qFormat/>
    <w:uiPriority w:val="0"/>
    <w:pPr>
      <w:spacing w:line="240" w:lineRule="auto"/>
      <w:ind w:firstLine="480" w:firstLineChars="200"/>
    </w:pPr>
    <w:rPr>
      <w:sz w:val="28"/>
    </w:rPr>
  </w:style>
  <w:style w:type="character" w:customStyle="1" w:styleId="644">
    <w:name w:val="8 Char1 Char"/>
    <w:link w:val="645"/>
    <w:qFormat/>
    <w:uiPriority w:val="0"/>
    <w:rPr>
      <w:rFonts w:ascii="宋体" w:hAnsi="宋体" w:eastAsia="汉鼎简书宋" w:cs="宋体"/>
      <w:spacing w:val="4"/>
      <w:kern w:val="10"/>
      <w:sz w:val="24"/>
      <w:szCs w:val="24"/>
    </w:rPr>
  </w:style>
  <w:style w:type="paragraph" w:customStyle="1" w:styleId="645">
    <w:name w:val="8 Char1"/>
    <w:basedOn w:val="1"/>
    <w:link w:val="644"/>
    <w:qFormat/>
    <w:uiPriority w:val="0"/>
    <w:pPr>
      <w:ind w:firstLine="480" w:firstLineChars="200"/>
    </w:pPr>
    <w:rPr>
      <w:rFonts w:ascii="宋体" w:hAnsi="宋体" w:eastAsia="汉鼎简书宋" w:cs="宋体"/>
      <w:spacing w:val="4"/>
      <w:kern w:val="10"/>
    </w:rPr>
  </w:style>
  <w:style w:type="character" w:customStyle="1" w:styleId="646">
    <w:name w:val="表格正文(康健城) Char"/>
    <w:link w:val="647"/>
    <w:qFormat/>
    <w:uiPriority w:val="0"/>
    <w:rPr>
      <w:szCs w:val="21"/>
    </w:rPr>
  </w:style>
  <w:style w:type="paragraph" w:customStyle="1" w:styleId="647">
    <w:name w:val="表格正文(康健城)"/>
    <w:basedOn w:val="1"/>
    <w:link w:val="646"/>
    <w:qFormat/>
    <w:uiPriority w:val="0"/>
    <w:pPr>
      <w:adjustRightInd w:val="0"/>
      <w:snapToGrid w:val="0"/>
      <w:spacing w:line="240" w:lineRule="auto"/>
      <w:jc w:val="center"/>
    </w:pPr>
    <w:rPr>
      <w:rFonts w:asciiTheme="minorHAnsi" w:hAnsiTheme="minorHAnsi" w:eastAsiaTheme="minorEastAsia" w:cstheme="minorBidi"/>
      <w:sz w:val="21"/>
      <w:szCs w:val="21"/>
    </w:rPr>
  </w:style>
  <w:style w:type="character" w:customStyle="1" w:styleId="648">
    <w:name w:val="正文格式 Char Char Char Char"/>
    <w:link w:val="649"/>
    <w:qFormat/>
    <w:uiPriority w:val="0"/>
    <w:rPr>
      <w:spacing w:val="4"/>
      <w:sz w:val="24"/>
      <w:szCs w:val="24"/>
    </w:rPr>
  </w:style>
  <w:style w:type="paragraph" w:customStyle="1" w:styleId="649">
    <w:name w:val="正文格式 Char Char Char"/>
    <w:basedOn w:val="1"/>
    <w:link w:val="648"/>
    <w:qFormat/>
    <w:uiPriority w:val="0"/>
    <w:pPr>
      <w:ind w:firstLine="544" w:firstLineChars="200"/>
    </w:pPr>
    <w:rPr>
      <w:rFonts w:asciiTheme="minorHAnsi" w:hAnsiTheme="minorHAnsi" w:eastAsiaTheme="minorEastAsia" w:cstheme="minorBidi"/>
      <w:spacing w:val="4"/>
    </w:rPr>
  </w:style>
  <w:style w:type="character" w:customStyle="1" w:styleId="650">
    <w:name w:val="表标题 Char Char"/>
    <w:qFormat/>
    <w:uiPriority w:val="0"/>
    <w:rPr>
      <w:rFonts w:ascii="黑体" w:hAnsi="宋体" w:eastAsia="黑体"/>
      <w:bCs/>
      <w:kern w:val="2"/>
      <w:sz w:val="24"/>
      <w:szCs w:val="24"/>
      <w:lang w:val="en-US" w:eastAsia="zh-CN" w:bidi="ar-SA"/>
    </w:rPr>
  </w:style>
  <w:style w:type="character" w:customStyle="1" w:styleId="651">
    <w:name w:val="三级标题 Char Char"/>
    <w:qFormat/>
    <w:uiPriority w:val="0"/>
    <w:rPr>
      <w:rFonts w:eastAsia="黑体"/>
      <w:b/>
      <w:bCs/>
      <w:color w:val="000000"/>
      <w:kern w:val="2"/>
      <w:sz w:val="28"/>
      <w:szCs w:val="28"/>
    </w:rPr>
  </w:style>
  <w:style w:type="character" w:customStyle="1" w:styleId="652">
    <w:name w:val="16.1.1.1 Char Char"/>
    <w:qFormat/>
    <w:uiPriority w:val="0"/>
    <w:rPr>
      <w:rFonts w:ascii="Arial" w:hAnsi="Arial" w:eastAsia="黑体" w:cs="宋体"/>
      <w:b/>
      <w:bCs/>
      <w:spacing w:val="4"/>
      <w:kern w:val="2"/>
      <w:sz w:val="24"/>
      <w:szCs w:val="24"/>
      <w:lang w:val="en-US" w:eastAsia="zh-CN" w:bidi="ar-SA"/>
    </w:rPr>
  </w:style>
  <w:style w:type="character" w:customStyle="1" w:styleId="653">
    <w:name w:val="样式 (符号) 宋体 五号 加粗 黑色 左 行距: 单倍行距"/>
    <w:qFormat/>
    <w:uiPriority w:val="0"/>
    <w:rPr>
      <w:rFonts w:ascii="Times New Roman" w:hAnsi="宋体" w:eastAsia="宋体" w:cs="宋体"/>
      <w:b/>
      <w:bCs/>
      <w:color w:val="000000"/>
      <w:kern w:val="0"/>
      <w:sz w:val="21"/>
      <w:szCs w:val="21"/>
    </w:rPr>
  </w:style>
  <w:style w:type="character" w:customStyle="1" w:styleId="654">
    <w:name w:val="style191"/>
    <w:qFormat/>
    <w:uiPriority w:val="0"/>
    <w:rPr>
      <w:sz w:val="16"/>
      <w:szCs w:val="16"/>
    </w:rPr>
  </w:style>
  <w:style w:type="character" w:customStyle="1" w:styleId="655">
    <w:name w:val="javascript1"/>
    <w:qFormat/>
    <w:uiPriority w:val="0"/>
    <w:rPr>
      <w:rFonts w:hint="default" w:ascii="Tahoma" w:hAnsi="Tahoma" w:cs="Tahoma"/>
      <w:sz w:val="18"/>
      <w:szCs w:val="18"/>
    </w:rPr>
  </w:style>
  <w:style w:type="character" w:customStyle="1" w:styleId="656">
    <w:name w:val="标准 正文 QJJ Char Char"/>
    <w:link w:val="657"/>
    <w:qFormat/>
    <w:uiPriority w:val="0"/>
    <w:rPr>
      <w:rFonts w:ascii="宋体" w:hAnsi="Arial"/>
      <w:sz w:val="24"/>
      <w:szCs w:val="24"/>
    </w:rPr>
  </w:style>
  <w:style w:type="paragraph" w:customStyle="1" w:styleId="657">
    <w:name w:val="标准 正文 QJJ"/>
    <w:basedOn w:val="1"/>
    <w:link w:val="656"/>
    <w:qFormat/>
    <w:uiPriority w:val="0"/>
    <w:pPr>
      <w:spacing w:line="520" w:lineRule="exact"/>
      <w:ind w:firstLine="480" w:firstLineChars="200"/>
    </w:pPr>
    <w:rPr>
      <w:rFonts w:ascii="宋体" w:hAnsi="Arial" w:eastAsiaTheme="minorEastAsia" w:cstheme="minorBidi"/>
    </w:rPr>
  </w:style>
  <w:style w:type="character" w:customStyle="1" w:styleId="658">
    <w:name w:val="样式 三级标题 + 自动设置 Char Char"/>
    <w:qFormat/>
    <w:uiPriority w:val="0"/>
    <w:rPr>
      <w:rFonts w:ascii="宋体" w:hAnsi="宋体" w:eastAsia="黑体" w:cs="宋体"/>
      <w:b/>
      <w:bCs/>
      <w:spacing w:val="4"/>
      <w:kern w:val="2"/>
      <w:sz w:val="28"/>
      <w:szCs w:val="28"/>
      <w:lang w:val="en-US" w:eastAsia="zh-CN" w:bidi="ar-SA"/>
    </w:rPr>
  </w:style>
  <w:style w:type="character" w:customStyle="1" w:styleId="659">
    <w:name w:val="正文 Char"/>
    <w:qFormat/>
    <w:uiPriority w:val="0"/>
    <w:rPr>
      <w:rFonts w:eastAsia="宋体"/>
      <w:color w:val="000000"/>
      <w:kern w:val="2"/>
      <w:sz w:val="28"/>
      <w:lang w:val="en-US" w:eastAsia="zh-CN" w:bidi="ar-SA"/>
    </w:rPr>
  </w:style>
  <w:style w:type="character" w:customStyle="1" w:styleId="660">
    <w:name w:val="p101"/>
    <w:qFormat/>
    <w:uiPriority w:val="0"/>
    <w:rPr>
      <w:rFonts w:hint="default" w:ascii="Verdana" w:hAnsi="Verdana"/>
      <w:sz w:val="21"/>
      <w:szCs w:val="21"/>
      <w:u w:val="none"/>
    </w:rPr>
  </w:style>
  <w:style w:type="character" w:customStyle="1" w:styleId="661">
    <w:name w:val="样式 标题 1 + 小二 Char"/>
    <w:link w:val="662"/>
    <w:qFormat/>
    <w:uiPriority w:val="0"/>
    <w:rPr>
      <w:rFonts w:ascii="宋体" w:hAnsi="宋体"/>
      <w:b/>
      <w:bCs/>
      <w:spacing w:val="4"/>
      <w:kern w:val="44"/>
      <w:sz w:val="36"/>
      <w:szCs w:val="24"/>
    </w:rPr>
  </w:style>
  <w:style w:type="paragraph" w:customStyle="1" w:styleId="662">
    <w:name w:val="样式 标题 1 + 小二"/>
    <w:basedOn w:val="5"/>
    <w:link w:val="661"/>
    <w:qFormat/>
    <w:uiPriority w:val="0"/>
    <w:pPr>
      <w:keepLines/>
      <w:pageBreakBefore/>
      <w:tabs>
        <w:tab w:val="left" w:pos="8160"/>
      </w:tabs>
      <w:adjustRightInd w:val="0"/>
      <w:spacing w:before="120" w:after="360" w:afterLines="50" w:line="240" w:lineRule="auto"/>
      <w:jc w:val="left"/>
      <w:textAlignment w:val="baseline"/>
    </w:pPr>
    <w:rPr>
      <w:rFonts w:eastAsiaTheme="minorEastAsia" w:cstheme="minorBidi"/>
      <w:b/>
      <w:bCs/>
      <w:spacing w:val="4"/>
      <w:kern w:val="44"/>
      <w:sz w:val="36"/>
    </w:rPr>
  </w:style>
  <w:style w:type="character" w:customStyle="1" w:styleId="663">
    <w:name w:val="实德题注 Char Char1"/>
    <w:qFormat/>
    <w:uiPriority w:val="0"/>
    <w:rPr>
      <w:rFonts w:eastAsia="宋体" w:cs="Arial"/>
      <w:b/>
      <w:kern w:val="2"/>
      <w:sz w:val="21"/>
      <w:lang w:val="en-US" w:eastAsia="zh-CN" w:bidi="ar-SA"/>
    </w:rPr>
  </w:style>
  <w:style w:type="character" w:customStyle="1" w:styleId="664">
    <w:name w:val="样式 标题 1 + 小二 Char Char"/>
    <w:qFormat/>
    <w:uiPriority w:val="0"/>
    <w:rPr>
      <w:rFonts w:ascii="宋体" w:hAnsi="宋体" w:eastAsia="宋体" w:cs="宋体"/>
      <w:b/>
      <w:bCs/>
      <w:spacing w:val="4"/>
      <w:kern w:val="44"/>
      <w:sz w:val="36"/>
      <w:szCs w:val="24"/>
      <w:lang w:val="en-US" w:eastAsia="zh-CN" w:bidi="ar-SA"/>
    </w:rPr>
  </w:style>
  <w:style w:type="character" w:customStyle="1" w:styleId="665">
    <w:name w:val="9dpi1"/>
    <w:qFormat/>
    <w:uiPriority w:val="0"/>
    <w:rPr>
      <w:rFonts w:ascii="宋体" w:hAnsi="宋体" w:eastAsia="汉鼎简书宋" w:cs="宋体"/>
      <w:spacing w:val="30"/>
      <w:kern w:val="2"/>
      <w:sz w:val="18"/>
      <w:szCs w:val="18"/>
      <w:lang w:val="en-US" w:eastAsia="zh-CN" w:bidi="ar-SA"/>
    </w:rPr>
  </w:style>
  <w:style w:type="character" w:customStyle="1" w:styleId="666">
    <w:name w:val="样式 列表列表 Char列表 Char Char Char Char Char1列表 Char Char Char Cha... Char Char"/>
    <w:qFormat/>
    <w:uiPriority w:val="0"/>
    <w:rPr>
      <w:rFonts w:ascii="宋体" w:hAnsi="宋体" w:eastAsia="黑体" w:cs="宋体"/>
      <w:spacing w:val="4"/>
      <w:kern w:val="2"/>
      <w:sz w:val="24"/>
      <w:szCs w:val="24"/>
      <w:lang w:val="en-US" w:eastAsia="zh-CN" w:bidi="ar-SA"/>
    </w:rPr>
  </w:style>
  <w:style w:type="character" w:customStyle="1" w:styleId="667">
    <w:name w:val="样式 公式---------------------- + 首行缩进:  2 字符 Char Char"/>
    <w:qFormat/>
    <w:uiPriority w:val="0"/>
    <w:rPr>
      <w:rFonts w:ascii="宋体" w:hAnsi="宋体" w:eastAsia="宋体" w:cs="宋体"/>
      <w:spacing w:val="16"/>
      <w:kern w:val="2"/>
      <w:sz w:val="24"/>
      <w:szCs w:val="24"/>
      <w:lang w:val="en-US" w:eastAsia="zh-CN" w:bidi="ar-SA"/>
    </w:rPr>
  </w:style>
  <w:style w:type="character" w:customStyle="1" w:styleId="668">
    <w:name w:val="xyb自建表格名称 Char Char Char"/>
    <w:qFormat/>
    <w:locked/>
    <w:uiPriority w:val="0"/>
    <w:rPr>
      <w:rFonts w:ascii="宋体" w:hAnsi="宋体" w:eastAsia="宋体"/>
      <w:kern w:val="2"/>
      <w:sz w:val="24"/>
      <w:szCs w:val="24"/>
      <w:lang w:val="en-US" w:eastAsia="zh-CN" w:bidi="ar-SA"/>
    </w:rPr>
  </w:style>
  <w:style w:type="character" w:customStyle="1" w:styleId="669">
    <w:name w:val="文本正文专用 Char"/>
    <w:link w:val="670"/>
    <w:qFormat/>
    <w:uiPriority w:val="0"/>
    <w:rPr>
      <w:sz w:val="24"/>
      <w:szCs w:val="24"/>
    </w:rPr>
  </w:style>
  <w:style w:type="paragraph" w:customStyle="1" w:styleId="670">
    <w:name w:val="文本正文专用"/>
    <w:basedOn w:val="1"/>
    <w:link w:val="669"/>
    <w:qFormat/>
    <w:uiPriority w:val="0"/>
    <w:pPr>
      <w:ind w:firstLine="480" w:firstLineChars="200"/>
    </w:pPr>
    <w:rPr>
      <w:rFonts w:asciiTheme="minorHAnsi" w:hAnsiTheme="minorHAnsi" w:eastAsiaTheme="minorEastAsia" w:cstheme="minorBidi"/>
    </w:rPr>
  </w:style>
  <w:style w:type="character" w:customStyle="1" w:styleId="671">
    <w:name w:val="样式 标题 3REP3REP31REP32REP33REP34REP35REP36REP37REP38REP... Char"/>
    <w:link w:val="672"/>
    <w:qFormat/>
    <w:uiPriority w:val="0"/>
    <w:rPr>
      <w:bCs/>
      <w:color w:val="000000"/>
      <w:sz w:val="24"/>
      <w:szCs w:val="24"/>
      <w:lang w:val="en-GB"/>
    </w:rPr>
  </w:style>
  <w:style w:type="paragraph" w:customStyle="1" w:styleId="672">
    <w:name w:val="样式 标题 3REP3REP31REP32REP33REP34REP35REP36REP37REP38REP..."/>
    <w:basedOn w:val="7"/>
    <w:link w:val="671"/>
    <w:qFormat/>
    <w:uiPriority w:val="0"/>
    <w:pPr>
      <w:keepNext w:val="0"/>
      <w:keepLines w:val="0"/>
      <w:tabs>
        <w:tab w:val="left" w:pos="1185"/>
        <w:tab w:val="left" w:pos="2190"/>
      </w:tabs>
      <w:snapToGrid w:val="0"/>
      <w:spacing w:before="0" w:after="0" w:line="360" w:lineRule="auto"/>
      <w:ind w:left="567" w:right="240" w:rightChars="100" w:hanging="567"/>
    </w:pPr>
    <w:rPr>
      <w:rFonts w:asciiTheme="minorHAnsi" w:hAnsiTheme="minorHAnsi" w:eastAsiaTheme="minorEastAsia" w:cstheme="minorBidi"/>
      <w:b w:val="0"/>
      <w:sz w:val="24"/>
      <w:szCs w:val="24"/>
      <w:lang w:val="en-GB"/>
    </w:rPr>
  </w:style>
  <w:style w:type="character" w:customStyle="1" w:styleId="673">
    <w:name w:val="表头 Char"/>
    <w:link w:val="674"/>
    <w:qFormat/>
    <w:uiPriority w:val="0"/>
    <w:rPr>
      <w:rFonts w:ascii="Times New Roman" w:hAnsi="Times New Roman" w:eastAsia="黑体" w:cs="Times New Roman"/>
      <w:spacing w:val="-10"/>
      <w:szCs w:val="11"/>
    </w:rPr>
  </w:style>
  <w:style w:type="paragraph" w:customStyle="1" w:styleId="674">
    <w:name w:val="表头"/>
    <w:basedOn w:val="1"/>
    <w:link w:val="673"/>
    <w:qFormat/>
    <w:uiPriority w:val="0"/>
    <w:pPr>
      <w:spacing w:line="320" w:lineRule="atLeast"/>
      <w:jc w:val="center"/>
    </w:pPr>
    <w:rPr>
      <w:rFonts w:eastAsia="黑体"/>
      <w:spacing w:val="-10"/>
      <w:sz w:val="21"/>
      <w:szCs w:val="11"/>
    </w:rPr>
  </w:style>
  <w:style w:type="character" w:customStyle="1" w:styleId="675">
    <w:name w:val="样式 正文1 Char Char + 字距调整七号 Char Char Char"/>
    <w:qFormat/>
    <w:uiPriority w:val="0"/>
    <w:rPr>
      <w:rFonts w:ascii="宋体" w:hAnsi="宋体" w:eastAsia="宋体" w:cs="宋体"/>
      <w:spacing w:val="4"/>
      <w:kern w:val="11"/>
      <w:sz w:val="24"/>
      <w:szCs w:val="28"/>
      <w:lang w:val="en-US" w:eastAsia="zh-CN" w:bidi="ar-SA"/>
    </w:rPr>
  </w:style>
  <w:style w:type="character" w:customStyle="1" w:styleId="676">
    <w:name w:val="标题样式3 Char"/>
    <w:link w:val="677"/>
    <w:qFormat/>
    <w:uiPriority w:val="0"/>
    <w:rPr>
      <w:rFonts w:ascii="黑体" w:eastAsia="黑体"/>
      <w:b/>
      <w:sz w:val="24"/>
      <w:szCs w:val="24"/>
    </w:rPr>
  </w:style>
  <w:style w:type="paragraph" w:customStyle="1" w:styleId="677">
    <w:name w:val="标题样式3"/>
    <w:basedOn w:val="7"/>
    <w:link w:val="676"/>
    <w:qFormat/>
    <w:uiPriority w:val="0"/>
    <w:pPr>
      <w:keepNext w:val="0"/>
      <w:keepLines w:val="0"/>
      <w:numPr>
        <w:numId w:val="0"/>
      </w:numPr>
      <w:tabs>
        <w:tab w:val="left" w:pos="1080"/>
      </w:tabs>
      <w:spacing w:before="0" w:after="0" w:line="360" w:lineRule="auto"/>
      <w:textAlignment w:val="center"/>
    </w:pPr>
    <w:rPr>
      <w:rFonts w:ascii="黑体" w:eastAsia="黑体" w:hAnsiTheme="minorHAnsi" w:cstheme="minorBidi"/>
      <w:bCs w:val="0"/>
      <w:color w:val="auto"/>
      <w:sz w:val="24"/>
      <w:szCs w:val="24"/>
    </w:rPr>
  </w:style>
  <w:style w:type="character" w:customStyle="1" w:styleId="678">
    <w:name w:val="新正文 Char"/>
    <w:link w:val="679"/>
    <w:qFormat/>
    <w:uiPriority w:val="0"/>
    <w:rPr>
      <w:rFonts w:ascii="仿宋_GB2312" w:eastAsia="仿宋_GB2312"/>
      <w:bCs/>
      <w:sz w:val="28"/>
    </w:rPr>
  </w:style>
  <w:style w:type="paragraph" w:customStyle="1" w:styleId="679">
    <w:name w:val="新正文"/>
    <w:basedOn w:val="1"/>
    <w:link w:val="678"/>
    <w:qFormat/>
    <w:uiPriority w:val="0"/>
    <w:pPr>
      <w:spacing w:line="480" w:lineRule="exact"/>
      <w:ind w:firstLine="482"/>
    </w:pPr>
    <w:rPr>
      <w:rFonts w:ascii="仿宋_GB2312" w:eastAsia="仿宋_GB2312" w:hAnsiTheme="minorHAnsi" w:cstheme="minorBidi"/>
      <w:bCs/>
      <w:sz w:val="28"/>
      <w:szCs w:val="22"/>
    </w:rPr>
  </w:style>
  <w:style w:type="character" w:customStyle="1" w:styleId="680">
    <w:name w:val="style2"/>
    <w:qFormat/>
    <w:uiPriority w:val="0"/>
    <w:rPr>
      <w:rFonts w:eastAsia="黑体"/>
      <w:snapToGrid w:val="0"/>
      <w:kern w:val="2"/>
      <w:sz w:val="24"/>
      <w:lang w:val="en-US" w:eastAsia="zh-CN"/>
    </w:rPr>
  </w:style>
  <w:style w:type="character" w:customStyle="1" w:styleId="681">
    <w:name w:val="bt Char Char"/>
    <w:qFormat/>
    <w:uiPriority w:val="99"/>
    <w:rPr>
      <w:rFonts w:eastAsia="宋体"/>
      <w:kern w:val="2"/>
      <w:sz w:val="21"/>
      <w:szCs w:val="24"/>
      <w:lang w:val="en-US" w:eastAsia="zh-CN" w:bidi="ar-SA"/>
    </w:rPr>
  </w:style>
  <w:style w:type="character" w:customStyle="1" w:styleId="682">
    <w:name w:val="style621"/>
    <w:qFormat/>
    <w:uiPriority w:val="0"/>
    <w:rPr>
      <w:rFonts w:ascii="宋体" w:hAnsi="宋体" w:eastAsia="汉鼎简书宋" w:cs="宋体"/>
      <w:color w:val="335150"/>
      <w:spacing w:val="4"/>
      <w:kern w:val="2"/>
      <w:sz w:val="24"/>
      <w:szCs w:val="24"/>
      <w:lang w:val="en-US" w:eastAsia="zh-CN" w:bidi="ar-SA"/>
    </w:rPr>
  </w:style>
  <w:style w:type="character" w:customStyle="1" w:styleId="683">
    <w:name w:val="样式 小四 行距: 1.5 倍行距 Char"/>
    <w:link w:val="684"/>
    <w:qFormat/>
    <w:uiPriority w:val="0"/>
    <w:rPr>
      <w:kern w:val="24"/>
      <w:sz w:val="24"/>
      <w:szCs w:val="24"/>
    </w:rPr>
  </w:style>
  <w:style w:type="paragraph" w:customStyle="1" w:styleId="684">
    <w:name w:val="样式 小四 行距: 1.5 倍行距"/>
    <w:basedOn w:val="1"/>
    <w:next w:val="1"/>
    <w:link w:val="683"/>
    <w:qFormat/>
    <w:uiPriority w:val="0"/>
    <w:pPr>
      <w:ind w:firstLine="480" w:firstLineChars="200"/>
    </w:pPr>
    <w:rPr>
      <w:rFonts w:asciiTheme="minorHAnsi" w:hAnsiTheme="minorHAnsi" w:eastAsiaTheme="minorEastAsia" w:cstheme="minorBidi"/>
      <w:kern w:val="24"/>
    </w:rPr>
  </w:style>
  <w:style w:type="character" w:customStyle="1" w:styleId="685">
    <w:name w:val="环小四1.1.1（三级） Char"/>
    <w:link w:val="686"/>
    <w:qFormat/>
    <w:uiPriority w:val="0"/>
    <w:rPr>
      <w:rFonts w:ascii="宋体" w:hAnsi="宋体" w:eastAsia="楷体_GB2312"/>
      <w:b/>
      <w:bCs/>
      <w:color w:val="000000"/>
      <w:kern w:val="44"/>
      <w:sz w:val="24"/>
      <w:szCs w:val="24"/>
    </w:rPr>
  </w:style>
  <w:style w:type="paragraph" w:customStyle="1" w:styleId="686">
    <w:name w:val="环小四1.1.1（三级）"/>
    <w:link w:val="685"/>
    <w:qFormat/>
    <w:uiPriority w:val="0"/>
    <w:pPr>
      <w:widowControl w:val="0"/>
      <w:outlineLvl w:val="2"/>
    </w:pPr>
    <w:rPr>
      <w:rFonts w:ascii="宋体" w:hAnsi="宋体" w:eastAsia="楷体_GB2312" w:cstheme="minorBidi"/>
      <w:b/>
      <w:bCs/>
      <w:color w:val="000000"/>
      <w:kern w:val="44"/>
      <w:sz w:val="24"/>
      <w:szCs w:val="24"/>
      <w:lang w:val="en-US" w:eastAsia="zh-CN" w:bidi="ar-SA"/>
    </w:rPr>
  </w:style>
  <w:style w:type="character" w:customStyle="1" w:styleId="687">
    <w:name w:val="正文小四 Char"/>
    <w:link w:val="688"/>
    <w:qFormat/>
    <w:uiPriority w:val="0"/>
    <w:rPr>
      <w:sz w:val="24"/>
      <w:szCs w:val="24"/>
    </w:rPr>
  </w:style>
  <w:style w:type="paragraph" w:customStyle="1" w:styleId="688">
    <w:name w:val="正文小四"/>
    <w:link w:val="687"/>
    <w:qFormat/>
    <w:uiPriority w:val="0"/>
    <w:pPr>
      <w:spacing w:line="360" w:lineRule="auto"/>
      <w:ind w:firstLine="200" w:firstLineChars="200"/>
    </w:pPr>
    <w:rPr>
      <w:rFonts w:asciiTheme="minorHAnsi" w:hAnsiTheme="minorHAnsi" w:eastAsiaTheme="minorEastAsia" w:cstheme="minorBidi"/>
      <w:kern w:val="2"/>
      <w:sz w:val="24"/>
      <w:szCs w:val="24"/>
      <w:lang w:val="en-US" w:eastAsia="zh-CN" w:bidi="ar-SA"/>
    </w:rPr>
  </w:style>
  <w:style w:type="character" w:customStyle="1" w:styleId="689">
    <w:name w:val="正文文 Char"/>
    <w:qFormat/>
    <w:uiPriority w:val="0"/>
    <w:rPr>
      <w:rFonts w:ascii="宋体" w:hAnsi="宋体" w:eastAsia="宋体" w:cs="宋体"/>
      <w:spacing w:val="4"/>
      <w:kern w:val="2"/>
      <w:sz w:val="24"/>
      <w:szCs w:val="24"/>
      <w:lang w:val="en-US" w:eastAsia="zh-CN" w:bidi="ar-SA"/>
    </w:rPr>
  </w:style>
  <w:style w:type="character" w:customStyle="1" w:styleId="690">
    <w:name w:val="14p1"/>
    <w:qFormat/>
    <w:uiPriority w:val="0"/>
    <w:rPr>
      <w:sz w:val="21"/>
      <w:szCs w:val="21"/>
    </w:rPr>
  </w:style>
  <w:style w:type="character" w:customStyle="1" w:styleId="691">
    <w:name w:val="正文样式100 Char"/>
    <w:qFormat/>
    <w:uiPriority w:val="0"/>
    <w:rPr>
      <w:rFonts w:ascii="宋体" w:hAnsi="宋体" w:eastAsia="宋体" w:cs="Courier New"/>
      <w:color w:val="000000"/>
      <w:kern w:val="2"/>
      <w:sz w:val="24"/>
      <w:szCs w:val="24"/>
      <w:lang w:val="en-US" w:eastAsia="zh-CN" w:bidi="ar-SA"/>
    </w:rPr>
  </w:style>
  <w:style w:type="character" w:customStyle="1" w:styleId="692">
    <w:name w:val="正文文本(标准厂房) Char"/>
    <w:link w:val="693"/>
    <w:qFormat/>
    <w:uiPriority w:val="0"/>
    <w:rPr>
      <w:sz w:val="24"/>
      <w:szCs w:val="24"/>
      <w:lang w:val="zh-CN"/>
    </w:rPr>
  </w:style>
  <w:style w:type="paragraph" w:customStyle="1" w:styleId="693">
    <w:name w:val="正文文本(标准厂房)"/>
    <w:basedOn w:val="1"/>
    <w:link w:val="692"/>
    <w:qFormat/>
    <w:uiPriority w:val="0"/>
    <w:pPr>
      <w:autoSpaceDE w:val="0"/>
      <w:autoSpaceDN w:val="0"/>
      <w:ind w:firstLine="480" w:firstLineChars="200"/>
    </w:pPr>
    <w:rPr>
      <w:rFonts w:asciiTheme="minorHAnsi" w:hAnsiTheme="minorHAnsi" w:eastAsiaTheme="minorEastAsia" w:cstheme="minorBidi"/>
      <w:lang w:val="zh-CN"/>
    </w:rPr>
  </w:style>
  <w:style w:type="character" w:customStyle="1" w:styleId="694">
    <w:name w:val="stit16_g1"/>
    <w:qFormat/>
    <w:uiPriority w:val="0"/>
    <w:rPr>
      <w:rFonts w:hint="eastAsia" w:ascii="Gulim" w:hAnsi="Gulim" w:eastAsia="Gulim"/>
      <w:color w:val="1425D0"/>
      <w:sz w:val="16"/>
      <w:szCs w:val="16"/>
    </w:rPr>
  </w:style>
  <w:style w:type="character" w:customStyle="1" w:styleId="695">
    <w:name w:val="正文格式 Char Char"/>
    <w:qFormat/>
    <w:uiPriority w:val="0"/>
    <w:rPr>
      <w:rFonts w:ascii="宋体" w:hAnsi="宋体" w:eastAsia="宋体" w:cs="宋体"/>
      <w:color w:val="000000"/>
      <w:spacing w:val="4"/>
      <w:kern w:val="2"/>
      <w:sz w:val="24"/>
      <w:szCs w:val="24"/>
      <w:lang w:val="en-US" w:eastAsia="zh-CN" w:bidi="ar-SA"/>
    </w:rPr>
  </w:style>
  <w:style w:type="character" w:customStyle="1" w:styleId="696">
    <w:name w:val="样式12 Char Char"/>
    <w:qFormat/>
    <w:uiPriority w:val="0"/>
    <w:rPr>
      <w:rFonts w:ascii="黑体" w:hAnsi="黑体" w:eastAsia="黑体" w:cs="宋体"/>
      <w:b/>
      <w:spacing w:val="4"/>
      <w:kern w:val="2"/>
      <w:sz w:val="21"/>
      <w:szCs w:val="24"/>
      <w:lang w:val="en-US" w:eastAsia="zh-CN" w:bidi="ar-SA"/>
    </w:rPr>
  </w:style>
  <w:style w:type="character" w:customStyle="1" w:styleId="697">
    <w:name w:val="zhengwen"/>
    <w:qFormat/>
    <w:uiPriority w:val="0"/>
    <w:rPr>
      <w:sz w:val="24"/>
    </w:rPr>
  </w:style>
  <w:style w:type="character" w:customStyle="1" w:styleId="698">
    <w:name w:val="正文new Char"/>
    <w:link w:val="699"/>
    <w:qFormat/>
    <w:uiPriority w:val="0"/>
    <w:rPr>
      <w:rFonts w:ascii="宋体" w:hAnsi="宋体"/>
      <w:spacing w:val="4"/>
      <w:sz w:val="24"/>
      <w:szCs w:val="24"/>
    </w:rPr>
  </w:style>
  <w:style w:type="paragraph" w:customStyle="1" w:styleId="699">
    <w:name w:val="正文new"/>
    <w:basedOn w:val="700"/>
    <w:link w:val="698"/>
    <w:qFormat/>
    <w:uiPriority w:val="0"/>
    <w:pPr>
      <w:ind w:firstLine="480"/>
    </w:pPr>
    <w:rPr>
      <w:rFonts w:eastAsiaTheme="minorEastAsia" w:cstheme="minorBidi"/>
    </w:rPr>
  </w:style>
  <w:style w:type="paragraph" w:customStyle="1" w:styleId="700">
    <w:name w:val="样式 首行缩进:  2 字符3"/>
    <w:basedOn w:val="1"/>
    <w:link w:val="701"/>
    <w:qFormat/>
    <w:uiPriority w:val="0"/>
    <w:pPr>
      <w:ind w:firstLine="200" w:firstLineChars="200"/>
    </w:pPr>
    <w:rPr>
      <w:rFonts w:ascii="宋体" w:hAnsi="宋体"/>
      <w:spacing w:val="4"/>
    </w:rPr>
  </w:style>
  <w:style w:type="character" w:customStyle="1" w:styleId="701">
    <w:name w:val="样式 首行缩进:  2 字符3 Char"/>
    <w:link w:val="700"/>
    <w:qFormat/>
    <w:uiPriority w:val="0"/>
    <w:rPr>
      <w:rFonts w:ascii="宋体" w:hAnsi="宋体" w:eastAsia="宋体" w:cs="Times New Roman"/>
      <w:spacing w:val="4"/>
      <w:sz w:val="24"/>
      <w:szCs w:val="24"/>
    </w:rPr>
  </w:style>
  <w:style w:type="character" w:customStyle="1" w:styleId="702">
    <w:name w:val="样式4 Char1"/>
    <w:link w:val="703"/>
    <w:qFormat/>
    <w:uiPriority w:val="0"/>
    <w:rPr>
      <w:bCs/>
      <w:sz w:val="28"/>
      <w:szCs w:val="30"/>
      <w:lang w:val="en-GB"/>
    </w:rPr>
  </w:style>
  <w:style w:type="paragraph" w:customStyle="1" w:styleId="703">
    <w:name w:val="样式4"/>
    <w:basedOn w:val="7"/>
    <w:link w:val="702"/>
    <w:qFormat/>
    <w:uiPriority w:val="0"/>
    <w:pPr>
      <w:keepNext w:val="0"/>
      <w:keepLines w:val="0"/>
      <w:numPr>
        <w:ilvl w:val="0"/>
        <w:numId w:val="0"/>
      </w:numPr>
      <w:adjustRightInd w:val="0"/>
      <w:snapToGrid w:val="0"/>
      <w:spacing w:before="0" w:after="160" w:line="440" w:lineRule="exact"/>
      <w:ind w:left="567" w:hanging="851"/>
    </w:pPr>
    <w:rPr>
      <w:rFonts w:asciiTheme="minorHAnsi" w:hAnsiTheme="minorHAnsi" w:eastAsiaTheme="minorEastAsia" w:cstheme="minorBidi"/>
      <w:b w:val="0"/>
      <w:color w:val="auto"/>
      <w:szCs w:val="30"/>
      <w:lang w:val="en-GB"/>
    </w:rPr>
  </w:style>
  <w:style w:type="character" w:customStyle="1" w:styleId="704">
    <w:name w:val="样式96 Char"/>
    <w:link w:val="705"/>
    <w:qFormat/>
    <w:uiPriority w:val="0"/>
    <w:rPr>
      <w:rFonts w:ascii="宋体" w:hAnsi="宋体"/>
      <w:b/>
      <w:sz w:val="24"/>
      <w:szCs w:val="24"/>
    </w:rPr>
  </w:style>
  <w:style w:type="paragraph" w:customStyle="1" w:styleId="705">
    <w:name w:val="样式96"/>
    <w:basedOn w:val="706"/>
    <w:link w:val="704"/>
    <w:qFormat/>
    <w:uiPriority w:val="0"/>
    <w:pPr>
      <w:outlineLvl w:val="3"/>
    </w:pPr>
    <w:rPr>
      <w:rFonts w:eastAsiaTheme="minorEastAsia" w:cstheme="minorBidi"/>
    </w:rPr>
  </w:style>
  <w:style w:type="paragraph" w:customStyle="1" w:styleId="706">
    <w:name w:val="样式95"/>
    <w:basedOn w:val="707"/>
    <w:link w:val="711"/>
    <w:qFormat/>
    <w:uiPriority w:val="0"/>
    <w:pPr>
      <w:outlineLvl w:val="0"/>
    </w:pPr>
  </w:style>
  <w:style w:type="paragraph" w:customStyle="1" w:styleId="707">
    <w:name w:val="样式89"/>
    <w:basedOn w:val="708"/>
    <w:link w:val="710"/>
    <w:qFormat/>
    <w:uiPriority w:val="0"/>
    <w:pPr>
      <w:spacing w:before="100" w:after="100"/>
    </w:pPr>
  </w:style>
  <w:style w:type="paragraph" w:customStyle="1" w:styleId="708">
    <w:name w:val="样式39"/>
    <w:basedOn w:val="547"/>
    <w:link w:val="709"/>
    <w:qFormat/>
    <w:uiPriority w:val="0"/>
    <w:pPr>
      <w:ind w:firstLine="0" w:firstLineChars="0"/>
    </w:pPr>
    <w:rPr>
      <w:rFonts w:ascii="宋体"/>
      <w:b/>
    </w:rPr>
  </w:style>
  <w:style w:type="character" w:customStyle="1" w:styleId="709">
    <w:name w:val="样式39 Char"/>
    <w:link w:val="708"/>
    <w:qFormat/>
    <w:uiPriority w:val="0"/>
    <w:rPr>
      <w:rFonts w:ascii="宋体" w:hAnsi="宋体" w:eastAsia="宋体" w:cs="Times New Roman"/>
      <w:b/>
      <w:sz w:val="24"/>
      <w:szCs w:val="24"/>
    </w:rPr>
  </w:style>
  <w:style w:type="character" w:customStyle="1" w:styleId="710">
    <w:name w:val="样式89 Char"/>
    <w:link w:val="707"/>
    <w:qFormat/>
    <w:uiPriority w:val="0"/>
    <w:rPr>
      <w:rFonts w:ascii="宋体" w:hAnsi="宋体" w:eastAsia="宋体" w:cs="Times New Roman"/>
      <w:b/>
      <w:sz w:val="24"/>
      <w:szCs w:val="24"/>
    </w:rPr>
  </w:style>
  <w:style w:type="character" w:customStyle="1" w:styleId="711">
    <w:name w:val="样式95 Char"/>
    <w:link w:val="706"/>
    <w:qFormat/>
    <w:uiPriority w:val="0"/>
    <w:rPr>
      <w:rFonts w:ascii="宋体" w:hAnsi="宋体" w:eastAsia="宋体" w:cs="Times New Roman"/>
      <w:b/>
      <w:sz w:val="24"/>
      <w:szCs w:val="24"/>
    </w:rPr>
  </w:style>
  <w:style w:type="character" w:customStyle="1" w:styleId="712">
    <w:name w:val="y标题1 Char"/>
    <w:qFormat/>
    <w:uiPriority w:val="0"/>
    <w:rPr>
      <w:rFonts w:ascii="Calibri" w:hAnsi="Calibri" w:eastAsia="黑体" w:cs="宋体"/>
      <w:b/>
      <w:bCs/>
      <w:caps/>
      <w:spacing w:val="4"/>
      <w:kern w:val="44"/>
      <w:sz w:val="32"/>
      <w:szCs w:val="28"/>
      <w:lang w:val="en-US" w:eastAsia="zh-CN" w:bidi="ar-SA"/>
    </w:rPr>
  </w:style>
  <w:style w:type="character" w:customStyle="1" w:styleId="713">
    <w:name w:val="表中文字---------------- Char Char"/>
    <w:qFormat/>
    <w:uiPriority w:val="0"/>
    <w:rPr>
      <w:rFonts w:eastAsia="宋体"/>
      <w:kern w:val="2"/>
      <w:sz w:val="21"/>
      <w:lang w:val="en-US" w:eastAsia="zh-CN" w:bidi="ar-SA"/>
    </w:rPr>
  </w:style>
  <w:style w:type="character" w:customStyle="1" w:styleId="714">
    <w:name w:val="表头字体 Char Char"/>
    <w:link w:val="715"/>
    <w:qFormat/>
    <w:uiPriority w:val="0"/>
    <w:rPr>
      <w:rFonts w:ascii="宋体" w:hAnsi="宋体" w:eastAsia="黑体" w:cs="宋体"/>
      <w:b/>
      <w:spacing w:val="4"/>
      <w:sz w:val="24"/>
      <w:szCs w:val="24"/>
    </w:rPr>
  </w:style>
  <w:style w:type="paragraph" w:customStyle="1" w:styleId="715">
    <w:name w:val="表头字体 Char"/>
    <w:basedOn w:val="716"/>
    <w:next w:val="716"/>
    <w:link w:val="714"/>
    <w:qFormat/>
    <w:uiPriority w:val="0"/>
    <w:pPr>
      <w:spacing w:after="0" w:line="240" w:lineRule="auto"/>
      <w:ind w:firstLine="0" w:firstLineChars="0"/>
      <w:jc w:val="center"/>
    </w:pPr>
    <w:rPr>
      <w:rFonts w:eastAsia="黑体"/>
      <w:b/>
    </w:rPr>
  </w:style>
  <w:style w:type="paragraph" w:customStyle="1" w:styleId="716">
    <w:name w:val="君邦正文 Char"/>
    <w:basedOn w:val="1"/>
    <w:link w:val="717"/>
    <w:qFormat/>
    <w:uiPriority w:val="0"/>
    <w:pPr>
      <w:spacing w:after="60"/>
      <w:ind w:firstLine="200" w:firstLineChars="200"/>
    </w:pPr>
    <w:rPr>
      <w:rFonts w:ascii="宋体" w:hAnsi="宋体" w:eastAsia="汉鼎简书宋" w:cs="宋体"/>
      <w:spacing w:val="4"/>
    </w:rPr>
  </w:style>
  <w:style w:type="character" w:customStyle="1" w:styleId="717">
    <w:name w:val="君邦正文 Char Char"/>
    <w:link w:val="716"/>
    <w:qFormat/>
    <w:uiPriority w:val="0"/>
    <w:rPr>
      <w:rFonts w:ascii="宋体" w:hAnsi="宋体" w:eastAsia="汉鼎简书宋" w:cs="宋体"/>
      <w:spacing w:val="4"/>
      <w:sz w:val="24"/>
      <w:szCs w:val="24"/>
    </w:rPr>
  </w:style>
  <w:style w:type="character" w:customStyle="1" w:styleId="718">
    <w:name w:val="小四+首行缩进 Char Char"/>
    <w:link w:val="719"/>
    <w:semiHidden/>
    <w:qFormat/>
    <w:uiPriority w:val="0"/>
    <w:rPr>
      <w:rFonts w:ascii="宋体" w:hAnsi="宋体"/>
      <w:color w:val="000000"/>
      <w:spacing w:val="4"/>
      <w:sz w:val="24"/>
      <w:szCs w:val="24"/>
    </w:rPr>
  </w:style>
  <w:style w:type="paragraph" w:customStyle="1" w:styleId="719">
    <w:name w:val="小四+首行缩进 Char"/>
    <w:basedOn w:val="1"/>
    <w:link w:val="718"/>
    <w:semiHidden/>
    <w:qFormat/>
    <w:uiPriority w:val="0"/>
    <w:pPr>
      <w:adjustRightInd w:val="0"/>
      <w:ind w:firstLine="482"/>
    </w:pPr>
    <w:rPr>
      <w:rFonts w:ascii="宋体" w:hAnsi="宋体" w:eastAsiaTheme="minorEastAsia" w:cstheme="minorBidi"/>
      <w:color w:val="000000"/>
      <w:spacing w:val="4"/>
    </w:rPr>
  </w:style>
  <w:style w:type="character" w:customStyle="1" w:styleId="720">
    <w:name w:val="表题目 Char Char"/>
    <w:qFormat/>
    <w:uiPriority w:val="0"/>
    <w:rPr>
      <w:rFonts w:ascii="宋体" w:hAnsi="宋体" w:eastAsia="宋体"/>
      <w:b/>
      <w:color w:val="000000"/>
      <w:kern w:val="2"/>
      <w:sz w:val="24"/>
      <w:szCs w:val="24"/>
      <w:lang w:val="en-US" w:eastAsia="zh-CN" w:bidi="ar-SA"/>
    </w:rPr>
  </w:style>
  <w:style w:type="character" w:customStyle="1" w:styleId="721">
    <w:name w:val="工可文本格式 Char Char"/>
    <w:qFormat/>
    <w:uiPriority w:val="0"/>
    <w:rPr>
      <w:rFonts w:eastAsia="宋体" w:cs="宋体"/>
      <w:kern w:val="2"/>
      <w:sz w:val="24"/>
      <w:lang w:val="en-US" w:eastAsia="zh-CN" w:bidi="ar-SA"/>
    </w:rPr>
  </w:style>
  <w:style w:type="character" w:customStyle="1" w:styleId="722">
    <w:name w:val="蒲正文 Char"/>
    <w:link w:val="723"/>
    <w:qFormat/>
    <w:uiPriority w:val="0"/>
    <w:rPr>
      <w:rFonts w:ascii="宋体" w:hAnsi="宋体"/>
      <w:spacing w:val="4"/>
      <w:sz w:val="24"/>
      <w:szCs w:val="24"/>
    </w:rPr>
  </w:style>
  <w:style w:type="paragraph" w:customStyle="1" w:styleId="723">
    <w:name w:val="蒲正文"/>
    <w:basedOn w:val="1"/>
    <w:link w:val="722"/>
    <w:qFormat/>
    <w:uiPriority w:val="0"/>
    <w:pPr>
      <w:adjustRightInd w:val="0"/>
      <w:snapToGrid w:val="0"/>
      <w:ind w:firstLine="480" w:firstLineChars="200"/>
    </w:pPr>
    <w:rPr>
      <w:rFonts w:ascii="宋体" w:hAnsi="宋体" w:eastAsiaTheme="minorEastAsia" w:cstheme="minorBidi"/>
      <w:spacing w:val="4"/>
    </w:rPr>
  </w:style>
  <w:style w:type="character" w:customStyle="1" w:styleId="724">
    <w:name w:val="图表标题 Char Char"/>
    <w:qFormat/>
    <w:uiPriority w:val="0"/>
    <w:rPr>
      <w:rFonts w:ascii="宋体" w:hAnsi="宋体" w:eastAsia="宋体" w:cs="宋体"/>
      <w:b/>
      <w:snapToGrid w:val="0"/>
      <w:spacing w:val="4"/>
      <w:kern w:val="2"/>
      <w:sz w:val="21"/>
      <w:szCs w:val="24"/>
      <w:lang w:val="en-US" w:eastAsia="zh-CN" w:bidi="ar-SA"/>
    </w:rPr>
  </w:style>
  <w:style w:type="character" w:customStyle="1" w:styleId="725">
    <w:name w:val="正文-------- Char"/>
    <w:link w:val="726"/>
    <w:qFormat/>
    <w:uiPriority w:val="0"/>
    <w:rPr>
      <w:sz w:val="24"/>
    </w:rPr>
  </w:style>
  <w:style w:type="paragraph" w:customStyle="1" w:styleId="726">
    <w:name w:val="正文--------"/>
    <w:basedOn w:val="1"/>
    <w:link w:val="725"/>
    <w:qFormat/>
    <w:uiPriority w:val="0"/>
    <w:pPr>
      <w:spacing w:line="460" w:lineRule="exact"/>
      <w:ind w:firstLine="480" w:firstLineChars="200"/>
    </w:pPr>
    <w:rPr>
      <w:rFonts w:asciiTheme="minorHAnsi" w:hAnsiTheme="minorHAnsi" w:eastAsiaTheme="minorEastAsia" w:cstheme="minorBidi"/>
      <w:szCs w:val="22"/>
    </w:rPr>
  </w:style>
  <w:style w:type="character" w:customStyle="1" w:styleId="727">
    <w:name w:val="表头------------- Char"/>
    <w:link w:val="728"/>
    <w:qFormat/>
    <w:uiPriority w:val="0"/>
    <w:rPr>
      <w:rFonts w:ascii="宋体" w:hAnsi="宋体" w:eastAsia="黑体"/>
      <w:spacing w:val="4"/>
      <w:sz w:val="24"/>
      <w:szCs w:val="24"/>
    </w:rPr>
  </w:style>
  <w:style w:type="paragraph" w:customStyle="1" w:styleId="728">
    <w:name w:val="表头-------------"/>
    <w:basedOn w:val="1"/>
    <w:link w:val="727"/>
    <w:qFormat/>
    <w:uiPriority w:val="0"/>
    <w:pPr>
      <w:spacing w:line="460" w:lineRule="exact"/>
      <w:jc w:val="center"/>
    </w:pPr>
    <w:rPr>
      <w:rFonts w:ascii="宋体" w:hAnsi="宋体" w:eastAsia="黑体" w:cstheme="minorBidi"/>
      <w:spacing w:val="4"/>
    </w:rPr>
  </w:style>
  <w:style w:type="character" w:customStyle="1" w:styleId="729">
    <w:name w:val="环小四1.1.1（三级） Char Char"/>
    <w:qFormat/>
    <w:uiPriority w:val="0"/>
    <w:rPr>
      <w:rFonts w:ascii="宋体" w:hAnsi="宋体" w:eastAsia="楷体_GB2312"/>
      <w:b/>
      <w:bCs/>
      <w:color w:val="000000"/>
      <w:kern w:val="44"/>
      <w:sz w:val="24"/>
      <w:szCs w:val="24"/>
      <w:lang w:val="en-US" w:eastAsia="zh-CN" w:bidi="ar-SA"/>
    </w:rPr>
  </w:style>
  <w:style w:type="character" w:customStyle="1" w:styleId="730">
    <w:name w:val="报告书 Char"/>
    <w:link w:val="731"/>
    <w:qFormat/>
    <w:uiPriority w:val="0"/>
    <w:rPr>
      <w:rFonts w:ascii="Times New Roman" w:hAnsi="Times New Roman" w:eastAsia="宋体" w:cs="Times New Roman"/>
      <w:sz w:val="24"/>
    </w:rPr>
  </w:style>
  <w:style w:type="paragraph" w:customStyle="1" w:styleId="731">
    <w:name w:val="报告书"/>
    <w:basedOn w:val="1"/>
    <w:link w:val="730"/>
    <w:qFormat/>
    <w:uiPriority w:val="0"/>
    <w:pPr>
      <w:autoSpaceDE w:val="0"/>
      <w:autoSpaceDN w:val="0"/>
      <w:adjustRightInd w:val="0"/>
      <w:ind w:firstLine="505"/>
      <w:jc w:val="left"/>
      <w:textAlignment w:val="bottom"/>
    </w:pPr>
    <w:rPr>
      <w:szCs w:val="22"/>
    </w:rPr>
  </w:style>
  <w:style w:type="character" w:customStyle="1" w:styleId="732">
    <w:name w:val="表中文字 Char Char"/>
    <w:qFormat/>
    <w:uiPriority w:val="0"/>
    <w:rPr>
      <w:rFonts w:ascii="宋体" w:hAnsi="宋体" w:eastAsia="宋体" w:cs="宋体"/>
      <w:spacing w:val="4"/>
      <w:kern w:val="2"/>
      <w:sz w:val="24"/>
      <w:szCs w:val="24"/>
      <w:lang w:val="en-US" w:eastAsia="zh-CN" w:bidi="ar-SA"/>
    </w:rPr>
  </w:style>
  <w:style w:type="character" w:customStyle="1" w:styleId="733">
    <w:name w:val="正文格式 Char Char1"/>
    <w:qFormat/>
    <w:locked/>
    <w:uiPriority w:val="0"/>
    <w:rPr>
      <w:rFonts w:ascii="宋体" w:hAnsi="宋体" w:eastAsia="宋体" w:cs="宋体"/>
      <w:kern w:val="2"/>
      <w:sz w:val="24"/>
      <w:szCs w:val="24"/>
      <w:lang w:val="en-US" w:eastAsia="zh-CN" w:bidi="ar-SA"/>
    </w:rPr>
  </w:style>
  <w:style w:type="character" w:customStyle="1" w:styleId="734">
    <w:name w:val="JUJUMAO"/>
    <w:qFormat/>
    <w:uiPriority w:val="0"/>
    <w:rPr>
      <w:rFonts w:ascii="Arial" w:hAnsi="Arial" w:eastAsia="宋体" w:cs="Arial"/>
      <w:color w:val="000080"/>
      <w:spacing w:val="4"/>
      <w:kern w:val="2"/>
      <w:sz w:val="18"/>
      <w:szCs w:val="20"/>
      <w:lang w:val="en-US" w:eastAsia="zh-CN" w:bidi="ar-SA"/>
    </w:rPr>
  </w:style>
  <w:style w:type="character" w:customStyle="1" w:styleId="735">
    <w:name w:val="标题样式2 Char Char"/>
    <w:qFormat/>
    <w:uiPriority w:val="0"/>
    <w:rPr>
      <w:rFonts w:ascii="黑体" w:hAnsi="Arial" w:eastAsia="黑体"/>
      <w:b/>
      <w:sz w:val="24"/>
      <w:szCs w:val="24"/>
      <w:lang w:val="en-US" w:eastAsia="zh-CN" w:bidi="ar-SA"/>
    </w:rPr>
  </w:style>
  <w:style w:type="character" w:customStyle="1" w:styleId="736">
    <w:name w:val="Char Char241"/>
    <w:qFormat/>
    <w:uiPriority w:val="0"/>
    <w:rPr>
      <w:rFonts w:eastAsia="仿宋_GB2312"/>
      <w:b/>
      <w:kern w:val="2"/>
      <w:sz w:val="28"/>
      <w:lang w:val="en-US" w:eastAsia="zh-CN" w:bidi="ar-SA"/>
    </w:rPr>
  </w:style>
  <w:style w:type="character" w:customStyle="1" w:styleId="737">
    <w:name w:val="正文 + 首行缩进:  2 字符 Char"/>
    <w:qFormat/>
    <w:uiPriority w:val="0"/>
    <w:rPr>
      <w:rFonts w:ascii="宋体" w:hAnsi="宋体" w:eastAsia="宋体" w:cs="宋体"/>
      <w:spacing w:val="12"/>
      <w:kern w:val="2"/>
      <w:sz w:val="24"/>
      <w:szCs w:val="24"/>
      <w:lang w:val="en-US" w:eastAsia="zh-CN" w:bidi="ar-SA"/>
    </w:rPr>
  </w:style>
  <w:style w:type="character" w:customStyle="1" w:styleId="738">
    <w:name w:val="自定义正文 Char"/>
    <w:link w:val="739"/>
    <w:qFormat/>
    <w:uiPriority w:val="0"/>
    <w:rPr>
      <w:sz w:val="28"/>
      <w:szCs w:val="21"/>
    </w:rPr>
  </w:style>
  <w:style w:type="paragraph" w:customStyle="1" w:styleId="739">
    <w:name w:val="自定义正文"/>
    <w:basedOn w:val="23"/>
    <w:link w:val="738"/>
    <w:qFormat/>
    <w:uiPriority w:val="0"/>
    <w:pPr>
      <w:adjustRightInd w:val="0"/>
      <w:spacing w:line="360" w:lineRule="auto"/>
      <w:ind w:firstLine="200" w:firstLineChars="200"/>
      <w:textAlignment w:val="baseline"/>
    </w:pPr>
    <w:rPr>
      <w:rFonts w:asciiTheme="minorHAnsi" w:hAnsiTheme="minorHAnsi" w:eastAsiaTheme="minorEastAsia" w:cstheme="minorBidi"/>
      <w:sz w:val="28"/>
      <w:szCs w:val="21"/>
    </w:rPr>
  </w:style>
  <w:style w:type="character" w:customStyle="1" w:styleId="740">
    <w:name w:val="样式 标题 3小标题小节标题标题3H3h33rd level第二层条标题4 + Arial Char"/>
    <w:link w:val="741"/>
    <w:qFormat/>
    <w:uiPriority w:val="0"/>
    <w:rPr>
      <w:b/>
      <w:bCs/>
      <w:color w:val="000000"/>
      <w:kern w:val="32"/>
      <w:sz w:val="30"/>
    </w:rPr>
  </w:style>
  <w:style w:type="paragraph" w:customStyle="1" w:styleId="741">
    <w:name w:val="样式 标题 3小标题小节标题标题3H3h33rd level第二层条标题4 + Arial"/>
    <w:basedOn w:val="7"/>
    <w:link w:val="740"/>
    <w:qFormat/>
    <w:uiPriority w:val="0"/>
    <w:pPr>
      <w:numPr>
        <w:ilvl w:val="0"/>
        <w:numId w:val="0"/>
      </w:numPr>
      <w:tabs>
        <w:tab w:val="left" w:pos="1050"/>
      </w:tabs>
      <w:adjustRightInd w:val="0"/>
      <w:snapToGrid w:val="0"/>
      <w:spacing w:before="0" w:after="0" w:line="360" w:lineRule="auto"/>
      <w:ind w:left="851" w:hanging="851"/>
      <w:textAlignment w:val="baseline"/>
    </w:pPr>
    <w:rPr>
      <w:rFonts w:asciiTheme="minorHAnsi" w:hAnsiTheme="minorHAnsi" w:eastAsiaTheme="minorEastAsia" w:cstheme="minorBidi"/>
      <w:kern w:val="32"/>
      <w:sz w:val="30"/>
      <w:szCs w:val="22"/>
    </w:rPr>
  </w:style>
  <w:style w:type="character" w:customStyle="1" w:styleId="742">
    <w:name w:val="ourfont3"/>
    <w:qFormat/>
    <w:uiPriority w:val="0"/>
  </w:style>
  <w:style w:type="character" w:customStyle="1" w:styleId="743">
    <w:name w:val="haydonli Char Char"/>
    <w:qFormat/>
    <w:uiPriority w:val="0"/>
    <w:rPr>
      <w:rFonts w:eastAsia="宋体"/>
      <w:kern w:val="2"/>
      <w:sz w:val="24"/>
      <w:szCs w:val="24"/>
      <w:lang w:val="en-US" w:eastAsia="zh-CN" w:bidi="ar-SA"/>
    </w:rPr>
  </w:style>
  <w:style w:type="character" w:customStyle="1" w:styleId="744">
    <w:name w:val="article"/>
    <w:qFormat/>
    <w:uiPriority w:val="0"/>
  </w:style>
  <w:style w:type="character" w:customStyle="1" w:styleId="745">
    <w:name w:val="样式84 Char"/>
    <w:link w:val="746"/>
    <w:qFormat/>
    <w:uiPriority w:val="0"/>
    <w:rPr>
      <w:rFonts w:eastAsia="黑体"/>
      <w:b/>
      <w:sz w:val="28"/>
      <w:szCs w:val="28"/>
    </w:rPr>
  </w:style>
  <w:style w:type="paragraph" w:customStyle="1" w:styleId="746">
    <w:name w:val="样式84"/>
    <w:basedOn w:val="367"/>
    <w:link w:val="745"/>
    <w:qFormat/>
    <w:uiPriority w:val="0"/>
    <w:pPr>
      <w:spacing w:before="200" w:after="200"/>
    </w:pPr>
  </w:style>
  <w:style w:type="character" w:customStyle="1" w:styleId="747">
    <w:name w:val="表格文字2004"/>
    <w:qFormat/>
    <w:uiPriority w:val="0"/>
    <w:rPr>
      <w:rFonts w:ascii="宋体" w:hAnsi="宋体" w:eastAsia="宋体" w:cs="宋体"/>
      <w:spacing w:val="4"/>
      <w:kern w:val="2"/>
      <w:sz w:val="24"/>
      <w:szCs w:val="24"/>
      <w:lang w:val="en-US" w:eastAsia="zh-CN" w:bidi="ar-SA"/>
    </w:rPr>
  </w:style>
  <w:style w:type="character" w:customStyle="1" w:styleId="748">
    <w:name w:val="热电厂正文 Char Char Char Char Char Char"/>
    <w:qFormat/>
    <w:uiPriority w:val="0"/>
    <w:rPr>
      <w:rFonts w:ascii="宋体" w:hAnsi="宋体" w:eastAsia="宋体" w:cs="宋体"/>
      <w:color w:val="000000"/>
      <w:spacing w:val="4"/>
      <w:kern w:val="2"/>
      <w:sz w:val="24"/>
      <w:szCs w:val="24"/>
      <w:lang w:val="en-US" w:eastAsia="zh-CN" w:bidi="ar-SA"/>
    </w:rPr>
  </w:style>
  <w:style w:type="character" w:customStyle="1" w:styleId="749">
    <w:name w:val="tpc_content1"/>
    <w:qFormat/>
    <w:uiPriority w:val="0"/>
    <w:rPr>
      <w:rFonts w:ascii="Times New Roman" w:hAnsi="Times New Roman" w:eastAsia="宋体" w:cs="Times New Roman"/>
      <w:sz w:val="20"/>
      <w:szCs w:val="20"/>
    </w:rPr>
  </w:style>
  <w:style w:type="character" w:customStyle="1" w:styleId="750">
    <w:name w:val="样式 泸县焦化三级标题 + 蓝色 Char Char"/>
    <w:qFormat/>
    <w:uiPriority w:val="0"/>
    <w:rPr>
      <w:rFonts w:ascii="宋体" w:hAnsi="宋体" w:eastAsia="宋体" w:cs="宋体"/>
      <w:b/>
      <w:color w:val="0000FF"/>
      <w:spacing w:val="4"/>
      <w:kern w:val="2"/>
      <w:sz w:val="24"/>
      <w:szCs w:val="24"/>
      <w:lang w:val="en-US" w:eastAsia="zh-CN" w:bidi="ar-SA"/>
    </w:rPr>
  </w:style>
  <w:style w:type="character" w:customStyle="1" w:styleId="751">
    <w:name w:val="表格文字1 Char Char Char Char Char"/>
    <w:link w:val="752"/>
    <w:qFormat/>
    <w:uiPriority w:val="0"/>
    <w:rPr>
      <w:rFonts w:ascii="宋体" w:hAnsi="宋体" w:eastAsia="宋体-方正超大字符集" w:cs="宋体"/>
      <w:spacing w:val="4"/>
      <w:szCs w:val="21"/>
    </w:rPr>
  </w:style>
  <w:style w:type="paragraph" w:customStyle="1" w:styleId="752">
    <w:name w:val="表格文字1 Char Char Char Char"/>
    <w:basedOn w:val="1"/>
    <w:link w:val="751"/>
    <w:qFormat/>
    <w:uiPriority w:val="0"/>
    <w:pPr>
      <w:adjustRightInd w:val="0"/>
      <w:snapToGrid w:val="0"/>
      <w:spacing w:line="240" w:lineRule="auto"/>
      <w:jc w:val="center"/>
    </w:pPr>
    <w:rPr>
      <w:rFonts w:ascii="宋体" w:hAnsi="宋体" w:eastAsia="宋体-方正超大字符集" w:cs="宋体"/>
      <w:spacing w:val="4"/>
      <w:sz w:val="21"/>
      <w:szCs w:val="21"/>
    </w:rPr>
  </w:style>
  <w:style w:type="character" w:customStyle="1" w:styleId="753">
    <w:name w:val="表格内容（陶瓷） Char"/>
    <w:link w:val="754"/>
    <w:qFormat/>
    <w:uiPriority w:val="0"/>
    <w:rPr>
      <w:color w:val="FF0000"/>
      <w:szCs w:val="21"/>
    </w:rPr>
  </w:style>
  <w:style w:type="paragraph" w:customStyle="1" w:styleId="754">
    <w:name w:val="表格内容（陶瓷）"/>
    <w:basedOn w:val="1"/>
    <w:link w:val="753"/>
    <w:qFormat/>
    <w:uiPriority w:val="0"/>
    <w:pPr>
      <w:snapToGrid w:val="0"/>
      <w:spacing w:line="240" w:lineRule="auto"/>
      <w:jc w:val="center"/>
    </w:pPr>
    <w:rPr>
      <w:rFonts w:asciiTheme="minorHAnsi" w:hAnsiTheme="minorHAnsi" w:eastAsiaTheme="minorEastAsia" w:cstheme="minorBidi"/>
      <w:color w:val="FF0000"/>
      <w:sz w:val="21"/>
      <w:szCs w:val="21"/>
    </w:rPr>
  </w:style>
  <w:style w:type="character" w:customStyle="1" w:styleId="755">
    <w:name w:val="正文+ 首行缩进:  2 字符 Char Char Char"/>
    <w:qFormat/>
    <w:uiPriority w:val="0"/>
    <w:rPr>
      <w:rFonts w:ascii="幼圆" w:eastAsia="宋体" w:cs="宋体"/>
      <w:kern w:val="2"/>
      <w:sz w:val="24"/>
      <w:szCs w:val="24"/>
      <w:lang w:val="en-US" w:eastAsia="zh-CN" w:bidi="ar-SA"/>
    </w:rPr>
  </w:style>
  <w:style w:type="character" w:customStyle="1" w:styleId="756">
    <w:name w:val="表格 Char"/>
    <w:qFormat/>
    <w:uiPriority w:val="0"/>
    <w:rPr>
      <w:rFonts w:eastAsia="宋体"/>
      <w:sz w:val="21"/>
      <w:lang w:val="en-US" w:eastAsia="zh-CN" w:bidi="ar-SA"/>
    </w:rPr>
  </w:style>
  <w:style w:type="character" w:customStyle="1" w:styleId="757">
    <w:name w:val="正文文本1.35 Char"/>
    <w:link w:val="758"/>
    <w:qFormat/>
    <w:uiPriority w:val="0"/>
    <w:rPr>
      <w:sz w:val="28"/>
    </w:rPr>
  </w:style>
  <w:style w:type="paragraph" w:customStyle="1" w:styleId="758">
    <w:name w:val="正文文本1.35"/>
    <w:basedOn w:val="36"/>
    <w:link w:val="757"/>
    <w:qFormat/>
    <w:uiPriority w:val="0"/>
    <w:pPr>
      <w:snapToGrid w:val="0"/>
      <w:spacing w:after="0" w:line="500" w:lineRule="exact"/>
      <w:ind w:firstLine="560" w:firstLineChars="200"/>
    </w:pPr>
    <w:rPr>
      <w:rFonts w:asciiTheme="minorHAnsi" w:hAnsiTheme="minorHAnsi" w:eastAsiaTheme="minorEastAsia" w:cstheme="minorBidi"/>
      <w:sz w:val="28"/>
      <w:szCs w:val="22"/>
    </w:rPr>
  </w:style>
  <w:style w:type="character" w:customStyle="1" w:styleId="759">
    <w:name w:val="表格正文 Char"/>
    <w:qFormat/>
    <w:uiPriority w:val="0"/>
    <w:rPr>
      <w:rFonts w:eastAsia="宋体"/>
      <w:kern w:val="2"/>
      <w:sz w:val="24"/>
      <w:szCs w:val="24"/>
      <w:lang w:val="en-US" w:eastAsia="zh-CN" w:bidi="ar-SA"/>
    </w:rPr>
  </w:style>
  <w:style w:type="character" w:customStyle="1" w:styleId="760">
    <w:name w:val="自定义正文 Char Char"/>
    <w:qFormat/>
    <w:uiPriority w:val="0"/>
    <w:rPr>
      <w:rFonts w:ascii="宋体" w:hAnsi="宋体" w:eastAsia="仿宋_GB2312"/>
      <w:bCs/>
      <w:color w:val="000000"/>
      <w:kern w:val="2"/>
      <w:sz w:val="24"/>
      <w:szCs w:val="24"/>
      <w:lang w:val="en-US" w:eastAsia="zh-CN" w:bidi="ar-SA"/>
    </w:rPr>
  </w:style>
  <w:style w:type="character" w:customStyle="1" w:styleId="761">
    <w:name w:val="r1"/>
    <w:qFormat/>
    <w:uiPriority w:val="0"/>
    <w:rPr>
      <w:rFonts w:ascii="宋体" w:hAnsi="宋体" w:eastAsia="汉鼎简书宋" w:cs="宋体"/>
      <w:spacing w:val="4"/>
      <w:kern w:val="2"/>
      <w:sz w:val="20"/>
      <w:szCs w:val="20"/>
      <w:lang w:val="en-US" w:eastAsia="zh-CN" w:bidi="ar-SA"/>
    </w:rPr>
  </w:style>
  <w:style w:type="character" w:customStyle="1" w:styleId="762">
    <w:name w:val="Char Char41"/>
    <w:qFormat/>
    <w:uiPriority w:val="0"/>
    <w:rPr>
      <w:rFonts w:ascii="宋体" w:hAnsi="宋体" w:eastAsia="宋体" w:cs="宋体"/>
      <w:snapToGrid w:val="0"/>
      <w:color w:val="000000"/>
      <w:spacing w:val="4"/>
      <w:kern w:val="2"/>
      <w:sz w:val="18"/>
      <w:szCs w:val="18"/>
      <w:lang w:val="en-US" w:eastAsia="zh-CN" w:bidi="ar-SA"/>
    </w:rPr>
  </w:style>
  <w:style w:type="character" w:customStyle="1" w:styleId="763">
    <w:name w:val="一级目录（陶瓷） Char"/>
    <w:link w:val="764"/>
    <w:qFormat/>
    <w:uiPriority w:val="0"/>
    <w:rPr>
      <w:rFonts w:eastAsia="黑体"/>
      <w:bCs/>
      <w:kern w:val="44"/>
      <w:sz w:val="36"/>
      <w:szCs w:val="24"/>
    </w:rPr>
  </w:style>
  <w:style w:type="paragraph" w:customStyle="1" w:styleId="764">
    <w:name w:val="一级目录（陶瓷）"/>
    <w:basedOn w:val="347"/>
    <w:link w:val="763"/>
    <w:qFormat/>
    <w:uiPriority w:val="0"/>
    <w:pPr>
      <w:keepNext/>
      <w:keepLines/>
      <w:pageBreakBefore/>
      <w:widowControl w:val="0"/>
      <w:tabs>
        <w:tab w:val="left" w:pos="0"/>
      </w:tabs>
      <w:spacing w:before="240" w:after="60" w:line="240" w:lineRule="auto"/>
      <w:textAlignment w:val="baseline"/>
    </w:pPr>
    <w:rPr>
      <w:rFonts w:eastAsia="黑体" w:asciiTheme="minorHAnsi" w:hAnsiTheme="minorHAnsi" w:cstheme="minorBidi"/>
      <w:b w:val="0"/>
      <w:bCs/>
      <w:kern w:val="44"/>
      <w:sz w:val="36"/>
    </w:rPr>
  </w:style>
  <w:style w:type="character" w:customStyle="1" w:styleId="765">
    <w:name w:val="样式5 Char Char"/>
    <w:qFormat/>
    <w:uiPriority w:val="0"/>
    <w:rPr>
      <w:rFonts w:hint="eastAsia" w:ascii="宋体" w:hAnsi="宋体" w:eastAsia="宋体"/>
      <w:kern w:val="2"/>
      <w:sz w:val="24"/>
      <w:szCs w:val="24"/>
      <w:lang w:val="en-US" w:eastAsia="zh-CN"/>
    </w:rPr>
  </w:style>
  <w:style w:type="character" w:customStyle="1" w:styleId="766">
    <w:name w:val="样式 正文文本缩进 + 宋体 Char Char"/>
    <w:qFormat/>
    <w:uiPriority w:val="0"/>
    <w:rPr>
      <w:rFonts w:ascii="宋体" w:hAnsi="宋体" w:eastAsia="宋体"/>
      <w:kern w:val="2"/>
      <w:sz w:val="24"/>
      <w:szCs w:val="24"/>
      <w:lang w:val="en-US" w:eastAsia="zh-CN" w:bidi="ar-SA"/>
    </w:rPr>
  </w:style>
  <w:style w:type="character" w:customStyle="1" w:styleId="767">
    <w:name w:val="【标题4】 Char"/>
    <w:link w:val="768"/>
    <w:qFormat/>
    <w:uiPriority w:val="0"/>
    <w:rPr>
      <w:rFonts w:ascii="宋体" w:hAnsi="宋体"/>
      <w:b/>
      <w:bCs/>
      <w:spacing w:val="4"/>
      <w:sz w:val="24"/>
      <w:szCs w:val="24"/>
    </w:rPr>
  </w:style>
  <w:style w:type="paragraph" w:customStyle="1" w:styleId="768">
    <w:name w:val="【标题4】"/>
    <w:basedOn w:val="1"/>
    <w:link w:val="767"/>
    <w:qFormat/>
    <w:uiPriority w:val="0"/>
    <w:pPr>
      <w:keepLines/>
      <w:spacing w:before="120" w:after="120"/>
      <w:outlineLvl w:val="3"/>
    </w:pPr>
    <w:rPr>
      <w:rFonts w:ascii="宋体" w:hAnsi="宋体" w:eastAsiaTheme="minorEastAsia" w:cstheme="minorBidi"/>
      <w:b/>
      <w:bCs/>
      <w:spacing w:val="4"/>
    </w:rPr>
  </w:style>
  <w:style w:type="character" w:customStyle="1" w:styleId="769">
    <w:name w:val="标题6 Char Char"/>
    <w:qFormat/>
    <w:uiPriority w:val="0"/>
    <w:rPr>
      <w:rFonts w:eastAsia="宋体"/>
      <w:kern w:val="2"/>
      <w:sz w:val="28"/>
      <w:szCs w:val="21"/>
      <w:lang w:val="en-US" w:eastAsia="zh-CN" w:bidi="ar-SA"/>
    </w:rPr>
  </w:style>
  <w:style w:type="character" w:customStyle="1" w:styleId="770">
    <w:name w:val="正文—标准条文 Char"/>
    <w:link w:val="771"/>
    <w:qFormat/>
    <w:uiPriority w:val="0"/>
    <w:rPr>
      <w:rFonts w:ascii="宋体" w:hAnsi="宋体"/>
    </w:rPr>
  </w:style>
  <w:style w:type="paragraph" w:customStyle="1" w:styleId="771">
    <w:name w:val="正文—标准条文"/>
    <w:basedOn w:val="1"/>
    <w:link w:val="770"/>
    <w:qFormat/>
    <w:uiPriority w:val="0"/>
    <w:pPr>
      <w:spacing w:line="240" w:lineRule="auto"/>
      <w:ind w:firstLine="200" w:firstLineChars="200"/>
      <w:jc w:val="left"/>
      <w:outlineLvl w:val="6"/>
    </w:pPr>
    <w:rPr>
      <w:rFonts w:ascii="宋体" w:hAnsi="宋体" w:eastAsiaTheme="minorEastAsia" w:cstheme="minorBidi"/>
      <w:sz w:val="21"/>
      <w:szCs w:val="22"/>
    </w:rPr>
  </w:style>
  <w:style w:type="character" w:customStyle="1" w:styleId="772">
    <w:name w:val="text1"/>
    <w:qFormat/>
    <w:uiPriority w:val="0"/>
    <w:rPr>
      <w:sz w:val="21"/>
      <w:szCs w:val="21"/>
    </w:rPr>
  </w:style>
  <w:style w:type="character" w:customStyle="1" w:styleId="773">
    <w:name w:val="text-content1"/>
    <w:qFormat/>
    <w:uiPriority w:val="0"/>
    <w:rPr>
      <w:rFonts w:ascii="宋体" w:hAnsi="宋体" w:eastAsia="汉鼎简书宋" w:cs="宋体"/>
      <w:spacing w:val="4"/>
      <w:kern w:val="2"/>
      <w:sz w:val="18"/>
      <w:szCs w:val="18"/>
      <w:lang w:val="en-US" w:eastAsia="zh-CN" w:bidi="ar-SA"/>
    </w:rPr>
  </w:style>
  <w:style w:type="character" w:customStyle="1" w:styleId="774">
    <w:name w:val="君邦正文 Char1"/>
    <w:qFormat/>
    <w:uiPriority w:val="0"/>
    <w:rPr>
      <w:rFonts w:ascii="宋体" w:hAnsi="宋体" w:eastAsia="宋体" w:cs="宋体"/>
      <w:spacing w:val="4"/>
      <w:kern w:val="2"/>
      <w:sz w:val="24"/>
      <w:szCs w:val="24"/>
      <w:lang w:val="en-US" w:eastAsia="zh-CN" w:bidi="ar-SA"/>
    </w:rPr>
  </w:style>
  <w:style w:type="character" w:customStyle="1" w:styleId="775">
    <w:name w:val="样式83 Char"/>
    <w:link w:val="776"/>
    <w:qFormat/>
    <w:uiPriority w:val="0"/>
    <w:rPr>
      <w:rFonts w:ascii="宋体" w:hAnsi="Arial" w:eastAsia="黑体" w:cs="宋体"/>
      <w:b/>
      <w:bCs/>
      <w:spacing w:val="4"/>
      <w:sz w:val="32"/>
      <w:szCs w:val="32"/>
    </w:rPr>
  </w:style>
  <w:style w:type="paragraph" w:customStyle="1" w:styleId="776">
    <w:name w:val="样式83"/>
    <w:basedOn w:val="6"/>
    <w:link w:val="775"/>
    <w:qFormat/>
    <w:uiPriority w:val="0"/>
    <w:pPr>
      <w:keepNext/>
      <w:keepLines/>
      <w:numPr>
        <w:ilvl w:val="0"/>
        <w:numId w:val="0"/>
      </w:numPr>
      <w:tabs>
        <w:tab w:val="clear" w:pos="-181"/>
      </w:tabs>
      <w:spacing w:before="260" w:beforeLines="0" w:after="260"/>
      <w:jc w:val="both"/>
      <w:textAlignment w:val="auto"/>
    </w:pPr>
    <w:rPr>
      <w:rFonts w:ascii="宋体" w:hAnsi="Arial" w:cs="宋体"/>
      <w:b/>
      <w:bCs/>
      <w:spacing w:val="4"/>
      <w:kern w:val="2"/>
      <w:sz w:val="32"/>
      <w:szCs w:val="32"/>
    </w:rPr>
  </w:style>
  <w:style w:type="character" w:customStyle="1" w:styleId="777">
    <w:name w:val="样式 题注 + 首行缩进:  2 字符2 Char Char"/>
    <w:qFormat/>
    <w:uiPriority w:val="0"/>
    <w:rPr>
      <w:rFonts w:eastAsia="宋体"/>
      <w:kern w:val="2"/>
      <w:sz w:val="24"/>
      <w:lang w:val="en-US" w:eastAsia="zh-CN" w:bidi="ar-SA"/>
    </w:rPr>
  </w:style>
  <w:style w:type="character" w:customStyle="1" w:styleId="778">
    <w:name w:val="样式 行距: 固定值 23 磅 首行缩进:  2.25 字符 Char"/>
    <w:link w:val="779"/>
    <w:qFormat/>
    <w:uiPriority w:val="0"/>
    <w:rPr>
      <w:sz w:val="24"/>
    </w:rPr>
  </w:style>
  <w:style w:type="paragraph" w:customStyle="1" w:styleId="779">
    <w:name w:val="样式 行距: 固定值 23 磅 首行缩进:  2.25 字符"/>
    <w:basedOn w:val="1"/>
    <w:link w:val="778"/>
    <w:qFormat/>
    <w:uiPriority w:val="0"/>
    <w:pPr>
      <w:ind w:firstLine="225" w:firstLineChars="225"/>
      <w:jc w:val="left"/>
    </w:pPr>
    <w:rPr>
      <w:rFonts w:asciiTheme="minorHAnsi" w:hAnsiTheme="minorHAnsi" w:eastAsiaTheme="minorEastAsia" w:cstheme="minorBidi"/>
      <w:szCs w:val="22"/>
    </w:rPr>
  </w:style>
  <w:style w:type="character" w:customStyle="1" w:styleId="780">
    <w:name w:val="12pixblack1"/>
    <w:qFormat/>
    <w:uiPriority w:val="0"/>
    <w:rPr>
      <w:rFonts w:ascii="宋体" w:hAnsi="宋体" w:eastAsia="汉鼎简书宋" w:cs="宋体"/>
      <w:spacing w:val="4"/>
      <w:kern w:val="2"/>
      <w:sz w:val="18"/>
      <w:szCs w:val="18"/>
      <w:lang w:val="en-US" w:eastAsia="zh-CN" w:bidi="ar-SA"/>
    </w:rPr>
  </w:style>
  <w:style w:type="character" w:customStyle="1" w:styleId="781">
    <w:name w:val="样式 标题 1 + 宋体 小二 Char Char"/>
    <w:qFormat/>
    <w:uiPriority w:val="0"/>
    <w:rPr>
      <w:rFonts w:ascii="宋体" w:hAnsi="宋体" w:eastAsia="宋体"/>
      <w:b/>
      <w:caps/>
      <w:kern w:val="44"/>
      <w:sz w:val="32"/>
      <w:szCs w:val="44"/>
      <w:lang w:val="en-US" w:eastAsia="zh-CN" w:bidi="ar-SA"/>
    </w:rPr>
  </w:style>
  <w:style w:type="character" w:customStyle="1" w:styleId="782">
    <w:name w:val="列表名称 Char Char Char"/>
    <w:qFormat/>
    <w:uiPriority w:val="0"/>
    <w:rPr>
      <w:rFonts w:ascii="宋体" w:hAnsi="宋体" w:eastAsia="黑体" w:cs="宋体"/>
      <w:bCs/>
      <w:spacing w:val="4"/>
      <w:kern w:val="2"/>
      <w:sz w:val="24"/>
      <w:szCs w:val="24"/>
      <w:lang w:val="en-US" w:eastAsia="zh-CN" w:bidi="ar-SA"/>
    </w:rPr>
  </w:style>
  <w:style w:type="character" w:customStyle="1" w:styleId="783">
    <w:name w:val="表中 Char"/>
    <w:link w:val="784"/>
    <w:qFormat/>
    <w:uiPriority w:val="0"/>
    <w:rPr>
      <w:rFonts w:ascii="仿宋_GB2312" w:eastAsia="仿宋_GB2312"/>
      <w:color w:val="000000"/>
      <w:sz w:val="28"/>
      <w:szCs w:val="28"/>
    </w:rPr>
  </w:style>
  <w:style w:type="paragraph" w:customStyle="1" w:styleId="784">
    <w:name w:val="表中"/>
    <w:basedOn w:val="1"/>
    <w:link w:val="783"/>
    <w:qFormat/>
    <w:uiPriority w:val="0"/>
    <w:pPr>
      <w:spacing w:line="440" w:lineRule="exact"/>
      <w:jc w:val="center"/>
      <w:textAlignment w:val="center"/>
    </w:pPr>
    <w:rPr>
      <w:rFonts w:ascii="仿宋_GB2312" w:eastAsia="仿宋_GB2312" w:hAnsiTheme="minorHAnsi" w:cstheme="minorBidi"/>
      <w:color w:val="000000"/>
      <w:sz w:val="28"/>
      <w:szCs w:val="28"/>
    </w:rPr>
  </w:style>
  <w:style w:type="character" w:customStyle="1" w:styleId="785">
    <w:name w:val="标题1 Char Char"/>
    <w:qFormat/>
    <w:uiPriority w:val="0"/>
    <w:rPr>
      <w:rFonts w:ascii="宋体" w:hAnsi="宋体" w:eastAsia="宋体" w:cs="宋体"/>
      <w:spacing w:val="4"/>
      <w:kern w:val="2"/>
      <w:sz w:val="24"/>
      <w:szCs w:val="24"/>
      <w:lang w:val="en-US" w:eastAsia="zh-CN" w:bidi="ar-SA"/>
    </w:rPr>
  </w:style>
  <w:style w:type="character" w:customStyle="1" w:styleId="786">
    <w:name w:val="正文1"/>
    <w:qFormat/>
    <w:uiPriority w:val="0"/>
    <w:rPr>
      <w:rFonts w:ascii="Times New Roman" w:hAnsi="Times New Roman" w:eastAsia="宋体" w:cs="Times New Roman"/>
    </w:rPr>
  </w:style>
  <w:style w:type="character" w:customStyle="1" w:styleId="787">
    <w:name w:val="正文1 Char Char Char Char Char Char"/>
    <w:qFormat/>
    <w:uiPriority w:val="0"/>
    <w:rPr>
      <w:rFonts w:ascii="宋体" w:hAnsi="宋体" w:eastAsia="宋体" w:cs="宋体"/>
      <w:spacing w:val="4"/>
      <w:kern w:val="2"/>
      <w:sz w:val="24"/>
      <w:szCs w:val="28"/>
      <w:lang w:val="en-US" w:eastAsia="zh-CN" w:bidi="ar-SA"/>
    </w:rPr>
  </w:style>
  <w:style w:type="character" w:customStyle="1" w:styleId="788">
    <w:name w:val="样式 正文文本缩进 2正文文字缩进 2 + 自动设置 Char Char Char"/>
    <w:qFormat/>
    <w:uiPriority w:val="0"/>
    <w:rPr>
      <w:rFonts w:ascii="宋体" w:hAnsi="宋体"/>
      <w:kern w:val="2"/>
      <w:sz w:val="24"/>
      <w:lang w:bidi="ar-SA"/>
    </w:rPr>
  </w:style>
  <w:style w:type="character" w:customStyle="1" w:styleId="789">
    <w:name w:val="环小四说明 Char Char"/>
    <w:qFormat/>
    <w:uiPriority w:val="0"/>
    <w:rPr>
      <w:rFonts w:ascii="宋体" w:hAnsi="宋体" w:cs="宋体"/>
      <w:bCs/>
      <w:color w:val="000000"/>
      <w:kern w:val="24"/>
      <w:sz w:val="24"/>
      <w:szCs w:val="24"/>
      <w:lang w:val="en-US" w:eastAsia="zh-CN" w:bidi="ar-SA"/>
    </w:rPr>
  </w:style>
  <w:style w:type="character" w:customStyle="1" w:styleId="790">
    <w:name w:val="样式 标题 2标题21.1H2h2第一层条二级标题标题 lxb2二级标题 Char表标题单位名4.12... Char Char"/>
    <w:qFormat/>
    <w:uiPriority w:val="0"/>
    <w:rPr>
      <w:b/>
      <w:bCs/>
      <w:color w:val="000000"/>
      <w:kern w:val="2"/>
      <w:sz w:val="24"/>
      <w:lang w:val="en-US" w:eastAsia="zh-CN" w:bidi="ar-SA"/>
    </w:rPr>
  </w:style>
  <w:style w:type="character" w:customStyle="1" w:styleId="791">
    <w:name w:val="hover27"/>
    <w:basedOn w:val="133"/>
    <w:qFormat/>
    <w:uiPriority w:val="0"/>
    <w:rPr>
      <w:rFonts w:ascii="Times New Roman" w:hAnsi="Times New Roman" w:eastAsia="宋体" w:cs="Times New Roman"/>
    </w:rPr>
  </w:style>
  <w:style w:type="character" w:customStyle="1" w:styleId="792">
    <w:name w:val="正文000 Char"/>
    <w:link w:val="793"/>
    <w:qFormat/>
    <w:uiPriority w:val="0"/>
    <w:rPr>
      <w:sz w:val="24"/>
    </w:rPr>
  </w:style>
  <w:style w:type="paragraph" w:customStyle="1" w:styleId="793">
    <w:name w:val="正文000"/>
    <w:basedOn w:val="1"/>
    <w:link w:val="792"/>
    <w:qFormat/>
    <w:uiPriority w:val="0"/>
    <w:pPr>
      <w:adjustRightInd w:val="0"/>
      <w:ind w:firstLine="480" w:firstLineChars="200"/>
      <w:textAlignment w:val="center"/>
    </w:pPr>
    <w:rPr>
      <w:rFonts w:asciiTheme="minorHAnsi" w:hAnsiTheme="minorHAnsi" w:eastAsiaTheme="minorEastAsia" w:cstheme="minorBidi"/>
      <w:szCs w:val="22"/>
    </w:rPr>
  </w:style>
  <w:style w:type="character" w:customStyle="1" w:styleId="794">
    <w:name w:val="标准正文 Char Char"/>
    <w:qFormat/>
    <w:uiPriority w:val="0"/>
    <w:rPr>
      <w:rFonts w:eastAsia="宋体"/>
      <w:color w:val="0000FF"/>
      <w:sz w:val="28"/>
      <w:lang w:val="en-US" w:eastAsia="zh-CN" w:bidi="ar-SA"/>
    </w:rPr>
  </w:style>
  <w:style w:type="character" w:customStyle="1" w:styleId="795">
    <w:name w:val="图题 Char"/>
    <w:link w:val="796"/>
    <w:qFormat/>
    <w:uiPriority w:val="0"/>
    <w:rPr>
      <w:rFonts w:ascii="Arial" w:hAnsi="Arial" w:eastAsia="黑体"/>
      <w:bCs/>
      <w:sz w:val="24"/>
      <w:szCs w:val="24"/>
    </w:rPr>
  </w:style>
  <w:style w:type="paragraph" w:customStyle="1" w:styleId="796">
    <w:name w:val="图题"/>
    <w:basedOn w:val="1"/>
    <w:link w:val="795"/>
    <w:qFormat/>
    <w:uiPriority w:val="0"/>
    <w:pPr>
      <w:spacing w:before="120" w:after="120" w:line="320" w:lineRule="exact"/>
      <w:jc w:val="center"/>
    </w:pPr>
    <w:rPr>
      <w:rFonts w:ascii="Arial" w:hAnsi="Arial" w:eastAsia="黑体" w:cstheme="minorBidi"/>
      <w:bCs/>
    </w:rPr>
  </w:style>
  <w:style w:type="character" w:customStyle="1" w:styleId="797">
    <w:name w:val="样式 三级标题 + 自动设置 Char"/>
    <w:link w:val="798"/>
    <w:qFormat/>
    <w:uiPriority w:val="0"/>
    <w:rPr>
      <w:rFonts w:ascii="宋体" w:hAnsi="宋体" w:eastAsia="黑体"/>
      <w:b/>
      <w:bCs/>
      <w:spacing w:val="4"/>
      <w:sz w:val="28"/>
      <w:szCs w:val="28"/>
    </w:rPr>
  </w:style>
  <w:style w:type="paragraph" w:customStyle="1" w:styleId="798">
    <w:name w:val="样式 三级标题 + 自动设置"/>
    <w:basedOn w:val="1"/>
    <w:link w:val="797"/>
    <w:qFormat/>
    <w:uiPriority w:val="0"/>
    <w:pPr>
      <w:keepNext/>
      <w:keepLines/>
      <w:tabs>
        <w:tab w:val="left" w:pos="900"/>
      </w:tabs>
      <w:spacing w:line="480" w:lineRule="auto"/>
      <w:ind w:left="1365" w:hanging="1365"/>
      <w:jc w:val="left"/>
      <w:textAlignment w:val="baseline"/>
      <w:outlineLvl w:val="2"/>
    </w:pPr>
    <w:rPr>
      <w:rFonts w:ascii="宋体" w:hAnsi="宋体" w:eastAsia="黑体" w:cstheme="minorBidi"/>
      <w:b/>
      <w:bCs/>
      <w:spacing w:val="4"/>
      <w:sz w:val="28"/>
      <w:szCs w:val="28"/>
    </w:rPr>
  </w:style>
  <w:style w:type="character" w:customStyle="1" w:styleId="799">
    <w:name w:val="样式 中文报告书 + 首行缩进:  2 字符 Char"/>
    <w:link w:val="800"/>
    <w:qFormat/>
    <w:uiPriority w:val="0"/>
    <w:rPr>
      <w:sz w:val="24"/>
    </w:rPr>
  </w:style>
  <w:style w:type="paragraph" w:customStyle="1" w:styleId="800">
    <w:name w:val="样式 中文报告书 + 首行缩进:  2 字符"/>
    <w:basedOn w:val="801"/>
    <w:link w:val="799"/>
    <w:qFormat/>
    <w:uiPriority w:val="0"/>
    <w:pPr>
      <w:ind w:firstLine="480"/>
    </w:pPr>
    <w:rPr>
      <w:rFonts w:asciiTheme="minorHAnsi" w:hAnsiTheme="minorHAnsi" w:eastAsiaTheme="minorEastAsia" w:cstheme="minorBidi"/>
      <w:kern w:val="2"/>
      <w:szCs w:val="22"/>
    </w:rPr>
  </w:style>
  <w:style w:type="paragraph" w:customStyle="1" w:styleId="801">
    <w:name w:val="中文报告书"/>
    <w:basedOn w:val="1"/>
    <w:link w:val="802"/>
    <w:qFormat/>
    <w:uiPriority w:val="0"/>
    <w:pPr>
      <w:adjustRightInd w:val="0"/>
      <w:ind w:firstLine="200" w:firstLineChars="200"/>
      <w:jc w:val="left"/>
      <w:textAlignment w:val="baseline"/>
    </w:pPr>
    <w:rPr>
      <w:kern w:val="0"/>
      <w:szCs w:val="20"/>
    </w:rPr>
  </w:style>
  <w:style w:type="character" w:customStyle="1" w:styleId="802">
    <w:name w:val="中文报告书 Char"/>
    <w:link w:val="801"/>
    <w:qFormat/>
    <w:uiPriority w:val="0"/>
    <w:rPr>
      <w:rFonts w:ascii="Times New Roman" w:hAnsi="Times New Roman" w:eastAsia="宋体" w:cs="Times New Roman"/>
      <w:kern w:val="0"/>
      <w:sz w:val="24"/>
      <w:szCs w:val="20"/>
    </w:rPr>
  </w:style>
  <w:style w:type="character" w:customStyle="1" w:styleId="803">
    <w:name w:val="px141"/>
    <w:qFormat/>
    <w:uiPriority w:val="0"/>
    <w:rPr>
      <w:rFonts w:ascii="宋体" w:hAnsi="宋体" w:eastAsia="汉鼎简书宋" w:cs="宋体"/>
      <w:spacing w:val="4"/>
      <w:kern w:val="2"/>
      <w:sz w:val="21"/>
      <w:szCs w:val="21"/>
      <w:lang w:val="en-US" w:eastAsia="zh-CN" w:bidi="ar-SA"/>
    </w:rPr>
  </w:style>
  <w:style w:type="character" w:customStyle="1" w:styleId="804">
    <w:name w:val="样式 标题 21.1标题 21.1标题2标题 2 Char1节_Heading 2标2二级标题1.1标题一...1 Char Char"/>
    <w:link w:val="805"/>
    <w:qFormat/>
    <w:uiPriority w:val="0"/>
    <w:rPr>
      <w:rFonts w:ascii="Arial" w:hAnsi="Arial" w:eastAsia="黑体"/>
      <w:b/>
      <w:bCs/>
      <w:color w:val="000000"/>
      <w:spacing w:val="4"/>
      <w:sz w:val="24"/>
      <w:szCs w:val="24"/>
    </w:rPr>
  </w:style>
  <w:style w:type="paragraph" w:customStyle="1" w:styleId="805">
    <w:name w:val="样式 标题 21.1标题 21.1标题2标题 2 Char1节_Heading 2标2二级标题1.1标题一...1"/>
    <w:basedOn w:val="6"/>
    <w:link w:val="804"/>
    <w:qFormat/>
    <w:uiPriority w:val="0"/>
    <w:pPr>
      <w:keepNext/>
      <w:keepLines/>
      <w:numPr>
        <w:ilvl w:val="0"/>
        <w:numId w:val="0"/>
      </w:numPr>
      <w:tabs>
        <w:tab w:val="left" w:pos="654"/>
        <w:tab w:val="clear" w:pos="-181"/>
      </w:tabs>
      <w:adjustRightInd/>
      <w:snapToGrid/>
      <w:spacing w:before="120" w:beforeLines="0" w:after="120" w:line="312" w:lineRule="auto"/>
      <w:ind w:left="141" w:hanging="567"/>
      <w:jc w:val="both"/>
      <w:textAlignment w:val="auto"/>
    </w:pPr>
    <w:rPr>
      <w:rFonts w:ascii="Arial" w:hAnsi="Arial" w:cstheme="minorBidi"/>
      <w:b/>
      <w:bCs/>
      <w:color w:val="000000"/>
      <w:spacing w:val="4"/>
      <w:kern w:val="2"/>
      <w:sz w:val="24"/>
      <w:szCs w:val="24"/>
    </w:rPr>
  </w:style>
  <w:style w:type="character" w:customStyle="1" w:styleId="806">
    <w:name w:val="五级标题王 Char"/>
    <w:link w:val="807"/>
    <w:qFormat/>
    <w:uiPriority w:val="0"/>
    <w:rPr>
      <w:rFonts w:ascii="黑体" w:hAnsi="宋体" w:eastAsia="黑体"/>
      <w:bCs/>
      <w:spacing w:val="4"/>
      <w:sz w:val="24"/>
      <w:szCs w:val="24"/>
    </w:rPr>
  </w:style>
  <w:style w:type="paragraph" w:customStyle="1" w:styleId="807">
    <w:name w:val="五级标题王"/>
    <w:basedOn w:val="7"/>
    <w:link w:val="806"/>
    <w:qFormat/>
    <w:uiPriority w:val="0"/>
    <w:pPr>
      <w:numPr>
        <w:ilvl w:val="0"/>
        <w:numId w:val="0"/>
      </w:numPr>
      <w:tabs>
        <w:tab w:val="left" w:pos="747"/>
      </w:tabs>
      <w:adjustRightInd w:val="0"/>
      <w:snapToGrid w:val="0"/>
      <w:spacing w:before="0" w:after="0" w:line="360" w:lineRule="auto"/>
      <w:jc w:val="left"/>
      <w:outlineLvl w:val="4"/>
    </w:pPr>
    <w:rPr>
      <w:rFonts w:ascii="黑体" w:eastAsia="黑体" w:cstheme="minorBidi"/>
      <w:b w:val="0"/>
      <w:color w:val="auto"/>
      <w:spacing w:val="4"/>
      <w:sz w:val="24"/>
      <w:szCs w:val="24"/>
    </w:rPr>
  </w:style>
  <w:style w:type="character" w:customStyle="1" w:styleId="808">
    <w:name w:val="一级标题 Char Char"/>
    <w:qFormat/>
    <w:uiPriority w:val="0"/>
    <w:rPr>
      <w:rFonts w:eastAsia="黑体"/>
      <w:b/>
      <w:bCs/>
      <w:kern w:val="44"/>
      <w:sz w:val="36"/>
      <w:szCs w:val="24"/>
    </w:rPr>
  </w:style>
  <w:style w:type="character" w:customStyle="1" w:styleId="809">
    <w:name w:val="样式 题注 + 首行缩进:  2 字符2 Char"/>
    <w:link w:val="810"/>
    <w:qFormat/>
    <w:uiPriority w:val="0"/>
    <w:rPr>
      <w:sz w:val="24"/>
    </w:rPr>
  </w:style>
  <w:style w:type="paragraph" w:customStyle="1" w:styleId="810">
    <w:name w:val="样式 题注 + 首行缩进:  2 字符2"/>
    <w:basedOn w:val="24"/>
    <w:link w:val="809"/>
    <w:qFormat/>
    <w:uiPriority w:val="0"/>
    <w:pPr>
      <w:adjustRightInd w:val="0"/>
      <w:snapToGrid w:val="0"/>
      <w:spacing w:line="240" w:lineRule="auto"/>
      <w:ind w:firstLine="480" w:firstLineChars="200"/>
      <w:jc w:val="both"/>
    </w:pPr>
    <w:rPr>
      <w:rFonts w:asciiTheme="minorHAnsi" w:hAnsiTheme="minorHAnsi" w:eastAsiaTheme="minorEastAsia" w:cstheme="minorBidi"/>
      <w:b w:val="0"/>
      <w:szCs w:val="22"/>
    </w:rPr>
  </w:style>
  <w:style w:type="character" w:customStyle="1" w:styleId="811">
    <w:name w:val="hb3 Char1"/>
    <w:link w:val="812"/>
    <w:qFormat/>
    <w:uiPriority w:val="0"/>
    <w:rPr>
      <w:rFonts w:ascii="宋体" w:hAnsi="宋体" w:eastAsia="黑体" w:cs="宋体"/>
      <w:sz w:val="24"/>
      <w:szCs w:val="24"/>
    </w:rPr>
  </w:style>
  <w:style w:type="paragraph" w:customStyle="1" w:styleId="812">
    <w:name w:val="hb3"/>
    <w:basedOn w:val="7"/>
    <w:link w:val="811"/>
    <w:qFormat/>
    <w:uiPriority w:val="0"/>
    <w:pPr>
      <w:numPr>
        <w:ilvl w:val="0"/>
        <w:numId w:val="0"/>
      </w:numPr>
      <w:adjustRightInd w:val="0"/>
      <w:snapToGrid w:val="0"/>
      <w:spacing w:before="360" w:beforeLines="50" w:after="180" w:afterLines="50" w:line="360" w:lineRule="auto"/>
      <w:ind w:firstLine="480" w:firstLineChars="200"/>
      <w:textAlignment w:val="baseline"/>
    </w:pPr>
    <w:rPr>
      <w:rFonts w:eastAsia="黑体" w:cs="宋体"/>
      <w:b w:val="0"/>
      <w:bCs w:val="0"/>
      <w:color w:val="auto"/>
      <w:sz w:val="24"/>
      <w:szCs w:val="24"/>
    </w:rPr>
  </w:style>
  <w:style w:type="character" w:customStyle="1" w:styleId="813">
    <w:name w:val="三级目录 Char"/>
    <w:link w:val="814"/>
    <w:qFormat/>
    <w:uiPriority w:val="0"/>
    <w:rPr>
      <w:rFonts w:eastAsia="黑体"/>
      <w:bCs/>
      <w:sz w:val="28"/>
      <w:szCs w:val="28"/>
    </w:rPr>
  </w:style>
  <w:style w:type="paragraph" w:customStyle="1" w:styleId="814">
    <w:name w:val="三级目录"/>
    <w:basedOn w:val="462"/>
    <w:link w:val="813"/>
    <w:qFormat/>
    <w:uiPriority w:val="0"/>
    <w:pPr>
      <w:numPr>
        <w:ilvl w:val="0"/>
        <w:numId w:val="0"/>
      </w:numPr>
      <w:tabs>
        <w:tab w:val="clear" w:pos="1365"/>
      </w:tabs>
      <w:adjustRightInd w:val="0"/>
      <w:spacing w:before="240" w:after="60" w:line="240" w:lineRule="auto"/>
    </w:pPr>
    <w:rPr>
      <w:rFonts w:eastAsia="黑体" w:asciiTheme="minorHAnsi" w:hAnsiTheme="minorHAnsi" w:cstheme="minorBidi"/>
      <w:b w:val="0"/>
      <w:color w:val="auto"/>
    </w:rPr>
  </w:style>
  <w:style w:type="character" w:customStyle="1" w:styleId="815">
    <w:name w:val="样式 四级标题 + (符号) 宋体 Char"/>
    <w:link w:val="816"/>
    <w:qFormat/>
    <w:uiPriority w:val="0"/>
    <w:rPr>
      <w:b/>
      <w:bCs/>
      <w:sz w:val="24"/>
    </w:rPr>
  </w:style>
  <w:style w:type="paragraph" w:customStyle="1" w:styleId="816">
    <w:name w:val="样式 四级标题 + (符号) 宋体"/>
    <w:basedOn w:val="817"/>
    <w:link w:val="815"/>
    <w:qFormat/>
    <w:uiPriority w:val="0"/>
    <w:pPr>
      <w:keepNext/>
      <w:keepLines/>
      <w:widowControl w:val="0"/>
      <w:tabs>
        <w:tab w:val="left" w:pos="1680"/>
      </w:tabs>
      <w:adjustRightInd w:val="0"/>
      <w:spacing w:line="360" w:lineRule="auto"/>
      <w:ind w:left="800" w:leftChars="800" w:hanging="420" w:hangingChars="200"/>
      <w:textAlignment w:val="baseline"/>
      <w:outlineLvl w:val="3"/>
    </w:pPr>
    <w:rPr>
      <w:rFonts w:asciiTheme="minorHAnsi" w:hAnsiTheme="minorHAnsi" w:eastAsiaTheme="minorEastAsia" w:cstheme="minorBidi"/>
      <w:b/>
      <w:bCs/>
      <w:kern w:val="2"/>
      <w:szCs w:val="22"/>
    </w:rPr>
  </w:style>
  <w:style w:type="paragraph" w:customStyle="1" w:styleId="817">
    <w:name w:val="四级标题"/>
    <w:basedOn w:val="1"/>
    <w:next w:val="1"/>
    <w:link w:val="818"/>
    <w:qFormat/>
    <w:uiPriority w:val="0"/>
    <w:pPr>
      <w:widowControl/>
      <w:spacing w:line="460" w:lineRule="exact"/>
      <w:jc w:val="left"/>
    </w:pPr>
    <w:rPr>
      <w:rFonts w:ascii="宋体" w:hAnsi="宋体"/>
      <w:kern w:val="0"/>
    </w:rPr>
  </w:style>
  <w:style w:type="character" w:customStyle="1" w:styleId="818">
    <w:name w:val="四级标题 Char"/>
    <w:link w:val="817"/>
    <w:qFormat/>
    <w:uiPriority w:val="0"/>
    <w:rPr>
      <w:rFonts w:ascii="宋体" w:hAnsi="宋体" w:eastAsia="宋体" w:cs="Times New Roman"/>
      <w:kern w:val="0"/>
      <w:sz w:val="24"/>
      <w:szCs w:val="24"/>
    </w:rPr>
  </w:style>
  <w:style w:type="character" w:customStyle="1" w:styleId="819">
    <w:name w:val="d1"/>
    <w:qFormat/>
    <w:uiPriority w:val="0"/>
    <w:rPr>
      <w:rFonts w:eastAsia="黑体"/>
      <w:snapToGrid w:val="0"/>
      <w:kern w:val="2"/>
      <w:sz w:val="21"/>
      <w:lang w:val="en-US" w:eastAsia="zh-CN"/>
    </w:rPr>
  </w:style>
  <w:style w:type="character" w:customStyle="1" w:styleId="820">
    <w:name w:val="正 Char1"/>
    <w:link w:val="821"/>
    <w:qFormat/>
    <w:uiPriority w:val="0"/>
    <w:rPr>
      <w:rFonts w:cs="宋体"/>
      <w:sz w:val="24"/>
      <w:lang w:bidi="en-US"/>
    </w:rPr>
  </w:style>
  <w:style w:type="paragraph" w:customStyle="1" w:styleId="821">
    <w:name w:val="正"/>
    <w:basedOn w:val="1"/>
    <w:link w:val="820"/>
    <w:qFormat/>
    <w:uiPriority w:val="0"/>
    <w:pPr>
      <w:widowControl/>
      <w:spacing w:beforeLines="25" w:afterLines="25" w:line="440" w:lineRule="exact"/>
      <w:ind w:firstLine="200" w:firstLineChars="200"/>
    </w:pPr>
    <w:rPr>
      <w:rFonts w:cs="宋体" w:asciiTheme="minorHAnsi" w:hAnsiTheme="minorHAnsi" w:eastAsiaTheme="minorEastAsia"/>
      <w:szCs w:val="22"/>
      <w:lang w:bidi="en-US"/>
    </w:rPr>
  </w:style>
  <w:style w:type="character" w:customStyle="1" w:styleId="822">
    <w:name w:val="user0011"/>
    <w:qFormat/>
    <w:uiPriority w:val="0"/>
    <w:rPr>
      <w:rFonts w:ascii="宋体" w:hAnsi="宋体" w:eastAsia="汉鼎简书宋" w:cs="宋体"/>
      <w:spacing w:val="4"/>
      <w:kern w:val="2"/>
      <w:sz w:val="18"/>
      <w:szCs w:val="18"/>
      <w:lang w:val="en-US" w:eastAsia="zh-CN" w:bidi="ar-SA"/>
    </w:rPr>
  </w:style>
  <w:style w:type="character" w:customStyle="1" w:styleId="823">
    <w:name w:val="正文new Char Char"/>
    <w:qFormat/>
    <w:uiPriority w:val="0"/>
  </w:style>
  <w:style w:type="character" w:customStyle="1" w:styleId="824">
    <w:name w:val="题注+ Char Char"/>
    <w:qFormat/>
    <w:uiPriority w:val="0"/>
    <w:rPr>
      <w:rFonts w:ascii="黑体" w:hAnsi="Arial" w:eastAsia="黑体" w:cs="Arial Unicode MS"/>
      <w:sz w:val="24"/>
      <w:szCs w:val="24"/>
      <w:lang w:val="en-US" w:eastAsia="zh-CN" w:bidi="ar-SA"/>
    </w:rPr>
  </w:style>
  <w:style w:type="character" w:customStyle="1" w:styleId="825">
    <w:name w:val="样式 首行缩进:  2 字符3 Char Char"/>
    <w:qFormat/>
    <w:uiPriority w:val="0"/>
    <w:rPr>
      <w:rFonts w:ascii="宋体" w:hAnsi="宋体" w:eastAsia="宋体" w:cs="宋体"/>
      <w:spacing w:val="4"/>
      <w:kern w:val="2"/>
      <w:sz w:val="24"/>
      <w:szCs w:val="24"/>
      <w:lang w:val="en-US" w:eastAsia="zh-CN" w:bidi="ar-SA"/>
    </w:rPr>
  </w:style>
  <w:style w:type="character" w:customStyle="1" w:styleId="826">
    <w:name w:val="p4"/>
    <w:qFormat/>
    <w:uiPriority w:val="0"/>
  </w:style>
  <w:style w:type="character" w:customStyle="1" w:styleId="827">
    <w:name w:val="头 Char"/>
    <w:qFormat/>
    <w:uiPriority w:val="0"/>
    <w:rPr>
      <w:rFonts w:ascii="宋体" w:hAnsi="宋体" w:eastAsia="宋体" w:cs="宋体"/>
      <w:b/>
      <w:spacing w:val="4"/>
      <w:kern w:val="2"/>
      <w:sz w:val="32"/>
      <w:szCs w:val="24"/>
      <w:lang w:val="en-US" w:eastAsia="zh-CN" w:bidi="ar-SA"/>
    </w:rPr>
  </w:style>
  <w:style w:type="character" w:customStyle="1" w:styleId="828">
    <w:name w:val="题注AT Char Char"/>
    <w:qFormat/>
    <w:uiPriority w:val="0"/>
    <w:rPr>
      <w:rFonts w:ascii="Arial" w:hAnsi="Arial" w:eastAsia="黑体" w:cs="Arial"/>
      <w:kern w:val="2"/>
      <w:lang w:val="en-US" w:eastAsia="zh-CN" w:bidi="ar-SA"/>
    </w:rPr>
  </w:style>
  <w:style w:type="character" w:customStyle="1" w:styleId="829">
    <w:name w:val="投标文件正文 Char"/>
    <w:link w:val="830"/>
    <w:qFormat/>
    <w:locked/>
    <w:uiPriority w:val="0"/>
    <w:rPr>
      <w:rFonts w:ascii="Arial" w:hAnsi="Arial" w:eastAsia="汉鼎简书宋"/>
      <w:iCs/>
      <w:color w:val="000000"/>
      <w:spacing w:val="4"/>
      <w:sz w:val="24"/>
      <w:szCs w:val="24"/>
    </w:rPr>
  </w:style>
  <w:style w:type="paragraph" w:customStyle="1" w:styleId="830">
    <w:name w:val="投标文件正文"/>
    <w:basedOn w:val="1"/>
    <w:link w:val="829"/>
    <w:qFormat/>
    <w:uiPriority w:val="0"/>
    <w:pPr>
      <w:spacing w:line="400" w:lineRule="exact"/>
      <w:ind w:right="33" w:firstLine="480" w:firstLineChars="200"/>
      <w:jc w:val="left"/>
    </w:pPr>
    <w:rPr>
      <w:rFonts w:ascii="Arial" w:hAnsi="Arial" w:eastAsia="汉鼎简书宋" w:cstheme="minorBidi"/>
      <w:iCs/>
      <w:color w:val="000000"/>
      <w:spacing w:val="4"/>
    </w:rPr>
  </w:style>
  <w:style w:type="character" w:customStyle="1" w:styleId="831">
    <w:name w:val="蒲标题2 Char Char"/>
    <w:qFormat/>
    <w:uiPriority w:val="0"/>
    <w:rPr>
      <w:rFonts w:ascii="宋体" w:hAnsi="宋体" w:eastAsia="宋体" w:cs="宋体"/>
      <w:b/>
      <w:bCs/>
      <w:snapToGrid w:val="0"/>
      <w:spacing w:val="4"/>
      <w:kern w:val="2"/>
      <w:sz w:val="28"/>
      <w:szCs w:val="28"/>
      <w:lang w:val="en-US" w:eastAsia="zh-CN" w:bidi="ar-SA"/>
    </w:rPr>
  </w:style>
  <w:style w:type="character" w:customStyle="1" w:styleId="832">
    <w:name w:val="普通文字 Char Char Char Char"/>
    <w:qFormat/>
    <w:uiPriority w:val="0"/>
    <w:rPr>
      <w:rFonts w:ascii="Courier New" w:hAnsi="Courier New" w:eastAsia="楷体_GB2312" w:cs="Times New Roman"/>
      <w:kern w:val="2"/>
      <w:sz w:val="28"/>
      <w:lang w:val="en-US" w:eastAsia="zh-CN" w:bidi="ar-SA"/>
    </w:rPr>
  </w:style>
  <w:style w:type="character" w:customStyle="1" w:styleId="833">
    <w:name w:val="样式 正文首行缩进 + 四号 黑色 Char Char"/>
    <w:qFormat/>
    <w:uiPriority w:val="0"/>
    <w:rPr>
      <w:rFonts w:ascii="宋体" w:hAnsi="宋体" w:eastAsia="宋体" w:cs="宋体"/>
      <w:color w:val="000000"/>
      <w:spacing w:val="4"/>
      <w:kern w:val="2"/>
      <w:sz w:val="28"/>
      <w:szCs w:val="24"/>
      <w:lang w:val="en-US" w:eastAsia="zh-CN" w:bidi="ar-SA"/>
    </w:rPr>
  </w:style>
  <w:style w:type="character" w:customStyle="1" w:styleId="834">
    <w:name w:val="表13.9 Char Char"/>
    <w:link w:val="835"/>
    <w:qFormat/>
    <w:uiPriority w:val="0"/>
    <w:rPr>
      <w:rFonts w:ascii="黑体" w:hAnsi="宋体" w:eastAsia="黑体"/>
      <w:b/>
      <w:spacing w:val="4"/>
      <w:sz w:val="24"/>
      <w:szCs w:val="24"/>
    </w:rPr>
  </w:style>
  <w:style w:type="paragraph" w:customStyle="1" w:styleId="835">
    <w:name w:val="表13.9"/>
    <w:basedOn w:val="1"/>
    <w:link w:val="834"/>
    <w:qFormat/>
    <w:uiPriority w:val="0"/>
    <w:pPr>
      <w:tabs>
        <w:tab w:val="left" w:pos="4080"/>
        <w:tab w:val="right" w:pos="8261"/>
      </w:tabs>
      <w:suppressAutoHyphens/>
      <w:adjustRightInd w:val="0"/>
      <w:spacing w:before="240" w:line="0" w:lineRule="atLeast"/>
      <w:ind w:left="3420" w:hanging="420"/>
    </w:pPr>
    <w:rPr>
      <w:rFonts w:ascii="黑体" w:hAnsi="宋体" w:eastAsia="黑体" w:cstheme="minorBidi"/>
      <w:b/>
      <w:spacing w:val="4"/>
    </w:rPr>
  </w:style>
  <w:style w:type="character" w:customStyle="1" w:styleId="836">
    <w:name w:val="z-窗体底端 Char"/>
    <w:link w:val="837"/>
    <w:qFormat/>
    <w:uiPriority w:val="0"/>
    <w:rPr>
      <w:rFonts w:ascii="Arial" w:hAnsi="Arial" w:eastAsia="宋体" w:cs="Times New Roman"/>
      <w:vanish/>
      <w:sz w:val="16"/>
      <w:szCs w:val="16"/>
    </w:rPr>
  </w:style>
  <w:style w:type="paragraph" w:customStyle="1" w:styleId="837">
    <w:name w:val="z-窗体底端1"/>
    <w:basedOn w:val="1"/>
    <w:next w:val="1"/>
    <w:link w:val="836"/>
    <w:qFormat/>
    <w:uiPriority w:val="0"/>
    <w:pPr>
      <w:widowControl/>
      <w:pBdr>
        <w:top w:val="single" w:color="auto" w:sz="6" w:space="1"/>
      </w:pBdr>
      <w:spacing w:line="240" w:lineRule="auto"/>
      <w:jc w:val="center"/>
    </w:pPr>
    <w:rPr>
      <w:rFonts w:ascii="Arial" w:hAnsi="Arial"/>
      <w:vanish/>
      <w:sz w:val="16"/>
      <w:szCs w:val="16"/>
    </w:rPr>
  </w:style>
  <w:style w:type="character" w:customStyle="1" w:styleId="838">
    <w:name w:val="正文1 Char Char5"/>
    <w:qFormat/>
    <w:uiPriority w:val="0"/>
    <w:rPr>
      <w:rFonts w:ascii="宋体" w:hAnsi="宋体" w:eastAsia="宋体" w:cs="宋体"/>
      <w:spacing w:val="4"/>
      <w:kern w:val="2"/>
      <w:sz w:val="21"/>
      <w:szCs w:val="21"/>
      <w:lang w:val="en-US" w:eastAsia="zh-CN" w:bidi="ar-SA"/>
    </w:rPr>
  </w:style>
  <w:style w:type="character" w:customStyle="1" w:styleId="839">
    <w:name w:val="第一条1"/>
    <w:qFormat/>
    <w:uiPriority w:val="0"/>
    <w:rPr>
      <w:rFonts w:hint="eastAsia" w:ascii="黑体" w:eastAsia="黑体"/>
      <w:spacing w:val="400"/>
      <w:sz w:val="24"/>
      <w:szCs w:val="24"/>
    </w:rPr>
  </w:style>
  <w:style w:type="character" w:customStyle="1" w:styleId="840">
    <w:name w:val="正文（首行缩进两字） Char Char Char Char Char Char Char Char Char Char Char Char Char Char Char Char Char Char Char Char Char Char Char Char Char Char Char Char Char Char Char Char Char Char Char Char Char Char Char Char Char Char Char Char Char Char Char"/>
    <w:qFormat/>
    <w:uiPriority w:val="0"/>
    <w:rPr>
      <w:rFonts w:eastAsia="宋体"/>
      <w:kern w:val="2"/>
      <w:sz w:val="28"/>
      <w:lang w:val="en-US" w:eastAsia="zh-CN" w:bidi="ar-SA"/>
    </w:rPr>
  </w:style>
  <w:style w:type="character" w:customStyle="1" w:styleId="841">
    <w:name w:val="1正文段落 Char Char"/>
    <w:qFormat/>
    <w:uiPriority w:val="0"/>
    <w:rPr>
      <w:rFonts w:ascii="宋体" w:hAnsi="宋体" w:eastAsia="宋体" w:cs="宋体"/>
      <w:snapToGrid w:val="0"/>
      <w:color w:val="000000"/>
      <w:spacing w:val="4"/>
      <w:kern w:val="2"/>
      <w:sz w:val="24"/>
      <w:szCs w:val="24"/>
      <w:lang w:val="en-US" w:eastAsia="zh-CN" w:bidi="ar-SA"/>
    </w:rPr>
  </w:style>
  <w:style w:type="character" w:customStyle="1" w:styleId="842">
    <w:name w:val="样式 正文样式1 + 首行缩进:  2 字符 Char Char"/>
    <w:qFormat/>
    <w:uiPriority w:val="0"/>
    <w:rPr>
      <w:rFonts w:ascii="宋体" w:hAnsi="宋体" w:eastAsia="宋体" w:cs="宋体"/>
      <w:spacing w:val="4"/>
      <w:kern w:val="2"/>
      <w:sz w:val="24"/>
      <w:szCs w:val="24"/>
      <w:lang w:val="en-US" w:eastAsia="zh-CN" w:bidi="ar-SA"/>
    </w:rPr>
  </w:style>
  <w:style w:type="character" w:customStyle="1" w:styleId="843">
    <w:name w:val="重点引导"/>
    <w:qFormat/>
    <w:uiPriority w:val="0"/>
    <w:rPr>
      <w:b/>
      <w:i/>
    </w:rPr>
  </w:style>
  <w:style w:type="character" w:customStyle="1" w:styleId="844">
    <w:name w:val="zw1"/>
    <w:qFormat/>
    <w:uiPriority w:val="0"/>
    <w:rPr>
      <w:rFonts w:ascii="宋体" w:hAnsi="宋体" w:eastAsia="宋体" w:cs="宋体"/>
      <w:spacing w:val="4"/>
      <w:kern w:val="2"/>
      <w:sz w:val="22"/>
      <w:szCs w:val="22"/>
      <w:lang w:val="en-US" w:eastAsia="zh-CN" w:bidi="ar-SA"/>
    </w:rPr>
  </w:style>
  <w:style w:type="character" w:customStyle="1" w:styleId="845">
    <w:name w:val="zhengwen1"/>
    <w:qFormat/>
    <w:uiPriority w:val="0"/>
    <w:rPr>
      <w:rFonts w:hint="default" w:eastAsia="汉鼎简书宋" w:cs="宋体"/>
      <w:spacing w:val="4"/>
      <w:kern w:val="2"/>
      <w:sz w:val="18"/>
      <w:szCs w:val="18"/>
      <w:u w:val="none"/>
      <w:lang w:val="en-US" w:eastAsia="zh-CN" w:bidi="ar-SA"/>
    </w:rPr>
  </w:style>
  <w:style w:type="character" w:customStyle="1" w:styleId="846">
    <w:name w:val="陶瓷四级 Char"/>
    <w:link w:val="847"/>
    <w:qFormat/>
    <w:uiPriority w:val="0"/>
    <w:rPr>
      <w:b/>
      <w:sz w:val="28"/>
      <w:szCs w:val="24"/>
    </w:rPr>
  </w:style>
  <w:style w:type="paragraph" w:customStyle="1" w:styleId="847">
    <w:name w:val="陶瓷四级"/>
    <w:basedOn w:val="817"/>
    <w:link w:val="846"/>
    <w:qFormat/>
    <w:uiPriority w:val="0"/>
    <w:pPr>
      <w:widowControl w:val="0"/>
      <w:tabs>
        <w:tab w:val="left" w:pos="1080"/>
      </w:tabs>
      <w:adjustRightInd w:val="0"/>
      <w:snapToGrid w:val="0"/>
      <w:spacing w:line="360" w:lineRule="auto"/>
      <w:ind w:left="864" w:hanging="864"/>
    </w:pPr>
    <w:rPr>
      <w:rFonts w:asciiTheme="minorHAnsi" w:hAnsiTheme="minorHAnsi" w:eastAsiaTheme="minorEastAsia" w:cstheme="minorBidi"/>
      <w:b/>
      <w:kern w:val="2"/>
      <w:sz w:val="28"/>
    </w:rPr>
  </w:style>
  <w:style w:type="character" w:customStyle="1" w:styleId="848">
    <w:name w:val="Char Char7"/>
    <w:qFormat/>
    <w:uiPriority w:val="0"/>
    <w:rPr>
      <w:rFonts w:ascii="Cambria" w:hAnsi="Cambria" w:eastAsia="宋体" w:cs="Times New Roman"/>
      <w:b/>
      <w:bCs/>
      <w:kern w:val="2"/>
      <w:sz w:val="28"/>
      <w:szCs w:val="28"/>
    </w:rPr>
  </w:style>
  <w:style w:type="character" w:customStyle="1" w:styleId="849">
    <w:name w:val="样式 正文文字标准 + 非加粗 黑色"/>
    <w:qFormat/>
    <w:uiPriority w:val="0"/>
    <w:rPr>
      <w:rFonts w:ascii="Times New Roman" w:hAnsi="Times New Roman" w:eastAsia="宋体" w:cs="Times New Roman"/>
      <w:color w:val="000000"/>
    </w:rPr>
  </w:style>
  <w:style w:type="character" w:customStyle="1" w:styleId="850">
    <w:name w:val="标题 6 Char Char"/>
    <w:qFormat/>
    <w:uiPriority w:val="0"/>
    <w:rPr>
      <w:rFonts w:eastAsia="宋体"/>
      <w:b/>
      <w:bCs/>
      <w:sz w:val="22"/>
      <w:szCs w:val="22"/>
      <w:lang w:val="en-US" w:eastAsia="en-US" w:bidi="en-US"/>
    </w:rPr>
  </w:style>
  <w:style w:type="character" w:customStyle="1" w:styleId="851">
    <w:name w:val="Se Char"/>
    <w:qFormat/>
    <w:uiPriority w:val="0"/>
    <w:rPr>
      <w:rFonts w:ascii="Arial" w:hAnsi="Arial" w:eastAsia="黑体" w:cs="Times New Roman"/>
      <w:b/>
      <w:bCs/>
      <w:sz w:val="32"/>
      <w:szCs w:val="32"/>
    </w:rPr>
  </w:style>
  <w:style w:type="character" w:customStyle="1" w:styleId="852">
    <w:name w:val="bt21"/>
    <w:qFormat/>
    <w:uiPriority w:val="0"/>
    <w:rPr>
      <w:rFonts w:ascii="黑体" w:hAnsi="宋体" w:eastAsia="黑体" w:cs="宋体"/>
      <w:spacing w:val="4"/>
      <w:kern w:val="2"/>
      <w:sz w:val="24"/>
      <w:szCs w:val="24"/>
      <w:lang w:val="en-US" w:eastAsia="zh-CN" w:bidi="ar-SA"/>
    </w:rPr>
  </w:style>
  <w:style w:type="character" w:customStyle="1" w:styleId="853">
    <w:name w:val="正文小四 Char Char"/>
    <w:qFormat/>
    <w:uiPriority w:val="0"/>
    <w:rPr>
      <w:rFonts w:ascii="宋体" w:hAnsi="宋体" w:eastAsia="汉鼎简书宋" w:cs="宋体"/>
      <w:spacing w:val="4"/>
      <w:kern w:val="2"/>
      <w:sz w:val="24"/>
      <w:szCs w:val="24"/>
      <w:lang w:val="en-US" w:eastAsia="zh-CN" w:bidi="ar-SA"/>
    </w:rPr>
  </w:style>
  <w:style w:type="character" w:customStyle="1" w:styleId="854">
    <w:name w:val="报告书正文 Char Char Char"/>
    <w:link w:val="855"/>
    <w:qFormat/>
    <w:uiPriority w:val="0"/>
    <w:rPr>
      <w:sz w:val="24"/>
      <w:szCs w:val="24"/>
    </w:rPr>
  </w:style>
  <w:style w:type="paragraph" w:customStyle="1" w:styleId="855">
    <w:name w:val="报告书正文 Char Char"/>
    <w:basedOn w:val="1"/>
    <w:link w:val="854"/>
    <w:qFormat/>
    <w:uiPriority w:val="0"/>
    <w:pPr>
      <w:spacing w:line="300" w:lineRule="auto"/>
      <w:ind w:firstLine="480" w:firstLineChars="200"/>
    </w:pPr>
    <w:rPr>
      <w:rFonts w:asciiTheme="minorHAnsi" w:hAnsiTheme="minorHAnsi" w:eastAsiaTheme="minorEastAsia" w:cstheme="minorBidi"/>
    </w:rPr>
  </w:style>
  <w:style w:type="character" w:customStyle="1" w:styleId="856">
    <w:name w:val="apple-converted-space"/>
    <w:qFormat/>
    <w:uiPriority w:val="0"/>
    <w:rPr>
      <w:rFonts w:ascii="Times New Roman" w:hAnsi="Times New Roman" w:eastAsia="宋体" w:cs="Times New Roman"/>
    </w:rPr>
  </w:style>
  <w:style w:type="character" w:customStyle="1" w:styleId="857">
    <w:name w:val="标题 8 Char1"/>
    <w:qFormat/>
    <w:uiPriority w:val="0"/>
    <w:rPr>
      <w:rFonts w:ascii="Arial" w:hAnsi="Arial" w:eastAsia="黑体"/>
      <w:spacing w:val="8"/>
      <w:sz w:val="24"/>
    </w:rPr>
  </w:style>
  <w:style w:type="character" w:customStyle="1" w:styleId="858">
    <w:name w:val="样式 正文文本缩进 2正文文字缩进 2 + 四号 蓝色 Char Char"/>
    <w:link w:val="859"/>
    <w:qFormat/>
    <w:uiPriority w:val="0"/>
    <w:rPr>
      <w:rFonts w:ascii="宋体" w:hAnsi="宋体"/>
      <w:color w:val="0000FF"/>
      <w:spacing w:val="8"/>
      <w:sz w:val="24"/>
      <w:szCs w:val="24"/>
    </w:rPr>
  </w:style>
  <w:style w:type="paragraph" w:customStyle="1" w:styleId="859">
    <w:name w:val="样式 正文文本缩进 2正文文字缩进 2 + 四号 蓝色 Char"/>
    <w:basedOn w:val="52"/>
    <w:link w:val="858"/>
    <w:qFormat/>
    <w:uiPriority w:val="0"/>
    <w:pPr>
      <w:adjustRightInd w:val="0"/>
      <w:spacing w:line="480" w:lineRule="exact"/>
      <w:ind w:firstLine="709"/>
    </w:pPr>
    <w:rPr>
      <w:rFonts w:eastAsiaTheme="minorEastAsia" w:cstheme="minorBidi"/>
      <w:color w:val="0000FF"/>
      <w:spacing w:val="8"/>
      <w:sz w:val="24"/>
    </w:rPr>
  </w:style>
  <w:style w:type="character" w:customStyle="1" w:styleId="860">
    <w:name w:val="正文 首行缩进:  2 字符 SL CON Char"/>
    <w:link w:val="861"/>
    <w:qFormat/>
    <w:locked/>
    <w:uiPriority w:val="0"/>
    <w:rPr>
      <w:rFonts w:ascii="宋体" w:hAnsi="宋体" w:cs="宋体"/>
      <w:sz w:val="24"/>
      <w:szCs w:val="24"/>
    </w:rPr>
  </w:style>
  <w:style w:type="paragraph" w:customStyle="1" w:styleId="861">
    <w:name w:val="正文 首行缩进:  2 字符 SL CON"/>
    <w:basedOn w:val="1"/>
    <w:link w:val="860"/>
    <w:qFormat/>
    <w:uiPriority w:val="0"/>
    <w:pPr>
      <w:widowControl/>
      <w:tabs>
        <w:tab w:val="left" w:pos="377"/>
      </w:tabs>
      <w:ind w:firstLine="200" w:firstLineChars="200"/>
    </w:pPr>
    <w:rPr>
      <w:rFonts w:ascii="宋体" w:hAnsi="宋体" w:cs="宋体" w:eastAsiaTheme="minorEastAsia"/>
    </w:rPr>
  </w:style>
  <w:style w:type="character" w:customStyle="1" w:styleId="862">
    <w:name w:val="style21"/>
    <w:qFormat/>
    <w:uiPriority w:val="0"/>
    <w:rPr>
      <w:color w:val="336666"/>
    </w:rPr>
  </w:style>
  <w:style w:type="character" w:customStyle="1" w:styleId="863">
    <w:name w:val="pt51"/>
    <w:qFormat/>
    <w:uiPriority w:val="0"/>
    <w:rPr>
      <w:spacing w:val="330"/>
      <w:sz w:val="21"/>
      <w:szCs w:val="21"/>
    </w:rPr>
  </w:style>
  <w:style w:type="character" w:customStyle="1" w:styleId="864">
    <w:name w:val="表格内正文 Char1"/>
    <w:link w:val="865"/>
    <w:qFormat/>
    <w:uiPriority w:val="0"/>
    <w:rPr>
      <w:rFonts w:ascii="宋体" w:hAnsi="宋体"/>
      <w:spacing w:val="4"/>
      <w:kern w:val="18"/>
      <w:sz w:val="24"/>
      <w:szCs w:val="24"/>
    </w:rPr>
  </w:style>
  <w:style w:type="paragraph" w:customStyle="1" w:styleId="865">
    <w:name w:val="表格内正文"/>
    <w:basedOn w:val="1"/>
    <w:link w:val="864"/>
    <w:qFormat/>
    <w:uiPriority w:val="0"/>
    <w:pPr>
      <w:ind w:firstLine="493"/>
    </w:pPr>
    <w:rPr>
      <w:rFonts w:ascii="宋体" w:hAnsi="宋体" w:eastAsiaTheme="minorEastAsia" w:cstheme="minorBidi"/>
      <w:spacing w:val="4"/>
      <w:kern w:val="18"/>
    </w:rPr>
  </w:style>
  <w:style w:type="character" w:customStyle="1" w:styleId="866">
    <w:name w:val="样式 (符号) 宋体 四号1"/>
    <w:qFormat/>
    <w:uiPriority w:val="0"/>
    <w:rPr>
      <w:rFonts w:ascii="宋体" w:hAnsi="宋体" w:eastAsia="宋体" w:cs="宋体"/>
      <w:color w:val="auto"/>
      <w:spacing w:val="4"/>
      <w:kern w:val="2"/>
      <w:sz w:val="28"/>
      <w:szCs w:val="24"/>
      <w:lang w:val="en-US" w:eastAsia="zh-CN" w:bidi="ar-SA"/>
    </w:rPr>
  </w:style>
  <w:style w:type="character" w:customStyle="1" w:styleId="867">
    <w:name w:val="word2"/>
    <w:qFormat/>
    <w:uiPriority w:val="0"/>
    <w:rPr>
      <w:rFonts w:ascii="宋体" w:hAnsi="宋体" w:eastAsia="宋体" w:cs="宋体"/>
      <w:spacing w:val="4"/>
      <w:kern w:val="2"/>
      <w:sz w:val="21"/>
      <w:szCs w:val="24"/>
      <w:lang w:val="en-US" w:eastAsia="zh-CN" w:bidi="ar-SA"/>
    </w:rPr>
  </w:style>
  <w:style w:type="character" w:customStyle="1" w:styleId="868">
    <w:name w:val="表头王 Char Char"/>
    <w:qFormat/>
    <w:uiPriority w:val="0"/>
    <w:rPr>
      <w:rFonts w:ascii="黑体" w:hAnsi="宋体" w:eastAsia="黑体" w:cs="宋体"/>
      <w:b/>
      <w:spacing w:val="4"/>
      <w:kern w:val="2"/>
      <w:sz w:val="24"/>
      <w:szCs w:val="24"/>
      <w:lang w:val="zh-CN" w:eastAsia="zh-CN" w:bidi="ar-SA"/>
    </w:rPr>
  </w:style>
  <w:style w:type="character" w:customStyle="1" w:styleId="869">
    <w:name w:val="表格内容 Char Char"/>
    <w:qFormat/>
    <w:uiPriority w:val="0"/>
    <w:rPr>
      <w:rFonts w:ascii="Arial" w:hAnsi="Arial" w:eastAsia="仿宋_GB2312"/>
      <w:sz w:val="24"/>
      <w:lang w:val="en-US" w:eastAsia="zh-CN"/>
    </w:rPr>
  </w:style>
  <w:style w:type="character" w:customStyle="1" w:styleId="870">
    <w:name w:val="表头样式1 Char"/>
    <w:link w:val="871"/>
    <w:qFormat/>
    <w:uiPriority w:val="0"/>
    <w:rPr>
      <w:rFonts w:ascii="仿宋_GB2312" w:eastAsia="仿宋_GB2312"/>
      <w:bCs/>
      <w:sz w:val="24"/>
    </w:rPr>
  </w:style>
  <w:style w:type="paragraph" w:customStyle="1" w:styleId="871">
    <w:name w:val="表头样式1"/>
    <w:basedOn w:val="1"/>
    <w:link w:val="870"/>
    <w:qFormat/>
    <w:uiPriority w:val="0"/>
    <w:pPr>
      <w:spacing w:before="120"/>
      <w:ind w:right="-514" w:rightChars="-245"/>
      <w:jc w:val="center"/>
    </w:pPr>
    <w:rPr>
      <w:rFonts w:ascii="仿宋_GB2312" w:eastAsia="仿宋_GB2312" w:hAnsiTheme="minorHAnsi" w:cstheme="minorBidi"/>
      <w:bCs/>
      <w:szCs w:val="22"/>
    </w:rPr>
  </w:style>
  <w:style w:type="character" w:customStyle="1" w:styleId="872">
    <w:name w:val="px14"/>
    <w:qFormat/>
    <w:uiPriority w:val="0"/>
    <w:rPr>
      <w:rFonts w:ascii="Times New Roman" w:hAnsi="Times New Roman" w:eastAsia="宋体" w:cs="Times New Roman"/>
    </w:rPr>
  </w:style>
  <w:style w:type="character" w:customStyle="1" w:styleId="873">
    <w:name w:val="正文1 Char Char Char Char1 Char Char"/>
    <w:qFormat/>
    <w:uiPriority w:val="0"/>
    <w:rPr>
      <w:rFonts w:ascii="宋体" w:hAnsi="宋体" w:eastAsia="宋体" w:cs="宋体"/>
      <w:spacing w:val="4"/>
      <w:kern w:val="2"/>
      <w:sz w:val="24"/>
      <w:szCs w:val="28"/>
      <w:lang w:val="en-US" w:eastAsia="zh-CN" w:bidi="ar-SA"/>
    </w:rPr>
  </w:style>
  <w:style w:type="character" w:customStyle="1" w:styleId="874">
    <w:name w:val="表文字 Char1"/>
    <w:qFormat/>
    <w:uiPriority w:val="0"/>
    <w:rPr>
      <w:rFonts w:eastAsia="宋体"/>
      <w:kern w:val="2"/>
      <w:sz w:val="21"/>
      <w:szCs w:val="21"/>
      <w:lang w:val="en-US" w:eastAsia="zh-CN" w:bidi="ar-SA"/>
    </w:rPr>
  </w:style>
  <w:style w:type="character" w:customStyle="1" w:styleId="875">
    <w:name w:val="批注文字 Char1"/>
    <w:qFormat/>
    <w:uiPriority w:val="0"/>
    <w:rPr>
      <w:kern w:val="2"/>
      <w:sz w:val="21"/>
      <w:szCs w:val="24"/>
    </w:rPr>
  </w:style>
  <w:style w:type="character" w:customStyle="1" w:styleId="876">
    <w:name w:val="haydonli Char"/>
    <w:link w:val="877"/>
    <w:qFormat/>
    <w:uiPriority w:val="0"/>
    <w:rPr>
      <w:sz w:val="24"/>
      <w:szCs w:val="24"/>
    </w:rPr>
  </w:style>
  <w:style w:type="paragraph" w:customStyle="1" w:styleId="877">
    <w:name w:val="haydonli"/>
    <w:basedOn w:val="1"/>
    <w:link w:val="876"/>
    <w:qFormat/>
    <w:uiPriority w:val="0"/>
    <w:pPr>
      <w:snapToGrid w:val="0"/>
      <w:ind w:firstLine="200" w:firstLineChars="200"/>
    </w:pPr>
    <w:rPr>
      <w:rFonts w:asciiTheme="minorHAnsi" w:hAnsiTheme="minorHAnsi" w:eastAsiaTheme="minorEastAsia" w:cstheme="minorBidi"/>
    </w:rPr>
  </w:style>
  <w:style w:type="character" w:customStyle="1" w:styleId="878">
    <w:name w:val="表中 Char Char"/>
    <w:qFormat/>
    <w:uiPriority w:val="0"/>
    <w:rPr>
      <w:rFonts w:ascii="宋体" w:hAnsi="宋体"/>
      <w:sz w:val="18"/>
      <w:szCs w:val="18"/>
      <w:lang w:val="en-US" w:eastAsia="zh-CN" w:bidi="ar-SA"/>
    </w:rPr>
  </w:style>
  <w:style w:type="character" w:customStyle="1" w:styleId="879">
    <w:name w:val="正文文本1.35 Char Char"/>
    <w:qFormat/>
    <w:uiPriority w:val="0"/>
    <w:rPr>
      <w:kern w:val="2"/>
      <w:sz w:val="28"/>
      <w:lang w:bidi="ar-SA"/>
    </w:rPr>
  </w:style>
  <w:style w:type="character" w:customStyle="1" w:styleId="880">
    <w:name w:val="表名 Char3"/>
    <w:link w:val="881"/>
    <w:qFormat/>
    <w:uiPriority w:val="0"/>
    <w:rPr>
      <w:rFonts w:ascii="黑体" w:eastAsia="黑体"/>
      <w:kern w:val="24"/>
    </w:rPr>
  </w:style>
  <w:style w:type="paragraph" w:customStyle="1" w:styleId="881">
    <w:name w:val="表名"/>
    <w:basedOn w:val="1"/>
    <w:link w:val="880"/>
    <w:qFormat/>
    <w:uiPriority w:val="0"/>
    <w:pPr>
      <w:keepNext/>
      <w:overflowPunct w:val="0"/>
      <w:adjustRightInd w:val="0"/>
      <w:spacing w:before="240" w:line="240" w:lineRule="auto"/>
      <w:jc w:val="center"/>
      <w:textAlignment w:val="baseline"/>
    </w:pPr>
    <w:rPr>
      <w:rFonts w:ascii="黑体" w:eastAsia="黑体" w:hAnsiTheme="minorHAnsi" w:cstheme="minorBidi"/>
      <w:kern w:val="24"/>
      <w:sz w:val="21"/>
      <w:szCs w:val="22"/>
    </w:rPr>
  </w:style>
  <w:style w:type="character" w:customStyle="1" w:styleId="882">
    <w:name w:val="样式 仿宋_GB2312 加粗"/>
    <w:qFormat/>
    <w:uiPriority w:val="0"/>
    <w:rPr>
      <w:rFonts w:ascii="仿宋_GB2312"/>
      <w:b/>
      <w:bCs/>
      <w:sz w:val="28"/>
      <w:szCs w:val="28"/>
    </w:rPr>
  </w:style>
  <w:style w:type="character" w:customStyle="1" w:styleId="883">
    <w:name w:val="表名 Char Char Char Char"/>
    <w:qFormat/>
    <w:uiPriority w:val="0"/>
    <w:rPr>
      <w:rFonts w:ascii="Arial" w:hAnsi="Arial" w:eastAsia="黑体" w:cs="宋体"/>
      <w:spacing w:val="4"/>
      <w:kern w:val="2"/>
      <w:sz w:val="21"/>
      <w:szCs w:val="24"/>
      <w:lang w:val="en-US" w:eastAsia="zh-CN" w:bidi="ar-SA"/>
    </w:rPr>
  </w:style>
  <w:style w:type="character" w:customStyle="1" w:styleId="884">
    <w:name w:val="4级标题 Char"/>
    <w:link w:val="885"/>
    <w:qFormat/>
    <w:uiPriority w:val="0"/>
    <w:rPr>
      <w:rFonts w:eastAsia="隶书"/>
      <w:b/>
      <w:color w:val="000000"/>
      <w:sz w:val="24"/>
      <w:szCs w:val="24"/>
    </w:rPr>
  </w:style>
  <w:style w:type="paragraph" w:customStyle="1" w:styleId="885">
    <w:name w:val="4级标题"/>
    <w:basedOn w:val="1"/>
    <w:link w:val="884"/>
    <w:qFormat/>
    <w:uiPriority w:val="0"/>
    <w:pPr>
      <w:spacing w:beforeLines="50" w:afterLines="50" w:line="240" w:lineRule="auto"/>
    </w:pPr>
    <w:rPr>
      <w:rFonts w:eastAsia="隶书" w:asciiTheme="minorHAnsi" w:hAnsiTheme="minorHAnsi" w:cstheme="minorBidi"/>
      <w:b/>
      <w:color w:val="000000"/>
    </w:rPr>
  </w:style>
  <w:style w:type="character" w:customStyle="1" w:styleId="886">
    <w:name w:val="【标题2】 Char"/>
    <w:link w:val="887"/>
    <w:qFormat/>
    <w:uiPriority w:val="0"/>
    <w:rPr>
      <w:rFonts w:eastAsia="黑体"/>
      <w:bCs/>
      <w:spacing w:val="4"/>
      <w:sz w:val="32"/>
      <w:szCs w:val="24"/>
    </w:rPr>
  </w:style>
  <w:style w:type="paragraph" w:customStyle="1" w:styleId="887">
    <w:name w:val="【标题2】"/>
    <w:basedOn w:val="6"/>
    <w:link w:val="886"/>
    <w:qFormat/>
    <w:uiPriority w:val="0"/>
    <w:pPr>
      <w:keepNext/>
      <w:keepLines/>
      <w:numPr>
        <w:ilvl w:val="0"/>
        <w:numId w:val="0"/>
      </w:numPr>
      <w:tabs>
        <w:tab w:val="left" w:pos="2040"/>
        <w:tab w:val="clear" w:pos="-181"/>
      </w:tabs>
      <w:adjustRightInd/>
      <w:snapToGrid/>
      <w:spacing w:before="240" w:beforeLines="0" w:after="240" w:line="240" w:lineRule="auto"/>
      <w:ind w:left="2040" w:leftChars="800" w:hanging="360" w:hangingChars="200"/>
      <w:jc w:val="both"/>
      <w:textAlignment w:val="auto"/>
    </w:pPr>
    <w:rPr>
      <w:rFonts w:asciiTheme="minorHAnsi" w:hAnsiTheme="minorHAnsi" w:cstheme="minorBidi"/>
      <w:bCs/>
      <w:spacing w:val="4"/>
      <w:kern w:val="2"/>
      <w:sz w:val="32"/>
      <w:szCs w:val="24"/>
    </w:rPr>
  </w:style>
  <w:style w:type="character" w:customStyle="1" w:styleId="888">
    <w:name w:val="报告书正文 Char Char Char Char Char Char Char Char Char Char"/>
    <w:qFormat/>
    <w:uiPriority w:val="0"/>
    <w:rPr>
      <w:rFonts w:eastAsia="宋体"/>
      <w:kern w:val="2"/>
      <w:sz w:val="24"/>
      <w:szCs w:val="24"/>
      <w:lang w:val="en-US" w:eastAsia="zh-CN" w:bidi="ar-SA"/>
    </w:rPr>
  </w:style>
  <w:style w:type="character" w:customStyle="1" w:styleId="889">
    <w:name w:val="蒲标题3 Char Char"/>
    <w:qFormat/>
    <w:uiPriority w:val="0"/>
    <w:rPr>
      <w:rFonts w:ascii="宋体" w:hAnsi="宋体" w:eastAsia="宋体" w:cs="宋体"/>
      <w:b/>
      <w:spacing w:val="4"/>
      <w:kern w:val="2"/>
      <w:sz w:val="24"/>
      <w:szCs w:val="24"/>
      <w:lang w:val="en-US" w:eastAsia="zh-CN" w:bidi="ar-SA"/>
    </w:rPr>
  </w:style>
  <w:style w:type="character" w:customStyle="1" w:styleId="890">
    <w:name w:val="表格文字 QJJ Char Char"/>
    <w:link w:val="891"/>
    <w:qFormat/>
    <w:uiPriority w:val="0"/>
    <w:rPr>
      <w:rFonts w:ascii="宋体" w:hAnsi="Arial"/>
      <w:bCs/>
      <w:szCs w:val="21"/>
    </w:rPr>
  </w:style>
  <w:style w:type="paragraph" w:customStyle="1" w:styleId="891">
    <w:name w:val="表格文字 QJJ"/>
    <w:basedOn w:val="1"/>
    <w:link w:val="890"/>
    <w:qFormat/>
    <w:uiPriority w:val="0"/>
    <w:pPr>
      <w:keepLines/>
      <w:widowControl/>
      <w:adjustRightInd w:val="0"/>
      <w:snapToGrid w:val="0"/>
      <w:spacing w:line="240" w:lineRule="exact"/>
      <w:jc w:val="center"/>
    </w:pPr>
    <w:rPr>
      <w:rFonts w:ascii="宋体" w:hAnsi="Arial" w:eastAsiaTheme="minorEastAsia" w:cstheme="minorBidi"/>
      <w:bCs/>
      <w:sz w:val="21"/>
      <w:szCs w:val="21"/>
    </w:rPr>
  </w:style>
  <w:style w:type="character" w:customStyle="1" w:styleId="892">
    <w:name w:val="表格文字 Char Char"/>
    <w:qFormat/>
    <w:uiPriority w:val="0"/>
    <w:rPr>
      <w:rFonts w:ascii="宋体" w:hAnsi="宋体" w:eastAsia="宋体" w:cs="宋体"/>
      <w:color w:val="000000"/>
      <w:spacing w:val="4"/>
      <w:kern w:val="2"/>
      <w:sz w:val="21"/>
      <w:szCs w:val="21"/>
      <w:lang w:val="en-US" w:eastAsia="zh-CN" w:bidi="ar-SA"/>
    </w:rPr>
  </w:style>
  <w:style w:type="character" w:customStyle="1" w:styleId="893">
    <w:name w:val="陶瓷表头2 Char"/>
    <w:link w:val="894"/>
    <w:qFormat/>
    <w:uiPriority w:val="0"/>
    <w:rPr>
      <w:rFonts w:ascii="宋体" w:hAnsi="宋体" w:eastAsia="黑体" w:cs="宋体"/>
      <w:spacing w:val="4"/>
      <w:szCs w:val="24"/>
    </w:rPr>
  </w:style>
  <w:style w:type="paragraph" w:customStyle="1" w:styleId="894">
    <w:name w:val="陶瓷表头2"/>
    <w:basedOn w:val="1"/>
    <w:link w:val="893"/>
    <w:qFormat/>
    <w:uiPriority w:val="0"/>
    <w:pPr>
      <w:jc w:val="center"/>
    </w:pPr>
    <w:rPr>
      <w:rFonts w:ascii="宋体" w:hAnsi="宋体" w:eastAsia="黑体" w:cs="宋体"/>
      <w:spacing w:val="4"/>
      <w:sz w:val="21"/>
    </w:rPr>
  </w:style>
  <w:style w:type="character" w:customStyle="1" w:styleId="895">
    <w:name w:val="postbody1"/>
    <w:qFormat/>
    <w:uiPriority w:val="0"/>
    <w:rPr>
      <w:rFonts w:ascii="宋体" w:hAnsi="宋体" w:eastAsia="汉鼎简书宋" w:cs="宋体"/>
      <w:spacing w:val="4"/>
      <w:kern w:val="2"/>
      <w:sz w:val="21"/>
      <w:szCs w:val="21"/>
      <w:lang w:val="en-US" w:eastAsia="zh-CN" w:bidi="ar-SA"/>
    </w:rPr>
  </w:style>
  <w:style w:type="character" w:customStyle="1" w:styleId="896">
    <w:name w:val="title-text"/>
    <w:qFormat/>
    <w:uiPriority w:val="0"/>
  </w:style>
  <w:style w:type="character" w:customStyle="1" w:styleId="897">
    <w:name w:val="gb13-30"/>
    <w:qFormat/>
    <w:uiPriority w:val="0"/>
    <w:rPr>
      <w:rFonts w:ascii="宋体" w:hAnsi="宋体" w:eastAsia="汉鼎简书宋" w:cs="宋体"/>
      <w:spacing w:val="4"/>
      <w:kern w:val="2"/>
      <w:sz w:val="24"/>
      <w:szCs w:val="24"/>
      <w:lang w:val="en-US" w:eastAsia="zh-CN" w:bidi="ar-SA"/>
    </w:rPr>
  </w:style>
  <w:style w:type="character" w:customStyle="1" w:styleId="898">
    <w:name w:val="样式 小四 行距: 1.5 倍行距 Char Char"/>
    <w:qFormat/>
    <w:uiPriority w:val="0"/>
    <w:rPr>
      <w:kern w:val="24"/>
      <w:sz w:val="24"/>
      <w:szCs w:val="24"/>
      <w:lang w:bidi="ar-SA"/>
    </w:rPr>
  </w:style>
  <w:style w:type="character" w:customStyle="1" w:styleId="899">
    <w:name w:val="style101"/>
    <w:qFormat/>
    <w:uiPriority w:val="0"/>
    <w:rPr>
      <w:b/>
      <w:bCs/>
      <w:color w:val="9D0000"/>
      <w:sz w:val="24"/>
      <w:szCs w:val="24"/>
    </w:rPr>
  </w:style>
  <w:style w:type="character" w:customStyle="1" w:styleId="900">
    <w:name w:val="表格 Char1"/>
    <w:qFormat/>
    <w:uiPriority w:val="0"/>
    <w:rPr>
      <w:rFonts w:ascii="楷体_GB2312" w:hAnsi="宋体" w:eastAsia="Arial" w:cs="宋体"/>
      <w:spacing w:val="4"/>
      <w:kern w:val="2"/>
      <w:sz w:val="18"/>
      <w:szCs w:val="18"/>
      <w:lang w:val="en-US" w:eastAsia="zh-CN" w:bidi="ar-SA"/>
    </w:rPr>
  </w:style>
  <w:style w:type="character" w:customStyle="1" w:styleId="901">
    <w:name w:val="表正文 Char1 Char Char"/>
    <w:qFormat/>
    <w:uiPriority w:val="0"/>
    <w:rPr>
      <w:rFonts w:ascii="宋体" w:hAnsi="宋体" w:eastAsia="宋体" w:cs="宋体"/>
      <w:spacing w:val="4"/>
      <w:kern w:val="2"/>
      <w:sz w:val="28"/>
      <w:szCs w:val="24"/>
      <w:lang w:val="en-US" w:eastAsia="zh-CN" w:bidi="ar-SA"/>
    </w:rPr>
  </w:style>
  <w:style w:type="character" w:customStyle="1" w:styleId="902">
    <w:name w:val="12 12"/>
    <w:qFormat/>
    <w:uiPriority w:val="0"/>
  </w:style>
  <w:style w:type="character" w:customStyle="1" w:styleId="903">
    <w:name w:val="15"/>
    <w:qFormat/>
    <w:uiPriority w:val="0"/>
    <w:rPr>
      <w:rFonts w:hint="default" w:ascii="Times New Roman" w:hAnsi="Times New Roman" w:eastAsia="宋体" w:cs="Times New Roman"/>
      <w:sz w:val="21"/>
      <w:szCs w:val="21"/>
    </w:rPr>
  </w:style>
  <w:style w:type="character" w:customStyle="1" w:styleId="904">
    <w:name w:val="l131"/>
    <w:qFormat/>
    <w:uiPriority w:val="0"/>
    <w:rPr>
      <w:sz w:val="18"/>
      <w:szCs w:val="18"/>
    </w:rPr>
  </w:style>
  <w:style w:type="character" w:customStyle="1" w:styleId="905">
    <w:name w:val="表头样式 Char Char"/>
    <w:qFormat/>
    <w:uiPriority w:val="0"/>
    <w:rPr>
      <w:rFonts w:ascii="宋体" w:hAnsi="宋体" w:eastAsia="宋体" w:cs="宋体"/>
      <w:bCs/>
      <w:kern w:val="2"/>
      <w:sz w:val="28"/>
      <w:szCs w:val="28"/>
      <w:lang w:val="en-US" w:eastAsia="zh-CN" w:bidi="ar-SA"/>
    </w:rPr>
  </w:style>
  <w:style w:type="character" w:customStyle="1" w:styleId="906">
    <w:name w:val="ggbody1"/>
    <w:qFormat/>
    <w:uiPriority w:val="0"/>
    <w:rPr>
      <w:rFonts w:ascii="宋体" w:hAnsi="宋体" w:eastAsia="汉鼎简书宋" w:cs="宋体"/>
      <w:spacing w:val="4"/>
      <w:kern w:val="2"/>
      <w:sz w:val="24"/>
      <w:szCs w:val="24"/>
      <w:lang w:val="en-US" w:eastAsia="zh-CN" w:bidi="ar-SA"/>
    </w:rPr>
  </w:style>
  <w:style w:type="character" w:customStyle="1" w:styleId="907">
    <w:name w:val="正文(首行缩进) Char"/>
    <w:link w:val="908"/>
    <w:qFormat/>
    <w:uiPriority w:val="0"/>
    <w:rPr>
      <w:rFonts w:ascii="Times New Roman" w:hAnsi="Times New Roman" w:eastAsia="宋体" w:cs="Times New Roman"/>
      <w:snapToGrid w:val="0"/>
      <w:sz w:val="24"/>
      <w:szCs w:val="24"/>
    </w:rPr>
  </w:style>
  <w:style w:type="paragraph" w:customStyle="1" w:styleId="908">
    <w:name w:val="正文(首行缩进)"/>
    <w:basedOn w:val="1"/>
    <w:link w:val="907"/>
    <w:qFormat/>
    <w:uiPriority w:val="0"/>
    <w:pPr>
      <w:adjustRightInd w:val="0"/>
      <w:snapToGrid w:val="0"/>
      <w:ind w:firstLine="200" w:firstLineChars="200"/>
    </w:pPr>
    <w:rPr>
      <w:snapToGrid w:val="0"/>
    </w:rPr>
  </w:style>
  <w:style w:type="character" w:customStyle="1" w:styleId="909">
    <w:name w:val="hangju"/>
    <w:qFormat/>
    <w:uiPriority w:val="0"/>
    <w:rPr>
      <w:rFonts w:ascii="宋体" w:hAnsi="宋体" w:eastAsia="汉鼎简书宋" w:cs="宋体"/>
      <w:spacing w:val="4"/>
      <w:kern w:val="2"/>
      <w:sz w:val="24"/>
      <w:szCs w:val="24"/>
      <w:lang w:val="en-US" w:eastAsia="zh-CN" w:bidi="ar-SA"/>
    </w:rPr>
  </w:style>
  <w:style w:type="character" w:customStyle="1" w:styleId="910">
    <w:name w:val="hang1"/>
    <w:qFormat/>
    <w:uiPriority w:val="0"/>
    <w:rPr>
      <w:spacing w:val="31680"/>
      <w:sz w:val="20"/>
      <w:szCs w:val="20"/>
    </w:rPr>
  </w:style>
  <w:style w:type="character" w:customStyle="1" w:styleId="911">
    <w:name w:val="duanluo2"/>
    <w:qFormat/>
    <w:uiPriority w:val="0"/>
    <w:rPr>
      <w:rFonts w:hint="default" w:ascii="_GB2312" w:hAnsi="_GB2312" w:eastAsia="汉鼎简书宋" w:cs="宋体"/>
      <w:color w:val="000000"/>
      <w:spacing w:val="4"/>
      <w:kern w:val="2"/>
      <w:sz w:val="21"/>
      <w:szCs w:val="21"/>
      <w:lang w:val="en-US" w:eastAsia="zh-CN" w:bidi="ar-SA"/>
    </w:rPr>
  </w:style>
  <w:style w:type="character" w:customStyle="1" w:styleId="912">
    <w:name w:val="样式 标题 4 + 左侧:  0 厘米 悬挂缩进: 8.64 字符 段前: 6 磅 段后: 6 磅 行距: 单倍行距 Char"/>
    <w:link w:val="913"/>
    <w:qFormat/>
    <w:uiPriority w:val="0"/>
    <w:rPr>
      <w:rFonts w:ascii="Arial" w:hAnsi="Arial" w:eastAsia="黑体"/>
      <w:b/>
      <w:bCs/>
      <w:spacing w:val="4"/>
      <w:sz w:val="24"/>
      <w:szCs w:val="24"/>
    </w:rPr>
  </w:style>
  <w:style w:type="paragraph" w:customStyle="1" w:styleId="913">
    <w:name w:val="样式 标题 4 + 左侧:  0 厘米 悬挂缩进: 8.64 字符 段前: 6 磅 段后: 6 磅 行距: 单倍行距"/>
    <w:basedOn w:val="8"/>
    <w:link w:val="912"/>
    <w:qFormat/>
    <w:uiPriority w:val="0"/>
    <w:pPr>
      <w:keepLines/>
      <w:tabs>
        <w:tab w:val="clear" w:pos="864"/>
      </w:tabs>
      <w:spacing w:before="120" w:after="120" w:line="312" w:lineRule="auto"/>
      <w:ind w:left="0" w:firstLine="0"/>
      <w:jc w:val="both"/>
    </w:pPr>
    <w:rPr>
      <w:rFonts w:ascii="Arial" w:hAnsi="Arial" w:eastAsia="黑体" w:cstheme="minorBidi"/>
      <w:spacing w:val="4"/>
    </w:rPr>
  </w:style>
  <w:style w:type="character" w:customStyle="1" w:styleId="914">
    <w:name w:val="陶瓷表头 Char"/>
    <w:link w:val="915"/>
    <w:qFormat/>
    <w:uiPriority w:val="0"/>
    <w:rPr>
      <w:rFonts w:eastAsia="黑体"/>
      <w:b/>
      <w:color w:val="000000"/>
      <w:sz w:val="28"/>
      <w:szCs w:val="28"/>
    </w:rPr>
  </w:style>
  <w:style w:type="paragraph" w:customStyle="1" w:styleId="915">
    <w:name w:val="陶瓷表头"/>
    <w:basedOn w:val="462"/>
    <w:link w:val="914"/>
    <w:qFormat/>
    <w:uiPriority w:val="0"/>
    <w:pPr>
      <w:keepNext w:val="0"/>
      <w:keepLines w:val="0"/>
      <w:numPr>
        <w:ilvl w:val="0"/>
        <w:numId w:val="0"/>
      </w:numPr>
      <w:tabs>
        <w:tab w:val="clear" w:pos="1365"/>
      </w:tabs>
      <w:adjustRightInd w:val="0"/>
      <w:snapToGrid w:val="0"/>
      <w:spacing w:line="360" w:lineRule="auto"/>
      <w:jc w:val="center"/>
      <w:textAlignment w:val="auto"/>
      <w:outlineLvl w:val="9"/>
    </w:pPr>
    <w:rPr>
      <w:rFonts w:eastAsia="黑体" w:asciiTheme="minorHAnsi" w:hAnsiTheme="minorHAnsi" w:cstheme="minorBidi"/>
      <w:bCs w:val="0"/>
    </w:rPr>
  </w:style>
  <w:style w:type="character" w:customStyle="1" w:styleId="916">
    <w:name w:val="准 正文 左侧:  2 字符 + 首行缩进:  2 字符 Char"/>
    <w:link w:val="917"/>
    <w:qFormat/>
    <w:uiPriority w:val="0"/>
    <w:rPr>
      <w:sz w:val="24"/>
    </w:rPr>
  </w:style>
  <w:style w:type="paragraph" w:customStyle="1" w:styleId="917">
    <w:name w:val="准 正文 左侧:  2 字符 + 首行缩进:  2 字符"/>
    <w:basedOn w:val="1"/>
    <w:link w:val="916"/>
    <w:qFormat/>
    <w:uiPriority w:val="0"/>
    <w:pPr>
      <w:ind w:firstLine="480" w:firstLineChars="200"/>
    </w:pPr>
    <w:rPr>
      <w:rFonts w:asciiTheme="minorHAnsi" w:hAnsiTheme="minorHAnsi" w:eastAsiaTheme="minorEastAsia" w:cstheme="minorBidi"/>
      <w:szCs w:val="22"/>
    </w:rPr>
  </w:style>
  <w:style w:type="character" w:customStyle="1" w:styleId="918">
    <w:name w:val="表1 Char Char"/>
    <w:link w:val="919"/>
    <w:qFormat/>
    <w:uiPriority w:val="0"/>
    <w:rPr>
      <w:szCs w:val="21"/>
    </w:rPr>
  </w:style>
  <w:style w:type="paragraph" w:customStyle="1" w:styleId="919">
    <w:name w:val="表1 Char"/>
    <w:next w:val="1"/>
    <w:link w:val="918"/>
    <w:qFormat/>
    <w:uiPriority w:val="0"/>
    <w:pPr>
      <w:adjustRightInd w:val="0"/>
      <w:snapToGrid w:val="0"/>
      <w:jc w:val="center"/>
    </w:pPr>
    <w:rPr>
      <w:rFonts w:asciiTheme="minorHAnsi" w:hAnsiTheme="minorHAnsi" w:eastAsiaTheme="minorEastAsia" w:cstheme="minorBidi"/>
      <w:kern w:val="2"/>
      <w:sz w:val="21"/>
      <w:szCs w:val="21"/>
      <w:lang w:val="en-US" w:eastAsia="zh-CN" w:bidi="ar-SA"/>
    </w:rPr>
  </w:style>
  <w:style w:type="character" w:customStyle="1" w:styleId="920">
    <w:name w:val="【表格注释】"/>
    <w:qFormat/>
    <w:uiPriority w:val="0"/>
    <w:rPr>
      <w:rFonts w:ascii="宋体" w:hAnsi="宋体" w:eastAsia="宋体" w:cs="宋体"/>
      <w:spacing w:val="4"/>
      <w:kern w:val="0"/>
      <w:sz w:val="21"/>
      <w:szCs w:val="24"/>
      <w:lang w:val="en-US" w:eastAsia="zh-CN" w:bidi="ar-SA"/>
    </w:rPr>
  </w:style>
  <w:style w:type="character" w:customStyle="1" w:styleId="921">
    <w:name w:val="节标题 1.1 Char1"/>
    <w:qFormat/>
    <w:uiPriority w:val="0"/>
    <w:rPr>
      <w:rFonts w:ascii="Arial" w:hAnsi="Arial" w:eastAsia="黑体" w:cs="宋体"/>
      <w:b/>
      <w:bCs/>
      <w:snapToGrid w:val="0"/>
      <w:color w:val="000000"/>
      <w:spacing w:val="4"/>
      <w:kern w:val="2"/>
      <w:sz w:val="32"/>
      <w:szCs w:val="32"/>
      <w:lang w:val="en-US" w:eastAsia="zh-CN" w:bidi="ar-SA"/>
    </w:rPr>
  </w:style>
  <w:style w:type="character" w:customStyle="1" w:styleId="922">
    <w:name w:val="正文---------------- Char Char"/>
    <w:qFormat/>
    <w:uiPriority w:val="0"/>
    <w:rPr>
      <w:rFonts w:ascii="宋体" w:hAnsi="宋体" w:eastAsia="宋体" w:cs="宋体"/>
      <w:spacing w:val="16"/>
      <w:kern w:val="2"/>
      <w:sz w:val="24"/>
      <w:szCs w:val="24"/>
      <w:lang w:val="en-US" w:eastAsia="zh-CN" w:bidi="ar-SA"/>
    </w:rPr>
  </w:style>
  <w:style w:type="character" w:customStyle="1" w:styleId="923">
    <w:name w:val="正文00000 Char"/>
    <w:link w:val="924"/>
    <w:qFormat/>
    <w:uiPriority w:val="0"/>
    <w:rPr>
      <w:rFonts w:ascii="宋体" w:hAnsi="宋体" w:cs="Arial"/>
      <w:bCs/>
      <w:sz w:val="24"/>
      <w:szCs w:val="24"/>
    </w:rPr>
  </w:style>
  <w:style w:type="paragraph" w:customStyle="1" w:styleId="924">
    <w:name w:val="正文00000"/>
    <w:basedOn w:val="85"/>
    <w:next w:val="1"/>
    <w:link w:val="923"/>
    <w:qFormat/>
    <w:uiPriority w:val="0"/>
    <w:pPr>
      <w:adjustRightInd w:val="0"/>
      <w:spacing w:before="0" w:after="0"/>
      <w:jc w:val="both"/>
      <w:textAlignment w:val="baseline"/>
      <w:outlineLvl w:val="9"/>
    </w:pPr>
    <w:rPr>
      <w:rFonts w:ascii="宋体" w:hAnsi="宋体" w:eastAsiaTheme="minorEastAsia"/>
      <w:b w:val="0"/>
      <w:sz w:val="24"/>
      <w:szCs w:val="24"/>
    </w:rPr>
  </w:style>
  <w:style w:type="character" w:customStyle="1" w:styleId="925">
    <w:name w:val="二章正文 Char"/>
    <w:link w:val="926"/>
    <w:qFormat/>
    <w:uiPriority w:val="0"/>
    <w:rPr>
      <w:rFonts w:hAnsi="宋体"/>
      <w:sz w:val="24"/>
      <w:szCs w:val="24"/>
    </w:rPr>
  </w:style>
  <w:style w:type="paragraph" w:customStyle="1" w:styleId="926">
    <w:name w:val="二章正文"/>
    <w:basedOn w:val="1"/>
    <w:link w:val="925"/>
    <w:qFormat/>
    <w:uiPriority w:val="0"/>
    <w:pPr>
      <w:ind w:firstLine="480" w:firstLineChars="200"/>
    </w:pPr>
    <w:rPr>
      <w:rFonts w:hAnsi="宋体" w:asciiTheme="minorHAnsi" w:eastAsiaTheme="minorEastAsia" w:cstheme="minorBidi"/>
    </w:rPr>
  </w:style>
  <w:style w:type="character" w:customStyle="1" w:styleId="927">
    <w:name w:val="表、图名 Char"/>
    <w:link w:val="928"/>
    <w:qFormat/>
    <w:uiPriority w:val="0"/>
    <w:rPr>
      <w:rFonts w:ascii="Times New Roman" w:hAnsi="宋体" w:eastAsia="宋体" w:cs="Times New Roman"/>
      <w:b/>
      <w:sz w:val="24"/>
      <w:szCs w:val="24"/>
    </w:rPr>
  </w:style>
  <w:style w:type="paragraph" w:customStyle="1" w:styleId="928">
    <w:name w:val="表、图名"/>
    <w:basedOn w:val="1"/>
    <w:link w:val="927"/>
    <w:qFormat/>
    <w:uiPriority w:val="0"/>
    <w:pPr>
      <w:adjustRightInd w:val="0"/>
      <w:snapToGrid w:val="0"/>
      <w:spacing w:after="100" w:afterAutospacing="1" w:line="520" w:lineRule="exact"/>
      <w:jc w:val="center"/>
    </w:pPr>
    <w:rPr>
      <w:rFonts w:hAnsi="宋体"/>
      <w:b/>
    </w:rPr>
  </w:style>
  <w:style w:type="character" w:customStyle="1" w:styleId="929">
    <w:name w:val="新标题4 Char"/>
    <w:link w:val="930"/>
    <w:qFormat/>
    <w:uiPriority w:val="0"/>
    <w:rPr>
      <w:rFonts w:ascii="Arial" w:hAnsi="Arial"/>
      <w:b/>
      <w:bCs/>
      <w:spacing w:val="8"/>
      <w:sz w:val="24"/>
    </w:rPr>
  </w:style>
  <w:style w:type="paragraph" w:customStyle="1" w:styleId="930">
    <w:name w:val="新标题4"/>
    <w:basedOn w:val="8"/>
    <w:link w:val="929"/>
    <w:qFormat/>
    <w:uiPriority w:val="0"/>
    <w:pPr>
      <w:keepLines/>
      <w:tabs>
        <w:tab w:val="left" w:pos="512"/>
        <w:tab w:val="left" w:pos="1024"/>
        <w:tab w:val="left" w:pos="1583"/>
        <w:tab w:val="clear" w:pos="864"/>
      </w:tabs>
      <w:overflowPunct w:val="0"/>
      <w:topLinePunct/>
      <w:autoSpaceDE w:val="0"/>
      <w:autoSpaceDN w:val="0"/>
      <w:adjustRightInd w:val="0"/>
      <w:snapToGrid w:val="0"/>
      <w:spacing w:line="440" w:lineRule="exact"/>
      <w:ind w:left="1583" w:hanging="851"/>
      <w:jc w:val="both"/>
    </w:pPr>
    <w:rPr>
      <w:rFonts w:ascii="Arial" w:hAnsi="Arial" w:eastAsiaTheme="minorEastAsia" w:cstheme="minorBidi"/>
      <w:spacing w:val="8"/>
      <w:szCs w:val="22"/>
    </w:rPr>
  </w:style>
  <w:style w:type="character" w:customStyle="1" w:styleId="931">
    <w:name w:val="标题6 Char"/>
    <w:link w:val="932"/>
    <w:qFormat/>
    <w:uiPriority w:val="0"/>
    <w:rPr>
      <w:sz w:val="28"/>
      <w:szCs w:val="21"/>
    </w:rPr>
  </w:style>
  <w:style w:type="paragraph" w:customStyle="1" w:styleId="932">
    <w:name w:val="标题6"/>
    <w:basedOn w:val="1"/>
    <w:next w:val="87"/>
    <w:link w:val="931"/>
    <w:qFormat/>
    <w:uiPriority w:val="0"/>
    <w:pPr>
      <w:keepNext/>
      <w:ind w:firstLine="567"/>
      <w:jc w:val="left"/>
      <w:outlineLvl w:val="5"/>
    </w:pPr>
    <w:rPr>
      <w:rFonts w:asciiTheme="minorHAnsi" w:hAnsiTheme="minorHAnsi" w:eastAsiaTheme="minorEastAsia" w:cstheme="minorBidi"/>
      <w:sz w:val="28"/>
      <w:szCs w:val="21"/>
    </w:rPr>
  </w:style>
  <w:style w:type="character" w:customStyle="1" w:styleId="933">
    <w:name w:val="样式 四级标题 + (符号) 宋体 Char Char"/>
    <w:qFormat/>
    <w:uiPriority w:val="0"/>
    <w:rPr>
      <w:rFonts w:cs="宋体"/>
      <w:b/>
      <w:bCs/>
      <w:kern w:val="2"/>
      <w:sz w:val="24"/>
      <w:szCs w:val="24"/>
    </w:rPr>
  </w:style>
  <w:style w:type="character" w:customStyle="1" w:styleId="934">
    <w:name w:val="【表头】 Char"/>
    <w:link w:val="935"/>
    <w:qFormat/>
    <w:uiPriority w:val="0"/>
    <w:rPr>
      <w:rFonts w:ascii="宋体" w:hAnsi="宋体" w:eastAsia="黑体"/>
      <w:spacing w:val="4"/>
      <w:sz w:val="24"/>
      <w:szCs w:val="24"/>
    </w:rPr>
  </w:style>
  <w:style w:type="paragraph" w:customStyle="1" w:styleId="935">
    <w:name w:val="【表头】"/>
    <w:basedOn w:val="1"/>
    <w:link w:val="934"/>
    <w:qFormat/>
    <w:uiPriority w:val="0"/>
    <w:pPr>
      <w:spacing w:line="460" w:lineRule="exact"/>
      <w:jc w:val="center"/>
    </w:pPr>
    <w:rPr>
      <w:rFonts w:ascii="宋体" w:hAnsi="宋体" w:eastAsia="黑体" w:cstheme="minorBidi"/>
      <w:spacing w:val="4"/>
    </w:rPr>
  </w:style>
  <w:style w:type="character" w:customStyle="1" w:styleId="936">
    <w:name w:val="正文001 Char Char"/>
    <w:qFormat/>
    <w:uiPriority w:val="0"/>
    <w:rPr>
      <w:rFonts w:ascii="Arial" w:hAnsi="Arial" w:eastAsia="宋体" w:cs="Arial"/>
      <w:kern w:val="2"/>
      <w:sz w:val="24"/>
      <w:lang w:val="en-US" w:eastAsia="zh-CN" w:bidi="ar-SA"/>
    </w:rPr>
  </w:style>
  <w:style w:type="character" w:customStyle="1" w:styleId="937">
    <w:name w:val="content2"/>
    <w:qFormat/>
    <w:uiPriority w:val="0"/>
    <w:rPr>
      <w:rFonts w:ascii="宋体" w:hAnsi="宋体" w:eastAsia="汉鼎简书宋" w:cs="宋体"/>
      <w:spacing w:val="4"/>
      <w:kern w:val="2"/>
      <w:sz w:val="24"/>
      <w:szCs w:val="24"/>
      <w:lang w:val="en-US" w:eastAsia="zh-CN" w:bidi="ar-SA"/>
    </w:rPr>
  </w:style>
  <w:style w:type="character" w:customStyle="1" w:styleId="938">
    <w:name w:val="style11"/>
    <w:qFormat/>
    <w:uiPriority w:val="0"/>
    <w:rPr>
      <w:color w:val="03399B"/>
    </w:rPr>
  </w:style>
  <w:style w:type="character" w:customStyle="1" w:styleId="939">
    <w:name w:val="3zw"/>
    <w:qFormat/>
    <w:uiPriority w:val="0"/>
    <w:rPr>
      <w:rFonts w:ascii="宋体" w:hAnsi="宋体" w:eastAsia="汉鼎简书宋" w:cs="宋体"/>
      <w:spacing w:val="4"/>
      <w:kern w:val="2"/>
      <w:sz w:val="24"/>
      <w:szCs w:val="24"/>
      <w:lang w:val="en-US" w:eastAsia="zh-CN" w:bidi="ar-SA"/>
    </w:rPr>
  </w:style>
  <w:style w:type="character" w:customStyle="1" w:styleId="940">
    <w:name w:val="陶瓷三级目录3 Char"/>
    <w:link w:val="941"/>
    <w:qFormat/>
    <w:uiPriority w:val="0"/>
    <w:rPr>
      <w:rFonts w:eastAsia="黑体"/>
      <w:bCs/>
      <w:color w:val="000000"/>
      <w:sz w:val="28"/>
      <w:szCs w:val="28"/>
    </w:rPr>
  </w:style>
  <w:style w:type="paragraph" w:customStyle="1" w:styleId="941">
    <w:name w:val="陶瓷三级目录3"/>
    <w:basedOn w:val="462"/>
    <w:link w:val="940"/>
    <w:qFormat/>
    <w:uiPriority w:val="0"/>
    <w:pPr>
      <w:numPr>
        <w:ilvl w:val="0"/>
        <w:numId w:val="0"/>
      </w:numPr>
      <w:tabs>
        <w:tab w:val="left" w:pos="709"/>
        <w:tab w:val="clear" w:pos="1365"/>
      </w:tabs>
      <w:adjustRightInd w:val="0"/>
      <w:spacing w:before="240" w:after="60" w:line="240" w:lineRule="auto"/>
    </w:pPr>
    <w:rPr>
      <w:rFonts w:eastAsia="黑体" w:asciiTheme="minorHAnsi" w:hAnsiTheme="minorHAnsi" w:cstheme="minorBidi"/>
      <w:b w:val="0"/>
    </w:rPr>
  </w:style>
  <w:style w:type="character" w:customStyle="1" w:styleId="942">
    <w:name w:val="ps01"/>
    <w:qFormat/>
    <w:uiPriority w:val="0"/>
  </w:style>
  <w:style w:type="character" w:customStyle="1" w:styleId="943">
    <w:name w:val="p121"/>
    <w:qFormat/>
    <w:uiPriority w:val="0"/>
    <w:rPr>
      <w:rFonts w:hint="eastAsia" w:ascii="宋体" w:hAnsi="宋体" w:eastAsia="宋体" w:cs="宋体"/>
      <w:spacing w:val="4"/>
      <w:kern w:val="2"/>
      <w:sz w:val="18"/>
      <w:szCs w:val="18"/>
      <w:lang w:val="en-US" w:eastAsia="zh-CN" w:bidi="ar-SA"/>
    </w:rPr>
  </w:style>
  <w:style w:type="character" w:customStyle="1" w:styleId="944">
    <w:name w:val="表头------------- Char Char"/>
    <w:qFormat/>
    <w:uiPriority w:val="0"/>
    <w:rPr>
      <w:rFonts w:ascii="宋体" w:hAnsi="宋体" w:eastAsia="黑体" w:cs="宋体"/>
      <w:spacing w:val="4"/>
      <w:kern w:val="2"/>
      <w:sz w:val="24"/>
      <w:szCs w:val="24"/>
      <w:lang w:val="en-US" w:eastAsia="zh-CN" w:bidi="ar-SA"/>
    </w:rPr>
  </w:style>
  <w:style w:type="character" w:customStyle="1" w:styleId="945">
    <w:name w:val="t_tag"/>
    <w:qFormat/>
    <w:uiPriority w:val="0"/>
    <w:rPr>
      <w:sz w:val="24"/>
    </w:rPr>
  </w:style>
  <w:style w:type="character" w:customStyle="1" w:styleId="946">
    <w:name w:val="样式 样式 宋体 四号 左 行距: 固定值 25 磅 + 首行缩进:  2 字符 Char"/>
    <w:link w:val="947"/>
    <w:qFormat/>
    <w:uiPriority w:val="0"/>
    <w:rPr>
      <w:rFonts w:ascii="宋体" w:hAnsi="宋体"/>
      <w:sz w:val="28"/>
      <w:szCs w:val="28"/>
    </w:rPr>
  </w:style>
  <w:style w:type="paragraph" w:customStyle="1" w:styleId="947">
    <w:name w:val="样式 样式 宋体 四号 左 行距: 固定值 25 磅 + 首行缩进:  2 字符"/>
    <w:basedOn w:val="1"/>
    <w:link w:val="946"/>
    <w:qFormat/>
    <w:uiPriority w:val="0"/>
    <w:pPr>
      <w:adjustRightInd w:val="0"/>
      <w:snapToGrid w:val="0"/>
      <w:spacing w:after="120" w:line="500" w:lineRule="exact"/>
      <w:ind w:firstLine="560" w:firstLineChars="200"/>
      <w:jc w:val="left"/>
    </w:pPr>
    <w:rPr>
      <w:rFonts w:ascii="宋体" w:hAnsi="宋体" w:eastAsiaTheme="minorEastAsia" w:cstheme="minorBidi"/>
      <w:sz w:val="28"/>
      <w:szCs w:val="28"/>
    </w:rPr>
  </w:style>
  <w:style w:type="character" w:customStyle="1" w:styleId="948">
    <w:name w:val="表文字+加粗+左对齐 Char"/>
    <w:link w:val="949"/>
    <w:qFormat/>
    <w:uiPriority w:val="0"/>
    <w:rPr>
      <w:rFonts w:ascii="Times New Roman" w:hAnsi="Times New Roman" w:eastAsia="宋体" w:cs="Times New Roman"/>
      <w:b/>
      <w:snapToGrid w:val="0"/>
      <w:color w:val="000000"/>
      <w:szCs w:val="9"/>
    </w:rPr>
  </w:style>
  <w:style w:type="paragraph" w:customStyle="1" w:styleId="949">
    <w:name w:val="表文字+加粗+左对齐"/>
    <w:basedOn w:val="950"/>
    <w:link w:val="948"/>
    <w:qFormat/>
    <w:uiPriority w:val="0"/>
    <w:pPr>
      <w:tabs>
        <w:tab w:val="left" w:pos="945"/>
        <w:tab w:val="right" w:leader="dot" w:pos="1155"/>
        <w:tab w:val="left" w:pos="8715"/>
      </w:tabs>
    </w:pPr>
    <w:rPr>
      <w:b/>
      <w:kern w:val="2"/>
    </w:rPr>
  </w:style>
  <w:style w:type="paragraph" w:customStyle="1" w:styleId="950">
    <w:name w:val="表文字"/>
    <w:basedOn w:val="1"/>
    <w:link w:val="951"/>
    <w:qFormat/>
    <w:uiPriority w:val="0"/>
    <w:pPr>
      <w:tabs>
        <w:tab w:val="left" w:pos="945"/>
        <w:tab w:val="right" w:leader="dot" w:pos="1155"/>
        <w:tab w:val="left" w:pos="8715"/>
      </w:tabs>
      <w:adjustRightInd w:val="0"/>
      <w:snapToGrid w:val="0"/>
      <w:spacing w:line="240" w:lineRule="auto"/>
      <w:jc w:val="left"/>
      <w:textAlignment w:val="baseline"/>
    </w:pPr>
    <w:rPr>
      <w:snapToGrid w:val="0"/>
      <w:color w:val="000000"/>
      <w:kern w:val="0"/>
      <w:sz w:val="21"/>
      <w:szCs w:val="9"/>
    </w:rPr>
  </w:style>
  <w:style w:type="character" w:customStyle="1" w:styleId="951">
    <w:name w:val="表文字 Char"/>
    <w:link w:val="950"/>
    <w:qFormat/>
    <w:uiPriority w:val="0"/>
    <w:rPr>
      <w:rFonts w:ascii="Times New Roman" w:hAnsi="Times New Roman" w:eastAsia="宋体" w:cs="Times New Roman"/>
      <w:snapToGrid w:val="0"/>
      <w:color w:val="000000"/>
      <w:kern w:val="0"/>
      <w:szCs w:val="9"/>
    </w:rPr>
  </w:style>
  <w:style w:type="character" w:customStyle="1" w:styleId="952">
    <w:name w:val="不明显强调1"/>
    <w:qFormat/>
    <w:uiPriority w:val="0"/>
    <w:rPr>
      <w:i/>
      <w:color w:val="5A5A5A"/>
    </w:rPr>
  </w:style>
  <w:style w:type="character" w:customStyle="1" w:styleId="953">
    <w:name w:val="表头1 Char"/>
    <w:link w:val="954"/>
    <w:qFormat/>
    <w:uiPriority w:val="0"/>
    <w:rPr>
      <w:rFonts w:ascii="Times New Roman" w:hAnsi="Times New Roman" w:eastAsia="黑体" w:cs="Times New Roman"/>
      <w:szCs w:val="28"/>
    </w:rPr>
  </w:style>
  <w:style w:type="paragraph" w:customStyle="1" w:styleId="954">
    <w:name w:val="表头1"/>
    <w:basedOn w:val="1"/>
    <w:next w:val="1"/>
    <w:link w:val="953"/>
    <w:qFormat/>
    <w:uiPriority w:val="0"/>
    <w:pPr>
      <w:tabs>
        <w:tab w:val="left" w:pos="605"/>
      </w:tabs>
      <w:adjustRightInd w:val="0"/>
      <w:snapToGrid w:val="0"/>
      <w:spacing w:line="240" w:lineRule="auto"/>
      <w:jc w:val="center"/>
    </w:pPr>
    <w:rPr>
      <w:rFonts w:eastAsia="黑体"/>
      <w:sz w:val="21"/>
      <w:szCs w:val="28"/>
    </w:rPr>
  </w:style>
  <w:style w:type="character" w:customStyle="1" w:styleId="955">
    <w:name w:val="样式 图表名称 QJJ Char Char"/>
    <w:qFormat/>
    <w:uiPriority w:val="0"/>
    <w:rPr>
      <w:rFonts w:ascii="黑体" w:hAnsi="Arial" w:eastAsia="黑体"/>
      <w:kern w:val="2"/>
      <w:sz w:val="24"/>
      <w:lang w:bidi="ar-SA"/>
    </w:rPr>
  </w:style>
  <w:style w:type="character" w:customStyle="1" w:styleId="956">
    <w:name w:val="样式5 Char2"/>
    <w:link w:val="957"/>
    <w:qFormat/>
    <w:uiPriority w:val="0"/>
    <w:rPr>
      <w:rFonts w:ascii="宋体"/>
      <w:b/>
      <w:bCs/>
      <w:spacing w:val="6"/>
      <w:sz w:val="32"/>
      <w:szCs w:val="32"/>
    </w:rPr>
  </w:style>
  <w:style w:type="paragraph" w:customStyle="1" w:styleId="957">
    <w:name w:val="样式5"/>
    <w:basedOn w:val="1"/>
    <w:link w:val="956"/>
    <w:qFormat/>
    <w:uiPriority w:val="0"/>
    <w:pPr>
      <w:adjustRightInd w:val="0"/>
      <w:snapToGrid w:val="0"/>
      <w:spacing w:before="120" w:after="120" w:line="312" w:lineRule="auto"/>
      <w:ind w:firstLine="567"/>
    </w:pPr>
    <w:rPr>
      <w:rFonts w:ascii="宋体" w:hAnsiTheme="minorHAnsi" w:eastAsiaTheme="minorEastAsia" w:cstheme="minorBidi"/>
      <w:b/>
      <w:bCs/>
      <w:spacing w:val="6"/>
      <w:sz w:val="32"/>
      <w:szCs w:val="32"/>
    </w:rPr>
  </w:style>
  <w:style w:type="character" w:customStyle="1" w:styleId="958">
    <w:name w:val="font241"/>
    <w:qFormat/>
    <w:uiPriority w:val="0"/>
    <w:rPr>
      <w:rFonts w:ascii="宋体" w:hAnsi="宋体" w:eastAsia="汉鼎简书宋" w:cs="宋体"/>
      <w:spacing w:val="4"/>
      <w:kern w:val="2"/>
      <w:sz w:val="21"/>
      <w:szCs w:val="21"/>
      <w:lang w:val="en-US" w:eastAsia="zh-CN" w:bidi="ar-SA"/>
    </w:rPr>
  </w:style>
  <w:style w:type="character" w:customStyle="1" w:styleId="959">
    <w:name w:val="javascript"/>
    <w:qFormat/>
    <w:uiPriority w:val="0"/>
    <w:rPr>
      <w:sz w:val="24"/>
    </w:rPr>
  </w:style>
  <w:style w:type="character" w:customStyle="1" w:styleId="960">
    <w:name w:val="样式 小四1 Char Char"/>
    <w:qFormat/>
    <w:uiPriority w:val="0"/>
    <w:rPr>
      <w:rFonts w:ascii="宋体" w:hAnsi="宋体" w:eastAsia="宋体" w:cs="宋体"/>
      <w:spacing w:val="4"/>
      <w:kern w:val="2"/>
      <w:sz w:val="24"/>
      <w:szCs w:val="24"/>
      <w:lang w:val="en-US" w:eastAsia="zh-CN" w:bidi="ar-SA"/>
    </w:rPr>
  </w:style>
  <w:style w:type="character" w:customStyle="1" w:styleId="961">
    <w:name w:val="style51"/>
    <w:qFormat/>
    <w:uiPriority w:val="0"/>
    <w:rPr>
      <w:rFonts w:ascii="宋体" w:hAnsi="宋体" w:eastAsia="汉鼎简书宋" w:cs="宋体"/>
      <w:b/>
      <w:bCs/>
      <w:color w:val="FF0000"/>
      <w:spacing w:val="4"/>
      <w:kern w:val="2"/>
      <w:sz w:val="24"/>
      <w:szCs w:val="24"/>
      <w:lang w:val="en-US" w:eastAsia="zh-CN" w:bidi="ar-SA"/>
    </w:rPr>
  </w:style>
  <w:style w:type="character" w:customStyle="1" w:styleId="962">
    <w:name w:val="表内字体 Char Char"/>
    <w:link w:val="963"/>
    <w:qFormat/>
    <w:uiPriority w:val="0"/>
    <w:rPr>
      <w:rFonts w:ascii="宋体" w:hAnsi="宋体" w:eastAsia="汉鼎简书宋" w:cs="宋体"/>
      <w:spacing w:val="4"/>
      <w:sz w:val="18"/>
      <w:szCs w:val="24"/>
    </w:rPr>
  </w:style>
  <w:style w:type="paragraph" w:customStyle="1" w:styleId="963">
    <w:name w:val="表内字体 Char"/>
    <w:basedOn w:val="716"/>
    <w:next w:val="716"/>
    <w:link w:val="962"/>
    <w:qFormat/>
    <w:uiPriority w:val="0"/>
    <w:pPr>
      <w:spacing w:after="0" w:line="240" w:lineRule="auto"/>
      <w:ind w:firstLine="0" w:firstLineChars="0"/>
      <w:jc w:val="center"/>
    </w:pPr>
    <w:rPr>
      <w:sz w:val="18"/>
    </w:rPr>
  </w:style>
  <w:style w:type="character" w:customStyle="1" w:styleId="964">
    <w:name w:val="表格居中 Char"/>
    <w:qFormat/>
    <w:uiPriority w:val="0"/>
    <w:rPr>
      <w:rFonts w:ascii="宋体" w:hAnsi="宋体" w:eastAsia="宋体" w:cs="宋体"/>
      <w:snapToGrid w:val="0"/>
      <w:spacing w:val="-4"/>
      <w:w w:val="90"/>
      <w:kern w:val="2"/>
      <w:sz w:val="24"/>
      <w:szCs w:val="24"/>
      <w:lang w:val="en-US" w:eastAsia="zh-CN" w:bidi="ar-SA"/>
    </w:rPr>
  </w:style>
  <w:style w:type="character" w:customStyle="1" w:styleId="965">
    <w:name w:val="f_heading1"/>
    <w:qFormat/>
    <w:uiPriority w:val="0"/>
    <w:rPr>
      <w:rFonts w:ascii="宋体" w:hAnsi="宋体" w:eastAsia="汉鼎简书宋" w:cs="宋体"/>
      <w:spacing w:val="4"/>
      <w:kern w:val="2"/>
      <w:sz w:val="24"/>
      <w:szCs w:val="24"/>
      <w:lang w:val="en-US" w:eastAsia="zh-CN" w:bidi="ar-SA"/>
    </w:rPr>
  </w:style>
  <w:style w:type="character" w:customStyle="1" w:styleId="966">
    <w:name w:val="样式 样式 表格 + (中文) 黑体 + (中文) 黑体 Char"/>
    <w:link w:val="967"/>
    <w:qFormat/>
    <w:uiPriority w:val="0"/>
    <w:rPr>
      <w:rFonts w:eastAsia="黑体"/>
      <w:color w:val="000000"/>
      <w:spacing w:val="-8"/>
      <w:sz w:val="24"/>
      <w:szCs w:val="24"/>
    </w:rPr>
  </w:style>
  <w:style w:type="paragraph" w:customStyle="1" w:styleId="967">
    <w:name w:val="样式 样式 表格 + (中文) 黑体 + (中文) 黑体"/>
    <w:basedOn w:val="197"/>
    <w:link w:val="966"/>
    <w:qFormat/>
    <w:uiPriority w:val="0"/>
    <w:rPr>
      <w:rFonts w:eastAsia="黑体" w:asciiTheme="minorHAnsi" w:hAnsiTheme="minorHAnsi"/>
    </w:rPr>
  </w:style>
  <w:style w:type="character" w:customStyle="1" w:styleId="968">
    <w:name w:val="样式 大正文 + 黑色 Char Char"/>
    <w:qFormat/>
    <w:uiPriority w:val="0"/>
    <w:rPr>
      <w:rFonts w:ascii="仿宋_GB2312" w:hAnsi="宋体" w:eastAsia="仿宋_GB2312"/>
      <w:color w:val="000000"/>
      <w:kern w:val="2"/>
      <w:sz w:val="28"/>
      <w:szCs w:val="28"/>
      <w:lang w:val="en-US" w:eastAsia="zh-CN" w:bidi="ar-SA"/>
    </w:rPr>
  </w:style>
  <w:style w:type="character" w:customStyle="1" w:styleId="969">
    <w:name w:val="报告 Char Char"/>
    <w:link w:val="970"/>
    <w:qFormat/>
    <w:uiPriority w:val="0"/>
    <w:rPr>
      <w:rFonts w:ascii="Times New Roman" w:hAnsi="Times New Roman" w:eastAsia="宋体" w:cs="Times New Roman"/>
      <w:sz w:val="24"/>
    </w:rPr>
  </w:style>
  <w:style w:type="paragraph" w:customStyle="1" w:styleId="970">
    <w:name w:val="报告"/>
    <w:basedOn w:val="1"/>
    <w:link w:val="969"/>
    <w:qFormat/>
    <w:uiPriority w:val="0"/>
    <w:pPr>
      <w:adjustRightInd w:val="0"/>
      <w:ind w:firstLine="505"/>
      <w:textAlignment w:val="center"/>
    </w:pPr>
    <w:rPr>
      <w:szCs w:val="22"/>
    </w:rPr>
  </w:style>
  <w:style w:type="character" w:customStyle="1" w:styleId="971">
    <w:name w:val="样式 样式 二级标题 + 自动设置 + (西文) 宋体 (中文) 汉鼎简书宋 小四 Char"/>
    <w:link w:val="972"/>
    <w:qFormat/>
    <w:uiPriority w:val="0"/>
    <w:rPr>
      <w:rFonts w:ascii="宋体" w:hAnsi="宋体" w:eastAsia="汉鼎简书宋"/>
      <w:b/>
      <w:bCs/>
      <w:spacing w:val="4"/>
      <w:sz w:val="24"/>
      <w:szCs w:val="32"/>
    </w:rPr>
  </w:style>
  <w:style w:type="paragraph" w:customStyle="1" w:styleId="972">
    <w:name w:val="样式 样式 二级标题 + 自动设置 + (西文) 宋体 (中文) 汉鼎简书宋 小四"/>
    <w:basedOn w:val="973"/>
    <w:link w:val="971"/>
    <w:qFormat/>
    <w:uiPriority w:val="0"/>
    <w:pPr>
      <w:tabs>
        <w:tab w:val="left" w:pos="840"/>
      </w:tabs>
    </w:pPr>
    <w:rPr>
      <w:rFonts w:ascii="宋体" w:hAnsi="宋体" w:eastAsia="汉鼎简书宋" w:cstheme="minorBidi"/>
      <w:spacing w:val="4"/>
      <w:kern w:val="2"/>
      <w:sz w:val="24"/>
    </w:rPr>
  </w:style>
  <w:style w:type="paragraph" w:customStyle="1" w:styleId="973">
    <w:name w:val="样式 二级标题 + 自动设置"/>
    <w:basedOn w:val="588"/>
    <w:link w:val="974"/>
    <w:qFormat/>
    <w:uiPriority w:val="0"/>
    <w:pPr>
      <w:keepNext/>
      <w:keepLines/>
      <w:widowControl w:val="0"/>
      <w:tabs>
        <w:tab w:val="left" w:pos="840"/>
      </w:tabs>
      <w:spacing w:line="360" w:lineRule="auto"/>
      <w:ind w:left="840" w:hanging="420"/>
      <w:textAlignment w:val="baseline"/>
    </w:pPr>
    <w:rPr>
      <w:rFonts w:ascii="Times New Roman" w:hAnsi="Times New Roman" w:eastAsia="黑体" w:cs="Times New Roman"/>
      <w:bCs/>
      <w:sz w:val="32"/>
      <w:szCs w:val="32"/>
    </w:rPr>
  </w:style>
  <w:style w:type="character" w:customStyle="1" w:styleId="974">
    <w:name w:val="样式 二级标题 + 自动设置 Char"/>
    <w:link w:val="973"/>
    <w:qFormat/>
    <w:uiPriority w:val="0"/>
    <w:rPr>
      <w:rFonts w:ascii="Times New Roman" w:hAnsi="Times New Roman" w:eastAsia="黑体" w:cs="Times New Roman"/>
      <w:b/>
      <w:bCs/>
      <w:kern w:val="0"/>
      <w:sz w:val="32"/>
      <w:szCs w:val="32"/>
    </w:rPr>
  </w:style>
  <w:style w:type="character" w:customStyle="1" w:styleId="975">
    <w:name w:val="报告书正文 Char"/>
    <w:link w:val="976"/>
    <w:qFormat/>
    <w:uiPriority w:val="0"/>
    <w:rPr>
      <w:rFonts w:ascii="Times New Roman" w:hAnsi="Times New Roman" w:eastAsia="宋体" w:cs="Times New Roman"/>
      <w:sz w:val="24"/>
      <w:szCs w:val="24"/>
    </w:rPr>
  </w:style>
  <w:style w:type="paragraph" w:customStyle="1" w:styleId="976">
    <w:name w:val="报告书正文"/>
    <w:basedOn w:val="1"/>
    <w:link w:val="975"/>
    <w:qFormat/>
    <w:uiPriority w:val="0"/>
    <w:pPr>
      <w:ind w:firstLine="480" w:firstLineChars="200"/>
    </w:pPr>
  </w:style>
  <w:style w:type="character" w:customStyle="1" w:styleId="977">
    <w:name w:val="内1 Char Char"/>
    <w:qFormat/>
    <w:uiPriority w:val="0"/>
    <w:rPr>
      <w:rFonts w:ascii="宋体" w:hAnsi="宋体" w:eastAsia="宋体"/>
      <w:bCs/>
      <w:kern w:val="2"/>
      <w:sz w:val="24"/>
      <w:szCs w:val="24"/>
      <w:lang w:val="en-US" w:eastAsia="zh-CN" w:bidi="ar-SA"/>
    </w:rPr>
  </w:style>
  <w:style w:type="character" w:customStyle="1" w:styleId="978">
    <w:name w:val="Char Char27"/>
    <w:qFormat/>
    <w:uiPriority w:val="0"/>
    <w:rPr>
      <w:rFonts w:ascii="宋体" w:hAnsi="宋体" w:eastAsia="宋体" w:cs="宋体"/>
      <w:color w:val="000000"/>
      <w:spacing w:val="4"/>
      <w:kern w:val="2"/>
      <w:sz w:val="24"/>
      <w:szCs w:val="24"/>
      <w:lang w:val="en-US" w:eastAsia="zh-CN" w:bidi="ar-SA"/>
    </w:rPr>
  </w:style>
  <w:style w:type="character" w:customStyle="1" w:styleId="979">
    <w:name w:val="样式 宋体 小四 行距: 固定值 25 磅 Char Char"/>
    <w:link w:val="980"/>
    <w:qFormat/>
    <w:uiPriority w:val="0"/>
    <w:rPr>
      <w:rFonts w:ascii="宋体" w:hAnsi="宋体"/>
      <w:sz w:val="24"/>
    </w:rPr>
  </w:style>
  <w:style w:type="paragraph" w:customStyle="1" w:styleId="980">
    <w:name w:val="样式 宋体 小四 行距: 固定值 25 磅 Char"/>
    <w:basedOn w:val="1"/>
    <w:link w:val="979"/>
    <w:qFormat/>
    <w:uiPriority w:val="0"/>
    <w:pPr>
      <w:ind w:firstLine="480" w:firstLineChars="200"/>
    </w:pPr>
    <w:rPr>
      <w:rFonts w:ascii="宋体" w:hAnsi="宋体" w:eastAsiaTheme="minorEastAsia" w:cstheme="minorBidi"/>
      <w:szCs w:val="22"/>
    </w:rPr>
  </w:style>
  <w:style w:type="character" w:customStyle="1" w:styleId="981">
    <w:name w:val="四号 段前: 7.8 磅 行距: 多倍行距 1.3 字行 Char"/>
    <w:link w:val="982"/>
    <w:qFormat/>
    <w:uiPriority w:val="0"/>
    <w:rPr>
      <w:sz w:val="28"/>
    </w:rPr>
  </w:style>
  <w:style w:type="paragraph" w:customStyle="1" w:styleId="982">
    <w:name w:val="四号 段前: 7.8 磅 行距: 多倍行距 1.3 字行"/>
    <w:basedOn w:val="1"/>
    <w:link w:val="981"/>
    <w:qFormat/>
    <w:uiPriority w:val="0"/>
    <w:pPr>
      <w:spacing w:line="312" w:lineRule="auto"/>
      <w:ind w:firstLine="560" w:firstLineChars="200"/>
      <w:jc w:val="left"/>
    </w:pPr>
    <w:rPr>
      <w:rFonts w:asciiTheme="minorHAnsi" w:hAnsiTheme="minorHAnsi" w:eastAsiaTheme="minorEastAsia" w:cstheme="minorBidi"/>
      <w:sz w:val="28"/>
      <w:szCs w:val="22"/>
    </w:rPr>
  </w:style>
  <w:style w:type="character" w:customStyle="1" w:styleId="983">
    <w:name w:val="页眉 Char1"/>
    <w:qFormat/>
    <w:locked/>
    <w:uiPriority w:val="0"/>
    <w:rPr>
      <w:rFonts w:eastAsia="仿宋_GB2312"/>
      <w:kern w:val="2"/>
      <w:sz w:val="18"/>
      <w:szCs w:val="18"/>
      <w:lang w:val="en-US" w:eastAsia="zh-CN" w:bidi="ar-SA"/>
    </w:rPr>
  </w:style>
  <w:style w:type="character" w:customStyle="1" w:styleId="984">
    <w:name w:val="991"/>
    <w:qFormat/>
    <w:uiPriority w:val="0"/>
    <w:rPr>
      <w:rFonts w:hint="default" w:ascii="Arial" w:hAnsi="Arial" w:eastAsia="汉鼎简书宋" w:cs="Arial"/>
      <w:color w:val="FF0000"/>
      <w:spacing w:val="4"/>
      <w:kern w:val="2"/>
      <w:sz w:val="18"/>
      <w:szCs w:val="18"/>
      <w:u w:val="none"/>
      <w:lang w:val="en-US" w:eastAsia="zh-CN" w:bidi="ar-SA"/>
    </w:rPr>
  </w:style>
  <w:style w:type="character" w:customStyle="1" w:styleId="985">
    <w:name w:val="样式 公式---------------------- + 首行缩进:  2 字符 Char"/>
    <w:link w:val="986"/>
    <w:qFormat/>
    <w:uiPriority w:val="0"/>
    <w:rPr>
      <w:rFonts w:ascii="宋体" w:hAnsi="宋体"/>
      <w:spacing w:val="16"/>
      <w:sz w:val="24"/>
      <w:szCs w:val="24"/>
    </w:rPr>
  </w:style>
  <w:style w:type="paragraph" w:customStyle="1" w:styleId="986">
    <w:name w:val="样式 公式---------------------- + 首行缩进:  2 字符"/>
    <w:basedOn w:val="1"/>
    <w:link w:val="985"/>
    <w:qFormat/>
    <w:uiPriority w:val="0"/>
    <w:pPr>
      <w:spacing w:line="240" w:lineRule="auto"/>
      <w:ind w:firstLine="200" w:firstLineChars="200"/>
      <w:jc w:val="center"/>
      <w:textAlignment w:val="center"/>
    </w:pPr>
    <w:rPr>
      <w:rFonts w:ascii="宋体" w:hAnsi="宋体" w:eastAsiaTheme="minorEastAsia" w:cstheme="minorBidi"/>
      <w:spacing w:val="16"/>
    </w:rPr>
  </w:style>
  <w:style w:type="character" w:customStyle="1" w:styleId="987">
    <w:name w:val="3zw1"/>
    <w:qFormat/>
    <w:uiPriority w:val="0"/>
    <w:rPr>
      <w:rFonts w:ascii="宋体" w:hAnsi="宋体" w:eastAsia="宋体" w:cs="宋体"/>
      <w:snapToGrid w:val="0"/>
      <w:color w:val="000000"/>
      <w:spacing w:val="4"/>
      <w:kern w:val="2"/>
      <w:sz w:val="21"/>
      <w:szCs w:val="21"/>
      <w:lang w:val="en-US" w:eastAsia="zh-CN" w:bidi="ar-SA"/>
    </w:rPr>
  </w:style>
  <w:style w:type="character" w:customStyle="1" w:styleId="988">
    <w:name w:val="表文 Char Char Char1"/>
    <w:link w:val="989"/>
    <w:qFormat/>
    <w:uiPriority w:val="0"/>
  </w:style>
  <w:style w:type="paragraph" w:customStyle="1" w:styleId="989">
    <w:name w:val="表文 Char Char"/>
    <w:basedOn w:val="1"/>
    <w:link w:val="988"/>
    <w:qFormat/>
    <w:uiPriority w:val="0"/>
    <w:pPr>
      <w:overflowPunct w:val="0"/>
      <w:adjustRightInd w:val="0"/>
      <w:snapToGrid w:val="0"/>
      <w:spacing w:line="240" w:lineRule="auto"/>
      <w:jc w:val="center"/>
      <w:textAlignment w:val="baseline"/>
    </w:pPr>
    <w:rPr>
      <w:rFonts w:asciiTheme="minorHAnsi" w:hAnsiTheme="minorHAnsi" w:eastAsiaTheme="minorEastAsia" w:cstheme="minorBidi"/>
      <w:sz w:val="21"/>
      <w:szCs w:val="22"/>
    </w:rPr>
  </w:style>
  <w:style w:type="character" w:customStyle="1" w:styleId="990">
    <w:name w:val="书籍标题1"/>
    <w:qFormat/>
    <w:uiPriority w:val="0"/>
    <w:rPr>
      <w:rFonts w:ascii="Cambria" w:hAnsi="Cambria" w:eastAsia="宋体" w:cs="宋体"/>
      <w:b/>
      <w:i/>
      <w:spacing w:val="4"/>
      <w:kern w:val="2"/>
      <w:sz w:val="24"/>
      <w:szCs w:val="24"/>
      <w:lang w:val="en-US" w:eastAsia="zh-CN" w:bidi="ar-SA"/>
    </w:rPr>
  </w:style>
  <w:style w:type="character" w:customStyle="1" w:styleId="991">
    <w:name w:val="unnamed21"/>
    <w:qFormat/>
    <w:uiPriority w:val="0"/>
    <w:rPr>
      <w:color w:val="FFFFFF"/>
      <w:sz w:val="20"/>
      <w:szCs w:val="20"/>
    </w:rPr>
  </w:style>
  <w:style w:type="character" w:customStyle="1" w:styleId="992">
    <w:name w:val="我的 标题 3条标题1.1.1标题 3 Char Char小标题头小节标题标题 3 Char Char Char标... Char Char"/>
    <w:link w:val="993"/>
    <w:qFormat/>
    <w:uiPriority w:val="0"/>
    <w:rPr>
      <w:rFonts w:eastAsia="黑体"/>
      <w:bCs/>
      <w:sz w:val="28"/>
      <w:szCs w:val="28"/>
    </w:rPr>
  </w:style>
  <w:style w:type="paragraph" w:customStyle="1" w:styleId="993">
    <w:name w:val="我的 标题 3条标题1.1.1标题 3 Char Char小标题头小节标题标题 3 Char Char Char标... Char"/>
    <w:basedOn w:val="7"/>
    <w:link w:val="992"/>
    <w:qFormat/>
    <w:uiPriority w:val="0"/>
    <w:pPr>
      <w:numPr>
        <w:numId w:val="0"/>
      </w:numPr>
      <w:tabs>
        <w:tab w:val="left" w:pos="1080"/>
      </w:tabs>
      <w:adjustRightInd w:val="0"/>
      <w:snapToGrid w:val="0"/>
      <w:spacing w:before="0" w:after="0" w:line="360" w:lineRule="auto"/>
      <w:textAlignment w:val="baseline"/>
    </w:pPr>
    <w:rPr>
      <w:rFonts w:eastAsia="黑体" w:asciiTheme="minorHAnsi" w:hAnsiTheme="minorHAnsi" w:cstheme="minorBidi"/>
      <w:b w:val="0"/>
      <w:color w:val="auto"/>
      <w:szCs w:val="28"/>
    </w:rPr>
  </w:style>
  <w:style w:type="character" w:customStyle="1" w:styleId="994">
    <w:name w:val="Char Char20"/>
    <w:qFormat/>
    <w:uiPriority w:val="0"/>
    <w:rPr>
      <w:rFonts w:ascii="宋体" w:hAnsi="宋体" w:eastAsia="宋体" w:cs="宋体"/>
      <w:b/>
      <w:bCs/>
      <w:color w:val="000000"/>
      <w:spacing w:val="4"/>
      <w:kern w:val="2"/>
      <w:sz w:val="24"/>
      <w:szCs w:val="24"/>
      <w:lang w:val="en-US" w:eastAsia="zh-CN" w:bidi="ar-SA"/>
    </w:rPr>
  </w:style>
  <w:style w:type="character" w:customStyle="1" w:styleId="995">
    <w:name w:val="正文s + 加粗 Char Char"/>
    <w:link w:val="996"/>
    <w:qFormat/>
    <w:uiPriority w:val="0"/>
    <w:rPr>
      <w:rFonts w:ascii="Times New Roman" w:hAnsi="Times New Roman" w:eastAsia="宋体" w:cs="宋体"/>
      <w:b/>
      <w:bCs/>
      <w:sz w:val="24"/>
      <w:szCs w:val="24"/>
    </w:rPr>
  </w:style>
  <w:style w:type="paragraph" w:customStyle="1" w:styleId="996">
    <w:name w:val="正文s + 加粗"/>
    <w:basedOn w:val="1"/>
    <w:link w:val="995"/>
    <w:qFormat/>
    <w:uiPriority w:val="0"/>
    <w:pPr>
      <w:ind w:firstLine="480" w:firstLineChars="200"/>
    </w:pPr>
    <w:rPr>
      <w:rFonts w:cs="宋体"/>
      <w:b/>
      <w:bCs/>
    </w:rPr>
  </w:style>
  <w:style w:type="character" w:customStyle="1" w:styleId="997">
    <w:name w:val="style71"/>
    <w:qFormat/>
    <w:uiPriority w:val="0"/>
    <w:rPr>
      <w:rFonts w:hint="eastAsia" w:ascii="MingLiU" w:hAnsi="MingLiU" w:eastAsia="MingLiU"/>
    </w:rPr>
  </w:style>
  <w:style w:type="character" w:customStyle="1" w:styleId="998">
    <w:name w:val="样式 样式 宋体 四号 左 行距: 固定值 25 磅 + 首行缩进:  2 字符 Char Char"/>
    <w:qFormat/>
    <w:uiPriority w:val="0"/>
    <w:rPr>
      <w:rFonts w:ascii="宋体" w:hAnsi="宋体"/>
      <w:snapToGrid w:val="0"/>
      <w:sz w:val="28"/>
      <w:szCs w:val="28"/>
      <w:lang w:bidi="ar-SA"/>
    </w:rPr>
  </w:style>
  <w:style w:type="character" w:customStyle="1" w:styleId="999">
    <w:name w:val="7.4.3.1 Char Char"/>
    <w:link w:val="1000"/>
    <w:qFormat/>
    <w:uiPriority w:val="0"/>
    <w:rPr>
      <w:rFonts w:ascii="Arial" w:hAnsi="Arial" w:eastAsia="黑体"/>
      <w:b/>
      <w:bCs/>
      <w:color w:val="FF0000"/>
      <w:sz w:val="24"/>
    </w:rPr>
  </w:style>
  <w:style w:type="paragraph" w:customStyle="1" w:styleId="1000">
    <w:name w:val="7.4.3.1"/>
    <w:basedOn w:val="1001"/>
    <w:link w:val="999"/>
    <w:qFormat/>
    <w:uiPriority w:val="0"/>
    <w:pPr>
      <w:numPr>
        <w:numId w:val="9"/>
      </w:numPr>
      <w:tabs>
        <w:tab w:val="left" w:pos="295"/>
        <w:tab w:val="left" w:pos="360"/>
        <w:tab w:val="left" w:pos="2249"/>
        <w:tab w:val="left" w:pos="2356"/>
      </w:tabs>
      <w:ind w:left="1984" w:hanging="420"/>
    </w:pPr>
    <w:rPr>
      <w:color w:val="FF0000"/>
      <w:spacing w:val="0"/>
      <w:szCs w:val="22"/>
    </w:rPr>
  </w:style>
  <w:style w:type="paragraph" w:customStyle="1" w:styleId="1001">
    <w:name w:val="7.4.2.1"/>
    <w:basedOn w:val="913"/>
    <w:link w:val="1002"/>
    <w:qFormat/>
    <w:uiPriority w:val="0"/>
    <w:pPr>
      <w:numPr>
        <w:ilvl w:val="3"/>
        <w:numId w:val="10"/>
      </w:numPr>
      <w:tabs>
        <w:tab w:val="left" w:pos="360"/>
        <w:tab w:val="clear" w:pos="1571"/>
      </w:tabs>
      <w:ind w:left="0" w:firstLine="0"/>
    </w:pPr>
  </w:style>
  <w:style w:type="character" w:customStyle="1" w:styleId="1002">
    <w:name w:val="7.4.2.1 Char Char"/>
    <w:link w:val="1001"/>
    <w:qFormat/>
    <w:uiPriority w:val="0"/>
    <w:rPr>
      <w:rFonts w:ascii="Arial" w:hAnsi="Arial" w:eastAsia="黑体"/>
      <w:b/>
      <w:bCs/>
      <w:spacing w:val="4"/>
      <w:sz w:val="24"/>
      <w:szCs w:val="24"/>
    </w:rPr>
  </w:style>
  <w:style w:type="character" w:customStyle="1" w:styleId="1003">
    <w:name w:val="样式 样式 样式 宋体 四号 左 行距: 固定值 25 磅 + 首行缩进:  2 字符 + 四号 左 首行缩进:  2 字符1 Char Char"/>
    <w:qFormat/>
    <w:uiPriority w:val="0"/>
    <w:rPr>
      <w:rFonts w:ascii="宋体" w:hAnsi="宋体"/>
      <w:snapToGrid w:val="0"/>
      <w:sz w:val="28"/>
      <w:lang w:bidi="ar-SA"/>
    </w:rPr>
  </w:style>
  <w:style w:type="character" w:customStyle="1" w:styleId="1004">
    <w:name w:val="样式 表文 Char Char + Char Char"/>
    <w:qFormat/>
    <w:uiPriority w:val="0"/>
  </w:style>
  <w:style w:type="character" w:customStyle="1" w:styleId="1005">
    <w:name w:val="read"/>
    <w:qFormat/>
    <w:uiPriority w:val="0"/>
  </w:style>
  <w:style w:type="character" w:customStyle="1" w:styleId="1006">
    <w:name w:val="正文首行缩进 Char Char"/>
    <w:qFormat/>
    <w:uiPriority w:val="0"/>
    <w:rPr>
      <w:rFonts w:eastAsia="宋体"/>
      <w:kern w:val="2"/>
      <w:sz w:val="21"/>
      <w:szCs w:val="24"/>
      <w:lang w:val="en-US" w:eastAsia="zh-CN" w:bidi="ar-SA"/>
    </w:rPr>
  </w:style>
  <w:style w:type="character" w:customStyle="1" w:styleId="1007">
    <w:name w:val="正文首行缩进 Char1"/>
    <w:qFormat/>
    <w:uiPriority w:val="0"/>
  </w:style>
  <w:style w:type="character" w:customStyle="1" w:styleId="1008">
    <w:name w:val="项目表头 Char Char"/>
    <w:link w:val="1009"/>
    <w:qFormat/>
    <w:uiPriority w:val="0"/>
    <w:rPr>
      <w:rFonts w:ascii="Calibri" w:hAnsi="Calibri"/>
      <w:szCs w:val="26"/>
    </w:rPr>
  </w:style>
  <w:style w:type="paragraph" w:customStyle="1" w:styleId="1009">
    <w:name w:val="项目表头"/>
    <w:basedOn w:val="1"/>
    <w:link w:val="1008"/>
    <w:qFormat/>
    <w:uiPriority w:val="0"/>
    <w:pPr>
      <w:spacing w:line="240" w:lineRule="auto"/>
      <w:jc w:val="left"/>
    </w:pPr>
    <w:rPr>
      <w:rFonts w:ascii="Calibri" w:hAnsi="Calibri" w:eastAsiaTheme="minorEastAsia" w:cstheme="minorBidi"/>
      <w:sz w:val="21"/>
      <w:szCs w:val="26"/>
    </w:rPr>
  </w:style>
  <w:style w:type="character" w:customStyle="1" w:styleId="1010">
    <w:name w:val="样式 行距: 固定值 23 磅 首行缩进:  2.25 字符 Char Char"/>
    <w:qFormat/>
    <w:uiPriority w:val="0"/>
    <w:rPr>
      <w:kern w:val="2"/>
      <w:sz w:val="24"/>
      <w:lang w:bidi="ar-SA"/>
    </w:rPr>
  </w:style>
  <w:style w:type="character" w:customStyle="1" w:styleId="1011">
    <w:name w:val="四级目录（康健城） Char"/>
    <w:link w:val="1012"/>
    <w:qFormat/>
    <w:uiPriority w:val="0"/>
    <w:rPr>
      <w:b/>
      <w:sz w:val="24"/>
      <w:szCs w:val="24"/>
    </w:rPr>
  </w:style>
  <w:style w:type="paragraph" w:customStyle="1" w:styleId="1012">
    <w:name w:val="四级目录（康健城）"/>
    <w:basedOn w:val="1"/>
    <w:link w:val="1011"/>
    <w:qFormat/>
    <w:uiPriority w:val="0"/>
    <w:pPr>
      <w:adjustRightInd w:val="0"/>
      <w:snapToGrid w:val="0"/>
      <w:spacing w:before="100" w:after="100"/>
      <w:outlineLvl w:val="3"/>
    </w:pPr>
    <w:rPr>
      <w:rFonts w:asciiTheme="minorHAnsi" w:hAnsiTheme="minorHAnsi" w:eastAsiaTheme="minorEastAsia" w:cstheme="minorBidi"/>
      <w:b/>
    </w:rPr>
  </w:style>
  <w:style w:type="character" w:customStyle="1" w:styleId="1013">
    <w:name w:val="题注 Char1"/>
    <w:qFormat/>
    <w:uiPriority w:val="0"/>
    <w:rPr>
      <w:rFonts w:ascii="Arial" w:hAnsi="Arial" w:eastAsia="黑体" w:cs="Arial"/>
      <w:lang w:val="en-US" w:eastAsia="en-US" w:bidi="en-US"/>
    </w:rPr>
  </w:style>
  <w:style w:type="character" w:customStyle="1" w:styleId="1014">
    <w:name w:val="样式 样式 样式 宋体 四号 左 行距: 固定值 25 磅 + 首行缩进:  2 字符 + 四号 左 首行缩进:  2 字符1 Char"/>
    <w:link w:val="1015"/>
    <w:qFormat/>
    <w:uiPriority w:val="0"/>
    <w:rPr>
      <w:rFonts w:ascii="宋体" w:hAnsi="宋体"/>
      <w:sz w:val="28"/>
    </w:rPr>
  </w:style>
  <w:style w:type="paragraph" w:customStyle="1" w:styleId="1015">
    <w:name w:val="样式 样式 样式 宋体 四号 左 行距: 固定值 25 磅 + 首行缩进:  2 字符 + 四号 左 首行缩进:  2 字符1"/>
    <w:basedOn w:val="1"/>
    <w:link w:val="1014"/>
    <w:qFormat/>
    <w:uiPriority w:val="0"/>
    <w:pPr>
      <w:adjustRightInd w:val="0"/>
      <w:snapToGrid w:val="0"/>
      <w:spacing w:beforeLines="50" w:line="500" w:lineRule="exact"/>
      <w:ind w:firstLine="200" w:firstLineChars="200"/>
      <w:jc w:val="left"/>
    </w:pPr>
    <w:rPr>
      <w:rFonts w:ascii="宋体" w:hAnsi="宋体" w:eastAsiaTheme="minorEastAsia" w:cstheme="minorBidi"/>
      <w:sz w:val="28"/>
      <w:szCs w:val="22"/>
    </w:rPr>
  </w:style>
  <w:style w:type="character" w:customStyle="1" w:styleId="1016">
    <w:name w:val="燕山正文 Char Char Char Char"/>
    <w:qFormat/>
    <w:uiPriority w:val="0"/>
    <w:rPr>
      <w:rFonts w:ascii="宋体" w:hAnsi="Arial" w:eastAsia="宋体" w:cs="宋体"/>
      <w:snapToGrid w:val="0"/>
      <w:spacing w:val="10"/>
      <w:kern w:val="2"/>
      <w:sz w:val="24"/>
      <w:szCs w:val="24"/>
      <w:lang w:val="en-US" w:eastAsia="zh-CN" w:bidi="ar-SA"/>
    </w:rPr>
  </w:style>
  <w:style w:type="character" w:customStyle="1" w:styleId="1017">
    <w:name w:val="lanmu_title1"/>
    <w:qFormat/>
    <w:uiPriority w:val="0"/>
    <w:rPr>
      <w:b/>
      <w:bCs/>
      <w:color w:val="000000"/>
      <w:sz w:val="20"/>
      <w:szCs w:val="20"/>
    </w:rPr>
  </w:style>
  <w:style w:type="character" w:customStyle="1" w:styleId="1018">
    <w:name w:val="Char Char22"/>
    <w:qFormat/>
    <w:uiPriority w:val="0"/>
    <w:rPr>
      <w:rFonts w:ascii="宋体" w:eastAsia="宋体"/>
      <w:color w:val="000000"/>
      <w:sz w:val="36"/>
      <w:lang w:val="en-US" w:eastAsia="zh-CN" w:bidi="ar-SA"/>
    </w:rPr>
  </w:style>
  <w:style w:type="character" w:customStyle="1" w:styleId="1019">
    <w:name w:val="表头（陶瓷） Char"/>
    <w:link w:val="1020"/>
    <w:qFormat/>
    <w:uiPriority w:val="0"/>
    <w:rPr>
      <w:rFonts w:eastAsia="黑体"/>
      <w:color w:val="FF0000"/>
      <w:szCs w:val="24"/>
    </w:rPr>
  </w:style>
  <w:style w:type="paragraph" w:customStyle="1" w:styleId="1020">
    <w:name w:val="表头（陶瓷）"/>
    <w:basedOn w:val="1"/>
    <w:link w:val="1019"/>
    <w:qFormat/>
    <w:uiPriority w:val="0"/>
    <w:pPr>
      <w:spacing w:line="400" w:lineRule="exact"/>
      <w:jc w:val="center"/>
    </w:pPr>
    <w:rPr>
      <w:rFonts w:eastAsia="黑体" w:asciiTheme="minorHAnsi" w:hAnsiTheme="minorHAnsi" w:cstheme="minorBidi"/>
      <w:color w:val="FF0000"/>
      <w:sz w:val="21"/>
    </w:rPr>
  </w:style>
  <w:style w:type="character" w:customStyle="1" w:styleId="1021">
    <w:name w:val="introtxt"/>
    <w:qFormat/>
    <w:uiPriority w:val="0"/>
  </w:style>
  <w:style w:type="character" w:customStyle="1" w:styleId="1022">
    <w:name w:val="德胜空行 Char Char"/>
    <w:qFormat/>
    <w:uiPriority w:val="0"/>
    <w:rPr>
      <w:rFonts w:ascii="宋体" w:hAnsi="宋体" w:eastAsia="宋体" w:cs="宋体"/>
      <w:snapToGrid w:val="0"/>
      <w:color w:val="0000FF"/>
      <w:spacing w:val="4"/>
      <w:kern w:val="2"/>
      <w:sz w:val="21"/>
      <w:szCs w:val="28"/>
      <w:lang w:val="en-US" w:eastAsia="zh-CN" w:bidi="ar-SA"/>
    </w:rPr>
  </w:style>
  <w:style w:type="character" w:customStyle="1" w:styleId="1023">
    <w:name w:val="正文四号 Char"/>
    <w:link w:val="1024"/>
    <w:qFormat/>
    <w:uiPriority w:val="0"/>
    <w:rPr>
      <w:rFonts w:ascii="Times New Roman" w:hAnsi="Times New Roman" w:eastAsia="宋体" w:cs="Times New Roman"/>
      <w:sz w:val="24"/>
      <w:szCs w:val="28"/>
    </w:rPr>
  </w:style>
  <w:style w:type="paragraph" w:customStyle="1" w:styleId="1024">
    <w:name w:val="正文四号"/>
    <w:basedOn w:val="1"/>
    <w:link w:val="1023"/>
    <w:qFormat/>
    <w:uiPriority w:val="0"/>
    <w:pPr>
      <w:spacing w:after="156" w:afterLines="50"/>
      <w:ind w:firstLine="200" w:firstLineChars="200"/>
    </w:pPr>
    <w:rPr>
      <w:szCs w:val="28"/>
    </w:rPr>
  </w:style>
  <w:style w:type="character" w:customStyle="1" w:styleId="1025">
    <w:name w:val="表体宋旭峰 Char Char"/>
    <w:qFormat/>
    <w:uiPriority w:val="0"/>
    <w:rPr>
      <w:rFonts w:ascii="宋体" w:hAnsi="宋体" w:eastAsia="宋体" w:cs="Courier New"/>
      <w:snapToGrid w:val="0"/>
      <w:color w:val="000000"/>
      <w:spacing w:val="4"/>
      <w:kern w:val="24"/>
      <w:sz w:val="18"/>
      <w:szCs w:val="18"/>
      <w:lang w:val="en-US" w:eastAsia="zh-CN" w:bidi="ar-SA"/>
    </w:rPr>
  </w:style>
  <w:style w:type="character" w:customStyle="1" w:styleId="1026">
    <w:name w:val="Char Char16"/>
    <w:qFormat/>
    <w:uiPriority w:val="0"/>
    <w:rPr>
      <w:rFonts w:ascii="Courier New" w:hAnsi="Courier New" w:eastAsia="宋体" w:cs="Courier New"/>
      <w:color w:val="000000"/>
      <w:spacing w:val="4"/>
      <w:kern w:val="2"/>
      <w:sz w:val="24"/>
      <w:szCs w:val="24"/>
      <w:lang w:val="en-US" w:eastAsia="zh-CN" w:bidi="ar-SA"/>
    </w:rPr>
  </w:style>
  <w:style w:type="character" w:customStyle="1" w:styleId="1027">
    <w:name w:val="样式 正文3 + 首行缩进:  2 字符3 + 首行缩进:  2 字符1 Char"/>
    <w:link w:val="1028"/>
    <w:qFormat/>
    <w:uiPriority w:val="0"/>
    <w:rPr>
      <w:rFonts w:ascii="宋体" w:hAnsi="宋体"/>
      <w:bCs/>
      <w:sz w:val="24"/>
      <w:szCs w:val="28"/>
      <w:lang w:val="zh-CN"/>
    </w:rPr>
  </w:style>
  <w:style w:type="paragraph" w:customStyle="1" w:styleId="1028">
    <w:name w:val="样式 正文3 + 首行缩进:  2 字符3 + 首行缩进:  2 字符1"/>
    <w:basedOn w:val="1"/>
    <w:link w:val="1027"/>
    <w:qFormat/>
    <w:uiPriority w:val="0"/>
    <w:pPr>
      <w:widowControl/>
      <w:suppressAutoHyphens/>
      <w:overflowPunct w:val="0"/>
      <w:topLinePunct/>
      <w:spacing w:line="480" w:lineRule="exact"/>
      <w:ind w:firstLine="469" w:firstLineChars="200"/>
    </w:pPr>
    <w:rPr>
      <w:rFonts w:ascii="宋体" w:hAnsi="宋体" w:eastAsiaTheme="minorEastAsia" w:cstheme="minorBidi"/>
      <w:bCs/>
      <w:szCs w:val="28"/>
      <w:lang w:val="zh-CN"/>
    </w:rPr>
  </w:style>
  <w:style w:type="character" w:customStyle="1" w:styleId="1029">
    <w:name w:val="二级标题 Char Char"/>
    <w:qFormat/>
    <w:uiPriority w:val="0"/>
    <w:rPr>
      <w:rFonts w:ascii="宋体" w:hAnsi="Arial" w:eastAsia="黑体" w:cs="宋体"/>
      <w:b/>
      <w:bCs/>
      <w:spacing w:val="4"/>
      <w:kern w:val="2"/>
      <w:sz w:val="32"/>
      <w:szCs w:val="32"/>
    </w:rPr>
  </w:style>
  <w:style w:type="character" w:customStyle="1" w:styleId="1030">
    <w:name w:val="图表题 Char"/>
    <w:link w:val="1031"/>
    <w:qFormat/>
    <w:uiPriority w:val="0"/>
    <w:rPr>
      <w:rFonts w:ascii="黑体" w:hAnsi="宋体" w:eastAsia="黑体"/>
      <w:bCs/>
      <w:sz w:val="24"/>
      <w:szCs w:val="24"/>
    </w:rPr>
  </w:style>
  <w:style w:type="paragraph" w:customStyle="1" w:styleId="1031">
    <w:name w:val="图表题"/>
    <w:basedOn w:val="1"/>
    <w:next w:val="1"/>
    <w:link w:val="1030"/>
    <w:qFormat/>
    <w:uiPriority w:val="0"/>
    <w:pPr>
      <w:widowControl/>
      <w:jc w:val="center"/>
    </w:pPr>
    <w:rPr>
      <w:rFonts w:ascii="黑体" w:hAnsi="宋体" w:eastAsia="黑体" w:cstheme="minorBidi"/>
      <w:bCs/>
    </w:rPr>
  </w:style>
  <w:style w:type="character" w:customStyle="1" w:styleId="1032">
    <w:name w:val="样式 标题 1 + 宋体 小二 Char"/>
    <w:link w:val="1033"/>
    <w:qFormat/>
    <w:uiPriority w:val="0"/>
    <w:rPr>
      <w:rFonts w:ascii="宋体" w:hAnsi="宋体"/>
      <w:b/>
      <w:caps/>
      <w:kern w:val="44"/>
      <w:sz w:val="32"/>
      <w:szCs w:val="44"/>
    </w:rPr>
  </w:style>
  <w:style w:type="paragraph" w:customStyle="1" w:styleId="1033">
    <w:name w:val="样式 标题 1 + 宋体 小二"/>
    <w:basedOn w:val="5"/>
    <w:link w:val="1032"/>
    <w:qFormat/>
    <w:uiPriority w:val="0"/>
    <w:pPr>
      <w:keepLines/>
      <w:tabs>
        <w:tab w:val="right" w:leader="dot" w:pos="8905"/>
        <w:tab w:val="right" w:leader="dot" w:pos="8965"/>
      </w:tabs>
      <w:spacing w:before="340" w:after="330" w:line="578" w:lineRule="auto"/>
    </w:pPr>
    <w:rPr>
      <w:rFonts w:eastAsiaTheme="minorEastAsia" w:cstheme="minorBidi"/>
      <w:b/>
      <w:caps/>
      <w:kern w:val="44"/>
      <w:sz w:val="32"/>
      <w:szCs w:val="44"/>
    </w:rPr>
  </w:style>
  <w:style w:type="character" w:customStyle="1" w:styleId="1034">
    <w:name w:val="ourfont31"/>
    <w:qFormat/>
    <w:uiPriority w:val="0"/>
    <w:rPr>
      <w:spacing w:val="20"/>
      <w:sz w:val="21"/>
      <w:szCs w:val="21"/>
    </w:rPr>
  </w:style>
  <w:style w:type="character" w:customStyle="1" w:styleId="1035">
    <w:name w:val="xyb自建正文 Char Char Char Char Char"/>
    <w:qFormat/>
    <w:uiPriority w:val="0"/>
    <w:rPr>
      <w:rFonts w:ascii="宋体" w:hAnsi="宋体" w:eastAsia="宋体"/>
      <w:kern w:val="2"/>
      <w:sz w:val="24"/>
      <w:szCs w:val="24"/>
      <w:lang w:val="en-US" w:eastAsia="zh-CN" w:bidi="ar-SA"/>
    </w:rPr>
  </w:style>
  <w:style w:type="character" w:customStyle="1" w:styleId="1036">
    <w:name w:val="样式 标题 1标题 1 Char标1第一章章一级标题，黑粗，三号，序号可研-标题 1PartH1H11H12... Char Char"/>
    <w:qFormat/>
    <w:uiPriority w:val="0"/>
    <w:rPr>
      <w:rFonts w:ascii="宋体" w:hAnsi="宋体" w:eastAsia="黑体" w:cs="宋体"/>
      <w:b/>
      <w:bCs/>
      <w:spacing w:val="4"/>
      <w:kern w:val="44"/>
      <w:sz w:val="36"/>
      <w:szCs w:val="36"/>
      <w:lang w:val="en-US" w:eastAsia="zh-CN" w:bidi="ar-SA"/>
    </w:rPr>
  </w:style>
  <w:style w:type="character" w:customStyle="1" w:styleId="1037">
    <w:name w:val="content151"/>
    <w:qFormat/>
    <w:uiPriority w:val="0"/>
    <w:rPr>
      <w:sz w:val="24"/>
      <w:szCs w:val="24"/>
      <w:u w:val="none"/>
    </w:rPr>
  </w:style>
  <w:style w:type="character" w:customStyle="1" w:styleId="1038">
    <w:name w:val="xyb自建正文 Char"/>
    <w:link w:val="1039"/>
    <w:qFormat/>
    <w:uiPriority w:val="0"/>
    <w:rPr>
      <w:rFonts w:ascii="宋体" w:hAnsi="宋体"/>
      <w:sz w:val="24"/>
      <w:szCs w:val="24"/>
    </w:rPr>
  </w:style>
  <w:style w:type="paragraph" w:customStyle="1" w:styleId="1039">
    <w:name w:val="xyb自建正文"/>
    <w:basedOn w:val="1"/>
    <w:link w:val="1038"/>
    <w:qFormat/>
    <w:uiPriority w:val="0"/>
    <w:pPr>
      <w:adjustRightInd w:val="0"/>
      <w:snapToGrid w:val="0"/>
      <w:ind w:firstLine="453" w:firstLineChars="200"/>
    </w:pPr>
    <w:rPr>
      <w:rFonts w:ascii="宋体" w:hAnsi="宋体" w:eastAsiaTheme="minorEastAsia" w:cstheme="minorBidi"/>
    </w:rPr>
  </w:style>
  <w:style w:type="character" w:customStyle="1" w:styleId="1040">
    <w:name w:val="正文---------------- Char"/>
    <w:link w:val="1041"/>
    <w:qFormat/>
    <w:uiPriority w:val="0"/>
    <w:rPr>
      <w:rFonts w:ascii="宋体" w:hAnsi="宋体"/>
      <w:spacing w:val="16"/>
      <w:sz w:val="24"/>
      <w:szCs w:val="24"/>
    </w:rPr>
  </w:style>
  <w:style w:type="paragraph" w:customStyle="1" w:styleId="1041">
    <w:name w:val="正文----------------"/>
    <w:basedOn w:val="1"/>
    <w:link w:val="1040"/>
    <w:qFormat/>
    <w:uiPriority w:val="0"/>
    <w:pPr>
      <w:spacing w:line="440" w:lineRule="exact"/>
      <w:ind w:firstLine="544" w:firstLineChars="200"/>
    </w:pPr>
    <w:rPr>
      <w:rFonts w:ascii="宋体" w:hAnsi="宋体" w:eastAsiaTheme="minorEastAsia" w:cstheme="minorBidi"/>
      <w:spacing w:val="16"/>
    </w:rPr>
  </w:style>
  <w:style w:type="character" w:customStyle="1" w:styleId="1042">
    <w:name w:val="ca-5"/>
    <w:qFormat/>
    <w:uiPriority w:val="0"/>
  </w:style>
  <w:style w:type="character" w:customStyle="1" w:styleId="1043">
    <w:name w:val="style31"/>
    <w:qFormat/>
    <w:uiPriority w:val="0"/>
    <w:rPr>
      <w:b/>
      <w:bCs/>
      <w:color w:val="009999"/>
    </w:rPr>
  </w:style>
  <w:style w:type="character" w:customStyle="1" w:styleId="1044">
    <w:name w:val="二章正文 Char Char Char Char Char"/>
    <w:qFormat/>
    <w:uiPriority w:val="0"/>
    <w:rPr>
      <w:rFonts w:hAnsi="宋体" w:eastAsia="宋体"/>
      <w:kern w:val="2"/>
      <w:sz w:val="24"/>
      <w:szCs w:val="24"/>
      <w:lang w:val="en-US" w:eastAsia="zh-CN" w:bidi="ar-SA"/>
    </w:rPr>
  </w:style>
  <w:style w:type="character" w:customStyle="1" w:styleId="1045">
    <w:name w:val="标题5 Char Char"/>
    <w:qFormat/>
    <w:uiPriority w:val="0"/>
    <w:rPr>
      <w:rFonts w:ascii="宋体" w:hAnsi="宋体"/>
      <w:kern w:val="2"/>
      <w:sz w:val="24"/>
      <w:szCs w:val="24"/>
    </w:rPr>
  </w:style>
  <w:style w:type="character" w:customStyle="1" w:styleId="1046">
    <w:name w:val="style9 style60"/>
    <w:qFormat/>
    <w:uiPriority w:val="0"/>
    <w:rPr>
      <w:rFonts w:ascii="宋体" w:hAnsi="宋体" w:eastAsia="汉鼎简书宋" w:cs="宋体"/>
      <w:spacing w:val="4"/>
      <w:kern w:val="2"/>
      <w:sz w:val="24"/>
      <w:szCs w:val="24"/>
      <w:lang w:val="en-US" w:eastAsia="zh-CN" w:bidi="ar-SA"/>
    </w:rPr>
  </w:style>
  <w:style w:type="character" w:customStyle="1" w:styleId="1047">
    <w:name w:val="正文王 Char"/>
    <w:link w:val="1048"/>
    <w:qFormat/>
    <w:uiPriority w:val="0"/>
    <w:rPr>
      <w:rFonts w:ascii="Arial" w:hAnsi="Arial"/>
      <w:sz w:val="24"/>
    </w:rPr>
  </w:style>
  <w:style w:type="paragraph" w:customStyle="1" w:styleId="1048">
    <w:name w:val="正文王"/>
    <w:basedOn w:val="46"/>
    <w:link w:val="1047"/>
    <w:qFormat/>
    <w:uiPriority w:val="0"/>
    <w:pPr>
      <w:spacing w:line="500" w:lineRule="exact"/>
    </w:pPr>
    <w:rPr>
      <w:rFonts w:ascii="Arial" w:hAnsi="Arial" w:eastAsiaTheme="minorEastAsia" w:cstheme="minorBidi"/>
      <w:szCs w:val="22"/>
    </w:rPr>
  </w:style>
  <w:style w:type="character" w:customStyle="1" w:styleId="1049">
    <w:name w:val="y标题1 Char1"/>
    <w:link w:val="1050"/>
    <w:qFormat/>
    <w:uiPriority w:val="0"/>
    <w:rPr>
      <w:rFonts w:ascii="黑体" w:hAnsi="宋体"/>
      <w:b/>
      <w:color w:val="000000"/>
      <w:spacing w:val="4"/>
      <w:kern w:val="44"/>
      <w:sz w:val="32"/>
      <w:szCs w:val="28"/>
    </w:rPr>
  </w:style>
  <w:style w:type="paragraph" w:customStyle="1" w:styleId="1050">
    <w:name w:val="y标题1"/>
    <w:basedOn w:val="60"/>
    <w:next w:val="60"/>
    <w:link w:val="1049"/>
    <w:qFormat/>
    <w:uiPriority w:val="0"/>
    <w:pPr>
      <w:keepNext/>
      <w:keepLines/>
      <w:widowControl/>
      <w:tabs>
        <w:tab w:val="left" w:pos="315"/>
        <w:tab w:val="left" w:pos="1155"/>
        <w:tab w:val="right" w:leader="dot" w:pos="8260"/>
        <w:tab w:val="right" w:leader="dot" w:pos="8302"/>
        <w:tab w:val="right" w:leader="dot" w:pos="9060"/>
      </w:tabs>
      <w:adjustRightInd w:val="0"/>
      <w:spacing w:beforeLines="30" w:afterLines="30" w:line="480" w:lineRule="exact"/>
      <w:ind w:firstLine="742" w:firstLineChars="168"/>
      <w:jc w:val="center"/>
      <w:textAlignment w:val="baseline"/>
      <w:outlineLvl w:val="0"/>
    </w:pPr>
    <w:rPr>
      <w:rFonts w:ascii="黑体" w:hAnsi="宋体" w:eastAsiaTheme="minorEastAsia" w:cstheme="minorBidi"/>
      <w:bCs w:val="0"/>
      <w:caps w:val="0"/>
      <w:color w:val="000000"/>
      <w:spacing w:val="4"/>
      <w:kern w:val="44"/>
      <w:sz w:val="32"/>
      <w:szCs w:val="28"/>
    </w:rPr>
  </w:style>
  <w:style w:type="character" w:customStyle="1" w:styleId="1051">
    <w:name w:val="style16 style57"/>
    <w:qFormat/>
    <w:uiPriority w:val="0"/>
    <w:rPr>
      <w:rFonts w:ascii="宋体" w:hAnsi="宋体" w:eastAsia="汉鼎简书宋" w:cs="宋体"/>
      <w:spacing w:val="4"/>
      <w:kern w:val="2"/>
      <w:sz w:val="24"/>
      <w:szCs w:val="24"/>
      <w:lang w:val="en-US" w:eastAsia="zh-CN" w:bidi="ar-SA"/>
    </w:rPr>
  </w:style>
  <w:style w:type="character" w:customStyle="1" w:styleId="1052">
    <w:name w:val="正文1 Char Char2"/>
    <w:qFormat/>
    <w:uiPriority w:val="0"/>
    <w:rPr>
      <w:rFonts w:ascii="宋体" w:hAnsi="宋体" w:eastAsia="仿宋_GB2312" w:cs="宋体"/>
      <w:spacing w:val="4"/>
      <w:kern w:val="2"/>
      <w:sz w:val="28"/>
      <w:szCs w:val="28"/>
      <w:lang w:val="en-US" w:eastAsia="zh-CN" w:bidi="ar-SA"/>
    </w:rPr>
  </w:style>
  <w:style w:type="character" w:customStyle="1" w:styleId="1053">
    <w:name w:val="word16b1"/>
    <w:qFormat/>
    <w:uiPriority w:val="0"/>
    <w:rPr>
      <w:rFonts w:hint="default" w:ascii="Arial" w:hAnsi="Arial" w:cs="Arial"/>
      <w:b/>
      <w:bCs/>
      <w:spacing w:val="15"/>
      <w:sz w:val="24"/>
      <w:szCs w:val="24"/>
    </w:rPr>
  </w:style>
  <w:style w:type="character" w:customStyle="1" w:styleId="1054">
    <w:name w:val="标题2"/>
    <w:qFormat/>
    <w:uiPriority w:val="0"/>
    <w:rPr>
      <w:rFonts w:ascii="Times New Roman" w:hAnsi="Times New Roman" w:eastAsia="宋体" w:cs="Times New Roman"/>
    </w:rPr>
  </w:style>
  <w:style w:type="character" w:customStyle="1" w:styleId="1055">
    <w:name w:val="ourfont"/>
    <w:qFormat/>
    <w:uiPriority w:val="0"/>
    <w:rPr>
      <w:rFonts w:ascii="宋体" w:hAnsi="宋体" w:eastAsia="汉鼎简书宋" w:cs="宋体"/>
      <w:spacing w:val="4"/>
      <w:kern w:val="2"/>
      <w:sz w:val="24"/>
      <w:szCs w:val="24"/>
      <w:lang w:val="en-US" w:eastAsia="zh-CN" w:bidi="ar-SA"/>
    </w:rPr>
  </w:style>
  <w:style w:type="character" w:customStyle="1" w:styleId="1056">
    <w:name w:val="ca-4"/>
    <w:qFormat/>
    <w:uiPriority w:val="0"/>
    <w:rPr>
      <w:rFonts w:ascii="宋体" w:hAnsi="宋体" w:eastAsia="汉鼎简书宋" w:cs="宋体"/>
      <w:spacing w:val="4"/>
      <w:kern w:val="2"/>
      <w:sz w:val="24"/>
      <w:szCs w:val="24"/>
      <w:lang w:val="en-US" w:eastAsia="zh-CN" w:bidi="ar-SA"/>
    </w:rPr>
  </w:style>
  <w:style w:type="character" w:customStyle="1" w:styleId="1057">
    <w:name w:val="样式14 Char"/>
    <w:link w:val="1058"/>
    <w:qFormat/>
    <w:uiPriority w:val="0"/>
    <w:rPr>
      <w:rFonts w:ascii="宋体" w:hAnsi="黑体" w:eastAsia="黑体"/>
      <w:b/>
      <w:spacing w:val="4"/>
      <w:szCs w:val="24"/>
    </w:rPr>
  </w:style>
  <w:style w:type="paragraph" w:customStyle="1" w:styleId="1058">
    <w:name w:val="样式14"/>
    <w:basedOn w:val="1"/>
    <w:link w:val="1057"/>
    <w:qFormat/>
    <w:uiPriority w:val="0"/>
    <w:pPr>
      <w:adjustRightInd w:val="0"/>
      <w:snapToGrid w:val="0"/>
      <w:spacing w:before="100" w:after="100"/>
      <w:ind w:left="480" w:hanging="480" w:hangingChars="200"/>
      <w:jc w:val="center"/>
    </w:pPr>
    <w:rPr>
      <w:rFonts w:ascii="宋体" w:hAnsi="黑体" w:eastAsia="黑体" w:cstheme="minorBidi"/>
      <w:b/>
      <w:spacing w:val="4"/>
      <w:sz w:val="21"/>
    </w:rPr>
  </w:style>
  <w:style w:type="character" w:customStyle="1" w:styleId="1059">
    <w:name w:val="项目正文 Char"/>
    <w:link w:val="1060"/>
    <w:qFormat/>
    <w:uiPriority w:val="0"/>
    <w:rPr>
      <w:rFonts w:ascii="Calibri" w:hAnsi="Calibri"/>
      <w:sz w:val="26"/>
      <w:szCs w:val="26"/>
    </w:rPr>
  </w:style>
  <w:style w:type="paragraph" w:customStyle="1" w:styleId="1060">
    <w:name w:val="项目正文"/>
    <w:basedOn w:val="1"/>
    <w:link w:val="1059"/>
    <w:qFormat/>
    <w:uiPriority w:val="0"/>
    <w:pPr>
      <w:ind w:firstLine="200" w:firstLineChars="200"/>
    </w:pPr>
    <w:rPr>
      <w:rFonts w:ascii="Calibri" w:hAnsi="Calibri" w:eastAsiaTheme="minorEastAsia" w:cstheme="minorBidi"/>
      <w:sz w:val="26"/>
      <w:szCs w:val="26"/>
    </w:rPr>
  </w:style>
  <w:style w:type="character" w:customStyle="1" w:styleId="1061">
    <w:name w:val="font9black"/>
    <w:qFormat/>
    <w:uiPriority w:val="0"/>
    <w:rPr>
      <w:rFonts w:ascii="宋体" w:hAnsi="宋体" w:eastAsia="汉鼎简书宋" w:cs="宋体"/>
      <w:spacing w:val="4"/>
      <w:kern w:val="2"/>
      <w:sz w:val="24"/>
      <w:szCs w:val="24"/>
      <w:lang w:val="en-US" w:eastAsia="zh-CN" w:bidi="ar-SA"/>
    </w:rPr>
  </w:style>
  <w:style w:type="character" w:customStyle="1" w:styleId="1062">
    <w:name w:val="fliesstext1"/>
    <w:qFormat/>
    <w:uiPriority w:val="0"/>
    <w:rPr>
      <w:rFonts w:hint="default" w:ascii="Arial" w:hAnsi="Arial" w:cs="Arial"/>
      <w:color w:val="000000"/>
      <w:sz w:val="18"/>
      <w:szCs w:val="18"/>
    </w:rPr>
  </w:style>
  <w:style w:type="character" w:customStyle="1" w:styleId="1063">
    <w:name w:val="文本正文 Char"/>
    <w:qFormat/>
    <w:uiPriority w:val="0"/>
    <w:rPr>
      <w:rFonts w:eastAsia="宋体"/>
      <w:kern w:val="2"/>
      <w:sz w:val="24"/>
      <w:szCs w:val="24"/>
      <w:lang w:val="en-US" w:eastAsia="zh-CN" w:bidi="ar-SA"/>
    </w:rPr>
  </w:style>
  <w:style w:type="character" w:customStyle="1" w:styleId="1064">
    <w:name w:val="Char Char19"/>
    <w:qFormat/>
    <w:uiPriority w:val="0"/>
    <w:rPr>
      <w:rFonts w:ascii="方正舒体" w:eastAsia="方正舒体"/>
      <w:b/>
      <w:sz w:val="28"/>
    </w:rPr>
  </w:style>
  <w:style w:type="character" w:customStyle="1" w:styleId="1065">
    <w:name w:val="unnamed1"/>
    <w:qFormat/>
    <w:uiPriority w:val="0"/>
  </w:style>
  <w:style w:type="character" w:customStyle="1" w:styleId="1066">
    <w:name w:val="正文样式 Char Char"/>
    <w:qFormat/>
    <w:uiPriority w:val="0"/>
    <w:rPr>
      <w:rFonts w:ascii="宋体" w:hAnsi="宋体" w:eastAsia="宋体" w:cs="宋体"/>
      <w:color w:val="000000"/>
      <w:spacing w:val="4"/>
      <w:kern w:val="2"/>
      <w:sz w:val="24"/>
      <w:szCs w:val="24"/>
      <w:lang w:val="en-US" w:eastAsia="zh-CN" w:bidi="ar-SA"/>
    </w:rPr>
  </w:style>
  <w:style w:type="character" w:customStyle="1" w:styleId="1067">
    <w:name w:val="正文缩进（自定义） Char Char Char Char"/>
    <w:qFormat/>
    <w:locked/>
    <w:uiPriority w:val="0"/>
    <w:rPr>
      <w:rFonts w:ascii="Century Gothic" w:hAnsi="Century Gothic" w:eastAsia="宋体" w:cs="宋体"/>
      <w:sz w:val="24"/>
      <w:szCs w:val="24"/>
      <w:lang w:val="en-US" w:eastAsia="zh-CN" w:bidi="ar-SA"/>
    </w:rPr>
  </w:style>
  <w:style w:type="character" w:customStyle="1" w:styleId="1068">
    <w:name w:val="图1-1 Char Char"/>
    <w:qFormat/>
    <w:uiPriority w:val="0"/>
    <w:rPr>
      <w:rFonts w:ascii="宋体" w:hAnsi="宋体" w:eastAsia="宋体" w:cs="宋体"/>
      <w:b/>
      <w:spacing w:val="12"/>
      <w:w w:val="90"/>
      <w:kern w:val="2"/>
      <w:sz w:val="21"/>
      <w:szCs w:val="24"/>
      <w:lang w:val="en-US" w:eastAsia="zh-CN" w:bidi="ar-SA"/>
    </w:rPr>
  </w:style>
  <w:style w:type="character" w:customStyle="1" w:styleId="1069">
    <w:name w:val="样式5 Char"/>
    <w:qFormat/>
    <w:uiPriority w:val="0"/>
    <w:rPr>
      <w:rFonts w:eastAsia="宋体"/>
      <w:kern w:val="2"/>
      <w:sz w:val="24"/>
      <w:szCs w:val="24"/>
      <w:lang w:val="en-US" w:eastAsia="zh-CN" w:bidi="ar-SA"/>
    </w:rPr>
  </w:style>
  <w:style w:type="character" w:customStyle="1" w:styleId="1070">
    <w:name w:val="样式7 Char Char"/>
    <w:qFormat/>
    <w:uiPriority w:val="0"/>
    <w:rPr>
      <w:rFonts w:hint="eastAsia" w:ascii="宋体" w:hAnsi="宋体" w:eastAsia="宋体"/>
      <w:kern w:val="2"/>
      <w:sz w:val="21"/>
      <w:szCs w:val="21"/>
      <w:lang w:val="en-US" w:eastAsia="zh-CN"/>
    </w:rPr>
  </w:style>
  <w:style w:type="character" w:customStyle="1" w:styleId="1071">
    <w:name w:val="正文首行缩进 Char Char Char Char Char Char Char"/>
    <w:qFormat/>
    <w:uiPriority w:val="0"/>
    <w:rPr>
      <w:rFonts w:eastAsia="宋体"/>
      <w:kern w:val="2"/>
      <w:sz w:val="21"/>
      <w:szCs w:val="24"/>
      <w:lang w:val="en-US" w:eastAsia="zh-CN" w:bidi="ar-SA"/>
    </w:rPr>
  </w:style>
  <w:style w:type="character" w:customStyle="1" w:styleId="1072">
    <w:name w:val="表文字+加粗 Char"/>
    <w:link w:val="1073"/>
    <w:qFormat/>
    <w:uiPriority w:val="0"/>
    <w:rPr>
      <w:rFonts w:ascii="Times New Roman" w:hAnsi="Times New Roman" w:eastAsia="宋体" w:cs="Times New Roman"/>
      <w:b/>
      <w:snapToGrid w:val="0"/>
      <w:color w:val="000000"/>
      <w:szCs w:val="9"/>
    </w:rPr>
  </w:style>
  <w:style w:type="paragraph" w:customStyle="1" w:styleId="1073">
    <w:name w:val="表文字+加粗"/>
    <w:basedOn w:val="950"/>
    <w:link w:val="1072"/>
    <w:qFormat/>
    <w:uiPriority w:val="0"/>
    <w:pPr>
      <w:jc w:val="center"/>
    </w:pPr>
    <w:rPr>
      <w:b/>
      <w:kern w:val="2"/>
    </w:rPr>
  </w:style>
  <w:style w:type="character" w:customStyle="1" w:styleId="1074">
    <w:name w:val="样式 黑色 首行缩进:  2 字符 行距: 1.5 倍行距 Char"/>
    <w:link w:val="1075"/>
    <w:qFormat/>
    <w:uiPriority w:val="0"/>
    <w:rPr>
      <w:rFonts w:ascii="宋体" w:hAnsi="宋体"/>
      <w:color w:val="000000"/>
      <w:spacing w:val="4"/>
      <w:sz w:val="24"/>
      <w:szCs w:val="24"/>
    </w:rPr>
  </w:style>
  <w:style w:type="paragraph" w:customStyle="1" w:styleId="1075">
    <w:name w:val="样式 黑色 首行缩进:  2 字符 行距: 1.5 倍行距"/>
    <w:basedOn w:val="1"/>
    <w:link w:val="1074"/>
    <w:qFormat/>
    <w:uiPriority w:val="0"/>
    <w:pPr>
      <w:ind w:firstLine="514" w:firstLineChars="200"/>
    </w:pPr>
    <w:rPr>
      <w:rFonts w:ascii="宋体" w:hAnsi="宋体" w:eastAsiaTheme="minorEastAsia" w:cstheme="minorBidi"/>
      <w:color w:val="000000"/>
      <w:spacing w:val="4"/>
    </w:rPr>
  </w:style>
  <w:style w:type="character" w:customStyle="1" w:styleId="1076">
    <w:name w:val="ca-3"/>
    <w:qFormat/>
    <w:uiPriority w:val="0"/>
    <w:rPr>
      <w:rFonts w:ascii="宋体" w:hAnsi="宋体" w:eastAsia="汉鼎简书宋" w:cs="宋体"/>
      <w:spacing w:val="4"/>
      <w:kern w:val="2"/>
      <w:sz w:val="24"/>
      <w:szCs w:val="24"/>
      <w:lang w:val="en-US" w:eastAsia="zh-CN" w:bidi="ar-SA"/>
    </w:rPr>
  </w:style>
  <w:style w:type="character" w:customStyle="1" w:styleId="1077">
    <w:name w:val="表文 Char Char Char Char"/>
    <w:link w:val="1078"/>
    <w:qFormat/>
    <w:uiPriority w:val="0"/>
    <w:rPr>
      <w:rFonts w:ascii="宋体" w:hAnsi="宋体"/>
      <w:spacing w:val="4"/>
      <w:sz w:val="18"/>
      <w:szCs w:val="18"/>
    </w:rPr>
  </w:style>
  <w:style w:type="paragraph" w:customStyle="1" w:styleId="1078">
    <w:name w:val="表文 Char Char Char"/>
    <w:basedOn w:val="1"/>
    <w:link w:val="1077"/>
    <w:qFormat/>
    <w:uiPriority w:val="0"/>
    <w:pPr>
      <w:overflowPunct w:val="0"/>
      <w:adjustRightInd w:val="0"/>
      <w:snapToGrid w:val="0"/>
      <w:ind w:firstLine="360" w:firstLineChars="200"/>
      <w:textAlignment w:val="baseline"/>
    </w:pPr>
    <w:rPr>
      <w:rFonts w:ascii="宋体" w:hAnsi="宋体" w:eastAsiaTheme="minorEastAsia" w:cstheme="minorBidi"/>
      <w:spacing w:val="4"/>
      <w:sz w:val="18"/>
      <w:szCs w:val="18"/>
    </w:rPr>
  </w:style>
  <w:style w:type="character" w:customStyle="1" w:styleId="1079">
    <w:name w:val="表头 Char1"/>
    <w:qFormat/>
    <w:uiPriority w:val="0"/>
    <w:rPr>
      <w:rFonts w:hAnsi="宋体" w:eastAsia="宋体"/>
      <w:bCs/>
      <w:snapToGrid w:val="0"/>
      <w:kern w:val="2"/>
      <w:sz w:val="24"/>
      <w:szCs w:val="24"/>
      <w:lang w:val="en-US" w:eastAsia="zh-CN" w:bidi="ar-SA"/>
    </w:rPr>
  </w:style>
  <w:style w:type="character" w:customStyle="1" w:styleId="1080">
    <w:name w:val="样式 正文1 Char Char + 字距调整七号 Char1 Char Char"/>
    <w:qFormat/>
    <w:uiPriority w:val="0"/>
    <w:rPr>
      <w:rFonts w:ascii="宋体" w:hAnsi="宋体" w:eastAsia="宋体" w:cs="宋体"/>
      <w:spacing w:val="4"/>
      <w:kern w:val="11"/>
      <w:sz w:val="24"/>
      <w:szCs w:val="28"/>
      <w:lang w:val="en-US" w:eastAsia="zh-CN" w:bidi="ar-SA"/>
    </w:rPr>
  </w:style>
  <w:style w:type="character" w:customStyle="1" w:styleId="1081">
    <w:name w:val="环评表格 Char"/>
    <w:link w:val="1082"/>
    <w:qFormat/>
    <w:uiPriority w:val="0"/>
    <w:rPr>
      <w:szCs w:val="21"/>
    </w:rPr>
  </w:style>
  <w:style w:type="paragraph" w:customStyle="1" w:styleId="1082">
    <w:name w:val="环评表格"/>
    <w:basedOn w:val="1"/>
    <w:link w:val="1081"/>
    <w:qFormat/>
    <w:uiPriority w:val="0"/>
    <w:pPr>
      <w:adjustRightInd w:val="0"/>
      <w:snapToGrid w:val="0"/>
      <w:jc w:val="center"/>
    </w:pPr>
    <w:rPr>
      <w:rFonts w:asciiTheme="minorHAnsi" w:hAnsiTheme="minorHAnsi" w:eastAsiaTheme="minorEastAsia" w:cstheme="minorBidi"/>
      <w:sz w:val="21"/>
      <w:szCs w:val="21"/>
    </w:rPr>
  </w:style>
  <w:style w:type="character" w:customStyle="1" w:styleId="1083">
    <w:name w:val="css-text3"/>
    <w:qFormat/>
    <w:uiPriority w:val="0"/>
    <w:rPr>
      <w:rFonts w:ascii="宋体" w:hAnsi="宋体" w:eastAsia="汉鼎简书宋" w:cs="宋体"/>
      <w:spacing w:val="4"/>
      <w:kern w:val="2"/>
      <w:sz w:val="24"/>
      <w:szCs w:val="24"/>
      <w:lang w:val="en-US" w:eastAsia="zh-CN" w:bidi="ar-SA"/>
    </w:rPr>
  </w:style>
  <w:style w:type="character" w:customStyle="1" w:styleId="1084">
    <w:name w:val="表格非中文 Char"/>
    <w:link w:val="1085"/>
    <w:qFormat/>
    <w:uiPriority w:val="0"/>
    <w:rPr>
      <w:spacing w:val="4"/>
      <w:szCs w:val="21"/>
    </w:rPr>
  </w:style>
  <w:style w:type="paragraph" w:customStyle="1" w:styleId="1085">
    <w:name w:val="表格非中文"/>
    <w:basedOn w:val="1"/>
    <w:link w:val="1084"/>
    <w:qFormat/>
    <w:uiPriority w:val="0"/>
    <w:pPr>
      <w:adjustRightInd w:val="0"/>
      <w:snapToGrid w:val="0"/>
      <w:spacing w:line="480" w:lineRule="auto"/>
      <w:jc w:val="center"/>
    </w:pPr>
    <w:rPr>
      <w:rFonts w:asciiTheme="minorHAnsi" w:hAnsiTheme="minorHAnsi" w:eastAsiaTheme="minorEastAsia" w:cstheme="minorBidi"/>
      <w:spacing w:val="4"/>
      <w:sz w:val="21"/>
      <w:szCs w:val="21"/>
    </w:rPr>
  </w:style>
  <w:style w:type="character" w:customStyle="1" w:styleId="1086">
    <w:name w:val="表格（5号） Char"/>
    <w:link w:val="1087"/>
    <w:qFormat/>
    <w:uiPriority w:val="0"/>
    <w:rPr>
      <w:rFonts w:eastAsia="仿宋_GB2312"/>
      <w:color w:val="000000"/>
    </w:rPr>
  </w:style>
  <w:style w:type="paragraph" w:customStyle="1" w:styleId="1087">
    <w:name w:val="表格（5号）"/>
    <w:link w:val="1086"/>
    <w:qFormat/>
    <w:uiPriority w:val="0"/>
    <w:pPr>
      <w:adjustRightInd w:val="0"/>
      <w:snapToGrid w:val="0"/>
      <w:jc w:val="center"/>
    </w:pPr>
    <w:rPr>
      <w:rFonts w:eastAsia="仿宋_GB2312" w:asciiTheme="minorHAnsi" w:hAnsiTheme="minorHAnsi" w:cstheme="minorBidi"/>
      <w:color w:val="000000"/>
      <w:kern w:val="2"/>
      <w:sz w:val="21"/>
      <w:szCs w:val="22"/>
      <w:lang w:val="en-US" w:eastAsia="zh-CN" w:bidi="ar-SA"/>
    </w:rPr>
  </w:style>
  <w:style w:type="character" w:customStyle="1" w:styleId="1088">
    <w:name w:val="样式 标题 2节标题标题21.1H2h2第一层条4.1二级标题标题 lxb2二级标题 Char表标题单位... Char"/>
    <w:qFormat/>
    <w:uiPriority w:val="0"/>
    <w:rPr>
      <w:rFonts w:eastAsia="宋体" w:cs="Arial"/>
      <w:b/>
      <w:kern w:val="32"/>
      <w:sz w:val="28"/>
      <w:szCs w:val="28"/>
      <w:lang w:val="en-US" w:eastAsia="zh-CN" w:bidi="ar-SA"/>
    </w:rPr>
  </w:style>
  <w:style w:type="character" w:customStyle="1" w:styleId="1089">
    <w:name w:val="arr1"/>
    <w:qFormat/>
    <w:uiPriority w:val="0"/>
    <w:rPr>
      <w:rFonts w:ascii="宋体" w:hAnsi="宋体" w:eastAsia="汉鼎简书宋" w:cs="宋体"/>
      <w:spacing w:val="4"/>
      <w:kern w:val="2"/>
      <w:sz w:val="24"/>
      <w:szCs w:val="24"/>
      <w:lang w:val="en-US" w:eastAsia="zh-CN" w:bidi="ar-SA"/>
    </w:rPr>
  </w:style>
  <w:style w:type="character" w:customStyle="1" w:styleId="1090">
    <w:name w:val="zw Char Char Char Char"/>
    <w:qFormat/>
    <w:uiPriority w:val="0"/>
    <w:rPr>
      <w:rFonts w:ascii="宋体" w:hAnsi="宋体" w:eastAsia="宋体" w:cs="宋体"/>
      <w:spacing w:val="4"/>
      <w:kern w:val="2"/>
      <w:sz w:val="24"/>
      <w:szCs w:val="24"/>
      <w:lang w:val="en-US" w:eastAsia="zh-CN" w:bidi="ar-SA"/>
    </w:rPr>
  </w:style>
  <w:style w:type="character" w:customStyle="1" w:styleId="1091">
    <w:name w:val="陶瓷表头3 Char"/>
    <w:link w:val="1092"/>
    <w:qFormat/>
    <w:uiPriority w:val="0"/>
    <w:rPr>
      <w:rFonts w:ascii="宋体" w:hAnsi="宋体" w:eastAsia="黑体" w:cs="宋体"/>
      <w:spacing w:val="4"/>
      <w:szCs w:val="24"/>
    </w:rPr>
  </w:style>
  <w:style w:type="paragraph" w:customStyle="1" w:styleId="1092">
    <w:name w:val="陶瓷表头3"/>
    <w:basedOn w:val="894"/>
    <w:link w:val="1091"/>
    <w:qFormat/>
    <w:uiPriority w:val="0"/>
  </w:style>
  <w:style w:type="character" w:customStyle="1" w:styleId="1093">
    <w:name w:val="样式 宋体 小四"/>
    <w:qFormat/>
    <w:uiPriority w:val="0"/>
    <w:rPr>
      <w:rFonts w:ascii="Times New Roman" w:hAnsi="Times New Roman" w:eastAsia="Times New Roman" w:cs="宋体"/>
      <w:spacing w:val="0"/>
      <w:kern w:val="0"/>
      <w:sz w:val="24"/>
      <w:szCs w:val="24"/>
      <w:lang w:val="en-US" w:eastAsia="zh-CN" w:bidi="ar-SA"/>
    </w:rPr>
  </w:style>
  <w:style w:type="character" w:customStyle="1" w:styleId="1094">
    <w:name w:val="页脚 Char Char"/>
    <w:qFormat/>
    <w:uiPriority w:val="0"/>
    <w:rPr>
      <w:rFonts w:ascii="宋体" w:hAnsi="宋体" w:eastAsia="宋体" w:cs="宋体"/>
      <w:spacing w:val="4"/>
      <w:kern w:val="2"/>
      <w:sz w:val="18"/>
      <w:szCs w:val="24"/>
      <w:lang w:val="en-US" w:eastAsia="zh-CN" w:bidi="ar-SA"/>
    </w:rPr>
  </w:style>
  <w:style w:type="character" w:customStyle="1" w:styleId="1095">
    <w:name w:val="明显引用 Char"/>
    <w:link w:val="1096"/>
    <w:qFormat/>
    <w:uiPriority w:val="0"/>
    <w:rPr>
      <w:rFonts w:ascii="Calibri" w:hAnsi="Calibri" w:eastAsia="宋体" w:cs="宋体"/>
      <w:b/>
      <w:i/>
      <w:spacing w:val="4"/>
      <w:sz w:val="24"/>
      <w:lang w:eastAsia="en-US" w:bidi="en-US"/>
    </w:rPr>
  </w:style>
  <w:style w:type="paragraph" w:styleId="1096">
    <w:name w:val="Intense Quote"/>
    <w:basedOn w:val="1"/>
    <w:next w:val="1"/>
    <w:link w:val="1095"/>
    <w:qFormat/>
    <w:uiPriority w:val="0"/>
    <w:pPr>
      <w:widowControl/>
      <w:spacing w:line="240" w:lineRule="auto"/>
      <w:ind w:left="720" w:right="720"/>
      <w:jc w:val="left"/>
    </w:pPr>
    <w:rPr>
      <w:rFonts w:ascii="Calibri" w:hAnsi="Calibri" w:cs="宋体"/>
      <w:b/>
      <w:i/>
      <w:spacing w:val="4"/>
      <w:szCs w:val="22"/>
      <w:lang w:eastAsia="en-US" w:bidi="en-US"/>
    </w:rPr>
  </w:style>
  <w:style w:type="character" w:customStyle="1" w:styleId="1097">
    <w:name w:val="明显引用 Char2"/>
    <w:basedOn w:val="133"/>
    <w:uiPriority w:val="30"/>
    <w:rPr>
      <w:rFonts w:ascii="Times New Roman" w:hAnsi="Times New Roman" w:eastAsia="宋体" w:cs="Times New Roman"/>
      <w:i/>
      <w:iCs/>
      <w:color w:val="5B9BD5" w:themeColor="accent1"/>
      <w:sz w:val="24"/>
      <w:szCs w:val="24"/>
      <w14:textFill>
        <w14:solidFill>
          <w14:schemeClr w14:val="accent1"/>
        </w14:solidFill>
      </w14:textFill>
    </w:rPr>
  </w:style>
  <w:style w:type="character" w:customStyle="1" w:styleId="1098">
    <w:name w:val="表格居中 Char Char"/>
    <w:qFormat/>
    <w:uiPriority w:val="0"/>
    <w:rPr>
      <w:rFonts w:ascii="宋体" w:hAnsi="宋体" w:eastAsia="宋体" w:cs="宋体"/>
      <w:snapToGrid w:val="0"/>
      <w:spacing w:val="-4"/>
      <w:w w:val="90"/>
      <w:kern w:val="2"/>
      <w:sz w:val="24"/>
      <w:szCs w:val="24"/>
      <w:lang w:val="en-US" w:eastAsia="zh-CN" w:bidi="ar-SA"/>
    </w:rPr>
  </w:style>
  <w:style w:type="character" w:customStyle="1" w:styleId="1099">
    <w:name w:val="style91"/>
    <w:qFormat/>
    <w:uiPriority w:val="0"/>
    <w:rPr>
      <w:rFonts w:hint="eastAsia" w:ascii="仿宋_GB2312" w:hAnsi="宋体" w:eastAsia="仿宋_GB2312" w:cs="宋体"/>
      <w:snapToGrid w:val="0"/>
      <w:color w:val="000000"/>
      <w:spacing w:val="4"/>
      <w:kern w:val="2"/>
      <w:sz w:val="30"/>
      <w:szCs w:val="30"/>
      <w:lang w:val="en-US" w:eastAsia="zh-CN" w:bidi="ar-SA"/>
    </w:rPr>
  </w:style>
  <w:style w:type="character" w:customStyle="1" w:styleId="1100">
    <w:name w:val="样式 正文文本 + 红色 Char Char Char Char"/>
    <w:link w:val="1101"/>
    <w:qFormat/>
    <w:uiPriority w:val="0"/>
    <w:rPr>
      <w:rFonts w:eastAsia="仿宋_GB2312"/>
      <w:color w:val="FF0000"/>
      <w:sz w:val="24"/>
      <w:szCs w:val="24"/>
    </w:rPr>
  </w:style>
  <w:style w:type="paragraph" w:customStyle="1" w:styleId="1101">
    <w:name w:val="样式 正文文本 + 红色 Char Char Char"/>
    <w:basedOn w:val="1"/>
    <w:link w:val="1100"/>
    <w:qFormat/>
    <w:uiPriority w:val="0"/>
    <w:pPr>
      <w:adjustRightInd w:val="0"/>
      <w:snapToGrid w:val="0"/>
      <w:spacing w:before="60" w:after="60" w:line="264" w:lineRule="auto"/>
      <w:ind w:firstLine="200" w:firstLineChars="200"/>
      <w:textAlignment w:val="baseline"/>
    </w:pPr>
    <w:rPr>
      <w:rFonts w:eastAsia="仿宋_GB2312" w:asciiTheme="minorHAnsi" w:hAnsiTheme="minorHAnsi" w:cstheme="minorBidi"/>
      <w:color w:val="FF0000"/>
    </w:rPr>
  </w:style>
  <w:style w:type="character" w:customStyle="1" w:styleId="1102">
    <w:name w:val="style41"/>
    <w:qFormat/>
    <w:uiPriority w:val="0"/>
    <w:rPr>
      <w:b/>
      <w:bCs/>
      <w:color w:val="CC0000"/>
    </w:rPr>
  </w:style>
  <w:style w:type="character" w:customStyle="1" w:styleId="1103">
    <w:name w:val="样式 表格备注 Char Char"/>
    <w:qFormat/>
    <w:uiPriority w:val="0"/>
    <w:rPr>
      <w:rFonts w:ascii="宋体" w:hAnsi="宋体" w:eastAsia="楷体_GB2312"/>
      <w:sz w:val="24"/>
      <w:lang w:val="en-US" w:eastAsia="zh-CN" w:bidi="ar-SA"/>
    </w:rPr>
  </w:style>
  <w:style w:type="character" w:customStyle="1" w:styleId="1104">
    <w:name w:val="明显参考1"/>
    <w:qFormat/>
    <w:uiPriority w:val="0"/>
    <w:rPr>
      <w:rFonts w:ascii="宋体" w:hAnsi="宋体" w:eastAsia="汉鼎简书宋" w:cs="宋体"/>
      <w:b/>
      <w:spacing w:val="4"/>
      <w:kern w:val="2"/>
      <w:sz w:val="24"/>
      <w:szCs w:val="24"/>
      <w:u w:val="single"/>
      <w:lang w:val="en-US" w:eastAsia="zh-CN" w:bidi="ar-SA"/>
    </w:rPr>
  </w:style>
  <w:style w:type="character" w:customStyle="1" w:styleId="1105">
    <w:name w:val="【标题3】 Char"/>
    <w:link w:val="1106"/>
    <w:qFormat/>
    <w:uiPriority w:val="0"/>
    <w:rPr>
      <w:rFonts w:eastAsia="黑体"/>
      <w:bCs/>
      <w:sz w:val="28"/>
      <w:szCs w:val="24"/>
    </w:rPr>
  </w:style>
  <w:style w:type="paragraph" w:customStyle="1" w:styleId="1106">
    <w:name w:val="【标题3】"/>
    <w:basedOn w:val="7"/>
    <w:link w:val="1105"/>
    <w:qFormat/>
    <w:uiPriority w:val="0"/>
    <w:pPr>
      <w:numPr>
        <w:ilvl w:val="0"/>
        <w:numId w:val="0"/>
      </w:numPr>
      <w:tabs>
        <w:tab w:val="left" w:pos="2040"/>
      </w:tabs>
      <w:spacing w:before="120" w:after="120" w:line="240" w:lineRule="auto"/>
      <w:ind w:left="2040" w:leftChars="800" w:hanging="360" w:hangingChars="200"/>
      <w:jc w:val="left"/>
    </w:pPr>
    <w:rPr>
      <w:rFonts w:eastAsia="黑体" w:asciiTheme="minorHAnsi" w:hAnsiTheme="minorHAnsi" w:cstheme="minorBidi"/>
      <w:b w:val="0"/>
      <w:color w:val="auto"/>
      <w:szCs w:val="24"/>
    </w:rPr>
  </w:style>
  <w:style w:type="character" w:customStyle="1" w:styleId="1107">
    <w:name w:val="标5 Char Char"/>
    <w:qFormat/>
    <w:uiPriority w:val="0"/>
    <w:rPr>
      <w:rFonts w:ascii="宋体" w:hAnsi="宋体" w:eastAsia="宋体"/>
      <w:sz w:val="28"/>
      <w:szCs w:val="28"/>
      <w:lang w:val="en-US" w:eastAsia="zh-CN"/>
    </w:rPr>
  </w:style>
  <w:style w:type="character" w:customStyle="1" w:styleId="1108">
    <w:name w:val="正文文本缩进 Char2"/>
    <w:qFormat/>
    <w:uiPriority w:val="0"/>
    <w:rPr>
      <w:rFonts w:ascii="宋体" w:hAnsi="宋体" w:eastAsia="宋体" w:cs="Times New Roman"/>
      <w:kern w:val="2"/>
      <w:sz w:val="28"/>
      <w:szCs w:val="24"/>
    </w:rPr>
  </w:style>
  <w:style w:type="character" w:customStyle="1" w:styleId="1109">
    <w:name w:val="样式 样式 首行缩进:  2.25 字符1 + Arial Char Char Char"/>
    <w:link w:val="1110"/>
    <w:qFormat/>
    <w:uiPriority w:val="0"/>
    <w:rPr>
      <w:rFonts w:ascii="Arial"/>
      <w:sz w:val="24"/>
    </w:rPr>
  </w:style>
  <w:style w:type="paragraph" w:customStyle="1" w:styleId="1110">
    <w:name w:val="样式 样式 首行缩进:  2.25 字符1 + Arial Char Char"/>
    <w:basedOn w:val="1"/>
    <w:link w:val="1109"/>
    <w:qFormat/>
    <w:uiPriority w:val="0"/>
    <w:pPr>
      <w:ind w:firstLine="480" w:firstLineChars="200"/>
      <w:jc w:val="left"/>
    </w:pPr>
    <w:rPr>
      <w:rFonts w:ascii="Arial" w:hAnsiTheme="minorHAnsi" w:eastAsiaTheme="minorEastAsia" w:cstheme="minorBidi"/>
      <w:szCs w:val="22"/>
    </w:rPr>
  </w:style>
  <w:style w:type="character" w:customStyle="1" w:styleId="1111">
    <w:name w:val="infodetail"/>
    <w:qFormat/>
    <w:uiPriority w:val="0"/>
    <w:rPr>
      <w:rFonts w:ascii="宋体" w:hAnsi="宋体" w:eastAsia="宋体" w:cs="宋体"/>
      <w:snapToGrid w:val="0"/>
      <w:color w:val="000000"/>
      <w:spacing w:val="4"/>
      <w:kern w:val="2"/>
      <w:sz w:val="28"/>
      <w:szCs w:val="28"/>
      <w:lang w:val="en-US" w:eastAsia="zh-CN" w:bidi="ar-SA"/>
    </w:rPr>
  </w:style>
  <w:style w:type="character" w:customStyle="1" w:styleId="1112">
    <w:name w:val="Job"/>
    <w:qFormat/>
    <w:uiPriority w:val="0"/>
    <w:rPr>
      <w:rFonts w:ascii="宋体" w:hAnsi="宋体" w:eastAsia="汉鼎简书宋" w:cs="宋体"/>
      <w:spacing w:val="4"/>
      <w:kern w:val="2"/>
      <w:sz w:val="24"/>
      <w:szCs w:val="24"/>
      <w:lang w:val="en-US" w:eastAsia="zh-CN" w:bidi="ar-SA"/>
    </w:rPr>
  </w:style>
  <w:style w:type="character" w:customStyle="1" w:styleId="1113">
    <w:name w:val="text"/>
    <w:qFormat/>
    <w:uiPriority w:val="0"/>
    <w:rPr>
      <w:rFonts w:ascii="Times New Roman" w:hAnsi="Times New Roman" w:eastAsia="宋体" w:cs="Times New Roman"/>
    </w:rPr>
  </w:style>
  <w:style w:type="character" w:customStyle="1" w:styleId="1114">
    <w:name w:val="表中文字---------------- Char"/>
    <w:link w:val="1115"/>
    <w:qFormat/>
    <w:uiPriority w:val="0"/>
  </w:style>
  <w:style w:type="paragraph" w:customStyle="1" w:styleId="1115">
    <w:name w:val="表中文字----------------"/>
    <w:basedOn w:val="1"/>
    <w:link w:val="1114"/>
    <w:qFormat/>
    <w:uiPriority w:val="0"/>
    <w:pPr>
      <w:spacing w:line="240" w:lineRule="auto"/>
      <w:jc w:val="center"/>
    </w:pPr>
    <w:rPr>
      <w:rFonts w:asciiTheme="minorHAnsi" w:hAnsiTheme="minorHAnsi" w:eastAsiaTheme="minorEastAsia" w:cstheme="minorBidi"/>
      <w:sz w:val="21"/>
      <w:szCs w:val="22"/>
    </w:rPr>
  </w:style>
  <w:style w:type="character" w:customStyle="1" w:styleId="1116">
    <w:name w:val="hangju1"/>
    <w:qFormat/>
    <w:uiPriority w:val="0"/>
    <w:rPr>
      <w:rFonts w:ascii="宋体" w:hAnsi="宋体" w:eastAsia="汉鼎简书宋" w:cs="宋体"/>
      <w:spacing w:val="4"/>
      <w:kern w:val="2"/>
      <w:sz w:val="24"/>
      <w:szCs w:val="24"/>
      <w:lang w:val="en-US" w:eastAsia="zh-CN" w:bidi="ar-SA"/>
    </w:rPr>
  </w:style>
  <w:style w:type="character" w:customStyle="1" w:styleId="1117">
    <w:name w:val="mytext1"/>
    <w:qFormat/>
    <w:uiPriority w:val="0"/>
    <w:rPr>
      <w:rFonts w:ascii="宋体" w:hAnsi="宋体" w:eastAsia="汉鼎简书宋" w:cs="宋体"/>
      <w:spacing w:val="4"/>
      <w:kern w:val="2"/>
      <w:sz w:val="24"/>
      <w:szCs w:val="24"/>
      <w:lang w:val="en-US" w:eastAsia="zh-CN" w:bidi="ar-SA"/>
    </w:rPr>
  </w:style>
  <w:style w:type="character" w:customStyle="1" w:styleId="1118">
    <w:name w:val="h31"/>
    <w:qFormat/>
    <w:uiPriority w:val="0"/>
    <w:rPr>
      <w:sz w:val="21"/>
      <w:szCs w:val="21"/>
    </w:rPr>
  </w:style>
  <w:style w:type="character" w:customStyle="1" w:styleId="1119">
    <w:name w:val="question-title"/>
    <w:qFormat/>
    <w:uiPriority w:val="0"/>
    <w:rPr>
      <w:rFonts w:ascii="宋体" w:hAnsi="宋体" w:eastAsia="汉鼎简书宋" w:cs="宋体"/>
      <w:spacing w:val="4"/>
      <w:kern w:val="2"/>
      <w:sz w:val="24"/>
      <w:szCs w:val="24"/>
      <w:lang w:val="en-US" w:eastAsia="zh-CN" w:bidi="ar-SA"/>
    </w:rPr>
  </w:style>
  <w:style w:type="character" w:customStyle="1" w:styleId="1120">
    <w:name w:val="样式 正文文本缩进正文文字( 首段缩进两字）特点标题Body Text 2 + 宋体 小四 黑色 行距: 固定值 2... Char"/>
    <w:link w:val="1121"/>
    <w:qFormat/>
    <w:uiPriority w:val="0"/>
    <w:rPr>
      <w:rFonts w:ascii="宋体" w:hAnsi="宋体"/>
      <w:bCs/>
      <w:color w:val="000000"/>
      <w:spacing w:val="4"/>
      <w:sz w:val="24"/>
      <w:szCs w:val="24"/>
    </w:rPr>
  </w:style>
  <w:style w:type="paragraph" w:customStyle="1" w:styleId="1121">
    <w:name w:val="样式 正文文本缩进正文文字( 首段缩进两字）特点标题Body Text 2 + 宋体 小四 黑色 行距: 固定值 2..."/>
    <w:basedOn w:val="3"/>
    <w:link w:val="1120"/>
    <w:qFormat/>
    <w:uiPriority w:val="0"/>
    <w:pPr>
      <w:spacing w:after="0" w:line="440" w:lineRule="exact"/>
      <w:ind w:left="0" w:leftChars="0" w:firstLine="720" w:firstLineChars="300"/>
    </w:pPr>
    <w:rPr>
      <w:rFonts w:ascii="宋体" w:hAnsi="宋体" w:eastAsiaTheme="minorEastAsia" w:cstheme="minorBidi"/>
      <w:bCs/>
      <w:color w:val="000000"/>
      <w:spacing w:val="4"/>
    </w:rPr>
  </w:style>
  <w:style w:type="character" w:customStyle="1" w:styleId="1122">
    <w:name w:val="TOm"/>
    <w:qFormat/>
    <w:uiPriority w:val="0"/>
    <w:rPr>
      <w:rFonts w:ascii="Arial" w:hAnsi="Arial" w:eastAsia="MS Mincho"/>
      <w:spacing w:val="0"/>
      <w:position w:val="0"/>
      <w:sz w:val="20"/>
    </w:rPr>
  </w:style>
  <w:style w:type="character" w:customStyle="1" w:styleId="1123">
    <w:name w:val="图表题 Char Char"/>
    <w:qFormat/>
    <w:uiPriority w:val="0"/>
    <w:rPr>
      <w:rFonts w:ascii="黑体" w:hAnsi="宋体" w:eastAsia="黑体" w:cs="宋体"/>
      <w:bCs/>
      <w:kern w:val="2"/>
      <w:sz w:val="24"/>
      <w:szCs w:val="24"/>
      <w:lang w:val="en-US" w:eastAsia="zh-CN" w:bidi="ar-SA"/>
    </w:rPr>
  </w:style>
  <w:style w:type="character" w:customStyle="1" w:styleId="1124">
    <w:name w:val="3标题(治) Char Char"/>
    <w:qFormat/>
    <w:uiPriority w:val="0"/>
    <w:rPr>
      <w:rFonts w:ascii="宋体" w:hAnsi="宋体" w:eastAsia="宋体" w:cs="宋体"/>
      <w:spacing w:val="4"/>
      <w:kern w:val="2"/>
      <w:sz w:val="24"/>
      <w:szCs w:val="24"/>
      <w:lang w:val="en-US" w:eastAsia="zh-CN" w:bidi="ar-SA"/>
    </w:rPr>
  </w:style>
  <w:style w:type="character" w:customStyle="1" w:styleId="1125">
    <w:name w:val="表题目 Char"/>
    <w:link w:val="1126"/>
    <w:qFormat/>
    <w:uiPriority w:val="0"/>
    <w:rPr>
      <w:rFonts w:ascii="宋体" w:hAnsi="宋体"/>
      <w:b/>
      <w:color w:val="000000"/>
      <w:sz w:val="24"/>
      <w:szCs w:val="24"/>
    </w:rPr>
  </w:style>
  <w:style w:type="paragraph" w:customStyle="1" w:styleId="1126">
    <w:name w:val="表题目"/>
    <w:basedOn w:val="1"/>
    <w:link w:val="1125"/>
    <w:qFormat/>
    <w:uiPriority w:val="0"/>
    <w:pPr>
      <w:wordWrap w:val="0"/>
      <w:spacing w:line="240" w:lineRule="auto"/>
      <w:jc w:val="center"/>
    </w:pPr>
    <w:rPr>
      <w:rFonts w:ascii="宋体" w:hAnsi="宋体" w:eastAsiaTheme="minorEastAsia" w:cstheme="minorBidi"/>
      <w:b/>
      <w:color w:val="000000"/>
    </w:rPr>
  </w:style>
  <w:style w:type="character" w:customStyle="1" w:styleId="1127">
    <w:name w:val="文本正文 + 仿宋_GB23121 Char Char Char Char"/>
    <w:link w:val="1128"/>
    <w:qFormat/>
    <w:uiPriority w:val="0"/>
    <w:rPr>
      <w:rFonts w:ascii="仿宋_GB2312" w:hAnsi="仿宋_GB2312"/>
      <w:color w:val="000000"/>
      <w:spacing w:val="4"/>
      <w:kern w:val="18"/>
      <w:sz w:val="24"/>
      <w:szCs w:val="24"/>
    </w:rPr>
  </w:style>
  <w:style w:type="paragraph" w:customStyle="1" w:styleId="1128">
    <w:name w:val="文本正文 + 仿宋_GB23121 Char Char Char"/>
    <w:basedOn w:val="1"/>
    <w:link w:val="1127"/>
    <w:qFormat/>
    <w:uiPriority w:val="0"/>
    <w:pPr>
      <w:adjustRightInd w:val="0"/>
      <w:ind w:firstLine="560" w:firstLineChars="200"/>
      <w:textAlignment w:val="baseline"/>
    </w:pPr>
    <w:rPr>
      <w:rFonts w:ascii="仿宋_GB2312" w:hAnsi="仿宋_GB2312" w:eastAsiaTheme="minorEastAsia" w:cstheme="minorBidi"/>
      <w:color w:val="000000"/>
      <w:spacing w:val="4"/>
      <w:kern w:val="18"/>
    </w:rPr>
  </w:style>
  <w:style w:type="character" w:customStyle="1" w:styleId="1129">
    <w:name w:val="样式 样式 样式 正文 首行缩进:  2 字符 SL CON + 首行缩进:  2 字符 + (符号) 宋体 + 字距调整小四 Char"/>
    <w:link w:val="1130"/>
    <w:qFormat/>
    <w:locked/>
    <w:uiPriority w:val="0"/>
    <w:rPr>
      <w:rFonts w:ascii="宋体" w:hAnsi="宋体" w:cs="宋体"/>
      <w:kern w:val="24"/>
      <w:sz w:val="24"/>
      <w:szCs w:val="24"/>
    </w:rPr>
  </w:style>
  <w:style w:type="paragraph" w:customStyle="1" w:styleId="1130">
    <w:name w:val="样式 样式 样式 正文 首行缩进:  2 字符 SL CON + 首行缩进:  2 字符 + (符号) 宋体 + 字距调整小四"/>
    <w:basedOn w:val="203"/>
    <w:link w:val="1129"/>
    <w:qFormat/>
    <w:uiPriority w:val="0"/>
    <w:rPr>
      <w:kern w:val="24"/>
    </w:rPr>
  </w:style>
  <w:style w:type="character" w:customStyle="1" w:styleId="1131">
    <w:name w:val="样式 文本正文 + 仿宋_GB23121 Char Char"/>
    <w:qFormat/>
    <w:uiPriority w:val="0"/>
    <w:rPr>
      <w:rFonts w:ascii="仿宋_GB2312" w:hAnsi="仿宋_GB2312" w:eastAsia="宋体" w:cs="宋体"/>
      <w:snapToGrid w:val="0"/>
      <w:color w:val="000000"/>
      <w:spacing w:val="4"/>
      <w:kern w:val="18"/>
      <w:sz w:val="24"/>
      <w:szCs w:val="24"/>
      <w:lang w:val="en-US" w:eastAsia="zh-CN" w:bidi="ar-SA"/>
    </w:rPr>
  </w:style>
  <w:style w:type="character" w:customStyle="1" w:styleId="1132">
    <w:name w:val="表4.1 Char Char"/>
    <w:link w:val="1133"/>
    <w:qFormat/>
    <w:uiPriority w:val="0"/>
    <w:rPr>
      <w:rFonts w:ascii="黑体" w:hAnsi="宋体" w:eastAsia="黑体"/>
      <w:b/>
      <w:spacing w:val="4"/>
      <w:sz w:val="24"/>
      <w:szCs w:val="26"/>
    </w:rPr>
  </w:style>
  <w:style w:type="paragraph" w:customStyle="1" w:styleId="1133">
    <w:name w:val="表4.1"/>
    <w:basedOn w:val="1"/>
    <w:link w:val="1132"/>
    <w:qFormat/>
    <w:uiPriority w:val="0"/>
    <w:pPr>
      <w:tabs>
        <w:tab w:val="left" w:pos="1080"/>
        <w:tab w:val="center" w:pos="4060"/>
        <w:tab w:val="right" w:pos="8261"/>
      </w:tabs>
      <w:suppressAutoHyphens/>
      <w:adjustRightInd w:val="0"/>
      <w:spacing w:before="240" w:line="0" w:lineRule="atLeast"/>
      <w:ind w:left="420" w:hanging="420"/>
    </w:pPr>
    <w:rPr>
      <w:rFonts w:ascii="黑体" w:hAnsi="宋体" w:eastAsia="黑体" w:cstheme="minorBidi"/>
      <w:b/>
      <w:spacing w:val="4"/>
      <w:szCs w:val="26"/>
    </w:rPr>
  </w:style>
  <w:style w:type="character" w:customStyle="1" w:styleId="1134">
    <w:name w:val="表格标题 Char1"/>
    <w:qFormat/>
    <w:uiPriority w:val="0"/>
    <w:rPr>
      <w:rFonts w:eastAsia="宋体"/>
      <w:kern w:val="2"/>
      <w:sz w:val="21"/>
      <w:szCs w:val="24"/>
      <w:lang w:val="en-US" w:eastAsia="zh-CN" w:bidi="ar-SA"/>
    </w:rPr>
  </w:style>
  <w:style w:type="character" w:customStyle="1" w:styleId="1135">
    <w:name w:val="apple-style-span"/>
    <w:qFormat/>
    <w:uiPriority w:val="0"/>
    <w:rPr>
      <w:rFonts w:ascii="Times New Roman" w:hAnsi="Times New Roman" w:eastAsia="宋体" w:cs="Times New Roman"/>
    </w:rPr>
  </w:style>
  <w:style w:type="character" w:customStyle="1" w:styleId="1136">
    <w:name w:val="正文文本 Char2"/>
    <w:qFormat/>
    <w:uiPriority w:val="0"/>
    <w:rPr>
      <w:rFonts w:eastAsia="宋体"/>
      <w:sz w:val="21"/>
      <w:lang w:val="en-US" w:eastAsia="zh-CN" w:bidi="ar-SA"/>
    </w:rPr>
  </w:style>
  <w:style w:type="character" w:customStyle="1" w:styleId="1137">
    <w:name w:val="文本正文 + 仿宋_GB23121 Char Char Char Char Char Char"/>
    <w:qFormat/>
    <w:uiPriority w:val="0"/>
    <w:rPr>
      <w:rFonts w:ascii="仿宋_GB2312" w:hAnsi="仿宋_GB2312" w:eastAsia="宋体" w:cs="宋体"/>
      <w:snapToGrid w:val="0"/>
      <w:color w:val="000000"/>
      <w:spacing w:val="4"/>
      <w:kern w:val="18"/>
      <w:sz w:val="24"/>
      <w:szCs w:val="24"/>
      <w:lang w:val="en-US" w:eastAsia="zh-CN" w:bidi="ar-SA"/>
    </w:rPr>
  </w:style>
  <w:style w:type="character" w:customStyle="1" w:styleId="1138">
    <w:name w:val="列表 Char Char Char"/>
    <w:qFormat/>
    <w:uiPriority w:val="0"/>
    <w:rPr>
      <w:rFonts w:eastAsia="宋体"/>
      <w:sz w:val="21"/>
      <w:szCs w:val="21"/>
      <w:lang w:val="en-US" w:eastAsia="zh-CN" w:bidi="ar-SA"/>
    </w:rPr>
  </w:style>
  <w:style w:type="character" w:customStyle="1" w:styleId="1139">
    <w:name w:val="样式 标题 21.1标题 21.1标题2标题 2 Char1节_Heading 2标2二级标题1.1标题一... Char"/>
    <w:link w:val="1140"/>
    <w:qFormat/>
    <w:uiPriority w:val="0"/>
    <w:rPr>
      <w:rFonts w:ascii="黑体" w:hAnsi="黑体" w:eastAsia="黑体"/>
      <w:b/>
      <w:bCs/>
      <w:spacing w:val="4"/>
      <w:sz w:val="24"/>
      <w:szCs w:val="24"/>
    </w:rPr>
  </w:style>
  <w:style w:type="paragraph" w:customStyle="1" w:styleId="1140">
    <w:name w:val="样式 标题 21.1标题 21.1标题2标题 2 Char1节_Heading 2标2二级标题1.1标题一..."/>
    <w:basedOn w:val="6"/>
    <w:link w:val="1139"/>
    <w:qFormat/>
    <w:uiPriority w:val="0"/>
    <w:pPr>
      <w:keepNext/>
      <w:keepLines/>
      <w:numPr>
        <w:ilvl w:val="0"/>
        <w:numId w:val="0"/>
      </w:numPr>
      <w:tabs>
        <w:tab w:val="left" w:pos="840"/>
        <w:tab w:val="clear" w:pos="-181"/>
        <w:tab w:val="clear" w:pos="860"/>
      </w:tabs>
      <w:adjustRightInd/>
      <w:snapToGrid/>
      <w:spacing w:before="120" w:beforeLines="0" w:after="120" w:line="312" w:lineRule="auto"/>
      <w:ind w:left="840" w:hanging="420"/>
      <w:jc w:val="both"/>
      <w:textAlignment w:val="auto"/>
    </w:pPr>
    <w:rPr>
      <w:rFonts w:ascii="黑体" w:hAnsi="黑体" w:cstheme="minorBidi"/>
      <w:b/>
      <w:bCs/>
      <w:spacing w:val="4"/>
      <w:kern w:val="2"/>
      <w:sz w:val="24"/>
      <w:szCs w:val="24"/>
    </w:rPr>
  </w:style>
  <w:style w:type="character" w:customStyle="1" w:styleId="1141">
    <w:name w:val="【表头】 Char Char"/>
    <w:qFormat/>
    <w:uiPriority w:val="0"/>
    <w:rPr>
      <w:rFonts w:ascii="宋体" w:hAnsi="宋体" w:eastAsia="黑体" w:cs="宋体"/>
      <w:spacing w:val="4"/>
      <w:kern w:val="2"/>
      <w:sz w:val="24"/>
      <w:szCs w:val="24"/>
      <w:lang w:val="en-US" w:eastAsia="zh-CN" w:bidi="ar-SA"/>
    </w:rPr>
  </w:style>
  <w:style w:type="character" w:customStyle="1" w:styleId="1142">
    <w:name w:val="3标题(治) Char"/>
    <w:link w:val="1143"/>
    <w:qFormat/>
    <w:uiPriority w:val="0"/>
    <w:rPr>
      <w:rFonts w:ascii="宋体" w:hAnsi="宋体"/>
      <w:spacing w:val="4"/>
      <w:sz w:val="24"/>
      <w:szCs w:val="24"/>
    </w:rPr>
  </w:style>
  <w:style w:type="paragraph" w:customStyle="1" w:styleId="1143">
    <w:name w:val="3标题(治)"/>
    <w:basedOn w:val="7"/>
    <w:link w:val="1142"/>
    <w:qFormat/>
    <w:uiPriority w:val="0"/>
    <w:pPr>
      <w:keepNext w:val="0"/>
      <w:keepLines w:val="0"/>
      <w:numPr>
        <w:ilvl w:val="0"/>
        <w:numId w:val="0"/>
      </w:numPr>
      <w:adjustRightInd w:val="0"/>
      <w:snapToGrid w:val="0"/>
      <w:spacing w:before="120" w:beforeLines="50" w:after="0" w:afterLines="50" w:line="360" w:lineRule="auto"/>
      <w:textAlignment w:val="baseline"/>
    </w:pPr>
    <w:rPr>
      <w:rFonts w:eastAsiaTheme="minorEastAsia" w:cstheme="minorBidi"/>
      <w:b w:val="0"/>
      <w:bCs w:val="0"/>
      <w:color w:val="auto"/>
      <w:spacing w:val="4"/>
      <w:sz w:val="24"/>
      <w:szCs w:val="24"/>
    </w:rPr>
  </w:style>
  <w:style w:type="character" w:customStyle="1" w:styleId="1144">
    <w:name w:val="环小四表尾 Char Char"/>
    <w:qFormat/>
    <w:uiPriority w:val="0"/>
    <w:rPr>
      <w:rFonts w:ascii="宋体"/>
      <w:b/>
      <w:bCs/>
      <w:sz w:val="21"/>
      <w:szCs w:val="21"/>
      <w:lang w:val="en-US" w:eastAsia="zh-CN" w:bidi="ar-SA"/>
    </w:rPr>
  </w:style>
  <w:style w:type="character" w:customStyle="1" w:styleId="1145">
    <w:name w:val="unnamed11"/>
    <w:qFormat/>
    <w:uiPriority w:val="0"/>
    <w:rPr>
      <w:rFonts w:ascii="宋体" w:hAnsi="宋体" w:eastAsia="汉鼎简书宋" w:cs="宋体"/>
      <w:color w:val="000000"/>
      <w:spacing w:val="4"/>
      <w:kern w:val="2"/>
      <w:sz w:val="24"/>
      <w:szCs w:val="24"/>
      <w:lang w:val="en-US" w:eastAsia="zh-CN" w:bidi="ar-SA"/>
    </w:rPr>
  </w:style>
  <w:style w:type="character" w:customStyle="1" w:styleId="1146">
    <w:name w:val="样式 黑体 三号 加粗"/>
    <w:qFormat/>
    <w:uiPriority w:val="0"/>
    <w:rPr>
      <w:rFonts w:ascii="黑体" w:hAnsi="黑体" w:eastAsia="黑体"/>
      <w:b/>
      <w:bCs/>
      <w:sz w:val="44"/>
    </w:rPr>
  </w:style>
  <w:style w:type="character" w:customStyle="1" w:styleId="1147">
    <w:name w:val="样式 图表名称 QJJ Char"/>
    <w:link w:val="1148"/>
    <w:qFormat/>
    <w:uiPriority w:val="0"/>
    <w:rPr>
      <w:rFonts w:ascii="黑体" w:hAnsi="Arial" w:eastAsia="黑体"/>
      <w:sz w:val="24"/>
    </w:rPr>
  </w:style>
  <w:style w:type="paragraph" w:customStyle="1" w:styleId="1148">
    <w:name w:val="样式 图表名称 QJJ"/>
    <w:basedOn w:val="1"/>
    <w:link w:val="1147"/>
    <w:qFormat/>
    <w:uiPriority w:val="0"/>
    <w:pPr>
      <w:spacing w:afterLines="50" w:line="520" w:lineRule="exact"/>
      <w:jc w:val="center"/>
    </w:pPr>
    <w:rPr>
      <w:rFonts w:ascii="黑体" w:hAnsi="Arial" w:eastAsia="黑体" w:cstheme="minorBidi"/>
      <w:szCs w:val="22"/>
    </w:rPr>
  </w:style>
  <w:style w:type="character" w:customStyle="1" w:styleId="1149">
    <w:name w:val="样式 正文文本缩进 2正文文字缩进 2 + 四号 蓝色 Char Char Char"/>
    <w:qFormat/>
    <w:uiPriority w:val="0"/>
    <w:rPr>
      <w:rFonts w:hint="eastAsia" w:ascii="宋体" w:hAnsi="宋体" w:eastAsia="宋体"/>
      <w:color w:val="0000FF"/>
      <w:sz w:val="24"/>
      <w:szCs w:val="24"/>
      <w:lang w:val="en-US" w:eastAsia="zh-CN" w:bidi="ar-SA"/>
    </w:rPr>
  </w:style>
  <w:style w:type="character" w:customStyle="1" w:styleId="1150">
    <w:name w:val="p"/>
    <w:qFormat/>
    <w:uiPriority w:val="0"/>
    <w:rPr>
      <w:rFonts w:ascii="宋体" w:hAnsi="宋体" w:eastAsia="宋体" w:cs="宋体"/>
      <w:snapToGrid w:val="0"/>
      <w:color w:val="000000"/>
      <w:spacing w:val="4"/>
      <w:kern w:val="2"/>
      <w:sz w:val="28"/>
      <w:szCs w:val="28"/>
      <w:lang w:val="en-US" w:eastAsia="zh-CN" w:bidi="ar-SA"/>
    </w:rPr>
  </w:style>
  <w:style w:type="character" w:customStyle="1" w:styleId="1151">
    <w:name w:val="环评正文2 Char"/>
    <w:link w:val="1152"/>
    <w:qFormat/>
    <w:uiPriority w:val="0"/>
    <w:rPr>
      <w:rFonts w:ascii="宋体" w:hAnsi="宋体" w:eastAsia="仿宋_GB2312"/>
      <w:color w:val="000000"/>
      <w:kern w:val="16"/>
      <w:sz w:val="24"/>
      <w:szCs w:val="24"/>
    </w:rPr>
  </w:style>
  <w:style w:type="paragraph" w:customStyle="1" w:styleId="1152">
    <w:name w:val="环评正文2"/>
    <w:basedOn w:val="1"/>
    <w:link w:val="1151"/>
    <w:qFormat/>
    <w:uiPriority w:val="0"/>
    <w:pPr>
      <w:ind w:firstLine="200" w:firstLineChars="200"/>
    </w:pPr>
    <w:rPr>
      <w:rFonts w:ascii="宋体" w:hAnsi="宋体" w:eastAsia="仿宋_GB2312" w:cstheme="minorBidi"/>
      <w:color w:val="000000"/>
      <w:kern w:val="16"/>
    </w:rPr>
  </w:style>
  <w:style w:type="character" w:customStyle="1" w:styleId="1153">
    <w:name w:val="正文(首行缩进) Char1"/>
    <w:qFormat/>
    <w:uiPriority w:val="0"/>
    <w:rPr>
      <w:snapToGrid/>
      <w:color w:val="0000FF"/>
      <w:kern w:val="2"/>
      <w:sz w:val="21"/>
      <w:szCs w:val="21"/>
      <w:lang w:val="en-US" w:eastAsia="zh-CN"/>
    </w:rPr>
  </w:style>
  <w:style w:type="character" w:customStyle="1" w:styleId="1154">
    <w:name w:val="样式 表格备注 Char"/>
    <w:link w:val="1155"/>
    <w:qFormat/>
    <w:uiPriority w:val="0"/>
    <w:rPr>
      <w:rFonts w:ascii="宋体" w:hAnsi="宋体" w:eastAsia="楷体_GB2312"/>
      <w:sz w:val="24"/>
    </w:rPr>
  </w:style>
  <w:style w:type="paragraph" w:customStyle="1" w:styleId="1155">
    <w:name w:val="样式 表格备注"/>
    <w:basedOn w:val="1"/>
    <w:link w:val="1154"/>
    <w:qFormat/>
    <w:uiPriority w:val="0"/>
    <w:pPr>
      <w:keepNext/>
      <w:tabs>
        <w:tab w:val="left" w:pos="628"/>
        <w:tab w:val="left" w:pos="1727"/>
        <w:tab w:val="left" w:pos="1884"/>
        <w:tab w:val="left" w:pos="4680"/>
        <w:tab w:val="left" w:pos="4900"/>
      </w:tabs>
      <w:adjustRightInd w:val="0"/>
      <w:snapToGrid w:val="0"/>
      <w:ind w:firstLine="480" w:firstLineChars="200"/>
    </w:pPr>
    <w:rPr>
      <w:rFonts w:ascii="宋体" w:hAnsi="宋体" w:eastAsia="楷体_GB2312" w:cstheme="minorBidi"/>
      <w:szCs w:val="22"/>
    </w:rPr>
  </w:style>
  <w:style w:type="character" w:customStyle="1" w:styleId="1156">
    <w:name w:val="正文（首行缩进两字）1 Char Char Char Char Char Char"/>
    <w:qFormat/>
    <w:uiPriority w:val="0"/>
    <w:rPr>
      <w:rFonts w:ascii="宋体" w:hAnsi="宋体" w:eastAsia="仿宋_GB2312" w:cs="宋体"/>
      <w:spacing w:val="4"/>
      <w:kern w:val="2"/>
      <w:sz w:val="28"/>
      <w:szCs w:val="28"/>
      <w:lang w:val="en-US" w:eastAsia="zh-CN" w:bidi="ar-SA"/>
    </w:rPr>
  </w:style>
  <w:style w:type="character" w:customStyle="1" w:styleId="1157">
    <w:name w:val="标4 Char"/>
    <w:link w:val="1158"/>
    <w:qFormat/>
    <w:uiPriority w:val="0"/>
    <w:rPr>
      <w:rFonts w:eastAsia="黑体"/>
      <w:bCs/>
      <w:color w:val="000000"/>
      <w:sz w:val="24"/>
    </w:rPr>
  </w:style>
  <w:style w:type="paragraph" w:customStyle="1" w:styleId="1158">
    <w:name w:val="标4"/>
    <w:basedOn w:val="1"/>
    <w:link w:val="1157"/>
    <w:qFormat/>
    <w:uiPriority w:val="0"/>
    <w:pPr>
      <w:keepNext/>
      <w:keepLines/>
      <w:spacing w:beforeLines="20" w:afterLines="20" w:line="240" w:lineRule="auto"/>
      <w:ind w:left="100" w:leftChars="100"/>
      <w:outlineLvl w:val="3"/>
    </w:pPr>
    <w:rPr>
      <w:rFonts w:eastAsia="黑体" w:asciiTheme="minorHAnsi" w:hAnsiTheme="minorHAnsi" w:cstheme="minorBidi"/>
      <w:bCs/>
      <w:color w:val="000000"/>
      <w:szCs w:val="22"/>
    </w:rPr>
  </w:style>
  <w:style w:type="character" w:customStyle="1" w:styleId="1159">
    <w:name w:val="二级目录 Char"/>
    <w:link w:val="1160"/>
    <w:qFormat/>
    <w:uiPriority w:val="0"/>
    <w:rPr>
      <w:rFonts w:ascii="宋体" w:hAnsi="Arial" w:eastAsia="黑体" w:cs="宋体"/>
      <w:bCs/>
      <w:spacing w:val="4"/>
      <w:sz w:val="32"/>
      <w:szCs w:val="32"/>
    </w:rPr>
  </w:style>
  <w:style w:type="paragraph" w:customStyle="1" w:styleId="1160">
    <w:name w:val="二级目录"/>
    <w:basedOn w:val="588"/>
    <w:link w:val="1159"/>
    <w:qFormat/>
    <w:uiPriority w:val="0"/>
    <w:pPr>
      <w:keepNext/>
      <w:keepLines/>
      <w:widowControl w:val="0"/>
      <w:adjustRightInd w:val="0"/>
      <w:spacing w:before="240" w:after="60" w:line="240" w:lineRule="auto"/>
      <w:textAlignment w:val="baseline"/>
    </w:pPr>
    <w:rPr>
      <w:rFonts w:hAnsi="Arial" w:eastAsia="黑体"/>
      <w:b w:val="0"/>
      <w:bCs/>
      <w:spacing w:val="4"/>
      <w:kern w:val="2"/>
      <w:sz w:val="32"/>
      <w:szCs w:val="32"/>
    </w:rPr>
  </w:style>
  <w:style w:type="character" w:customStyle="1" w:styleId="1161">
    <w:name w:val="s1"/>
    <w:qFormat/>
    <w:uiPriority w:val="0"/>
    <w:rPr>
      <w:sz w:val="18"/>
      <w:szCs w:val="18"/>
    </w:rPr>
  </w:style>
  <w:style w:type="character" w:customStyle="1" w:styleId="1162">
    <w:name w:val="content_project11"/>
    <w:qFormat/>
    <w:uiPriority w:val="0"/>
    <w:rPr>
      <w:rFonts w:hint="default" w:ascii="ˎ̥" w:hAnsi="ˎ̥" w:eastAsia="宋体" w:cs="Times New Roman"/>
      <w:sz w:val="20"/>
      <w:szCs w:val="20"/>
    </w:rPr>
  </w:style>
  <w:style w:type="character" w:customStyle="1" w:styleId="1163">
    <w:name w:val="不明显参考1"/>
    <w:qFormat/>
    <w:uiPriority w:val="0"/>
    <w:rPr>
      <w:rFonts w:ascii="宋体" w:hAnsi="宋体" w:eastAsia="汉鼎简书宋" w:cs="宋体"/>
      <w:spacing w:val="4"/>
      <w:kern w:val="2"/>
      <w:sz w:val="24"/>
      <w:szCs w:val="24"/>
      <w:u w:val="single"/>
      <w:lang w:val="en-US" w:eastAsia="zh-CN" w:bidi="ar-SA"/>
    </w:rPr>
  </w:style>
  <w:style w:type="character" w:customStyle="1" w:styleId="1164">
    <w:name w:val="正文1 Char Char1"/>
    <w:qFormat/>
    <w:uiPriority w:val="0"/>
    <w:rPr>
      <w:rFonts w:ascii="宋体" w:hAnsi="宋体" w:eastAsia="仿宋_GB2312" w:cs="宋体"/>
      <w:snapToGrid w:val="0"/>
      <w:spacing w:val="4"/>
      <w:kern w:val="2"/>
      <w:sz w:val="28"/>
      <w:szCs w:val="28"/>
      <w:lang w:val="en-US" w:eastAsia="zh-CN" w:bidi="ar-SA"/>
    </w:rPr>
  </w:style>
  <w:style w:type="character" w:customStyle="1" w:styleId="1165">
    <w:name w:val="陶瓷表格 Char"/>
    <w:link w:val="1166"/>
    <w:qFormat/>
    <w:uiPriority w:val="0"/>
    <w:rPr>
      <w:rFonts w:ascii="宋体" w:hAnsi="宋体" w:eastAsia="汉鼎简书宋" w:cs="宋体"/>
      <w:color w:val="000000"/>
      <w:spacing w:val="4"/>
      <w:szCs w:val="21"/>
    </w:rPr>
  </w:style>
  <w:style w:type="paragraph" w:customStyle="1" w:styleId="1166">
    <w:name w:val="陶瓷表格"/>
    <w:basedOn w:val="1"/>
    <w:link w:val="1165"/>
    <w:qFormat/>
    <w:uiPriority w:val="0"/>
    <w:pPr>
      <w:adjustRightInd w:val="0"/>
      <w:snapToGrid w:val="0"/>
      <w:jc w:val="center"/>
    </w:pPr>
    <w:rPr>
      <w:rFonts w:ascii="宋体" w:hAnsi="宋体" w:eastAsia="汉鼎简书宋" w:cs="宋体"/>
      <w:color w:val="000000"/>
      <w:spacing w:val="4"/>
      <w:sz w:val="21"/>
      <w:szCs w:val="21"/>
    </w:rPr>
  </w:style>
  <w:style w:type="character" w:customStyle="1" w:styleId="1167">
    <w:name w:val="textcontents"/>
    <w:qFormat/>
    <w:uiPriority w:val="0"/>
    <w:rPr>
      <w:rFonts w:ascii="宋体" w:hAnsi="宋体" w:eastAsia="汉鼎简书宋" w:cs="宋体"/>
      <w:spacing w:val="4"/>
      <w:kern w:val="2"/>
      <w:sz w:val="24"/>
      <w:szCs w:val="24"/>
      <w:lang w:val="en-US" w:eastAsia="zh-CN" w:bidi="ar-SA"/>
    </w:rPr>
  </w:style>
  <w:style w:type="character" w:customStyle="1" w:styleId="1168">
    <w:name w:val="info"/>
    <w:qFormat/>
    <w:uiPriority w:val="0"/>
  </w:style>
  <w:style w:type="character" w:customStyle="1" w:styleId="1169">
    <w:name w:val="蒲正文 Char Char"/>
    <w:qFormat/>
    <w:uiPriority w:val="0"/>
    <w:rPr>
      <w:rFonts w:ascii="宋体" w:hAnsi="宋体" w:eastAsia="宋体" w:cs="宋体"/>
      <w:snapToGrid w:val="0"/>
      <w:spacing w:val="4"/>
      <w:kern w:val="2"/>
      <w:sz w:val="24"/>
      <w:szCs w:val="24"/>
      <w:lang w:val="en-US" w:eastAsia="zh-CN" w:bidi="ar-SA"/>
    </w:rPr>
  </w:style>
  <w:style w:type="character" w:customStyle="1" w:styleId="1170">
    <w:name w:val="标题 4宋旭峰 Char Char"/>
    <w:qFormat/>
    <w:uiPriority w:val="0"/>
    <w:rPr>
      <w:rFonts w:ascii="Arial" w:hAnsi="Arial" w:eastAsia="黑体" w:cs="宋体"/>
      <w:b/>
      <w:bCs/>
      <w:snapToGrid w:val="0"/>
      <w:color w:val="000000"/>
      <w:spacing w:val="4"/>
      <w:kern w:val="2"/>
      <w:sz w:val="28"/>
      <w:szCs w:val="28"/>
      <w:lang w:val="en-US" w:eastAsia="zh-CN" w:bidi="ar-SA"/>
    </w:rPr>
  </w:style>
  <w:style w:type="character" w:customStyle="1" w:styleId="1171">
    <w:name w:val="dectext1"/>
    <w:qFormat/>
    <w:uiPriority w:val="0"/>
    <w:rPr>
      <w:rFonts w:hint="eastAsia" w:ascii="宋体" w:hAnsi="宋体" w:eastAsia="宋体" w:cs="宋体"/>
      <w:color w:val="333333"/>
      <w:spacing w:val="4"/>
      <w:kern w:val="2"/>
      <w:sz w:val="21"/>
      <w:szCs w:val="21"/>
      <w:u w:val="none"/>
      <w:lang w:val="en-US" w:eastAsia="zh-CN" w:bidi="ar-SA"/>
    </w:rPr>
  </w:style>
  <w:style w:type="character" w:customStyle="1" w:styleId="1172">
    <w:name w:val="7.3 Char Char"/>
    <w:qFormat/>
    <w:uiPriority w:val="0"/>
    <w:rPr>
      <w:rFonts w:ascii="宋体" w:hAnsi="宋体" w:eastAsia="黑体"/>
      <w:b/>
      <w:bCs/>
      <w:color w:val="000000"/>
      <w:kern w:val="2"/>
      <w:sz w:val="24"/>
      <w:szCs w:val="24"/>
    </w:rPr>
  </w:style>
  <w:style w:type="character" w:customStyle="1" w:styleId="1173">
    <w:name w:val="p_red_bold1"/>
    <w:qFormat/>
    <w:uiPriority w:val="0"/>
    <w:rPr>
      <w:b/>
      <w:bCs/>
      <w:color w:val="FF3333"/>
    </w:rPr>
  </w:style>
  <w:style w:type="character" w:customStyle="1" w:styleId="1174">
    <w:name w:val="标题5 Char"/>
    <w:qFormat/>
    <w:uiPriority w:val="0"/>
    <w:rPr>
      <w:rFonts w:ascii="宋体" w:hAnsi="宋体"/>
      <w:kern w:val="2"/>
      <w:sz w:val="24"/>
      <w:szCs w:val="24"/>
    </w:rPr>
  </w:style>
  <w:style w:type="character" w:customStyle="1" w:styleId="1175">
    <w:name w:val="环评2级标题 Char"/>
    <w:link w:val="1176"/>
    <w:qFormat/>
    <w:locked/>
    <w:uiPriority w:val="0"/>
    <w:rPr>
      <w:rFonts w:ascii="Arial" w:hAnsi="Arial" w:eastAsia="黑体" w:cs="Arial"/>
      <w:b/>
      <w:bCs/>
      <w:sz w:val="32"/>
      <w:szCs w:val="32"/>
    </w:rPr>
  </w:style>
  <w:style w:type="paragraph" w:customStyle="1" w:styleId="1176">
    <w:name w:val="环评2级标题"/>
    <w:basedOn w:val="6"/>
    <w:link w:val="1175"/>
    <w:qFormat/>
    <w:uiPriority w:val="0"/>
    <w:pPr>
      <w:keepNext/>
      <w:keepLines/>
      <w:numPr>
        <w:ilvl w:val="0"/>
        <w:numId w:val="0"/>
      </w:numPr>
      <w:tabs>
        <w:tab w:val="clear" w:pos="-181"/>
      </w:tabs>
      <w:adjustRightInd/>
      <w:snapToGrid/>
      <w:spacing w:before="120" w:beforeLines="0" w:after="120" w:line="412" w:lineRule="auto"/>
      <w:jc w:val="both"/>
      <w:textAlignment w:val="auto"/>
    </w:pPr>
    <w:rPr>
      <w:rFonts w:ascii="Arial" w:hAnsi="Arial" w:cs="Arial"/>
      <w:b/>
      <w:bCs/>
      <w:kern w:val="2"/>
      <w:sz w:val="32"/>
      <w:szCs w:val="32"/>
    </w:rPr>
  </w:style>
  <w:style w:type="character" w:customStyle="1" w:styleId="1177">
    <w:name w:val="热电厂正文 Char Char Char Char Char"/>
    <w:link w:val="1178"/>
    <w:qFormat/>
    <w:uiPriority w:val="0"/>
    <w:rPr>
      <w:rFonts w:ascii="宋体" w:hAnsi="宋体"/>
      <w:color w:val="000000"/>
      <w:spacing w:val="4"/>
      <w:sz w:val="24"/>
      <w:szCs w:val="24"/>
    </w:rPr>
  </w:style>
  <w:style w:type="paragraph" w:customStyle="1" w:styleId="1178">
    <w:name w:val="热电厂正文 Char Char Char Char"/>
    <w:basedOn w:val="1"/>
    <w:link w:val="1177"/>
    <w:qFormat/>
    <w:uiPriority w:val="0"/>
    <w:pPr>
      <w:adjustRightInd w:val="0"/>
      <w:spacing w:line="440" w:lineRule="exact"/>
      <w:ind w:firstLine="480" w:firstLineChars="200"/>
    </w:pPr>
    <w:rPr>
      <w:rFonts w:ascii="宋体" w:hAnsi="宋体" w:eastAsiaTheme="minorEastAsia" w:cstheme="minorBidi"/>
      <w:color w:val="000000"/>
      <w:spacing w:val="4"/>
    </w:rPr>
  </w:style>
  <w:style w:type="character" w:customStyle="1" w:styleId="1179">
    <w:name w:val="样式 (符号) 宋体 四号2"/>
    <w:qFormat/>
    <w:uiPriority w:val="0"/>
    <w:rPr>
      <w:rFonts w:ascii="宋体" w:hAnsi="宋体" w:eastAsia="宋体" w:cs="宋体"/>
      <w:spacing w:val="-6"/>
      <w:kern w:val="2"/>
      <w:sz w:val="28"/>
      <w:szCs w:val="24"/>
      <w:lang w:val="en-US" w:eastAsia="zh-CN" w:bidi="ar-SA"/>
    </w:rPr>
  </w:style>
  <w:style w:type="character" w:customStyle="1" w:styleId="1180">
    <w:name w:val="表头1 Char Char"/>
    <w:qFormat/>
    <w:uiPriority w:val="0"/>
    <w:rPr>
      <w:rFonts w:ascii="宋体" w:hAnsi="宋体" w:eastAsia="黑体" w:cs="TimesNewRomanPSMT"/>
      <w:color w:val="000000"/>
      <w:spacing w:val="-16"/>
      <w:kern w:val="2"/>
      <w:sz w:val="21"/>
      <w:szCs w:val="21"/>
      <w:lang w:val="en-US" w:eastAsia="zh-CN" w:bidi="ar-SA"/>
    </w:rPr>
  </w:style>
  <w:style w:type="character" w:customStyle="1" w:styleId="1181">
    <w:name w:val="报告书正文 Char2"/>
    <w:qFormat/>
    <w:uiPriority w:val="0"/>
    <w:rPr>
      <w:rFonts w:eastAsia="宋体"/>
      <w:kern w:val="2"/>
      <w:sz w:val="24"/>
      <w:lang w:val="en-US" w:eastAsia="zh-CN" w:bidi="ar-SA"/>
    </w:rPr>
  </w:style>
  <w:style w:type="character" w:customStyle="1" w:styleId="1182">
    <w:name w:val="contenttext11"/>
    <w:qFormat/>
    <w:uiPriority w:val="0"/>
    <w:rPr>
      <w:rFonts w:hint="eastAsia" w:ascii="宋体" w:hAnsi="宋体" w:eastAsia="宋体"/>
      <w:sz w:val="20"/>
      <w:szCs w:val="20"/>
    </w:rPr>
  </w:style>
  <w:style w:type="character" w:customStyle="1" w:styleId="1183">
    <w:name w:val="样式 样式 小四 蓝色 行距: 固定值 30 磅 + 行距: 1.5 倍行距 Char"/>
    <w:link w:val="1184"/>
    <w:qFormat/>
    <w:uiPriority w:val="0"/>
    <w:rPr>
      <w:color w:val="0000FF"/>
      <w:sz w:val="24"/>
    </w:rPr>
  </w:style>
  <w:style w:type="paragraph" w:customStyle="1" w:styleId="1184">
    <w:name w:val="样式 样式 小四 蓝色 行距: 固定值 30 磅 + 行距: 1.5 倍行距"/>
    <w:basedOn w:val="1"/>
    <w:link w:val="1183"/>
    <w:qFormat/>
    <w:uiPriority w:val="0"/>
    <w:pPr>
      <w:ind w:firstLine="480" w:firstLineChars="200"/>
    </w:pPr>
    <w:rPr>
      <w:rFonts w:asciiTheme="minorHAnsi" w:hAnsiTheme="minorHAnsi" w:eastAsiaTheme="minorEastAsia" w:cstheme="minorBidi"/>
      <w:color w:val="0000FF"/>
      <w:szCs w:val="22"/>
    </w:rPr>
  </w:style>
  <w:style w:type="character" w:customStyle="1" w:styleId="1185">
    <w:name w:val="一、1"/>
    <w:qFormat/>
    <w:uiPriority w:val="0"/>
    <w:rPr>
      <w:rFonts w:ascii="宋体" w:hAnsi="宋体" w:eastAsia="宋体" w:cs="宋体"/>
      <w:b/>
      <w:bCs/>
      <w:spacing w:val="12"/>
      <w:kern w:val="44"/>
      <w:sz w:val="44"/>
      <w:szCs w:val="44"/>
      <w:lang w:val="en-US" w:eastAsia="zh-CN" w:bidi="ar-SA"/>
    </w:rPr>
  </w:style>
  <w:style w:type="character" w:customStyle="1" w:styleId="1186">
    <w:name w:val="环小四表内容 Char Char"/>
    <w:qFormat/>
    <w:uiPriority w:val="0"/>
    <w:rPr>
      <w:rFonts w:ascii="宋体" w:hAnsi="宋体" w:eastAsia="宋体"/>
      <w:kern w:val="2"/>
      <w:sz w:val="18"/>
      <w:szCs w:val="21"/>
      <w:lang w:val="en-US" w:eastAsia="zh-CN" w:bidi="ar-SA"/>
    </w:rPr>
  </w:style>
  <w:style w:type="character" w:customStyle="1" w:styleId="1187">
    <w:name w:val="样式4 Char"/>
    <w:qFormat/>
    <w:uiPriority w:val="0"/>
    <w:rPr>
      <w:rFonts w:cs="宋体"/>
      <w:color w:val="000000"/>
      <w:kern w:val="2"/>
      <w:sz w:val="24"/>
      <w:szCs w:val="24"/>
    </w:rPr>
  </w:style>
  <w:style w:type="character" w:customStyle="1" w:styleId="1188">
    <w:name w:val="表格文字 Char1"/>
    <w:qFormat/>
    <w:uiPriority w:val="0"/>
    <w:rPr>
      <w:rFonts w:hint="eastAsia" w:ascii="宋体" w:hAnsi="宋体" w:eastAsia="宋体" w:cs="宋体"/>
      <w:sz w:val="18"/>
      <w:szCs w:val="18"/>
      <w:lang w:val="en-US" w:eastAsia="zh-CN" w:bidi="ar-SA"/>
    </w:rPr>
  </w:style>
  <w:style w:type="character" w:customStyle="1" w:styleId="1189">
    <w:name w:val="grame"/>
    <w:qFormat/>
    <w:uiPriority w:val="0"/>
  </w:style>
  <w:style w:type="character" w:customStyle="1" w:styleId="1190">
    <w:name w:val="样式 正文首行缩进 + 首行缩进:  2 字符 行距: 固定值 25 磅1 Char"/>
    <w:link w:val="1191"/>
    <w:qFormat/>
    <w:uiPriority w:val="0"/>
    <w:rPr>
      <w:sz w:val="24"/>
    </w:rPr>
  </w:style>
  <w:style w:type="paragraph" w:customStyle="1" w:styleId="1191">
    <w:name w:val="样式 正文首行缩进 + 首行缩进:  2 字符 行距: 固定值 25 磅1"/>
    <w:basedOn w:val="87"/>
    <w:link w:val="1190"/>
    <w:qFormat/>
    <w:uiPriority w:val="0"/>
    <w:pPr>
      <w:spacing w:after="0" w:line="500" w:lineRule="exact"/>
      <w:ind w:firstLine="480" w:firstLineChars="200"/>
    </w:pPr>
    <w:rPr>
      <w:rFonts w:asciiTheme="minorHAnsi" w:hAnsiTheme="minorHAnsi" w:eastAsiaTheme="minorEastAsia" w:cstheme="minorBidi"/>
      <w:szCs w:val="22"/>
    </w:rPr>
  </w:style>
  <w:style w:type="character" w:customStyle="1" w:styleId="1192">
    <w:name w:val="正文样式 Char"/>
    <w:qFormat/>
    <w:uiPriority w:val="0"/>
    <w:rPr>
      <w:rFonts w:ascii="宋体" w:hAnsi="宋体" w:eastAsia="宋体"/>
      <w:kern w:val="2"/>
      <w:sz w:val="24"/>
      <w:szCs w:val="24"/>
      <w:lang w:val="en-US" w:eastAsia="zh-CN" w:bidi="ar-SA"/>
    </w:rPr>
  </w:style>
  <w:style w:type="character" w:customStyle="1" w:styleId="1193">
    <w:name w:val="样式 标题 2标题21.1H2h2第一层条二级标题标题 lxb2二级标题 Char表标题单位名4.12... Char"/>
    <w:link w:val="1194"/>
    <w:qFormat/>
    <w:uiPriority w:val="0"/>
    <w:rPr>
      <w:b/>
      <w:bCs/>
      <w:color w:val="000000"/>
      <w:sz w:val="24"/>
    </w:rPr>
  </w:style>
  <w:style w:type="paragraph" w:customStyle="1" w:styleId="1194">
    <w:name w:val="样式 标题 2标题21.1H2h2第一层条二级标题标题 lxb2二级标题 Char表标题单位名4.12..."/>
    <w:basedOn w:val="7"/>
    <w:link w:val="1193"/>
    <w:qFormat/>
    <w:uiPriority w:val="0"/>
    <w:pPr>
      <w:numPr>
        <w:ilvl w:val="0"/>
        <w:numId w:val="0"/>
      </w:numPr>
      <w:tabs>
        <w:tab w:val="left" w:pos="6690"/>
      </w:tabs>
      <w:spacing w:before="120" w:after="120" w:line="360" w:lineRule="auto"/>
    </w:pPr>
    <w:rPr>
      <w:rFonts w:asciiTheme="minorHAnsi" w:hAnsiTheme="minorHAnsi" w:eastAsiaTheme="minorEastAsia" w:cstheme="minorBidi"/>
      <w:sz w:val="24"/>
      <w:szCs w:val="22"/>
    </w:rPr>
  </w:style>
  <w:style w:type="character" w:customStyle="1" w:styleId="1195">
    <w:name w:val="样式36 Char"/>
    <w:link w:val="1196"/>
    <w:qFormat/>
    <w:uiPriority w:val="0"/>
    <w:rPr>
      <w:rFonts w:ascii="宋体" w:eastAsia="黑体"/>
      <w:b/>
      <w:bCs/>
      <w:sz w:val="24"/>
    </w:rPr>
  </w:style>
  <w:style w:type="paragraph" w:customStyle="1" w:styleId="1196">
    <w:name w:val="样式36"/>
    <w:basedOn w:val="1"/>
    <w:link w:val="1195"/>
    <w:qFormat/>
    <w:uiPriority w:val="0"/>
    <w:pPr>
      <w:spacing w:line="240" w:lineRule="auto"/>
      <w:ind w:firstLine="482"/>
      <w:jc w:val="center"/>
    </w:pPr>
    <w:rPr>
      <w:rFonts w:ascii="宋体" w:eastAsia="黑体" w:hAnsiTheme="minorHAnsi" w:cstheme="minorBidi"/>
      <w:b/>
      <w:bCs/>
      <w:szCs w:val="22"/>
    </w:rPr>
  </w:style>
  <w:style w:type="character" w:customStyle="1" w:styleId="1197">
    <w:name w:val="标准 Char"/>
    <w:link w:val="1198"/>
    <w:qFormat/>
    <w:uiPriority w:val="0"/>
    <w:rPr>
      <w:rFonts w:ascii="宋体"/>
      <w:sz w:val="28"/>
    </w:rPr>
  </w:style>
  <w:style w:type="paragraph" w:customStyle="1" w:styleId="1198">
    <w:name w:val="标准"/>
    <w:basedOn w:val="1"/>
    <w:link w:val="1197"/>
    <w:qFormat/>
    <w:uiPriority w:val="0"/>
    <w:pPr>
      <w:adjustRightInd w:val="0"/>
      <w:textAlignment w:val="baseline"/>
    </w:pPr>
    <w:rPr>
      <w:rFonts w:ascii="宋体" w:hAnsiTheme="minorHAnsi" w:eastAsiaTheme="minorEastAsia" w:cstheme="minorBidi"/>
      <w:sz w:val="28"/>
      <w:szCs w:val="22"/>
    </w:rPr>
  </w:style>
  <w:style w:type="character" w:customStyle="1" w:styleId="1199">
    <w:name w:val="正文文 Char Char"/>
    <w:qFormat/>
    <w:uiPriority w:val="0"/>
    <w:rPr>
      <w:rFonts w:ascii="宋体" w:hAnsi="宋体" w:eastAsia="宋体" w:cs="宋体"/>
      <w:spacing w:val="4"/>
      <w:kern w:val="2"/>
      <w:sz w:val="24"/>
      <w:szCs w:val="24"/>
      <w:lang w:val="en-US" w:eastAsia="zh-CN" w:bidi="ar-SA"/>
    </w:rPr>
  </w:style>
  <w:style w:type="character" w:customStyle="1" w:styleId="1200">
    <w:name w:val="样式 五号 居中 行距: 单倍行距"/>
    <w:qFormat/>
    <w:uiPriority w:val="0"/>
    <w:rPr>
      <w:rFonts w:ascii="Times New Roman" w:hAnsi="Times New Roman" w:eastAsia="宋体" w:cs="Times New Roman"/>
      <w:sz w:val="21"/>
      <w:szCs w:val="21"/>
    </w:rPr>
  </w:style>
  <w:style w:type="character" w:customStyle="1" w:styleId="1201">
    <w:name w:val="表格式 Char1"/>
    <w:link w:val="1202"/>
    <w:qFormat/>
    <w:uiPriority w:val="0"/>
    <w:rPr>
      <w:rFonts w:ascii="宋体"/>
    </w:rPr>
  </w:style>
  <w:style w:type="paragraph" w:customStyle="1" w:styleId="1202">
    <w:name w:val="表格式"/>
    <w:basedOn w:val="67"/>
    <w:link w:val="1201"/>
    <w:qFormat/>
    <w:uiPriority w:val="0"/>
    <w:pPr>
      <w:spacing w:before="120" w:after="120" w:line="240" w:lineRule="atLeast"/>
    </w:pPr>
    <w:rPr>
      <w:rFonts w:ascii="宋体" w:hAnsiTheme="minorHAnsi" w:eastAsiaTheme="minorEastAsia" w:cstheme="minorBidi"/>
      <w:szCs w:val="22"/>
    </w:rPr>
  </w:style>
  <w:style w:type="character" w:customStyle="1" w:styleId="1203">
    <w:name w:val="环小四1.1（二级） Char"/>
    <w:link w:val="1204"/>
    <w:qFormat/>
    <w:uiPriority w:val="0"/>
    <w:rPr>
      <w:rFonts w:ascii="宋体" w:hAnsi="宋体"/>
      <w:b/>
      <w:bCs/>
      <w:color w:val="000000"/>
      <w:kern w:val="24"/>
      <w:sz w:val="24"/>
      <w:szCs w:val="24"/>
    </w:rPr>
  </w:style>
  <w:style w:type="paragraph" w:customStyle="1" w:styleId="1204">
    <w:name w:val="环小四1.1（二级）"/>
    <w:link w:val="1203"/>
    <w:qFormat/>
    <w:uiPriority w:val="0"/>
    <w:pPr>
      <w:widowControl w:val="0"/>
      <w:outlineLvl w:val="1"/>
    </w:pPr>
    <w:rPr>
      <w:rFonts w:ascii="宋体" w:hAnsi="宋体" w:eastAsiaTheme="minorEastAsia" w:cstheme="minorBidi"/>
      <w:b/>
      <w:bCs/>
      <w:color w:val="000000"/>
      <w:kern w:val="24"/>
      <w:sz w:val="24"/>
      <w:szCs w:val="24"/>
      <w:lang w:val="en-US" w:eastAsia="zh-CN" w:bidi="ar-SA"/>
    </w:rPr>
  </w:style>
  <w:style w:type="character" w:customStyle="1" w:styleId="1205">
    <w:name w:val="正文样式100 Char Char"/>
    <w:qFormat/>
    <w:uiPriority w:val="0"/>
    <w:rPr>
      <w:rFonts w:ascii="宋体" w:hAnsi="宋体" w:eastAsia="宋体" w:cs="Courier New"/>
      <w:color w:val="000000"/>
      <w:kern w:val="2"/>
      <w:sz w:val="24"/>
      <w:szCs w:val="24"/>
      <w:lang w:val="en-US" w:eastAsia="zh-CN" w:bidi="ar-SA"/>
    </w:rPr>
  </w:style>
  <w:style w:type="character" w:customStyle="1" w:styleId="1206">
    <w:name w:val="副标题 Char1"/>
    <w:qFormat/>
    <w:uiPriority w:val="0"/>
    <w:rPr>
      <w:rFonts w:ascii="Cambria" w:hAnsi="Cambria" w:eastAsia="宋体" w:cs="Times New Roman"/>
      <w:b/>
      <w:bCs/>
      <w:kern w:val="28"/>
      <w:sz w:val="32"/>
      <w:szCs w:val="32"/>
    </w:rPr>
  </w:style>
  <w:style w:type="character" w:customStyle="1" w:styleId="1207">
    <w:name w:val="正文的文字 Char Char"/>
    <w:link w:val="1208"/>
    <w:qFormat/>
    <w:uiPriority w:val="0"/>
    <w:rPr>
      <w:rFonts w:ascii="Calibri" w:hAnsi="Calibri"/>
      <w:sz w:val="26"/>
    </w:rPr>
  </w:style>
  <w:style w:type="paragraph" w:customStyle="1" w:styleId="1208">
    <w:name w:val="正文的文字"/>
    <w:basedOn w:val="1"/>
    <w:link w:val="1207"/>
    <w:qFormat/>
    <w:uiPriority w:val="0"/>
    <w:pPr>
      <w:ind w:firstLine="200" w:firstLineChars="200"/>
    </w:pPr>
    <w:rPr>
      <w:rFonts w:ascii="Calibri" w:hAnsi="Calibri" w:eastAsiaTheme="minorEastAsia" w:cstheme="minorBidi"/>
      <w:sz w:val="26"/>
      <w:szCs w:val="22"/>
    </w:rPr>
  </w:style>
  <w:style w:type="character" w:customStyle="1" w:styleId="1209">
    <w:name w:val="Normal Char Char"/>
    <w:qFormat/>
    <w:uiPriority w:val="0"/>
    <w:rPr>
      <w:lang w:val="en-US" w:eastAsia="zh-CN" w:bidi="ar-SA"/>
    </w:rPr>
  </w:style>
  <w:style w:type="character" w:customStyle="1" w:styleId="1210">
    <w:name w:val="珠江啤酒正文 Char"/>
    <w:link w:val="1211"/>
    <w:qFormat/>
    <w:uiPriority w:val="0"/>
    <w:rPr>
      <w:rFonts w:ascii="宋体" w:hAnsi="宋体"/>
    </w:rPr>
  </w:style>
  <w:style w:type="paragraph" w:customStyle="1" w:styleId="1211">
    <w:name w:val="珠江啤酒正文"/>
    <w:basedOn w:val="1"/>
    <w:link w:val="1210"/>
    <w:qFormat/>
    <w:uiPriority w:val="0"/>
    <w:pPr>
      <w:spacing w:line="240" w:lineRule="auto"/>
    </w:pPr>
    <w:rPr>
      <w:rFonts w:ascii="宋体" w:hAnsi="宋体" w:eastAsiaTheme="minorEastAsia" w:cstheme="minorBidi"/>
      <w:sz w:val="21"/>
      <w:szCs w:val="22"/>
    </w:rPr>
  </w:style>
  <w:style w:type="character" w:customStyle="1" w:styleId="1212">
    <w:name w:val="表16.1 Char Char"/>
    <w:link w:val="1213"/>
    <w:qFormat/>
    <w:uiPriority w:val="0"/>
    <w:rPr>
      <w:rFonts w:ascii="黑体" w:hAnsi="宋体" w:eastAsia="黑体"/>
      <w:b/>
      <w:spacing w:val="4"/>
      <w:sz w:val="24"/>
      <w:szCs w:val="26"/>
    </w:rPr>
  </w:style>
  <w:style w:type="paragraph" w:customStyle="1" w:styleId="1213">
    <w:name w:val="表16.1"/>
    <w:basedOn w:val="1"/>
    <w:link w:val="1212"/>
    <w:qFormat/>
    <w:uiPriority w:val="0"/>
    <w:pPr>
      <w:tabs>
        <w:tab w:val="left" w:pos="1080"/>
        <w:tab w:val="center" w:pos="4060"/>
        <w:tab w:val="right" w:pos="8261"/>
      </w:tabs>
      <w:suppressAutoHyphens/>
      <w:adjustRightInd w:val="0"/>
      <w:spacing w:before="240" w:line="0" w:lineRule="atLeast"/>
      <w:ind w:left="420" w:hanging="420"/>
    </w:pPr>
    <w:rPr>
      <w:rFonts w:ascii="黑体" w:hAnsi="宋体" w:eastAsia="黑体" w:cstheme="minorBidi"/>
      <w:b/>
      <w:spacing w:val="4"/>
      <w:szCs w:val="26"/>
    </w:rPr>
  </w:style>
  <w:style w:type="character" w:customStyle="1" w:styleId="1214">
    <w:name w:val="表格文字居中 Char Char Char Char"/>
    <w:qFormat/>
    <w:uiPriority w:val="0"/>
    <w:rPr>
      <w:rFonts w:ascii="宋体" w:hAnsi="宋体" w:eastAsia="宋体" w:cs="宋体"/>
      <w:spacing w:val="4"/>
      <w:kern w:val="2"/>
      <w:sz w:val="24"/>
      <w:szCs w:val="24"/>
      <w:lang w:val="en-US" w:eastAsia="zh-CN" w:bidi="ar-SA"/>
    </w:rPr>
  </w:style>
  <w:style w:type="character" w:customStyle="1" w:styleId="1215">
    <w:name w:val="表号 Char Char"/>
    <w:qFormat/>
    <w:uiPriority w:val="0"/>
    <w:rPr>
      <w:rFonts w:ascii="宋体" w:hAnsi="宋体" w:eastAsia="宋体"/>
      <w:kern w:val="2"/>
      <w:sz w:val="24"/>
      <w:szCs w:val="24"/>
      <w:lang w:val="en-US" w:eastAsia="zh-CN" w:bidi="ar-SA"/>
    </w:rPr>
  </w:style>
  <w:style w:type="character" w:customStyle="1" w:styleId="1216">
    <w:name w:val="四级标题 Char Char"/>
    <w:qFormat/>
    <w:uiPriority w:val="0"/>
    <w:rPr>
      <w:rFonts w:cs="宋体"/>
      <w:b/>
      <w:bCs/>
      <w:kern w:val="2"/>
      <w:sz w:val="28"/>
      <w:szCs w:val="24"/>
    </w:rPr>
  </w:style>
  <w:style w:type="character" w:customStyle="1" w:styleId="1217">
    <w:name w:val="表内字 Char Char"/>
    <w:qFormat/>
    <w:uiPriority w:val="0"/>
    <w:rPr>
      <w:color w:val="000000"/>
      <w:sz w:val="21"/>
      <w:lang w:val="en-US" w:eastAsia="zh-CN" w:bidi="ar-SA"/>
    </w:rPr>
  </w:style>
  <w:style w:type="character" w:customStyle="1" w:styleId="1218">
    <w:name w:val="puntext"/>
    <w:qFormat/>
    <w:uiPriority w:val="0"/>
    <w:rPr>
      <w:rFonts w:ascii="宋体" w:hAnsi="宋体" w:eastAsia="黑体" w:cs="宋体"/>
      <w:spacing w:val="4"/>
      <w:kern w:val="2"/>
      <w:sz w:val="30"/>
      <w:szCs w:val="30"/>
      <w:lang w:val="en-US" w:eastAsia="zh-CN" w:bidi="ar-SA"/>
    </w:rPr>
  </w:style>
  <w:style w:type="character" w:customStyle="1" w:styleId="1219">
    <w:name w:val="正文首行 Char"/>
    <w:qFormat/>
    <w:uiPriority w:val="0"/>
    <w:rPr>
      <w:rFonts w:hint="eastAsia" w:ascii="宋体" w:hAnsi="宋体" w:eastAsia="宋体"/>
      <w:kern w:val="2"/>
      <w:sz w:val="28"/>
      <w:lang w:val="en-US" w:eastAsia="zh-CN"/>
    </w:rPr>
  </w:style>
  <w:style w:type="character" w:customStyle="1" w:styleId="1220">
    <w:name w:val="样式 正文文字缩进 + 左侧:  -0.05 字符 悬挂缩进: 0.05 字符"/>
    <w:qFormat/>
    <w:uiPriority w:val="0"/>
    <w:rPr>
      <w:rFonts w:hint="eastAsia" w:ascii="宋体" w:hAnsi="宋体" w:eastAsia="宋体"/>
      <w:b/>
      <w:sz w:val="24"/>
    </w:rPr>
  </w:style>
  <w:style w:type="character" w:customStyle="1" w:styleId="1221">
    <w:name w:val="列表名称 Char Char Char Char Char"/>
    <w:qFormat/>
    <w:uiPriority w:val="0"/>
    <w:rPr>
      <w:rFonts w:ascii="宋体" w:hAnsi="宋体" w:eastAsia="黑体" w:cs="宋体"/>
      <w:bCs/>
      <w:spacing w:val="4"/>
      <w:kern w:val="2"/>
      <w:sz w:val="24"/>
      <w:szCs w:val="24"/>
      <w:lang w:val="en-US" w:eastAsia="zh-CN" w:bidi="ar-SA"/>
    </w:rPr>
  </w:style>
  <w:style w:type="character" w:customStyle="1" w:styleId="1222">
    <w:name w:val="样式 样式 仿宋_GB2312 加粗 + 黑色"/>
    <w:qFormat/>
    <w:uiPriority w:val="0"/>
    <w:rPr>
      <w:rFonts w:ascii="仿宋_GB2312"/>
      <w:b/>
      <w:bCs/>
      <w:color w:val="000000"/>
      <w:sz w:val="24"/>
      <w:szCs w:val="28"/>
    </w:rPr>
  </w:style>
  <w:style w:type="character" w:customStyle="1" w:styleId="1223">
    <w:name w:val="正文样式1 Char"/>
    <w:qFormat/>
    <w:uiPriority w:val="0"/>
    <w:rPr>
      <w:rFonts w:ascii="宋体" w:eastAsia="宋体"/>
      <w:kern w:val="2"/>
      <w:sz w:val="24"/>
      <w:szCs w:val="24"/>
      <w:lang w:val="en-US" w:eastAsia="zh-CN" w:bidi="ar-SA"/>
    </w:rPr>
  </w:style>
  <w:style w:type="character" w:customStyle="1" w:styleId="1224">
    <w:name w:val="font21"/>
    <w:qFormat/>
    <w:uiPriority w:val="0"/>
    <w:rPr>
      <w:rFonts w:hint="eastAsia" w:ascii="宋体" w:hAnsi="宋体" w:eastAsia="宋体" w:cs="宋体"/>
      <w:color w:val="000000"/>
      <w:spacing w:val="4"/>
      <w:kern w:val="2"/>
      <w:sz w:val="18"/>
      <w:szCs w:val="18"/>
      <w:u w:val="none"/>
      <w:lang w:val="en-US" w:eastAsia="zh-CN" w:bidi="ar-SA"/>
    </w:rPr>
  </w:style>
  <w:style w:type="character" w:customStyle="1" w:styleId="1225">
    <w:name w:val="zw Char Char Char"/>
    <w:link w:val="1226"/>
    <w:qFormat/>
    <w:uiPriority w:val="0"/>
    <w:rPr>
      <w:rFonts w:ascii="宋体" w:hAnsi="宋体"/>
      <w:spacing w:val="4"/>
      <w:sz w:val="24"/>
      <w:szCs w:val="24"/>
    </w:rPr>
  </w:style>
  <w:style w:type="paragraph" w:customStyle="1" w:styleId="1226">
    <w:name w:val="zw Char Char"/>
    <w:basedOn w:val="1"/>
    <w:link w:val="1225"/>
    <w:qFormat/>
    <w:uiPriority w:val="0"/>
    <w:pPr>
      <w:spacing w:line="480" w:lineRule="exact"/>
      <w:ind w:firstLine="482"/>
    </w:pPr>
    <w:rPr>
      <w:rFonts w:ascii="宋体" w:hAnsi="宋体" w:eastAsiaTheme="minorEastAsia" w:cstheme="minorBidi"/>
      <w:spacing w:val="4"/>
    </w:rPr>
  </w:style>
  <w:style w:type="character" w:customStyle="1" w:styleId="1227">
    <w:name w:val="样式 样式 样式 标题 3标题 3 Char + 黑体 段前: 6 磅 段后: 0 磅 行距: 1.5 倍行距 + 左侧:  2... Char Char"/>
    <w:qFormat/>
    <w:uiPriority w:val="0"/>
    <w:rPr>
      <w:rFonts w:ascii="黑体" w:hAnsi="黑体" w:eastAsia="黑体" w:cs="宋体"/>
      <w:color w:val="000000"/>
      <w:spacing w:val="4"/>
      <w:kern w:val="18"/>
      <w:sz w:val="24"/>
      <w:szCs w:val="24"/>
      <w:lang w:val="en-US" w:eastAsia="zh-CN" w:bidi="ar-SA"/>
    </w:rPr>
  </w:style>
  <w:style w:type="character" w:customStyle="1" w:styleId="1228">
    <w:name w:val="内1 Char"/>
    <w:link w:val="1229"/>
    <w:qFormat/>
    <w:uiPriority w:val="0"/>
    <w:rPr>
      <w:rFonts w:ascii="宋体" w:hAnsi="宋体"/>
      <w:bCs/>
      <w:sz w:val="24"/>
      <w:szCs w:val="24"/>
    </w:rPr>
  </w:style>
  <w:style w:type="paragraph" w:customStyle="1" w:styleId="1229">
    <w:name w:val="内1"/>
    <w:basedOn w:val="1"/>
    <w:link w:val="1228"/>
    <w:qFormat/>
    <w:uiPriority w:val="0"/>
    <w:pPr>
      <w:spacing w:line="240" w:lineRule="auto"/>
      <w:ind w:firstLine="200" w:firstLineChars="200"/>
    </w:pPr>
    <w:rPr>
      <w:rFonts w:ascii="宋体" w:hAnsi="宋体" w:eastAsiaTheme="minorEastAsia" w:cstheme="minorBidi"/>
      <w:bCs/>
    </w:rPr>
  </w:style>
  <w:style w:type="character" w:customStyle="1" w:styleId="1230">
    <w:name w:val="td71"/>
    <w:qFormat/>
    <w:uiPriority w:val="0"/>
    <w:rPr>
      <w:color w:val="3B3B3B"/>
      <w:sz w:val="21"/>
      <w:szCs w:val="21"/>
    </w:rPr>
  </w:style>
  <w:style w:type="character" w:customStyle="1" w:styleId="1231">
    <w:name w:val="小四+首行缩进 Char2"/>
    <w:link w:val="1232"/>
    <w:qFormat/>
    <w:uiPriority w:val="0"/>
    <w:rPr>
      <w:rFonts w:ascii="宋体" w:hAnsi="宋体"/>
      <w:color w:val="000000"/>
      <w:spacing w:val="4"/>
      <w:sz w:val="24"/>
      <w:szCs w:val="24"/>
    </w:rPr>
  </w:style>
  <w:style w:type="paragraph" w:customStyle="1" w:styleId="1232">
    <w:name w:val="小四+首行缩进"/>
    <w:basedOn w:val="1"/>
    <w:link w:val="1231"/>
    <w:qFormat/>
    <w:uiPriority w:val="0"/>
    <w:pPr>
      <w:adjustRightInd w:val="0"/>
      <w:ind w:firstLine="482"/>
    </w:pPr>
    <w:rPr>
      <w:rFonts w:ascii="宋体" w:hAnsi="宋体" w:eastAsiaTheme="minorEastAsia" w:cstheme="minorBidi"/>
      <w:color w:val="000000"/>
      <w:spacing w:val="4"/>
    </w:rPr>
  </w:style>
  <w:style w:type="character" w:customStyle="1" w:styleId="1233">
    <w:name w:val="篇号"/>
    <w:qFormat/>
    <w:uiPriority w:val="0"/>
    <w:rPr>
      <w:rFonts w:eastAsia="宋体"/>
      <w:sz w:val="28"/>
      <w:szCs w:val="28"/>
    </w:rPr>
  </w:style>
  <w:style w:type="character" w:customStyle="1" w:styleId="1234">
    <w:name w:val="正文1 Char1"/>
    <w:qFormat/>
    <w:uiPriority w:val="0"/>
    <w:rPr>
      <w:kern w:val="2"/>
      <w:sz w:val="24"/>
      <w:szCs w:val="24"/>
    </w:rPr>
  </w:style>
  <w:style w:type="character" w:customStyle="1" w:styleId="1235">
    <w:name w:val="样式 小四1 Char"/>
    <w:link w:val="1236"/>
    <w:qFormat/>
    <w:uiPriority w:val="0"/>
    <w:rPr>
      <w:rFonts w:ascii="宋体" w:hAnsi="宋体"/>
      <w:spacing w:val="4"/>
      <w:sz w:val="24"/>
      <w:szCs w:val="24"/>
    </w:rPr>
  </w:style>
  <w:style w:type="paragraph" w:customStyle="1" w:styleId="1236">
    <w:name w:val="样式 小四1"/>
    <w:basedOn w:val="1"/>
    <w:link w:val="1235"/>
    <w:qFormat/>
    <w:uiPriority w:val="0"/>
    <w:pPr>
      <w:spacing w:line="240" w:lineRule="auto"/>
      <w:ind w:firstLine="200" w:firstLineChars="200"/>
    </w:pPr>
    <w:rPr>
      <w:rFonts w:ascii="宋体" w:hAnsi="宋体" w:eastAsiaTheme="minorEastAsia" w:cstheme="minorBidi"/>
      <w:spacing w:val="4"/>
    </w:rPr>
  </w:style>
  <w:style w:type="character" w:customStyle="1" w:styleId="1237">
    <w:name w:val="样式 正文首行缩进 + Arial 四号 Char Char"/>
    <w:qFormat/>
    <w:uiPriority w:val="0"/>
    <w:rPr>
      <w:rFonts w:ascii="宋体" w:hAnsi="Arial" w:eastAsia="宋体" w:cs="宋体"/>
      <w:spacing w:val="4"/>
      <w:kern w:val="2"/>
      <w:sz w:val="28"/>
      <w:szCs w:val="24"/>
      <w:lang w:val="en-US" w:eastAsia="zh-CN" w:bidi="ar-SA"/>
    </w:rPr>
  </w:style>
  <w:style w:type="character" w:customStyle="1" w:styleId="1238">
    <w:name w:val="样式 中文报告书 + 首行缩进:  2 字符 Char Char"/>
    <w:qFormat/>
    <w:uiPriority w:val="0"/>
    <w:rPr>
      <w:rFonts w:eastAsia="宋体" w:cs="宋体"/>
      <w:kern w:val="2"/>
      <w:sz w:val="24"/>
      <w:lang w:val="en-US" w:eastAsia="zh-CN" w:bidi="ar-SA"/>
    </w:rPr>
  </w:style>
  <w:style w:type="character" w:customStyle="1" w:styleId="1239">
    <w:name w:val="【表中文字】 Char"/>
    <w:link w:val="1240"/>
    <w:qFormat/>
    <w:uiPriority w:val="0"/>
    <w:rPr>
      <w:rFonts w:ascii="宋体" w:hAnsi="宋体"/>
      <w:spacing w:val="4"/>
      <w:szCs w:val="24"/>
    </w:rPr>
  </w:style>
  <w:style w:type="paragraph" w:customStyle="1" w:styleId="1240">
    <w:name w:val="【表中文字】"/>
    <w:basedOn w:val="1"/>
    <w:link w:val="1239"/>
    <w:qFormat/>
    <w:uiPriority w:val="0"/>
    <w:pPr>
      <w:jc w:val="center"/>
    </w:pPr>
    <w:rPr>
      <w:rFonts w:ascii="宋体" w:hAnsi="宋体" w:eastAsiaTheme="minorEastAsia" w:cstheme="minorBidi"/>
      <w:spacing w:val="4"/>
      <w:sz w:val="21"/>
    </w:rPr>
  </w:style>
  <w:style w:type="character" w:customStyle="1" w:styleId="1241">
    <w:name w:val="德胜表头 Char Char"/>
    <w:qFormat/>
    <w:uiPriority w:val="0"/>
    <w:rPr>
      <w:rFonts w:ascii="宋体" w:hAnsi="宋体" w:eastAsia="宋体" w:cs="宋体"/>
      <w:b/>
      <w:snapToGrid w:val="0"/>
      <w:color w:val="0000FF"/>
      <w:spacing w:val="4"/>
      <w:kern w:val="2"/>
      <w:sz w:val="24"/>
      <w:szCs w:val="28"/>
      <w:lang w:val="en-US" w:eastAsia="zh-CN" w:bidi="ar-SA"/>
    </w:rPr>
  </w:style>
  <w:style w:type="character" w:customStyle="1" w:styleId="1242">
    <w:name w:val="样式1 Char1"/>
    <w:qFormat/>
    <w:uiPriority w:val="0"/>
    <w:rPr>
      <w:rFonts w:ascii="Arial" w:hAnsi="Arial" w:eastAsia="宋体" w:cs="宋体"/>
      <w:spacing w:val="4"/>
      <w:kern w:val="2"/>
      <w:sz w:val="24"/>
      <w:szCs w:val="24"/>
      <w:lang w:val="en-US" w:eastAsia="zh-CN" w:bidi="ar-SA"/>
    </w:rPr>
  </w:style>
  <w:style w:type="character" w:customStyle="1" w:styleId="1243">
    <w:name w:val="texd1"/>
    <w:qFormat/>
    <w:uiPriority w:val="0"/>
    <w:rPr>
      <w:rFonts w:hint="default"/>
      <w:sz w:val="20"/>
      <w:szCs w:val="20"/>
    </w:rPr>
  </w:style>
  <w:style w:type="character" w:customStyle="1" w:styleId="1244">
    <w:name w:val="列表 Char Char"/>
    <w:qFormat/>
    <w:uiPriority w:val="0"/>
    <w:rPr>
      <w:rFonts w:ascii="宋体" w:hAnsi="宋体" w:eastAsia="黑体" w:cs="宋体"/>
      <w:spacing w:val="4"/>
      <w:kern w:val="2"/>
      <w:sz w:val="24"/>
      <w:szCs w:val="22"/>
      <w:lang w:val="en-US" w:eastAsia="zh-CN" w:bidi="ar-SA"/>
    </w:rPr>
  </w:style>
  <w:style w:type="character" w:customStyle="1" w:styleId="1245">
    <w:name w:val="title41"/>
    <w:qFormat/>
    <w:uiPriority w:val="0"/>
    <w:rPr>
      <w:rFonts w:hint="eastAsia" w:ascii="宋体" w:hAnsi="宋体" w:eastAsia="宋体" w:cs="宋体"/>
      <w:color w:val="FF6600"/>
      <w:spacing w:val="4"/>
      <w:kern w:val="2"/>
      <w:sz w:val="36"/>
      <w:szCs w:val="36"/>
      <w:lang w:val="en-US" w:eastAsia="zh-CN" w:bidi="ar-SA"/>
    </w:rPr>
  </w:style>
  <w:style w:type="character" w:customStyle="1" w:styleId="1246">
    <w:name w:val="Char Char26"/>
    <w:qFormat/>
    <w:uiPriority w:val="0"/>
    <w:rPr>
      <w:rFonts w:ascii="宋体" w:hAnsi="宋体" w:eastAsia="宋体" w:cs="宋体"/>
      <w:spacing w:val="4"/>
      <w:kern w:val="2"/>
      <w:sz w:val="21"/>
      <w:szCs w:val="24"/>
      <w:lang w:val="en-US" w:eastAsia="zh-CN" w:bidi="ar-SA"/>
    </w:rPr>
  </w:style>
  <w:style w:type="character" w:customStyle="1" w:styleId="1247">
    <w:name w:val="正文1 Char Char3"/>
    <w:qFormat/>
    <w:uiPriority w:val="0"/>
    <w:rPr>
      <w:rFonts w:ascii="宋体" w:hAnsi="宋体" w:eastAsia="仿宋_GB2312" w:cs="宋体"/>
      <w:spacing w:val="4"/>
      <w:kern w:val="2"/>
      <w:sz w:val="28"/>
      <w:szCs w:val="28"/>
      <w:lang w:val="en-US" w:eastAsia="zh-CN" w:bidi="ar-SA"/>
    </w:rPr>
  </w:style>
  <w:style w:type="character" w:customStyle="1" w:styleId="1248">
    <w:name w:val="test"/>
    <w:qFormat/>
    <w:uiPriority w:val="0"/>
    <w:rPr>
      <w:sz w:val="24"/>
    </w:rPr>
  </w:style>
  <w:style w:type="character" w:customStyle="1" w:styleId="1249">
    <w:name w:val="ca-0"/>
    <w:qFormat/>
    <w:uiPriority w:val="0"/>
  </w:style>
  <w:style w:type="character" w:customStyle="1" w:styleId="1250">
    <w:name w:val="Char Char4"/>
    <w:qFormat/>
    <w:uiPriority w:val="0"/>
    <w:rPr>
      <w:rFonts w:ascii="宋体" w:hAnsi="宋体" w:eastAsia="宋体" w:cs="宋体"/>
      <w:snapToGrid w:val="0"/>
      <w:color w:val="000000"/>
      <w:spacing w:val="4"/>
      <w:kern w:val="2"/>
      <w:sz w:val="18"/>
      <w:szCs w:val="18"/>
      <w:lang w:val="en-US" w:eastAsia="zh-CN" w:bidi="ar-SA"/>
    </w:rPr>
  </w:style>
  <w:style w:type="character" w:customStyle="1" w:styleId="1251">
    <w:name w:val="明显强调1"/>
    <w:qFormat/>
    <w:uiPriority w:val="0"/>
    <w:rPr>
      <w:rFonts w:ascii="宋体" w:hAnsi="宋体" w:eastAsia="汉鼎简书宋" w:cs="宋体"/>
      <w:b/>
      <w:i/>
      <w:spacing w:val="4"/>
      <w:kern w:val="2"/>
      <w:sz w:val="24"/>
      <w:szCs w:val="24"/>
      <w:u w:val="single"/>
      <w:lang w:val="en-US" w:eastAsia="zh-CN" w:bidi="ar-SA"/>
    </w:rPr>
  </w:style>
  <w:style w:type="character" w:customStyle="1" w:styleId="1252">
    <w:name w:val="样式 首行缩进:  2.25 字符1 Char"/>
    <w:link w:val="1253"/>
    <w:qFormat/>
    <w:uiPriority w:val="0"/>
    <w:rPr>
      <w:sz w:val="24"/>
    </w:rPr>
  </w:style>
  <w:style w:type="paragraph" w:customStyle="1" w:styleId="1253">
    <w:name w:val="样式 首行缩进:  2.25 字符1"/>
    <w:basedOn w:val="1"/>
    <w:link w:val="1252"/>
    <w:qFormat/>
    <w:uiPriority w:val="0"/>
    <w:pPr>
      <w:ind w:firstLine="540" w:firstLineChars="225"/>
      <w:jc w:val="left"/>
    </w:pPr>
    <w:rPr>
      <w:rFonts w:asciiTheme="minorHAnsi" w:hAnsiTheme="minorHAnsi" w:eastAsiaTheme="minorEastAsia" w:cstheme="minorBidi"/>
      <w:szCs w:val="22"/>
    </w:rPr>
  </w:style>
  <w:style w:type="character" w:customStyle="1" w:styleId="1254">
    <w:name w:val="fontstyle"/>
    <w:qFormat/>
    <w:uiPriority w:val="0"/>
  </w:style>
  <w:style w:type="character" w:customStyle="1" w:styleId="1255">
    <w:name w:val="description"/>
    <w:qFormat/>
    <w:uiPriority w:val="0"/>
  </w:style>
  <w:style w:type="character" w:customStyle="1" w:styleId="1256">
    <w:name w:val="样式 表格 单位 QJJ Char Char"/>
    <w:link w:val="1257"/>
    <w:qFormat/>
    <w:uiPriority w:val="0"/>
    <w:rPr>
      <w:rFonts w:ascii="宋体" w:hAnsi="Arial"/>
      <w:lang w:val="zh-CN"/>
    </w:rPr>
  </w:style>
  <w:style w:type="paragraph" w:customStyle="1" w:styleId="1257">
    <w:name w:val="样式 表格 单位 QJJ"/>
    <w:basedOn w:val="1"/>
    <w:link w:val="1256"/>
    <w:qFormat/>
    <w:uiPriority w:val="0"/>
    <w:pPr>
      <w:wordWrap w:val="0"/>
      <w:spacing w:line="240" w:lineRule="auto"/>
      <w:ind w:right="240" w:rightChars="100"/>
      <w:jc w:val="right"/>
    </w:pPr>
    <w:rPr>
      <w:rFonts w:ascii="宋体" w:hAnsi="Arial" w:eastAsiaTheme="minorEastAsia" w:cstheme="minorBidi"/>
      <w:sz w:val="21"/>
      <w:szCs w:val="22"/>
      <w:lang w:val="zh-CN"/>
    </w:rPr>
  </w:style>
  <w:style w:type="character" w:customStyle="1" w:styleId="1258">
    <w:name w:val="表格标题 Char2"/>
    <w:qFormat/>
    <w:uiPriority w:val="0"/>
    <w:rPr>
      <w:rFonts w:eastAsia="宋体"/>
      <w:kern w:val="2"/>
      <w:sz w:val="21"/>
      <w:szCs w:val="24"/>
      <w:lang w:val="en-US" w:eastAsia="zh-CN" w:bidi="ar-SA"/>
    </w:rPr>
  </w:style>
  <w:style w:type="character" w:customStyle="1" w:styleId="1259">
    <w:name w:val="正文wei Char Char"/>
    <w:link w:val="1260"/>
    <w:qFormat/>
    <w:uiPriority w:val="0"/>
    <w:rPr>
      <w:rFonts w:ascii="Times New Roman" w:hAnsi="宋体" w:eastAsia="宋体" w:cs="Times New Roman"/>
      <w:color w:val="000000"/>
      <w:sz w:val="24"/>
      <w:szCs w:val="24"/>
      <w:lang w:val="zh-CN"/>
    </w:rPr>
  </w:style>
  <w:style w:type="paragraph" w:customStyle="1" w:styleId="1260">
    <w:name w:val="正文wei"/>
    <w:basedOn w:val="3"/>
    <w:link w:val="1259"/>
    <w:qFormat/>
    <w:uiPriority w:val="0"/>
    <w:pPr>
      <w:spacing w:after="0"/>
      <w:ind w:left="0" w:leftChars="0" w:firstLine="480" w:firstLineChars="200"/>
      <w:jc w:val="left"/>
    </w:pPr>
    <w:rPr>
      <w:rFonts w:hAnsi="宋体"/>
      <w:color w:val="000000"/>
      <w:lang w:val="zh-CN"/>
    </w:rPr>
  </w:style>
  <w:style w:type="character" w:customStyle="1" w:styleId="1261">
    <w:name w:val="报告书正文 Char Char Char Char Char Char Char Char"/>
    <w:link w:val="1262"/>
    <w:qFormat/>
    <w:uiPriority w:val="0"/>
    <w:rPr>
      <w:color w:val="000000"/>
      <w:sz w:val="24"/>
      <w:szCs w:val="24"/>
    </w:rPr>
  </w:style>
  <w:style w:type="paragraph" w:customStyle="1" w:styleId="1262">
    <w:name w:val="报告书正文 Char Char Char Char Char Char Char"/>
    <w:basedOn w:val="1"/>
    <w:link w:val="1261"/>
    <w:qFormat/>
    <w:uiPriority w:val="0"/>
    <w:pPr>
      <w:spacing w:line="300" w:lineRule="auto"/>
      <w:ind w:firstLine="480" w:firstLineChars="200"/>
    </w:pPr>
    <w:rPr>
      <w:rFonts w:asciiTheme="minorHAnsi" w:hAnsiTheme="minorHAnsi" w:eastAsiaTheme="minorEastAsia" w:cstheme="minorBidi"/>
      <w:color w:val="000000"/>
    </w:rPr>
  </w:style>
  <w:style w:type="character" w:customStyle="1" w:styleId="1263">
    <w:name w:val="样式1 Char Char"/>
    <w:qFormat/>
    <w:uiPriority w:val="0"/>
    <w:rPr>
      <w:rFonts w:ascii="仿宋_GB2312" w:hAnsi="宋体" w:eastAsia="仿宋_GB2312" w:cs="宋体"/>
      <w:bCs/>
      <w:spacing w:val="4"/>
      <w:kern w:val="2"/>
      <w:sz w:val="24"/>
      <w:szCs w:val="24"/>
      <w:lang w:val="en-US" w:eastAsia="zh-CN" w:bidi="ar-SA"/>
    </w:rPr>
  </w:style>
  <w:style w:type="character" w:customStyle="1" w:styleId="1264">
    <w:name w:val="fs"/>
    <w:qFormat/>
    <w:uiPriority w:val="0"/>
    <w:rPr>
      <w:rFonts w:ascii="宋体" w:hAnsi="宋体" w:eastAsia="汉鼎简书宋" w:cs="宋体"/>
      <w:spacing w:val="4"/>
      <w:kern w:val="2"/>
      <w:sz w:val="24"/>
      <w:szCs w:val="24"/>
      <w:lang w:val="en-US" w:eastAsia="zh-CN" w:bidi="ar-SA"/>
    </w:rPr>
  </w:style>
  <w:style w:type="character" w:customStyle="1" w:styleId="1265">
    <w:name w:val="正文首行缩进 Char2"/>
    <w:qFormat/>
    <w:uiPriority w:val="0"/>
  </w:style>
  <w:style w:type="character" w:customStyle="1" w:styleId="1266">
    <w:name w:val="三级目录（陶瓷） Char"/>
    <w:link w:val="1267"/>
    <w:qFormat/>
    <w:uiPriority w:val="0"/>
    <w:rPr>
      <w:rFonts w:eastAsia="黑体"/>
      <w:bCs/>
      <w:sz w:val="28"/>
      <w:szCs w:val="28"/>
    </w:rPr>
  </w:style>
  <w:style w:type="paragraph" w:customStyle="1" w:styleId="1267">
    <w:name w:val="三级目录（陶瓷）"/>
    <w:basedOn w:val="462"/>
    <w:link w:val="1266"/>
    <w:qFormat/>
    <w:uiPriority w:val="0"/>
    <w:pPr>
      <w:numPr>
        <w:ilvl w:val="0"/>
        <w:numId w:val="0"/>
      </w:numPr>
      <w:tabs>
        <w:tab w:val="left" w:pos="0"/>
        <w:tab w:val="clear" w:pos="1365"/>
      </w:tabs>
      <w:adjustRightInd w:val="0"/>
      <w:spacing w:before="240" w:after="60" w:line="240" w:lineRule="auto"/>
    </w:pPr>
    <w:rPr>
      <w:rFonts w:eastAsia="黑体" w:asciiTheme="minorHAnsi" w:hAnsiTheme="minorHAnsi" w:cstheme="minorBidi"/>
      <w:b w:val="0"/>
      <w:color w:val="auto"/>
    </w:rPr>
  </w:style>
  <w:style w:type="character" w:customStyle="1" w:styleId="1268">
    <w:name w:val="样式 首行缩进:  2 字符 Char Char"/>
    <w:qFormat/>
    <w:uiPriority w:val="0"/>
    <w:rPr>
      <w:rFonts w:ascii="宋体" w:hAnsi="宋体" w:eastAsia="宋体" w:cs="宋体"/>
      <w:spacing w:val="4"/>
      <w:kern w:val="2"/>
      <w:sz w:val="28"/>
      <w:szCs w:val="28"/>
      <w:lang w:val="en-US" w:eastAsia="zh-CN" w:bidi="ar-SA"/>
    </w:rPr>
  </w:style>
  <w:style w:type="character" w:customStyle="1" w:styleId="1269">
    <w:name w:val="fs121"/>
    <w:qFormat/>
    <w:uiPriority w:val="0"/>
    <w:rPr>
      <w:sz w:val="18"/>
      <w:szCs w:val="18"/>
    </w:rPr>
  </w:style>
  <w:style w:type="character" w:customStyle="1" w:styleId="1270">
    <w:name w:val="样式2 Char"/>
    <w:link w:val="1271"/>
    <w:qFormat/>
    <w:uiPriority w:val="0"/>
    <w:rPr>
      <w:rFonts w:eastAsia="仿宋_GB2312"/>
      <w:sz w:val="28"/>
    </w:rPr>
  </w:style>
  <w:style w:type="paragraph" w:customStyle="1" w:styleId="1271">
    <w:name w:val="样式2"/>
    <w:basedOn w:val="1"/>
    <w:link w:val="1270"/>
    <w:qFormat/>
    <w:uiPriority w:val="0"/>
    <w:pPr>
      <w:ind w:firstLine="420" w:firstLineChars="200"/>
    </w:pPr>
    <w:rPr>
      <w:rFonts w:eastAsia="仿宋_GB2312" w:asciiTheme="minorHAnsi" w:hAnsiTheme="minorHAnsi" w:cstheme="minorBidi"/>
      <w:sz w:val="28"/>
      <w:szCs w:val="22"/>
    </w:rPr>
  </w:style>
  <w:style w:type="character" w:customStyle="1" w:styleId="1272">
    <w:name w:val="表蕊 Char1"/>
    <w:link w:val="1273"/>
    <w:qFormat/>
    <w:uiPriority w:val="0"/>
    <w:rPr>
      <w:rFonts w:ascii="Times New Roman" w:hAnsi="Times New Roman" w:eastAsia="宋体" w:cs="Times New Roman"/>
      <w:szCs w:val="21"/>
    </w:rPr>
  </w:style>
  <w:style w:type="paragraph" w:customStyle="1" w:styleId="1273">
    <w:name w:val="表蕊"/>
    <w:basedOn w:val="1"/>
    <w:link w:val="1272"/>
    <w:qFormat/>
    <w:uiPriority w:val="0"/>
    <w:pPr>
      <w:adjustRightInd w:val="0"/>
      <w:spacing w:line="280" w:lineRule="exact"/>
      <w:jc w:val="center"/>
      <w:textAlignment w:val="baseline"/>
    </w:pPr>
    <w:rPr>
      <w:sz w:val="21"/>
      <w:szCs w:val="21"/>
    </w:rPr>
  </w:style>
  <w:style w:type="character" w:customStyle="1" w:styleId="1274">
    <w:name w:val="Char Char24"/>
    <w:qFormat/>
    <w:uiPriority w:val="0"/>
    <w:rPr>
      <w:rFonts w:eastAsia="仿宋_GB2312"/>
      <w:b/>
      <w:kern w:val="2"/>
      <w:sz w:val="28"/>
      <w:lang w:val="en-US" w:eastAsia="zh-CN" w:bidi="ar-SA"/>
    </w:rPr>
  </w:style>
  <w:style w:type="character" w:customStyle="1" w:styleId="1275">
    <w:name w:val="xyb自建正文 Char Char Char Char"/>
    <w:qFormat/>
    <w:locked/>
    <w:uiPriority w:val="0"/>
    <w:rPr>
      <w:rFonts w:ascii="宋体" w:hAnsi="宋体" w:eastAsia="宋体"/>
      <w:kern w:val="2"/>
      <w:sz w:val="24"/>
      <w:szCs w:val="24"/>
      <w:lang w:val="en-US" w:eastAsia="zh-CN" w:bidi="ar-SA"/>
    </w:rPr>
  </w:style>
  <w:style w:type="character" w:customStyle="1" w:styleId="1276">
    <w:name w:val="样式 正文文本缩进 2正文文字缩进 2 + 四号 蓝色 Char Char Char Char Char Char Char Char Char"/>
    <w:qFormat/>
    <w:uiPriority w:val="0"/>
    <w:rPr>
      <w:rFonts w:eastAsia="宋体"/>
      <w:color w:val="0000FF"/>
      <w:sz w:val="24"/>
      <w:szCs w:val="24"/>
      <w:lang w:val="en-US" w:eastAsia="zh-CN" w:bidi="ar-SA"/>
    </w:rPr>
  </w:style>
  <w:style w:type="character" w:customStyle="1" w:styleId="1277">
    <w:name w:val="p14"/>
    <w:qFormat/>
    <w:uiPriority w:val="0"/>
    <w:rPr>
      <w:rFonts w:ascii="宋体" w:hAnsi="宋体" w:eastAsia="汉鼎简书宋" w:cs="宋体"/>
      <w:spacing w:val="4"/>
      <w:kern w:val="2"/>
      <w:sz w:val="24"/>
      <w:szCs w:val="24"/>
      <w:lang w:val="en-US" w:eastAsia="zh-CN" w:bidi="ar-SA"/>
    </w:rPr>
  </w:style>
  <w:style w:type="character" w:customStyle="1" w:styleId="1278">
    <w:name w:val="detail"/>
    <w:qFormat/>
    <w:uiPriority w:val="0"/>
    <w:rPr>
      <w:rFonts w:ascii="宋体" w:hAnsi="宋体" w:eastAsia="汉鼎简书宋" w:cs="宋体"/>
      <w:spacing w:val="4"/>
      <w:kern w:val="2"/>
      <w:sz w:val="24"/>
      <w:szCs w:val="24"/>
      <w:lang w:val="en-US" w:eastAsia="zh-CN" w:bidi="ar-SA"/>
    </w:rPr>
  </w:style>
  <w:style w:type="character" w:customStyle="1" w:styleId="1279">
    <w:name w:val="tit2"/>
    <w:qFormat/>
    <w:uiPriority w:val="0"/>
    <w:rPr>
      <w:rFonts w:hint="default"/>
      <w:b/>
      <w:bCs/>
      <w:sz w:val="48"/>
      <w:szCs w:val="48"/>
    </w:rPr>
  </w:style>
  <w:style w:type="character" w:customStyle="1" w:styleId="1280">
    <w:name w:val="正文 + 首行缩进:  2 字符 Char1"/>
    <w:link w:val="1281"/>
    <w:qFormat/>
    <w:uiPriority w:val="0"/>
    <w:rPr>
      <w:spacing w:val="12"/>
      <w:sz w:val="24"/>
    </w:rPr>
  </w:style>
  <w:style w:type="paragraph" w:customStyle="1" w:styleId="1281">
    <w:name w:val="正文 + 首行缩进:  2 字符"/>
    <w:basedOn w:val="1"/>
    <w:link w:val="1280"/>
    <w:qFormat/>
    <w:uiPriority w:val="0"/>
    <w:pPr>
      <w:spacing w:line="460" w:lineRule="atLeast"/>
      <w:ind w:firstLine="528" w:firstLineChars="200"/>
    </w:pPr>
    <w:rPr>
      <w:rFonts w:asciiTheme="minorHAnsi" w:hAnsiTheme="minorHAnsi" w:eastAsiaTheme="minorEastAsia" w:cstheme="minorBidi"/>
      <w:spacing w:val="12"/>
      <w:szCs w:val="22"/>
    </w:rPr>
  </w:style>
  <w:style w:type="character" w:customStyle="1" w:styleId="1282">
    <w:name w:val="Normal Char"/>
    <w:link w:val="1283"/>
    <w:qFormat/>
    <w:uiPriority w:val="0"/>
    <w:rPr>
      <w:rFonts w:ascii="宋体"/>
      <w:sz w:val="24"/>
    </w:rPr>
  </w:style>
  <w:style w:type="paragraph" w:customStyle="1" w:styleId="1283">
    <w:name w:val="正文2"/>
    <w:link w:val="1282"/>
    <w:qFormat/>
    <w:uiPriority w:val="0"/>
    <w:pPr>
      <w:widowControl w:val="0"/>
      <w:adjustRightInd w:val="0"/>
      <w:spacing w:line="360" w:lineRule="atLeast"/>
      <w:textAlignment w:val="baseline"/>
    </w:pPr>
    <w:rPr>
      <w:rFonts w:ascii="宋体" w:hAnsiTheme="minorHAnsi" w:eastAsiaTheme="minorEastAsia" w:cstheme="minorBidi"/>
      <w:kern w:val="2"/>
      <w:sz w:val="24"/>
      <w:szCs w:val="22"/>
      <w:lang w:val="en-US" w:eastAsia="zh-CN" w:bidi="ar-SA"/>
    </w:rPr>
  </w:style>
  <w:style w:type="character" w:customStyle="1" w:styleId="1284">
    <w:name w:val="水资源论证正文 Char Char"/>
    <w:qFormat/>
    <w:uiPriority w:val="0"/>
    <w:rPr>
      <w:rFonts w:ascii="宋体" w:hAnsi="宋体" w:eastAsia="宋体" w:cs="宋体"/>
      <w:spacing w:val="4"/>
      <w:kern w:val="2"/>
      <w:sz w:val="24"/>
      <w:szCs w:val="24"/>
      <w:lang w:val="en-US" w:eastAsia="zh-CN" w:bidi="ar-SA"/>
    </w:rPr>
  </w:style>
  <w:style w:type="character" w:customStyle="1" w:styleId="1285">
    <w:name w:val="标题样式03 Char Char"/>
    <w:qFormat/>
    <w:uiPriority w:val="0"/>
    <w:rPr>
      <w:rFonts w:ascii="黑体" w:eastAsia="黑体" w:cs="宋体"/>
      <w:b/>
      <w:color w:val="000000"/>
      <w:sz w:val="24"/>
      <w:szCs w:val="28"/>
      <w:lang w:val="zh-CN" w:eastAsia="zh-CN" w:bidi="ar-SA"/>
    </w:rPr>
  </w:style>
  <w:style w:type="character" w:customStyle="1" w:styleId="1286">
    <w:name w:val="表内字 Char"/>
    <w:link w:val="1287"/>
    <w:qFormat/>
    <w:uiPriority w:val="0"/>
    <w:rPr>
      <w:rFonts w:eastAsia="楷体_GB2312"/>
      <w:szCs w:val="24"/>
    </w:rPr>
  </w:style>
  <w:style w:type="paragraph" w:customStyle="1" w:styleId="1287">
    <w:name w:val="表内字"/>
    <w:basedOn w:val="1"/>
    <w:link w:val="1286"/>
    <w:qFormat/>
    <w:uiPriority w:val="0"/>
    <w:pPr>
      <w:spacing w:line="320" w:lineRule="exact"/>
      <w:jc w:val="center"/>
    </w:pPr>
    <w:rPr>
      <w:rFonts w:eastAsia="楷体_GB2312" w:asciiTheme="minorHAnsi" w:hAnsiTheme="minorHAnsi" w:cstheme="minorBidi"/>
      <w:sz w:val="21"/>
    </w:rPr>
  </w:style>
  <w:style w:type="character" w:customStyle="1" w:styleId="1288">
    <w:name w:val="l1201"/>
    <w:qFormat/>
    <w:uiPriority w:val="0"/>
    <w:rPr>
      <w:spacing w:val="288"/>
    </w:rPr>
  </w:style>
  <w:style w:type="character" w:customStyle="1" w:styleId="1289">
    <w:name w:val="text_14px1"/>
    <w:qFormat/>
    <w:uiPriority w:val="0"/>
    <w:rPr>
      <w:rFonts w:ascii="宋体" w:hAnsi="宋体" w:eastAsia="宋体" w:cs="宋体"/>
      <w:snapToGrid w:val="0"/>
      <w:color w:val="000000"/>
      <w:spacing w:val="4"/>
      <w:kern w:val="2"/>
      <w:sz w:val="18"/>
      <w:szCs w:val="18"/>
      <w:lang w:val="en-US" w:eastAsia="zh-CN" w:bidi="ar-SA"/>
    </w:rPr>
  </w:style>
  <w:style w:type="character" w:customStyle="1" w:styleId="1290">
    <w:name w:val="中文报告书 Char Char"/>
    <w:qFormat/>
    <w:uiPriority w:val="0"/>
    <w:rPr>
      <w:rFonts w:eastAsia="宋体"/>
      <w:sz w:val="24"/>
      <w:lang w:val="en-US" w:eastAsia="zh-CN" w:bidi="ar-SA"/>
    </w:rPr>
  </w:style>
  <w:style w:type="character" w:customStyle="1" w:styleId="1291">
    <w:name w:val="f2"/>
    <w:qFormat/>
    <w:uiPriority w:val="0"/>
    <w:rPr>
      <w:rFonts w:ascii="宋体" w:hAnsi="宋体" w:eastAsia="汉鼎简书宋" w:cs="宋体"/>
      <w:spacing w:val="4"/>
      <w:kern w:val="2"/>
      <w:sz w:val="24"/>
      <w:szCs w:val="24"/>
      <w:lang w:val="en-US" w:eastAsia="zh-CN" w:bidi="ar-SA"/>
    </w:rPr>
  </w:style>
  <w:style w:type="character" w:customStyle="1" w:styleId="1292">
    <w:name w:val="title1"/>
    <w:qFormat/>
    <w:uiPriority w:val="0"/>
    <w:rPr>
      <w:rFonts w:hint="eastAsia" w:ascii="Verdana, Arial, 宋体" w:eastAsia="Verdana, Arial, 宋体"/>
      <w:b/>
      <w:bCs/>
      <w:color w:val="333333"/>
      <w:sz w:val="30"/>
      <w:szCs w:val="30"/>
    </w:rPr>
  </w:style>
  <w:style w:type="character" w:customStyle="1" w:styleId="1293">
    <w:name w:val="样式 正文文本缩进 2正文文字缩进 2 + 四号 蓝色 Char Char Char Char Char Char Char Char"/>
    <w:link w:val="1294"/>
    <w:qFormat/>
    <w:uiPriority w:val="0"/>
    <w:rPr>
      <w:color w:val="0000FF"/>
      <w:sz w:val="24"/>
      <w:szCs w:val="24"/>
    </w:rPr>
  </w:style>
  <w:style w:type="paragraph" w:customStyle="1" w:styleId="1294">
    <w:name w:val="样式 正文文本缩进 2正文文字缩进 2 + 四号 蓝色 Char Char Char Char Char Char Char"/>
    <w:basedOn w:val="52"/>
    <w:link w:val="1293"/>
    <w:qFormat/>
    <w:uiPriority w:val="0"/>
    <w:pPr>
      <w:adjustRightInd w:val="0"/>
      <w:spacing w:line="480" w:lineRule="exact"/>
      <w:ind w:firstLine="709"/>
      <w:textAlignment w:val="baseline"/>
    </w:pPr>
    <w:rPr>
      <w:rFonts w:asciiTheme="minorHAnsi" w:hAnsiTheme="minorHAnsi" w:eastAsiaTheme="minorEastAsia" w:cstheme="minorBidi"/>
      <w:color w:val="0000FF"/>
      <w:sz w:val="24"/>
    </w:rPr>
  </w:style>
  <w:style w:type="character" w:customStyle="1" w:styleId="1295">
    <w:name w:val="text_edit editable-title"/>
    <w:qFormat/>
    <w:uiPriority w:val="0"/>
    <w:rPr>
      <w:rFonts w:ascii="Times New Roman" w:hAnsi="Times New Roman" w:eastAsia="宋体" w:cs="Times New Roman"/>
    </w:rPr>
  </w:style>
  <w:style w:type="character" w:customStyle="1" w:styleId="1296">
    <w:name w:val="正文首行缩进 2 + Times New Roman Char Char"/>
    <w:qFormat/>
    <w:uiPriority w:val="0"/>
    <w:rPr>
      <w:rFonts w:eastAsia="宋体"/>
      <w:sz w:val="24"/>
      <w:szCs w:val="24"/>
      <w:lang w:val="en-US" w:eastAsia="zh-CN" w:bidi="ar-SA"/>
    </w:rPr>
  </w:style>
  <w:style w:type="character" w:customStyle="1" w:styleId="1297">
    <w:name w:val="文本正文 + 仿宋_GB2312 Char Char Char Char"/>
    <w:qFormat/>
    <w:uiPriority w:val="0"/>
    <w:rPr>
      <w:rFonts w:ascii="仿宋_GB2312" w:hAnsi="仿宋_GB2312" w:eastAsia="仿宋_GB2312" w:cs="宋体"/>
      <w:snapToGrid w:val="0"/>
      <w:color w:val="000000"/>
      <w:spacing w:val="4"/>
      <w:kern w:val="18"/>
      <w:sz w:val="28"/>
      <w:szCs w:val="28"/>
      <w:lang w:val="en-US" w:eastAsia="zh-CN" w:bidi="ar-SA"/>
    </w:rPr>
  </w:style>
  <w:style w:type="character" w:customStyle="1" w:styleId="1298">
    <w:name w:val="标题样式1 Char"/>
    <w:link w:val="1299"/>
    <w:qFormat/>
    <w:uiPriority w:val="0"/>
    <w:rPr>
      <w:rFonts w:ascii="黑体" w:eastAsia="黑体"/>
      <w:b/>
      <w:bCs/>
      <w:kern w:val="44"/>
      <w:sz w:val="28"/>
      <w:szCs w:val="28"/>
    </w:rPr>
  </w:style>
  <w:style w:type="paragraph" w:customStyle="1" w:styleId="1299">
    <w:name w:val="标题样式1"/>
    <w:basedOn w:val="5"/>
    <w:link w:val="1298"/>
    <w:qFormat/>
    <w:uiPriority w:val="0"/>
    <w:pPr>
      <w:keepLines/>
      <w:spacing w:line="360" w:lineRule="auto"/>
    </w:pPr>
    <w:rPr>
      <w:rFonts w:ascii="黑体" w:eastAsia="黑体" w:hAnsiTheme="minorHAnsi" w:cstheme="minorBidi"/>
      <w:b/>
      <w:bCs/>
      <w:kern w:val="44"/>
      <w:szCs w:val="28"/>
    </w:rPr>
  </w:style>
  <w:style w:type="character" w:customStyle="1" w:styleId="1300">
    <w:name w:val="正文文本缩进 Char Char"/>
    <w:qFormat/>
    <w:uiPriority w:val="0"/>
    <w:rPr>
      <w:rFonts w:eastAsia="宋体"/>
      <w:kern w:val="2"/>
      <w:sz w:val="24"/>
      <w:szCs w:val="24"/>
      <w:lang w:val="en-US" w:eastAsia="zh-CN" w:bidi="ar-SA"/>
    </w:rPr>
  </w:style>
  <w:style w:type="character" w:customStyle="1" w:styleId="1301">
    <w:name w:val="正文首行缩进 2 + Times New Roman Char"/>
    <w:link w:val="1302"/>
    <w:qFormat/>
    <w:uiPriority w:val="0"/>
    <w:rPr>
      <w:sz w:val="24"/>
      <w:szCs w:val="24"/>
    </w:rPr>
  </w:style>
  <w:style w:type="paragraph" w:customStyle="1" w:styleId="1302">
    <w:name w:val="正文首行缩进 2 + Times New Roman"/>
    <w:basedOn w:val="1"/>
    <w:link w:val="1301"/>
    <w:qFormat/>
    <w:uiPriority w:val="0"/>
    <w:pPr>
      <w:tabs>
        <w:tab w:val="left" w:pos="0"/>
        <w:tab w:val="left" w:pos="870"/>
        <w:tab w:val="left" w:pos="3150"/>
      </w:tabs>
      <w:autoSpaceDE w:val="0"/>
      <w:autoSpaceDN w:val="0"/>
      <w:ind w:firstLine="480" w:firstLineChars="200"/>
    </w:pPr>
    <w:rPr>
      <w:rFonts w:asciiTheme="minorHAnsi" w:hAnsiTheme="minorHAnsi" w:eastAsiaTheme="minorEastAsia" w:cstheme="minorBidi"/>
    </w:rPr>
  </w:style>
  <w:style w:type="character" w:customStyle="1" w:styleId="1303">
    <w:name w:val="3char"/>
    <w:qFormat/>
    <w:uiPriority w:val="0"/>
    <w:rPr>
      <w:rFonts w:ascii="宋体" w:hAnsi="宋体" w:eastAsia="汉鼎简书宋" w:cs="宋体"/>
      <w:spacing w:val="4"/>
      <w:kern w:val="2"/>
      <w:sz w:val="24"/>
      <w:szCs w:val="24"/>
      <w:lang w:val="en-US" w:eastAsia="zh-CN" w:bidi="ar-SA"/>
    </w:rPr>
  </w:style>
  <w:style w:type="character" w:customStyle="1" w:styleId="1304">
    <w:name w:val="图1-1 Char"/>
    <w:qFormat/>
    <w:uiPriority w:val="0"/>
    <w:rPr>
      <w:rFonts w:ascii="宋体" w:hAnsi="宋体" w:eastAsia="宋体" w:cs="宋体"/>
      <w:b/>
      <w:spacing w:val="12"/>
      <w:w w:val="90"/>
      <w:kern w:val="2"/>
      <w:sz w:val="21"/>
      <w:szCs w:val="24"/>
      <w:lang w:val="en-US" w:eastAsia="zh-CN" w:bidi="ar-SA"/>
    </w:rPr>
  </w:style>
  <w:style w:type="character" w:customStyle="1" w:styleId="1305">
    <w:name w:val="样式 样式 方正宋三简体 14 磅 行距: 1.5 倍行距1 + 首行缩进:  2 字符 Char Char"/>
    <w:qFormat/>
    <w:uiPriority w:val="0"/>
    <w:rPr>
      <w:rFonts w:ascii="宋体" w:hAnsi="方正宋三简体" w:eastAsia="宋体" w:cs="宋体"/>
      <w:spacing w:val="4"/>
      <w:kern w:val="2"/>
      <w:sz w:val="27"/>
      <w:szCs w:val="27"/>
      <w:lang w:val="en-US" w:eastAsia="zh-CN" w:bidi="ar-SA"/>
    </w:rPr>
  </w:style>
  <w:style w:type="character" w:customStyle="1" w:styleId="1306">
    <w:name w:val="列表1 C"/>
    <w:qFormat/>
    <w:uiPriority w:val="0"/>
    <w:rPr>
      <w:rFonts w:ascii="宋体" w:hAnsi="宋体" w:eastAsia="黑体" w:cs="宋体"/>
      <w:spacing w:val="4"/>
      <w:kern w:val="2"/>
      <w:sz w:val="22"/>
      <w:szCs w:val="22"/>
      <w:lang w:val="en-US" w:eastAsia="zh-CN" w:bidi="ar-SA"/>
    </w:rPr>
  </w:style>
  <w:style w:type="character" w:customStyle="1" w:styleId="1307">
    <w:name w:val="样式 仿宋_GB2312 小四2"/>
    <w:qFormat/>
    <w:uiPriority w:val="0"/>
    <w:rPr>
      <w:rFonts w:ascii="Times New Roman" w:hAnsi="Times New Roman" w:eastAsia="仿宋_GB2312" w:cs="Courier New"/>
      <w:snapToGrid w:val="0"/>
      <w:color w:val="000000"/>
      <w:spacing w:val="4"/>
      <w:kern w:val="2"/>
      <w:sz w:val="24"/>
      <w:szCs w:val="24"/>
      <w:lang w:val="en-US" w:eastAsia="zh-CN" w:bidi="ar-SA"/>
    </w:rPr>
  </w:style>
  <w:style w:type="character" w:customStyle="1" w:styleId="1308">
    <w:name w:val="3级标题 Char"/>
    <w:link w:val="1309"/>
    <w:qFormat/>
    <w:uiPriority w:val="0"/>
    <w:rPr>
      <w:rFonts w:ascii="Times New Roman" w:hAnsi="Times New Roman" w:eastAsia="黑体" w:cs="Times New Roman"/>
      <w:bCs/>
      <w:sz w:val="28"/>
      <w:szCs w:val="28"/>
    </w:rPr>
  </w:style>
  <w:style w:type="paragraph" w:customStyle="1" w:styleId="1309">
    <w:name w:val="3级标题"/>
    <w:basedOn w:val="7"/>
    <w:next w:val="36"/>
    <w:link w:val="1308"/>
    <w:qFormat/>
    <w:uiPriority w:val="0"/>
    <w:pPr>
      <w:keepNext w:val="0"/>
      <w:keepLines w:val="0"/>
      <w:numPr>
        <w:ilvl w:val="0"/>
        <w:numId w:val="0"/>
      </w:numPr>
      <w:spacing w:before="160" w:after="0" w:line="360" w:lineRule="auto"/>
    </w:pPr>
    <w:rPr>
      <w:rFonts w:ascii="Times New Roman" w:hAnsi="Times New Roman" w:eastAsia="黑体"/>
      <w:b w:val="0"/>
      <w:color w:val="auto"/>
      <w:szCs w:val="28"/>
    </w:rPr>
  </w:style>
  <w:style w:type="character" w:customStyle="1" w:styleId="1310">
    <w:name w:val="p0 Char Char"/>
    <w:link w:val="1311"/>
    <w:qFormat/>
    <w:uiPriority w:val="0"/>
    <w:rPr>
      <w:sz w:val="24"/>
      <w:szCs w:val="24"/>
    </w:rPr>
  </w:style>
  <w:style w:type="paragraph" w:customStyle="1" w:styleId="1311">
    <w:name w:val="p0"/>
    <w:basedOn w:val="1"/>
    <w:link w:val="1310"/>
    <w:qFormat/>
    <w:uiPriority w:val="0"/>
    <w:pPr>
      <w:widowControl/>
      <w:ind w:firstLine="420" w:firstLineChars="200"/>
      <w:jc w:val="left"/>
    </w:pPr>
    <w:rPr>
      <w:rFonts w:asciiTheme="minorHAnsi" w:hAnsiTheme="minorHAnsi" w:eastAsiaTheme="minorEastAsia" w:cstheme="minorBidi"/>
    </w:rPr>
  </w:style>
  <w:style w:type="character" w:customStyle="1" w:styleId="1312">
    <w:name w:val="表格标题新 Char"/>
    <w:link w:val="1313"/>
    <w:qFormat/>
    <w:uiPriority w:val="0"/>
    <w:rPr>
      <w:rFonts w:ascii="仿宋_GB2312" w:eastAsia="黑体"/>
      <w:b/>
      <w:spacing w:val="4"/>
      <w:sz w:val="24"/>
      <w:szCs w:val="24"/>
    </w:rPr>
  </w:style>
  <w:style w:type="paragraph" w:customStyle="1" w:styleId="1313">
    <w:name w:val="表格标题新"/>
    <w:basedOn w:val="286"/>
    <w:link w:val="1312"/>
    <w:qFormat/>
    <w:uiPriority w:val="0"/>
    <w:pPr>
      <w:tabs>
        <w:tab w:val="left" w:pos="0"/>
      </w:tabs>
      <w:adjustRightInd w:val="0"/>
      <w:snapToGrid w:val="0"/>
      <w:spacing w:beforeLines="50" w:after="0" w:line="240" w:lineRule="auto"/>
      <w:ind w:firstLine="562"/>
    </w:pPr>
    <w:rPr>
      <w:rFonts w:ascii="仿宋_GB2312" w:eastAsia="黑体"/>
      <w:b/>
      <w:spacing w:val="4"/>
      <w:szCs w:val="24"/>
    </w:rPr>
  </w:style>
  <w:style w:type="character" w:customStyle="1" w:styleId="1314">
    <w:name w:val="样式 表文 Char Char + Char"/>
    <w:link w:val="1315"/>
    <w:qFormat/>
    <w:uiPriority w:val="0"/>
    <w:rPr>
      <w:rFonts w:ascii="宋体" w:hAnsi="宋体"/>
      <w:spacing w:val="4"/>
      <w:sz w:val="18"/>
      <w:szCs w:val="18"/>
    </w:rPr>
  </w:style>
  <w:style w:type="paragraph" w:customStyle="1" w:styleId="1315">
    <w:name w:val="样式 表文 Char Char +"/>
    <w:basedOn w:val="1078"/>
    <w:link w:val="1314"/>
    <w:qFormat/>
    <w:uiPriority w:val="0"/>
  </w:style>
  <w:style w:type="character" w:customStyle="1" w:styleId="1316">
    <w:name w:val="Char Char211"/>
    <w:qFormat/>
    <w:uiPriority w:val="0"/>
    <w:rPr>
      <w:rFonts w:ascii="宋体" w:hAnsi="宋体" w:eastAsia="宋体" w:cs="Times New Roman"/>
      <w:sz w:val="28"/>
      <w:lang w:val="en-US" w:eastAsia="zh-CN"/>
    </w:rPr>
  </w:style>
  <w:style w:type="character" w:customStyle="1" w:styleId="1317">
    <w:name w:val="正文样式10 Char"/>
    <w:qFormat/>
    <w:uiPriority w:val="0"/>
    <w:rPr>
      <w:rFonts w:ascii="宋体" w:hAnsi="宋体" w:eastAsia="宋体" w:cs="Arial"/>
      <w:bCs/>
      <w:color w:val="000000"/>
      <w:kern w:val="2"/>
      <w:sz w:val="24"/>
      <w:szCs w:val="24"/>
      <w:lang w:val="zh-CN" w:eastAsia="zh-CN" w:bidi="ar-SA"/>
    </w:rPr>
  </w:style>
  <w:style w:type="character" w:customStyle="1" w:styleId="1318">
    <w:name w:val="样式 正文首行缩进 + 四号 Char Char"/>
    <w:qFormat/>
    <w:uiPriority w:val="0"/>
    <w:rPr>
      <w:rFonts w:ascii="宋体" w:hAnsi="宋体" w:eastAsia="宋体" w:cs="宋体"/>
      <w:spacing w:val="4"/>
      <w:kern w:val="2"/>
      <w:sz w:val="28"/>
      <w:szCs w:val="24"/>
      <w:lang w:val="en-US" w:eastAsia="zh-CN" w:bidi="ar-SA"/>
    </w:rPr>
  </w:style>
  <w:style w:type="character" w:customStyle="1" w:styleId="1319">
    <w:name w:val="标题7"/>
    <w:qFormat/>
    <w:uiPriority w:val="0"/>
    <w:rPr>
      <w:sz w:val="24"/>
    </w:rPr>
  </w:style>
  <w:style w:type="character" w:customStyle="1" w:styleId="1320">
    <w:name w:val="样式 (西文) 宋体 (中文) 仿宋_GB2312 黑色"/>
    <w:qFormat/>
    <w:uiPriority w:val="0"/>
    <w:rPr>
      <w:rFonts w:ascii="Times New Roman" w:hAnsi="Times New Roman" w:eastAsia="仿宋_GB2312" w:cs="Courier New"/>
      <w:snapToGrid w:val="0"/>
      <w:color w:val="000000"/>
      <w:spacing w:val="4"/>
      <w:kern w:val="2"/>
      <w:sz w:val="32"/>
      <w:szCs w:val="32"/>
      <w:lang w:val="en-US" w:eastAsia="zh-CN" w:bidi="ar-SA"/>
    </w:rPr>
  </w:style>
  <w:style w:type="character" w:customStyle="1" w:styleId="1321">
    <w:name w:val="Normal Char Char Char Char"/>
    <w:qFormat/>
    <w:uiPriority w:val="0"/>
    <w:rPr>
      <w:rFonts w:ascii="宋体" w:hAnsi="宋体" w:eastAsia="宋体" w:cs="宋体"/>
      <w:spacing w:val="4"/>
      <w:kern w:val="2"/>
      <w:sz w:val="24"/>
      <w:szCs w:val="24"/>
      <w:lang w:val="en-US" w:eastAsia="zh-CN" w:bidi="ar-SA"/>
    </w:rPr>
  </w:style>
  <w:style w:type="paragraph" w:customStyle="1" w:styleId="1322">
    <w:name w:val="低节标题"/>
    <w:basedOn w:val="1"/>
    <w:next w:val="23"/>
    <w:qFormat/>
    <w:uiPriority w:val="0"/>
    <w:pPr>
      <w:spacing w:before="100" w:beforeAutospacing="1" w:afterLines="50"/>
      <w:ind w:firstLine="482" w:firstLineChars="200"/>
      <w:jc w:val="left"/>
      <w:outlineLvl w:val="2"/>
    </w:pPr>
    <w:rPr>
      <w:rFonts w:ascii="黑体" w:eastAsia="黑体"/>
      <w:szCs w:val="20"/>
    </w:rPr>
  </w:style>
  <w:style w:type="paragraph" w:customStyle="1" w:styleId="1323">
    <w:name w:val="reader-word-layer reader-word-s1-8"/>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324">
    <w:name w:val="表格后样式"/>
    <w:basedOn w:val="1"/>
    <w:qFormat/>
    <w:uiPriority w:val="0"/>
    <w:pPr>
      <w:spacing w:line="240" w:lineRule="auto"/>
      <w:ind w:firstLine="480" w:firstLineChars="200"/>
    </w:pPr>
    <w:rPr>
      <w:rFonts w:ascii="宋体" w:hAnsi="宋体" w:cs="Courier New"/>
    </w:rPr>
  </w:style>
  <w:style w:type="paragraph" w:customStyle="1" w:styleId="1325">
    <w:name w:val="样式 黑色 左 行距: 1.5 倍行距"/>
    <w:basedOn w:val="1"/>
    <w:qFormat/>
    <w:uiPriority w:val="0"/>
    <w:pPr>
      <w:spacing w:line="312" w:lineRule="auto"/>
      <w:ind w:firstLine="200" w:firstLineChars="200"/>
      <w:jc w:val="left"/>
    </w:pPr>
    <w:rPr>
      <w:rFonts w:cs="宋体"/>
      <w:color w:val="000000"/>
      <w:szCs w:val="20"/>
    </w:rPr>
  </w:style>
  <w:style w:type="paragraph" w:customStyle="1" w:styleId="1326">
    <w:name w:val="表标题5.16"/>
    <w:basedOn w:val="1"/>
    <w:qFormat/>
    <w:uiPriority w:val="0"/>
    <w:pPr>
      <w:numPr>
        <w:ilvl w:val="0"/>
        <w:numId w:val="11"/>
      </w:numPr>
      <w:spacing w:beforeLines="100" w:line="0" w:lineRule="atLeast"/>
    </w:pPr>
    <w:rPr>
      <w:rFonts w:eastAsia="黑体"/>
      <w:b/>
    </w:rPr>
  </w:style>
  <w:style w:type="paragraph" w:customStyle="1" w:styleId="1327">
    <w:name w:val="样式 标题 2wang2 + 段前: 0.5 行 段后: 0.5 行"/>
    <w:basedOn w:val="6"/>
    <w:qFormat/>
    <w:uiPriority w:val="0"/>
    <w:pPr>
      <w:keepNext/>
      <w:widowControl/>
      <w:numPr>
        <w:ilvl w:val="0"/>
        <w:numId w:val="0"/>
      </w:numPr>
      <w:tabs>
        <w:tab w:val="clear" w:pos="-181"/>
      </w:tabs>
      <w:adjustRightInd/>
      <w:snapToGrid/>
      <w:spacing w:before="260" w:beforeLines="50" w:after="260" w:afterLines="50" w:line="440" w:lineRule="exact"/>
      <w:textAlignment w:val="auto"/>
    </w:pPr>
    <w:rPr>
      <w:rFonts w:cs="宋体"/>
      <w:b/>
      <w:bCs/>
      <w:iCs/>
      <w:szCs w:val="30"/>
      <w:lang w:bidi="en-US"/>
    </w:rPr>
  </w:style>
  <w:style w:type="paragraph" w:customStyle="1" w:styleId="1328">
    <w:name w:val="Char Char Char Char Char Char Char Char Char1 Char"/>
    <w:basedOn w:val="1"/>
    <w:qFormat/>
    <w:uiPriority w:val="0"/>
    <w:pPr>
      <w:widowControl/>
      <w:spacing w:line="240" w:lineRule="auto"/>
      <w:jc w:val="left"/>
    </w:pPr>
    <w:rPr>
      <w:rFonts w:ascii="Tahoma" w:hAnsi="Tahoma" w:cs="仿宋_GB2312"/>
      <w:kern w:val="0"/>
      <w:szCs w:val="20"/>
    </w:rPr>
  </w:style>
  <w:style w:type="paragraph" w:customStyle="1" w:styleId="1329">
    <w:name w:val="列表名称 Char Char"/>
    <w:basedOn w:val="1"/>
    <w:qFormat/>
    <w:uiPriority w:val="0"/>
    <w:pPr>
      <w:tabs>
        <w:tab w:val="left" w:pos="3777"/>
        <w:tab w:val="left" w:pos="5106"/>
        <w:tab w:val="left" w:pos="6313"/>
        <w:tab w:val="left" w:pos="7998"/>
        <w:tab w:val="left" w:pos="9238"/>
      </w:tabs>
      <w:spacing w:line="480" w:lineRule="exact"/>
      <w:jc w:val="center"/>
    </w:pPr>
    <w:rPr>
      <w:rFonts w:eastAsia="黑体"/>
      <w:bCs/>
    </w:rPr>
  </w:style>
  <w:style w:type="paragraph" w:customStyle="1" w:styleId="1330">
    <w:name w:val="居中正文"/>
    <w:basedOn w:val="87"/>
    <w:qFormat/>
    <w:uiPriority w:val="0"/>
    <w:pPr>
      <w:adjustRightInd w:val="0"/>
      <w:spacing w:before="120" w:after="0"/>
      <w:ind w:firstLine="0" w:firstLineChars="0"/>
      <w:jc w:val="center"/>
      <w:textAlignment w:val="baseline"/>
    </w:pPr>
    <w:rPr>
      <w:rFonts w:ascii="宋体"/>
      <w:kern w:val="28"/>
      <w:szCs w:val="20"/>
    </w:rPr>
  </w:style>
  <w:style w:type="paragraph" w:customStyle="1" w:styleId="1331">
    <w:name w:val="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32">
    <w:name w:val="Char Char Char Char Char Char Char Char2 Char Char Char Char Char Char Char Char Char Char Char Char Char1"/>
    <w:basedOn w:val="1"/>
    <w:next w:val="1"/>
    <w:qFormat/>
    <w:uiPriority w:val="0"/>
    <w:pPr>
      <w:spacing w:line="336" w:lineRule="auto"/>
      <w:ind w:firstLine="200" w:firstLineChars="200"/>
    </w:pPr>
    <w:rPr>
      <w:rFonts w:ascii="宋体" w:hAnsi="宋体" w:eastAsia="汉鼎简书宋" w:cs="宋体"/>
      <w:spacing w:val="4"/>
    </w:rPr>
  </w:style>
  <w:style w:type="paragraph" w:customStyle="1" w:styleId="1333">
    <w:name w:val="首选正文"/>
    <w:basedOn w:val="1"/>
    <w:qFormat/>
    <w:uiPriority w:val="0"/>
    <w:pPr>
      <w:widowControl/>
      <w:spacing w:line="460" w:lineRule="exact"/>
      <w:ind w:firstLine="480" w:firstLineChars="200"/>
    </w:pPr>
    <w:rPr>
      <w:rFonts w:cs="宋体"/>
      <w:kern w:val="0"/>
    </w:rPr>
  </w:style>
  <w:style w:type="paragraph" w:customStyle="1" w:styleId="1334">
    <w:name w:val="样式 样式 标题 2节标题 1.11.1标题 21.1标题2标题 2 Char1节_Heading 2b21.1标... + 段..."/>
    <w:basedOn w:val="1"/>
    <w:qFormat/>
    <w:uiPriority w:val="0"/>
    <w:pPr>
      <w:keepNext/>
      <w:keepLines/>
      <w:widowControl/>
      <w:spacing w:beforeLines="50" w:after="156"/>
      <w:outlineLvl w:val="2"/>
    </w:pPr>
    <w:rPr>
      <w:rFonts w:ascii="Tahoma" w:hAnsi="Tahoma" w:eastAsia="黑体" w:cs="宋体"/>
      <w:bCs/>
      <w:color w:val="000000"/>
      <w:kern w:val="0"/>
      <w:sz w:val="28"/>
      <w:szCs w:val="20"/>
    </w:rPr>
  </w:style>
  <w:style w:type="paragraph" w:customStyle="1" w:styleId="1335">
    <w:name w:val="讲义"/>
    <w:basedOn w:val="1"/>
    <w:qFormat/>
    <w:uiPriority w:val="0"/>
    <w:pPr>
      <w:widowControl/>
      <w:spacing w:before="60" w:after="40" w:line="300" w:lineRule="atLeast"/>
      <w:ind w:firstLine="425"/>
    </w:pPr>
    <w:rPr>
      <w:rFonts w:ascii="Times" w:hAnsi="Times"/>
      <w:color w:val="000000"/>
      <w:kern w:val="0"/>
      <w:sz w:val="28"/>
    </w:rPr>
  </w:style>
  <w:style w:type="paragraph" w:customStyle="1" w:styleId="1336">
    <w:name w:val="表后正文"/>
    <w:basedOn w:val="1"/>
    <w:qFormat/>
    <w:uiPriority w:val="0"/>
    <w:pPr>
      <w:suppressLineNumbers/>
      <w:suppressAutoHyphens/>
      <w:topLinePunct/>
      <w:adjustRightInd w:val="0"/>
      <w:snapToGrid w:val="0"/>
      <w:spacing w:beforeLines="70"/>
      <w:ind w:firstLine="560" w:firstLineChars="200"/>
    </w:pPr>
  </w:style>
  <w:style w:type="paragraph" w:customStyle="1" w:styleId="1337">
    <w:name w:val="样式 样式 环评正文 + (西文) 仿宋_GB2312 (中文) 宋体 10.5 磅 首行缩进:  2 字符 + 首行缩进:  ..."/>
    <w:basedOn w:val="1"/>
    <w:qFormat/>
    <w:uiPriority w:val="0"/>
    <w:pPr>
      <w:spacing w:line="400" w:lineRule="exact"/>
    </w:pPr>
    <w:rPr>
      <w:rFonts w:ascii="仿宋_GB2312" w:hAnsi="仿宋_GB2312"/>
      <w:szCs w:val="20"/>
    </w:rPr>
  </w:style>
  <w:style w:type="paragraph" w:customStyle="1" w:styleId="1338">
    <w:name w:val="尾注文本12"/>
    <w:basedOn w:val="1"/>
    <w:qFormat/>
    <w:uiPriority w:val="0"/>
    <w:pPr>
      <w:adjustRightInd w:val="0"/>
      <w:spacing w:line="360" w:lineRule="atLeast"/>
      <w:jc w:val="left"/>
      <w:textAlignment w:val="baseline"/>
    </w:pPr>
    <w:rPr>
      <w:rFonts w:ascii="宋体" w:hAnsi="宋体" w:cs="宋体"/>
      <w:spacing w:val="4"/>
      <w:sz w:val="21"/>
    </w:rPr>
  </w:style>
  <w:style w:type="paragraph" w:customStyle="1" w:styleId="1339">
    <w:name w:val="自定义表格文字居中"/>
    <w:basedOn w:val="1"/>
    <w:qFormat/>
    <w:uiPriority w:val="0"/>
    <w:pPr>
      <w:keepNext/>
      <w:adjustRightInd w:val="0"/>
      <w:snapToGrid w:val="0"/>
      <w:spacing w:line="360" w:lineRule="exact"/>
      <w:ind w:left="5" w:hanging="5"/>
      <w:jc w:val="center"/>
      <w:outlineLvl w:val="0"/>
    </w:pPr>
    <w:rPr>
      <w:color w:val="FF0000"/>
      <w:kern w:val="0"/>
      <w:sz w:val="21"/>
      <w:szCs w:val="20"/>
    </w:rPr>
  </w:style>
  <w:style w:type="paragraph" w:customStyle="1" w:styleId="1340">
    <w:name w:val="表内字新"/>
    <w:next w:val="1"/>
    <w:qFormat/>
    <w:uiPriority w:val="0"/>
    <w:pPr>
      <w:suppressAutoHyphens/>
      <w:adjustRightInd w:val="0"/>
      <w:spacing w:line="0" w:lineRule="atLeast"/>
      <w:jc w:val="center"/>
    </w:pPr>
    <w:rPr>
      <w:rFonts w:ascii="Times New Roman" w:hAnsi="Times New Roman" w:eastAsia="宋体" w:cs="Times New Roman"/>
      <w:kern w:val="0"/>
      <w:sz w:val="21"/>
      <w:szCs w:val="20"/>
      <w:lang w:val="en-US" w:eastAsia="zh-CN" w:bidi="ar-SA"/>
    </w:rPr>
  </w:style>
  <w:style w:type="paragraph" w:customStyle="1" w:styleId="1341">
    <w:name w:val="回信地址"/>
    <w:basedOn w:val="1342"/>
    <w:qFormat/>
    <w:uiPriority w:val="0"/>
  </w:style>
  <w:style w:type="paragraph" w:customStyle="1" w:styleId="1342">
    <w:name w:val="地址"/>
    <w:basedOn w:val="1"/>
    <w:qFormat/>
    <w:uiPriority w:val="0"/>
    <w:pPr>
      <w:keepLines/>
      <w:widowControl/>
      <w:overflowPunct w:val="0"/>
      <w:autoSpaceDE w:val="0"/>
      <w:autoSpaceDN w:val="0"/>
      <w:adjustRightInd w:val="0"/>
      <w:spacing w:line="240" w:lineRule="auto"/>
      <w:jc w:val="center"/>
      <w:textAlignment w:val="baseline"/>
    </w:pPr>
    <w:rPr>
      <w:kern w:val="0"/>
      <w:sz w:val="20"/>
      <w:szCs w:val="20"/>
      <w:lang w:bidi="en-US"/>
    </w:rPr>
  </w:style>
  <w:style w:type="paragraph" w:customStyle="1" w:styleId="1343">
    <w:name w:val="Char Char Char1 Char Char Char Char Char Char Char1"/>
    <w:basedOn w:val="1"/>
    <w:qFormat/>
    <w:uiPriority w:val="0"/>
    <w:pPr>
      <w:widowControl/>
      <w:spacing w:line="240" w:lineRule="auto"/>
    </w:pPr>
    <w:rPr>
      <w:kern w:val="0"/>
      <w:sz w:val="21"/>
      <w:lang w:bidi="en-US"/>
    </w:rPr>
  </w:style>
  <w:style w:type="paragraph" w:customStyle="1" w:styleId="1344">
    <w:name w:val="CM81"/>
    <w:basedOn w:val="1345"/>
    <w:next w:val="1345"/>
    <w:qFormat/>
    <w:uiPriority w:val="0"/>
    <w:pPr>
      <w:spacing w:line="471" w:lineRule="atLeast"/>
    </w:pPr>
    <w:rPr>
      <w:rFonts w:ascii="·..." w:eastAsia="·..." w:cs="·..."/>
      <w:color w:val="auto"/>
    </w:rPr>
  </w:style>
  <w:style w:type="paragraph" w:customStyle="1" w:styleId="1345">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346">
    <w:name w:val="样式 标题 2 + 段前: 0.5 行 段后: 0.5 行"/>
    <w:basedOn w:val="6"/>
    <w:qFormat/>
    <w:uiPriority w:val="0"/>
    <w:pPr>
      <w:numPr>
        <w:numId w:val="12"/>
      </w:numPr>
      <w:tabs>
        <w:tab w:val="left" w:pos="567"/>
        <w:tab w:val="clear" w:pos="-181"/>
      </w:tabs>
      <w:adjustRightInd/>
      <w:snapToGrid/>
      <w:spacing w:before="260" w:beforeLines="50" w:after="260" w:afterLines="50" w:line="240" w:lineRule="auto"/>
      <w:jc w:val="both"/>
      <w:textAlignment w:val="auto"/>
    </w:pPr>
    <w:rPr>
      <w:rFonts w:ascii="Arial" w:hAnsi="Arial" w:cs="宋体"/>
      <w:i/>
      <w:kern w:val="44"/>
      <w:szCs w:val="20"/>
    </w:rPr>
  </w:style>
  <w:style w:type="paragraph" w:customStyle="1" w:styleId="1347">
    <w:name w:val="CM15"/>
    <w:basedOn w:val="1"/>
    <w:next w:val="1"/>
    <w:qFormat/>
    <w:uiPriority w:val="0"/>
    <w:pPr>
      <w:autoSpaceDE w:val="0"/>
      <w:autoSpaceDN w:val="0"/>
      <w:adjustRightInd w:val="0"/>
      <w:spacing w:line="456" w:lineRule="atLeast"/>
      <w:jc w:val="left"/>
    </w:pPr>
    <w:rPr>
      <w:rFonts w:ascii="宋体" w:cs="宋体"/>
      <w:kern w:val="0"/>
    </w:rPr>
  </w:style>
  <w:style w:type="paragraph" w:customStyle="1" w:styleId="1348">
    <w:name w:val="二级条标题"/>
    <w:basedOn w:val="1349"/>
    <w:next w:val="1"/>
    <w:qFormat/>
    <w:uiPriority w:val="0"/>
    <w:pPr>
      <w:tabs>
        <w:tab w:val="left" w:pos="360"/>
        <w:tab w:val="left" w:pos="1740"/>
        <w:tab w:val="left" w:pos="2160"/>
      </w:tabs>
      <w:ind w:left="2160"/>
      <w:outlineLvl w:val="3"/>
    </w:pPr>
  </w:style>
  <w:style w:type="paragraph" w:customStyle="1" w:styleId="1349">
    <w:name w:val="一级条标题"/>
    <w:basedOn w:val="5"/>
    <w:next w:val="1"/>
    <w:qFormat/>
    <w:uiPriority w:val="0"/>
    <w:pPr>
      <w:keepNext w:val="0"/>
      <w:widowControl/>
      <w:tabs>
        <w:tab w:val="left" w:pos="360"/>
        <w:tab w:val="left" w:pos="1740"/>
      </w:tabs>
      <w:spacing w:line="240" w:lineRule="auto"/>
      <w:ind w:left="1740" w:hanging="420"/>
      <w:outlineLvl w:val="2"/>
    </w:pPr>
    <w:rPr>
      <w:rFonts w:ascii="黑体" w:hAnsi="Times New Roman" w:eastAsia="黑体"/>
      <w:kern w:val="0"/>
      <w:sz w:val="21"/>
      <w:szCs w:val="20"/>
    </w:rPr>
  </w:style>
  <w:style w:type="paragraph" w:customStyle="1" w:styleId="1350">
    <w:name w:val="正文（首行缩进）"/>
    <w:basedOn w:val="1"/>
    <w:qFormat/>
    <w:uiPriority w:val="0"/>
    <w:pPr>
      <w:widowControl/>
      <w:ind w:firstLine="200" w:firstLineChars="200"/>
      <w:jc w:val="left"/>
    </w:pPr>
    <w:rPr>
      <w:rFonts w:ascii="宋体" w:hAnsi="宋体"/>
      <w:snapToGrid w:val="0"/>
      <w:color w:val="000000"/>
      <w:szCs w:val="20"/>
    </w:rPr>
  </w:style>
  <w:style w:type="paragraph" w:customStyle="1" w:styleId="1351">
    <w:name w:val="块引用"/>
    <w:basedOn w:val="1"/>
    <w:qFormat/>
    <w:uiPriority w:val="0"/>
    <w:pPr>
      <w:keepLines/>
      <w:widowControl/>
      <w:overflowPunct w:val="0"/>
      <w:autoSpaceDE w:val="0"/>
      <w:autoSpaceDN w:val="0"/>
      <w:adjustRightInd w:val="0"/>
      <w:spacing w:line="240" w:lineRule="auto"/>
      <w:ind w:left="360" w:right="360"/>
      <w:jc w:val="center"/>
      <w:textAlignment w:val="baseline"/>
    </w:pPr>
    <w:rPr>
      <w:i/>
      <w:kern w:val="0"/>
      <w:sz w:val="20"/>
      <w:szCs w:val="20"/>
      <w:lang w:bidi="en-US"/>
    </w:rPr>
  </w:style>
  <w:style w:type="paragraph" w:customStyle="1" w:styleId="1352">
    <w:name w:val="Char Char Char Char 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1353">
    <w:name w:val="List Paragraph1"/>
    <w:basedOn w:val="1"/>
    <w:qFormat/>
    <w:uiPriority w:val="0"/>
    <w:pPr>
      <w:spacing w:line="240" w:lineRule="auto"/>
      <w:ind w:firstLine="420" w:firstLineChars="200"/>
    </w:pPr>
    <w:rPr>
      <w:rFonts w:ascii="Calibri" w:hAnsi="Calibri"/>
      <w:sz w:val="21"/>
      <w:szCs w:val="22"/>
    </w:rPr>
  </w:style>
  <w:style w:type="paragraph" w:customStyle="1" w:styleId="1354">
    <w:name w:val="表文小"/>
    <w:qFormat/>
    <w:uiPriority w:val="0"/>
    <w:pPr>
      <w:jc w:val="center"/>
    </w:pPr>
    <w:rPr>
      <w:rFonts w:ascii="Times New Roman" w:hAnsi="Times New Roman" w:eastAsia="仿宋_GB2312" w:cs="Times New Roman"/>
      <w:kern w:val="0"/>
      <w:sz w:val="15"/>
      <w:szCs w:val="20"/>
      <w:lang w:val="en-US" w:eastAsia="zh-CN" w:bidi="ar-SA"/>
    </w:rPr>
  </w:style>
  <w:style w:type="paragraph" w:customStyle="1" w:styleId="1355">
    <w:name w:val="正文缩进（自定义） Char"/>
    <w:basedOn w:val="1"/>
    <w:qFormat/>
    <w:uiPriority w:val="0"/>
    <w:pPr>
      <w:spacing w:before="120" w:after="120"/>
      <w:ind w:firstLine="480" w:firstLineChars="200"/>
    </w:pPr>
    <w:rPr>
      <w:rFonts w:ascii="Century Gothic" w:hAnsi="Century Gothic" w:cs="宋体"/>
      <w:kern w:val="0"/>
    </w:rPr>
  </w:style>
  <w:style w:type="paragraph" w:customStyle="1" w:styleId="1356">
    <w:name w:val="wang1级"/>
    <w:basedOn w:val="5"/>
    <w:qFormat/>
    <w:uiPriority w:val="0"/>
    <w:pPr>
      <w:widowControl/>
      <w:spacing w:before="360" w:beforeLines="50" w:after="50" w:line="440" w:lineRule="exact"/>
    </w:pPr>
    <w:rPr>
      <w:rFonts w:ascii="黑体" w:hAnsi="Cambria" w:eastAsia="黑体" w:cs="宋体"/>
      <w:b/>
      <w:kern w:val="0"/>
      <w:sz w:val="32"/>
      <w:szCs w:val="20"/>
      <w:lang w:bidi="en-US"/>
    </w:rPr>
  </w:style>
  <w:style w:type="paragraph" w:customStyle="1" w:styleId="1357">
    <w:name w:val="样式 正文文本 + 小四"/>
    <w:basedOn w:val="36"/>
    <w:qFormat/>
    <w:uiPriority w:val="0"/>
    <w:pPr>
      <w:ind w:firstLine="317" w:firstLineChars="317"/>
    </w:pPr>
    <w:rPr>
      <w:rFonts w:cs="宋体"/>
    </w:rPr>
  </w:style>
  <w:style w:type="paragraph" w:customStyle="1" w:styleId="1358">
    <w:name w:val="样2"/>
    <w:basedOn w:val="1"/>
    <w:next w:val="1"/>
    <w:qFormat/>
    <w:uiPriority w:val="0"/>
    <w:pPr>
      <w:adjustRightInd w:val="0"/>
      <w:spacing w:line="240" w:lineRule="auto"/>
      <w:jc w:val="center"/>
      <w:textAlignment w:val="baseline"/>
    </w:pPr>
    <w:rPr>
      <w:kern w:val="0"/>
      <w:szCs w:val="20"/>
    </w:rPr>
  </w:style>
  <w:style w:type="paragraph" w:customStyle="1" w:styleId="1359">
    <w:name w:val="xl11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136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1361">
    <w:name w:val="Char Char1 Char Char Char Char Char Char Char Char Char Char Char Char Char Char Char Char Char Char Char Char1 Char"/>
    <w:basedOn w:val="1"/>
    <w:qFormat/>
    <w:uiPriority w:val="0"/>
    <w:pPr>
      <w:ind w:firstLine="200" w:firstLineChars="200"/>
    </w:pPr>
    <w:rPr>
      <w:rFonts w:ascii="宋体" w:hAnsi="宋体" w:cs="宋体"/>
    </w:rPr>
  </w:style>
  <w:style w:type="paragraph" w:customStyle="1" w:styleId="1362">
    <w:name w:val="Char Char Char Char Char Char1 Char Char Char Char Char Char Char Char Char Char Char Char Char Char Char Char Char Char"/>
    <w:basedOn w:val="1"/>
    <w:qFormat/>
    <w:uiPriority w:val="0"/>
    <w:pPr>
      <w:ind w:firstLine="200" w:firstLineChars="200"/>
    </w:pPr>
    <w:rPr>
      <w:rFonts w:ascii="宋体" w:hAnsi="宋体" w:cs="宋体"/>
    </w:rPr>
  </w:style>
  <w:style w:type="paragraph" w:customStyle="1" w:styleId="1363">
    <w:name w:val="Char Char Char1 Char Char Char Char Char Char Char Char Char Char2"/>
    <w:basedOn w:val="1"/>
    <w:qFormat/>
    <w:uiPriority w:val="0"/>
    <w:rPr>
      <w:sz w:val="21"/>
    </w:rPr>
  </w:style>
  <w:style w:type="paragraph" w:customStyle="1" w:styleId="1364">
    <w:name w:val="表格小五（1）"/>
    <w:basedOn w:val="1"/>
    <w:qFormat/>
    <w:uiPriority w:val="0"/>
    <w:pPr>
      <w:adjustRightInd w:val="0"/>
      <w:snapToGrid w:val="0"/>
      <w:spacing w:line="200" w:lineRule="exact"/>
      <w:jc w:val="center"/>
    </w:pPr>
    <w:rPr>
      <w:rFonts w:ascii="宋体" w:hAnsi="宋体"/>
      <w:sz w:val="18"/>
    </w:rPr>
  </w:style>
  <w:style w:type="paragraph" w:customStyle="1" w:styleId="1365">
    <w:name w:val="正文+左对齐"/>
    <w:basedOn w:val="1"/>
    <w:qFormat/>
    <w:uiPriority w:val="0"/>
    <w:pPr>
      <w:jc w:val="left"/>
    </w:pPr>
    <w:rPr>
      <w:rFonts w:ascii="宋体" w:hAnsi="宋体"/>
      <w:snapToGrid w:val="0"/>
    </w:rPr>
  </w:style>
  <w:style w:type="paragraph" w:customStyle="1" w:styleId="1366">
    <w:name w:val="二级标题王"/>
    <w:basedOn w:val="7"/>
    <w:qFormat/>
    <w:uiPriority w:val="0"/>
    <w:pPr>
      <w:keepNext w:val="0"/>
      <w:keepLines w:val="0"/>
      <w:widowControl/>
      <w:numPr>
        <w:numId w:val="0"/>
      </w:numPr>
      <w:tabs>
        <w:tab w:val="left" w:pos="720"/>
      </w:tabs>
      <w:autoSpaceDE w:val="0"/>
      <w:autoSpaceDN w:val="0"/>
      <w:adjustRightInd w:val="0"/>
      <w:snapToGrid w:val="0"/>
      <w:spacing w:before="0" w:after="0" w:line="360" w:lineRule="auto"/>
      <w:jc w:val="left"/>
      <w:outlineLvl w:val="1"/>
    </w:pPr>
    <w:rPr>
      <w:rFonts w:ascii="黑体" w:hAnsi="Times New Roman" w:eastAsia="黑体"/>
      <w:bCs w:val="0"/>
      <w:snapToGrid w:val="0"/>
      <w:color w:val="auto"/>
      <w:kern w:val="0"/>
      <w:sz w:val="24"/>
      <w:szCs w:val="24"/>
    </w:rPr>
  </w:style>
  <w:style w:type="paragraph" w:customStyle="1" w:styleId="1367">
    <w:name w:val="标标题4.7"/>
    <w:basedOn w:val="1"/>
    <w:qFormat/>
    <w:uiPriority w:val="0"/>
    <w:pPr>
      <w:tabs>
        <w:tab w:val="center" w:pos="4060"/>
        <w:tab w:val="right" w:pos="8261"/>
      </w:tabs>
      <w:suppressAutoHyphens/>
      <w:adjustRightInd w:val="0"/>
      <w:snapToGrid w:val="0"/>
      <w:jc w:val="center"/>
    </w:pPr>
    <w:rPr>
      <w:spacing w:val="6"/>
      <w:sz w:val="21"/>
      <w:szCs w:val="26"/>
    </w:rPr>
  </w:style>
  <w:style w:type="paragraph" w:customStyle="1" w:styleId="1368">
    <w:name w:val="正文31"/>
    <w:basedOn w:val="1"/>
    <w:qFormat/>
    <w:uiPriority w:val="0"/>
    <w:pPr>
      <w:keepNext/>
      <w:adjustRightInd w:val="0"/>
      <w:spacing w:before="160" w:line="300" w:lineRule="auto"/>
      <w:ind w:firstLine="480" w:firstLineChars="200"/>
      <w:jc w:val="center"/>
      <w:textAlignment w:val="baseline"/>
    </w:pPr>
    <w:rPr>
      <w:kern w:val="0"/>
      <w:sz w:val="28"/>
      <w:szCs w:val="20"/>
    </w:rPr>
  </w:style>
  <w:style w:type="paragraph" w:customStyle="1" w:styleId="1369">
    <w:name w:val="样式 标题 3 + Times New Roman 四号 加粗"/>
    <w:basedOn w:val="7"/>
    <w:qFormat/>
    <w:uiPriority w:val="0"/>
    <w:pPr>
      <w:numPr>
        <w:ilvl w:val="0"/>
        <w:numId w:val="0"/>
      </w:numPr>
      <w:adjustRightInd w:val="0"/>
      <w:snapToGrid w:val="0"/>
      <w:spacing w:before="0" w:after="0" w:line="320" w:lineRule="atLeast"/>
    </w:pPr>
    <w:rPr>
      <w:rFonts w:ascii="Times New Roman" w:hAnsi="Times New Roman" w:eastAsia="楷体_GB2312"/>
      <w:b w:val="0"/>
      <w:kern w:val="0"/>
      <w:szCs w:val="28"/>
    </w:rPr>
  </w:style>
  <w:style w:type="paragraph" w:customStyle="1" w:styleId="1370">
    <w:name w:val="13.3.2.1标题4"/>
    <w:basedOn w:val="1"/>
    <w:qFormat/>
    <w:uiPriority w:val="0"/>
    <w:pPr>
      <w:keepNext/>
      <w:keepLines/>
      <w:tabs>
        <w:tab w:val="left" w:pos="2414"/>
      </w:tabs>
      <w:ind w:left="1133" w:firstLine="997"/>
      <w:outlineLvl w:val="3"/>
    </w:pPr>
    <w:rPr>
      <w:rFonts w:eastAsia="黑体"/>
      <w:b/>
      <w:bCs/>
      <w:color w:val="FF0000"/>
      <w:szCs w:val="20"/>
    </w:rPr>
  </w:style>
  <w:style w:type="paragraph" w:customStyle="1" w:styleId="1371">
    <w:name w:val="表文字5"/>
    <w:basedOn w:val="1"/>
    <w:qFormat/>
    <w:uiPriority w:val="0"/>
    <w:pPr>
      <w:widowControl/>
      <w:adjustRightInd w:val="0"/>
      <w:spacing w:line="240" w:lineRule="auto"/>
      <w:jc w:val="left"/>
    </w:pPr>
    <w:rPr>
      <w:rFonts w:ascii="宋体" w:hAnsi="宋体" w:cs="宋体"/>
      <w:kern w:val="0"/>
      <w:sz w:val="21"/>
      <w:szCs w:val="20"/>
    </w:rPr>
  </w:style>
  <w:style w:type="paragraph" w:customStyle="1" w:styleId="1372">
    <w:name w:val="Char Char Char3 Char Char Char Char Char Char Char Char Char Char"/>
    <w:basedOn w:val="1"/>
    <w:qFormat/>
    <w:uiPriority w:val="0"/>
    <w:pPr>
      <w:spacing w:line="240" w:lineRule="auto"/>
    </w:pPr>
    <w:rPr>
      <w:sz w:val="21"/>
      <w:szCs w:val="20"/>
    </w:rPr>
  </w:style>
  <w:style w:type="paragraph" w:customStyle="1" w:styleId="1373">
    <w:name w:val="奉读大示，心折殊深。"/>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374">
    <w:name w:val="reader-word-layer reader-word-s1-28"/>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375">
    <w:name w:val="项目符号1"/>
    <w:basedOn w:val="1"/>
    <w:qFormat/>
    <w:uiPriority w:val="0"/>
    <w:pPr>
      <w:tabs>
        <w:tab w:val="left" w:pos="432"/>
      </w:tabs>
      <w:overflowPunct w:val="0"/>
      <w:snapToGrid w:val="0"/>
      <w:spacing w:line="480" w:lineRule="exact"/>
      <w:ind w:left="432" w:hanging="432"/>
    </w:pPr>
    <w:rPr>
      <w:rFonts w:ascii="Arial" w:hAnsi="Arial" w:eastAsia="仿宋_GB2312"/>
      <w:sz w:val="28"/>
      <w:szCs w:val="20"/>
    </w:rPr>
  </w:style>
  <w:style w:type="paragraph" w:customStyle="1" w:styleId="1376">
    <w:name w:val="xl55"/>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377">
    <w:name w:val="xl43"/>
    <w:basedOn w:val="1"/>
    <w:qFormat/>
    <w:uiPriority w:val="0"/>
    <w:pPr>
      <w:widowControl/>
      <w:spacing w:before="100" w:beforeAutospacing="1" w:after="100" w:afterAutospacing="1" w:line="240" w:lineRule="auto"/>
      <w:jc w:val="left"/>
      <w:textAlignment w:val="center"/>
    </w:pPr>
    <w:rPr>
      <w:rFonts w:ascii="宋体" w:hAnsi="宋体"/>
      <w:kern w:val="0"/>
    </w:rPr>
  </w:style>
  <w:style w:type="paragraph" w:customStyle="1" w:styleId="1378">
    <w:name w:val="样式 1.1.1 + 行距: 多倍行距 1.25 字行"/>
    <w:basedOn w:val="7"/>
    <w:qFormat/>
    <w:uiPriority w:val="0"/>
    <w:pPr>
      <w:keepNext w:val="0"/>
      <w:keepLines w:val="0"/>
      <w:numPr>
        <w:ilvl w:val="0"/>
        <w:numId w:val="0"/>
      </w:numPr>
      <w:spacing w:before="0" w:after="0" w:line="300" w:lineRule="auto"/>
    </w:pPr>
    <w:rPr>
      <w:rFonts w:ascii="Times New Roman" w:hAnsi="Times New Roman" w:eastAsia="黑体" w:cs="宋体"/>
      <w:color w:val="auto"/>
      <w:sz w:val="24"/>
      <w:szCs w:val="20"/>
    </w:rPr>
  </w:style>
  <w:style w:type="paragraph" w:customStyle="1" w:styleId="1379">
    <w:name w:val="Body Single"/>
    <w:qFormat/>
    <w:uiPriority w:val="0"/>
    <w:pPr>
      <w:widowControl w:val="0"/>
      <w:autoSpaceDE w:val="0"/>
      <w:autoSpaceDN w:val="0"/>
      <w:adjustRightInd w:val="0"/>
    </w:pPr>
    <w:rPr>
      <w:rFonts w:ascii="MingLiU" w:hAnsi="Times New Roman" w:eastAsia="MingLiU" w:cs="Times New Roman"/>
      <w:color w:val="000000"/>
      <w:kern w:val="0"/>
      <w:sz w:val="24"/>
      <w:szCs w:val="20"/>
      <w:lang w:val="en-US" w:eastAsia="zh-TW" w:bidi="ar-SA"/>
    </w:rPr>
  </w:style>
  <w:style w:type="paragraph" w:customStyle="1" w:styleId="1380">
    <w:name w:val="缺省文本_注释"/>
    <w:basedOn w:val="1"/>
    <w:qFormat/>
    <w:uiPriority w:val="0"/>
    <w:pPr>
      <w:tabs>
        <w:tab w:val="left" w:pos="639"/>
        <w:tab w:val="center" w:pos="5670"/>
        <w:tab w:val="right" w:pos="7655"/>
      </w:tabs>
      <w:spacing w:before="80" w:after="120" w:line="500" w:lineRule="exact"/>
      <w:ind w:firstLine="200" w:firstLineChars="200"/>
      <w:outlineLvl w:val="7"/>
    </w:pPr>
    <w:rPr>
      <w:rFonts w:eastAsia="楷体_GB2312"/>
      <w:spacing w:val="12"/>
      <w:kern w:val="28"/>
      <w:szCs w:val="20"/>
    </w:rPr>
  </w:style>
  <w:style w:type="paragraph" w:customStyle="1" w:styleId="1381">
    <w:name w:val="列出段落1"/>
    <w:basedOn w:val="1"/>
    <w:qFormat/>
    <w:uiPriority w:val="0"/>
    <w:pPr>
      <w:spacing w:line="240" w:lineRule="auto"/>
      <w:ind w:firstLine="420" w:firstLineChars="200"/>
    </w:pPr>
    <w:rPr>
      <w:rFonts w:ascii="Calibri" w:hAnsi="Calibri"/>
      <w:sz w:val="21"/>
      <w:szCs w:val="22"/>
    </w:rPr>
  </w:style>
  <w:style w:type="paragraph" w:customStyle="1" w:styleId="1382">
    <w:name w:val="标题12.3.1"/>
    <w:basedOn w:val="7"/>
    <w:qFormat/>
    <w:uiPriority w:val="0"/>
    <w:pPr>
      <w:numPr>
        <w:ilvl w:val="0"/>
        <w:numId w:val="0"/>
      </w:numPr>
      <w:tabs>
        <w:tab w:val="left" w:pos="709"/>
      </w:tabs>
      <w:spacing w:before="120" w:after="120" w:line="324" w:lineRule="auto"/>
      <w:ind w:left="709" w:hanging="709"/>
    </w:pPr>
    <w:rPr>
      <w:rFonts w:ascii="Times New Roman" w:hAnsi="Times New Roman" w:eastAsia="黑体"/>
      <w:bCs w:val="0"/>
      <w:color w:val="auto"/>
      <w:sz w:val="24"/>
      <w:szCs w:val="24"/>
    </w:rPr>
  </w:style>
  <w:style w:type="paragraph" w:customStyle="1" w:styleId="1383">
    <w:name w:val="样式 标题 4 + 宋体"/>
    <w:basedOn w:val="8"/>
    <w:qFormat/>
    <w:uiPriority w:val="0"/>
    <w:pPr>
      <w:keepLines/>
      <w:tabs>
        <w:tab w:val="left" w:pos="1080"/>
        <w:tab w:val="left" w:pos="1139"/>
        <w:tab w:val="clear" w:pos="864"/>
      </w:tabs>
      <w:spacing w:line="240" w:lineRule="auto"/>
      <w:jc w:val="both"/>
    </w:pPr>
    <w:rPr>
      <w:rFonts w:ascii="宋体" w:hAnsi="宋体"/>
      <w:b w:val="0"/>
      <w:kern w:val="0"/>
      <w:sz w:val="28"/>
      <w:szCs w:val="32"/>
    </w:rPr>
  </w:style>
  <w:style w:type="paragraph" w:customStyle="1" w:styleId="1384">
    <w:name w:val="四号 段前: 6 磅 段后: 6 磅 行距: 1.5 倍行距"/>
    <w:basedOn w:val="1"/>
    <w:qFormat/>
    <w:uiPriority w:val="0"/>
    <w:pPr>
      <w:ind w:firstLine="560" w:firstLineChars="200"/>
      <w:jc w:val="center"/>
    </w:pPr>
    <w:rPr>
      <w:rFonts w:ascii="宋体" w:hAnsi="宋体"/>
      <w:sz w:val="28"/>
      <w:szCs w:val="20"/>
    </w:rPr>
  </w:style>
  <w:style w:type="paragraph" w:customStyle="1" w:styleId="1385">
    <w:name w:val="会议纪要意见回应"/>
    <w:qFormat/>
    <w:uiPriority w:val="0"/>
    <w:pPr>
      <w:numPr>
        <w:ilvl w:val="0"/>
        <w:numId w:val="13"/>
      </w:numPr>
    </w:pPr>
    <w:rPr>
      <w:rFonts w:ascii="Times New Roman" w:hAnsi="Times New Roman" w:eastAsia="宋体" w:cs="Times New Roman"/>
      <w:b/>
      <w:bCs/>
      <w:i/>
      <w:iCs/>
      <w:kern w:val="0"/>
      <w:sz w:val="24"/>
      <w:szCs w:val="20"/>
      <w:lang w:val="en-US" w:eastAsia="zh-CN" w:bidi="ar-SA"/>
    </w:rPr>
  </w:style>
  <w:style w:type="paragraph" w:customStyle="1" w:styleId="1386">
    <w:name w:val="样式 标题 3样式　标题 3　自动设置标题 3 Char章 + Times New 表题3"/>
    <w:basedOn w:val="7"/>
    <w:qFormat/>
    <w:uiPriority w:val="0"/>
    <w:pPr>
      <w:numPr>
        <w:ilvl w:val="0"/>
        <w:numId w:val="0"/>
      </w:numPr>
      <w:tabs>
        <w:tab w:val="left" w:pos="3800"/>
        <w:tab w:val="left" w:pos="5200"/>
      </w:tabs>
      <w:autoSpaceDE w:val="0"/>
      <w:autoSpaceDN w:val="0"/>
      <w:adjustRightInd w:val="0"/>
      <w:snapToGrid w:val="0"/>
      <w:spacing w:before="120" w:beforeLines="50" w:after="0" w:afterLines="50" w:line="240" w:lineRule="auto"/>
      <w:ind w:left="-1523" w:firstLine="1523"/>
    </w:pPr>
    <w:rPr>
      <w:rFonts w:ascii="Times New Roman" w:hAnsi="Times New Roman" w:cs="宋体"/>
      <w:color w:val="auto"/>
      <w:szCs w:val="28"/>
    </w:rPr>
  </w:style>
  <w:style w:type="paragraph" w:customStyle="1" w:styleId="1387">
    <w:name w:val="样式 标题 3Sottoparagrafo + 段前: 0.5 行"/>
    <w:basedOn w:val="7"/>
    <w:qFormat/>
    <w:uiPriority w:val="0"/>
    <w:pPr>
      <w:keepNext w:val="0"/>
      <w:keepLines w:val="0"/>
      <w:numPr>
        <w:numId w:val="0"/>
      </w:numPr>
      <w:tabs>
        <w:tab w:val="left" w:pos="1680"/>
      </w:tabs>
      <w:adjustRightInd w:val="0"/>
      <w:snapToGrid w:val="0"/>
      <w:spacing w:before="0" w:after="0" w:line="360" w:lineRule="auto"/>
      <w:ind w:left="1680" w:hanging="420" w:firstLineChars="200"/>
    </w:pPr>
    <w:rPr>
      <w:rFonts w:ascii="Times New Roman" w:hAnsi="Times New Roman" w:eastAsia="黑体" w:cs="宋体"/>
      <w:b w:val="0"/>
      <w:bCs w:val="0"/>
      <w:color w:val="auto"/>
      <w:szCs w:val="20"/>
    </w:rPr>
  </w:style>
  <w:style w:type="paragraph" w:customStyle="1" w:styleId="1388">
    <w:name w:val="样式27"/>
    <w:basedOn w:val="1389"/>
    <w:qFormat/>
    <w:uiPriority w:val="0"/>
    <w:pPr>
      <w:tabs>
        <w:tab w:val="left" w:pos="480"/>
      </w:tabs>
    </w:pPr>
    <w:rPr>
      <w:rFonts w:ascii="宋体" w:hAnsi="宋体" w:eastAsia="宋体"/>
      <w:sz w:val="18"/>
      <w:szCs w:val="18"/>
    </w:rPr>
  </w:style>
  <w:style w:type="paragraph" w:customStyle="1" w:styleId="1389">
    <w:name w:val="样式18"/>
    <w:basedOn w:val="1"/>
    <w:qFormat/>
    <w:uiPriority w:val="0"/>
    <w:pPr>
      <w:tabs>
        <w:tab w:val="left" w:pos="480"/>
      </w:tabs>
      <w:spacing w:line="300" w:lineRule="exact"/>
      <w:ind w:left="-120" w:leftChars="-50" w:right="-120" w:rightChars="-50"/>
      <w:jc w:val="center"/>
    </w:pPr>
    <w:rPr>
      <w:rFonts w:eastAsia="华文中宋"/>
      <w:color w:val="000000"/>
      <w:sz w:val="21"/>
    </w:rPr>
  </w:style>
  <w:style w:type="paragraph" w:customStyle="1" w:styleId="1390">
    <w:name w:val="Char2 Char Char Char Char Char Char Char Char Char Char Char Char"/>
    <w:basedOn w:val="1"/>
    <w:qFormat/>
    <w:uiPriority w:val="0"/>
    <w:pPr>
      <w:spacing w:line="560" w:lineRule="exact"/>
      <w:ind w:firstLine="200" w:firstLineChars="200"/>
    </w:pPr>
    <w:rPr>
      <w:rFonts w:ascii="宋体" w:hAnsi="宋体" w:eastAsia="汉鼎简书宋" w:cs="宋体"/>
      <w:spacing w:val="4"/>
    </w:rPr>
  </w:style>
  <w:style w:type="paragraph" w:customStyle="1" w:styleId="1391">
    <w:name w:val="日期12"/>
    <w:basedOn w:val="1"/>
    <w:next w:val="1"/>
    <w:qFormat/>
    <w:uiPriority w:val="0"/>
    <w:pPr>
      <w:adjustRightInd w:val="0"/>
      <w:spacing w:line="240" w:lineRule="auto"/>
      <w:textAlignment w:val="baseline"/>
    </w:pPr>
    <w:rPr>
      <w:sz w:val="21"/>
      <w:szCs w:val="20"/>
    </w:rPr>
  </w:style>
  <w:style w:type="paragraph" w:customStyle="1" w:styleId="1392">
    <w:name w:val="默认段落字体 Para Char Char Char1 Char Char Char Char"/>
    <w:basedOn w:val="1"/>
    <w:qFormat/>
    <w:uiPriority w:val="0"/>
    <w:pPr>
      <w:spacing w:line="240" w:lineRule="auto"/>
    </w:pPr>
  </w:style>
  <w:style w:type="paragraph" w:customStyle="1" w:styleId="1393">
    <w:name w:val="样式 标题 1章章标题 + 黑体 三号 加粗 段前: 12 磅 段后: 12 磅 行距: 多倍行距 1.73 字行"/>
    <w:basedOn w:val="5"/>
    <w:qFormat/>
    <w:uiPriority w:val="0"/>
    <w:pPr>
      <w:spacing w:before="120" w:after="120" w:line="415" w:lineRule="auto"/>
    </w:pPr>
    <w:rPr>
      <w:rFonts w:ascii="黑体" w:hAnsi="黑体" w:eastAsia="黑体" w:cs="宋体"/>
      <w:b/>
      <w:bCs/>
      <w:kern w:val="44"/>
      <w:sz w:val="32"/>
      <w:szCs w:val="20"/>
    </w:rPr>
  </w:style>
  <w:style w:type="paragraph" w:customStyle="1" w:styleId="1394">
    <w:name w:val="表中文字"/>
    <w:basedOn w:val="1"/>
    <w:qFormat/>
    <w:uiPriority w:val="0"/>
    <w:pPr>
      <w:snapToGrid w:val="0"/>
      <w:spacing w:line="320" w:lineRule="exact"/>
      <w:jc w:val="center"/>
    </w:pPr>
    <w:rPr>
      <w:sz w:val="21"/>
      <w:szCs w:val="20"/>
    </w:rPr>
  </w:style>
  <w:style w:type="paragraph" w:customStyle="1" w:styleId="1395">
    <w:name w:val="xl74"/>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32"/>
      <w:szCs w:val="32"/>
    </w:rPr>
  </w:style>
  <w:style w:type="paragraph" w:customStyle="1" w:styleId="1396">
    <w:name w:val="1.1.1.1-"/>
    <w:basedOn w:val="1"/>
    <w:qFormat/>
    <w:uiPriority w:val="0"/>
    <w:pPr>
      <w:tabs>
        <w:tab w:val="left" w:pos="398"/>
        <w:tab w:val="left" w:pos="2268"/>
      </w:tabs>
      <w:wordWrap w:val="0"/>
      <w:adjustRightInd w:val="0"/>
      <w:snapToGrid w:val="0"/>
      <w:spacing w:line="360" w:lineRule="atLeast"/>
      <w:ind w:left="398" w:firstLine="1587"/>
      <w:textAlignment w:val="baseline"/>
    </w:pPr>
    <w:rPr>
      <w:rFonts w:ascii="Arial" w:hAnsi="Arial" w:eastAsia="Gulim"/>
      <w:kern w:val="0"/>
      <w:sz w:val="20"/>
      <w:szCs w:val="20"/>
    </w:rPr>
  </w:style>
  <w:style w:type="paragraph" w:customStyle="1" w:styleId="1397">
    <w:name w:val="样式 小四 首行缩进:  24 磅 行距: 多倍行距 1.25 字行"/>
    <w:basedOn w:val="1"/>
    <w:qFormat/>
    <w:uiPriority w:val="0"/>
    <w:pPr>
      <w:widowControl/>
      <w:adjustRightInd w:val="0"/>
      <w:spacing w:line="440" w:lineRule="exact"/>
      <w:ind w:firstLine="480"/>
      <w:jc w:val="left"/>
      <w:textAlignment w:val="baseline"/>
    </w:pPr>
    <w:rPr>
      <w:rFonts w:ascii="宋体" w:hAnsi="宋体" w:cs="宋体"/>
      <w:kern w:val="0"/>
      <w:szCs w:val="20"/>
    </w:rPr>
  </w:style>
  <w:style w:type="paragraph" w:customStyle="1" w:styleId="1398">
    <w:name w:val="样式 表标题4.9 + 居中"/>
    <w:basedOn w:val="1399"/>
    <w:qFormat/>
    <w:uiPriority w:val="0"/>
    <w:pPr>
      <w:numPr>
        <w:ilvl w:val="0"/>
        <w:numId w:val="14"/>
      </w:numPr>
      <w:tabs>
        <w:tab w:val="center" w:pos="4060"/>
        <w:tab w:val="right" w:pos="8261"/>
      </w:tabs>
      <w:jc w:val="center"/>
    </w:pPr>
    <w:rPr>
      <w:rFonts w:cs="宋体"/>
      <w:bCs/>
      <w:szCs w:val="20"/>
    </w:rPr>
  </w:style>
  <w:style w:type="paragraph" w:customStyle="1" w:styleId="1399">
    <w:name w:val="表标题4.9"/>
    <w:basedOn w:val="1"/>
    <w:qFormat/>
    <w:uiPriority w:val="0"/>
    <w:pPr>
      <w:tabs>
        <w:tab w:val="center" w:pos="4060"/>
        <w:tab w:val="right" w:pos="8261"/>
      </w:tabs>
      <w:suppressAutoHyphens/>
      <w:adjustRightInd w:val="0"/>
      <w:spacing w:before="240" w:line="0" w:lineRule="atLeast"/>
    </w:pPr>
    <w:rPr>
      <w:rFonts w:ascii="黑体" w:eastAsia="黑体"/>
      <w:b/>
      <w:spacing w:val="6"/>
      <w:kern w:val="0"/>
      <w:sz w:val="26"/>
      <w:szCs w:val="26"/>
    </w:rPr>
  </w:style>
  <w:style w:type="paragraph" w:customStyle="1" w:styleId="1400">
    <w:name w:val="样式 样式 首行缩进:  2 字符1 + 首行缩进:  2 字符"/>
    <w:basedOn w:val="1"/>
    <w:qFormat/>
    <w:uiPriority w:val="0"/>
    <w:pPr>
      <w:spacing w:line="480" w:lineRule="exact"/>
      <w:ind w:firstLine="200" w:firstLineChars="200"/>
    </w:pPr>
    <w:rPr>
      <w:rFonts w:eastAsia="楷体_GB2312" w:cs="宋体"/>
      <w:szCs w:val="20"/>
    </w:rPr>
  </w:style>
  <w:style w:type="paragraph" w:customStyle="1" w:styleId="1401">
    <w:name w:val="样式 小四 行距: 固定值 24 磅 首行缩进:  2 字符"/>
    <w:basedOn w:val="1"/>
    <w:qFormat/>
    <w:uiPriority w:val="0"/>
    <w:pPr>
      <w:tabs>
        <w:tab w:val="left" w:pos="4500"/>
      </w:tabs>
      <w:snapToGrid w:val="0"/>
      <w:spacing w:line="460" w:lineRule="exact"/>
      <w:ind w:firstLine="200" w:firstLineChars="200"/>
    </w:pPr>
    <w:rPr>
      <w:color w:val="000000"/>
      <w:szCs w:val="20"/>
    </w:rPr>
  </w:style>
  <w:style w:type="paragraph" w:customStyle="1" w:styleId="1402">
    <w:name w:val="Qzy样式1"/>
    <w:basedOn w:val="5"/>
    <w:qFormat/>
    <w:uiPriority w:val="0"/>
    <w:pPr>
      <w:keepNext w:val="0"/>
      <w:keepLines/>
      <w:widowControl/>
      <w:spacing w:line="240" w:lineRule="atLeast"/>
    </w:pPr>
    <w:rPr>
      <w:rFonts w:ascii="Times New Roman" w:hAnsi="Times New Roman"/>
      <w:b/>
      <w:kern w:val="44"/>
      <w:sz w:val="36"/>
      <w:szCs w:val="20"/>
    </w:rPr>
  </w:style>
  <w:style w:type="paragraph" w:customStyle="1" w:styleId="1403">
    <w:name w:val="附录五级条标题"/>
    <w:basedOn w:val="1404"/>
    <w:next w:val="1"/>
    <w:qFormat/>
    <w:uiPriority w:val="0"/>
    <w:pPr>
      <w:tabs>
        <w:tab w:val="left" w:pos="360"/>
        <w:tab w:val="left" w:pos="435"/>
        <w:tab w:val="left" w:pos="828"/>
        <w:tab w:val="left" w:pos="960"/>
        <w:tab w:val="left" w:pos="1068"/>
      </w:tabs>
      <w:ind w:left="435" w:hanging="165"/>
      <w:outlineLvl w:val="6"/>
    </w:pPr>
  </w:style>
  <w:style w:type="paragraph" w:customStyle="1" w:styleId="1404">
    <w:name w:val="附录四级条标题"/>
    <w:basedOn w:val="1405"/>
    <w:next w:val="1"/>
    <w:qFormat/>
    <w:uiPriority w:val="0"/>
    <w:pPr>
      <w:tabs>
        <w:tab w:val="left" w:pos="360"/>
        <w:tab w:val="left" w:pos="828"/>
        <w:tab w:val="left" w:pos="960"/>
        <w:tab w:val="left" w:pos="1068"/>
      </w:tabs>
      <w:ind w:left="960"/>
      <w:outlineLvl w:val="5"/>
    </w:pPr>
  </w:style>
  <w:style w:type="paragraph" w:customStyle="1" w:styleId="1405">
    <w:name w:val="附录三级条标题"/>
    <w:basedOn w:val="1406"/>
    <w:next w:val="1"/>
    <w:qFormat/>
    <w:uiPriority w:val="0"/>
    <w:pPr>
      <w:tabs>
        <w:tab w:val="left" w:pos="360"/>
        <w:tab w:val="left" w:pos="828"/>
        <w:tab w:val="left" w:pos="1068"/>
      </w:tabs>
      <w:ind w:left="1068"/>
      <w:outlineLvl w:val="4"/>
    </w:pPr>
  </w:style>
  <w:style w:type="paragraph" w:customStyle="1" w:styleId="1406">
    <w:name w:val="附录二级条标题"/>
    <w:basedOn w:val="1407"/>
    <w:next w:val="1"/>
    <w:qFormat/>
    <w:uiPriority w:val="0"/>
    <w:pPr>
      <w:tabs>
        <w:tab w:val="left" w:pos="360"/>
        <w:tab w:val="left" w:pos="828"/>
      </w:tabs>
      <w:ind w:left="360" w:hanging="360"/>
      <w:outlineLvl w:val="3"/>
    </w:pPr>
  </w:style>
  <w:style w:type="paragraph" w:customStyle="1" w:styleId="1407">
    <w:name w:val="附录一级条标题"/>
    <w:basedOn w:val="1408"/>
    <w:next w:val="1"/>
    <w:qFormat/>
    <w:uiPriority w:val="0"/>
    <w:pPr>
      <w:tabs>
        <w:tab w:val="left" w:pos="828"/>
      </w:tabs>
      <w:autoSpaceDN w:val="0"/>
      <w:spacing w:beforeLines="0" w:afterLines="0"/>
      <w:ind w:left="828" w:hanging="240"/>
      <w:outlineLvl w:val="2"/>
    </w:pPr>
  </w:style>
  <w:style w:type="paragraph" w:customStyle="1" w:styleId="1408">
    <w:name w:val="附录章标题"/>
    <w:next w:val="1"/>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1409">
    <w:name w:val="表头格式"/>
    <w:basedOn w:val="1"/>
    <w:qFormat/>
    <w:uiPriority w:val="0"/>
    <w:pPr>
      <w:spacing w:beforeLines="50" w:line="360" w:lineRule="exact"/>
      <w:jc w:val="center"/>
    </w:pPr>
    <w:rPr>
      <w:rFonts w:eastAsia="方正黑体简体"/>
    </w:rPr>
  </w:style>
  <w:style w:type="paragraph" w:customStyle="1" w:styleId="1410">
    <w:name w:val="样式 行距: 固定值 30 磅"/>
    <w:basedOn w:val="1"/>
    <w:qFormat/>
    <w:uiPriority w:val="0"/>
    <w:pPr>
      <w:spacing w:line="600" w:lineRule="exact"/>
    </w:pPr>
    <w:rPr>
      <w:rFonts w:ascii="宋体" w:hAnsi="宋体" w:cs="宋体"/>
      <w:sz w:val="28"/>
      <w:szCs w:val="20"/>
    </w:rPr>
  </w:style>
  <w:style w:type="paragraph" w:customStyle="1" w:styleId="1411">
    <w:name w:val="一级无标题条"/>
    <w:basedOn w:val="1"/>
    <w:qFormat/>
    <w:uiPriority w:val="0"/>
    <w:pPr>
      <w:spacing w:line="240" w:lineRule="auto"/>
    </w:pPr>
    <w:rPr>
      <w:sz w:val="21"/>
    </w:rPr>
  </w:style>
  <w:style w:type="paragraph" w:customStyle="1" w:styleId="1412">
    <w:name w:val="et24"/>
    <w:basedOn w:val="1"/>
    <w:qFormat/>
    <w:uiPriority w:val="0"/>
    <w:pPr>
      <w:widowControl/>
      <w:pBdr>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413">
    <w:name w:val="Char Char Char Char Char Char Char Char Char Char Char Char Char Char Char Char Char Char1 Char Char Char Char1"/>
    <w:basedOn w:val="1"/>
    <w:qFormat/>
    <w:uiPriority w:val="0"/>
    <w:pPr>
      <w:spacing w:line="240" w:lineRule="auto"/>
    </w:pPr>
    <w:rPr>
      <w:sz w:val="21"/>
      <w:szCs w:val="20"/>
    </w:rPr>
  </w:style>
  <w:style w:type="paragraph" w:customStyle="1" w:styleId="1414">
    <w:name w:val="MTDisplayEquation"/>
    <w:basedOn w:val="1"/>
    <w:next w:val="1"/>
    <w:qFormat/>
    <w:uiPriority w:val="0"/>
    <w:pPr>
      <w:tabs>
        <w:tab w:val="center" w:pos="5760"/>
        <w:tab w:val="right" w:pos="8960"/>
      </w:tabs>
      <w:autoSpaceDE w:val="0"/>
      <w:autoSpaceDN w:val="0"/>
      <w:adjustRightInd w:val="0"/>
      <w:spacing w:line="460" w:lineRule="exact"/>
      <w:ind w:left="2550"/>
    </w:pPr>
    <w:rPr>
      <w:rFonts w:ascii="宋体" w:hAnsi="宋体"/>
      <w:color w:val="000000"/>
      <w:sz w:val="28"/>
    </w:rPr>
  </w:style>
  <w:style w:type="paragraph" w:customStyle="1" w:styleId="1415">
    <w:name w:val="陈策次目录"/>
    <w:basedOn w:val="1"/>
    <w:qFormat/>
    <w:uiPriority w:val="0"/>
    <w:pPr>
      <w:widowControl/>
      <w:adjustRightInd w:val="0"/>
      <w:snapToGrid w:val="0"/>
      <w:ind w:firstLine="552" w:firstLineChars="200"/>
    </w:pPr>
    <w:rPr>
      <w:rFonts w:ascii="Arial Narrow" w:hAnsi="Arial Narrow" w:eastAsia="华文中宋"/>
    </w:rPr>
  </w:style>
  <w:style w:type="paragraph" w:customStyle="1" w:styleId="1416">
    <w:name w:val="样式 正文 +1"/>
    <w:basedOn w:val="1"/>
    <w:next w:val="1"/>
    <w:qFormat/>
    <w:uiPriority w:val="0"/>
    <w:pPr>
      <w:adjustRightInd w:val="0"/>
      <w:ind w:firstLine="560" w:firstLineChars="200"/>
    </w:pPr>
    <w:rPr>
      <w:rFonts w:cs="宋体"/>
      <w:color w:val="000000"/>
      <w:kern w:val="0"/>
      <w:sz w:val="28"/>
      <w:szCs w:val="28"/>
    </w:rPr>
  </w:style>
  <w:style w:type="paragraph" w:customStyle="1" w:styleId="1417">
    <w:name w:val="新正文样式"/>
    <w:basedOn w:val="1"/>
    <w:qFormat/>
    <w:uiPriority w:val="0"/>
    <w:pPr>
      <w:tabs>
        <w:tab w:val="left" w:pos="567"/>
      </w:tabs>
      <w:ind w:firstLine="567"/>
    </w:pPr>
    <w:rPr>
      <w:spacing w:val="20"/>
      <w:szCs w:val="20"/>
    </w:rPr>
  </w:style>
  <w:style w:type="paragraph" w:customStyle="1" w:styleId="1418">
    <w:name w:val="xl82"/>
    <w:basedOn w:val="1"/>
    <w:qFormat/>
    <w:uiPriority w:val="0"/>
    <w:pPr>
      <w:widowControl/>
      <w:pBdr>
        <w:top w:val="single" w:color="auto" w:sz="4" w:space="0"/>
        <w:bottom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1419">
    <w:name w:val="Char Char Char Char Char Char1 Char1"/>
    <w:basedOn w:val="1"/>
    <w:qFormat/>
    <w:uiPriority w:val="0"/>
    <w:pPr>
      <w:ind w:firstLine="200" w:firstLineChars="200"/>
    </w:pPr>
    <w:rPr>
      <w:rFonts w:ascii="宋体" w:hAnsi="宋体" w:cs="宋体"/>
    </w:rPr>
  </w:style>
  <w:style w:type="paragraph" w:customStyle="1" w:styleId="1420">
    <w:name w:val="表标题1.7－2"/>
    <w:basedOn w:val="1"/>
    <w:qFormat/>
    <w:uiPriority w:val="0"/>
    <w:pPr>
      <w:numPr>
        <w:ilvl w:val="0"/>
        <w:numId w:val="15"/>
      </w:numPr>
      <w:spacing w:beforeLines="100" w:line="0" w:lineRule="atLeast"/>
    </w:pPr>
    <w:rPr>
      <w:color w:val="000000"/>
    </w:rPr>
  </w:style>
  <w:style w:type="paragraph" w:customStyle="1" w:styleId="1421">
    <w:name w:val="五级条标题"/>
    <w:basedOn w:val="1422"/>
    <w:next w:val="1"/>
    <w:qFormat/>
    <w:uiPriority w:val="0"/>
    <w:pPr>
      <w:tabs>
        <w:tab w:val="left" w:pos="360"/>
        <w:tab w:val="left" w:pos="1740"/>
        <w:tab w:val="left" w:pos="2160"/>
        <w:tab w:val="left" w:pos="3000"/>
        <w:tab w:val="left" w:pos="3420"/>
      </w:tabs>
      <w:ind w:left="3420"/>
      <w:outlineLvl w:val="6"/>
    </w:pPr>
  </w:style>
  <w:style w:type="paragraph" w:customStyle="1" w:styleId="1422">
    <w:name w:val="四级条标题"/>
    <w:basedOn w:val="1423"/>
    <w:next w:val="1"/>
    <w:qFormat/>
    <w:uiPriority w:val="0"/>
    <w:pPr>
      <w:tabs>
        <w:tab w:val="left" w:pos="360"/>
        <w:tab w:val="left" w:pos="1740"/>
        <w:tab w:val="left" w:pos="2160"/>
        <w:tab w:val="left" w:pos="3000"/>
      </w:tabs>
      <w:ind w:left="3000"/>
      <w:outlineLvl w:val="5"/>
    </w:pPr>
  </w:style>
  <w:style w:type="paragraph" w:customStyle="1" w:styleId="1423">
    <w:name w:val="三级条标题"/>
    <w:basedOn w:val="1348"/>
    <w:next w:val="1"/>
    <w:qFormat/>
    <w:uiPriority w:val="0"/>
  </w:style>
  <w:style w:type="paragraph" w:customStyle="1" w:styleId="1424">
    <w:name w:val="Char5"/>
    <w:basedOn w:val="1"/>
    <w:next w:val="1"/>
    <w:qFormat/>
    <w:uiPriority w:val="0"/>
    <w:pPr>
      <w:ind w:firstLine="200" w:firstLineChars="200"/>
    </w:pPr>
  </w:style>
  <w:style w:type="paragraph" w:customStyle="1" w:styleId="1425">
    <w:name w:val="样式 样式2 + 段前: 6 磅 行距: 单倍行距2"/>
    <w:basedOn w:val="1271"/>
    <w:qFormat/>
    <w:uiPriority w:val="0"/>
    <w:pPr>
      <w:autoSpaceDE w:val="0"/>
      <w:autoSpaceDN w:val="0"/>
      <w:adjustRightInd w:val="0"/>
      <w:snapToGrid w:val="0"/>
      <w:spacing w:before="120" w:line="240" w:lineRule="auto"/>
      <w:ind w:firstLine="0" w:firstLineChars="0"/>
      <w:jc w:val="center"/>
      <w:textAlignment w:val="baseline"/>
    </w:pPr>
    <w:rPr>
      <w:rFonts w:eastAsia="宋体"/>
      <w:spacing w:val="-16"/>
      <w:sz w:val="24"/>
      <w:szCs w:val="21"/>
    </w:rPr>
  </w:style>
  <w:style w:type="paragraph" w:customStyle="1" w:styleId="1426">
    <w:name w:val="18"/>
    <w:basedOn w:val="1"/>
    <w:qFormat/>
    <w:uiPriority w:val="0"/>
    <w:pPr>
      <w:widowControl/>
      <w:snapToGrid w:val="0"/>
      <w:spacing w:before="120" w:after="100" w:afterAutospacing="1" w:line="240" w:lineRule="atLeast"/>
      <w:jc w:val="center"/>
    </w:pPr>
    <w:rPr>
      <w:b/>
      <w:bCs/>
      <w:kern w:val="0"/>
    </w:rPr>
  </w:style>
  <w:style w:type="paragraph" w:customStyle="1" w:styleId="1427">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eastAsia="Arial Unicode MS"/>
      <w:kern w:val="0"/>
      <w:sz w:val="22"/>
      <w:szCs w:val="22"/>
    </w:rPr>
  </w:style>
  <w:style w:type="paragraph" w:customStyle="1" w:styleId="1428">
    <w:name w:val="标格标题"/>
    <w:basedOn w:val="1"/>
    <w:qFormat/>
    <w:uiPriority w:val="0"/>
    <w:pPr>
      <w:spacing w:line="240" w:lineRule="auto"/>
      <w:jc w:val="center"/>
    </w:pPr>
    <w:rPr>
      <w:b/>
      <w:sz w:val="21"/>
      <w:szCs w:val="21"/>
    </w:rPr>
  </w:style>
  <w:style w:type="paragraph" w:customStyle="1" w:styleId="1429">
    <w:name w:val="样式 (西文) Times New Roman (中文) 宋体 五号 加粗 居中 行距: 单倍行距2"/>
    <w:basedOn w:val="1"/>
    <w:qFormat/>
    <w:uiPriority w:val="0"/>
    <w:pPr>
      <w:adjustRightInd w:val="0"/>
      <w:snapToGrid w:val="0"/>
      <w:spacing w:line="240" w:lineRule="auto"/>
      <w:jc w:val="center"/>
    </w:pPr>
    <w:rPr>
      <w:b/>
      <w:sz w:val="21"/>
      <w:szCs w:val="20"/>
    </w:rPr>
  </w:style>
  <w:style w:type="paragraph" w:customStyle="1" w:styleId="1430">
    <w:name w:val="标准样式1"/>
    <w:basedOn w:val="1"/>
    <w:qFormat/>
    <w:uiPriority w:val="0"/>
    <w:pPr>
      <w:adjustRightInd w:val="0"/>
      <w:spacing w:line="600" w:lineRule="exact"/>
      <w:ind w:firstLine="567"/>
    </w:pPr>
    <w:rPr>
      <w:rFonts w:cs="宋体"/>
      <w:color w:val="000000"/>
      <w:szCs w:val="20"/>
    </w:rPr>
  </w:style>
  <w:style w:type="paragraph" w:customStyle="1" w:styleId="1431">
    <w:name w:val="样式7.4.4.1"/>
    <w:basedOn w:val="1432"/>
    <w:qFormat/>
    <w:uiPriority w:val="0"/>
    <w:pPr>
      <w:numPr>
        <w:ilvl w:val="0"/>
        <w:numId w:val="0"/>
      </w:numPr>
      <w:tabs>
        <w:tab w:val="left" w:pos="1571"/>
        <w:tab w:val="left" w:pos="2514"/>
      </w:tabs>
      <w:ind w:left="119" w:hanging="708"/>
    </w:pPr>
  </w:style>
  <w:style w:type="paragraph" w:customStyle="1" w:styleId="1432">
    <w:name w:val="7.3.4.1"/>
    <w:basedOn w:val="1"/>
    <w:qFormat/>
    <w:uiPriority w:val="0"/>
    <w:pPr>
      <w:numPr>
        <w:ilvl w:val="3"/>
        <w:numId w:val="16"/>
      </w:numPr>
      <w:tabs>
        <w:tab w:val="left" w:pos="2514"/>
      </w:tabs>
      <w:spacing w:line="312" w:lineRule="auto"/>
      <w:outlineLvl w:val="3"/>
    </w:pPr>
    <w:rPr>
      <w:rFonts w:ascii="黑体" w:hAnsi="Arial" w:eastAsia="黑体" w:cs="宋体"/>
      <w:b/>
      <w:color w:val="000000"/>
    </w:rPr>
  </w:style>
  <w:style w:type="paragraph" w:customStyle="1" w:styleId="1433">
    <w:name w:val="Char Char Char Char Char Char Char Char Char2"/>
    <w:basedOn w:val="1"/>
    <w:qFormat/>
    <w:uiPriority w:val="0"/>
  </w:style>
  <w:style w:type="paragraph" w:customStyle="1" w:styleId="1434">
    <w:name w:val="T表格"/>
    <w:qFormat/>
    <w:uiPriority w:val="0"/>
    <w:pPr>
      <w:jc w:val="center"/>
    </w:pPr>
    <w:rPr>
      <w:rFonts w:ascii="Times New Roman" w:hAnsi="Times New Roman" w:eastAsia="宋体" w:cs="Times New Roman"/>
      <w:kern w:val="0"/>
      <w:sz w:val="21"/>
      <w:szCs w:val="20"/>
      <w:lang w:val="en-US" w:eastAsia="zh-CN" w:bidi="ar-SA"/>
    </w:rPr>
  </w:style>
  <w:style w:type="paragraph" w:customStyle="1" w:styleId="1435">
    <w:name w:val="正文+居中"/>
    <w:basedOn w:val="1"/>
    <w:qFormat/>
    <w:uiPriority w:val="0"/>
    <w:pPr>
      <w:jc w:val="center"/>
    </w:pPr>
    <w:rPr>
      <w:szCs w:val="20"/>
    </w:rPr>
  </w:style>
  <w:style w:type="paragraph" w:customStyle="1" w:styleId="1436">
    <w:name w:val="Char Char Char Char Char Char Char Char Char Char1"/>
    <w:basedOn w:val="1"/>
    <w:qFormat/>
    <w:uiPriority w:val="0"/>
    <w:pPr>
      <w:tabs>
        <w:tab w:val="left" w:pos="1224"/>
      </w:tabs>
      <w:snapToGrid w:val="0"/>
      <w:ind w:left="1224" w:hanging="720"/>
    </w:pPr>
    <w:rPr>
      <w:rFonts w:eastAsia="仿宋_GB2312" w:cs="宋体"/>
    </w:rPr>
  </w:style>
  <w:style w:type="paragraph" w:customStyle="1" w:styleId="1437">
    <w:name w:val="样式 宋体 四号 黑色 行距: 1.5 倍行距1"/>
    <w:basedOn w:val="1"/>
    <w:qFormat/>
    <w:uiPriority w:val="0"/>
    <w:pPr>
      <w:ind w:firstLine="200" w:firstLineChars="200"/>
    </w:pPr>
    <w:rPr>
      <w:rFonts w:ascii="宋体" w:hAnsi="宋体" w:cs="宋体"/>
      <w:color w:val="000000"/>
      <w:sz w:val="28"/>
      <w:szCs w:val="20"/>
    </w:rPr>
  </w:style>
  <w:style w:type="paragraph" w:customStyle="1" w:styleId="1438">
    <w:name w:val="表内4号居中"/>
    <w:qFormat/>
    <w:uiPriority w:val="0"/>
    <w:pPr>
      <w:keepNext/>
      <w:adjustRightInd w:val="0"/>
      <w:snapToGrid w:val="0"/>
      <w:jc w:val="center"/>
    </w:pPr>
    <w:rPr>
      <w:rFonts w:ascii="黑体" w:hAnsi="Arial" w:eastAsia="黑体" w:cs="Times New Roman"/>
      <w:spacing w:val="20"/>
      <w:kern w:val="0"/>
      <w:sz w:val="24"/>
      <w:szCs w:val="24"/>
      <w:lang w:val="en-US" w:eastAsia="zh-CN" w:bidi="ar-SA"/>
    </w:rPr>
  </w:style>
  <w:style w:type="paragraph" w:customStyle="1" w:styleId="1439">
    <w:name w:val="编号"/>
    <w:basedOn w:val="1"/>
    <w:qFormat/>
    <w:uiPriority w:val="0"/>
    <w:pPr>
      <w:tabs>
        <w:tab w:val="left" w:pos="360"/>
      </w:tabs>
      <w:adjustRightInd w:val="0"/>
      <w:spacing w:line="240" w:lineRule="auto"/>
      <w:ind w:left="170" w:hanging="170"/>
      <w:textAlignment w:val="baseline"/>
    </w:pPr>
    <w:rPr>
      <w:rFonts w:ascii="Courier New" w:hAnsi="Courier New"/>
      <w:kern w:val="0"/>
      <w:szCs w:val="20"/>
    </w:rPr>
  </w:style>
  <w:style w:type="paragraph" w:customStyle="1" w:styleId="1440">
    <w:name w:val="日期4"/>
    <w:basedOn w:val="1"/>
    <w:next w:val="1"/>
    <w:qFormat/>
    <w:uiPriority w:val="0"/>
    <w:pPr>
      <w:adjustRightInd w:val="0"/>
      <w:spacing w:line="312" w:lineRule="atLeast"/>
      <w:jc w:val="right"/>
      <w:textAlignment w:val="baseline"/>
    </w:pPr>
    <w:rPr>
      <w:kern w:val="0"/>
      <w:sz w:val="21"/>
      <w:szCs w:val="20"/>
    </w:rPr>
  </w:style>
  <w:style w:type="paragraph" w:customStyle="1" w:styleId="1441">
    <w:name w:val="列表 Char列表"/>
    <w:basedOn w:val="67"/>
    <w:next w:val="38"/>
    <w:qFormat/>
    <w:uiPriority w:val="0"/>
    <w:pPr>
      <w:spacing w:line="480" w:lineRule="exact"/>
      <w:ind w:left="0" w:firstLine="0" w:firstLineChars="0"/>
      <w:jc w:val="center"/>
    </w:pPr>
    <w:rPr>
      <w:rFonts w:eastAsia="黑体"/>
      <w:sz w:val="24"/>
      <w:szCs w:val="24"/>
    </w:rPr>
  </w:style>
  <w:style w:type="paragraph" w:customStyle="1" w:styleId="1442">
    <w:name w:val="正文文本缩进 212"/>
    <w:basedOn w:val="1"/>
    <w:qFormat/>
    <w:uiPriority w:val="0"/>
    <w:pPr>
      <w:adjustRightInd w:val="0"/>
      <w:ind w:firstLine="510"/>
      <w:textAlignment w:val="baseline"/>
    </w:pPr>
    <w:rPr>
      <w:rFonts w:ascii="宋体" w:hAnsi="宋体"/>
      <w:sz w:val="28"/>
      <w:szCs w:val="20"/>
    </w:rPr>
  </w:style>
  <w:style w:type="paragraph" w:customStyle="1" w:styleId="1443">
    <w:name w:val="Char Char Char1 Char13"/>
    <w:basedOn w:val="1"/>
    <w:qFormat/>
    <w:uiPriority w:val="0"/>
    <w:pPr>
      <w:adjustRightInd w:val="0"/>
      <w:snapToGrid w:val="0"/>
      <w:spacing w:line="240" w:lineRule="auto"/>
      <w:ind w:left="-45"/>
    </w:pPr>
    <w:rPr>
      <w:sz w:val="21"/>
    </w:rPr>
  </w:style>
  <w:style w:type="paragraph" w:customStyle="1" w:styleId="1444">
    <w:name w:val="样式60"/>
    <w:basedOn w:val="7"/>
    <w:qFormat/>
    <w:uiPriority w:val="0"/>
    <w:pPr>
      <w:keepLines w:val="0"/>
      <w:numPr>
        <w:numId w:val="0"/>
      </w:numPr>
      <w:tabs>
        <w:tab w:val="left" w:pos="0"/>
      </w:tabs>
      <w:adjustRightInd w:val="0"/>
      <w:spacing w:before="0" w:after="0" w:line="360" w:lineRule="auto"/>
    </w:pPr>
    <w:rPr>
      <w:rFonts w:ascii="黑体" w:hAnsi="黑体" w:eastAsia="黑体"/>
      <w:bCs w:val="0"/>
      <w:color w:val="auto"/>
      <w:szCs w:val="24"/>
    </w:rPr>
  </w:style>
  <w:style w:type="paragraph" w:customStyle="1" w:styleId="1445">
    <w:name w:val="样式 表标题2.4 + 居中 段前: 1 行"/>
    <w:basedOn w:val="1446"/>
    <w:qFormat/>
    <w:uiPriority w:val="0"/>
    <w:pPr>
      <w:tabs>
        <w:tab w:val="center" w:pos="4060"/>
        <w:tab w:val="right" w:pos="8261"/>
      </w:tabs>
      <w:spacing w:before="312"/>
      <w:jc w:val="center"/>
    </w:pPr>
    <w:rPr>
      <w:rFonts w:cs="宋体"/>
      <w:bCs/>
      <w:szCs w:val="20"/>
    </w:rPr>
  </w:style>
  <w:style w:type="paragraph" w:customStyle="1" w:styleId="1446">
    <w:name w:val="表标题2.4"/>
    <w:basedOn w:val="1"/>
    <w:qFormat/>
    <w:uiPriority w:val="0"/>
    <w:pPr>
      <w:tabs>
        <w:tab w:val="center" w:pos="4060"/>
        <w:tab w:val="right" w:pos="8261"/>
      </w:tabs>
      <w:suppressAutoHyphens/>
      <w:adjustRightInd w:val="0"/>
      <w:spacing w:beforeLines="100" w:line="0" w:lineRule="atLeast"/>
    </w:pPr>
    <w:rPr>
      <w:rFonts w:ascii="黑体" w:eastAsia="黑体"/>
      <w:b/>
      <w:spacing w:val="6"/>
      <w:kern w:val="0"/>
    </w:rPr>
  </w:style>
  <w:style w:type="paragraph" w:customStyle="1" w:styleId="1447">
    <w:name w:val="正文文本缩进 22"/>
    <w:basedOn w:val="1"/>
    <w:qFormat/>
    <w:uiPriority w:val="0"/>
    <w:pPr>
      <w:adjustRightInd w:val="0"/>
      <w:ind w:firstLine="510"/>
      <w:textAlignment w:val="baseline"/>
    </w:pPr>
    <w:rPr>
      <w:rFonts w:ascii="宋体" w:hAnsi="宋体"/>
      <w:sz w:val="28"/>
      <w:szCs w:val="20"/>
    </w:rPr>
  </w:style>
  <w:style w:type="paragraph" w:customStyle="1" w:styleId="1448">
    <w:name w:val="正文使用"/>
    <w:basedOn w:val="77"/>
    <w:qFormat/>
    <w:uiPriority w:val="0"/>
    <w:pPr>
      <w:spacing w:line="360" w:lineRule="auto"/>
      <w:ind w:firstLine="200" w:firstLineChars="200"/>
      <w:jc w:val="both"/>
    </w:pPr>
    <w:rPr>
      <w:rFonts w:hint="eastAsia" w:cs="宋体"/>
    </w:rPr>
  </w:style>
  <w:style w:type="paragraph" w:customStyle="1" w:styleId="1449">
    <w:name w:val="样式 表格内容 + (中文) 宋体 居中"/>
    <w:basedOn w:val="36"/>
    <w:qFormat/>
    <w:uiPriority w:val="0"/>
    <w:pPr>
      <w:overflowPunct w:val="0"/>
      <w:adjustRightInd w:val="0"/>
      <w:snapToGrid w:val="0"/>
      <w:spacing w:line="440" w:lineRule="exact"/>
      <w:jc w:val="center"/>
      <w:textAlignment w:val="baseline"/>
    </w:pPr>
    <w:rPr>
      <w:rFonts w:ascii="Arial" w:hAnsi="Arial"/>
      <w:kern w:val="0"/>
      <w:sz w:val="21"/>
      <w:szCs w:val="21"/>
    </w:rPr>
  </w:style>
  <w:style w:type="paragraph" w:customStyle="1" w:styleId="1450">
    <w:name w:val="地方法规"/>
    <w:basedOn w:val="1451"/>
    <w:qFormat/>
    <w:uiPriority w:val="0"/>
    <w:pPr>
      <w:numPr>
        <w:ilvl w:val="0"/>
        <w:numId w:val="17"/>
      </w:numPr>
    </w:pPr>
  </w:style>
  <w:style w:type="paragraph" w:customStyle="1" w:styleId="1451">
    <w:name w:val="法规列表"/>
    <w:qFormat/>
    <w:uiPriority w:val="0"/>
    <w:rPr>
      <w:rFonts w:ascii="Times New Roman" w:hAnsi="Times New Roman" w:eastAsia="宋体" w:cs="Times New Roman"/>
      <w:kern w:val="0"/>
      <w:sz w:val="24"/>
      <w:szCs w:val="20"/>
      <w:lang w:val="en-US" w:eastAsia="zh-CN" w:bidi="ar-SA"/>
    </w:rPr>
  </w:style>
  <w:style w:type="paragraph" w:customStyle="1" w:styleId="1452">
    <w:name w:val="aaaaaa"/>
    <w:basedOn w:val="1"/>
    <w:qFormat/>
    <w:uiPriority w:val="0"/>
    <w:pPr>
      <w:tabs>
        <w:tab w:val="left" w:pos="5880"/>
      </w:tabs>
      <w:snapToGrid w:val="0"/>
      <w:spacing w:beforeLines="25" w:line="300" w:lineRule="auto"/>
      <w:jc w:val="center"/>
    </w:pPr>
    <w:rPr>
      <w:color w:val="000000"/>
      <w:kern w:val="0"/>
    </w:rPr>
  </w:style>
  <w:style w:type="paragraph" w:customStyle="1" w:styleId="1453">
    <w:name w:val="edri-制表位1"/>
    <w:basedOn w:val="1454"/>
    <w:qFormat/>
    <w:uiPriority w:val="0"/>
    <w:pPr>
      <w:tabs>
        <w:tab w:val="left" w:pos="4620"/>
      </w:tabs>
      <w:spacing w:line="240" w:lineRule="auto"/>
    </w:pPr>
  </w:style>
  <w:style w:type="paragraph" w:customStyle="1" w:styleId="1454">
    <w:name w:val="edri-正文"/>
    <w:basedOn w:val="1"/>
    <w:qFormat/>
    <w:uiPriority w:val="0"/>
    <w:pPr>
      <w:spacing w:before="156" w:beforeLines="50" w:line="300" w:lineRule="auto"/>
      <w:ind w:left="899" w:leftChars="428"/>
    </w:pPr>
    <w:rPr>
      <w:snapToGrid w:val="0"/>
    </w:rPr>
  </w:style>
  <w:style w:type="paragraph" w:customStyle="1" w:styleId="1455">
    <w:name w:val="样式 表头 + 楷体_GB2312 三号"/>
    <w:basedOn w:val="3"/>
    <w:qFormat/>
    <w:uiPriority w:val="0"/>
    <w:pPr>
      <w:tabs>
        <w:tab w:val="center" w:pos="4535"/>
        <w:tab w:val="left" w:pos="6810"/>
        <w:tab w:val="center" w:pos="8820"/>
      </w:tabs>
      <w:adjustRightInd w:val="0"/>
      <w:spacing w:after="0"/>
      <w:ind w:left="0" w:leftChars="0"/>
      <w:jc w:val="center"/>
      <w:textAlignment w:val="baseline"/>
    </w:pPr>
    <w:rPr>
      <w:rFonts w:ascii="楷体_GB2312" w:hAnsi="楷体_GB2312" w:eastAsia="楷体_GB2312" w:cs="宋体"/>
      <w:b/>
      <w:snapToGrid w:val="0"/>
      <w:color w:val="000000"/>
      <w:spacing w:val="4"/>
      <w:kern w:val="0"/>
      <w:sz w:val="30"/>
      <w:szCs w:val="20"/>
    </w:rPr>
  </w:style>
  <w:style w:type="paragraph" w:customStyle="1" w:styleId="1456">
    <w:name w:val="表格新"/>
    <w:basedOn w:val="1"/>
    <w:qFormat/>
    <w:uiPriority w:val="0"/>
    <w:pPr>
      <w:tabs>
        <w:tab w:val="left" w:pos="591"/>
      </w:tabs>
      <w:adjustRightInd w:val="0"/>
      <w:ind w:right="-91"/>
      <w:jc w:val="center"/>
    </w:pPr>
    <w:rPr>
      <w:rFonts w:cs="宋体"/>
      <w:color w:val="000000"/>
    </w:rPr>
  </w:style>
  <w:style w:type="paragraph" w:customStyle="1" w:styleId="1457">
    <w:name w:val="正文-7"/>
    <w:basedOn w:val="1"/>
    <w:qFormat/>
    <w:uiPriority w:val="0"/>
    <w:pPr>
      <w:spacing w:before="30" w:beforeLines="30" w:line="460" w:lineRule="exact"/>
      <w:ind w:firstLine="200" w:firstLineChars="200"/>
    </w:pPr>
    <w:rPr>
      <w:snapToGrid w:val="0"/>
      <w:kern w:val="0"/>
    </w:rPr>
  </w:style>
  <w:style w:type="paragraph" w:customStyle="1" w:styleId="1458">
    <w:name w:val="123"/>
    <w:basedOn w:val="1"/>
    <w:qFormat/>
    <w:uiPriority w:val="0"/>
    <w:pPr>
      <w:pBdr>
        <w:bottom w:val="thickThinSmallGap" w:color="auto" w:sz="12" w:space="1"/>
      </w:pBdr>
      <w:snapToGrid w:val="0"/>
      <w:spacing w:before="120" w:line="240" w:lineRule="auto"/>
      <w:jc w:val="left"/>
    </w:pPr>
    <w:rPr>
      <w:rFonts w:ascii="黑体" w:eastAsia="仿宋_GB2312"/>
      <w:bCs/>
      <w:spacing w:val="-6"/>
      <w:sz w:val="18"/>
      <w:szCs w:val="36"/>
    </w:rPr>
  </w:style>
  <w:style w:type="paragraph" w:customStyle="1" w:styleId="1459">
    <w:name w:val="8--"/>
    <w:basedOn w:val="1"/>
    <w:qFormat/>
    <w:uiPriority w:val="0"/>
    <w:pPr>
      <w:adjustRightInd w:val="0"/>
      <w:spacing w:line="360" w:lineRule="atLeast"/>
      <w:jc w:val="left"/>
      <w:textAlignment w:val="baseline"/>
    </w:pPr>
    <w:rPr>
      <w:kern w:val="0"/>
      <w:szCs w:val="20"/>
    </w:rPr>
  </w:style>
  <w:style w:type="paragraph" w:customStyle="1" w:styleId="1460">
    <w:name w:val="puce1-3pts"/>
    <w:basedOn w:val="1"/>
    <w:qFormat/>
    <w:uiPriority w:val="0"/>
    <w:pPr>
      <w:widowControl/>
      <w:tabs>
        <w:tab w:val="left" w:pos="1280"/>
        <w:tab w:val="left" w:pos="1560"/>
      </w:tabs>
      <w:spacing w:before="60" w:line="240" w:lineRule="auto"/>
      <w:ind w:left="1559" w:hanging="425"/>
    </w:pPr>
    <w:rPr>
      <w:rFonts w:ascii="Arial" w:hAnsi="Arial" w:eastAsia="MS Mincho"/>
      <w:kern w:val="0"/>
      <w:sz w:val="20"/>
      <w:szCs w:val="20"/>
      <w:lang w:eastAsia="fr-FR"/>
    </w:rPr>
  </w:style>
  <w:style w:type="paragraph" w:customStyle="1" w:styleId="1461">
    <w:name w:val="样式 正文首行缩进 + 首行缩进:  0 厘米"/>
    <w:basedOn w:val="87"/>
    <w:qFormat/>
    <w:uiPriority w:val="0"/>
    <w:pPr>
      <w:spacing w:after="0" w:line="240" w:lineRule="exact"/>
      <w:ind w:firstLine="0" w:firstLineChars="0"/>
    </w:pPr>
    <w:rPr>
      <w:rFonts w:ascii="宋体" w:hAnsi="宋体" w:cs="宋体"/>
      <w:szCs w:val="20"/>
    </w:rPr>
  </w:style>
  <w:style w:type="paragraph" w:customStyle="1" w:styleId="1462">
    <w:name w:val="表标题2.1"/>
    <w:basedOn w:val="1463"/>
    <w:qFormat/>
    <w:uiPriority w:val="0"/>
    <w:pPr>
      <w:tabs>
        <w:tab w:val="left" w:pos="720"/>
        <w:tab w:val="left" w:pos="3060"/>
        <w:tab w:val="left" w:pos="8207"/>
      </w:tabs>
      <w:ind w:left="2400" w:hanging="420"/>
    </w:pPr>
  </w:style>
  <w:style w:type="paragraph" w:customStyle="1" w:styleId="1463">
    <w:name w:val="表标2.6"/>
    <w:next w:val="1"/>
    <w:qFormat/>
    <w:uiPriority w:val="0"/>
    <w:pPr>
      <w:tabs>
        <w:tab w:val="left" w:pos="720"/>
        <w:tab w:val="left" w:pos="8207"/>
      </w:tabs>
      <w:adjustRightInd w:val="0"/>
      <w:snapToGrid w:val="0"/>
      <w:spacing w:before="240" w:line="0" w:lineRule="atLeast"/>
      <w:ind w:left="-4" w:firstLine="4"/>
      <w:jc w:val="center"/>
      <w:textAlignment w:val="baseline"/>
    </w:pPr>
    <w:rPr>
      <w:rFonts w:ascii="Times New Roman" w:hAnsi="Times New Roman" w:eastAsia="黑体" w:cs="Times New Roman"/>
      <w:b/>
      <w:color w:val="000000"/>
      <w:kern w:val="2"/>
      <w:sz w:val="24"/>
      <w:szCs w:val="24"/>
      <w:lang w:val="en-US" w:eastAsia="zh-CN" w:bidi="ar-SA"/>
    </w:rPr>
  </w:style>
  <w:style w:type="paragraph" w:customStyle="1" w:styleId="1464">
    <w:name w:val="1样式1"/>
    <w:basedOn w:val="5"/>
    <w:qFormat/>
    <w:uiPriority w:val="0"/>
    <w:pPr>
      <w:keepLines/>
      <w:tabs>
        <w:tab w:val="left" w:pos="2040"/>
      </w:tabs>
      <w:snapToGrid w:val="0"/>
      <w:spacing w:before="120" w:after="60" w:line="288" w:lineRule="auto"/>
      <w:ind w:left="1770" w:leftChars="800" w:hanging="1770" w:hangingChars="200"/>
      <w:textAlignment w:val="baseline"/>
    </w:pPr>
    <w:rPr>
      <w:rFonts w:ascii="Times New Roman" w:hAnsi="Times New Roman"/>
      <w:b/>
      <w:kern w:val="44"/>
      <w:sz w:val="32"/>
      <w:szCs w:val="20"/>
    </w:rPr>
  </w:style>
  <w:style w:type="paragraph" w:customStyle="1" w:styleId="1465">
    <w:name w:val="标题06"/>
    <w:basedOn w:val="1"/>
    <w:qFormat/>
    <w:uiPriority w:val="0"/>
    <w:pPr>
      <w:adjustRightInd w:val="0"/>
      <w:spacing w:before="2040" w:line="400" w:lineRule="atLeast"/>
      <w:textAlignment w:val="baseline"/>
    </w:pPr>
    <w:rPr>
      <w:rFonts w:eastAsia="黑体"/>
      <w:spacing w:val="10"/>
      <w:kern w:val="0"/>
      <w:sz w:val="28"/>
      <w:szCs w:val="20"/>
    </w:rPr>
  </w:style>
  <w:style w:type="paragraph" w:customStyle="1" w:styleId="1466">
    <w:name w:val="表8.1-1"/>
    <w:basedOn w:val="1"/>
    <w:qFormat/>
    <w:uiPriority w:val="0"/>
    <w:pPr>
      <w:numPr>
        <w:ilvl w:val="0"/>
        <w:numId w:val="18"/>
      </w:numPr>
      <w:adjustRightInd w:val="0"/>
      <w:snapToGrid w:val="0"/>
      <w:spacing w:beforeLines="100" w:line="0" w:lineRule="atLeast"/>
      <w:jc w:val="center"/>
    </w:pPr>
    <w:rPr>
      <w:rFonts w:ascii="黑体" w:eastAsia="黑体"/>
      <w:b/>
    </w:rPr>
  </w:style>
  <w:style w:type="paragraph" w:customStyle="1" w:styleId="1467">
    <w:name w:val="日期1"/>
    <w:basedOn w:val="1"/>
    <w:next w:val="1"/>
    <w:qFormat/>
    <w:uiPriority w:val="0"/>
    <w:pPr>
      <w:adjustRightInd w:val="0"/>
      <w:spacing w:line="240" w:lineRule="auto"/>
      <w:textAlignment w:val="baseline"/>
    </w:pPr>
    <w:rPr>
      <w:sz w:val="21"/>
      <w:szCs w:val="20"/>
    </w:rPr>
  </w:style>
  <w:style w:type="paragraph" w:customStyle="1" w:styleId="1468">
    <w:name w:val="条(三级)"/>
    <w:basedOn w:val="1469"/>
    <w:next w:val="1"/>
    <w:qFormat/>
    <w:uiPriority w:val="0"/>
    <w:pPr>
      <w:tabs>
        <w:tab w:val="left" w:pos="860"/>
      </w:tabs>
    </w:pPr>
    <w:rPr>
      <w:b/>
    </w:rPr>
  </w:style>
  <w:style w:type="paragraph" w:customStyle="1" w:styleId="1469">
    <w:name w:val="条(二级)"/>
    <w:basedOn w:val="6"/>
    <w:next w:val="1468"/>
    <w:qFormat/>
    <w:uiPriority w:val="0"/>
    <w:pPr>
      <w:keepNext/>
      <w:keepLines/>
      <w:numPr>
        <w:ilvl w:val="0"/>
        <w:numId w:val="0"/>
      </w:numPr>
      <w:tabs>
        <w:tab w:val="clear" w:pos="-181"/>
      </w:tabs>
      <w:snapToGrid/>
      <w:spacing w:before="0" w:beforeLines="0" w:line="460" w:lineRule="exact"/>
      <w:jc w:val="both"/>
      <w:outlineLvl w:val="9"/>
    </w:pPr>
    <w:rPr>
      <w:rFonts w:ascii="宋体" w:hAnsi="Arial"/>
      <w:i/>
      <w:spacing w:val="3"/>
      <w:kern w:val="24"/>
      <w:sz w:val="24"/>
      <w:szCs w:val="20"/>
    </w:rPr>
  </w:style>
  <w:style w:type="paragraph" w:customStyle="1" w:styleId="1470">
    <w:name w:val="样式 样式 表头 + 段前: 1 行1 + 仿宋_GB2312 小四 段前: 1 行 段后: 7.8 磅"/>
    <w:basedOn w:val="1"/>
    <w:qFormat/>
    <w:uiPriority w:val="0"/>
    <w:pPr>
      <w:spacing w:beforeLines="100" w:after="156" w:line="240" w:lineRule="auto"/>
      <w:jc w:val="center"/>
    </w:pPr>
    <w:rPr>
      <w:rFonts w:ascii="仿宋_GB2312" w:eastAsia="仿宋_GB2312" w:cs="宋体"/>
      <w:b/>
      <w:bCs/>
      <w:szCs w:val="20"/>
    </w:rPr>
  </w:style>
  <w:style w:type="paragraph" w:customStyle="1" w:styleId="1471">
    <w:name w:val="Char Char1 Char Char Char Char"/>
    <w:basedOn w:val="1"/>
    <w:qFormat/>
    <w:uiPriority w:val="0"/>
    <w:pPr>
      <w:spacing w:line="240" w:lineRule="auto"/>
    </w:pPr>
  </w:style>
  <w:style w:type="paragraph" w:customStyle="1" w:styleId="1472">
    <w:name w:val="字元1"/>
    <w:basedOn w:val="1"/>
    <w:next w:val="1"/>
    <w:qFormat/>
    <w:uiPriority w:val="0"/>
    <w:pPr>
      <w:spacing w:line="480" w:lineRule="exact"/>
      <w:ind w:left="420" w:firstLine="420"/>
      <w:jc w:val="left"/>
    </w:pPr>
    <w:rPr>
      <w:kern w:val="0"/>
    </w:rPr>
  </w:style>
  <w:style w:type="paragraph" w:customStyle="1" w:styleId="1473">
    <w:name w:val="样式 标题 2 + Times New Roman 段前: 0.5 行 段后: 0.5 行"/>
    <w:basedOn w:val="6"/>
    <w:qFormat/>
    <w:uiPriority w:val="0"/>
    <w:pPr>
      <w:keepNext/>
      <w:keepLines/>
      <w:numPr>
        <w:ilvl w:val="0"/>
        <w:numId w:val="0"/>
      </w:numPr>
      <w:tabs>
        <w:tab w:val="left" w:pos="4500"/>
        <w:tab w:val="clear" w:pos="-181"/>
      </w:tabs>
      <w:spacing w:before="260" w:beforeLines="30" w:after="260" w:afterLines="30" w:line="460" w:lineRule="exact"/>
      <w:jc w:val="both"/>
    </w:pPr>
    <w:rPr>
      <w:rFonts w:cs="宋体"/>
      <w:bCs/>
      <w:i/>
      <w:szCs w:val="20"/>
    </w:rPr>
  </w:style>
  <w:style w:type="paragraph" w:customStyle="1" w:styleId="1474">
    <w:name w:val="Char Char1 Char Char1 Char Char1 Char Char1 Char Char Char Char Char Char Char2"/>
    <w:basedOn w:val="1"/>
    <w:qFormat/>
    <w:uiPriority w:val="0"/>
    <w:pPr>
      <w:spacing w:line="240" w:lineRule="auto"/>
    </w:pPr>
    <w:rPr>
      <w:rFonts w:ascii="Tahoma" w:hAnsi="Tahoma"/>
    </w:rPr>
  </w:style>
  <w:style w:type="paragraph" w:customStyle="1" w:styleId="1475">
    <w:name w:val="样式 表格1 + 左侧:  0.85 厘米"/>
    <w:basedOn w:val="409"/>
    <w:qFormat/>
    <w:uiPriority w:val="0"/>
    <w:pPr>
      <w:snapToGrid w:val="0"/>
      <w:spacing w:line="240" w:lineRule="auto"/>
      <w:jc w:val="center"/>
      <w:textAlignment w:val="auto"/>
    </w:pPr>
    <w:rPr>
      <w:rFonts w:hAnsi="宋体" w:cs="宋体"/>
      <w:color w:val="000000"/>
      <w:spacing w:val="0"/>
    </w:rPr>
  </w:style>
  <w:style w:type="paragraph" w:customStyle="1" w:styleId="1476">
    <w:name w:val="样式 表头 + 段前: 1 行"/>
    <w:basedOn w:val="1"/>
    <w:qFormat/>
    <w:uiPriority w:val="0"/>
    <w:pPr>
      <w:tabs>
        <w:tab w:val="left" w:pos="540"/>
      </w:tabs>
      <w:spacing w:beforeLines="50" w:line="480" w:lineRule="exact"/>
      <w:jc w:val="center"/>
    </w:pPr>
    <w:rPr>
      <w:rFonts w:hAnsi="宋体"/>
      <w:b/>
      <w:bCs/>
      <w:color w:val="000000"/>
      <w:kern w:val="24"/>
      <w:szCs w:val="20"/>
    </w:rPr>
  </w:style>
  <w:style w:type="paragraph" w:customStyle="1" w:styleId="1477">
    <w:name w:val="样式 样式 表标题2.4 + 居中 段前: 1 行 + 两端对齐"/>
    <w:basedOn w:val="1445"/>
    <w:qFormat/>
    <w:uiPriority w:val="0"/>
    <w:pPr>
      <w:numPr>
        <w:ilvl w:val="0"/>
        <w:numId w:val="19"/>
      </w:numPr>
      <w:jc w:val="both"/>
    </w:pPr>
  </w:style>
  <w:style w:type="paragraph" w:customStyle="1" w:styleId="1478">
    <w:name w:val="样式 表内文字 + 10 磅 首行缩进:  0.63 厘米"/>
    <w:basedOn w:val="1479"/>
    <w:qFormat/>
    <w:uiPriority w:val="0"/>
    <w:pPr>
      <w:snapToGrid w:val="0"/>
      <w:spacing w:before="0" w:line="320" w:lineRule="exact"/>
      <w:ind w:firstLine="360"/>
      <w:textAlignment w:val="auto"/>
    </w:pPr>
    <w:rPr>
      <w:rFonts w:eastAsia="楷体_GB2312"/>
      <w:sz w:val="20"/>
    </w:rPr>
  </w:style>
  <w:style w:type="paragraph" w:customStyle="1" w:styleId="1479">
    <w:name w:val="表内文字"/>
    <w:basedOn w:val="1"/>
    <w:link w:val="3263"/>
    <w:qFormat/>
    <w:uiPriority w:val="0"/>
    <w:pPr>
      <w:adjustRightInd w:val="0"/>
      <w:spacing w:before="80" w:line="240" w:lineRule="atLeast"/>
      <w:jc w:val="center"/>
      <w:textAlignment w:val="baseline"/>
    </w:pPr>
    <w:rPr>
      <w:kern w:val="0"/>
      <w:sz w:val="21"/>
      <w:szCs w:val="20"/>
    </w:rPr>
  </w:style>
  <w:style w:type="paragraph" w:customStyle="1" w:styleId="1480">
    <w:name w:val="样式 样式 两端对齐 行距: 1.5 倍行距 + 首行缩进:  2 字符"/>
    <w:basedOn w:val="1"/>
    <w:qFormat/>
    <w:uiPriority w:val="0"/>
    <w:pPr>
      <w:widowControl/>
      <w:spacing w:line="312" w:lineRule="auto"/>
      <w:ind w:firstLine="560" w:firstLineChars="200"/>
    </w:pPr>
    <w:rPr>
      <w:rFonts w:cs="宋体"/>
      <w:sz w:val="26"/>
      <w:szCs w:val="20"/>
    </w:rPr>
  </w:style>
  <w:style w:type="paragraph" w:customStyle="1" w:styleId="1481">
    <w:name w:val="Char12 Char Char Char"/>
    <w:basedOn w:val="1"/>
    <w:qFormat/>
    <w:uiPriority w:val="0"/>
    <w:pPr>
      <w:spacing w:after="160" w:line="240" w:lineRule="exact"/>
      <w:jc w:val="left"/>
    </w:pPr>
    <w:rPr>
      <w:rFonts w:ascii="Arial" w:hAnsi="Arial" w:eastAsia="Times New Roman" w:cs="Verdana"/>
      <w:b/>
      <w:kern w:val="0"/>
      <w:lang w:eastAsia="en-US"/>
    </w:rPr>
  </w:style>
  <w:style w:type="paragraph" w:customStyle="1" w:styleId="1482">
    <w:name w:val="样式82"/>
    <w:basedOn w:val="5"/>
    <w:qFormat/>
    <w:uiPriority w:val="0"/>
    <w:pPr>
      <w:keepLines/>
      <w:adjustRightInd w:val="0"/>
      <w:snapToGrid w:val="0"/>
      <w:spacing w:before="300" w:after="300" w:line="360" w:lineRule="auto"/>
    </w:pPr>
    <w:rPr>
      <w:rFonts w:ascii="Times New Roman" w:hAnsi="Times New Roman" w:eastAsia="黑体"/>
      <w:b/>
      <w:bCs/>
      <w:kern w:val="44"/>
      <w:sz w:val="44"/>
      <w:szCs w:val="44"/>
    </w:rPr>
  </w:style>
  <w:style w:type="paragraph" w:customStyle="1" w:styleId="1483">
    <w:name w:val="样式 五号 居中 行距: 最小值 18 磅"/>
    <w:basedOn w:val="1"/>
    <w:qFormat/>
    <w:uiPriority w:val="0"/>
    <w:pPr>
      <w:spacing w:line="360" w:lineRule="atLeast"/>
      <w:jc w:val="center"/>
    </w:pPr>
    <w:rPr>
      <w:rFonts w:cs="宋体"/>
      <w:sz w:val="21"/>
      <w:szCs w:val="20"/>
    </w:rPr>
  </w:style>
  <w:style w:type="paragraph" w:customStyle="1" w:styleId="1484">
    <w:name w:val="图表目录11"/>
    <w:basedOn w:val="1"/>
    <w:next w:val="1"/>
    <w:qFormat/>
    <w:uiPriority w:val="0"/>
    <w:pPr>
      <w:adjustRightInd w:val="0"/>
      <w:spacing w:line="360" w:lineRule="atLeast"/>
      <w:jc w:val="left"/>
      <w:textAlignment w:val="baseline"/>
    </w:pPr>
    <w:rPr>
      <w:rFonts w:ascii="宋体" w:hAnsi="宋体" w:cs="宋体"/>
      <w:spacing w:val="4"/>
    </w:rPr>
  </w:style>
  <w:style w:type="paragraph" w:customStyle="1" w:styleId="1485">
    <w:name w:val="1标题2级"/>
    <w:basedOn w:val="1"/>
    <w:qFormat/>
    <w:uiPriority w:val="0"/>
    <w:pPr>
      <w:keepNext/>
      <w:snapToGrid w:val="0"/>
      <w:spacing w:line="420" w:lineRule="auto"/>
      <w:outlineLvl w:val="1"/>
    </w:pPr>
    <w:rPr>
      <w:rFonts w:eastAsia="黑体"/>
      <w:b/>
      <w:sz w:val="28"/>
    </w:rPr>
  </w:style>
  <w:style w:type="paragraph" w:customStyle="1" w:styleId="1486">
    <w:name w:val="表号文字"/>
    <w:basedOn w:val="1"/>
    <w:qFormat/>
    <w:uiPriority w:val="0"/>
    <w:pPr>
      <w:adjustRightInd w:val="0"/>
      <w:snapToGrid w:val="0"/>
      <w:spacing w:before="120" w:line="300" w:lineRule="auto"/>
    </w:pPr>
    <w:rPr>
      <w:rFonts w:eastAsia="黑体"/>
    </w:rPr>
  </w:style>
  <w:style w:type="paragraph" w:customStyle="1" w:styleId="1487">
    <w:name w:val="可研-表格正文"/>
    <w:basedOn w:val="1488"/>
    <w:qFormat/>
    <w:uiPriority w:val="0"/>
    <w:pPr>
      <w:widowControl w:val="0"/>
      <w:spacing w:line="0" w:lineRule="atLeast"/>
      <w:ind w:firstLine="0" w:firstLineChars="0"/>
    </w:pPr>
  </w:style>
  <w:style w:type="paragraph" w:customStyle="1" w:styleId="1488">
    <w:name w:val="可研-正文"/>
    <w:basedOn w:val="1"/>
    <w:qFormat/>
    <w:uiPriority w:val="0"/>
    <w:pPr>
      <w:widowControl/>
      <w:spacing w:line="520" w:lineRule="exact"/>
      <w:ind w:firstLine="200" w:firstLineChars="200"/>
    </w:pPr>
    <w:rPr>
      <w:rFonts w:ascii="宋体"/>
    </w:rPr>
  </w:style>
  <w:style w:type="paragraph" w:customStyle="1" w:styleId="1489">
    <w:name w:val="样式35"/>
    <w:basedOn w:val="1"/>
    <w:qFormat/>
    <w:uiPriority w:val="0"/>
    <w:pPr>
      <w:adjustRightInd w:val="0"/>
      <w:snapToGrid w:val="0"/>
    </w:pPr>
    <w:rPr>
      <w:b/>
      <w:sz w:val="28"/>
      <w:szCs w:val="28"/>
    </w:rPr>
  </w:style>
  <w:style w:type="paragraph" w:customStyle="1" w:styleId="1490">
    <w:name w:val="xyb自建表格名称"/>
    <w:basedOn w:val="1"/>
    <w:qFormat/>
    <w:uiPriority w:val="0"/>
    <w:pPr>
      <w:jc w:val="center"/>
    </w:pPr>
    <w:rPr>
      <w:rFonts w:ascii="宋体" w:hAnsi="宋体"/>
    </w:rPr>
  </w:style>
  <w:style w:type="paragraph" w:customStyle="1" w:styleId="1491">
    <w:name w:val="Char Char Char Char Char Char1 Char Char Char Char Char Char Char"/>
    <w:basedOn w:val="1"/>
    <w:qFormat/>
    <w:uiPriority w:val="0"/>
    <w:pPr>
      <w:spacing w:line="240" w:lineRule="auto"/>
    </w:pPr>
    <w:rPr>
      <w:sz w:val="21"/>
      <w:szCs w:val="20"/>
    </w:rPr>
  </w:style>
  <w:style w:type="paragraph" w:customStyle="1" w:styleId="1492">
    <w:name w:val="Char Char Char1 Char Char Char Char Char Char Char Char Char Char"/>
    <w:basedOn w:val="1"/>
    <w:qFormat/>
    <w:uiPriority w:val="0"/>
    <w:pPr>
      <w:adjustRightInd w:val="0"/>
      <w:snapToGrid w:val="0"/>
      <w:ind w:firstLine="200" w:firstLineChars="200"/>
    </w:pPr>
    <w:rPr>
      <w:rFonts w:ascii="宋体" w:hAnsi="宋体" w:cs="宋体"/>
      <w:szCs w:val="26"/>
    </w:rPr>
  </w:style>
  <w:style w:type="paragraph" w:customStyle="1" w:styleId="1493">
    <w:name w:val="样式 4级 + 段前: 0.5 行 段后: 0.5 行"/>
    <w:basedOn w:val="1494"/>
    <w:qFormat/>
    <w:uiPriority w:val="0"/>
    <w:pPr>
      <w:spacing w:beforeLines="50" w:afterLines="50" w:line="440" w:lineRule="exact"/>
    </w:pPr>
    <w:rPr>
      <w:rFonts w:eastAsia="黑体" w:cs="宋体"/>
      <w:b w:val="0"/>
      <w:bCs/>
      <w:szCs w:val="20"/>
    </w:rPr>
  </w:style>
  <w:style w:type="paragraph" w:customStyle="1" w:styleId="1494">
    <w:name w:val="4级"/>
    <w:basedOn w:val="8"/>
    <w:qFormat/>
    <w:uiPriority w:val="0"/>
    <w:pPr>
      <w:widowControl/>
      <w:tabs>
        <w:tab w:val="clear" w:pos="864"/>
      </w:tabs>
      <w:spacing w:before="40" w:after="40" w:line="240" w:lineRule="auto"/>
      <w:ind w:left="0" w:firstLine="0"/>
      <w:jc w:val="both"/>
    </w:pPr>
    <w:rPr>
      <w:rFonts w:eastAsia="仿宋_GB2312"/>
      <w:bCs w:val="0"/>
      <w:szCs w:val="28"/>
      <w:lang w:bidi="en-US"/>
    </w:rPr>
  </w:style>
  <w:style w:type="paragraph" w:customStyle="1" w:styleId="1495">
    <w:name w:val="表格文本"/>
    <w:basedOn w:val="1"/>
    <w:qFormat/>
    <w:uiPriority w:val="0"/>
    <w:pPr>
      <w:spacing w:line="240" w:lineRule="exact"/>
    </w:pPr>
    <w:rPr>
      <w:sz w:val="21"/>
      <w:szCs w:val="20"/>
    </w:rPr>
  </w:style>
  <w:style w:type="paragraph" w:customStyle="1" w:styleId="1496">
    <w:name w:val="样式 表标题3.10 + 段前: 1 行"/>
    <w:basedOn w:val="1497"/>
    <w:qFormat/>
    <w:uiPriority w:val="0"/>
    <w:pPr>
      <w:numPr>
        <w:ilvl w:val="0"/>
        <w:numId w:val="20"/>
      </w:numPr>
      <w:tabs>
        <w:tab w:val="center" w:pos="4060"/>
        <w:tab w:val="right" w:pos="8261"/>
      </w:tabs>
    </w:pPr>
    <w:rPr>
      <w:rFonts w:cs="宋体"/>
      <w:bCs/>
      <w:spacing w:val="0"/>
    </w:rPr>
  </w:style>
  <w:style w:type="paragraph" w:customStyle="1" w:styleId="1497">
    <w:name w:val="表标题3.10"/>
    <w:basedOn w:val="1446"/>
    <w:qFormat/>
    <w:uiPriority w:val="0"/>
  </w:style>
  <w:style w:type="paragraph" w:customStyle="1" w:styleId="1498">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pPr>
    <w:rPr>
      <w:rFonts w:ascii="Arial" w:hAnsi="Arial"/>
      <w:b/>
      <w:spacing w:val="-10"/>
      <w:kern w:val="0"/>
      <w:position w:val="7"/>
      <w:sz w:val="20"/>
      <w:szCs w:val="20"/>
    </w:rPr>
  </w:style>
  <w:style w:type="paragraph" w:customStyle="1" w:styleId="1499">
    <w:name w:val="p19"/>
    <w:basedOn w:val="1"/>
    <w:qFormat/>
    <w:uiPriority w:val="0"/>
    <w:pPr>
      <w:widowControl/>
      <w:jc w:val="center"/>
    </w:pPr>
    <w:rPr>
      <w:b/>
      <w:bCs/>
      <w:kern w:val="0"/>
    </w:rPr>
  </w:style>
  <w:style w:type="paragraph" w:customStyle="1" w:styleId="1500">
    <w:name w:val="Char Char Char Char1 Char Char Char Char Char Char Char Char Char Char Char Char"/>
    <w:basedOn w:val="1"/>
    <w:qFormat/>
    <w:uiPriority w:val="0"/>
    <w:pPr>
      <w:spacing w:line="240" w:lineRule="auto"/>
    </w:pPr>
  </w:style>
  <w:style w:type="paragraph" w:customStyle="1" w:styleId="1501">
    <w:name w:val="CM51"/>
    <w:basedOn w:val="1"/>
    <w:next w:val="1"/>
    <w:qFormat/>
    <w:uiPriority w:val="0"/>
    <w:pPr>
      <w:autoSpaceDE w:val="0"/>
      <w:autoSpaceDN w:val="0"/>
      <w:adjustRightInd w:val="0"/>
      <w:spacing w:line="468" w:lineRule="atLeast"/>
      <w:jc w:val="left"/>
    </w:pPr>
    <w:rPr>
      <w:rFonts w:ascii="·..." w:eastAsia="·..." w:cs="·..."/>
      <w:kern w:val="0"/>
    </w:rPr>
  </w:style>
  <w:style w:type="paragraph" w:customStyle="1" w:styleId="1502">
    <w:name w:val="样式 标题 3小节名小节 + (中文) 黑体 小三"/>
    <w:basedOn w:val="7"/>
    <w:qFormat/>
    <w:uiPriority w:val="0"/>
    <w:pPr>
      <w:numPr>
        <w:numId w:val="0"/>
      </w:numPr>
      <w:tabs>
        <w:tab w:val="left" w:pos="1365"/>
      </w:tabs>
      <w:spacing w:before="240" w:after="0" w:line="360" w:lineRule="auto"/>
    </w:pPr>
    <w:rPr>
      <w:rFonts w:ascii="Times New Roman" w:hAnsi="Times New Roman" w:eastAsia="黑体"/>
      <w:b w:val="0"/>
      <w:sz w:val="30"/>
      <w:szCs w:val="20"/>
    </w:rPr>
  </w:style>
  <w:style w:type="paragraph" w:customStyle="1" w:styleId="1503">
    <w:name w:val="xl51"/>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504">
    <w:name w:val="表标题16.9"/>
    <w:basedOn w:val="1"/>
    <w:qFormat/>
    <w:uiPriority w:val="0"/>
    <w:pPr>
      <w:tabs>
        <w:tab w:val="left" w:pos="2444"/>
        <w:tab w:val="center" w:pos="4060"/>
        <w:tab w:val="right" w:pos="8261"/>
      </w:tabs>
      <w:suppressAutoHyphens/>
      <w:adjustRightInd w:val="0"/>
      <w:spacing w:before="240" w:line="0" w:lineRule="atLeast"/>
      <w:ind w:left="1720" w:firstLine="4"/>
    </w:pPr>
    <w:rPr>
      <w:rFonts w:ascii="黑体" w:eastAsia="黑体"/>
      <w:b/>
      <w:spacing w:val="6"/>
      <w:kern w:val="0"/>
      <w:sz w:val="26"/>
      <w:szCs w:val="26"/>
    </w:rPr>
  </w:style>
  <w:style w:type="paragraph" w:customStyle="1" w:styleId="1505">
    <w:name w:val="正文缩进 2字符"/>
    <w:basedOn w:val="1"/>
    <w:qFormat/>
    <w:uiPriority w:val="0"/>
    <w:pPr>
      <w:tabs>
        <w:tab w:val="left" w:pos="2160"/>
      </w:tabs>
      <w:snapToGrid w:val="0"/>
      <w:spacing w:before="120" w:after="120" w:line="240" w:lineRule="auto"/>
      <w:ind w:firstLine="480" w:firstLineChars="200"/>
    </w:pPr>
    <w:rPr>
      <w:rFonts w:eastAsia="仿宋_GB2312"/>
      <w:color w:val="000000"/>
      <w:sz w:val="21"/>
      <w:szCs w:val="21"/>
    </w:rPr>
  </w:style>
  <w:style w:type="paragraph" w:customStyle="1" w:styleId="1506">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 w:val="16"/>
      <w:szCs w:val="16"/>
    </w:rPr>
  </w:style>
  <w:style w:type="paragraph" w:customStyle="1" w:styleId="1507">
    <w:name w:val="Bullet"/>
    <w:qFormat/>
    <w:uiPriority w:val="0"/>
    <w:pPr>
      <w:widowControl w:val="0"/>
      <w:autoSpaceDE w:val="0"/>
      <w:autoSpaceDN w:val="0"/>
      <w:adjustRightInd w:val="0"/>
      <w:ind w:left="720"/>
    </w:pPr>
    <w:rPr>
      <w:rFonts w:ascii="MingLiU" w:hAnsi="Times New Roman" w:eastAsia="MingLiU" w:cs="Times New Roman"/>
      <w:color w:val="000000"/>
      <w:kern w:val="0"/>
      <w:sz w:val="24"/>
      <w:szCs w:val="20"/>
      <w:lang w:val="en-US" w:eastAsia="zh-TW" w:bidi="ar-SA"/>
    </w:rPr>
  </w:style>
  <w:style w:type="paragraph" w:customStyle="1" w:styleId="1508">
    <w:name w:val="样式 标题 4常用标题 4 + 段前: 6 磅 段后: 6 磅 行距: 固定值 26 磅"/>
    <w:basedOn w:val="8"/>
    <w:qFormat/>
    <w:uiPriority w:val="0"/>
    <w:pPr>
      <w:keepLines/>
      <w:tabs>
        <w:tab w:val="left" w:pos="800"/>
        <w:tab w:val="clear" w:pos="864"/>
      </w:tabs>
      <w:spacing w:before="120" w:after="120" w:line="520" w:lineRule="exact"/>
      <w:ind w:left="0" w:firstLine="0"/>
      <w:jc w:val="both"/>
    </w:pPr>
    <w:rPr>
      <w:rFonts w:ascii="Arial" w:hAnsi="Arial" w:eastAsia="黑体" w:cs="宋体"/>
      <w:b w:val="0"/>
      <w:sz w:val="28"/>
      <w:szCs w:val="20"/>
    </w:rPr>
  </w:style>
  <w:style w:type="paragraph" w:customStyle="1" w:styleId="1509">
    <w:name w:val="文本框"/>
    <w:basedOn w:val="1"/>
    <w:qFormat/>
    <w:uiPriority w:val="0"/>
    <w:pPr>
      <w:spacing w:line="240" w:lineRule="auto"/>
      <w:jc w:val="center"/>
    </w:pPr>
  </w:style>
  <w:style w:type="paragraph" w:customStyle="1" w:styleId="1510">
    <w:name w:val="页脚31"/>
    <w:basedOn w:val="1511"/>
    <w:qFormat/>
    <w:uiPriority w:val="0"/>
    <w:pPr>
      <w:tabs>
        <w:tab w:val="center" w:pos="4153"/>
        <w:tab w:val="right" w:pos="8306"/>
      </w:tabs>
      <w:autoSpaceDE/>
      <w:autoSpaceDN/>
      <w:adjustRightInd w:val="0"/>
      <w:spacing w:after="0" w:line="240" w:lineRule="atLeast"/>
      <w:ind w:left="0" w:firstLine="0"/>
      <w:jc w:val="left"/>
      <w:textAlignment w:val="baseline"/>
    </w:pPr>
    <w:rPr>
      <w:rFonts w:ascii="宋体"/>
      <w:kern w:val="0"/>
      <w:sz w:val="18"/>
    </w:rPr>
  </w:style>
  <w:style w:type="paragraph" w:customStyle="1" w:styleId="1511">
    <w:name w:val="正文4"/>
    <w:basedOn w:val="1"/>
    <w:qFormat/>
    <w:uiPriority w:val="0"/>
    <w:pPr>
      <w:autoSpaceDE w:val="0"/>
      <w:autoSpaceDN w:val="0"/>
      <w:spacing w:after="160" w:line="440" w:lineRule="exact"/>
      <w:ind w:left="567" w:hanging="567"/>
      <w:textAlignment w:val="bottom"/>
    </w:pPr>
    <w:rPr>
      <w:sz w:val="28"/>
      <w:szCs w:val="20"/>
    </w:rPr>
  </w:style>
  <w:style w:type="paragraph" w:customStyle="1" w:styleId="1512">
    <w:name w:val="样式 宋体 左 行距: 单倍行距"/>
    <w:basedOn w:val="1"/>
    <w:qFormat/>
    <w:uiPriority w:val="0"/>
    <w:pPr>
      <w:spacing w:line="300" w:lineRule="auto"/>
      <w:ind w:firstLine="200" w:firstLineChars="200"/>
      <w:jc w:val="left"/>
    </w:pPr>
    <w:rPr>
      <w:rFonts w:ascii="宋体" w:cs="宋体"/>
      <w:kern w:val="0"/>
      <w:sz w:val="21"/>
      <w:szCs w:val="20"/>
    </w:rPr>
  </w:style>
  <w:style w:type="paragraph" w:customStyle="1" w:styleId="1513">
    <w:name w:val="表13.4-1"/>
    <w:basedOn w:val="1"/>
    <w:next w:val="1"/>
    <w:qFormat/>
    <w:uiPriority w:val="0"/>
    <w:pPr>
      <w:numPr>
        <w:ilvl w:val="0"/>
        <w:numId w:val="21"/>
      </w:numPr>
      <w:spacing w:line="312" w:lineRule="auto"/>
    </w:pPr>
    <w:rPr>
      <w:rFonts w:ascii="黑体" w:hAnsi="宋体" w:eastAsia="黑体" w:cs="宋体"/>
      <w:b/>
    </w:rPr>
  </w:style>
  <w:style w:type="paragraph" w:customStyle="1" w:styleId="1514">
    <w:name w:val="edri-title secong"/>
    <w:basedOn w:val="1"/>
    <w:qFormat/>
    <w:uiPriority w:val="0"/>
    <w:pPr>
      <w:tabs>
        <w:tab w:val="left" w:pos="2"/>
        <w:tab w:val="left" w:pos="945"/>
      </w:tabs>
      <w:spacing w:before="50" w:beforeLines="50" w:line="300" w:lineRule="auto"/>
      <w:ind w:left="966" w:hanging="964"/>
      <w:outlineLvl w:val="1"/>
    </w:pPr>
    <w:rPr>
      <w:rFonts w:ascii="Arial Narrow" w:hAnsi="Arial Narrow"/>
      <w:b/>
      <w:bCs/>
      <w:kern w:val="0"/>
      <w:sz w:val="28"/>
      <w:szCs w:val="20"/>
    </w:rPr>
  </w:style>
  <w:style w:type="paragraph" w:customStyle="1" w:styleId="1515">
    <w:name w:val="样式 表头样式 + 两端对齐 段前: 0.5 行 段后: 0.5 行 首行缩进:  1 字符"/>
    <w:basedOn w:val="205"/>
    <w:qFormat/>
    <w:uiPriority w:val="0"/>
    <w:pPr>
      <w:keepNext/>
      <w:keepLines/>
      <w:widowControl/>
      <w:spacing w:beforeLines="50" w:afterLines="50" w:line="520" w:lineRule="exact"/>
    </w:pPr>
    <w:rPr>
      <w:rFonts w:ascii="宋体" w:hAnsi="宋体" w:eastAsia="宋体" w:cs="宋体"/>
      <w:sz w:val="24"/>
      <w:szCs w:val="20"/>
    </w:rPr>
  </w:style>
  <w:style w:type="paragraph" w:customStyle="1" w:styleId="1516">
    <w:name w:val="可研-节标题"/>
    <w:next w:val="1488"/>
    <w:qFormat/>
    <w:uiPriority w:val="0"/>
    <w:pPr>
      <w:spacing w:line="360" w:lineRule="auto"/>
      <w:outlineLvl w:val="1"/>
    </w:pPr>
    <w:rPr>
      <w:rFonts w:ascii="Times New Roman" w:hAnsi="Times New Roman" w:eastAsia="宋体" w:cs="Times New Roman"/>
      <w:b/>
      <w:kern w:val="0"/>
      <w:sz w:val="28"/>
      <w:szCs w:val="30"/>
      <w:lang w:val="en-US" w:eastAsia="zh-CN" w:bidi="ar-SA"/>
    </w:rPr>
  </w:style>
  <w:style w:type="paragraph" w:customStyle="1" w:styleId="1517">
    <w:name w:val="Header Base"/>
    <w:basedOn w:val="1"/>
    <w:qFormat/>
    <w:uiPriority w:val="0"/>
    <w:pPr>
      <w:widowControl/>
      <w:spacing w:line="240" w:lineRule="auto"/>
      <w:ind w:right="-360"/>
    </w:pPr>
    <w:rPr>
      <w:kern w:val="0"/>
      <w:sz w:val="20"/>
      <w:szCs w:val="20"/>
    </w:rPr>
  </w:style>
  <w:style w:type="paragraph" w:customStyle="1" w:styleId="1518">
    <w:name w:val="标题样式03"/>
    <w:basedOn w:val="1"/>
    <w:qFormat/>
    <w:uiPriority w:val="0"/>
    <w:pPr>
      <w:autoSpaceDE w:val="0"/>
      <w:autoSpaceDN w:val="0"/>
      <w:adjustRightInd w:val="0"/>
      <w:outlineLvl w:val="2"/>
    </w:pPr>
    <w:rPr>
      <w:rFonts w:ascii="黑体" w:eastAsia="黑体" w:cs="宋体"/>
      <w:b/>
      <w:color w:val="000000"/>
      <w:kern w:val="0"/>
      <w:szCs w:val="28"/>
      <w:lang w:val="zh-CN"/>
    </w:rPr>
  </w:style>
  <w:style w:type="paragraph" w:customStyle="1" w:styleId="1519">
    <w:name w:val="样式49"/>
    <w:basedOn w:val="708"/>
    <w:qFormat/>
    <w:uiPriority w:val="0"/>
    <w:pPr>
      <w:outlineLvl w:val="3"/>
    </w:pPr>
    <w:rPr>
      <w:rFonts w:ascii="Times New Roman" w:hAnsi="Times New Roman" w:eastAsia="黑体"/>
    </w:rPr>
  </w:style>
  <w:style w:type="paragraph" w:customStyle="1" w:styleId="1520">
    <w:name w:val="样式 正文文字 +"/>
    <w:basedOn w:val="1"/>
    <w:qFormat/>
    <w:uiPriority w:val="0"/>
    <w:pPr>
      <w:adjustRightInd w:val="0"/>
      <w:snapToGrid w:val="0"/>
      <w:spacing w:before="60" w:after="60" w:line="264" w:lineRule="auto"/>
      <w:ind w:firstLine="110" w:firstLineChars="110"/>
      <w:textAlignment w:val="baseline"/>
    </w:pPr>
    <w:rPr>
      <w:rFonts w:eastAsia="仿宋_GB2312"/>
      <w:snapToGrid w:val="0"/>
      <w:kern w:val="0"/>
    </w:rPr>
  </w:style>
  <w:style w:type="paragraph" w:customStyle="1" w:styleId="1521">
    <w:name w:val="表格0000000"/>
    <w:basedOn w:val="1"/>
    <w:next w:val="1"/>
    <w:qFormat/>
    <w:uiPriority w:val="0"/>
    <w:pPr>
      <w:snapToGrid w:val="0"/>
      <w:spacing w:line="240" w:lineRule="atLeast"/>
      <w:jc w:val="center"/>
    </w:pPr>
    <w:rPr>
      <w:rFonts w:ascii="宋体" w:hAnsi="宋体"/>
      <w:bCs/>
      <w:sz w:val="21"/>
      <w:szCs w:val="28"/>
    </w:rPr>
  </w:style>
  <w:style w:type="paragraph" w:customStyle="1" w:styleId="1522">
    <w:name w:val="Char Char7 Char Char Char Char Char Char5"/>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Cs w:val="0"/>
      <w:color w:val="auto"/>
      <w:kern w:val="0"/>
      <w:szCs w:val="20"/>
    </w:rPr>
  </w:style>
  <w:style w:type="paragraph" w:customStyle="1" w:styleId="1523">
    <w:name w:val="xl30"/>
    <w:basedOn w:val="1"/>
    <w:qFormat/>
    <w:uiPriority w:val="0"/>
    <w:pPr>
      <w:widowControl/>
      <w:pBdr>
        <w:bottom w:val="single" w:color="auto" w:sz="4" w:space="0"/>
      </w:pBdr>
      <w:spacing w:before="100" w:beforeAutospacing="1" w:after="100" w:afterAutospacing="1" w:line="240" w:lineRule="auto"/>
      <w:jc w:val="center"/>
    </w:pPr>
    <w:rPr>
      <w:rFonts w:ascii="宋体" w:hAnsi="宋体"/>
      <w:kern w:val="0"/>
    </w:rPr>
  </w:style>
  <w:style w:type="paragraph" w:customStyle="1" w:styleId="1524">
    <w:name w:val="自制表格1"/>
    <w:basedOn w:val="1"/>
    <w:next w:val="1"/>
    <w:qFormat/>
    <w:uiPriority w:val="0"/>
    <w:pPr>
      <w:adjustRightInd w:val="0"/>
      <w:snapToGrid w:val="0"/>
      <w:jc w:val="center"/>
    </w:pPr>
    <w:rPr>
      <w:rFonts w:cs="宋体"/>
      <w:color w:val="000000"/>
    </w:rPr>
  </w:style>
  <w:style w:type="paragraph" w:customStyle="1" w:styleId="1525">
    <w:name w:val="样式 2级标题 + (中文) 宋体"/>
    <w:basedOn w:val="18"/>
    <w:next w:val="7"/>
    <w:qFormat/>
    <w:uiPriority w:val="0"/>
    <w:pPr>
      <w:spacing w:line="240" w:lineRule="auto"/>
    </w:pPr>
    <w:rPr>
      <w:bCs/>
      <w:sz w:val="21"/>
    </w:rPr>
  </w:style>
  <w:style w:type="paragraph" w:customStyle="1" w:styleId="1526">
    <w:name w:val="pic-info"/>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527">
    <w:name w:val="样式64"/>
    <w:basedOn w:val="1"/>
    <w:qFormat/>
    <w:uiPriority w:val="0"/>
    <w:pPr>
      <w:jc w:val="center"/>
    </w:pPr>
    <w:rPr>
      <w:rFonts w:hAnsi="黑体" w:eastAsia="黑体"/>
    </w:rPr>
  </w:style>
  <w:style w:type="paragraph" w:customStyle="1" w:styleId="1528">
    <w:name w:val="Char Char1 Char Char1 Char Char1 Char Char1 Char Char Char Char Char Char Char3"/>
    <w:basedOn w:val="1"/>
    <w:qFormat/>
    <w:uiPriority w:val="0"/>
    <w:pPr>
      <w:spacing w:line="240" w:lineRule="auto"/>
    </w:pPr>
    <w:rPr>
      <w:rFonts w:ascii="Tahoma" w:hAnsi="Tahoma"/>
    </w:rPr>
  </w:style>
  <w:style w:type="paragraph" w:customStyle="1" w:styleId="1529">
    <w:name w:val="样式 标题 1 + 自动设置"/>
    <w:basedOn w:val="5"/>
    <w:qFormat/>
    <w:uiPriority w:val="0"/>
    <w:pPr>
      <w:keepLines/>
      <w:tabs>
        <w:tab w:val="left" w:pos="360"/>
        <w:tab w:val="left" w:pos="700"/>
      </w:tabs>
      <w:autoSpaceDE w:val="0"/>
      <w:autoSpaceDN w:val="0"/>
      <w:adjustRightInd w:val="0"/>
      <w:spacing w:line="360" w:lineRule="auto"/>
      <w:ind w:left="431" w:hanging="431"/>
      <w:jc w:val="center"/>
    </w:pPr>
    <w:rPr>
      <w:rFonts w:ascii="Times New Roman" w:hAnsi="Times New Roman"/>
      <w:b/>
      <w:bCs/>
      <w:kern w:val="44"/>
      <w:szCs w:val="20"/>
    </w:rPr>
  </w:style>
  <w:style w:type="paragraph" w:customStyle="1" w:styleId="1530">
    <w:name w:val="表中文字5"/>
    <w:basedOn w:val="1"/>
    <w:qFormat/>
    <w:uiPriority w:val="0"/>
    <w:pPr>
      <w:snapToGrid w:val="0"/>
      <w:spacing w:line="240" w:lineRule="auto"/>
    </w:pPr>
    <w:rPr>
      <w:sz w:val="21"/>
      <w:szCs w:val="20"/>
    </w:rPr>
  </w:style>
  <w:style w:type="paragraph" w:customStyle="1" w:styleId="1531">
    <w:name w:val="表字五号"/>
    <w:basedOn w:val="1"/>
    <w:qFormat/>
    <w:uiPriority w:val="0"/>
    <w:pPr>
      <w:autoSpaceDE w:val="0"/>
      <w:autoSpaceDN w:val="0"/>
      <w:adjustRightInd w:val="0"/>
      <w:snapToGrid w:val="0"/>
      <w:spacing w:beforeLines="10" w:afterLines="10" w:line="240" w:lineRule="auto"/>
      <w:jc w:val="center"/>
      <w:textAlignment w:val="bottom"/>
    </w:pPr>
    <w:rPr>
      <w:kern w:val="0"/>
      <w:sz w:val="21"/>
      <w:szCs w:val="20"/>
    </w:rPr>
  </w:style>
  <w:style w:type="paragraph" w:customStyle="1" w:styleId="1532">
    <w:name w:val="_Style 11"/>
    <w:basedOn w:val="1"/>
    <w:next w:val="4"/>
    <w:qFormat/>
    <w:uiPriority w:val="0"/>
    <w:pPr>
      <w:spacing w:line="240" w:lineRule="auto"/>
    </w:pPr>
    <w:rPr>
      <w:sz w:val="21"/>
    </w:rPr>
  </w:style>
  <w:style w:type="paragraph" w:customStyle="1" w:styleId="1533">
    <w:name w:val="表内"/>
    <w:basedOn w:val="1"/>
    <w:qFormat/>
    <w:uiPriority w:val="0"/>
    <w:pPr>
      <w:spacing w:line="240" w:lineRule="auto"/>
      <w:jc w:val="center"/>
    </w:pPr>
    <w:rPr>
      <w:sz w:val="21"/>
    </w:rPr>
  </w:style>
  <w:style w:type="paragraph" w:customStyle="1" w:styleId="1534">
    <w:name w:val="2.1"/>
    <w:basedOn w:val="46"/>
    <w:qFormat/>
    <w:uiPriority w:val="0"/>
    <w:pPr>
      <w:adjustRightInd w:val="0"/>
      <w:snapToGrid w:val="0"/>
    </w:pPr>
    <w:rPr>
      <w:rFonts w:ascii="Times New Roman" w:hAnsi="Times New Roman" w:eastAsia="黑体"/>
      <w:b/>
      <w:sz w:val="32"/>
      <w:szCs w:val="32"/>
    </w:rPr>
  </w:style>
  <w:style w:type="paragraph" w:customStyle="1" w:styleId="1535">
    <w:name w:val="zw"/>
    <w:basedOn w:val="1"/>
    <w:qFormat/>
    <w:uiPriority w:val="0"/>
    <w:pPr>
      <w:ind w:firstLine="200" w:firstLineChars="200"/>
    </w:pPr>
  </w:style>
  <w:style w:type="paragraph" w:customStyle="1" w:styleId="1536">
    <w:name w:val="正文大"/>
    <w:basedOn w:val="1"/>
    <w:qFormat/>
    <w:uiPriority w:val="0"/>
    <w:pPr>
      <w:spacing w:line="480" w:lineRule="auto"/>
      <w:ind w:firstLine="539"/>
    </w:pPr>
    <w:rPr>
      <w:b/>
    </w:rPr>
  </w:style>
  <w:style w:type="paragraph" w:customStyle="1" w:styleId="1537">
    <w:name w:val="样式 宋体 首行缩进:  2 字符"/>
    <w:basedOn w:val="1"/>
    <w:qFormat/>
    <w:uiPriority w:val="0"/>
    <w:pPr>
      <w:spacing w:line="240" w:lineRule="auto"/>
      <w:ind w:firstLine="200" w:firstLineChars="200"/>
    </w:pPr>
    <w:rPr>
      <w:rFonts w:ascii="宋体" w:hAnsi="宋体" w:cs="宋体"/>
      <w:sz w:val="28"/>
      <w:szCs w:val="20"/>
    </w:rPr>
  </w:style>
  <w:style w:type="paragraph" w:customStyle="1" w:styleId="1538">
    <w:name w:val="节2"/>
    <w:basedOn w:val="6"/>
    <w:qFormat/>
    <w:uiPriority w:val="0"/>
    <w:pPr>
      <w:keepNext/>
      <w:keepLines/>
      <w:numPr>
        <w:ilvl w:val="0"/>
        <w:numId w:val="0"/>
      </w:numPr>
      <w:tabs>
        <w:tab w:val="clear" w:pos="-181"/>
      </w:tabs>
      <w:spacing w:before="240" w:beforeLines="30" w:after="60" w:afterLines="30" w:line="312" w:lineRule="auto"/>
      <w:ind w:firstLine="567" w:firstLineChars="200"/>
      <w:jc w:val="both"/>
    </w:pPr>
    <w:rPr>
      <w:rFonts w:ascii="宋体" w:eastAsia="宋体"/>
      <w:bCs/>
      <w:snapToGrid w:val="0"/>
      <w:spacing w:val="6"/>
      <w:sz w:val="32"/>
    </w:rPr>
  </w:style>
  <w:style w:type="paragraph" w:customStyle="1" w:styleId="1539">
    <w:name w:val="樣式6"/>
    <w:basedOn w:val="1"/>
    <w:qFormat/>
    <w:uiPriority w:val="0"/>
    <w:pPr>
      <w:adjustRightInd w:val="0"/>
      <w:spacing w:line="0" w:lineRule="atLeast"/>
      <w:ind w:left="57"/>
      <w:jc w:val="left"/>
      <w:textAlignment w:val="baseline"/>
    </w:pPr>
    <w:rPr>
      <w:rFonts w:ascii="Arial" w:hAnsi="Arial" w:eastAsia="MingLiU"/>
      <w:b/>
      <w:kern w:val="0"/>
      <w:szCs w:val="20"/>
      <w:lang w:eastAsia="zh-TW"/>
    </w:rPr>
  </w:style>
  <w:style w:type="paragraph" w:customStyle="1" w:styleId="1540">
    <w:name w:val="CM35"/>
    <w:basedOn w:val="1345"/>
    <w:next w:val="1345"/>
    <w:qFormat/>
    <w:uiPriority w:val="0"/>
    <w:pPr>
      <w:spacing w:line="468" w:lineRule="atLeast"/>
    </w:pPr>
    <w:rPr>
      <w:rFonts w:ascii="·..." w:eastAsia="·..." w:cs="·..."/>
      <w:color w:val="auto"/>
    </w:rPr>
  </w:style>
  <w:style w:type="paragraph" w:customStyle="1" w:styleId="1541">
    <w:name w:val="表格标题"/>
    <w:basedOn w:val="970"/>
    <w:qFormat/>
    <w:uiPriority w:val="0"/>
    <w:pPr>
      <w:jc w:val="center"/>
      <w:textAlignment w:val="baseline"/>
    </w:pPr>
    <w:rPr>
      <w:rFonts w:ascii="TimesNewRoman" w:hAnsi="TimesNewRoman"/>
      <w:b/>
    </w:rPr>
  </w:style>
  <w:style w:type="paragraph" w:customStyle="1" w:styleId="1542">
    <w:name w:val="正文（1）"/>
    <w:basedOn w:val="23"/>
    <w:next w:val="87"/>
    <w:qFormat/>
    <w:uiPriority w:val="0"/>
    <w:pPr>
      <w:widowControl/>
      <w:adjustRightInd w:val="0"/>
      <w:snapToGrid w:val="0"/>
      <w:spacing w:line="480" w:lineRule="atLeast"/>
      <w:ind w:firstLine="480" w:firstLineChars="200"/>
    </w:pPr>
    <w:rPr>
      <w:rFonts w:hAnsi="宋体"/>
      <w:kern w:val="0"/>
      <w:sz w:val="24"/>
    </w:rPr>
  </w:style>
  <w:style w:type="paragraph" w:customStyle="1" w:styleId="1543">
    <w:name w:val="7.3.3.1"/>
    <w:basedOn w:val="1370"/>
    <w:qFormat/>
    <w:uiPriority w:val="0"/>
    <w:pPr>
      <w:tabs>
        <w:tab w:val="clear" w:pos="2414"/>
      </w:tabs>
      <w:ind w:left="2520" w:firstLine="0"/>
    </w:pPr>
  </w:style>
  <w:style w:type="paragraph" w:customStyle="1" w:styleId="1544">
    <w:name w:val="Char Char7 Char Char Char Char Char Char"/>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1545">
    <w:name w:val="热电厂正文"/>
    <w:basedOn w:val="1"/>
    <w:qFormat/>
    <w:uiPriority w:val="0"/>
    <w:pPr>
      <w:spacing w:line="440" w:lineRule="exact"/>
      <w:ind w:firstLine="480" w:firstLineChars="200"/>
    </w:pPr>
  </w:style>
  <w:style w:type="paragraph" w:customStyle="1" w:styleId="1546">
    <w:name w:val="表16.5"/>
    <w:basedOn w:val="1"/>
    <w:qFormat/>
    <w:uiPriority w:val="0"/>
    <w:pPr>
      <w:tabs>
        <w:tab w:val="center" w:pos="4060"/>
        <w:tab w:val="left" w:pos="4680"/>
        <w:tab w:val="right" w:pos="8261"/>
      </w:tabs>
      <w:suppressAutoHyphens/>
      <w:adjustRightInd w:val="0"/>
      <w:spacing w:beforeLines="100" w:line="0" w:lineRule="atLeast"/>
      <w:ind w:left="4020" w:hanging="420"/>
    </w:pPr>
    <w:rPr>
      <w:rFonts w:ascii="黑体" w:eastAsia="黑体" w:cs="宋体"/>
      <w:b/>
      <w:bCs/>
      <w:kern w:val="0"/>
    </w:rPr>
  </w:style>
  <w:style w:type="paragraph" w:customStyle="1" w:styleId="1547">
    <w:name w:val="特殊标题３"/>
    <w:basedOn w:val="1"/>
    <w:qFormat/>
    <w:uiPriority w:val="0"/>
    <w:pPr>
      <w:overflowPunct w:val="0"/>
      <w:autoSpaceDE w:val="0"/>
      <w:autoSpaceDN w:val="0"/>
      <w:adjustRightInd w:val="0"/>
      <w:textAlignment w:val="baseline"/>
    </w:pPr>
    <w:rPr>
      <w:rFonts w:eastAsia="仿宋_GB2312"/>
      <w:kern w:val="0"/>
      <w:sz w:val="28"/>
      <w:szCs w:val="20"/>
    </w:rPr>
  </w:style>
  <w:style w:type="paragraph" w:customStyle="1" w:styleId="1548">
    <w:name w:val="9"/>
    <w:basedOn w:val="1"/>
    <w:next w:val="1"/>
    <w:qFormat/>
    <w:uiPriority w:val="0"/>
    <w:pPr>
      <w:adjustRightInd w:val="0"/>
      <w:spacing w:before="60" w:line="240" w:lineRule="auto"/>
      <w:ind w:firstLine="480"/>
      <w:textAlignment w:val="baseline"/>
    </w:pPr>
    <w:rPr>
      <w:color w:val="FF0000"/>
      <w:szCs w:val="20"/>
    </w:rPr>
  </w:style>
  <w:style w:type="paragraph" w:customStyle="1" w:styleId="1549">
    <w:name w:val="MFS表格文字"/>
    <w:basedOn w:val="36"/>
    <w:qFormat/>
    <w:uiPriority w:val="0"/>
    <w:pPr>
      <w:adjustRightInd w:val="0"/>
      <w:snapToGrid w:val="0"/>
      <w:spacing w:after="0" w:line="300" w:lineRule="auto"/>
    </w:pPr>
    <w:rPr>
      <w:rFonts w:eastAsia="楷体_GB2312"/>
      <w:sz w:val="21"/>
      <w:szCs w:val="21"/>
    </w:rPr>
  </w:style>
  <w:style w:type="paragraph" w:customStyle="1" w:styleId="1550">
    <w:name w:val="正文 宋体 小四 行距: 1.5 倍行距"/>
    <w:basedOn w:val="1"/>
    <w:qFormat/>
    <w:uiPriority w:val="0"/>
    <w:pPr>
      <w:adjustRightInd w:val="0"/>
      <w:snapToGrid w:val="0"/>
      <w:ind w:firstLine="200" w:firstLineChars="200"/>
    </w:pPr>
    <w:rPr>
      <w:rFonts w:ascii="宋体"/>
      <w:szCs w:val="20"/>
    </w:rPr>
  </w:style>
  <w:style w:type="paragraph" w:customStyle="1" w:styleId="1551">
    <w:name w:val="1pt line"/>
    <w:qFormat/>
    <w:uiPriority w:val="0"/>
    <w:pPr>
      <w:pBdr>
        <w:bottom w:val="single" w:color="auto" w:sz="8" w:space="1"/>
      </w:pBdr>
      <w:spacing w:line="20" w:lineRule="exact"/>
    </w:pPr>
    <w:rPr>
      <w:rFonts w:ascii="Times New Roman" w:hAnsi="Times New Roman" w:eastAsia="PMingLiU" w:cs="Times New Roman"/>
      <w:kern w:val="0"/>
      <w:sz w:val="20"/>
      <w:szCs w:val="20"/>
      <w:lang w:val="en-US" w:eastAsia="zh-TW" w:bidi="ar-SA"/>
    </w:rPr>
  </w:style>
  <w:style w:type="paragraph" w:customStyle="1" w:styleId="1552">
    <w:name w:val="样式 标题 1 + 段前: 0 磅"/>
    <w:basedOn w:val="5"/>
    <w:qFormat/>
    <w:uiPriority w:val="0"/>
    <w:pPr>
      <w:keepLines/>
      <w:pageBreakBefore/>
      <w:tabs>
        <w:tab w:val="left" w:pos="8160"/>
      </w:tabs>
      <w:adjustRightInd w:val="0"/>
      <w:spacing w:after="360" w:afterLines="50" w:line="240" w:lineRule="auto"/>
      <w:jc w:val="left"/>
      <w:textAlignment w:val="baseline"/>
    </w:pPr>
    <w:rPr>
      <w:rFonts w:ascii="Times New Roman" w:hAnsi="Times New Roman" w:cs="宋体"/>
      <w:b/>
      <w:bCs/>
      <w:kern w:val="44"/>
      <w:sz w:val="24"/>
      <w:szCs w:val="20"/>
    </w:rPr>
  </w:style>
  <w:style w:type="paragraph" w:customStyle="1" w:styleId="1553">
    <w:name w:val="TabHead"/>
    <w:basedOn w:val="1"/>
    <w:qFormat/>
    <w:uiPriority w:val="0"/>
    <w:pPr>
      <w:ind w:firstLine="480" w:firstLineChars="200"/>
      <w:jc w:val="center"/>
    </w:pPr>
  </w:style>
  <w:style w:type="paragraph" w:customStyle="1" w:styleId="1554">
    <w:name w:val="Char4 Char Char Char"/>
    <w:basedOn w:val="1"/>
    <w:qFormat/>
    <w:uiPriority w:val="0"/>
    <w:pPr>
      <w:adjustRightInd w:val="0"/>
      <w:snapToGrid w:val="0"/>
      <w:ind w:firstLine="200" w:firstLineChars="200"/>
    </w:pPr>
    <w:rPr>
      <w:rFonts w:ascii="宋体" w:hAnsi="宋体" w:cs="宋体"/>
      <w:szCs w:val="26"/>
    </w:rPr>
  </w:style>
  <w:style w:type="paragraph" w:customStyle="1" w:styleId="1555">
    <w:name w:val="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556">
    <w:name w:val="Char2 Char Char Char Char Char Char Char Char Char Char Char Char1"/>
    <w:basedOn w:val="1"/>
    <w:qFormat/>
    <w:uiPriority w:val="0"/>
    <w:pPr>
      <w:spacing w:line="560" w:lineRule="exact"/>
      <w:ind w:firstLine="200" w:firstLineChars="200"/>
    </w:pPr>
    <w:rPr>
      <w:rFonts w:ascii="宋体" w:hAnsi="宋体" w:eastAsia="汉鼎简书宋" w:cs="宋体"/>
      <w:spacing w:val="4"/>
    </w:rPr>
  </w:style>
  <w:style w:type="paragraph" w:customStyle="1" w:styleId="1557">
    <w:name w:val="附录附图"/>
    <w:basedOn w:val="1"/>
    <w:qFormat/>
    <w:uiPriority w:val="0"/>
    <w:pPr>
      <w:keepNext/>
      <w:spacing w:before="380" w:line="240" w:lineRule="auto"/>
      <w:outlineLvl w:val="0"/>
    </w:pPr>
    <w:rPr>
      <w:rFonts w:ascii="Arial" w:hAnsi="Arial"/>
      <w:b/>
      <w:caps/>
    </w:rPr>
  </w:style>
  <w:style w:type="paragraph" w:customStyle="1" w:styleId="1558">
    <w:name w:val="yz"/>
    <w:basedOn w:val="36"/>
    <w:qFormat/>
    <w:uiPriority w:val="0"/>
    <w:pPr>
      <w:spacing w:line="240" w:lineRule="auto"/>
    </w:pPr>
    <w:rPr>
      <w:sz w:val="21"/>
    </w:rPr>
  </w:style>
  <w:style w:type="paragraph" w:customStyle="1" w:styleId="1559">
    <w:name w:val="样式 宋体 四号 首行缩进:  0.83 厘米 行距: 最小值 6 磅"/>
    <w:basedOn w:val="1"/>
    <w:qFormat/>
    <w:uiPriority w:val="0"/>
    <w:pPr>
      <w:spacing w:line="480" w:lineRule="exact"/>
      <w:ind w:firstLine="567"/>
    </w:pPr>
    <w:rPr>
      <w:rFonts w:ascii="宋体" w:hAnsi="宋体" w:cs="宋体"/>
      <w:sz w:val="28"/>
      <w:szCs w:val="20"/>
    </w:rPr>
  </w:style>
  <w:style w:type="paragraph" w:customStyle="1" w:styleId="1560">
    <w:name w:val="表标题5.12"/>
    <w:basedOn w:val="1"/>
    <w:qFormat/>
    <w:uiPriority w:val="0"/>
    <w:pPr>
      <w:tabs>
        <w:tab w:val="center" w:pos="4060"/>
        <w:tab w:val="right" w:pos="8261"/>
      </w:tabs>
      <w:suppressAutoHyphens/>
      <w:adjustRightInd w:val="0"/>
      <w:spacing w:beforeLines="100" w:line="0" w:lineRule="atLeast"/>
    </w:pPr>
    <w:rPr>
      <w:rFonts w:ascii="黑体" w:eastAsia="黑体"/>
      <w:b/>
      <w:spacing w:val="6"/>
      <w:kern w:val="0"/>
      <w:szCs w:val="26"/>
    </w:rPr>
  </w:style>
  <w:style w:type="paragraph" w:customStyle="1" w:styleId="1561">
    <w:name w:val="样式44"/>
    <w:basedOn w:val="1"/>
    <w:qFormat/>
    <w:uiPriority w:val="0"/>
    <w:pPr>
      <w:keepNext/>
      <w:spacing w:line="240" w:lineRule="auto"/>
      <w:jc w:val="center"/>
    </w:pPr>
    <w:rPr>
      <w:rFonts w:ascii="黑体" w:hAnsi="宋体" w:eastAsia="黑体"/>
    </w:rPr>
  </w:style>
  <w:style w:type="paragraph" w:customStyle="1" w:styleId="1562">
    <w:name w:val="框图内容"/>
    <w:basedOn w:val="1"/>
    <w:qFormat/>
    <w:uiPriority w:val="0"/>
    <w:pPr>
      <w:spacing w:line="240" w:lineRule="auto"/>
      <w:jc w:val="center"/>
    </w:pPr>
    <w:rPr>
      <w:rFonts w:ascii="宋体"/>
      <w:sz w:val="21"/>
      <w:lang w:val="en-GB"/>
    </w:rPr>
  </w:style>
  <w:style w:type="paragraph" w:customStyle="1" w:styleId="1563">
    <w:name w:val="CM138"/>
    <w:basedOn w:val="1"/>
    <w:next w:val="1"/>
    <w:qFormat/>
    <w:uiPriority w:val="0"/>
    <w:pPr>
      <w:autoSpaceDE w:val="0"/>
      <w:autoSpaceDN w:val="0"/>
      <w:adjustRightInd w:val="0"/>
      <w:spacing w:after="130" w:line="240" w:lineRule="auto"/>
      <w:jc w:val="left"/>
    </w:pPr>
    <w:rPr>
      <w:rFonts w:ascii="宋体" w:cs="宋体"/>
      <w:kern w:val="0"/>
    </w:rPr>
  </w:style>
  <w:style w:type="paragraph" w:customStyle="1" w:styleId="1564">
    <w:name w:val="样式表头"/>
    <w:basedOn w:val="1"/>
    <w:qFormat/>
    <w:uiPriority w:val="0"/>
    <w:pPr>
      <w:adjustRightInd w:val="0"/>
      <w:snapToGrid w:val="0"/>
      <w:spacing w:line="312" w:lineRule="auto"/>
      <w:jc w:val="center"/>
    </w:pPr>
    <w:rPr>
      <w:rFonts w:eastAsia="黑体"/>
      <w:b/>
      <w:sz w:val="32"/>
      <w:szCs w:val="20"/>
    </w:rPr>
  </w:style>
  <w:style w:type="paragraph" w:customStyle="1" w:styleId="1565">
    <w:name w:val="标题1 Char Char Char Char Char Char Char Char Char Char"/>
    <w:basedOn w:val="1"/>
    <w:qFormat/>
    <w:uiPriority w:val="0"/>
    <w:pPr>
      <w:ind w:firstLine="200" w:firstLineChars="200"/>
    </w:pPr>
    <w:rPr>
      <w:rFonts w:ascii="宋体" w:hAnsi="宋体" w:eastAsia="黑体" w:cs="宋体"/>
      <w:b/>
      <w:sz w:val="32"/>
    </w:rPr>
  </w:style>
  <w:style w:type="paragraph" w:customStyle="1" w:styleId="1566">
    <w:name w:val="标题 2 黑体＋左侧1厘米 + 段前: 1 行"/>
    <w:basedOn w:val="1"/>
    <w:qFormat/>
    <w:uiPriority w:val="0"/>
    <w:pPr>
      <w:adjustRightInd w:val="0"/>
      <w:spacing w:beforeLines="100"/>
      <w:ind w:firstLine="567"/>
      <w:outlineLvl w:val="1"/>
    </w:pPr>
    <w:rPr>
      <w:rFonts w:ascii="黑体" w:hAnsi="Arial" w:eastAsia="黑体" w:cs="宋体"/>
      <w:b/>
      <w:bCs/>
      <w:snapToGrid w:val="0"/>
      <w:color w:val="000000"/>
      <w:kern w:val="0"/>
      <w:szCs w:val="20"/>
    </w:rPr>
  </w:style>
  <w:style w:type="paragraph" w:customStyle="1" w:styleId="1567">
    <w:name w:val="表标题5.9"/>
    <w:basedOn w:val="1"/>
    <w:qFormat/>
    <w:uiPriority w:val="0"/>
    <w:pPr>
      <w:numPr>
        <w:ilvl w:val="0"/>
        <w:numId w:val="22"/>
      </w:numPr>
      <w:spacing w:beforeLines="100" w:line="0" w:lineRule="atLeast"/>
    </w:pPr>
    <w:rPr>
      <w:rFonts w:eastAsia="黑体"/>
      <w:b/>
    </w:rPr>
  </w:style>
  <w:style w:type="paragraph" w:customStyle="1" w:styleId="1568">
    <w:name w:val="样式13"/>
    <w:basedOn w:val="1"/>
    <w:qFormat/>
    <w:uiPriority w:val="0"/>
    <w:pPr>
      <w:spacing w:line="360" w:lineRule="exact"/>
      <w:jc w:val="center"/>
    </w:pPr>
    <w:rPr>
      <w:rFonts w:ascii="Wingdings" w:hAnsi="Wingdings"/>
    </w:rPr>
  </w:style>
  <w:style w:type="paragraph" w:customStyle="1" w:styleId="1569">
    <w:name w:val="font9"/>
    <w:basedOn w:val="1"/>
    <w:qFormat/>
    <w:uiPriority w:val="0"/>
    <w:pPr>
      <w:widowControl/>
      <w:spacing w:before="100" w:beforeAutospacing="1" w:after="100" w:afterAutospacing="1" w:line="240" w:lineRule="auto"/>
      <w:jc w:val="left"/>
    </w:pPr>
    <w:rPr>
      <w:rFonts w:hint="eastAsia" w:ascii="宋体" w:hAnsi="宋体"/>
      <w:kern w:val="0"/>
      <w:sz w:val="16"/>
      <w:szCs w:val="16"/>
    </w:rPr>
  </w:style>
  <w:style w:type="paragraph" w:customStyle="1" w:styleId="1570">
    <w:name w:val="表13.5－1"/>
    <w:basedOn w:val="1"/>
    <w:qFormat/>
    <w:uiPriority w:val="0"/>
    <w:pPr>
      <w:numPr>
        <w:ilvl w:val="0"/>
        <w:numId w:val="23"/>
      </w:numPr>
      <w:spacing w:beforeLines="100" w:line="0" w:lineRule="atLeast"/>
    </w:pPr>
    <w:rPr>
      <w:rFonts w:eastAsia="黑体"/>
      <w:b/>
      <w:color w:val="000000"/>
    </w:rPr>
  </w:style>
  <w:style w:type="paragraph" w:customStyle="1" w:styleId="1571">
    <w:name w:val="xl11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宋体" w:hAnsi="宋体" w:cs="宋体"/>
      <w:kern w:val="0"/>
      <w:sz w:val="18"/>
      <w:szCs w:val="18"/>
    </w:rPr>
  </w:style>
  <w:style w:type="paragraph" w:customStyle="1" w:styleId="1572">
    <w:name w:val="冯正文"/>
    <w:basedOn w:val="1"/>
    <w:qFormat/>
    <w:uiPriority w:val="0"/>
    <w:pPr>
      <w:widowControl/>
      <w:spacing w:beforeLines="25" w:afterLines="25" w:line="400" w:lineRule="exact"/>
      <w:ind w:firstLine="200" w:firstLineChars="200"/>
    </w:pPr>
    <w:rPr>
      <w:rFonts w:cs="宋体"/>
      <w:kern w:val="0"/>
      <w:szCs w:val="20"/>
      <w:lang w:bidi="en-US"/>
    </w:rPr>
  </w:style>
  <w:style w:type="paragraph" w:customStyle="1" w:styleId="1573">
    <w:name w:val="样式 标题 2标题 2 Char1 + 首行缩进:  2 字符"/>
    <w:basedOn w:val="6"/>
    <w:qFormat/>
    <w:uiPriority w:val="0"/>
    <w:pPr>
      <w:keepNext/>
      <w:keepLines/>
      <w:numPr>
        <w:ilvl w:val="0"/>
        <w:numId w:val="0"/>
      </w:numPr>
      <w:tabs>
        <w:tab w:val="clear" w:pos="-181"/>
      </w:tabs>
      <w:adjustRightInd/>
      <w:snapToGrid/>
      <w:spacing w:before="260" w:beforeLines="0" w:after="260" w:line="560" w:lineRule="exact"/>
      <w:jc w:val="center"/>
      <w:textAlignment w:val="auto"/>
    </w:pPr>
    <w:rPr>
      <w:rFonts w:ascii="Arial" w:hAnsi="Arial" w:cs="宋体"/>
      <w:b/>
      <w:bCs/>
      <w:kern w:val="2"/>
      <w:sz w:val="32"/>
      <w:szCs w:val="20"/>
    </w:rPr>
  </w:style>
  <w:style w:type="paragraph" w:customStyle="1" w:styleId="1574">
    <w:name w:val="表名称"/>
    <w:basedOn w:val="67"/>
    <w:qFormat/>
    <w:uiPriority w:val="0"/>
    <w:pPr>
      <w:widowControl/>
      <w:tabs>
        <w:tab w:val="left" w:pos="720"/>
      </w:tabs>
      <w:overflowPunct w:val="0"/>
      <w:autoSpaceDE w:val="0"/>
      <w:autoSpaceDN w:val="0"/>
      <w:adjustRightInd w:val="0"/>
      <w:spacing w:after="80" w:line="300" w:lineRule="exact"/>
      <w:ind w:left="0" w:firstLine="0" w:firstLineChars="0"/>
      <w:jc w:val="center"/>
      <w:textAlignment w:val="baseline"/>
    </w:pPr>
    <w:rPr>
      <w:rFonts w:cs="宋体"/>
      <w:sz w:val="20"/>
      <w:lang w:bidi="en-US"/>
    </w:rPr>
  </w:style>
  <w:style w:type="paragraph" w:customStyle="1" w:styleId="1575">
    <w:name w:val="样式 标题 3头小标题小节标题Sottoparagrafo标题 3 Char3标题 3 Char1 Char1So..."/>
    <w:basedOn w:val="7"/>
    <w:qFormat/>
    <w:uiPriority w:val="0"/>
    <w:pPr>
      <w:numPr>
        <w:numId w:val="0"/>
      </w:numPr>
      <w:tabs>
        <w:tab w:val="left" w:pos="1365"/>
      </w:tabs>
      <w:snapToGrid w:val="0"/>
      <w:spacing w:before="240" w:after="240" w:line="480" w:lineRule="exact"/>
    </w:pPr>
    <w:rPr>
      <w:rFonts w:ascii="Times New Roman" w:hAnsi="Times New Roman" w:eastAsia="黑体"/>
      <w:b w:val="0"/>
      <w:bCs w:val="0"/>
      <w:color w:val="auto"/>
      <w:kern w:val="0"/>
      <w:szCs w:val="20"/>
    </w:rPr>
  </w:style>
  <w:style w:type="paragraph" w:customStyle="1" w:styleId="1576">
    <w:name w:val="Char4"/>
    <w:basedOn w:val="1"/>
    <w:qFormat/>
    <w:uiPriority w:val="0"/>
    <w:pPr>
      <w:ind w:firstLine="200" w:firstLineChars="200"/>
    </w:pPr>
    <w:rPr>
      <w:rFonts w:ascii="宋体" w:hAnsi="宋体" w:cs="宋体"/>
    </w:rPr>
  </w:style>
  <w:style w:type="paragraph" w:customStyle="1" w:styleId="1577">
    <w:name w:val="报告二级标题"/>
    <w:basedOn w:val="1"/>
    <w:qFormat/>
    <w:uiPriority w:val="0"/>
    <w:pPr>
      <w:spacing w:before="50" w:beforeLines="50" w:after="50" w:afterLines="50"/>
      <w:outlineLvl w:val="1"/>
    </w:pPr>
    <w:rPr>
      <w:b/>
      <w:sz w:val="30"/>
    </w:rPr>
  </w:style>
  <w:style w:type="paragraph" w:customStyle="1" w:styleId="1578">
    <w:name w:val="表标16.6"/>
    <w:next w:val="1"/>
    <w:qFormat/>
    <w:uiPriority w:val="0"/>
    <w:pPr>
      <w:tabs>
        <w:tab w:val="left" w:pos="1560"/>
        <w:tab w:val="left" w:pos="2160"/>
      </w:tabs>
      <w:adjustRightInd w:val="0"/>
      <w:snapToGrid w:val="0"/>
      <w:spacing w:after="240" w:line="0" w:lineRule="atLeast"/>
      <w:jc w:val="center"/>
      <w:textAlignment w:val="baseline"/>
    </w:pPr>
    <w:rPr>
      <w:rFonts w:ascii="Times New Roman" w:hAnsi="Times New Roman" w:eastAsia="黑体" w:cs="Times New Roman"/>
      <w:b/>
      <w:color w:val="000000"/>
      <w:kern w:val="2"/>
      <w:sz w:val="24"/>
      <w:szCs w:val="24"/>
      <w:lang w:val="en-US" w:eastAsia="zh-CN" w:bidi="ar-SA"/>
    </w:rPr>
  </w:style>
  <w:style w:type="paragraph" w:customStyle="1" w:styleId="1579">
    <w:name w:val="样式 正文文本缩进 2正文文字缩进 2 + 四号 蓝色"/>
    <w:basedOn w:val="52"/>
    <w:qFormat/>
    <w:uiPriority w:val="0"/>
    <w:pPr>
      <w:adjustRightInd w:val="0"/>
      <w:spacing w:line="480" w:lineRule="exact"/>
      <w:ind w:firstLine="709"/>
      <w:textAlignment w:val="baseline"/>
    </w:pPr>
    <w:rPr>
      <w:rFonts w:ascii="Times New Roman" w:hAnsi="Times New Roman"/>
      <w:color w:val="0000FF"/>
      <w:kern w:val="0"/>
      <w:sz w:val="24"/>
    </w:rPr>
  </w:style>
  <w:style w:type="paragraph" w:customStyle="1" w:styleId="1580">
    <w:name w:val="列图"/>
    <w:basedOn w:val="67"/>
    <w:next w:val="1"/>
    <w:qFormat/>
    <w:uiPriority w:val="0"/>
    <w:pPr>
      <w:keepLines/>
      <w:adjustRightInd w:val="0"/>
      <w:snapToGrid w:val="0"/>
      <w:spacing w:before="120" w:line="276" w:lineRule="auto"/>
      <w:ind w:left="0" w:firstLine="0" w:firstLineChars="0"/>
      <w:jc w:val="center"/>
      <w:textAlignment w:val="baseline"/>
    </w:pPr>
    <w:rPr>
      <w:kern w:val="28"/>
      <w:sz w:val="24"/>
    </w:rPr>
  </w:style>
  <w:style w:type="paragraph" w:customStyle="1" w:styleId="1581">
    <w:name w:val="文章"/>
    <w:qFormat/>
    <w:uiPriority w:val="0"/>
    <w:pPr>
      <w:adjustRightInd w:val="0"/>
      <w:snapToGrid w:val="0"/>
      <w:spacing w:before="312" w:after="312" w:line="360" w:lineRule="auto"/>
      <w:ind w:firstLine="480" w:firstLineChars="200"/>
      <w:jc w:val="both"/>
    </w:pPr>
    <w:rPr>
      <w:rFonts w:ascii="Times New Roman" w:hAnsi="Times New Roman" w:eastAsia="宋体" w:cs="Times New Roman"/>
      <w:kern w:val="2"/>
      <w:sz w:val="24"/>
      <w:szCs w:val="26"/>
      <w:lang w:val="en-US" w:eastAsia="zh-CN" w:bidi="ar-SA"/>
    </w:rPr>
  </w:style>
  <w:style w:type="paragraph" w:customStyle="1" w:styleId="1582">
    <w:name w:val="正文样式10"/>
    <w:basedOn w:val="1"/>
    <w:qFormat/>
    <w:uiPriority w:val="0"/>
    <w:pPr>
      <w:spacing w:beforeLines="50" w:line="440" w:lineRule="exact"/>
      <w:ind w:firstLine="480" w:firstLineChars="200"/>
    </w:pPr>
    <w:rPr>
      <w:rFonts w:hAnsi="宋体"/>
      <w:bCs/>
      <w:color w:val="000000"/>
      <w:lang w:val="zh-CN"/>
    </w:rPr>
  </w:style>
  <w:style w:type="paragraph" w:customStyle="1" w:styleId="1583">
    <w:name w:val="节内小标题"/>
    <w:basedOn w:val="1581"/>
    <w:qFormat/>
    <w:uiPriority w:val="0"/>
    <w:pPr>
      <w:widowControl w:val="0"/>
      <w:spacing w:before="0" w:after="0"/>
      <w:ind w:firstLine="567" w:firstLineChars="0"/>
    </w:pPr>
    <w:rPr>
      <w:rFonts w:ascii="楷体_GB2312" w:hAnsi="宋体" w:eastAsia="楷体_GB2312"/>
      <w:b/>
      <w:kern w:val="32"/>
      <w:sz w:val="28"/>
      <w:szCs w:val="28"/>
    </w:rPr>
  </w:style>
  <w:style w:type="paragraph" w:customStyle="1" w:styleId="1584">
    <w:name w:val="表格文字2"/>
    <w:basedOn w:val="1"/>
    <w:link w:val="3245"/>
    <w:qFormat/>
    <w:uiPriority w:val="0"/>
    <w:pPr>
      <w:adjustRightInd w:val="0"/>
      <w:spacing w:before="60"/>
      <w:jc w:val="center"/>
      <w:textAlignment w:val="baseline"/>
    </w:pPr>
    <w:rPr>
      <w:rFonts w:ascii="宋体"/>
      <w:kern w:val="0"/>
      <w:szCs w:val="20"/>
    </w:rPr>
  </w:style>
  <w:style w:type="paragraph" w:customStyle="1" w:styleId="1585">
    <w:name w:val="插表名称"/>
    <w:basedOn w:val="1574"/>
    <w:qFormat/>
    <w:uiPriority w:val="0"/>
    <w:pPr>
      <w:widowControl w:val="0"/>
      <w:suppressLineNumbers/>
      <w:tabs>
        <w:tab w:val="clear" w:pos="720"/>
      </w:tabs>
      <w:suppressAutoHyphens/>
      <w:overflowPunct/>
      <w:topLinePunct/>
      <w:autoSpaceDE/>
      <w:autoSpaceDN/>
      <w:snapToGrid w:val="0"/>
      <w:spacing w:beforeLines="50" w:afterLines="30" w:line="240" w:lineRule="auto"/>
      <w:ind w:firstLine="480" w:firstLineChars="200"/>
      <w:jc w:val="both"/>
      <w:textAlignment w:val="auto"/>
    </w:pPr>
    <w:rPr>
      <w:rFonts w:eastAsia="黑体" w:cs="Times New Roman"/>
      <w:sz w:val="24"/>
      <w:szCs w:val="24"/>
      <w:lang w:bidi="ar-SA"/>
    </w:rPr>
  </w:style>
  <w:style w:type="paragraph" w:customStyle="1" w:styleId="1586">
    <w:name w:val="CM30"/>
    <w:basedOn w:val="1345"/>
    <w:next w:val="1345"/>
    <w:qFormat/>
    <w:uiPriority w:val="0"/>
    <w:pPr>
      <w:spacing w:line="468" w:lineRule="atLeast"/>
    </w:pPr>
    <w:rPr>
      <w:rFonts w:ascii="·..." w:eastAsia="·..." w:cs="·..."/>
      <w:color w:val="auto"/>
    </w:rPr>
  </w:style>
  <w:style w:type="paragraph" w:customStyle="1" w:styleId="1587">
    <w:name w:val="标题二"/>
    <w:basedOn w:val="1"/>
    <w:qFormat/>
    <w:uiPriority w:val="0"/>
    <w:pPr>
      <w:adjustRightInd w:val="0"/>
      <w:snapToGrid w:val="0"/>
      <w:ind w:firstLine="200" w:firstLineChars="200"/>
      <w:jc w:val="left"/>
      <w:outlineLvl w:val="1"/>
    </w:pPr>
    <w:rPr>
      <w:rFonts w:ascii="黑体" w:hAnsi="宋体" w:eastAsia="黑体"/>
      <w:b/>
      <w:bCs/>
    </w:rPr>
  </w:style>
  <w:style w:type="paragraph" w:customStyle="1" w:styleId="1588">
    <w:name w:val="Char1 Char Char Char1 Char Char Char"/>
    <w:basedOn w:val="1"/>
    <w:qFormat/>
    <w:uiPriority w:val="0"/>
    <w:pPr>
      <w:ind w:firstLine="200" w:firstLineChars="200"/>
    </w:pPr>
    <w:rPr>
      <w:rFonts w:ascii="宋体" w:hAnsi="宋体" w:cs="宋体"/>
    </w:rPr>
  </w:style>
  <w:style w:type="paragraph" w:customStyle="1" w:styleId="1589">
    <w:name w:val="三章正文"/>
    <w:basedOn w:val="36"/>
    <w:qFormat/>
    <w:uiPriority w:val="0"/>
    <w:pPr>
      <w:spacing w:after="0"/>
      <w:ind w:firstLine="200" w:firstLineChars="200"/>
    </w:pPr>
    <w:rPr>
      <w:szCs w:val="20"/>
    </w:rPr>
  </w:style>
  <w:style w:type="paragraph" w:customStyle="1" w:styleId="1590">
    <w:name w:val="样式 表格文字居中 + 左 首行缩进:  0 厘米"/>
    <w:basedOn w:val="453"/>
    <w:qFormat/>
    <w:uiPriority w:val="0"/>
    <w:pPr>
      <w:keepNext/>
      <w:tabs>
        <w:tab w:val="left" w:pos="628"/>
        <w:tab w:val="left" w:pos="1727"/>
        <w:tab w:val="left" w:pos="1884"/>
      </w:tabs>
      <w:adjustRightInd w:val="0"/>
      <w:ind w:right="0" w:rightChars="0"/>
      <w:jc w:val="left"/>
    </w:pPr>
    <w:rPr>
      <w:bCs/>
      <w:color w:val="auto"/>
      <w:spacing w:val="0"/>
      <w:kern w:val="0"/>
      <w:sz w:val="24"/>
      <w:szCs w:val="20"/>
    </w:rPr>
  </w:style>
  <w:style w:type="paragraph" w:customStyle="1" w:styleId="1591">
    <w:name w:val="安庆江堤报告正文"/>
    <w:basedOn w:val="1"/>
    <w:qFormat/>
    <w:uiPriority w:val="0"/>
    <w:pPr>
      <w:tabs>
        <w:tab w:val="left" w:pos="902"/>
      </w:tabs>
      <w:snapToGrid w:val="0"/>
      <w:spacing w:beforeLines="50" w:line="240" w:lineRule="auto"/>
      <w:ind w:firstLine="539"/>
    </w:pPr>
    <w:rPr>
      <w:rFonts w:ascii="宋体" w:hAnsi="宋体"/>
      <w:szCs w:val="20"/>
    </w:rPr>
  </w:style>
  <w:style w:type="paragraph" w:customStyle="1" w:styleId="1592">
    <w:name w:val="char"/>
    <w:basedOn w:val="1"/>
    <w:qFormat/>
    <w:uiPriority w:val="0"/>
    <w:pPr>
      <w:widowControl/>
      <w:spacing w:after="160" w:line="240" w:lineRule="exact"/>
      <w:jc w:val="left"/>
    </w:pPr>
    <w:rPr>
      <w:rFonts w:ascii="Verdana" w:hAnsi="Verdana" w:eastAsia="仿宋_GB2312" w:cs="”“Times New Roman”“"/>
      <w:kern w:val="0"/>
      <w:szCs w:val="20"/>
      <w:lang w:eastAsia="en-US"/>
    </w:rPr>
  </w:style>
  <w:style w:type="paragraph" w:customStyle="1" w:styleId="1593">
    <w:name w:val="标题 4 黑体 四号 行距: 1.5 倍行距"/>
    <w:basedOn w:val="1594"/>
    <w:qFormat/>
    <w:uiPriority w:val="0"/>
    <w:pPr>
      <w:tabs>
        <w:tab w:val="left" w:pos="1365"/>
        <w:tab w:val="left" w:pos="2705"/>
      </w:tabs>
    </w:pPr>
    <w:rPr>
      <w:rFonts w:cs="宋体"/>
    </w:rPr>
  </w:style>
  <w:style w:type="paragraph" w:customStyle="1" w:styleId="1594">
    <w:name w:val="样式 标题 3Sottoparagrafo标题 3 Char + Times New Roman"/>
    <w:basedOn w:val="7"/>
    <w:qFormat/>
    <w:uiPriority w:val="0"/>
    <w:pPr>
      <w:numPr>
        <w:numId w:val="0"/>
      </w:numPr>
      <w:tabs>
        <w:tab w:val="left" w:pos="1365"/>
      </w:tabs>
      <w:spacing w:before="120" w:beforeLines="50" w:after="0" w:line="360" w:lineRule="auto"/>
    </w:pPr>
    <w:rPr>
      <w:rFonts w:ascii="Times New Roman" w:hAnsi="Times New Roman" w:eastAsia="黑体"/>
      <w:b w:val="0"/>
      <w:bCs w:val="0"/>
      <w:color w:val="auto"/>
      <w:szCs w:val="20"/>
    </w:rPr>
  </w:style>
  <w:style w:type="paragraph" w:customStyle="1" w:styleId="1595">
    <w:name w:val="标题 3 + Arial 小四 非加粗 段前: 0 磅 段后: 6 磅 行距: 固定值 22 磅"/>
    <w:basedOn w:val="7"/>
    <w:next w:val="1"/>
    <w:qFormat/>
    <w:uiPriority w:val="0"/>
    <w:pPr>
      <w:numPr>
        <w:ilvl w:val="0"/>
        <w:numId w:val="0"/>
      </w:numPr>
      <w:spacing w:before="0" w:after="0" w:line="440" w:lineRule="exact"/>
    </w:pPr>
    <w:rPr>
      <w:color w:val="auto"/>
      <w:sz w:val="24"/>
      <w:szCs w:val="20"/>
    </w:rPr>
  </w:style>
  <w:style w:type="paragraph" w:customStyle="1" w:styleId="1596">
    <w:name w:val="表名 Char"/>
    <w:basedOn w:val="1"/>
    <w:qFormat/>
    <w:uiPriority w:val="0"/>
    <w:pPr>
      <w:spacing w:line="480" w:lineRule="exact"/>
      <w:jc w:val="center"/>
    </w:pPr>
    <w:rPr>
      <w:rFonts w:eastAsia="黑体"/>
    </w:rPr>
  </w:style>
  <w:style w:type="paragraph" w:customStyle="1" w:styleId="1597">
    <w:name w:val="目录 2 + 首行缩进2 字符"/>
    <w:basedOn w:val="75"/>
    <w:qFormat/>
    <w:uiPriority w:val="0"/>
    <w:pPr>
      <w:tabs>
        <w:tab w:val="left" w:pos="630"/>
        <w:tab w:val="left" w:pos="681"/>
        <w:tab w:val="right" w:leader="dot" w:pos="8296"/>
        <w:tab w:val="right" w:leader="dot" w:pos="9061"/>
        <w:tab w:val="right" w:leader="dot" w:pos="9242"/>
      </w:tabs>
      <w:snapToGrid/>
      <w:spacing w:line="312" w:lineRule="auto"/>
      <w:ind w:left="420" w:firstLine="560"/>
      <w:textAlignment w:val="baseline"/>
    </w:pPr>
    <w:rPr>
      <w:rFonts w:ascii="楷体_GB2312" w:eastAsia="楷体_GB2312"/>
      <w:iCs/>
      <w:smallCaps w:val="0"/>
      <w:snapToGrid w:val="0"/>
      <w:color w:val="000000"/>
      <w:kern w:val="18"/>
      <w:szCs w:val="24"/>
    </w:rPr>
  </w:style>
  <w:style w:type="paragraph" w:customStyle="1" w:styleId="1598">
    <w:name w:val="w正文"/>
    <w:basedOn w:val="1"/>
    <w:qFormat/>
    <w:uiPriority w:val="0"/>
    <w:pPr>
      <w:ind w:firstLine="496" w:firstLineChars="200"/>
    </w:pPr>
    <w:rPr>
      <w:spacing w:val="4"/>
      <w:szCs w:val="20"/>
    </w:rPr>
  </w:style>
  <w:style w:type="paragraph" w:customStyle="1" w:styleId="1599">
    <w:name w:val="样式 首行缩进:  2 字符 行距: 固定值 26 磅"/>
    <w:basedOn w:val="1"/>
    <w:qFormat/>
    <w:uiPriority w:val="0"/>
    <w:pPr>
      <w:spacing w:line="480" w:lineRule="exact"/>
      <w:ind w:firstLine="200" w:firstLineChars="200"/>
    </w:pPr>
    <w:rPr>
      <w:rFonts w:cs="宋体"/>
      <w:szCs w:val="20"/>
    </w:rPr>
  </w:style>
  <w:style w:type="paragraph" w:customStyle="1" w:styleId="1600">
    <w:name w:val="正文缩进（自定义） Char Char"/>
    <w:basedOn w:val="1"/>
    <w:qFormat/>
    <w:uiPriority w:val="0"/>
    <w:pPr>
      <w:spacing w:before="120" w:after="120"/>
      <w:ind w:firstLine="480" w:firstLineChars="200"/>
    </w:pPr>
    <w:rPr>
      <w:rFonts w:ascii="Century Gothic" w:hAnsi="Century Gothic" w:cs="宋体"/>
      <w:kern w:val="0"/>
    </w:rPr>
  </w:style>
  <w:style w:type="paragraph" w:customStyle="1" w:styleId="1601">
    <w:name w:val="样1"/>
    <w:basedOn w:val="1"/>
    <w:qFormat/>
    <w:uiPriority w:val="0"/>
    <w:pPr>
      <w:autoSpaceDE w:val="0"/>
      <w:autoSpaceDN w:val="0"/>
      <w:adjustRightInd w:val="0"/>
      <w:ind w:right="232" w:firstLine="601"/>
      <w:jc w:val="center"/>
      <w:textAlignment w:val="bottom"/>
    </w:pPr>
    <w:rPr>
      <w:kern w:val="0"/>
      <w:sz w:val="28"/>
      <w:szCs w:val="20"/>
    </w:rPr>
  </w:style>
  <w:style w:type="paragraph" w:customStyle="1" w:styleId="1602">
    <w:name w:val="Char Char Char1 Char6"/>
    <w:basedOn w:val="1"/>
    <w:qFormat/>
    <w:uiPriority w:val="0"/>
    <w:pPr>
      <w:widowControl/>
      <w:spacing w:line="240" w:lineRule="auto"/>
    </w:pPr>
    <w:rPr>
      <w:kern w:val="0"/>
      <w:sz w:val="21"/>
      <w:lang w:bidi="en-US"/>
    </w:rPr>
  </w:style>
  <w:style w:type="paragraph" w:customStyle="1" w:styleId="1603">
    <w:name w:val="【标题1】"/>
    <w:basedOn w:val="5"/>
    <w:qFormat/>
    <w:uiPriority w:val="0"/>
    <w:pPr>
      <w:keepLines/>
      <w:pageBreakBefore/>
      <w:tabs>
        <w:tab w:val="left" w:pos="2040"/>
      </w:tabs>
      <w:spacing w:before="120" w:after="120" w:line="240" w:lineRule="auto"/>
      <w:ind w:left="2040" w:leftChars="800" w:hanging="360" w:hangingChars="200"/>
      <w:jc w:val="left"/>
    </w:pPr>
    <w:rPr>
      <w:rFonts w:ascii="Times New Roman" w:hAnsi="Times New Roman" w:eastAsia="黑体" w:cs="宋体"/>
      <w:b/>
      <w:bCs/>
      <w:color w:val="000000"/>
      <w:kern w:val="44"/>
      <w:sz w:val="36"/>
      <w:szCs w:val="20"/>
    </w:rPr>
  </w:style>
  <w:style w:type="paragraph" w:customStyle="1" w:styleId="1604">
    <w:name w:val="表标题8.1"/>
    <w:basedOn w:val="6"/>
    <w:qFormat/>
    <w:uiPriority w:val="0"/>
    <w:pPr>
      <w:numPr>
        <w:ilvl w:val="0"/>
        <w:numId w:val="0"/>
      </w:numPr>
      <w:tabs>
        <w:tab w:val="center" w:pos="4060"/>
        <w:tab w:val="right" w:pos="8261"/>
        <w:tab w:val="clear" w:pos="-181"/>
      </w:tabs>
      <w:suppressAutoHyphens/>
      <w:snapToGrid/>
      <w:spacing w:before="0" w:line="0" w:lineRule="atLeast"/>
      <w:jc w:val="center"/>
      <w:textAlignment w:val="auto"/>
      <w:outlineLvl w:val="9"/>
    </w:pPr>
    <w:rPr>
      <w:rFonts w:ascii="黑体" w:cs="宋体"/>
      <w:b/>
      <w:bCs/>
      <w:spacing w:val="6"/>
      <w:sz w:val="24"/>
      <w:szCs w:val="24"/>
    </w:rPr>
  </w:style>
  <w:style w:type="paragraph" w:customStyle="1" w:styleId="1605">
    <w:name w:val="样式7.5.4.1"/>
    <w:basedOn w:val="1606"/>
    <w:qFormat/>
    <w:uiPriority w:val="0"/>
    <w:pPr>
      <w:numPr>
        <w:numId w:val="24"/>
      </w:numPr>
      <w:tabs>
        <w:tab w:val="left" w:pos="-164"/>
        <w:tab w:val="left" w:pos="360"/>
        <w:tab w:val="left" w:pos="864"/>
        <w:tab w:val="left" w:pos="1080"/>
      </w:tabs>
      <w:ind w:left="119"/>
    </w:pPr>
  </w:style>
  <w:style w:type="paragraph" w:customStyle="1" w:styleId="1606">
    <w:name w:val="7.4.5.1"/>
    <w:basedOn w:val="8"/>
    <w:qFormat/>
    <w:uiPriority w:val="0"/>
    <w:pPr>
      <w:keepLines/>
      <w:numPr>
        <w:ilvl w:val="3"/>
        <w:numId w:val="25"/>
      </w:numPr>
      <w:tabs>
        <w:tab w:val="left" w:pos="360"/>
        <w:tab w:val="left" w:pos="1080"/>
        <w:tab w:val="clear" w:pos="1571"/>
      </w:tabs>
      <w:spacing w:before="120" w:after="120" w:line="312" w:lineRule="auto"/>
      <w:ind w:left="0" w:firstLine="573"/>
      <w:jc w:val="both"/>
    </w:pPr>
    <w:rPr>
      <w:rFonts w:ascii="Arial" w:hAnsi="Arial" w:eastAsia="黑体"/>
    </w:rPr>
  </w:style>
  <w:style w:type="paragraph" w:customStyle="1" w:styleId="1607">
    <w:name w:val="xl12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608">
    <w:name w:val="列表标题"/>
    <w:basedOn w:val="1"/>
    <w:next w:val="1"/>
    <w:qFormat/>
    <w:uiPriority w:val="0"/>
    <w:pPr>
      <w:spacing w:line="240" w:lineRule="auto"/>
      <w:jc w:val="center"/>
    </w:pPr>
    <w:rPr>
      <w:szCs w:val="20"/>
    </w:rPr>
  </w:style>
  <w:style w:type="paragraph" w:customStyle="1" w:styleId="1609">
    <w:name w:val="工可文本图表题"/>
    <w:basedOn w:val="1"/>
    <w:qFormat/>
    <w:uiPriority w:val="0"/>
    <w:pPr>
      <w:jc w:val="center"/>
    </w:pPr>
    <w:rPr>
      <w:b/>
      <w:bCs/>
      <w:sz w:val="21"/>
    </w:rPr>
  </w:style>
  <w:style w:type="paragraph" w:customStyle="1" w:styleId="1610">
    <w:name w:val="1.1.1縮"/>
    <w:basedOn w:val="1"/>
    <w:qFormat/>
    <w:uiPriority w:val="0"/>
    <w:pPr>
      <w:autoSpaceDE w:val="0"/>
      <w:autoSpaceDN w:val="0"/>
      <w:snapToGrid w:val="0"/>
      <w:ind w:left="1610" w:firstLine="554"/>
      <w:jc w:val="left"/>
    </w:pPr>
    <w:rPr>
      <w:rFonts w:eastAsia="DFKai-SB"/>
      <w:sz w:val="28"/>
      <w:szCs w:val="20"/>
      <w:lang w:eastAsia="zh-TW"/>
    </w:rPr>
  </w:style>
  <w:style w:type="paragraph" w:customStyle="1" w:styleId="1611">
    <w:name w:val="reader-word-layer"/>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612">
    <w:name w:val="正文段落（缩进）"/>
    <w:basedOn w:val="1"/>
    <w:next w:val="46"/>
    <w:qFormat/>
    <w:uiPriority w:val="0"/>
    <w:pPr>
      <w:jc w:val="left"/>
    </w:pPr>
    <w:rPr>
      <w:kern w:val="0"/>
      <w:szCs w:val="20"/>
    </w:rPr>
  </w:style>
  <w:style w:type="paragraph" w:customStyle="1" w:styleId="1613">
    <w:name w:val="Char2 Char Char Char Char Char Char Char5"/>
    <w:basedOn w:val="1"/>
    <w:qFormat/>
    <w:uiPriority w:val="0"/>
    <w:pPr>
      <w:autoSpaceDE w:val="0"/>
      <w:autoSpaceDN w:val="0"/>
      <w:adjustRightInd w:val="0"/>
      <w:snapToGrid w:val="0"/>
      <w:spacing w:before="50" w:after="50"/>
      <w:ind w:firstLine="560" w:firstLineChars="200"/>
    </w:pPr>
    <w:rPr>
      <w:rFonts w:eastAsia="仿宋_GB2312"/>
      <w:color w:val="000000"/>
      <w:szCs w:val="20"/>
    </w:rPr>
  </w:style>
  <w:style w:type="paragraph" w:customStyle="1" w:styleId="1614">
    <w:name w:val="xl42"/>
    <w:basedOn w:val="1"/>
    <w:qFormat/>
    <w:uiPriority w:val="0"/>
    <w:pPr>
      <w:widowControl/>
      <w:spacing w:before="100" w:beforeAutospacing="1" w:after="100" w:afterAutospacing="1" w:line="240" w:lineRule="auto"/>
      <w:jc w:val="left"/>
      <w:textAlignment w:val="center"/>
    </w:pPr>
    <w:rPr>
      <w:kern w:val="0"/>
    </w:rPr>
  </w:style>
  <w:style w:type="paragraph" w:customStyle="1" w:styleId="1615">
    <w:name w:val="小四表文左齐"/>
    <w:basedOn w:val="1"/>
    <w:qFormat/>
    <w:uiPriority w:val="0"/>
    <w:pPr>
      <w:spacing w:line="240" w:lineRule="auto"/>
      <w:jc w:val="center"/>
    </w:pPr>
    <w:rPr>
      <w:color w:val="000000"/>
      <w:sz w:val="21"/>
    </w:rPr>
  </w:style>
  <w:style w:type="paragraph" w:customStyle="1" w:styleId="1616">
    <w:name w:val="样式７２"/>
    <w:basedOn w:val="1"/>
    <w:next w:val="1"/>
    <w:qFormat/>
    <w:uiPriority w:val="0"/>
    <w:pPr>
      <w:widowControl/>
      <w:numPr>
        <w:ilvl w:val="0"/>
        <w:numId w:val="26"/>
      </w:numPr>
      <w:snapToGrid w:val="0"/>
      <w:spacing w:beforeLines="50" w:afterLines="50" w:line="312" w:lineRule="auto"/>
      <w:jc w:val="left"/>
    </w:pPr>
    <w:rPr>
      <w:rFonts w:eastAsia="黑体"/>
      <w:b/>
      <w:kern w:val="0"/>
      <w:sz w:val="21"/>
      <w:szCs w:val="21"/>
      <w:lang w:eastAsia="en-US"/>
    </w:rPr>
  </w:style>
  <w:style w:type="paragraph" w:customStyle="1" w:styleId="1617">
    <w:name w:val="CM25"/>
    <w:basedOn w:val="1345"/>
    <w:next w:val="1345"/>
    <w:qFormat/>
    <w:uiPriority w:val="0"/>
    <w:pPr>
      <w:spacing w:line="468" w:lineRule="atLeast"/>
    </w:pPr>
    <w:rPr>
      <w:rFonts w:ascii="·..." w:eastAsia="·..." w:cs="·..."/>
      <w:color w:val="auto"/>
    </w:rPr>
  </w:style>
  <w:style w:type="paragraph" w:customStyle="1" w:styleId="1618">
    <w:name w:val="样式 表标题5.12 + 居中 段前: 1 行"/>
    <w:basedOn w:val="1560"/>
    <w:qFormat/>
    <w:uiPriority w:val="0"/>
    <w:pPr>
      <w:numPr>
        <w:ilvl w:val="0"/>
        <w:numId w:val="27"/>
      </w:numPr>
      <w:spacing w:before="312"/>
      <w:jc w:val="center"/>
    </w:pPr>
    <w:rPr>
      <w:rFonts w:cs="宋体"/>
      <w:bCs/>
      <w:szCs w:val="20"/>
    </w:rPr>
  </w:style>
  <w:style w:type="paragraph" w:customStyle="1" w:styleId="1619">
    <w:name w:val="wenzi"/>
    <w:basedOn w:val="1"/>
    <w:qFormat/>
    <w:uiPriority w:val="0"/>
    <w:pPr>
      <w:widowControl/>
      <w:spacing w:before="100" w:beforeAutospacing="1" w:after="100" w:afterAutospacing="1" w:line="360" w:lineRule="atLeast"/>
      <w:jc w:val="left"/>
    </w:pPr>
    <w:rPr>
      <w:rFonts w:ascii="宋体" w:hAnsi="宋体"/>
      <w:color w:val="000000"/>
      <w:kern w:val="0"/>
      <w:sz w:val="18"/>
      <w:szCs w:val="18"/>
    </w:rPr>
  </w:style>
  <w:style w:type="paragraph" w:customStyle="1" w:styleId="1620">
    <w:name w:val="Text"/>
    <w:basedOn w:val="1"/>
    <w:qFormat/>
    <w:uiPriority w:val="0"/>
    <w:pPr>
      <w:widowControl/>
      <w:spacing w:line="240" w:lineRule="auto"/>
      <w:ind w:left="851"/>
    </w:pPr>
    <w:rPr>
      <w:rFonts w:ascii="Arial" w:hAnsi="Arial"/>
      <w:kern w:val="0"/>
      <w:sz w:val="22"/>
      <w:szCs w:val="20"/>
    </w:rPr>
  </w:style>
  <w:style w:type="paragraph" w:customStyle="1" w:styleId="1621">
    <w:name w:val="Char Char Char Char Char Char Char Char2 Char Char Char Char Char Char Char Char Char Char Char Char Char"/>
    <w:basedOn w:val="1"/>
    <w:next w:val="1"/>
    <w:qFormat/>
    <w:uiPriority w:val="0"/>
    <w:pPr>
      <w:spacing w:line="240" w:lineRule="auto"/>
      <w:ind w:firstLine="200" w:firstLineChars="200"/>
    </w:pPr>
    <w:rPr>
      <w:rFonts w:ascii="宋体" w:hAnsi="宋体" w:eastAsia="汉鼎简书宋" w:cs="宋体"/>
      <w:spacing w:val="4"/>
    </w:rPr>
  </w:style>
  <w:style w:type="paragraph" w:customStyle="1" w:styleId="1622">
    <w:name w:val="content"/>
    <w:basedOn w:val="1"/>
    <w:qFormat/>
    <w:uiPriority w:val="0"/>
    <w:pPr>
      <w:widowControl/>
      <w:spacing w:before="100" w:beforeAutospacing="1" w:after="100" w:afterAutospacing="1"/>
    </w:pPr>
    <w:rPr>
      <w:rFonts w:ascii="宋体" w:hAnsi="宋体"/>
      <w:kern w:val="0"/>
      <w:sz w:val="18"/>
      <w:szCs w:val="18"/>
    </w:rPr>
  </w:style>
  <w:style w:type="paragraph" w:customStyle="1" w:styleId="1623">
    <w:name w:val="插表文字五号"/>
    <w:basedOn w:val="1531"/>
    <w:qFormat/>
    <w:uiPriority w:val="0"/>
  </w:style>
  <w:style w:type="paragraph" w:customStyle="1" w:styleId="1624">
    <w:name w:val="样式 列表列表 Char列表 Char Char Char Char Char1列表 Char Char Char Cha... Char"/>
    <w:basedOn w:val="67"/>
    <w:qFormat/>
    <w:uiPriority w:val="0"/>
    <w:pPr>
      <w:spacing w:line="500" w:lineRule="exact"/>
      <w:ind w:left="0" w:firstLine="200" w:firstLineChars="200"/>
      <w:jc w:val="center"/>
    </w:pPr>
    <w:rPr>
      <w:rFonts w:eastAsia="黑体"/>
      <w:sz w:val="24"/>
      <w:szCs w:val="24"/>
    </w:rPr>
  </w:style>
  <w:style w:type="paragraph" w:customStyle="1" w:styleId="1625">
    <w:name w:val="标题16.1.1.1"/>
    <w:basedOn w:val="8"/>
    <w:qFormat/>
    <w:uiPriority w:val="0"/>
    <w:pPr>
      <w:keepLines/>
      <w:numPr>
        <w:ilvl w:val="3"/>
        <w:numId w:val="28"/>
      </w:numPr>
      <w:tabs>
        <w:tab w:val="left" w:pos="1080"/>
        <w:tab w:val="clear" w:pos="864"/>
      </w:tabs>
      <w:spacing w:before="120" w:after="120" w:line="312" w:lineRule="auto"/>
      <w:jc w:val="both"/>
    </w:pPr>
    <w:rPr>
      <w:rFonts w:ascii="Arial" w:hAnsi="Arial" w:eastAsia="黑体"/>
    </w:rPr>
  </w:style>
  <w:style w:type="paragraph" w:customStyle="1" w:styleId="1626">
    <w:name w:val="批注框文本 Char Char"/>
    <w:basedOn w:val="1"/>
    <w:qFormat/>
    <w:uiPriority w:val="0"/>
    <w:pPr>
      <w:spacing w:line="240" w:lineRule="auto"/>
    </w:pPr>
    <w:rPr>
      <w:sz w:val="18"/>
      <w:szCs w:val="20"/>
    </w:rPr>
  </w:style>
  <w:style w:type="paragraph" w:customStyle="1" w:styleId="1627">
    <w:name w:val="表格文字样式"/>
    <w:basedOn w:val="1"/>
    <w:qFormat/>
    <w:uiPriority w:val="0"/>
    <w:pPr>
      <w:tabs>
        <w:tab w:val="left" w:pos="567"/>
      </w:tabs>
      <w:spacing w:line="240" w:lineRule="auto"/>
      <w:jc w:val="center"/>
    </w:pPr>
    <w:rPr>
      <w:rFonts w:eastAsia="华文中宋"/>
      <w:spacing w:val="20"/>
      <w:szCs w:val="20"/>
    </w:rPr>
  </w:style>
  <w:style w:type="paragraph" w:customStyle="1" w:styleId="1628">
    <w:name w:val="左侧"/>
    <w:qFormat/>
    <w:uiPriority w:val="0"/>
    <w:pPr>
      <w:spacing w:line="280" w:lineRule="exact"/>
      <w:jc w:val="center"/>
    </w:pPr>
    <w:rPr>
      <w:rFonts w:ascii="Batang" w:hAnsi="Batang" w:eastAsia="宋体" w:cs="Times New Roman"/>
      <w:color w:val="000000"/>
      <w:kern w:val="0"/>
      <w:sz w:val="21"/>
      <w:szCs w:val="20"/>
      <w:lang w:val="en-US" w:eastAsia="zh-CN" w:bidi="ar-SA"/>
    </w:rPr>
  </w:style>
  <w:style w:type="paragraph" w:customStyle="1" w:styleId="1629">
    <w:name w:val="表中样式"/>
    <w:basedOn w:val="1"/>
    <w:qFormat/>
    <w:uiPriority w:val="0"/>
    <w:pPr>
      <w:widowControl/>
      <w:spacing w:line="240" w:lineRule="exact"/>
      <w:ind w:left="-25" w:leftChars="-25" w:right="-31" w:rightChars="-31"/>
      <w:jc w:val="center"/>
    </w:pPr>
    <w:rPr>
      <w:rFonts w:ascii="宋体" w:hAnsi="宋体" w:cs="宋体"/>
      <w:bCs/>
      <w:kern w:val="0"/>
      <w:sz w:val="21"/>
      <w:szCs w:val="32"/>
    </w:rPr>
  </w:style>
  <w:style w:type="paragraph" w:customStyle="1" w:styleId="1630">
    <w:name w:val="样式 小四 非加粗 黑色 段前: 0 磅 段后: 0 磅 行距: 1.5 倍行距"/>
    <w:basedOn w:val="1"/>
    <w:qFormat/>
    <w:uiPriority w:val="0"/>
    <w:pPr>
      <w:ind w:firstLine="384" w:firstLineChars="160"/>
    </w:pPr>
    <w:rPr>
      <w:rFonts w:ascii="宋体" w:hAnsi="宋体" w:cs="宋体"/>
      <w:color w:val="000000"/>
      <w:kern w:val="0"/>
      <w:szCs w:val="20"/>
    </w:rPr>
  </w:style>
  <w:style w:type="paragraph" w:customStyle="1" w:styleId="1631">
    <w:name w:val="基准篇眉"/>
    <w:basedOn w:val="1"/>
    <w:qFormat/>
    <w:uiPriority w:val="0"/>
    <w:pPr>
      <w:keepLines/>
      <w:widowControl/>
      <w:tabs>
        <w:tab w:val="center" w:pos="7200"/>
        <w:tab w:val="right" w:pos="14400"/>
      </w:tabs>
      <w:overflowPunct w:val="0"/>
      <w:autoSpaceDE w:val="0"/>
      <w:autoSpaceDN w:val="0"/>
      <w:adjustRightInd w:val="0"/>
      <w:spacing w:line="240" w:lineRule="auto"/>
      <w:jc w:val="center"/>
      <w:textAlignment w:val="baseline"/>
    </w:pPr>
    <w:rPr>
      <w:spacing w:val="80"/>
      <w:kern w:val="0"/>
      <w:sz w:val="20"/>
      <w:szCs w:val="20"/>
      <w:lang w:bidi="en-US"/>
    </w:rPr>
  </w:style>
  <w:style w:type="paragraph" w:customStyle="1" w:styleId="1632">
    <w:name w:val="表16.4-1"/>
    <w:basedOn w:val="1445"/>
    <w:qFormat/>
    <w:uiPriority w:val="0"/>
    <w:pPr>
      <w:numPr>
        <w:ilvl w:val="0"/>
        <w:numId w:val="29"/>
      </w:numPr>
    </w:pPr>
  </w:style>
  <w:style w:type="paragraph" w:customStyle="1" w:styleId="1633">
    <w:name w:val="xl27"/>
    <w:basedOn w:val="1"/>
    <w:qFormat/>
    <w:uiPriority w:val="0"/>
    <w:pPr>
      <w:widowControl/>
      <w:pBdr>
        <w:bottom w:val="single" w:color="auto" w:sz="12" w:space="0"/>
      </w:pBdr>
      <w:adjustRightInd w:val="0"/>
      <w:snapToGrid w:val="0"/>
      <w:spacing w:before="100" w:after="100" w:line="460" w:lineRule="exact"/>
      <w:jc w:val="center"/>
    </w:pPr>
    <w:rPr>
      <w:rFonts w:ascii="宋体" w:hAnsi="宋体" w:eastAsia="仿宋_GB2312"/>
      <w:kern w:val="0"/>
      <w:sz w:val="21"/>
    </w:rPr>
  </w:style>
  <w:style w:type="paragraph" w:customStyle="1" w:styleId="1634">
    <w:name w:val="Char Char Char Char1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35">
    <w:name w:val="封面标准文稿编辑信息"/>
    <w:qFormat/>
    <w:uiPriority w:val="0"/>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1636">
    <w:name w:val="xl101"/>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1637">
    <w:name w:val="City/State"/>
    <w:basedOn w:val="36"/>
    <w:next w:val="36"/>
    <w:qFormat/>
    <w:uiPriority w:val="0"/>
    <w:pPr>
      <w:keepNext/>
      <w:widowControl/>
      <w:spacing w:after="220" w:line="220" w:lineRule="atLeast"/>
      <w:ind w:right="-360"/>
      <w:jc w:val="left"/>
    </w:pPr>
    <w:rPr>
      <w:kern w:val="0"/>
      <w:sz w:val="20"/>
      <w:szCs w:val="20"/>
    </w:rPr>
  </w:style>
  <w:style w:type="paragraph" w:customStyle="1" w:styleId="1638">
    <w:name w:val="bgt"/>
    <w:basedOn w:val="1535"/>
    <w:next w:val="1535"/>
    <w:qFormat/>
    <w:uiPriority w:val="0"/>
    <w:pPr>
      <w:adjustRightInd w:val="0"/>
      <w:snapToGrid w:val="0"/>
      <w:spacing w:line="240" w:lineRule="auto"/>
      <w:ind w:firstLine="0" w:firstLineChars="0"/>
    </w:pPr>
  </w:style>
  <w:style w:type="paragraph" w:customStyle="1" w:styleId="1639">
    <w:name w:val="样式66"/>
    <w:basedOn w:val="5"/>
    <w:qFormat/>
    <w:uiPriority w:val="0"/>
    <w:pPr>
      <w:keepLines/>
      <w:tabs>
        <w:tab w:val="left" w:pos="432"/>
      </w:tabs>
      <w:adjustRightInd w:val="0"/>
      <w:snapToGrid w:val="0"/>
      <w:spacing w:line="360" w:lineRule="auto"/>
    </w:pPr>
    <w:rPr>
      <w:rFonts w:ascii="黑体" w:hAnsi="黑体" w:eastAsia="黑体"/>
      <w:b/>
      <w:bCs/>
      <w:kern w:val="44"/>
      <w:sz w:val="44"/>
      <w:szCs w:val="44"/>
    </w:rPr>
  </w:style>
  <w:style w:type="paragraph" w:customStyle="1" w:styleId="1640">
    <w:name w:val="标题 3 SL CON"/>
    <w:basedOn w:val="1"/>
    <w:next w:val="1"/>
    <w:qFormat/>
    <w:uiPriority w:val="0"/>
    <w:pPr>
      <w:keepNext/>
      <w:keepLines/>
      <w:widowControl/>
      <w:tabs>
        <w:tab w:val="left" w:pos="377"/>
        <w:tab w:val="left" w:pos="850"/>
        <w:tab w:val="left" w:pos="960"/>
      </w:tabs>
      <w:spacing w:before="100" w:beforeAutospacing="1"/>
      <w:ind w:left="850" w:hanging="681"/>
      <w:outlineLvl w:val="2"/>
    </w:pPr>
    <w:rPr>
      <w:rFonts w:eastAsia="黑体" w:cs="宋体"/>
      <w:kern w:val="0"/>
    </w:rPr>
  </w:style>
  <w:style w:type="paragraph" w:customStyle="1" w:styleId="1641">
    <w:name w:val="样式 标题 2一级标题节 + 仿宋_GB2312 小三 段前: 0 磅 段后: 0 磅 行距: 单倍行距"/>
    <w:basedOn w:val="6"/>
    <w:qFormat/>
    <w:uiPriority w:val="0"/>
    <w:pPr>
      <w:tabs>
        <w:tab w:val="left" w:pos="576"/>
      </w:tabs>
      <w:spacing w:before="3744" w:beforeLines="1200" w:after="1872" w:afterLines="600" w:line="240" w:lineRule="auto"/>
    </w:pPr>
    <w:rPr>
      <w:rFonts w:ascii="仿宋_GB2312" w:hAnsi="宋体" w:eastAsia="仿宋_GB2312" w:cs="宋体"/>
      <w:szCs w:val="20"/>
    </w:rPr>
  </w:style>
  <w:style w:type="paragraph" w:customStyle="1" w:styleId="1642">
    <w:name w:val="表"/>
    <w:basedOn w:val="1"/>
    <w:qFormat/>
    <w:uiPriority w:val="0"/>
    <w:pPr>
      <w:snapToGrid w:val="0"/>
      <w:spacing w:line="240" w:lineRule="auto"/>
      <w:jc w:val="center"/>
    </w:pPr>
    <w:rPr>
      <w:spacing w:val="2"/>
      <w:sz w:val="21"/>
      <w:szCs w:val="20"/>
    </w:rPr>
  </w:style>
  <w:style w:type="paragraph" w:customStyle="1" w:styleId="1643">
    <w:name w:val="font8"/>
    <w:basedOn w:val="1"/>
    <w:qFormat/>
    <w:uiPriority w:val="0"/>
    <w:pPr>
      <w:widowControl/>
      <w:spacing w:before="100" w:beforeAutospacing="1" w:after="100" w:afterAutospacing="1" w:line="240" w:lineRule="auto"/>
      <w:jc w:val="left"/>
    </w:pPr>
    <w:rPr>
      <w:rFonts w:hint="eastAsia" w:ascii="宋体" w:hAnsi="宋体"/>
      <w:kern w:val="0"/>
      <w:sz w:val="16"/>
      <w:szCs w:val="16"/>
    </w:rPr>
  </w:style>
  <w:style w:type="paragraph" w:customStyle="1" w:styleId="1644">
    <w:name w:val="引言"/>
    <w:basedOn w:val="1"/>
    <w:next w:val="1"/>
    <w:qFormat/>
    <w:uiPriority w:val="0"/>
    <w:pPr>
      <w:spacing w:line="240" w:lineRule="auto"/>
      <w:jc w:val="center"/>
    </w:pPr>
    <w:rPr>
      <w:bCs/>
      <w:color w:val="000000"/>
      <w:sz w:val="21"/>
      <w:szCs w:val="20"/>
    </w:rPr>
  </w:style>
  <w:style w:type="paragraph" w:customStyle="1" w:styleId="1645">
    <w:name w:val="表后注解"/>
    <w:basedOn w:val="1"/>
    <w:qFormat/>
    <w:uiPriority w:val="0"/>
    <w:pPr>
      <w:spacing w:line="300" w:lineRule="atLeast"/>
    </w:pPr>
    <w:rPr>
      <w:rFonts w:ascii="楷体_GB2312" w:hAnsi="宋体" w:eastAsia="楷体_GB2312"/>
      <w:bCs/>
      <w:color w:val="000000"/>
      <w:sz w:val="20"/>
      <w:szCs w:val="20"/>
    </w:rPr>
  </w:style>
  <w:style w:type="paragraph" w:customStyle="1" w:styleId="1646">
    <w:name w:val="Char2 Char Char Char Char Char Char Char1"/>
    <w:basedOn w:val="1"/>
    <w:qFormat/>
    <w:uiPriority w:val="0"/>
    <w:pPr>
      <w:autoSpaceDE w:val="0"/>
      <w:autoSpaceDN w:val="0"/>
      <w:adjustRightInd w:val="0"/>
      <w:snapToGrid w:val="0"/>
      <w:spacing w:before="50" w:after="50"/>
      <w:ind w:firstLine="560" w:firstLineChars="200"/>
    </w:pPr>
    <w:rPr>
      <w:rFonts w:eastAsia="仿宋_GB2312"/>
      <w:color w:val="000000"/>
      <w:szCs w:val="20"/>
    </w:rPr>
  </w:style>
  <w:style w:type="paragraph" w:customStyle="1" w:styleId="1647">
    <w:name w:val="et6"/>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648">
    <w:name w:val="粗体字"/>
    <w:basedOn w:val="1"/>
    <w:qFormat/>
    <w:uiPriority w:val="0"/>
    <w:pPr>
      <w:ind w:firstLine="200" w:firstLineChars="200"/>
    </w:pPr>
    <w:rPr>
      <w:rFonts w:ascii="宋体" w:hAnsi="宋体"/>
      <w:b/>
      <w:kern w:val="0"/>
      <w:szCs w:val="20"/>
    </w:rPr>
  </w:style>
  <w:style w:type="paragraph" w:customStyle="1" w:styleId="1649">
    <w:name w:val="Char Char Char Char Char Char Char Char Char1 Char1"/>
    <w:basedOn w:val="1"/>
    <w:qFormat/>
    <w:uiPriority w:val="0"/>
    <w:pPr>
      <w:widowControl/>
      <w:spacing w:line="240" w:lineRule="auto"/>
      <w:jc w:val="left"/>
    </w:pPr>
    <w:rPr>
      <w:rFonts w:ascii="Tahoma" w:hAnsi="Tahoma" w:cs="仿宋_GB2312"/>
      <w:kern w:val="0"/>
      <w:szCs w:val="20"/>
    </w:rPr>
  </w:style>
  <w:style w:type="paragraph" w:customStyle="1" w:styleId="1650">
    <w:name w:val="三级"/>
    <w:basedOn w:val="1651"/>
    <w:qFormat/>
    <w:uiPriority w:val="0"/>
    <w:pPr>
      <w:tabs>
        <w:tab w:val="left" w:pos="2705"/>
      </w:tabs>
    </w:pPr>
    <w:rPr>
      <w:bCs w:val="0"/>
    </w:rPr>
  </w:style>
  <w:style w:type="paragraph" w:customStyle="1" w:styleId="1651">
    <w:name w:val="3级"/>
    <w:basedOn w:val="7"/>
    <w:qFormat/>
    <w:uiPriority w:val="0"/>
    <w:pPr>
      <w:keepLines w:val="0"/>
      <w:widowControl/>
      <w:numPr>
        <w:ilvl w:val="0"/>
        <w:numId w:val="0"/>
      </w:numPr>
      <w:spacing w:before="120" w:beforeLines="50" w:after="0" w:afterLines="50" w:line="440" w:lineRule="exact"/>
      <w:jc w:val="left"/>
    </w:pPr>
    <w:rPr>
      <w:rFonts w:ascii="Times New Roman" w:hAnsi="Times New Roman" w:eastAsia="黑体" w:cs="宋体"/>
      <w:b w:val="0"/>
      <w:kern w:val="0"/>
      <w:szCs w:val="20"/>
      <w:lang w:bidi="en-US"/>
    </w:rPr>
  </w:style>
  <w:style w:type="paragraph" w:customStyle="1" w:styleId="1652">
    <w:name w:val="xl131"/>
    <w:basedOn w:val="1"/>
    <w:qFormat/>
    <w:uiPriority w:val="0"/>
    <w:pPr>
      <w:widowControl/>
      <w:spacing w:before="100" w:beforeAutospacing="1" w:after="100" w:afterAutospacing="1" w:line="240" w:lineRule="auto"/>
      <w:jc w:val="center"/>
    </w:pPr>
    <w:rPr>
      <w:rFonts w:eastAsia="Arial Unicode MS"/>
      <w:kern w:val="0"/>
    </w:rPr>
  </w:style>
  <w:style w:type="paragraph" w:customStyle="1" w:styleId="1653">
    <w:name w:val="样式 正文首行缩进 + (符号) 宋体 四号 段后: 0 磅 行距: 1.5 倍行距"/>
    <w:basedOn w:val="87"/>
    <w:qFormat/>
    <w:uiPriority w:val="0"/>
    <w:pPr>
      <w:spacing w:after="0"/>
      <w:ind w:firstLine="560" w:firstLineChars="200"/>
    </w:pPr>
    <w:rPr>
      <w:rFonts w:ascii="宋体" w:hAnsi="宋体" w:cs="宋体"/>
      <w:spacing w:val="4"/>
      <w:sz w:val="28"/>
      <w:szCs w:val="20"/>
    </w:rPr>
  </w:style>
  <w:style w:type="paragraph" w:customStyle="1" w:styleId="1654">
    <w:name w:val="自定义正文格式"/>
    <w:basedOn w:val="1"/>
    <w:qFormat/>
    <w:uiPriority w:val="0"/>
    <w:pPr>
      <w:ind w:firstLine="200" w:firstLineChars="200"/>
    </w:pPr>
    <w:rPr>
      <w:rFonts w:eastAsia="仿宋_GB2312" w:cs="宋体"/>
    </w:rPr>
  </w:style>
  <w:style w:type="paragraph" w:customStyle="1" w:styleId="1655">
    <w:name w:val="样式 标题 4标题 4 Char + 首行缩进:  2 字符"/>
    <w:basedOn w:val="8"/>
    <w:qFormat/>
    <w:uiPriority w:val="0"/>
    <w:pPr>
      <w:keepLines/>
      <w:tabs>
        <w:tab w:val="clear" w:pos="864"/>
      </w:tabs>
      <w:ind w:left="0" w:firstLine="0"/>
      <w:jc w:val="both"/>
    </w:pPr>
    <w:rPr>
      <w:rFonts w:cs="宋体"/>
      <w:sz w:val="28"/>
      <w:szCs w:val="20"/>
    </w:rPr>
  </w:style>
  <w:style w:type="paragraph" w:customStyle="1" w:styleId="1656">
    <w:name w:val="表内字体"/>
    <w:basedOn w:val="1"/>
    <w:next w:val="1"/>
    <w:qFormat/>
    <w:uiPriority w:val="0"/>
    <w:pPr>
      <w:spacing w:line="240" w:lineRule="auto"/>
      <w:jc w:val="center"/>
    </w:pPr>
    <w:rPr>
      <w:sz w:val="18"/>
    </w:rPr>
  </w:style>
  <w:style w:type="paragraph" w:customStyle="1" w:styleId="1657">
    <w:name w:val="Char Char Char Char Char Char Char Char Char2 Char"/>
    <w:basedOn w:val="1"/>
    <w:qFormat/>
    <w:uiPriority w:val="0"/>
    <w:pPr>
      <w:widowControl/>
      <w:spacing w:line="240" w:lineRule="auto"/>
      <w:jc w:val="left"/>
    </w:pPr>
    <w:rPr>
      <w:rFonts w:ascii="宋体" w:hAnsi="宋体" w:cs="宋体"/>
      <w:kern w:val="0"/>
      <w:sz w:val="21"/>
      <w:szCs w:val="20"/>
    </w:rPr>
  </w:style>
  <w:style w:type="paragraph" w:customStyle="1" w:styleId="1658">
    <w:name w:val="单位名称"/>
    <w:basedOn w:val="1"/>
    <w:qFormat/>
    <w:uiPriority w:val="0"/>
    <w:pPr>
      <w:widowControl/>
      <w:overflowPunct w:val="0"/>
      <w:autoSpaceDE w:val="0"/>
      <w:autoSpaceDN w:val="0"/>
      <w:adjustRightInd w:val="0"/>
      <w:spacing w:before="120" w:after="80" w:line="240" w:lineRule="auto"/>
      <w:jc w:val="center"/>
      <w:textAlignment w:val="baseline"/>
    </w:pPr>
    <w:rPr>
      <w:b/>
      <w:kern w:val="0"/>
      <w:sz w:val="28"/>
      <w:szCs w:val="20"/>
      <w:lang w:bidi="en-US"/>
    </w:rPr>
  </w:style>
  <w:style w:type="paragraph" w:customStyle="1" w:styleId="1659">
    <w:name w:val="font5"/>
    <w:basedOn w:val="1"/>
    <w:qFormat/>
    <w:uiPriority w:val="0"/>
    <w:pPr>
      <w:widowControl/>
      <w:spacing w:before="100" w:beforeAutospacing="1" w:after="100" w:afterAutospacing="1" w:line="240" w:lineRule="auto"/>
      <w:jc w:val="left"/>
    </w:pPr>
    <w:rPr>
      <w:rFonts w:ascii="宋体" w:hAnsi="宋体" w:cs="楷体_GB2312"/>
      <w:kern w:val="0"/>
      <w:sz w:val="18"/>
      <w:szCs w:val="18"/>
    </w:rPr>
  </w:style>
  <w:style w:type="paragraph" w:customStyle="1" w:styleId="1660">
    <w:name w:val="默认段落字体 Para Char Char Char Char Char Char Char Char Char Char Char"/>
    <w:basedOn w:val="7"/>
    <w:qFormat/>
    <w:uiPriority w:val="0"/>
    <w:pPr>
      <w:keepNext w:val="0"/>
      <w:keepLines w:val="0"/>
      <w:numPr>
        <w:numId w:val="0"/>
      </w:numPr>
      <w:tabs>
        <w:tab w:val="left" w:pos="360"/>
        <w:tab w:val="left" w:pos="900"/>
      </w:tabs>
      <w:snapToGrid w:val="0"/>
      <w:spacing w:before="120" w:after="120" w:line="360" w:lineRule="auto"/>
      <w:ind w:left="542" w:leftChars="-12" w:firstLine="200" w:firstLineChars="200"/>
    </w:pPr>
    <w:rPr>
      <w:rFonts w:ascii="楷体_GB2312" w:hAnsi="Times New Roman" w:eastAsia="黑体"/>
      <w:b w:val="0"/>
      <w:bCs w:val="0"/>
      <w:snapToGrid w:val="0"/>
      <w:color w:val="FF0000"/>
      <w:sz w:val="24"/>
      <w:szCs w:val="24"/>
    </w:rPr>
  </w:style>
  <w:style w:type="paragraph" w:customStyle="1" w:styleId="1661">
    <w:name w:val="表3.3"/>
    <w:basedOn w:val="1"/>
    <w:qFormat/>
    <w:uiPriority w:val="0"/>
    <w:pPr>
      <w:numPr>
        <w:ilvl w:val="0"/>
        <w:numId w:val="30"/>
      </w:numPr>
      <w:tabs>
        <w:tab w:val="center" w:pos="4060"/>
        <w:tab w:val="right" w:pos="8261"/>
      </w:tabs>
      <w:suppressAutoHyphens/>
      <w:adjustRightInd w:val="0"/>
      <w:spacing w:before="240" w:line="0" w:lineRule="atLeast"/>
    </w:pPr>
    <w:rPr>
      <w:rFonts w:ascii="黑体" w:eastAsia="黑体"/>
      <w:b/>
      <w:spacing w:val="6"/>
      <w:kern w:val="0"/>
      <w:sz w:val="26"/>
      <w:szCs w:val="26"/>
    </w:rPr>
  </w:style>
  <w:style w:type="paragraph" w:customStyle="1" w:styleId="1662">
    <w:name w:val="內文縮排 2"/>
    <w:basedOn w:val="23"/>
    <w:qFormat/>
    <w:uiPriority w:val="0"/>
    <w:pPr>
      <w:spacing w:before="120" w:line="300" w:lineRule="auto"/>
      <w:ind w:left="794" w:firstLine="0"/>
    </w:pPr>
    <w:rPr>
      <w:rFonts w:ascii="Arial" w:hAnsi="Arial"/>
      <w:bCs/>
      <w:spacing w:val="20"/>
      <w:sz w:val="24"/>
      <w:lang w:eastAsia="zh-TW"/>
    </w:rPr>
  </w:style>
  <w:style w:type="paragraph" w:customStyle="1" w:styleId="1663">
    <w:name w:val="样式 四号 首行缩进:  1.01 厘米 行距: 固定值 23 磅"/>
    <w:basedOn w:val="1"/>
    <w:qFormat/>
    <w:uiPriority w:val="0"/>
    <w:pPr>
      <w:spacing w:beforeLines="50" w:line="460" w:lineRule="exact"/>
      <w:ind w:firstLine="573"/>
    </w:pPr>
    <w:rPr>
      <w:sz w:val="28"/>
      <w:szCs w:val="20"/>
    </w:rPr>
  </w:style>
  <w:style w:type="paragraph" w:customStyle="1" w:styleId="1664">
    <w:name w:val="一级目录"/>
    <w:basedOn w:val="5"/>
    <w:qFormat/>
    <w:uiPriority w:val="0"/>
    <w:pPr>
      <w:keepLines/>
      <w:pageBreakBefore/>
      <w:spacing w:before="120" w:after="120" w:line="240" w:lineRule="auto"/>
      <w:jc w:val="left"/>
    </w:pPr>
    <w:rPr>
      <w:rFonts w:ascii="Times New Roman" w:hAnsi="Times New Roman" w:cs="宋体"/>
      <w:b/>
      <w:bCs/>
      <w:color w:val="000000"/>
      <w:kern w:val="44"/>
      <w:sz w:val="36"/>
      <w:szCs w:val="20"/>
    </w:rPr>
  </w:style>
  <w:style w:type="paragraph" w:customStyle="1" w:styleId="1665">
    <w:name w:val="宏福正文-2"/>
    <w:basedOn w:val="87"/>
    <w:qFormat/>
    <w:uiPriority w:val="0"/>
    <w:pPr>
      <w:snapToGrid w:val="0"/>
      <w:spacing w:before="240" w:after="0" w:line="400" w:lineRule="atLeast"/>
      <w:ind w:firstLine="567" w:firstLineChars="0"/>
    </w:pPr>
    <w:rPr>
      <w:sz w:val="28"/>
      <w:szCs w:val="20"/>
    </w:rPr>
  </w:style>
  <w:style w:type="paragraph" w:customStyle="1" w:styleId="1666">
    <w:name w:val="xl65"/>
    <w:basedOn w:val="1"/>
    <w:qFormat/>
    <w:uiPriority w:val="0"/>
    <w:pPr>
      <w:widowControl/>
      <w:pBdr>
        <w:right w:val="single" w:color="auto" w:sz="4" w:space="0"/>
      </w:pBdr>
      <w:spacing w:before="100" w:beforeAutospacing="1" w:after="100" w:afterAutospacing="1" w:line="240" w:lineRule="auto"/>
      <w:jc w:val="center"/>
    </w:pPr>
    <w:rPr>
      <w:kern w:val="0"/>
      <w:sz w:val="16"/>
      <w:szCs w:val="16"/>
    </w:rPr>
  </w:style>
  <w:style w:type="paragraph" w:customStyle="1" w:styleId="1667">
    <w:name w:val="Sun"/>
    <w:basedOn w:val="1"/>
    <w:qFormat/>
    <w:uiPriority w:val="0"/>
    <w:pPr>
      <w:adjustRightInd w:val="0"/>
      <w:ind w:firstLine="567"/>
      <w:textAlignment w:val="baseline"/>
    </w:pPr>
    <w:rPr>
      <w:kern w:val="28"/>
      <w:sz w:val="28"/>
      <w:szCs w:val="20"/>
    </w:rPr>
  </w:style>
  <w:style w:type="paragraph" w:customStyle="1" w:styleId="1668">
    <w:name w:val="样式 黑体 20 居中"/>
    <w:basedOn w:val="1"/>
    <w:qFormat/>
    <w:uiPriority w:val="0"/>
    <w:pPr>
      <w:jc w:val="center"/>
    </w:pPr>
    <w:rPr>
      <w:rFonts w:ascii="黑体" w:eastAsia="黑体"/>
      <w:bCs/>
      <w:sz w:val="40"/>
      <w:szCs w:val="20"/>
    </w:rPr>
  </w:style>
  <w:style w:type="paragraph" w:customStyle="1" w:styleId="1669">
    <w:name w:val="河石管道 表格正文"/>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1670">
    <w:name w:val="调研内容"/>
    <w:basedOn w:val="1"/>
    <w:qFormat/>
    <w:uiPriority w:val="0"/>
    <w:rPr>
      <w:sz w:val="21"/>
      <w:szCs w:val="20"/>
    </w:rPr>
  </w:style>
  <w:style w:type="paragraph" w:customStyle="1" w:styleId="1671">
    <w:name w:val="表标题3.7"/>
    <w:basedOn w:val="1"/>
    <w:qFormat/>
    <w:uiPriority w:val="0"/>
    <w:pPr>
      <w:numPr>
        <w:ilvl w:val="0"/>
        <w:numId w:val="31"/>
      </w:numPr>
      <w:tabs>
        <w:tab w:val="center" w:pos="4060"/>
        <w:tab w:val="right" w:pos="8261"/>
      </w:tabs>
      <w:suppressAutoHyphens/>
      <w:adjustRightInd w:val="0"/>
      <w:spacing w:before="240" w:line="0" w:lineRule="atLeast"/>
    </w:pPr>
    <w:rPr>
      <w:rFonts w:ascii="黑体" w:eastAsia="黑体"/>
      <w:b/>
      <w:spacing w:val="6"/>
      <w:kern w:val="0"/>
      <w:sz w:val="26"/>
      <w:szCs w:val="26"/>
    </w:rPr>
  </w:style>
  <w:style w:type="paragraph" w:customStyle="1" w:styleId="1672">
    <w:name w:val="标2"/>
    <w:basedOn w:val="6"/>
    <w:next w:val="1"/>
    <w:qFormat/>
    <w:uiPriority w:val="0"/>
    <w:pPr>
      <w:keepNext/>
      <w:keepLines/>
      <w:numPr>
        <w:ilvl w:val="0"/>
        <w:numId w:val="0"/>
      </w:numPr>
      <w:tabs>
        <w:tab w:val="clear" w:pos="-181"/>
      </w:tabs>
      <w:autoSpaceDE w:val="0"/>
      <w:autoSpaceDN w:val="0"/>
      <w:snapToGrid/>
      <w:spacing w:before="40" w:beforeLines="0" w:after="40" w:line="288" w:lineRule="auto"/>
      <w:ind w:firstLine="601"/>
      <w:jc w:val="both"/>
      <w:outlineLvl w:val="9"/>
    </w:pPr>
    <w:rPr>
      <w:rFonts w:ascii="黑体"/>
      <w:szCs w:val="20"/>
    </w:rPr>
  </w:style>
  <w:style w:type="paragraph" w:customStyle="1" w:styleId="1673">
    <w:name w:val="样式86"/>
    <w:basedOn w:val="1196"/>
    <w:qFormat/>
    <w:uiPriority w:val="0"/>
    <w:pPr>
      <w:spacing w:before="100" w:after="100"/>
    </w:pPr>
    <w:rPr>
      <w:rFonts w:ascii="Times New Roman"/>
    </w:rPr>
  </w:style>
  <w:style w:type="paragraph" w:customStyle="1" w:styleId="1674">
    <w:name w:val="标标题13.1"/>
    <w:basedOn w:val="1"/>
    <w:qFormat/>
    <w:uiPriority w:val="0"/>
    <w:pPr>
      <w:tabs>
        <w:tab w:val="left" w:pos="726"/>
        <w:tab w:val="center" w:pos="4060"/>
        <w:tab w:val="right" w:pos="8261"/>
      </w:tabs>
      <w:suppressAutoHyphens/>
      <w:adjustRightInd w:val="0"/>
      <w:spacing w:before="240" w:line="0" w:lineRule="atLeast"/>
      <w:ind w:left="2" w:firstLine="4"/>
      <w:jc w:val="center"/>
    </w:pPr>
    <w:rPr>
      <w:rFonts w:ascii="黑体" w:eastAsia="黑体"/>
      <w:b/>
      <w:spacing w:val="6"/>
      <w:sz w:val="21"/>
    </w:rPr>
  </w:style>
  <w:style w:type="paragraph" w:customStyle="1" w:styleId="1675">
    <w:name w:val="四级标题王"/>
    <w:basedOn w:val="7"/>
    <w:qFormat/>
    <w:uiPriority w:val="0"/>
    <w:pPr>
      <w:widowControl/>
      <w:numPr>
        <w:ilvl w:val="0"/>
        <w:numId w:val="0"/>
      </w:numPr>
      <w:adjustRightInd w:val="0"/>
      <w:snapToGrid w:val="0"/>
      <w:spacing w:before="0" w:after="0" w:line="360" w:lineRule="auto"/>
      <w:jc w:val="left"/>
      <w:textAlignment w:val="baseline"/>
      <w:outlineLvl w:val="3"/>
    </w:pPr>
    <w:rPr>
      <w:rFonts w:ascii="黑体" w:hAnsi="Times New Roman" w:eastAsia="黑体"/>
      <w:b w:val="0"/>
      <w:bCs w:val="0"/>
      <w:snapToGrid w:val="0"/>
      <w:color w:val="auto"/>
      <w:kern w:val="0"/>
      <w:sz w:val="24"/>
      <w:szCs w:val="24"/>
    </w:rPr>
  </w:style>
  <w:style w:type="paragraph" w:customStyle="1" w:styleId="1676">
    <w:name w:val="et29"/>
    <w:basedOn w:val="1"/>
    <w:qFormat/>
    <w:uiPriority w:val="0"/>
    <w:pPr>
      <w:widowControl/>
      <w:pBdr>
        <w:top w:val="single" w:color="000000" w:sz="18" w:space="0"/>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677">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kern w:val="0"/>
      <w:szCs w:val="20"/>
    </w:rPr>
  </w:style>
  <w:style w:type="paragraph" w:customStyle="1" w:styleId="1678">
    <w:name w:val="样式 标题 4 + 行距: 多倍行距 1.25 字行"/>
    <w:basedOn w:val="8"/>
    <w:qFormat/>
    <w:uiPriority w:val="0"/>
    <w:pPr>
      <w:keepLines/>
      <w:tabs>
        <w:tab w:val="left" w:pos="0"/>
        <w:tab w:val="left" w:pos="210"/>
        <w:tab w:val="left" w:pos="851"/>
        <w:tab w:val="left" w:pos="1080"/>
        <w:tab w:val="clear" w:pos="864"/>
      </w:tabs>
      <w:spacing w:line="300" w:lineRule="auto"/>
      <w:ind w:left="851" w:hanging="851"/>
      <w:jc w:val="both"/>
    </w:pPr>
    <w:rPr>
      <w:rFonts w:ascii="Arial" w:hAnsi="Arial"/>
      <w:kern w:val="0"/>
      <w:szCs w:val="20"/>
    </w:rPr>
  </w:style>
  <w:style w:type="paragraph" w:customStyle="1" w:styleId="1679">
    <w:name w:val="泸县焦化一级标题"/>
    <w:basedOn w:val="1680"/>
    <w:qFormat/>
    <w:uiPriority w:val="0"/>
    <w:pPr>
      <w:spacing w:line="720" w:lineRule="auto"/>
    </w:pPr>
    <w:rPr>
      <w:sz w:val="30"/>
      <w:szCs w:val="30"/>
    </w:rPr>
  </w:style>
  <w:style w:type="paragraph" w:customStyle="1" w:styleId="1680">
    <w:name w:val="蒲标题1"/>
    <w:basedOn w:val="5"/>
    <w:qFormat/>
    <w:uiPriority w:val="0"/>
    <w:pPr>
      <w:keepLines/>
      <w:adjustRightInd w:val="0"/>
      <w:snapToGrid w:val="0"/>
      <w:spacing w:line="360" w:lineRule="auto"/>
    </w:pPr>
    <w:rPr>
      <w:rFonts w:ascii="Times New Roman" w:hAnsi="Times New Roman"/>
      <w:b/>
      <w:bCs/>
      <w:snapToGrid w:val="0"/>
      <w:sz w:val="32"/>
      <w:szCs w:val="32"/>
    </w:rPr>
  </w:style>
  <w:style w:type="paragraph" w:customStyle="1" w:styleId="1681">
    <w:name w:val="三级标题王"/>
    <w:basedOn w:val="8"/>
    <w:qFormat/>
    <w:uiPriority w:val="0"/>
    <w:pPr>
      <w:keepNext w:val="0"/>
      <w:widowControl/>
      <w:tabs>
        <w:tab w:val="left" w:pos="1080"/>
      </w:tabs>
      <w:autoSpaceDE w:val="0"/>
      <w:autoSpaceDN w:val="0"/>
      <w:adjustRightInd w:val="0"/>
      <w:snapToGrid w:val="0"/>
      <w:jc w:val="left"/>
      <w:outlineLvl w:val="2"/>
    </w:pPr>
    <w:rPr>
      <w:rFonts w:ascii="黑体" w:hAnsi="宋体" w:eastAsia="黑体"/>
      <w:snapToGrid w:val="0"/>
      <w:kern w:val="0"/>
    </w:rPr>
  </w:style>
  <w:style w:type="paragraph" w:customStyle="1" w:styleId="1682">
    <w:name w:val="sms"/>
    <w:basedOn w:val="1"/>
    <w:qFormat/>
    <w:uiPriority w:val="0"/>
    <w:pPr>
      <w:widowControl/>
      <w:overflowPunct w:val="0"/>
      <w:autoSpaceDE w:val="0"/>
      <w:autoSpaceDN w:val="0"/>
      <w:adjustRightInd w:val="0"/>
      <w:ind w:left="2126" w:right="992" w:firstLine="709"/>
      <w:textAlignment w:val="baseline"/>
    </w:pPr>
    <w:rPr>
      <w:rFonts w:ascii="宋体"/>
      <w:spacing w:val="20"/>
      <w:kern w:val="0"/>
      <w:sz w:val="26"/>
      <w:szCs w:val="20"/>
    </w:rPr>
  </w:style>
  <w:style w:type="paragraph" w:customStyle="1" w:styleId="1683">
    <w:name w:val="Char"/>
    <w:basedOn w:val="1"/>
    <w:qFormat/>
    <w:uiPriority w:val="0"/>
    <w:pPr>
      <w:widowControl/>
      <w:jc w:val="left"/>
    </w:pPr>
    <w:rPr>
      <w:rFonts w:ascii="Verdana" w:hAnsi="Verdana" w:eastAsia="仿宋_GB2312"/>
      <w:kern w:val="0"/>
      <w:szCs w:val="20"/>
      <w:lang w:eastAsia="en-US"/>
    </w:rPr>
  </w:style>
  <w:style w:type="paragraph" w:customStyle="1" w:styleId="1684">
    <w:name w:val="表格题头"/>
    <w:basedOn w:val="1"/>
    <w:qFormat/>
    <w:uiPriority w:val="0"/>
    <w:pPr>
      <w:jc w:val="center"/>
    </w:pPr>
    <w:rPr>
      <w:rFonts w:ascii="黑体" w:hAnsi="宋体" w:eastAsia="黑体"/>
      <w:spacing w:val="20"/>
    </w:rPr>
  </w:style>
  <w:style w:type="paragraph" w:customStyle="1" w:styleId="1685">
    <w:name w:val="表格-内容"/>
    <w:basedOn w:val="1"/>
    <w:qFormat/>
    <w:uiPriority w:val="0"/>
    <w:pPr>
      <w:spacing w:line="240" w:lineRule="auto"/>
      <w:jc w:val="center"/>
    </w:pPr>
    <w:rPr>
      <w:rFonts w:ascii="宋体" w:hAnsi="宋体"/>
      <w:sz w:val="21"/>
      <w:szCs w:val="21"/>
    </w:rPr>
  </w:style>
  <w:style w:type="paragraph" w:customStyle="1" w:styleId="1686">
    <w:name w:val="et19"/>
    <w:basedOn w:val="1"/>
    <w:qFormat/>
    <w:uiPriority w:val="0"/>
    <w:pPr>
      <w:widowControl/>
      <w:pBdr>
        <w:bottom w:val="single" w:color="000000" w:sz="18"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687">
    <w:name w:val="Char Char Char3 Char Char Char"/>
    <w:basedOn w:val="1"/>
    <w:qFormat/>
    <w:uiPriority w:val="0"/>
    <w:pPr>
      <w:spacing w:line="240" w:lineRule="auto"/>
    </w:pPr>
    <w:rPr>
      <w:sz w:val="21"/>
      <w:szCs w:val="20"/>
    </w:rPr>
  </w:style>
  <w:style w:type="paragraph" w:customStyle="1" w:styleId="1688">
    <w:name w:val="表标题4.5"/>
    <w:basedOn w:val="1"/>
    <w:qFormat/>
    <w:uiPriority w:val="0"/>
    <w:pPr>
      <w:tabs>
        <w:tab w:val="center" w:pos="4060"/>
        <w:tab w:val="right" w:pos="8261"/>
      </w:tabs>
      <w:suppressAutoHyphens/>
      <w:adjustRightInd w:val="0"/>
      <w:spacing w:before="240" w:line="0" w:lineRule="atLeast"/>
    </w:pPr>
    <w:rPr>
      <w:rFonts w:ascii="黑体" w:eastAsia="黑体"/>
      <w:b/>
      <w:spacing w:val="6"/>
      <w:kern w:val="0"/>
      <w:sz w:val="26"/>
      <w:szCs w:val="26"/>
    </w:rPr>
  </w:style>
  <w:style w:type="paragraph" w:customStyle="1" w:styleId="1689">
    <w:name w:val="样式 标题 22级样式 + 段前: 0.3 行 段后: 0.3 行1"/>
    <w:basedOn w:val="6"/>
    <w:qFormat/>
    <w:uiPriority w:val="0"/>
    <w:pPr>
      <w:keepNext/>
      <w:keepLines/>
      <w:numPr>
        <w:ilvl w:val="0"/>
        <w:numId w:val="0"/>
      </w:numPr>
      <w:tabs>
        <w:tab w:val="clear" w:pos="-181"/>
      </w:tabs>
      <w:snapToGrid/>
      <w:spacing w:before="260" w:beforeLines="30" w:after="260" w:afterLines="30"/>
      <w:jc w:val="both"/>
      <w:textAlignment w:val="auto"/>
    </w:pPr>
    <w:rPr>
      <w:rFonts w:cs="宋体"/>
      <w:b/>
      <w:i/>
      <w:color w:val="003300"/>
      <w:kern w:val="2"/>
      <w:szCs w:val="20"/>
    </w:rPr>
  </w:style>
  <w:style w:type="paragraph" w:customStyle="1" w:styleId="1690">
    <w:name w:val="Char Char Char Char Char Char Char"/>
    <w:basedOn w:val="1"/>
    <w:qFormat/>
    <w:uiPriority w:val="0"/>
    <w:pPr>
      <w:widowControl/>
      <w:spacing w:after="160" w:line="240" w:lineRule="exact"/>
      <w:jc w:val="left"/>
    </w:pPr>
    <w:rPr>
      <w:rFonts w:ascii="Arial" w:hAnsi="Arial" w:eastAsia="Times New Roman" w:cs="Verdana"/>
      <w:b/>
      <w:kern w:val="0"/>
      <w:lang w:eastAsia="en-US"/>
    </w:rPr>
  </w:style>
  <w:style w:type="paragraph" w:customStyle="1" w:styleId="1691">
    <w:name w:val="样式73"/>
    <w:basedOn w:val="1527"/>
    <w:qFormat/>
    <w:uiPriority w:val="0"/>
  </w:style>
  <w:style w:type="paragraph" w:customStyle="1" w:styleId="1692">
    <w:name w:val="xl5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宋体" w:hAnsi="宋体"/>
      <w:kern w:val="0"/>
      <w:sz w:val="32"/>
      <w:szCs w:val="32"/>
    </w:rPr>
  </w:style>
  <w:style w:type="paragraph" w:customStyle="1" w:styleId="1693">
    <w:name w:val="表题 2"/>
    <w:basedOn w:val="1"/>
    <w:qFormat/>
    <w:uiPriority w:val="0"/>
    <w:pPr>
      <w:adjustRightInd w:val="0"/>
      <w:spacing w:before="120" w:after="120" w:line="240" w:lineRule="auto"/>
      <w:jc w:val="center"/>
      <w:textAlignment w:val="baseline"/>
    </w:pPr>
    <w:rPr>
      <w:kern w:val="0"/>
      <w:sz w:val="28"/>
      <w:szCs w:val="20"/>
    </w:rPr>
  </w:style>
  <w:style w:type="paragraph" w:customStyle="1" w:styleId="1694">
    <w:name w:val="审核正文"/>
    <w:basedOn w:val="1"/>
    <w:qFormat/>
    <w:uiPriority w:val="0"/>
    <w:pPr>
      <w:spacing w:line="240" w:lineRule="auto"/>
      <w:ind w:firstLine="595"/>
    </w:pPr>
    <w:rPr>
      <w:rFonts w:ascii="宋体"/>
      <w:sz w:val="28"/>
      <w:szCs w:val="20"/>
    </w:rPr>
  </w:style>
  <w:style w:type="paragraph" w:customStyle="1" w:styleId="1695">
    <w:name w:val="xl86"/>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1696">
    <w:name w:val="Char6 Char Char Char Char Char Char Char Char Char3"/>
    <w:basedOn w:val="1"/>
    <w:qFormat/>
    <w:uiPriority w:val="0"/>
    <w:pPr>
      <w:spacing w:line="240" w:lineRule="auto"/>
    </w:pPr>
    <w:rPr>
      <w:rFonts w:ascii="宋体" w:hAnsi="宋体"/>
      <w:color w:val="000000"/>
      <w:sz w:val="28"/>
      <w:szCs w:val="20"/>
    </w:rPr>
  </w:style>
  <w:style w:type="paragraph" w:customStyle="1" w:styleId="1697">
    <w:name w:val="偶数页脚"/>
    <w:basedOn w:val="56"/>
    <w:qFormat/>
    <w:uiPriority w:val="0"/>
    <w:pPr>
      <w:framePr w:wrap="around" w:vAnchor="text" w:hAnchor="margin" w:xAlign="outside" w:y="1"/>
      <w:widowControl/>
      <w:tabs>
        <w:tab w:val="center" w:pos="4320"/>
        <w:tab w:val="right" w:pos="8640"/>
        <w:tab w:val="clear" w:pos="4153"/>
        <w:tab w:val="clear" w:pos="8306"/>
      </w:tabs>
      <w:adjustRightInd w:val="0"/>
      <w:ind w:firstLine="360" w:firstLineChars="200"/>
    </w:pPr>
    <w:rPr>
      <w:rFonts w:ascii="宋体" w:hAnsi="宋体" w:cs="宋体"/>
      <w:spacing w:val="4"/>
      <w:sz w:val="24"/>
    </w:rPr>
  </w:style>
  <w:style w:type="paragraph" w:customStyle="1" w:styleId="1698">
    <w:name w:val="样式72"/>
    <w:basedOn w:val="1699"/>
    <w:qFormat/>
    <w:uiPriority w:val="0"/>
    <w:rPr>
      <w:sz w:val="24"/>
      <w:szCs w:val="24"/>
    </w:rPr>
  </w:style>
  <w:style w:type="paragraph" w:customStyle="1" w:styleId="1699">
    <w:name w:val="样式43"/>
    <w:basedOn w:val="1489"/>
    <w:qFormat/>
    <w:uiPriority w:val="0"/>
  </w:style>
  <w:style w:type="paragraph" w:customStyle="1" w:styleId="1700">
    <w:name w:val="标题2-1"/>
    <w:basedOn w:val="6"/>
    <w:qFormat/>
    <w:uiPriority w:val="0"/>
    <w:pPr>
      <w:keepNext/>
      <w:keepLines/>
      <w:numPr>
        <w:ilvl w:val="0"/>
        <w:numId w:val="0"/>
      </w:numPr>
      <w:tabs>
        <w:tab w:val="clear" w:pos="-181"/>
      </w:tabs>
      <w:adjustRightInd/>
      <w:snapToGrid/>
      <w:spacing w:before="0" w:beforeLines="0" w:line="500" w:lineRule="exact"/>
      <w:jc w:val="both"/>
      <w:textAlignment w:val="auto"/>
    </w:pPr>
    <w:rPr>
      <w:rFonts w:ascii="宋体" w:hAnsi="宋体" w:eastAsia="宋体"/>
      <w:b/>
      <w:color w:val="000000"/>
      <w:kern w:val="44"/>
      <w:sz w:val="24"/>
      <w:szCs w:val="44"/>
    </w:rPr>
  </w:style>
  <w:style w:type="paragraph" w:customStyle="1" w:styleId="1701">
    <w:name w:val="样式 表格文字居中 + 行距: 单倍行距"/>
    <w:basedOn w:val="1"/>
    <w:qFormat/>
    <w:uiPriority w:val="0"/>
    <w:pPr>
      <w:keepNext/>
      <w:tabs>
        <w:tab w:val="left" w:pos="628"/>
        <w:tab w:val="left" w:pos="1727"/>
        <w:tab w:val="left" w:pos="1884"/>
      </w:tabs>
      <w:adjustRightInd w:val="0"/>
      <w:snapToGrid w:val="0"/>
      <w:spacing w:line="240" w:lineRule="auto"/>
      <w:jc w:val="center"/>
    </w:pPr>
    <w:rPr>
      <w:rFonts w:ascii="宋体" w:hAnsi="宋体" w:cs="宋体"/>
      <w:color w:val="000000"/>
      <w:spacing w:val="-20"/>
      <w:kern w:val="0"/>
      <w:sz w:val="21"/>
      <w:szCs w:val="21"/>
    </w:rPr>
  </w:style>
  <w:style w:type="paragraph" w:customStyle="1" w:styleId="1702">
    <w:name w:val="xl138"/>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703">
    <w:name w:val="正文内容"/>
    <w:basedOn w:val="1"/>
    <w:qFormat/>
    <w:uiPriority w:val="0"/>
    <w:pPr>
      <w:adjustRightInd w:val="0"/>
      <w:snapToGrid w:val="0"/>
      <w:ind w:firstLine="510"/>
    </w:pPr>
    <w:rPr>
      <w:rFonts w:ascii="宋体" w:hAnsi="宋体" w:cs="宋体"/>
      <w:snapToGrid w:val="0"/>
      <w:color w:val="000000"/>
      <w:spacing w:val="4"/>
      <w:kern w:val="0"/>
      <w:szCs w:val="20"/>
    </w:rPr>
  </w:style>
  <w:style w:type="paragraph" w:customStyle="1" w:styleId="1704">
    <w:name w:val="样式99"/>
    <w:basedOn w:val="6"/>
    <w:qFormat/>
    <w:uiPriority w:val="0"/>
    <w:pPr>
      <w:keepNext/>
      <w:keepLines/>
      <w:numPr>
        <w:numId w:val="32"/>
      </w:numPr>
      <w:tabs>
        <w:tab w:val="left" w:pos="576"/>
        <w:tab w:val="clear" w:pos="-181"/>
      </w:tabs>
      <w:spacing w:before="260" w:beforeLines="0" w:after="260"/>
      <w:jc w:val="both"/>
      <w:textAlignment w:val="auto"/>
    </w:pPr>
    <w:rPr>
      <w:rFonts w:hAnsi="Arial"/>
      <w:b/>
      <w:bCs/>
      <w:kern w:val="2"/>
      <w:sz w:val="32"/>
      <w:szCs w:val="32"/>
    </w:rPr>
  </w:style>
  <w:style w:type="paragraph" w:customStyle="1" w:styleId="1705">
    <w:name w:val="105v"/>
    <w:basedOn w:val="1"/>
    <w:qFormat/>
    <w:uiPriority w:val="0"/>
    <w:pPr>
      <w:widowControl/>
      <w:spacing w:before="100" w:beforeAutospacing="1" w:after="100" w:afterAutospacing="1" w:line="240" w:lineRule="auto"/>
      <w:jc w:val="left"/>
    </w:pPr>
    <w:rPr>
      <w:rFonts w:ascii="宋体" w:hAnsi="宋体"/>
      <w:kern w:val="0"/>
      <w:sz w:val="21"/>
      <w:szCs w:val="21"/>
    </w:rPr>
  </w:style>
  <w:style w:type="paragraph" w:customStyle="1" w:styleId="1706">
    <w:name w:val="表题格式"/>
    <w:basedOn w:val="1"/>
    <w:qFormat/>
    <w:uiPriority w:val="0"/>
    <w:pPr>
      <w:spacing w:line="440" w:lineRule="exact"/>
      <w:ind w:firstLine="377" w:firstLineChars="377"/>
    </w:pPr>
    <w:rPr>
      <w:rFonts w:eastAsia="黑体"/>
      <w:kern w:val="0"/>
      <w:szCs w:val="20"/>
    </w:rPr>
  </w:style>
  <w:style w:type="paragraph" w:customStyle="1" w:styleId="1707">
    <w:name w:val="河石管道 表格文字小五"/>
    <w:qFormat/>
    <w:uiPriority w:val="0"/>
    <w:pPr>
      <w:tabs>
        <w:tab w:val="left" w:pos="277"/>
        <w:tab w:val="left" w:pos="600"/>
        <w:tab w:val="left" w:pos="780"/>
        <w:tab w:val="left" w:pos="2517"/>
      </w:tabs>
      <w:adjustRightInd w:val="0"/>
      <w:jc w:val="center"/>
      <w:textAlignment w:val="baseline"/>
    </w:pPr>
    <w:rPr>
      <w:rFonts w:ascii="Times New Roman" w:hAnsi="Times New Roman" w:eastAsia="宋体" w:cs="Times New Roman"/>
      <w:kern w:val="0"/>
      <w:sz w:val="21"/>
      <w:szCs w:val="21"/>
      <w:lang w:val="en-US" w:eastAsia="zh-CN" w:bidi="ar-SA"/>
    </w:rPr>
  </w:style>
  <w:style w:type="paragraph" w:customStyle="1" w:styleId="1708">
    <w:name w:val="Heading Base"/>
    <w:basedOn w:val="36"/>
    <w:next w:val="36"/>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709">
    <w:name w:val="Char Char Char Char Char Char Char8"/>
    <w:basedOn w:val="1"/>
    <w:qFormat/>
    <w:uiPriority w:val="0"/>
    <w:pPr>
      <w:ind w:firstLine="200" w:firstLineChars="200"/>
    </w:pPr>
    <w:rPr>
      <w:rFonts w:ascii="宋体" w:hAnsi="宋体" w:cs="宋体"/>
    </w:rPr>
  </w:style>
  <w:style w:type="paragraph" w:customStyle="1" w:styleId="1710">
    <w:name w:val="Lettre-8pts"/>
    <w:basedOn w:val="1"/>
    <w:qFormat/>
    <w:uiPriority w:val="0"/>
    <w:pPr>
      <w:keepLines/>
      <w:widowControl/>
      <w:tabs>
        <w:tab w:val="left" w:pos="0"/>
      </w:tabs>
      <w:spacing w:before="160" w:line="240" w:lineRule="auto"/>
      <w:ind w:left="1247" w:hanging="1247"/>
    </w:pPr>
    <w:rPr>
      <w:rFonts w:ascii="Arial" w:hAnsi="Arial"/>
      <w:kern w:val="0"/>
      <w:sz w:val="20"/>
      <w:szCs w:val="20"/>
      <w:lang w:eastAsia="fr-FR"/>
    </w:rPr>
  </w:style>
  <w:style w:type="paragraph" w:customStyle="1" w:styleId="1711">
    <w:name w:val="样式 标题 4 + 黑色 左侧:  -0.01 厘米 首行缩进:  0.01 厘米"/>
    <w:basedOn w:val="8"/>
    <w:qFormat/>
    <w:uiPriority w:val="0"/>
    <w:pPr>
      <w:keepNext w:val="0"/>
      <w:tabs>
        <w:tab w:val="left" w:pos="1080"/>
        <w:tab w:val="clear" w:pos="864"/>
      </w:tabs>
      <w:spacing w:before="280" w:beforeLines="50" w:line="312" w:lineRule="auto"/>
      <w:jc w:val="both"/>
    </w:pPr>
    <w:rPr>
      <w:rFonts w:ascii="仿宋_GB2312" w:hAnsi="Arial" w:eastAsia="仿宋_GB2312" w:cs="宋体"/>
      <w:bCs w:val="0"/>
      <w:szCs w:val="20"/>
    </w:rPr>
  </w:style>
  <w:style w:type="paragraph" w:customStyle="1" w:styleId="1712">
    <w:name w:val="初设正文"/>
    <w:basedOn w:val="1"/>
    <w:qFormat/>
    <w:uiPriority w:val="0"/>
    <w:pPr>
      <w:spacing w:after="120" w:line="440" w:lineRule="exact"/>
      <w:ind w:left="425" w:firstLine="425"/>
    </w:pPr>
    <w:rPr>
      <w:rFonts w:ascii="Arial" w:hAnsi="Arial" w:cs="宋体"/>
      <w:kern w:val="0"/>
      <w:szCs w:val="20"/>
    </w:rPr>
  </w:style>
  <w:style w:type="paragraph" w:customStyle="1" w:styleId="1713">
    <w:name w:val="3标题"/>
    <w:next w:val="1714"/>
    <w:qFormat/>
    <w:uiPriority w:val="0"/>
    <w:pPr>
      <w:spacing w:beforeLines="20" w:afterLines="20"/>
      <w:outlineLvl w:val="2"/>
    </w:pPr>
    <w:rPr>
      <w:rFonts w:ascii="Times New Roman" w:hAnsi="Times New Roman" w:eastAsia="黑体" w:cs="Times New Roman"/>
      <w:kern w:val="2"/>
      <w:sz w:val="30"/>
      <w:szCs w:val="24"/>
      <w:lang w:val="en-US" w:eastAsia="zh-CN" w:bidi="ar-SA"/>
    </w:rPr>
  </w:style>
  <w:style w:type="paragraph" w:customStyle="1" w:styleId="1714">
    <w:name w:val="4标题"/>
    <w:next w:val="1"/>
    <w:qFormat/>
    <w:uiPriority w:val="0"/>
    <w:pPr>
      <w:spacing w:beforeLines="20" w:afterLines="20"/>
      <w:outlineLvl w:val="3"/>
    </w:pPr>
    <w:rPr>
      <w:rFonts w:ascii="Times New Roman" w:hAnsi="Times New Roman" w:eastAsia="黑体" w:cs="Times New Roman"/>
      <w:kern w:val="2"/>
      <w:sz w:val="28"/>
      <w:szCs w:val="24"/>
      <w:lang w:val="en-US" w:eastAsia="zh-CN" w:bidi="ar-SA"/>
    </w:rPr>
  </w:style>
  <w:style w:type="paragraph" w:customStyle="1" w:styleId="1715">
    <w:name w:val="标题 1  黑体＋左侧1厘米＋段前: 1 行"/>
    <w:basedOn w:val="1"/>
    <w:qFormat/>
    <w:uiPriority w:val="0"/>
    <w:pPr>
      <w:adjustRightInd w:val="0"/>
      <w:spacing w:beforeLines="100"/>
      <w:ind w:firstLine="567"/>
      <w:outlineLvl w:val="0"/>
    </w:pPr>
    <w:rPr>
      <w:rFonts w:ascii="黑体" w:hAnsi="Arial" w:eastAsia="黑体" w:cs="宋体"/>
      <w:b/>
      <w:bCs/>
      <w:snapToGrid w:val="0"/>
      <w:color w:val="000000"/>
      <w:kern w:val="0"/>
      <w:sz w:val="30"/>
      <w:szCs w:val="20"/>
    </w:rPr>
  </w:style>
  <w:style w:type="paragraph" w:customStyle="1" w:styleId="1716">
    <w:name w:val="9点"/>
    <w:basedOn w:val="1"/>
    <w:qFormat/>
    <w:uiPriority w:val="0"/>
    <w:pPr>
      <w:spacing w:line="360" w:lineRule="exact"/>
    </w:pPr>
    <w:rPr>
      <w:sz w:val="21"/>
    </w:rPr>
  </w:style>
  <w:style w:type="paragraph" w:customStyle="1" w:styleId="1717">
    <w:name w:val="正文文字一"/>
    <w:basedOn w:val="1"/>
    <w:qFormat/>
    <w:uiPriority w:val="0"/>
    <w:pPr>
      <w:spacing w:line="520" w:lineRule="exact"/>
      <w:ind w:firstLine="567"/>
    </w:pPr>
    <w:rPr>
      <w:sz w:val="28"/>
    </w:rPr>
  </w:style>
  <w:style w:type="paragraph" w:customStyle="1" w:styleId="1718">
    <w:name w:val="Char Char Char Char Char Char Char Char Char1"/>
    <w:basedOn w:val="1"/>
    <w:qFormat/>
    <w:uiPriority w:val="0"/>
    <w:pPr>
      <w:spacing w:line="240" w:lineRule="auto"/>
    </w:pPr>
    <w:rPr>
      <w:sz w:val="21"/>
    </w:rPr>
  </w:style>
  <w:style w:type="paragraph" w:customStyle="1" w:styleId="1719">
    <w:name w:val="正文图小四"/>
    <w:basedOn w:val="1"/>
    <w:qFormat/>
    <w:uiPriority w:val="0"/>
    <w:pPr>
      <w:adjustRightInd w:val="0"/>
      <w:snapToGrid w:val="0"/>
      <w:jc w:val="center"/>
      <w:textAlignment w:val="baseline"/>
    </w:pPr>
    <w:rPr>
      <w:rFonts w:ascii="宋体" w:cs="宋体"/>
      <w:color w:val="000000"/>
      <w:kern w:val="0"/>
    </w:rPr>
  </w:style>
  <w:style w:type="paragraph" w:customStyle="1" w:styleId="1720">
    <w:name w:val="hao01-T"/>
    <w:next w:val="1"/>
    <w:qFormat/>
    <w:uiPriority w:val="0"/>
    <w:pPr>
      <w:jc w:val="center"/>
    </w:pPr>
    <w:rPr>
      <w:rFonts w:ascii="Times New Roman" w:hAnsi="Times New Roman" w:eastAsia="宋体" w:cs="Times New Roman"/>
      <w:kern w:val="2"/>
      <w:sz w:val="24"/>
      <w:szCs w:val="24"/>
      <w:lang w:val="en-US" w:eastAsia="zh-CN" w:bidi="ar-SA"/>
    </w:rPr>
  </w:style>
  <w:style w:type="paragraph" w:customStyle="1" w:styleId="1721">
    <w:name w:val="样式 表格1 + 首行缩进:  2 字符1"/>
    <w:basedOn w:val="409"/>
    <w:qFormat/>
    <w:uiPriority w:val="0"/>
    <w:pPr>
      <w:adjustRightInd/>
      <w:spacing w:line="400" w:lineRule="exact"/>
      <w:jc w:val="left"/>
      <w:textAlignment w:val="auto"/>
    </w:pPr>
    <w:rPr>
      <w:rFonts w:ascii="Times New Roman" w:cs="宋体"/>
      <w:spacing w:val="0"/>
      <w:sz w:val="21"/>
    </w:rPr>
  </w:style>
  <w:style w:type="paragraph" w:customStyle="1" w:styleId="1722">
    <w:name w:val="表格 3"/>
    <w:basedOn w:val="1"/>
    <w:qFormat/>
    <w:uiPriority w:val="0"/>
    <w:pPr>
      <w:autoSpaceDE w:val="0"/>
      <w:autoSpaceDN w:val="0"/>
      <w:adjustRightInd w:val="0"/>
      <w:spacing w:line="240" w:lineRule="auto"/>
      <w:jc w:val="center"/>
    </w:pPr>
    <w:rPr>
      <w:kern w:val="0"/>
      <w:sz w:val="21"/>
      <w:szCs w:val="20"/>
    </w:rPr>
  </w:style>
  <w:style w:type="paragraph" w:customStyle="1" w:styleId="1723">
    <w:name w:val="xl75"/>
    <w:basedOn w:val="1"/>
    <w:qFormat/>
    <w:uiPriority w:val="0"/>
    <w:pPr>
      <w:widowControl/>
      <w:pBdr>
        <w:top w:val="single" w:color="auto" w:sz="8" w:space="0"/>
        <w:left w:val="single" w:color="auto" w:sz="4" w:space="0"/>
        <w:right w:val="single" w:color="auto" w:sz="4" w:space="0"/>
      </w:pBdr>
      <w:spacing w:before="100" w:beforeAutospacing="1" w:after="100" w:afterAutospacing="1" w:line="240" w:lineRule="auto"/>
      <w:jc w:val="center"/>
      <w:textAlignment w:val="center"/>
    </w:pPr>
    <w:rPr>
      <w:rFonts w:hint="eastAsia" w:ascii="宋体" w:hAnsi="宋体"/>
      <w:kern w:val="0"/>
      <w:sz w:val="32"/>
      <w:szCs w:val="32"/>
    </w:rPr>
  </w:style>
  <w:style w:type="paragraph" w:customStyle="1" w:styleId="1724">
    <w:name w:val="表格小四"/>
    <w:basedOn w:val="1"/>
    <w:qFormat/>
    <w:uiPriority w:val="0"/>
    <w:pPr>
      <w:spacing w:line="240" w:lineRule="auto"/>
      <w:jc w:val="center"/>
    </w:pPr>
    <w:rPr>
      <w:szCs w:val="20"/>
    </w:rPr>
  </w:style>
  <w:style w:type="paragraph" w:customStyle="1" w:styleId="1725">
    <w:name w:val="xl76"/>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32"/>
      <w:szCs w:val="32"/>
    </w:rPr>
  </w:style>
  <w:style w:type="paragraph" w:customStyle="1" w:styleId="1726">
    <w:name w:val="样式 纯文本表内文字 + 楷体_GB2312 左"/>
    <w:basedOn w:val="1"/>
    <w:qFormat/>
    <w:uiPriority w:val="0"/>
    <w:pPr>
      <w:tabs>
        <w:tab w:val="left" w:pos="1350"/>
      </w:tabs>
      <w:autoSpaceDE w:val="0"/>
      <w:autoSpaceDN w:val="0"/>
      <w:adjustRightInd w:val="0"/>
      <w:snapToGrid w:val="0"/>
      <w:spacing w:line="320" w:lineRule="exact"/>
    </w:pPr>
    <w:rPr>
      <w:rFonts w:ascii="Arial" w:hAnsi="Arial" w:eastAsia="楷体_GB2312" w:cs="宋体"/>
      <w:sz w:val="21"/>
      <w:szCs w:val="21"/>
    </w:rPr>
  </w:style>
  <w:style w:type="paragraph" w:customStyle="1" w:styleId="1727">
    <w:name w:val="样式53"/>
    <w:basedOn w:val="1728"/>
    <w:qFormat/>
    <w:uiPriority w:val="0"/>
  </w:style>
  <w:style w:type="paragraph" w:customStyle="1" w:styleId="1728">
    <w:name w:val="样式40"/>
    <w:basedOn w:val="1729"/>
    <w:qFormat/>
    <w:uiPriority w:val="0"/>
  </w:style>
  <w:style w:type="paragraph" w:customStyle="1" w:styleId="1729">
    <w:name w:val="样式33"/>
    <w:basedOn w:val="1730"/>
    <w:qFormat/>
    <w:uiPriority w:val="0"/>
    <w:pPr>
      <w:spacing w:line="360" w:lineRule="auto"/>
      <w:ind w:firstLine="0" w:firstLineChars="0"/>
      <w:outlineLvl w:val="1"/>
    </w:pPr>
    <w:rPr>
      <w:rFonts w:eastAsia="黑体"/>
      <w:b/>
      <w:sz w:val="32"/>
      <w:szCs w:val="32"/>
    </w:rPr>
  </w:style>
  <w:style w:type="paragraph" w:customStyle="1" w:styleId="1730">
    <w:name w:val="样式24"/>
    <w:basedOn w:val="557"/>
    <w:qFormat/>
    <w:uiPriority w:val="0"/>
    <w:pPr>
      <w:spacing w:line="240" w:lineRule="auto"/>
      <w:ind w:firstLine="478" w:firstLineChars="199"/>
    </w:pPr>
    <w:rPr>
      <w:rFonts w:cs="Times New Roman"/>
    </w:rPr>
  </w:style>
  <w:style w:type="paragraph" w:customStyle="1" w:styleId="1731">
    <w:name w:val="标题3.5"/>
    <w:basedOn w:val="1"/>
    <w:qFormat/>
    <w:uiPriority w:val="0"/>
    <w:pPr>
      <w:spacing w:line="240" w:lineRule="auto"/>
    </w:pPr>
    <w:rPr>
      <w:rFonts w:eastAsia="仿宋_GB2312"/>
    </w:rPr>
  </w:style>
  <w:style w:type="paragraph" w:customStyle="1" w:styleId="1732">
    <w:name w:val="et26"/>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733">
    <w:name w:val="条文1"/>
    <w:basedOn w:val="1"/>
    <w:qFormat/>
    <w:uiPriority w:val="0"/>
    <w:pPr>
      <w:widowControl/>
      <w:autoSpaceDE w:val="0"/>
      <w:autoSpaceDN w:val="0"/>
      <w:adjustRightInd w:val="0"/>
      <w:spacing w:line="460" w:lineRule="exact"/>
      <w:ind w:left="907" w:hanging="425"/>
      <w:textAlignment w:val="bottom"/>
    </w:pPr>
    <w:rPr>
      <w:rFonts w:ascii="宋体" w:hAnsi="Century Schoolbook"/>
      <w:spacing w:val="3"/>
      <w:kern w:val="24"/>
      <w:sz w:val="26"/>
      <w:szCs w:val="20"/>
    </w:rPr>
  </w:style>
  <w:style w:type="paragraph" w:customStyle="1" w:styleId="1734">
    <w:name w:val="样式 样式 首行缩进:  2 字符5 + 首行缩进:  2 字符"/>
    <w:basedOn w:val="1735"/>
    <w:qFormat/>
    <w:uiPriority w:val="0"/>
    <w:pPr>
      <w:ind w:firstLine="480"/>
    </w:pPr>
  </w:style>
  <w:style w:type="paragraph" w:customStyle="1" w:styleId="1735">
    <w:name w:val="样式 首行缩进:  2 字符5"/>
    <w:basedOn w:val="1"/>
    <w:qFormat/>
    <w:uiPriority w:val="0"/>
    <w:pPr>
      <w:ind w:firstLine="200" w:firstLineChars="200"/>
    </w:pPr>
    <w:rPr>
      <w:rFonts w:cs="宋体"/>
      <w:szCs w:val="20"/>
    </w:rPr>
  </w:style>
  <w:style w:type="paragraph" w:customStyle="1" w:styleId="1736">
    <w:name w:val="Char Char7 Char Char Char Char Char Char1"/>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kern w:val="0"/>
      <w:szCs w:val="20"/>
    </w:rPr>
  </w:style>
  <w:style w:type="paragraph" w:customStyle="1" w:styleId="1737">
    <w:name w:val="表格后空行"/>
    <w:next w:val="1581"/>
    <w:qFormat/>
    <w:uiPriority w:val="0"/>
    <w:pPr>
      <w:adjustRightInd w:val="0"/>
      <w:spacing w:line="240" w:lineRule="atLeast"/>
      <w:ind w:firstLine="200" w:firstLineChars="200"/>
    </w:pPr>
    <w:rPr>
      <w:rFonts w:ascii="Book Antiqua" w:hAnsi="Book Antiqua" w:eastAsia="宋体" w:cs="Times New Roman"/>
      <w:spacing w:val="2"/>
      <w:kern w:val="2"/>
      <w:sz w:val="18"/>
      <w:szCs w:val="18"/>
      <w:lang w:val="en-US" w:eastAsia="zh-CN" w:bidi="ar-SA"/>
    </w:rPr>
  </w:style>
  <w:style w:type="paragraph" w:customStyle="1" w:styleId="1738">
    <w:name w:val="样式88"/>
    <w:basedOn w:val="1691"/>
    <w:qFormat/>
    <w:uiPriority w:val="0"/>
    <w:pPr>
      <w:spacing w:before="100" w:after="100"/>
    </w:pPr>
    <w:rPr>
      <w:rFonts w:hAnsi="Times New Roman"/>
    </w:rPr>
  </w:style>
  <w:style w:type="paragraph" w:customStyle="1" w:styleId="1739">
    <w:name w:val="Char4 Char Char Char1"/>
    <w:basedOn w:val="1"/>
    <w:qFormat/>
    <w:uiPriority w:val="0"/>
    <w:pPr>
      <w:adjustRightInd w:val="0"/>
      <w:snapToGrid w:val="0"/>
      <w:ind w:firstLine="200" w:firstLineChars="200"/>
    </w:pPr>
    <w:rPr>
      <w:rFonts w:ascii="宋体" w:hAnsi="宋体" w:cs="宋体"/>
      <w:szCs w:val="26"/>
    </w:rPr>
  </w:style>
  <w:style w:type="paragraph" w:customStyle="1" w:styleId="1740">
    <w:name w:val="tdbg_mainall"/>
    <w:basedOn w:val="1"/>
    <w:qFormat/>
    <w:uiPriority w:val="0"/>
    <w:pPr>
      <w:widowControl/>
      <w:spacing w:before="100" w:beforeAutospacing="1" w:after="100" w:afterAutospacing="1" w:line="240" w:lineRule="auto"/>
      <w:jc w:val="left"/>
    </w:pPr>
    <w:rPr>
      <w:rFonts w:ascii="Arial Unicode MS" w:hAnsi="Arial Unicode MS" w:eastAsia="Arial Unicode MS" w:cs="Arial Unicode MS"/>
      <w:kern w:val="0"/>
    </w:rPr>
  </w:style>
  <w:style w:type="paragraph" w:customStyle="1" w:styleId="1741">
    <w:name w:val="Char Char Char Char Char Char Char Char Char Char Char Char Char Char Char Char Char Char1 Char Char Char Char"/>
    <w:basedOn w:val="1"/>
    <w:qFormat/>
    <w:uiPriority w:val="0"/>
    <w:pPr>
      <w:spacing w:line="240" w:lineRule="auto"/>
    </w:pPr>
    <w:rPr>
      <w:sz w:val="21"/>
    </w:rPr>
  </w:style>
  <w:style w:type="paragraph" w:customStyle="1" w:styleId="1742">
    <w:name w:val="标题1111"/>
    <w:basedOn w:val="1603"/>
    <w:next w:val="1"/>
    <w:qFormat/>
    <w:uiPriority w:val="0"/>
    <w:pPr>
      <w:tabs>
        <w:tab w:val="clear" w:pos="2040"/>
      </w:tabs>
      <w:ind w:left="0" w:leftChars="0" w:firstLine="0" w:firstLineChars="0"/>
    </w:pPr>
    <w:rPr>
      <w:rFonts w:eastAsia="宋体"/>
    </w:rPr>
  </w:style>
  <w:style w:type="paragraph" w:customStyle="1" w:styleId="1743">
    <w:name w:val="样式 标题 1 + 华文行楷 初号 居中"/>
    <w:basedOn w:val="5"/>
    <w:qFormat/>
    <w:uiPriority w:val="0"/>
    <w:pPr>
      <w:keepLines/>
      <w:spacing w:line="240" w:lineRule="auto"/>
      <w:jc w:val="center"/>
    </w:pPr>
    <w:rPr>
      <w:rFonts w:ascii="华文行楷" w:hAnsi="Arial" w:eastAsia="华文行楷" w:cs="宋体"/>
      <w:kern w:val="44"/>
      <w:sz w:val="84"/>
      <w:szCs w:val="20"/>
    </w:rPr>
  </w:style>
  <w:style w:type="paragraph" w:customStyle="1" w:styleId="1744">
    <w:name w:val="表格内容1"/>
    <w:basedOn w:val="1"/>
    <w:qFormat/>
    <w:uiPriority w:val="0"/>
    <w:pPr>
      <w:adjustRightInd w:val="0"/>
      <w:snapToGrid w:val="0"/>
      <w:spacing w:before="15" w:beforeLines="15" w:after="15" w:afterLines="15" w:line="240" w:lineRule="exact"/>
      <w:jc w:val="center"/>
    </w:pPr>
    <w:rPr>
      <w:rFonts w:ascii="宋体" w:hAnsi="宋体"/>
      <w:snapToGrid w:val="0"/>
      <w:color w:val="000000"/>
      <w:kern w:val="0"/>
      <w:sz w:val="21"/>
      <w:szCs w:val="21"/>
    </w:rPr>
  </w:style>
  <w:style w:type="paragraph" w:customStyle="1" w:styleId="1745">
    <w:name w:val="编号结尾"/>
    <w:basedOn w:val="22"/>
    <w:next w:val="36"/>
    <w:qFormat/>
    <w:uiPriority w:val="0"/>
    <w:pPr>
      <w:widowControl/>
      <w:tabs>
        <w:tab w:val="clear" w:pos="432"/>
      </w:tabs>
      <w:overflowPunct w:val="0"/>
      <w:autoSpaceDE w:val="0"/>
      <w:autoSpaceDN w:val="0"/>
      <w:adjustRightInd w:val="0"/>
      <w:spacing w:after="240" w:line="240" w:lineRule="auto"/>
      <w:ind w:left="720" w:firstLine="0" w:firstLineChars="0"/>
      <w:textAlignment w:val="baseline"/>
    </w:pPr>
    <w:rPr>
      <w:kern w:val="0"/>
      <w:sz w:val="20"/>
      <w:lang w:bidi="en-US"/>
    </w:rPr>
  </w:style>
  <w:style w:type="paragraph" w:customStyle="1" w:styleId="1746">
    <w:name w:val="標準インデント　2"/>
    <w:basedOn w:val="23"/>
    <w:qFormat/>
    <w:uiPriority w:val="0"/>
    <w:pPr>
      <w:overflowPunct w:val="0"/>
      <w:autoSpaceDE w:val="0"/>
      <w:autoSpaceDN w:val="0"/>
      <w:adjustRightInd w:val="0"/>
      <w:spacing w:line="360" w:lineRule="auto"/>
      <w:ind w:left="2900" w:hanging="2038"/>
      <w:jc w:val="left"/>
      <w:textAlignment w:val="baseline"/>
    </w:pPr>
    <w:rPr>
      <w:rFonts w:hAnsi="宋体" w:eastAsia="MS Mincho" w:cs="宋体"/>
      <w:spacing w:val="4"/>
      <w:kern w:val="0"/>
      <w:sz w:val="20"/>
      <w:szCs w:val="24"/>
      <w:lang w:eastAsia="ja-JP"/>
    </w:rPr>
  </w:style>
  <w:style w:type="paragraph" w:customStyle="1" w:styleId="1747">
    <w:name w:val="表格 32"/>
    <w:basedOn w:val="1"/>
    <w:qFormat/>
    <w:uiPriority w:val="0"/>
    <w:pPr>
      <w:autoSpaceDE w:val="0"/>
      <w:autoSpaceDN w:val="0"/>
      <w:adjustRightInd w:val="0"/>
      <w:spacing w:line="240" w:lineRule="atLeast"/>
      <w:jc w:val="center"/>
      <w:textAlignment w:val="baseline"/>
    </w:pPr>
    <w:rPr>
      <w:rFonts w:eastAsia="仿宋_GB2312"/>
      <w:kern w:val="0"/>
    </w:rPr>
  </w:style>
  <w:style w:type="paragraph" w:customStyle="1" w:styleId="1748">
    <w:name w:val="标题12.2.6.1"/>
    <w:basedOn w:val="1"/>
    <w:qFormat/>
    <w:uiPriority w:val="0"/>
    <w:pPr>
      <w:keepNext/>
      <w:keepLines/>
      <w:tabs>
        <w:tab w:val="left" w:pos="2946"/>
      </w:tabs>
      <w:spacing w:before="120" w:afterLines="50" w:line="312" w:lineRule="auto"/>
      <w:ind w:left="1997" w:hanging="851"/>
      <w:jc w:val="left"/>
      <w:outlineLvl w:val="3"/>
    </w:pPr>
    <w:rPr>
      <w:rFonts w:ascii="宋体" w:hAnsi="宋体" w:eastAsia="黑体" w:cs="宋体"/>
      <w:b/>
    </w:rPr>
  </w:style>
  <w:style w:type="paragraph" w:customStyle="1" w:styleId="1749">
    <w:name w:val="Char1 Char Char Char1 Char Char Char2"/>
    <w:basedOn w:val="1"/>
    <w:qFormat/>
    <w:uiPriority w:val="0"/>
    <w:pPr>
      <w:ind w:firstLine="200" w:firstLineChars="200"/>
    </w:pPr>
    <w:rPr>
      <w:rFonts w:ascii="宋体" w:hAnsi="宋体" w:cs="宋体"/>
    </w:rPr>
  </w:style>
  <w:style w:type="paragraph" w:customStyle="1" w:styleId="1750">
    <w:name w:val="Char Char Char1 Char15"/>
    <w:basedOn w:val="1"/>
    <w:qFormat/>
    <w:uiPriority w:val="0"/>
    <w:pPr>
      <w:adjustRightInd w:val="0"/>
      <w:snapToGrid w:val="0"/>
      <w:spacing w:line="240" w:lineRule="auto"/>
      <w:ind w:left="-45"/>
    </w:pPr>
    <w:rPr>
      <w:sz w:val="21"/>
    </w:rPr>
  </w:style>
  <w:style w:type="paragraph" w:customStyle="1" w:styleId="1751">
    <w:name w:val="ljw正文"/>
    <w:basedOn w:val="1"/>
    <w:qFormat/>
    <w:uiPriority w:val="0"/>
    <w:pPr>
      <w:adjustRightInd w:val="0"/>
      <w:snapToGrid w:val="0"/>
      <w:spacing w:afterLines="50" w:line="300" w:lineRule="auto"/>
      <w:ind w:firstLine="480" w:firstLineChars="200"/>
    </w:pPr>
    <w:rPr>
      <w:rFonts w:ascii="宋体" w:hAnsi="宋体"/>
      <w:bCs/>
      <w:szCs w:val="28"/>
    </w:rPr>
  </w:style>
  <w:style w:type="paragraph" w:customStyle="1" w:styleId="1752">
    <w:name w:val="样式 表格 + 左侧:  0.85 厘米"/>
    <w:basedOn w:val="1"/>
    <w:qFormat/>
    <w:uiPriority w:val="0"/>
    <w:pPr>
      <w:spacing w:line="240" w:lineRule="auto"/>
    </w:pPr>
    <w:rPr>
      <w:rFonts w:ascii="宋体" w:hAnsi="宋体" w:cs="宋体"/>
      <w:color w:val="000000"/>
      <w:sz w:val="18"/>
      <w:szCs w:val="20"/>
    </w:rPr>
  </w:style>
  <w:style w:type="paragraph" w:customStyle="1" w:styleId="1753">
    <w:name w:val="样式 标题 1 + (中文) 宋体 小三 行距: 多倍行距 1.35 字行"/>
    <w:basedOn w:val="5"/>
    <w:qFormat/>
    <w:uiPriority w:val="0"/>
    <w:pPr>
      <w:keepLines/>
      <w:snapToGrid w:val="0"/>
      <w:spacing w:before="360" w:beforeLines="150" w:after="360" w:afterLines="150" w:line="240" w:lineRule="auto"/>
      <w:textAlignment w:val="baseline"/>
      <w:outlineLvl w:val="9"/>
    </w:pPr>
    <w:rPr>
      <w:rFonts w:ascii="幼圆" w:hAnsi="Times New Roman" w:eastAsia="幼圆"/>
      <w:b/>
      <w:color w:val="0000FF"/>
      <w:kern w:val="44"/>
      <w:sz w:val="32"/>
      <w:szCs w:val="20"/>
    </w:rPr>
  </w:style>
  <w:style w:type="paragraph" w:customStyle="1" w:styleId="1754">
    <w:name w:val="xl389"/>
    <w:basedOn w:val="1"/>
    <w:qFormat/>
    <w:uiPriority w:val="0"/>
    <w:pPr>
      <w:widowControl/>
      <w:pBdr>
        <w:left w:val="single" w:color="auto" w:sz="4" w:space="0"/>
        <w:bottom w:val="single" w:color="auto" w:sz="4" w:space="0"/>
      </w:pBdr>
      <w:spacing w:before="100" w:after="100" w:line="240" w:lineRule="auto"/>
      <w:jc w:val="center"/>
      <w:textAlignment w:val="center"/>
    </w:pPr>
    <w:rPr>
      <w:rFonts w:hint="eastAsia" w:ascii="宋体" w:hAnsi="宋体"/>
      <w:kern w:val="0"/>
      <w:szCs w:val="20"/>
    </w:rPr>
  </w:style>
  <w:style w:type="paragraph" w:customStyle="1" w:styleId="1755">
    <w:name w:val="Objective"/>
    <w:basedOn w:val="1"/>
    <w:next w:val="36"/>
    <w:qFormat/>
    <w:uiPriority w:val="0"/>
    <w:pPr>
      <w:widowControl/>
      <w:spacing w:before="220" w:after="220" w:line="220" w:lineRule="atLeast"/>
    </w:pPr>
    <w:rPr>
      <w:kern w:val="0"/>
      <w:sz w:val="20"/>
      <w:szCs w:val="20"/>
    </w:rPr>
  </w:style>
  <w:style w:type="paragraph" w:customStyle="1" w:styleId="1756">
    <w:name w:val="样式 标题 1章章标题 + 楷体_GB2312 三号 加粗 红色 行距: 单倍行距"/>
    <w:basedOn w:val="5"/>
    <w:qFormat/>
    <w:uiPriority w:val="0"/>
    <w:pPr>
      <w:spacing w:before="120" w:after="240" w:line="415" w:lineRule="auto"/>
    </w:pPr>
    <w:rPr>
      <w:rFonts w:ascii="楷体_GB2312" w:hAnsi="Times New Roman" w:eastAsia="黑体" w:cs="宋体"/>
      <w:b/>
      <w:bCs/>
      <w:color w:val="FF0000"/>
      <w:sz w:val="32"/>
      <w:szCs w:val="20"/>
    </w:rPr>
  </w:style>
  <w:style w:type="paragraph" w:customStyle="1" w:styleId="1757">
    <w:name w:val="样式71"/>
    <w:basedOn w:val="1561"/>
    <w:qFormat/>
    <w:uiPriority w:val="0"/>
    <w:pPr>
      <w:keepNext w:val="0"/>
      <w:spacing w:line="360" w:lineRule="auto"/>
    </w:pPr>
    <w:rPr>
      <w:rFonts w:ascii="Times New Roman" w:hAnsi="黑体"/>
      <w:szCs w:val="20"/>
    </w:rPr>
  </w:style>
  <w:style w:type="paragraph" w:customStyle="1" w:styleId="1758">
    <w:name w:val="16.9.4.1"/>
    <w:basedOn w:val="8"/>
    <w:qFormat/>
    <w:uiPriority w:val="0"/>
    <w:pPr>
      <w:keepLines/>
      <w:numPr>
        <w:ilvl w:val="3"/>
        <w:numId w:val="33"/>
      </w:numPr>
      <w:tabs>
        <w:tab w:val="left" w:pos="1080"/>
        <w:tab w:val="clear" w:pos="864"/>
      </w:tabs>
      <w:spacing w:before="120" w:after="120" w:line="312" w:lineRule="auto"/>
      <w:jc w:val="both"/>
    </w:pPr>
    <w:rPr>
      <w:rFonts w:ascii="Arial" w:hAnsi="Arial" w:eastAsia="黑体"/>
    </w:rPr>
  </w:style>
  <w:style w:type="paragraph" w:customStyle="1" w:styleId="1759">
    <w:name w:val="我的正文 Char Char Char Char Char"/>
    <w:basedOn w:val="1"/>
    <w:next w:val="1"/>
    <w:qFormat/>
    <w:uiPriority w:val="0"/>
    <w:pPr>
      <w:spacing w:line="520" w:lineRule="exact"/>
      <w:ind w:firstLine="540" w:firstLineChars="225"/>
    </w:pPr>
  </w:style>
  <w:style w:type="paragraph" w:customStyle="1" w:styleId="1760">
    <w:name w:val="Char Char Char Char Char Char Char Char Char Char Char Char"/>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color w:val="auto"/>
      <w:sz w:val="24"/>
      <w:szCs w:val="24"/>
    </w:rPr>
  </w:style>
  <w:style w:type="paragraph" w:customStyle="1" w:styleId="1761">
    <w:name w:val="样式 首行缩进:  2 字符2"/>
    <w:basedOn w:val="1"/>
    <w:qFormat/>
    <w:uiPriority w:val="0"/>
    <w:pPr>
      <w:spacing w:line="240" w:lineRule="auto"/>
      <w:ind w:firstLine="504" w:firstLineChars="200"/>
    </w:pPr>
    <w:rPr>
      <w:rFonts w:cs="宋体"/>
      <w:szCs w:val="20"/>
    </w:rPr>
  </w:style>
  <w:style w:type="paragraph" w:customStyle="1" w:styleId="1762">
    <w:name w:val="样式 标题 1 + 首行缩进:  2 字符"/>
    <w:basedOn w:val="5"/>
    <w:qFormat/>
    <w:uiPriority w:val="0"/>
    <w:pPr>
      <w:keepLines/>
      <w:spacing w:before="340" w:after="330" w:line="576" w:lineRule="auto"/>
    </w:pPr>
    <w:rPr>
      <w:rFonts w:ascii="Times New Roman" w:hAnsi="Times New Roman" w:cs="宋体"/>
      <w:b/>
      <w:bCs/>
      <w:kern w:val="44"/>
      <w:sz w:val="44"/>
      <w:szCs w:val="20"/>
    </w:rPr>
  </w:style>
  <w:style w:type="paragraph" w:customStyle="1" w:styleId="1763">
    <w:name w:val="注×："/>
    <w:qFormat/>
    <w:uiPriority w:val="0"/>
    <w:pPr>
      <w:widowControl w:val="0"/>
      <w:tabs>
        <w:tab w:val="left" w:pos="630"/>
      </w:tabs>
      <w:autoSpaceDE w:val="0"/>
      <w:autoSpaceDN w:val="0"/>
      <w:jc w:val="both"/>
    </w:pPr>
    <w:rPr>
      <w:rFonts w:ascii="宋体" w:hAnsi="Times New Roman" w:eastAsia="宋体" w:cs="Times New Roman"/>
      <w:kern w:val="0"/>
      <w:sz w:val="18"/>
      <w:szCs w:val="20"/>
      <w:lang w:val="en-US" w:eastAsia="zh-CN" w:bidi="ar-SA"/>
    </w:rPr>
  </w:style>
  <w:style w:type="paragraph" w:customStyle="1" w:styleId="1764">
    <w:name w:val="正文表标题"/>
    <w:next w:val="8"/>
    <w:qFormat/>
    <w:uiPriority w:val="0"/>
    <w:pPr>
      <w:jc w:val="center"/>
    </w:pPr>
    <w:rPr>
      <w:rFonts w:ascii="黑体" w:hAnsi="Times New Roman" w:eastAsia="黑体" w:cs="Times New Roman"/>
      <w:kern w:val="0"/>
      <w:sz w:val="21"/>
      <w:szCs w:val="20"/>
      <w:lang w:val="en-US" w:eastAsia="zh-CN" w:bidi="ar-SA"/>
    </w:rPr>
  </w:style>
  <w:style w:type="paragraph" w:customStyle="1" w:styleId="1765">
    <w:name w:val="CM29"/>
    <w:basedOn w:val="1345"/>
    <w:next w:val="1345"/>
    <w:qFormat/>
    <w:uiPriority w:val="0"/>
    <w:pPr>
      <w:spacing w:line="456" w:lineRule="atLeast"/>
    </w:pPr>
    <w:rPr>
      <w:rFonts w:ascii="宋体" w:cs="宋体"/>
      <w:color w:val="auto"/>
    </w:rPr>
  </w:style>
  <w:style w:type="paragraph" w:customStyle="1" w:styleId="1766">
    <w:name w:val="列表项目符号1.缩2"/>
    <w:basedOn w:val="1767"/>
    <w:qFormat/>
    <w:uiPriority w:val="0"/>
    <w:pPr>
      <w:tabs>
        <w:tab w:val="left" w:pos="945"/>
      </w:tabs>
      <w:spacing w:line="360" w:lineRule="auto"/>
      <w:ind w:left="0" w:firstLine="425"/>
    </w:pPr>
    <w:rPr>
      <w:sz w:val="24"/>
      <w:szCs w:val="24"/>
    </w:rPr>
  </w:style>
  <w:style w:type="paragraph" w:customStyle="1" w:styleId="1767">
    <w:name w:val="列表项目符号1."/>
    <w:basedOn w:val="1"/>
    <w:qFormat/>
    <w:uiPriority w:val="0"/>
    <w:pPr>
      <w:keepNext/>
      <w:adjustRightInd w:val="0"/>
      <w:spacing w:line="312" w:lineRule="atLeast"/>
      <w:ind w:left="425" w:hanging="425"/>
      <w:textAlignment w:val="baseline"/>
    </w:pPr>
    <w:rPr>
      <w:kern w:val="0"/>
      <w:sz w:val="21"/>
      <w:szCs w:val="21"/>
    </w:rPr>
  </w:style>
  <w:style w:type="paragraph" w:customStyle="1" w:styleId="1768">
    <w:name w:val="样式 (中文) 楷体_GB2312 四号 行距: 1.5 倍行距"/>
    <w:basedOn w:val="1"/>
    <w:qFormat/>
    <w:uiPriority w:val="0"/>
    <w:pPr>
      <w:spacing w:line="560" w:lineRule="exact"/>
      <w:ind w:firstLine="560" w:firstLineChars="200"/>
    </w:pPr>
    <w:rPr>
      <w:rFonts w:eastAsia="仿宋_GB2312"/>
      <w:kern w:val="28"/>
      <w:sz w:val="28"/>
      <w:szCs w:val="28"/>
    </w:rPr>
  </w:style>
  <w:style w:type="paragraph" w:customStyle="1" w:styleId="1769">
    <w:name w:val="1-正文"/>
    <w:basedOn w:val="1"/>
    <w:qFormat/>
    <w:uiPriority w:val="0"/>
    <w:pPr>
      <w:ind w:firstLine="200" w:firstLineChars="200"/>
    </w:pPr>
    <w:rPr>
      <w:rFonts w:ascii="宋体" w:hAnsi="宋体"/>
    </w:rPr>
  </w:style>
  <w:style w:type="paragraph" w:customStyle="1" w:styleId="1770">
    <w:name w:val="表体"/>
    <w:basedOn w:val="36"/>
    <w:qFormat/>
    <w:uiPriority w:val="0"/>
    <w:pPr>
      <w:spacing w:after="0" w:line="280" w:lineRule="exact"/>
      <w:jc w:val="center"/>
    </w:pPr>
    <w:rPr>
      <w:rFonts w:ascii="宋体" w:hAnsi="宋体"/>
      <w:sz w:val="18"/>
    </w:rPr>
  </w:style>
  <w:style w:type="paragraph" w:customStyle="1" w:styleId="1771">
    <w:name w:val="正文大字"/>
    <w:basedOn w:val="1"/>
    <w:qFormat/>
    <w:uiPriority w:val="0"/>
    <w:pPr>
      <w:spacing w:beforeLines="50"/>
      <w:ind w:firstLine="200" w:firstLineChars="200"/>
    </w:pPr>
    <w:rPr>
      <w:rFonts w:ascii="Century Gothic" w:hAnsi="Century Gothic" w:cs="宋体"/>
      <w:sz w:val="28"/>
    </w:rPr>
  </w:style>
  <w:style w:type="paragraph" w:customStyle="1" w:styleId="1772">
    <w:name w:val="正文文本缩进 31"/>
    <w:basedOn w:val="1"/>
    <w:qFormat/>
    <w:uiPriority w:val="0"/>
    <w:pPr>
      <w:tabs>
        <w:tab w:val="left" w:pos="480"/>
      </w:tabs>
      <w:adjustRightInd w:val="0"/>
      <w:spacing w:line="360" w:lineRule="atLeast"/>
      <w:ind w:firstLine="567"/>
      <w:jc w:val="left"/>
      <w:textAlignment w:val="baseline"/>
    </w:pPr>
    <w:rPr>
      <w:rFonts w:ascii="宋体"/>
      <w:kern w:val="0"/>
      <w:sz w:val="28"/>
      <w:szCs w:val="20"/>
    </w:rPr>
  </w:style>
  <w:style w:type="paragraph" w:customStyle="1" w:styleId="1773">
    <w:name w:val="燕山正文"/>
    <w:basedOn w:val="1"/>
    <w:qFormat/>
    <w:uiPriority w:val="0"/>
    <w:pPr>
      <w:tabs>
        <w:tab w:val="left" w:pos="4680"/>
      </w:tabs>
      <w:adjustRightInd w:val="0"/>
      <w:snapToGrid w:val="0"/>
      <w:ind w:firstLine="520" w:firstLineChars="200"/>
      <w:jc w:val="left"/>
    </w:pPr>
    <w:rPr>
      <w:rFonts w:hAnsi="Arial"/>
      <w:snapToGrid w:val="0"/>
      <w:spacing w:val="10"/>
      <w:kern w:val="0"/>
    </w:rPr>
  </w:style>
  <w:style w:type="paragraph" w:customStyle="1" w:styleId="1774">
    <w:name w:val="Char Char Char1 Char Char Char Char Char Char Char Char Char Char Char Char Char Char Char Char Char Char Char1"/>
    <w:basedOn w:val="1"/>
    <w:qFormat/>
    <w:uiPriority w:val="0"/>
    <w:pPr>
      <w:spacing w:line="240" w:lineRule="auto"/>
    </w:pPr>
    <w:rPr>
      <w:sz w:val="21"/>
      <w:szCs w:val="20"/>
    </w:rPr>
  </w:style>
  <w:style w:type="paragraph" w:customStyle="1" w:styleId="1775">
    <w:name w:val="CM110"/>
    <w:basedOn w:val="1345"/>
    <w:next w:val="1345"/>
    <w:qFormat/>
    <w:uiPriority w:val="0"/>
    <w:pPr>
      <w:spacing w:after="52"/>
    </w:pPr>
    <w:rPr>
      <w:rFonts w:ascii="黑体" w:eastAsia="黑体"/>
      <w:color w:val="auto"/>
      <w:sz w:val="20"/>
    </w:rPr>
  </w:style>
  <w:style w:type="paragraph" w:customStyle="1" w:styleId="1776">
    <w:name w:val="表头111111"/>
    <w:basedOn w:val="1"/>
    <w:qFormat/>
    <w:uiPriority w:val="0"/>
    <w:pPr>
      <w:spacing w:line="460" w:lineRule="exact"/>
      <w:jc w:val="center"/>
    </w:pPr>
    <w:rPr>
      <w:rFonts w:eastAsia="黑体" w:cs="宋体"/>
      <w:kern w:val="0"/>
      <w:szCs w:val="20"/>
    </w:rPr>
  </w:style>
  <w:style w:type="paragraph" w:customStyle="1" w:styleId="1777">
    <w:name w:val="讲稿"/>
    <w:basedOn w:val="1"/>
    <w:qFormat/>
    <w:uiPriority w:val="0"/>
    <w:pPr>
      <w:tabs>
        <w:tab w:val="left" w:pos="1350"/>
      </w:tabs>
      <w:spacing w:line="240" w:lineRule="auto"/>
      <w:ind w:firstLine="431"/>
    </w:pPr>
    <w:rPr>
      <w:rFonts w:ascii="Arial" w:hAnsi="Arial"/>
      <w:kern w:val="0"/>
      <w:sz w:val="21"/>
      <w:szCs w:val="20"/>
    </w:rPr>
  </w:style>
  <w:style w:type="paragraph" w:customStyle="1" w:styleId="1778">
    <w:name w:val="样式7"/>
    <w:basedOn w:val="1"/>
    <w:next w:val="1"/>
    <w:qFormat/>
    <w:uiPriority w:val="0"/>
    <w:pPr>
      <w:tabs>
        <w:tab w:val="left" w:pos="360"/>
      </w:tabs>
      <w:spacing w:line="440" w:lineRule="exact"/>
      <w:ind w:left="360" w:hanging="360"/>
    </w:pPr>
    <w:rPr>
      <w:szCs w:val="20"/>
    </w:rPr>
  </w:style>
  <w:style w:type="paragraph" w:customStyle="1" w:styleId="1779">
    <w:name w:val="et8"/>
    <w:basedOn w:val="1"/>
    <w:qFormat/>
    <w:uiPriority w:val="0"/>
    <w:pPr>
      <w:widowControl/>
      <w:pBdr>
        <w:left w:val="single" w:color="000000" w:sz="4" w:space="0"/>
        <w:bottom w:val="single" w:color="000000" w:sz="12"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1780">
    <w:name w:val="论文正文"/>
    <w:basedOn w:val="23"/>
    <w:qFormat/>
    <w:uiPriority w:val="0"/>
    <w:pPr>
      <w:ind w:firstLine="480" w:firstLineChars="200"/>
    </w:pPr>
    <w:rPr>
      <w:rFonts w:ascii="宋体" w:hAnsi="宋体"/>
      <w:sz w:val="28"/>
      <w:szCs w:val="24"/>
    </w:rPr>
  </w:style>
  <w:style w:type="paragraph" w:customStyle="1" w:styleId="1781">
    <w:name w:val="样式 标题 2 + Times New Roman 非加粗 段前: 0 磅 段后: 0 磅 行距: 固定值 26 磅"/>
    <w:basedOn w:val="6"/>
    <w:qFormat/>
    <w:uiPriority w:val="0"/>
    <w:pPr>
      <w:keepNext/>
      <w:keepLines/>
      <w:widowControl/>
      <w:numPr>
        <w:ilvl w:val="0"/>
        <w:numId w:val="0"/>
      </w:numPr>
      <w:tabs>
        <w:tab w:val="clear" w:pos="-181"/>
      </w:tabs>
      <w:adjustRightInd/>
      <w:snapToGrid/>
      <w:spacing w:before="0" w:beforeLines="0" w:line="520" w:lineRule="exact"/>
      <w:jc w:val="both"/>
      <w:textAlignment w:val="auto"/>
    </w:pPr>
    <w:rPr>
      <w:rFonts w:ascii="黑体" w:eastAsia="仿宋_GB2312"/>
      <w:b/>
      <w:bCs/>
      <w:color w:val="000000"/>
      <w:kern w:val="2"/>
      <w:szCs w:val="20"/>
    </w:rPr>
  </w:style>
  <w:style w:type="paragraph" w:customStyle="1" w:styleId="1782">
    <w:name w:val="标题51"/>
    <w:basedOn w:val="1"/>
    <w:next w:val="87"/>
    <w:qFormat/>
    <w:uiPriority w:val="0"/>
    <w:pPr>
      <w:keepNext/>
      <w:adjustRightInd w:val="0"/>
      <w:snapToGrid w:val="0"/>
      <w:ind w:firstLine="200" w:firstLineChars="200"/>
      <w:outlineLvl w:val="4"/>
    </w:pPr>
    <w:rPr>
      <w:rFonts w:ascii="黑体" w:eastAsia="黑体"/>
      <w:szCs w:val="21"/>
    </w:rPr>
  </w:style>
  <w:style w:type="paragraph" w:customStyle="1" w:styleId="1783">
    <w:name w:val="样式65"/>
    <w:basedOn w:val="708"/>
    <w:qFormat/>
    <w:uiPriority w:val="0"/>
    <w:rPr>
      <w:rFonts w:ascii="Times New Roman" w:hAnsi="Times New Roman"/>
    </w:rPr>
  </w:style>
  <w:style w:type="paragraph" w:customStyle="1" w:styleId="1784">
    <w:name w:val="Char Char1 Char"/>
    <w:basedOn w:val="1"/>
    <w:qFormat/>
    <w:uiPriority w:val="0"/>
    <w:pPr>
      <w:adjustRightInd w:val="0"/>
      <w:ind w:firstLine="560" w:firstLineChars="200"/>
    </w:pPr>
    <w:rPr>
      <w:rFonts w:ascii="宋体" w:hAnsi="宋体" w:cs="宋体"/>
    </w:rPr>
  </w:style>
  <w:style w:type="paragraph" w:customStyle="1" w:styleId="1785">
    <w:name w:val="xl50"/>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786">
    <w:name w:val="样式94"/>
    <w:basedOn w:val="1"/>
    <w:qFormat/>
    <w:uiPriority w:val="0"/>
    <w:pPr>
      <w:jc w:val="center"/>
    </w:pPr>
    <w:rPr>
      <w:rFonts w:eastAsia="黑体"/>
    </w:rPr>
  </w:style>
  <w:style w:type="paragraph" w:customStyle="1" w:styleId="1787">
    <w:name w:val="xl90"/>
    <w:basedOn w:val="1"/>
    <w:qFormat/>
    <w:uiPriority w:val="0"/>
    <w:pPr>
      <w:widowControl/>
      <w:pBdr>
        <w:bottom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1788">
    <w:name w:val="首页页眉样式"/>
    <w:basedOn w:val="1"/>
    <w:qFormat/>
    <w:uiPriority w:val="0"/>
    <w:pPr>
      <w:spacing w:line="320" w:lineRule="exact"/>
      <w:jc w:val="center"/>
    </w:pPr>
    <w:rPr>
      <w:rFonts w:ascii="宋体" w:hAnsi="宋体"/>
      <w:sz w:val="21"/>
      <w:szCs w:val="20"/>
    </w:rPr>
  </w:style>
  <w:style w:type="paragraph" w:customStyle="1" w:styleId="1789">
    <w:name w:val="Char Char Char1 Char4"/>
    <w:basedOn w:val="1"/>
    <w:qFormat/>
    <w:uiPriority w:val="0"/>
    <w:pPr>
      <w:widowControl/>
      <w:spacing w:line="240" w:lineRule="auto"/>
    </w:pPr>
    <w:rPr>
      <w:kern w:val="0"/>
      <w:sz w:val="21"/>
      <w:lang w:bidi="en-US"/>
    </w:rPr>
  </w:style>
  <w:style w:type="paragraph" w:customStyle="1" w:styleId="1790">
    <w:name w:val="样式 样式 样式 标题 2节标题 1.11.1标题 21.1标题2标题 2 Char1节_Heading 2b21.1标... ..."/>
    <w:basedOn w:val="6"/>
    <w:next w:val="6"/>
    <w:qFormat/>
    <w:uiPriority w:val="0"/>
    <w:pPr>
      <w:keepNext/>
      <w:keepLines/>
      <w:widowControl/>
      <w:numPr>
        <w:ilvl w:val="0"/>
        <w:numId w:val="0"/>
      </w:numPr>
      <w:tabs>
        <w:tab w:val="clear" w:pos="-181"/>
      </w:tabs>
      <w:adjustRightInd/>
      <w:snapToGrid/>
      <w:spacing w:before="260" w:beforeLines="50" w:line="415" w:lineRule="auto"/>
      <w:jc w:val="both"/>
      <w:textAlignment w:val="auto"/>
    </w:pPr>
    <w:rPr>
      <w:rFonts w:ascii="黑体"/>
      <w:b/>
      <w:color w:val="000000"/>
      <w:sz w:val="28"/>
      <w:szCs w:val="30"/>
    </w:rPr>
  </w:style>
  <w:style w:type="paragraph" w:customStyle="1" w:styleId="1791">
    <w:name w:val="et4"/>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792">
    <w:name w:val="Char Char Char Char Char Char Char Char Char Char Char Char Char Char Char Char1 Char"/>
    <w:basedOn w:val="1"/>
    <w:next w:val="1"/>
    <w:qFormat/>
    <w:uiPriority w:val="0"/>
    <w:pPr>
      <w:pBdr>
        <w:right w:val="single" w:color="auto" w:sz="12" w:space="4"/>
      </w:pBdr>
      <w:adjustRightInd w:val="0"/>
      <w:ind w:firstLine="200" w:firstLineChars="200"/>
    </w:pPr>
    <w:rPr>
      <w:rFonts w:ascii="宋体" w:hAnsi="宋体" w:cs="宋体"/>
    </w:rPr>
  </w:style>
  <w:style w:type="paragraph" w:customStyle="1" w:styleId="1793">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794">
    <w:name w:val="表头 Char Char"/>
    <w:basedOn w:val="1"/>
    <w:qFormat/>
    <w:uiPriority w:val="0"/>
    <w:pPr>
      <w:jc w:val="center"/>
    </w:pPr>
    <w:rPr>
      <w:rFonts w:ascii="黑体" w:hAnsi="黑体" w:eastAsia="黑体"/>
      <w:kern w:val="0"/>
      <w:sz w:val="21"/>
    </w:rPr>
  </w:style>
  <w:style w:type="paragraph" w:customStyle="1" w:styleId="1795">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kern w:val="0"/>
      <w:sz w:val="32"/>
      <w:szCs w:val="20"/>
      <w:lang w:val="en-US" w:eastAsia="zh-CN" w:bidi="ar-SA"/>
    </w:rPr>
  </w:style>
  <w:style w:type="paragraph" w:customStyle="1" w:styleId="1796">
    <w:name w:val="表标题16.8－1"/>
    <w:basedOn w:val="1578"/>
    <w:qFormat/>
    <w:uiPriority w:val="0"/>
    <w:pPr>
      <w:tabs>
        <w:tab w:val="left" w:pos="3060"/>
      </w:tabs>
      <w:ind w:left="2400" w:hanging="420"/>
    </w:pPr>
  </w:style>
  <w:style w:type="paragraph" w:customStyle="1" w:styleId="1797">
    <w:name w:val="Char Char Char1 Char Char Char Char Char Char Char2"/>
    <w:basedOn w:val="1"/>
    <w:qFormat/>
    <w:uiPriority w:val="0"/>
    <w:pPr>
      <w:widowControl/>
      <w:spacing w:line="240" w:lineRule="auto"/>
    </w:pPr>
    <w:rPr>
      <w:kern w:val="0"/>
      <w:sz w:val="21"/>
      <w:lang w:bidi="en-US"/>
    </w:rPr>
  </w:style>
  <w:style w:type="paragraph" w:customStyle="1" w:styleId="1798">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rPr>
  </w:style>
  <w:style w:type="paragraph" w:customStyle="1" w:styleId="1799">
    <w:name w:val="Puce2-3pts"/>
    <w:basedOn w:val="1"/>
    <w:qFormat/>
    <w:uiPriority w:val="0"/>
    <w:pPr>
      <w:keepLines/>
      <w:widowControl/>
      <w:tabs>
        <w:tab w:val="left" w:pos="1280"/>
        <w:tab w:val="left" w:pos="1843"/>
      </w:tabs>
      <w:spacing w:before="60" w:line="240" w:lineRule="auto"/>
      <w:ind w:left="1843" w:hanging="720"/>
    </w:pPr>
    <w:rPr>
      <w:rFonts w:ascii="Arial" w:hAnsi="Arial" w:eastAsia="MS Mincho"/>
      <w:kern w:val="0"/>
      <w:sz w:val="20"/>
      <w:szCs w:val="20"/>
      <w:lang w:eastAsia="fr-FR"/>
    </w:rPr>
  </w:style>
  <w:style w:type="paragraph" w:customStyle="1" w:styleId="1800">
    <w:name w:val="xl70"/>
    <w:basedOn w:val="1"/>
    <w:qFormat/>
    <w:uiPriority w:val="0"/>
    <w:pPr>
      <w:widowControl/>
      <w:pBdr>
        <w:bottom w:val="single" w:color="auto" w:sz="8" w:space="0"/>
      </w:pBdr>
      <w:spacing w:before="100" w:beforeAutospacing="1" w:after="100" w:afterAutospacing="1" w:line="240" w:lineRule="auto"/>
      <w:jc w:val="left"/>
    </w:pPr>
    <w:rPr>
      <w:rFonts w:ascii="宋体" w:hAnsi="宋体"/>
      <w:kern w:val="0"/>
      <w:sz w:val="32"/>
      <w:szCs w:val="32"/>
    </w:rPr>
  </w:style>
  <w:style w:type="paragraph" w:customStyle="1" w:styleId="1801">
    <w:name w:val="font1"/>
    <w:basedOn w:val="1"/>
    <w:qFormat/>
    <w:uiPriority w:val="0"/>
    <w:pPr>
      <w:widowControl/>
      <w:spacing w:before="100" w:beforeAutospacing="1" w:after="100" w:afterAutospacing="1" w:line="240" w:lineRule="auto"/>
      <w:jc w:val="left"/>
    </w:pPr>
    <w:rPr>
      <w:rFonts w:hint="eastAsia" w:ascii="宋体" w:hAnsi="宋体" w:cs="Arial Unicode MS"/>
      <w:kern w:val="0"/>
    </w:rPr>
  </w:style>
  <w:style w:type="paragraph" w:customStyle="1" w:styleId="1802">
    <w:name w:val="et25"/>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1803">
    <w:name w:val="评价样式1"/>
    <w:basedOn w:val="1"/>
    <w:next w:val="36"/>
    <w:qFormat/>
    <w:uiPriority w:val="0"/>
    <w:pPr>
      <w:spacing w:line="460" w:lineRule="atLeast"/>
    </w:pPr>
    <w:rPr>
      <w:rFonts w:ascii="Times" w:hAnsi="Times"/>
      <w:bCs/>
    </w:rPr>
  </w:style>
  <w:style w:type="paragraph" w:customStyle="1" w:styleId="1804">
    <w:name w:val="样式 首行缩进:  0.85 厘米"/>
    <w:basedOn w:val="1"/>
    <w:qFormat/>
    <w:uiPriority w:val="0"/>
    <w:pPr>
      <w:adjustRightInd w:val="0"/>
      <w:snapToGrid w:val="0"/>
      <w:ind w:firstLine="482"/>
    </w:pPr>
    <w:rPr>
      <w:szCs w:val="20"/>
    </w:rPr>
  </w:style>
  <w:style w:type="paragraph" w:customStyle="1" w:styleId="1805">
    <w:name w:val="样式 标题 1 + 黑体 三号"/>
    <w:basedOn w:val="5"/>
    <w:qFormat/>
    <w:uiPriority w:val="0"/>
    <w:pPr>
      <w:keepLines/>
      <w:widowControl/>
      <w:topLinePunct/>
      <w:autoSpaceDE w:val="0"/>
      <w:autoSpaceDN w:val="0"/>
      <w:adjustRightInd w:val="0"/>
      <w:snapToGrid w:val="0"/>
      <w:spacing w:before="340" w:after="330" w:line="240" w:lineRule="auto"/>
      <w:ind w:firstLine="538" w:firstLineChars="224"/>
    </w:pPr>
    <w:rPr>
      <w:rFonts w:ascii="黑体" w:hAnsi="黑体" w:eastAsia="黑体"/>
      <w:snapToGrid w:val="0"/>
      <w:kern w:val="44"/>
      <w:sz w:val="32"/>
      <w:szCs w:val="44"/>
    </w:rPr>
  </w:style>
  <w:style w:type="paragraph" w:customStyle="1" w:styleId="1806">
    <w:name w:val="Institution"/>
    <w:basedOn w:val="1"/>
    <w:next w:val="1807"/>
    <w:qFormat/>
    <w:uiPriority w:val="0"/>
    <w:pPr>
      <w:widowControl/>
      <w:tabs>
        <w:tab w:val="left" w:pos="2160"/>
        <w:tab w:val="right" w:pos="6480"/>
      </w:tabs>
      <w:spacing w:before="220" w:after="60" w:line="220" w:lineRule="atLeast"/>
      <w:ind w:right="-360"/>
    </w:pPr>
    <w:rPr>
      <w:kern w:val="0"/>
      <w:sz w:val="20"/>
      <w:szCs w:val="20"/>
    </w:rPr>
  </w:style>
  <w:style w:type="paragraph" w:customStyle="1" w:styleId="1807">
    <w:name w:val="Achievement"/>
    <w:basedOn w:val="36"/>
    <w:qFormat/>
    <w:uiPriority w:val="0"/>
    <w:pPr>
      <w:widowControl/>
      <w:tabs>
        <w:tab w:val="left" w:pos="960"/>
      </w:tabs>
      <w:spacing w:after="60" w:line="220" w:lineRule="atLeast"/>
      <w:ind w:left="960" w:right="-360" w:hanging="960"/>
      <w:jc w:val="left"/>
    </w:pPr>
    <w:rPr>
      <w:kern w:val="0"/>
      <w:sz w:val="20"/>
    </w:rPr>
  </w:style>
  <w:style w:type="paragraph" w:customStyle="1" w:styleId="1808">
    <w:name w:val="xl123"/>
    <w:basedOn w:val="1"/>
    <w:qFormat/>
    <w:uiPriority w:val="0"/>
    <w:pPr>
      <w:widowControl/>
      <w:pBdr>
        <w:lef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809">
    <w:name w:val="段落文字"/>
    <w:basedOn w:val="1"/>
    <w:qFormat/>
    <w:uiPriority w:val="0"/>
    <w:pPr>
      <w:adjustRightInd w:val="0"/>
      <w:snapToGrid w:val="0"/>
      <w:spacing w:line="460" w:lineRule="exact"/>
      <w:ind w:firstLine="480" w:firstLineChars="200"/>
    </w:pPr>
    <w:rPr>
      <w:rFonts w:ascii="宋体" w:hAnsi="宋体"/>
    </w:rPr>
  </w:style>
  <w:style w:type="paragraph" w:customStyle="1" w:styleId="1810">
    <w:name w:val="Char Char Char3 Char Char Char Char Char Char Char Char Char Char Char Char1 Char Char Char Char"/>
    <w:basedOn w:val="1"/>
    <w:qFormat/>
    <w:uiPriority w:val="0"/>
    <w:pPr>
      <w:spacing w:line="240" w:lineRule="auto"/>
    </w:pPr>
    <w:rPr>
      <w:sz w:val="21"/>
      <w:szCs w:val="20"/>
    </w:rPr>
  </w:style>
  <w:style w:type="paragraph" w:customStyle="1" w:styleId="1811">
    <w:name w:val="正文-第几条"/>
    <w:basedOn w:val="1"/>
    <w:qFormat/>
    <w:uiPriority w:val="0"/>
    <w:pPr>
      <w:numPr>
        <w:ilvl w:val="0"/>
        <w:numId w:val="34"/>
      </w:numPr>
    </w:pPr>
  </w:style>
  <w:style w:type="paragraph" w:customStyle="1" w:styleId="1812">
    <w:name w:val="Char1"/>
    <w:basedOn w:val="1"/>
    <w:qFormat/>
    <w:uiPriority w:val="0"/>
    <w:pPr>
      <w:snapToGrid w:val="0"/>
      <w:ind w:firstLine="529" w:firstLineChars="200"/>
    </w:pPr>
    <w:rPr>
      <w:rFonts w:ascii="宋体" w:hAnsi="宋体"/>
      <w:b/>
      <w:sz w:val="21"/>
    </w:rPr>
  </w:style>
  <w:style w:type="paragraph" w:customStyle="1" w:styleId="1813">
    <w:name w:val="表头4"/>
    <w:basedOn w:val="1"/>
    <w:qFormat/>
    <w:uiPriority w:val="0"/>
    <w:pPr>
      <w:tabs>
        <w:tab w:val="left" w:pos="420"/>
        <w:tab w:val="left" w:pos="2345"/>
      </w:tabs>
      <w:adjustRightInd w:val="0"/>
      <w:snapToGrid w:val="0"/>
      <w:spacing w:before="240" w:beforeLines="100" w:after="120" w:afterLines="50" w:line="240" w:lineRule="atLeast"/>
      <w:ind w:left="1330" w:hanging="425"/>
      <w:jc w:val="center"/>
    </w:pPr>
    <w:rPr>
      <w:b/>
    </w:rPr>
  </w:style>
  <w:style w:type="paragraph" w:customStyle="1" w:styleId="1814">
    <w:name w:val="样式 样式 标题 1标题 1 Char标1章 + 段前: 0.5 行 段后: 0.5 行 + 段前: 0.5 行 段后: 0...."/>
    <w:basedOn w:val="1"/>
    <w:qFormat/>
    <w:uiPriority w:val="0"/>
    <w:pPr>
      <w:keepNext/>
      <w:widowControl/>
      <w:numPr>
        <w:ilvl w:val="0"/>
        <w:numId w:val="7"/>
      </w:numPr>
      <w:spacing w:beforeLines="50" w:afterLines="50" w:line="240" w:lineRule="auto"/>
      <w:outlineLvl w:val="0"/>
    </w:pPr>
    <w:rPr>
      <w:rFonts w:ascii="黑体" w:hAnsi="Arial" w:eastAsia="黑体" w:cs="宋体"/>
      <w:color w:val="000000"/>
      <w:kern w:val="24"/>
      <w:sz w:val="28"/>
      <w:szCs w:val="20"/>
      <w:lang w:val="zh-CN"/>
    </w:rPr>
  </w:style>
  <w:style w:type="paragraph" w:customStyle="1" w:styleId="1815">
    <w:name w:val="样式 样式 黑色 首行缩进:  2 字符 行距: 固定值 25 磅 + Times New Roman 首行缩进:  2 字符"/>
    <w:basedOn w:val="1"/>
    <w:qFormat/>
    <w:uiPriority w:val="0"/>
    <w:pPr>
      <w:spacing w:line="580" w:lineRule="exact"/>
      <w:ind w:firstLine="200" w:firstLineChars="200"/>
    </w:pPr>
    <w:rPr>
      <w:rFonts w:eastAsia="仿宋_GB2312" w:cs="宋体"/>
      <w:b/>
      <w:bCs/>
      <w:color w:val="000000"/>
      <w:szCs w:val="20"/>
    </w:rPr>
  </w:style>
  <w:style w:type="paragraph" w:customStyle="1" w:styleId="1816">
    <w:name w:val="文2"/>
    <w:basedOn w:val="1"/>
    <w:qFormat/>
    <w:uiPriority w:val="0"/>
    <w:pPr>
      <w:adjustRightInd w:val="0"/>
      <w:snapToGrid w:val="0"/>
      <w:spacing w:line="312" w:lineRule="auto"/>
      <w:ind w:firstLine="640" w:firstLineChars="200"/>
    </w:pPr>
    <w:rPr>
      <w:rFonts w:ascii="宋体" w:hAnsi="宋体"/>
      <w:snapToGrid w:val="0"/>
      <w:spacing w:val="6"/>
      <w:kern w:val="0"/>
      <w:sz w:val="28"/>
      <w:szCs w:val="28"/>
    </w:rPr>
  </w:style>
  <w:style w:type="paragraph" w:customStyle="1" w:styleId="1817">
    <w:name w:val="样式 小四+首行缩进 + 首行缩进:  0 厘米"/>
    <w:basedOn w:val="1232"/>
    <w:qFormat/>
    <w:uiPriority w:val="0"/>
    <w:pPr>
      <w:ind w:firstLine="62"/>
    </w:pPr>
  </w:style>
  <w:style w:type="paragraph" w:customStyle="1" w:styleId="1818">
    <w:name w:val="表后空行"/>
    <w:basedOn w:val="1"/>
    <w:qFormat/>
    <w:uiPriority w:val="0"/>
    <w:pPr>
      <w:overflowPunct w:val="0"/>
      <w:adjustRightInd w:val="0"/>
      <w:spacing w:line="240" w:lineRule="auto"/>
      <w:textAlignment w:val="baseline"/>
    </w:pPr>
    <w:rPr>
      <w:kern w:val="28"/>
      <w:sz w:val="10"/>
      <w:szCs w:val="20"/>
    </w:rPr>
  </w:style>
  <w:style w:type="paragraph" w:customStyle="1" w:styleId="1819">
    <w:name w:val="六级标题王"/>
    <w:basedOn w:val="807"/>
    <w:qFormat/>
    <w:uiPriority w:val="0"/>
    <w:pPr>
      <w:tabs>
        <w:tab w:val="clear" w:pos="747"/>
      </w:tabs>
      <w:jc w:val="both"/>
      <w:outlineLvl w:val="5"/>
    </w:pPr>
    <w:rPr>
      <w:rFonts w:hAnsi="Times New Roman"/>
      <w:szCs w:val="28"/>
    </w:rPr>
  </w:style>
  <w:style w:type="paragraph" w:customStyle="1" w:styleId="1820">
    <w:name w:val="中远正文"/>
    <w:basedOn w:val="1"/>
    <w:qFormat/>
    <w:uiPriority w:val="0"/>
    <w:pPr>
      <w:adjustRightInd w:val="0"/>
      <w:ind w:firstLine="480"/>
      <w:textAlignment w:val="baseline"/>
    </w:pPr>
    <w:rPr>
      <w:snapToGrid w:val="0"/>
      <w:kern w:val="24"/>
      <w:szCs w:val="20"/>
    </w:rPr>
  </w:style>
  <w:style w:type="paragraph" w:customStyle="1" w:styleId="1821">
    <w:name w:val="样式 样式 小四 段后: 6 磅 行距: 1.5 倍行距 + 首行缩进:  2 字符"/>
    <w:basedOn w:val="1"/>
    <w:qFormat/>
    <w:uiPriority w:val="0"/>
    <w:pPr>
      <w:keepNext/>
      <w:ind w:firstLine="200" w:firstLineChars="200"/>
      <w:jc w:val="left"/>
    </w:pPr>
    <w:rPr>
      <w:rFonts w:ascii="宋体" w:hAnsi="宋体" w:cs="宋体"/>
      <w:sz w:val="28"/>
      <w:szCs w:val="20"/>
    </w:rPr>
  </w:style>
  <w:style w:type="paragraph" w:customStyle="1" w:styleId="1822">
    <w:name w:val="横线"/>
    <w:basedOn w:val="23"/>
    <w:qFormat/>
    <w:uiPriority w:val="0"/>
    <w:pPr>
      <w:tabs>
        <w:tab w:val="left" w:pos="504"/>
      </w:tabs>
      <w:adjustRightInd w:val="0"/>
      <w:snapToGrid w:val="0"/>
      <w:spacing w:line="360" w:lineRule="auto"/>
      <w:ind w:left="1276" w:hanging="709"/>
      <w:jc w:val="left"/>
      <w:textAlignment w:val="baseline"/>
    </w:pPr>
    <w:rPr>
      <w:b/>
      <w:snapToGrid w:val="0"/>
      <w:kern w:val="0"/>
      <w:sz w:val="24"/>
    </w:rPr>
  </w:style>
  <w:style w:type="paragraph" w:customStyle="1" w:styleId="1823">
    <w:name w:val="CM11"/>
    <w:basedOn w:val="1"/>
    <w:next w:val="1"/>
    <w:qFormat/>
    <w:uiPriority w:val="0"/>
    <w:pPr>
      <w:autoSpaceDE w:val="0"/>
      <w:autoSpaceDN w:val="0"/>
      <w:adjustRightInd w:val="0"/>
      <w:spacing w:line="468" w:lineRule="atLeast"/>
      <w:jc w:val="left"/>
    </w:pPr>
    <w:rPr>
      <w:rFonts w:ascii="·..." w:eastAsia="·..." w:cs="·..."/>
      <w:kern w:val="0"/>
    </w:rPr>
  </w:style>
  <w:style w:type="paragraph" w:customStyle="1" w:styleId="1824">
    <w:name w:val="样式79"/>
    <w:basedOn w:val="1698"/>
    <w:qFormat/>
    <w:uiPriority w:val="0"/>
  </w:style>
  <w:style w:type="paragraph" w:customStyle="1" w:styleId="1825">
    <w:name w:val="样式 标题 31.1.1条标题 3 Char Char标题 3 CharBSH-3条标题1.1.1H3b3标题..."/>
    <w:basedOn w:val="7"/>
    <w:qFormat/>
    <w:uiPriority w:val="0"/>
    <w:pPr>
      <w:numPr>
        <w:numId w:val="0"/>
      </w:numPr>
      <w:tabs>
        <w:tab w:val="left" w:pos="1365"/>
      </w:tabs>
      <w:spacing w:before="156" w:after="156" w:line="360" w:lineRule="auto"/>
    </w:pPr>
    <w:rPr>
      <w:rFonts w:ascii="黑体" w:hAnsi="Times New Roman" w:eastAsia="黑体" w:cs="宋体"/>
      <w:b w:val="0"/>
      <w:bCs w:val="0"/>
      <w:color w:val="auto"/>
      <w:szCs w:val="28"/>
    </w:rPr>
  </w:style>
  <w:style w:type="paragraph" w:customStyle="1" w:styleId="1826">
    <w:name w:val="样式 红色 首行缩进:  2 字符"/>
    <w:basedOn w:val="1"/>
    <w:qFormat/>
    <w:uiPriority w:val="0"/>
    <w:pPr>
      <w:spacing w:line="480" w:lineRule="exact"/>
      <w:ind w:firstLine="480" w:firstLineChars="200"/>
    </w:pPr>
    <w:rPr>
      <w:rFonts w:cs="宋体"/>
      <w:color w:val="FF0000"/>
      <w:szCs w:val="20"/>
    </w:rPr>
  </w:style>
  <w:style w:type="paragraph" w:customStyle="1" w:styleId="1827">
    <w:name w:val="Char1 Char Char Char1 Char Char Char1"/>
    <w:basedOn w:val="1"/>
    <w:qFormat/>
    <w:uiPriority w:val="0"/>
    <w:pPr>
      <w:ind w:firstLine="200" w:firstLineChars="200"/>
    </w:pPr>
    <w:rPr>
      <w:rFonts w:ascii="宋体" w:hAnsi="宋体" w:cs="宋体"/>
    </w:rPr>
  </w:style>
  <w:style w:type="paragraph" w:customStyle="1" w:styleId="1828">
    <w:name w:val="报告书 标题一"/>
    <w:basedOn w:val="5"/>
    <w:qFormat/>
    <w:uiPriority w:val="0"/>
    <w:pPr>
      <w:spacing w:line="360" w:lineRule="auto"/>
    </w:pPr>
    <w:rPr>
      <w:rFonts w:ascii="楷体_GB2312" w:hAnsi="Times New Roman" w:eastAsia="楷体_GB2312" w:cs="宋体"/>
      <w:b/>
      <w:bCs/>
      <w:sz w:val="36"/>
      <w:szCs w:val="20"/>
    </w:rPr>
  </w:style>
  <w:style w:type="paragraph" w:customStyle="1" w:styleId="1829">
    <w:name w:val="OIC1 Company Name"/>
    <w:basedOn w:val="1"/>
    <w:qFormat/>
    <w:uiPriority w:val="0"/>
    <w:pPr>
      <w:spacing w:line="240" w:lineRule="auto"/>
      <w:jc w:val="center"/>
    </w:pPr>
    <w:rPr>
      <w:rFonts w:ascii="Arial Black" w:hAnsi="Arial Black"/>
      <w:color w:val="000080"/>
      <w:spacing w:val="40"/>
      <w:kern w:val="0"/>
      <w:sz w:val="28"/>
      <w:szCs w:val="20"/>
    </w:rPr>
  </w:style>
  <w:style w:type="paragraph" w:customStyle="1" w:styleId="1830">
    <w:name w:val="图名 Char"/>
    <w:basedOn w:val="67"/>
    <w:qFormat/>
    <w:uiPriority w:val="0"/>
    <w:pPr>
      <w:spacing w:line="480" w:lineRule="exact"/>
      <w:ind w:left="0" w:firstLine="0" w:firstLineChars="0"/>
      <w:jc w:val="center"/>
    </w:pPr>
    <w:rPr>
      <w:rFonts w:eastAsia="黑体"/>
      <w:sz w:val="24"/>
      <w:szCs w:val="24"/>
    </w:rPr>
  </w:style>
  <w:style w:type="paragraph" w:customStyle="1" w:styleId="1831">
    <w:name w:val="样式17"/>
    <w:basedOn w:val="703"/>
    <w:qFormat/>
    <w:uiPriority w:val="0"/>
    <w:pPr>
      <w:adjustRightInd/>
      <w:snapToGrid/>
      <w:spacing w:after="0" w:line="240" w:lineRule="auto"/>
      <w:ind w:left="0" w:firstLine="475" w:firstLineChars="200"/>
      <w:outlineLvl w:val="9"/>
    </w:pPr>
    <w:rPr>
      <w:rFonts w:eastAsia="华文中宋"/>
      <w:bCs w:val="0"/>
      <w:color w:val="000000"/>
      <w:sz w:val="24"/>
      <w:szCs w:val="24"/>
      <w:lang w:val="en-US"/>
    </w:rPr>
  </w:style>
  <w:style w:type="paragraph" w:customStyle="1" w:styleId="1832">
    <w:name w:val="xl94"/>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1833">
    <w:name w:val="ST20_32"/>
    <w:basedOn w:val="56"/>
    <w:qFormat/>
    <w:uiPriority w:val="0"/>
    <w:pPr>
      <w:keepLines/>
      <w:tabs>
        <w:tab w:val="center" w:pos="4320"/>
        <w:tab w:val="clear" w:pos="4153"/>
        <w:tab w:val="clear" w:pos="8306"/>
      </w:tabs>
      <w:autoSpaceDE w:val="0"/>
      <w:autoSpaceDN w:val="0"/>
      <w:adjustRightInd w:val="0"/>
      <w:snapToGrid/>
      <w:spacing w:line="360" w:lineRule="atLeast"/>
      <w:jc w:val="center"/>
      <w:textAlignment w:val="baseline"/>
    </w:pPr>
    <w:rPr>
      <w:rFonts w:ascii="宋体" w:hAnsi="Tms Rmn" w:cs="宋体"/>
      <w:spacing w:val="4"/>
      <w:sz w:val="28"/>
      <w:szCs w:val="24"/>
    </w:rPr>
  </w:style>
  <w:style w:type="paragraph" w:customStyle="1" w:styleId="1834">
    <w:name w:val="题注+"/>
    <w:basedOn w:val="24"/>
    <w:next w:val="1"/>
    <w:qFormat/>
    <w:uiPriority w:val="0"/>
    <w:pPr>
      <w:widowControl/>
      <w:spacing w:line="336" w:lineRule="auto"/>
      <w:outlineLvl w:val="6"/>
    </w:pPr>
    <w:rPr>
      <w:rFonts w:ascii="黑体" w:hAnsi="Arial" w:eastAsia="黑体" w:cs="Times New Roman"/>
      <w:b w:val="0"/>
      <w:kern w:val="0"/>
      <w:szCs w:val="24"/>
    </w:rPr>
  </w:style>
  <w:style w:type="paragraph" w:customStyle="1" w:styleId="1835">
    <w:name w:val="正文仿宋小四"/>
    <w:basedOn w:val="1"/>
    <w:qFormat/>
    <w:uiPriority w:val="0"/>
    <w:pPr>
      <w:adjustRightInd w:val="0"/>
      <w:snapToGrid w:val="0"/>
      <w:ind w:firstLine="480" w:firstLineChars="200"/>
    </w:pPr>
    <w:rPr>
      <w:rFonts w:cs="宋体"/>
      <w:color w:val="000000"/>
    </w:rPr>
  </w:style>
  <w:style w:type="paragraph" w:customStyle="1" w:styleId="1836">
    <w:name w:val="c_"/>
    <w:qFormat/>
    <w:uiPriority w:val="0"/>
    <w:pPr>
      <w:widowControl w:val="0"/>
      <w:autoSpaceDE w:val="0"/>
      <w:autoSpaceDN w:val="0"/>
      <w:adjustRightInd w:val="0"/>
      <w:jc w:val="both"/>
    </w:pPr>
    <w:rPr>
      <w:rFonts w:ascii="五" w:hAnsi="Times New Roman" w:eastAsia="五" w:cs="Times New Roman"/>
      <w:kern w:val="0"/>
      <w:sz w:val="24"/>
      <w:szCs w:val="20"/>
      <w:lang w:val="en-US" w:eastAsia="zh-CN" w:bidi="ar-SA"/>
    </w:rPr>
  </w:style>
  <w:style w:type="paragraph" w:customStyle="1" w:styleId="1837">
    <w:name w:val="xl105"/>
    <w:basedOn w:val="1"/>
    <w:qFormat/>
    <w:uiPriority w:val="0"/>
    <w:pPr>
      <w:widowControl/>
      <w:pBdr>
        <w:top w:val="single" w:color="auto" w:sz="4" w:space="0"/>
        <w:lef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1838">
    <w:name w:val="表头字"/>
    <w:basedOn w:val="1"/>
    <w:qFormat/>
    <w:uiPriority w:val="0"/>
    <w:pPr>
      <w:adjustRightInd w:val="0"/>
      <w:snapToGrid w:val="0"/>
      <w:spacing w:before="120"/>
      <w:jc w:val="center"/>
    </w:pPr>
    <w:rPr>
      <w:b/>
      <w:sz w:val="21"/>
      <w:szCs w:val="21"/>
    </w:rPr>
  </w:style>
  <w:style w:type="paragraph" w:customStyle="1" w:styleId="1839">
    <w:name w:val="样式 样式 标题 4第三层条PIM 4h4标题 4 Char + 右侧:  1 字符 + 左侧:  1.87 厘米"/>
    <w:basedOn w:val="1"/>
    <w:qFormat/>
    <w:uiPriority w:val="0"/>
    <w:pPr>
      <w:tabs>
        <w:tab w:val="left" w:pos="851"/>
      </w:tabs>
      <w:spacing w:line="240" w:lineRule="auto"/>
      <w:ind w:left="851" w:hanging="851"/>
    </w:pPr>
    <w:rPr>
      <w:sz w:val="21"/>
    </w:rPr>
  </w:style>
  <w:style w:type="paragraph" w:customStyle="1" w:styleId="1840">
    <w:name w:val="样式 行距: 固定值 25 磅1"/>
    <w:basedOn w:val="1"/>
    <w:qFormat/>
    <w:uiPriority w:val="0"/>
    <w:pPr>
      <w:adjustRightInd w:val="0"/>
      <w:snapToGrid w:val="0"/>
      <w:ind w:firstLine="1476" w:firstLineChars="700"/>
      <w:textAlignment w:val="baseline"/>
    </w:pPr>
    <w:rPr>
      <w:b/>
      <w:sz w:val="21"/>
      <w:szCs w:val="20"/>
    </w:rPr>
  </w:style>
  <w:style w:type="paragraph" w:customStyle="1" w:styleId="1841">
    <w:name w:val="样式 标题 3 + (西文) Times New Roman (中文) 宋体 小四 加粗"/>
    <w:basedOn w:val="7"/>
    <w:qFormat/>
    <w:uiPriority w:val="0"/>
    <w:pPr>
      <w:numPr>
        <w:ilvl w:val="0"/>
        <w:numId w:val="0"/>
      </w:numPr>
      <w:adjustRightInd w:val="0"/>
      <w:snapToGrid w:val="0"/>
      <w:spacing w:before="120" w:beforeLines="50" w:after="0" w:afterLines="50" w:line="360" w:lineRule="auto"/>
      <w:jc w:val="left"/>
      <w:outlineLvl w:val="9"/>
    </w:pPr>
    <w:rPr>
      <w:rFonts w:ascii="华文仿宋" w:hAnsi="华文仿宋" w:eastAsia="华文仿宋"/>
      <w:b w:val="0"/>
      <w:bCs w:val="0"/>
      <w:snapToGrid w:val="0"/>
      <w:sz w:val="24"/>
      <w:szCs w:val="20"/>
    </w:rPr>
  </w:style>
  <w:style w:type="paragraph" w:customStyle="1" w:styleId="1842">
    <w:name w:val="样式25"/>
    <w:basedOn w:val="1"/>
    <w:qFormat/>
    <w:uiPriority w:val="0"/>
    <w:pPr>
      <w:spacing w:line="240" w:lineRule="auto"/>
      <w:jc w:val="center"/>
    </w:pPr>
    <w:rPr>
      <w:rFonts w:eastAsia="黑体"/>
      <w:color w:val="000000"/>
    </w:rPr>
  </w:style>
  <w:style w:type="paragraph" w:customStyle="1" w:styleId="1843">
    <w:name w:val="样式 标题2　自动设置"/>
    <w:basedOn w:val="6"/>
    <w:qFormat/>
    <w:uiPriority w:val="0"/>
    <w:pPr>
      <w:keepNext/>
      <w:keepLines/>
      <w:numPr>
        <w:ilvl w:val="0"/>
        <w:numId w:val="0"/>
      </w:numPr>
      <w:tabs>
        <w:tab w:val="left" w:pos="576"/>
        <w:tab w:val="clear" w:pos="-181"/>
      </w:tabs>
      <w:adjustRightInd/>
      <w:snapToGrid/>
      <w:spacing w:before="260" w:beforeLines="50" w:after="260" w:afterLines="50" w:line="240" w:lineRule="auto"/>
      <w:ind w:left="576" w:hanging="576"/>
      <w:jc w:val="both"/>
      <w:textAlignment w:val="auto"/>
    </w:pPr>
    <w:rPr>
      <w:rFonts w:ascii="宋体" w:hAnsi="宋体" w:eastAsia="宋体" w:cs="宋体"/>
      <w:b/>
      <w:bCs/>
      <w:spacing w:val="4"/>
      <w:kern w:val="2"/>
      <w:sz w:val="28"/>
      <w:szCs w:val="24"/>
    </w:rPr>
  </w:style>
  <w:style w:type="paragraph" w:customStyle="1" w:styleId="1844">
    <w:name w:val="1表格头"/>
    <w:basedOn w:val="484"/>
    <w:qFormat/>
    <w:uiPriority w:val="0"/>
    <w:rPr>
      <w:rFonts w:eastAsia="宋体"/>
    </w:rPr>
  </w:style>
  <w:style w:type="paragraph" w:customStyle="1" w:styleId="1845">
    <w:name w:val="16.9.5.1"/>
    <w:basedOn w:val="8"/>
    <w:qFormat/>
    <w:uiPriority w:val="0"/>
    <w:pPr>
      <w:keepLines/>
      <w:numPr>
        <w:ilvl w:val="3"/>
        <w:numId w:val="35"/>
      </w:numPr>
      <w:tabs>
        <w:tab w:val="left" w:pos="1080"/>
        <w:tab w:val="clear" w:pos="864"/>
      </w:tabs>
      <w:spacing w:before="120" w:after="120" w:line="312" w:lineRule="auto"/>
      <w:jc w:val="both"/>
    </w:pPr>
    <w:rPr>
      <w:rFonts w:ascii="Arial" w:hAnsi="Arial" w:eastAsia="黑体"/>
    </w:rPr>
  </w:style>
  <w:style w:type="paragraph" w:customStyle="1" w:styleId="1846">
    <w:name w:val="样式 泸县焦化二级标题 + 行距: 1.5 倍行距"/>
    <w:basedOn w:val="224"/>
    <w:qFormat/>
    <w:uiPriority w:val="0"/>
    <w:rPr>
      <w:szCs w:val="20"/>
    </w:rPr>
  </w:style>
  <w:style w:type="paragraph" w:customStyle="1" w:styleId="1847">
    <w:name w:val="xl78"/>
    <w:basedOn w:val="1"/>
    <w:qFormat/>
    <w:uiPriority w:val="0"/>
    <w:pPr>
      <w:widowControl/>
      <w:pBdr>
        <w:left w:val="single" w:color="auto" w:sz="8" w:space="0"/>
        <w:bottom w:val="single" w:color="auto" w:sz="8" w:space="0"/>
        <w:right w:val="single" w:color="auto" w:sz="8" w:space="0"/>
      </w:pBdr>
      <w:spacing w:before="100" w:beforeAutospacing="1" w:after="100" w:afterAutospacing="1" w:line="240" w:lineRule="auto"/>
      <w:jc w:val="center"/>
      <w:textAlignment w:val="center"/>
    </w:pPr>
    <w:rPr>
      <w:rFonts w:ascii="Arial Unicode MS" w:hAnsi="Arial Unicode MS" w:eastAsia="Arial Unicode MS"/>
      <w:kern w:val="0"/>
      <w:szCs w:val="20"/>
    </w:rPr>
  </w:style>
  <w:style w:type="paragraph" w:customStyle="1" w:styleId="1848">
    <w:name w:val="2标题"/>
    <w:next w:val="1713"/>
    <w:qFormat/>
    <w:uiPriority w:val="0"/>
    <w:pPr>
      <w:spacing w:beforeLines="30" w:afterLines="30"/>
      <w:outlineLvl w:val="1"/>
    </w:pPr>
    <w:rPr>
      <w:rFonts w:ascii="Times New Roman" w:hAnsi="Times New Roman" w:eastAsia="黑体" w:cs="Times New Roman"/>
      <w:kern w:val="2"/>
      <w:sz w:val="32"/>
      <w:szCs w:val="24"/>
      <w:lang w:val="en-US" w:eastAsia="zh-CN" w:bidi="ar-SA"/>
    </w:rPr>
  </w:style>
  <w:style w:type="paragraph" w:customStyle="1" w:styleId="1849">
    <w:name w:val="首行缩进正文"/>
    <w:basedOn w:val="1"/>
    <w:qFormat/>
    <w:uiPriority w:val="0"/>
    <w:pPr>
      <w:spacing w:line="640" w:lineRule="exact"/>
      <w:ind w:firstLine="200" w:firstLineChars="200"/>
    </w:pPr>
    <w:rPr>
      <w:rFonts w:ascii="宋体" w:hAnsi="宋体"/>
      <w:sz w:val="28"/>
      <w:szCs w:val="28"/>
    </w:rPr>
  </w:style>
  <w:style w:type="paragraph" w:customStyle="1" w:styleId="1850">
    <w:name w:val="Char6 Char Char Char Char Char Char Char Char Char4"/>
    <w:basedOn w:val="1"/>
    <w:qFormat/>
    <w:uiPriority w:val="0"/>
    <w:pPr>
      <w:spacing w:line="240" w:lineRule="auto"/>
    </w:pPr>
    <w:rPr>
      <w:rFonts w:ascii="宋体" w:hAnsi="宋体"/>
      <w:color w:val="000000"/>
      <w:sz w:val="28"/>
      <w:szCs w:val="20"/>
    </w:rPr>
  </w:style>
  <w:style w:type="paragraph" w:customStyle="1" w:styleId="1851">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852">
    <w:name w:val="Items"/>
    <w:basedOn w:val="1"/>
    <w:qFormat/>
    <w:uiPriority w:val="0"/>
    <w:pPr>
      <w:tabs>
        <w:tab w:val="left" w:pos="992"/>
        <w:tab w:val="left" w:pos="1553"/>
      </w:tabs>
      <w:spacing w:before="10" w:after="20" w:line="460" w:lineRule="atLeast"/>
      <w:ind w:left="992" w:hanging="425"/>
    </w:pPr>
    <w:rPr>
      <w:rFonts w:ascii="Tahoma" w:hAnsi="Tahoma" w:eastAsia="华文中宋"/>
      <w:sz w:val="28"/>
      <w:szCs w:val="20"/>
    </w:rPr>
  </w:style>
  <w:style w:type="paragraph" w:customStyle="1" w:styleId="1853">
    <w:name w:val="1.1.1.1报告标题"/>
    <w:qFormat/>
    <w:uiPriority w:val="0"/>
    <w:pPr>
      <w:spacing w:beforeLines="50" w:afterLines="50" w:line="360" w:lineRule="auto"/>
      <w:jc w:val="both"/>
      <w:outlineLvl w:val="3"/>
    </w:pPr>
    <w:rPr>
      <w:rFonts w:ascii="黑体" w:hAnsi="宋体" w:eastAsia="黑体" w:cs="Times New Roman"/>
      <w:spacing w:val="4"/>
      <w:kern w:val="2"/>
      <w:sz w:val="28"/>
      <w:szCs w:val="28"/>
      <w:lang w:val="en-US" w:eastAsia="zh-CN" w:bidi="ar-SA"/>
    </w:rPr>
  </w:style>
  <w:style w:type="paragraph" w:customStyle="1" w:styleId="1854">
    <w:name w:val="封面标题"/>
    <w:basedOn w:val="1"/>
    <w:next w:val="1"/>
    <w:qFormat/>
    <w:uiPriority w:val="0"/>
    <w:pPr>
      <w:tabs>
        <w:tab w:val="center" w:pos="6804"/>
        <w:tab w:val="right" w:pos="7371"/>
      </w:tabs>
      <w:overflowPunct w:val="0"/>
      <w:adjustRightInd w:val="0"/>
      <w:jc w:val="center"/>
      <w:textAlignment w:val="baseline"/>
    </w:pPr>
    <w:rPr>
      <w:rFonts w:ascii="Arial" w:eastAsia="黑体"/>
      <w:color w:val="FF0000"/>
      <w:spacing w:val="20"/>
      <w:kern w:val="52"/>
      <w:sz w:val="72"/>
      <w:szCs w:val="20"/>
    </w:rPr>
  </w:style>
  <w:style w:type="paragraph" w:customStyle="1" w:styleId="1855">
    <w:name w:val="标题12"/>
    <w:basedOn w:val="1"/>
    <w:next w:val="1"/>
    <w:qFormat/>
    <w:uiPriority w:val="0"/>
    <w:pPr>
      <w:tabs>
        <w:tab w:val="left" w:pos="0"/>
      </w:tabs>
      <w:spacing w:line="440" w:lineRule="exact"/>
    </w:pPr>
    <w:rPr>
      <w:rFonts w:ascii="宋体" w:hAnsi="宋体"/>
      <w:spacing w:val="4"/>
    </w:rPr>
  </w:style>
  <w:style w:type="paragraph" w:customStyle="1" w:styleId="1856">
    <w:name w:val="正文样式11"/>
    <w:basedOn w:val="1"/>
    <w:qFormat/>
    <w:uiPriority w:val="0"/>
    <w:pPr>
      <w:spacing w:beforeLines="50" w:line="440" w:lineRule="exact"/>
      <w:ind w:firstLine="480" w:firstLineChars="200"/>
    </w:pPr>
    <w:rPr>
      <w:rFonts w:ascii="宋体" w:hAnsi="宋体" w:cs="Arial"/>
      <w:bCs/>
      <w:color w:val="000000"/>
    </w:rPr>
  </w:style>
  <w:style w:type="paragraph" w:customStyle="1" w:styleId="1857">
    <w:name w:val="副题封页"/>
    <w:basedOn w:val="1"/>
    <w:next w:val="36"/>
    <w:qFormat/>
    <w:uiPriority w:val="0"/>
    <w:pPr>
      <w:keepNext/>
      <w:widowControl/>
      <w:overflowPunct w:val="0"/>
      <w:autoSpaceDE w:val="0"/>
      <w:autoSpaceDN w:val="0"/>
      <w:adjustRightInd w:val="0"/>
      <w:spacing w:before="240" w:after="480" w:line="240" w:lineRule="auto"/>
      <w:jc w:val="center"/>
      <w:textAlignment w:val="baseline"/>
    </w:pPr>
    <w:rPr>
      <w:i/>
      <w:kern w:val="28"/>
      <w:sz w:val="32"/>
      <w:szCs w:val="20"/>
      <w:lang w:bidi="en-US"/>
    </w:rPr>
  </w:style>
  <w:style w:type="paragraph" w:customStyle="1" w:styleId="1858">
    <w:name w:val="标题样式02"/>
    <w:basedOn w:val="1"/>
    <w:qFormat/>
    <w:uiPriority w:val="0"/>
    <w:pPr>
      <w:keepNext/>
      <w:tabs>
        <w:tab w:val="right" w:pos="8504"/>
      </w:tabs>
      <w:autoSpaceDE w:val="0"/>
      <w:autoSpaceDN w:val="0"/>
      <w:adjustRightInd w:val="0"/>
      <w:spacing w:beforeLines="20" w:afterLines="20"/>
      <w:outlineLvl w:val="1"/>
    </w:pPr>
    <w:rPr>
      <w:rFonts w:ascii="黑体" w:hAnsi="Arial" w:eastAsia="黑体" w:cs="宋体"/>
      <w:b/>
      <w:bCs/>
      <w:color w:val="000000"/>
      <w:szCs w:val="20"/>
      <w:lang w:val="zh-CN"/>
    </w:rPr>
  </w:style>
  <w:style w:type="paragraph" w:customStyle="1" w:styleId="1859">
    <w:name w:val="二级"/>
    <w:basedOn w:val="1860"/>
    <w:qFormat/>
    <w:uiPriority w:val="0"/>
    <w:pPr>
      <w:tabs>
        <w:tab w:val="left" w:pos="860"/>
      </w:tabs>
      <w:jc w:val="both"/>
    </w:pPr>
    <w:rPr>
      <w:rFonts w:cs="宋体"/>
      <w:szCs w:val="20"/>
    </w:rPr>
  </w:style>
  <w:style w:type="paragraph" w:customStyle="1" w:styleId="1860">
    <w:name w:val="2级"/>
    <w:basedOn w:val="6"/>
    <w:qFormat/>
    <w:uiPriority w:val="0"/>
    <w:pPr>
      <w:keepNext/>
      <w:widowControl/>
      <w:numPr>
        <w:ilvl w:val="0"/>
        <w:numId w:val="0"/>
      </w:numPr>
      <w:tabs>
        <w:tab w:val="clear" w:pos="-181"/>
      </w:tabs>
      <w:adjustRightInd/>
      <w:snapToGrid/>
      <w:spacing w:before="120" w:beforeLines="0" w:after="120"/>
      <w:textAlignment w:val="auto"/>
    </w:pPr>
    <w:rPr>
      <w:iCs/>
      <w:szCs w:val="32"/>
      <w:lang w:bidi="en-US"/>
    </w:rPr>
  </w:style>
  <w:style w:type="paragraph" w:customStyle="1" w:styleId="1861">
    <w:name w:val="正文  首行缩进"/>
    <w:basedOn w:val="1"/>
    <w:qFormat/>
    <w:uiPriority w:val="0"/>
    <w:pPr>
      <w:widowControl/>
      <w:ind w:firstLine="480" w:firstLineChars="200"/>
    </w:pPr>
    <w:rPr>
      <w:rFonts w:cs="宋体"/>
      <w:kern w:val="0"/>
      <w:szCs w:val="20"/>
    </w:rPr>
  </w:style>
  <w:style w:type="paragraph" w:customStyle="1" w:styleId="1862">
    <w:name w:val="正文文本缩进 23"/>
    <w:basedOn w:val="1"/>
    <w:qFormat/>
    <w:uiPriority w:val="0"/>
    <w:pPr>
      <w:adjustRightInd w:val="0"/>
      <w:spacing w:line="312" w:lineRule="atLeast"/>
      <w:ind w:firstLine="540"/>
      <w:textAlignment w:val="baseline"/>
    </w:pPr>
    <w:rPr>
      <w:kern w:val="0"/>
      <w:sz w:val="21"/>
      <w:szCs w:val="20"/>
    </w:rPr>
  </w:style>
  <w:style w:type="paragraph" w:customStyle="1" w:styleId="1863">
    <w:name w:val="樣式2"/>
    <w:basedOn w:val="7"/>
    <w:qFormat/>
    <w:uiPriority w:val="0"/>
    <w:pPr>
      <w:keepLines w:val="0"/>
      <w:numPr>
        <w:ilvl w:val="0"/>
        <w:numId w:val="0"/>
      </w:numPr>
      <w:tabs>
        <w:tab w:val="left" w:pos="1050"/>
        <w:tab w:val="left" w:pos="3640"/>
      </w:tabs>
      <w:snapToGrid w:val="0"/>
      <w:spacing w:before="240" w:after="240" w:line="360" w:lineRule="auto"/>
      <w:ind w:left="284"/>
    </w:pPr>
    <w:rPr>
      <w:rFonts w:ascii="Arial" w:hAnsi="Arial" w:eastAsia="PMingLiU"/>
      <w:bCs w:val="0"/>
      <w:color w:val="auto"/>
      <w:spacing w:val="20"/>
      <w:sz w:val="24"/>
      <w:szCs w:val="36"/>
      <w:lang w:val="en-GB" w:eastAsia="zh-TW"/>
    </w:rPr>
  </w:style>
  <w:style w:type="paragraph" w:customStyle="1" w:styleId="1864">
    <w:name w:val="页眉中"/>
    <w:basedOn w:val="1"/>
    <w:qFormat/>
    <w:uiPriority w:val="0"/>
    <w:pPr>
      <w:adjustRightInd w:val="0"/>
      <w:snapToGrid w:val="0"/>
      <w:spacing w:line="300" w:lineRule="auto"/>
    </w:pPr>
    <w:rPr>
      <w:rFonts w:ascii="黑体" w:eastAsia="黑体"/>
      <w:bCs/>
      <w:szCs w:val="20"/>
    </w:rPr>
  </w:style>
  <w:style w:type="paragraph" w:customStyle="1" w:styleId="1865">
    <w:name w:val="...... 3"/>
    <w:basedOn w:val="1"/>
    <w:next w:val="1"/>
    <w:qFormat/>
    <w:uiPriority w:val="0"/>
    <w:pPr>
      <w:autoSpaceDE w:val="0"/>
      <w:autoSpaceDN w:val="0"/>
      <w:adjustRightInd w:val="0"/>
      <w:spacing w:line="240" w:lineRule="auto"/>
    </w:pPr>
    <w:rPr>
      <w:rFonts w:ascii="黑体" w:hAnsi="Calibri" w:eastAsia="黑体"/>
      <w:kern w:val="0"/>
    </w:rPr>
  </w:style>
  <w:style w:type="paragraph" w:customStyle="1" w:styleId="1866">
    <w:name w:val="框图"/>
    <w:basedOn w:val="1"/>
    <w:qFormat/>
    <w:uiPriority w:val="0"/>
    <w:pPr>
      <w:tabs>
        <w:tab w:val="left" w:pos="1350"/>
      </w:tabs>
      <w:autoSpaceDE w:val="0"/>
      <w:autoSpaceDN w:val="0"/>
      <w:adjustRightInd w:val="0"/>
      <w:snapToGrid w:val="0"/>
      <w:spacing w:line="300" w:lineRule="auto"/>
      <w:jc w:val="center"/>
    </w:pPr>
    <w:rPr>
      <w:rFonts w:ascii="仿宋_GB2312"/>
      <w:sz w:val="21"/>
      <w:szCs w:val="20"/>
    </w:rPr>
  </w:style>
  <w:style w:type="paragraph" w:customStyle="1" w:styleId="1867">
    <w:name w:val="表格样式1"/>
    <w:basedOn w:val="1"/>
    <w:qFormat/>
    <w:uiPriority w:val="0"/>
    <w:pPr>
      <w:adjustRightInd w:val="0"/>
      <w:spacing w:line="20" w:lineRule="atLeast"/>
      <w:jc w:val="center"/>
      <w:textAlignment w:val="baseline"/>
    </w:pPr>
    <w:rPr>
      <w:rFonts w:ascii="宋体"/>
      <w:kern w:val="0"/>
      <w:sz w:val="21"/>
      <w:szCs w:val="20"/>
    </w:rPr>
  </w:style>
  <w:style w:type="paragraph" w:customStyle="1" w:styleId="1868">
    <w:name w:val="样式 样式 四号 非加粗 两端对齐 行距: 1.5 倍行距 + 首行缩进:  2 字符"/>
    <w:basedOn w:val="1"/>
    <w:qFormat/>
    <w:uiPriority w:val="0"/>
    <w:pPr>
      <w:widowControl/>
      <w:ind w:firstLine="482" w:firstLineChars="200"/>
    </w:pPr>
    <w:rPr>
      <w:rFonts w:eastAsia="仿宋_GB2312"/>
      <w:b/>
      <w:sz w:val="28"/>
      <w:szCs w:val="20"/>
    </w:rPr>
  </w:style>
  <w:style w:type="paragraph" w:customStyle="1" w:styleId="1869">
    <w:name w:val="正文（首行缩进两个字） + 首行缩进:  2 字符"/>
    <w:basedOn w:val="1"/>
    <w:qFormat/>
    <w:uiPriority w:val="0"/>
    <w:pPr>
      <w:widowControl/>
      <w:spacing w:line="440" w:lineRule="exact"/>
      <w:ind w:firstLine="200" w:firstLineChars="200"/>
      <w:jc w:val="left"/>
    </w:pPr>
    <w:rPr>
      <w:rFonts w:eastAsia="仿宋_GB2312" w:cs="宋体"/>
      <w:szCs w:val="20"/>
      <w:lang w:val="zh-CN"/>
    </w:rPr>
  </w:style>
  <w:style w:type="paragraph" w:customStyle="1" w:styleId="1870">
    <w:name w:val="xl95"/>
    <w:basedOn w:val="1"/>
    <w:qFormat/>
    <w:uiPriority w:val="0"/>
    <w:pPr>
      <w:widowControl/>
      <w:pBdr>
        <w:top w:val="single" w:color="auto" w:sz="4" w:space="0"/>
        <w:bottom w:val="single" w:color="auto" w:sz="4" w:space="0"/>
      </w:pBdr>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1871">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5"/>
      <w:jc w:val="left"/>
    </w:pPr>
    <w:rPr>
      <w:rFonts w:hint="eastAsia" w:ascii="宋体" w:hAnsi="宋体"/>
      <w:kern w:val="0"/>
      <w:szCs w:val="20"/>
    </w:rPr>
  </w:style>
  <w:style w:type="paragraph" w:customStyle="1" w:styleId="1872">
    <w:name w:val="样式"/>
    <w:qFormat/>
    <w:uiPriority w:val="0"/>
    <w:pPr>
      <w:widowControl w:val="0"/>
      <w:autoSpaceDE w:val="0"/>
      <w:autoSpaceDN w:val="0"/>
      <w:adjustRightInd w:val="0"/>
    </w:pPr>
    <w:rPr>
      <w:rFonts w:ascii="Times New Roman" w:hAnsi="Times New Roman" w:eastAsia="宋体" w:cs="Times New Roman"/>
      <w:kern w:val="0"/>
      <w:sz w:val="24"/>
      <w:szCs w:val="24"/>
      <w:lang w:val="en-US" w:eastAsia="zh-CN" w:bidi="ar-SA"/>
    </w:rPr>
  </w:style>
  <w:style w:type="paragraph" w:customStyle="1" w:styleId="1873">
    <w:name w:val="et15"/>
    <w:basedOn w:val="1"/>
    <w:qFormat/>
    <w:uiPriority w:val="0"/>
    <w:pPr>
      <w:widowControl/>
      <w:pBdr>
        <w:bottom w:val="single" w:color="000000" w:sz="18"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1874">
    <w:name w:val="环标1"/>
    <w:basedOn w:val="5"/>
    <w:qFormat/>
    <w:uiPriority w:val="0"/>
    <w:pPr>
      <w:keepNext w:val="0"/>
      <w:adjustRightInd w:val="0"/>
      <w:spacing w:after="120" w:line="312" w:lineRule="atLeast"/>
      <w:jc w:val="left"/>
      <w:textAlignment w:val="baseline"/>
    </w:pPr>
    <w:rPr>
      <w:rFonts w:ascii="黑体" w:hAnsi="Courier New" w:eastAsia="黑体"/>
      <w:kern w:val="44"/>
      <w:sz w:val="32"/>
      <w:szCs w:val="20"/>
    </w:rPr>
  </w:style>
  <w:style w:type="paragraph" w:customStyle="1" w:styleId="1875">
    <w:name w:val="Char2 Char Char Char Char Char Char Char"/>
    <w:basedOn w:val="1"/>
    <w:qFormat/>
    <w:uiPriority w:val="0"/>
    <w:pPr>
      <w:autoSpaceDE w:val="0"/>
      <w:autoSpaceDN w:val="0"/>
      <w:adjustRightInd w:val="0"/>
      <w:snapToGrid w:val="0"/>
      <w:spacing w:before="50" w:after="50"/>
      <w:ind w:firstLine="560" w:firstLineChars="200"/>
    </w:pPr>
    <w:rPr>
      <w:rFonts w:eastAsia="仿宋_GB2312"/>
      <w:color w:val="000000"/>
    </w:rPr>
  </w:style>
  <w:style w:type="paragraph" w:customStyle="1" w:styleId="1876">
    <w:name w:val="级别5"/>
    <w:qFormat/>
    <w:uiPriority w:val="0"/>
    <w:pPr>
      <w:spacing w:beforeLines="50" w:afterLines="50"/>
      <w:ind w:firstLine="482" w:firstLineChars="200"/>
    </w:pPr>
    <w:rPr>
      <w:rFonts w:ascii="Times New Roman" w:hAnsi="Times New Roman" w:eastAsia="宋体" w:cs="Times New Roman"/>
      <w:b/>
      <w:kern w:val="0"/>
      <w:sz w:val="24"/>
      <w:szCs w:val="20"/>
      <w:lang w:val="en-US" w:eastAsia="zh-CN" w:bidi="ar-SA"/>
    </w:rPr>
  </w:style>
  <w:style w:type="paragraph" w:customStyle="1" w:styleId="1877">
    <w:name w:val="样式 标题 1 + 段前: 0 磅2"/>
    <w:basedOn w:val="5"/>
    <w:qFormat/>
    <w:uiPriority w:val="0"/>
    <w:pPr>
      <w:keepLines/>
      <w:pageBreakBefore/>
      <w:tabs>
        <w:tab w:val="left" w:pos="8160"/>
      </w:tabs>
      <w:adjustRightInd w:val="0"/>
      <w:spacing w:after="360" w:afterLines="50" w:line="240" w:lineRule="auto"/>
      <w:jc w:val="left"/>
      <w:textAlignment w:val="baseline"/>
    </w:pPr>
    <w:rPr>
      <w:rFonts w:ascii="Times New Roman" w:hAnsi="Times New Roman" w:cs="宋体"/>
      <w:b/>
      <w:bCs/>
      <w:kern w:val="44"/>
      <w:sz w:val="24"/>
      <w:szCs w:val="20"/>
    </w:rPr>
  </w:style>
  <w:style w:type="paragraph" w:customStyle="1" w:styleId="1878">
    <w:name w:val="EIA标题1"/>
    <w:basedOn w:val="1"/>
    <w:qFormat/>
    <w:uiPriority w:val="0"/>
    <w:pPr>
      <w:keepNext/>
      <w:keepLines/>
      <w:pageBreakBefore/>
      <w:spacing w:beforeLines="100" w:afterLines="50" w:line="520" w:lineRule="atLeast"/>
      <w:ind w:firstLine="480" w:firstLineChars="200"/>
      <w:jc w:val="center"/>
      <w:outlineLvl w:val="2"/>
    </w:pPr>
    <w:rPr>
      <w:rFonts w:ascii="宋体" w:hAnsi="宋体" w:eastAsia="黑体"/>
      <w:bCs/>
      <w:kern w:val="44"/>
    </w:rPr>
  </w:style>
  <w:style w:type="paragraph" w:customStyle="1" w:styleId="1879">
    <w:name w:val="样式32"/>
    <w:basedOn w:val="1880"/>
    <w:qFormat/>
    <w:uiPriority w:val="0"/>
    <w:pPr>
      <w:adjustRightInd w:val="0"/>
      <w:snapToGrid w:val="0"/>
      <w:spacing w:line="360" w:lineRule="auto"/>
      <w:ind w:firstLine="0" w:firstLineChars="0"/>
    </w:pPr>
    <w:rPr>
      <w:b/>
      <w:sz w:val="28"/>
      <w:szCs w:val="28"/>
    </w:rPr>
  </w:style>
  <w:style w:type="paragraph" w:customStyle="1" w:styleId="1880">
    <w:name w:val="样式26"/>
    <w:basedOn w:val="1730"/>
    <w:qFormat/>
    <w:uiPriority w:val="0"/>
  </w:style>
  <w:style w:type="paragraph" w:customStyle="1" w:styleId="1881">
    <w:name w:val="表标题2.2"/>
    <w:basedOn w:val="1463"/>
    <w:qFormat/>
    <w:uiPriority w:val="0"/>
    <w:pPr>
      <w:tabs>
        <w:tab w:val="left" w:pos="3060"/>
      </w:tabs>
      <w:ind w:left="2400" w:hanging="420"/>
    </w:pPr>
  </w:style>
  <w:style w:type="paragraph" w:customStyle="1" w:styleId="1882">
    <w:name w:val="文本正文 + 仿宋_GB2312 Char Char"/>
    <w:basedOn w:val="1"/>
    <w:qFormat/>
    <w:uiPriority w:val="0"/>
    <w:pPr>
      <w:adjustRightInd w:val="0"/>
      <w:ind w:firstLine="567"/>
      <w:textAlignment w:val="baseline"/>
    </w:pPr>
    <w:rPr>
      <w:rFonts w:ascii="仿宋_GB2312" w:hAnsi="仿宋_GB2312" w:cs="宋体"/>
      <w:snapToGrid w:val="0"/>
      <w:color w:val="000000"/>
      <w:spacing w:val="4"/>
      <w:kern w:val="18"/>
    </w:rPr>
  </w:style>
  <w:style w:type="paragraph" w:customStyle="1" w:styleId="1883">
    <w:name w:val="环标2"/>
    <w:basedOn w:val="6"/>
    <w:qFormat/>
    <w:uiPriority w:val="0"/>
    <w:pPr>
      <w:keepNext/>
      <w:keepLines/>
      <w:numPr>
        <w:ilvl w:val="0"/>
        <w:numId w:val="0"/>
      </w:numPr>
      <w:tabs>
        <w:tab w:val="clear" w:pos="-181"/>
      </w:tabs>
      <w:snapToGrid/>
      <w:spacing w:before="60" w:beforeLines="0" w:after="60" w:line="312" w:lineRule="atLeast"/>
    </w:pPr>
    <w:rPr>
      <w:rFonts w:ascii="黑体" w:hAnsi="Arial"/>
      <w:sz w:val="28"/>
      <w:szCs w:val="20"/>
    </w:rPr>
  </w:style>
  <w:style w:type="paragraph" w:customStyle="1" w:styleId="1884">
    <w:name w:val="样式70"/>
    <w:basedOn w:val="1885"/>
    <w:qFormat/>
    <w:uiPriority w:val="0"/>
    <w:pPr>
      <w:tabs>
        <w:tab w:val="left" w:pos="0"/>
        <w:tab w:val="left" w:pos="2705"/>
      </w:tabs>
    </w:pPr>
    <w:rPr>
      <w:kern w:val="0"/>
      <w:lang w:bidi="en-US"/>
    </w:rPr>
  </w:style>
  <w:style w:type="paragraph" w:customStyle="1" w:styleId="1885">
    <w:name w:val="样式63"/>
    <w:basedOn w:val="1444"/>
    <w:qFormat/>
    <w:uiPriority w:val="0"/>
    <w:pPr>
      <w:numPr>
        <w:ilvl w:val="0"/>
      </w:numPr>
    </w:pPr>
    <w:rPr>
      <w:rFonts w:ascii="Times New Roman" w:hAnsi="Times New Roman"/>
    </w:rPr>
  </w:style>
  <w:style w:type="paragraph" w:customStyle="1" w:styleId="1886">
    <w:name w:val="正文样式2"/>
    <w:basedOn w:val="23"/>
    <w:qFormat/>
    <w:uiPriority w:val="0"/>
    <w:pPr>
      <w:adjustRightInd w:val="0"/>
      <w:spacing w:line="360" w:lineRule="auto"/>
      <w:ind w:firstLine="0"/>
      <w:textAlignment w:val="baseline"/>
    </w:pPr>
    <w:rPr>
      <w:kern w:val="0"/>
      <w:sz w:val="28"/>
      <w:szCs w:val="28"/>
    </w:rPr>
  </w:style>
  <w:style w:type="paragraph" w:customStyle="1" w:styleId="1887">
    <w:name w:val="样式 段后: 3.1 磅 行距: 固定值 20 磅"/>
    <w:basedOn w:val="1"/>
    <w:qFormat/>
    <w:uiPriority w:val="0"/>
    <w:pPr>
      <w:spacing w:after="62" w:line="400" w:lineRule="exact"/>
      <w:ind w:firstLine="482"/>
    </w:pPr>
    <w:rPr>
      <w:rFonts w:cs="宋体"/>
      <w:szCs w:val="20"/>
    </w:rPr>
  </w:style>
  <w:style w:type="paragraph" w:customStyle="1" w:styleId="1888">
    <w:name w:val="edri-7 title"/>
    <w:basedOn w:val="1889"/>
    <w:qFormat/>
    <w:uiPriority w:val="0"/>
    <w:pPr>
      <w:tabs>
        <w:tab w:val="left" w:pos="425"/>
      </w:tabs>
      <w:ind w:left="425" w:leftChars="0" w:hanging="425"/>
    </w:pPr>
  </w:style>
  <w:style w:type="paragraph" w:customStyle="1" w:styleId="1889">
    <w:name w:val="edri-正文3"/>
    <w:basedOn w:val="1"/>
    <w:qFormat/>
    <w:uiPriority w:val="0"/>
    <w:pPr>
      <w:spacing w:before="156" w:beforeLines="50" w:line="300" w:lineRule="auto"/>
      <w:ind w:left="2205" w:leftChars="1050"/>
    </w:pPr>
    <w:rPr>
      <w:snapToGrid w:val="0"/>
    </w:rPr>
  </w:style>
  <w:style w:type="paragraph" w:customStyle="1" w:styleId="1890">
    <w:name w:val="偶数页眉"/>
    <w:basedOn w:val="58"/>
    <w:qFormat/>
    <w:uiPriority w:val="0"/>
    <w:pPr>
      <w:widowControl/>
    </w:pPr>
    <w:rPr>
      <w:rFonts w:ascii="Calibri" w:hAnsi="Calibri" w:cs="宋体"/>
      <w:spacing w:val="4"/>
      <w:lang w:eastAsia="en-US" w:bidi="en-US"/>
    </w:rPr>
  </w:style>
  <w:style w:type="paragraph" w:customStyle="1" w:styleId="1891">
    <w:name w:val="1级样式."/>
    <w:basedOn w:val="1"/>
    <w:qFormat/>
    <w:uiPriority w:val="0"/>
    <w:pPr>
      <w:keepNext/>
      <w:keepLines/>
      <w:widowControl/>
      <w:numPr>
        <w:ilvl w:val="0"/>
        <w:numId w:val="36"/>
      </w:numPr>
      <w:spacing w:beforeLines="50" w:afterLines="100"/>
      <w:outlineLvl w:val="0"/>
    </w:pPr>
    <w:rPr>
      <w:rFonts w:eastAsia="黑体"/>
      <w:color w:val="000000"/>
      <w:kern w:val="44"/>
      <w:sz w:val="36"/>
      <w:szCs w:val="36"/>
    </w:rPr>
  </w:style>
  <w:style w:type="paragraph" w:customStyle="1" w:styleId="1892">
    <w:name w:val="正文1 Char Char Char Char Char"/>
    <w:basedOn w:val="1"/>
    <w:qFormat/>
    <w:uiPriority w:val="0"/>
    <w:pPr>
      <w:suppressLineNumbers/>
      <w:suppressAutoHyphens/>
      <w:topLinePunct/>
      <w:adjustRightInd w:val="0"/>
      <w:snapToGrid w:val="0"/>
      <w:ind w:firstLine="480" w:firstLineChars="200"/>
    </w:pPr>
  </w:style>
  <w:style w:type="paragraph" w:customStyle="1" w:styleId="1893">
    <w:name w:val="Char21"/>
    <w:basedOn w:val="1"/>
    <w:qFormat/>
    <w:uiPriority w:val="0"/>
    <w:pPr>
      <w:spacing w:line="240" w:lineRule="auto"/>
    </w:pPr>
  </w:style>
  <w:style w:type="paragraph" w:customStyle="1" w:styleId="1894">
    <w:name w:val="xl137"/>
    <w:basedOn w:val="1"/>
    <w:qFormat/>
    <w:uiPriority w:val="0"/>
    <w:pPr>
      <w:widowControl/>
      <w:spacing w:before="100" w:beforeAutospacing="1" w:after="100" w:afterAutospacing="1" w:line="240" w:lineRule="auto"/>
      <w:jc w:val="center"/>
    </w:pPr>
    <w:rPr>
      <w:rFonts w:ascii="黑体" w:hAnsi="宋体" w:eastAsia="黑体" w:cs="宋体"/>
      <w:kern w:val="0"/>
      <w:sz w:val="40"/>
      <w:szCs w:val="40"/>
      <w:u w:val="single"/>
    </w:rPr>
  </w:style>
  <w:style w:type="paragraph" w:customStyle="1" w:styleId="1895">
    <w:name w:val="BG1"/>
    <w:basedOn w:val="1"/>
    <w:qFormat/>
    <w:uiPriority w:val="0"/>
    <w:pPr>
      <w:adjustRightInd w:val="0"/>
      <w:snapToGrid w:val="0"/>
      <w:spacing w:line="240" w:lineRule="auto"/>
      <w:jc w:val="center"/>
    </w:pPr>
    <w:rPr>
      <w:rFonts w:ascii="黑体" w:eastAsia="黑体"/>
      <w:snapToGrid w:val="0"/>
      <w:color w:val="000000"/>
      <w:kern w:val="0"/>
    </w:rPr>
  </w:style>
  <w:style w:type="paragraph" w:customStyle="1" w:styleId="1896">
    <w:name w:val="样式 标题 4 + 段前: 0.5 行"/>
    <w:basedOn w:val="8"/>
    <w:qFormat/>
    <w:uiPriority w:val="0"/>
    <w:pPr>
      <w:keepNext w:val="0"/>
      <w:tabs>
        <w:tab w:val="left" w:pos="1080"/>
        <w:tab w:val="left" w:pos="2100"/>
        <w:tab w:val="clear" w:pos="864"/>
      </w:tabs>
      <w:adjustRightInd w:val="0"/>
      <w:snapToGrid w:val="0"/>
      <w:spacing w:before="280" w:beforeLines="50"/>
      <w:ind w:left="2100" w:hanging="420" w:firstLineChars="200"/>
      <w:jc w:val="both"/>
    </w:pPr>
    <w:rPr>
      <w:rFonts w:eastAsia="黑体" w:cs="宋体"/>
      <w:b w:val="0"/>
      <w:bCs w:val="0"/>
      <w:szCs w:val="20"/>
    </w:rPr>
  </w:style>
  <w:style w:type="paragraph" w:customStyle="1" w:styleId="1897">
    <w:name w:val="13.5.7.1"/>
    <w:basedOn w:val="8"/>
    <w:qFormat/>
    <w:uiPriority w:val="0"/>
    <w:pPr>
      <w:keepLines/>
      <w:numPr>
        <w:ilvl w:val="3"/>
        <w:numId w:val="21"/>
      </w:numPr>
      <w:tabs>
        <w:tab w:val="left" w:pos="1080"/>
        <w:tab w:val="clear" w:pos="864"/>
      </w:tabs>
      <w:spacing w:before="120" w:after="120" w:line="312" w:lineRule="auto"/>
      <w:jc w:val="both"/>
    </w:pPr>
    <w:rPr>
      <w:rFonts w:ascii="Arial" w:hAnsi="Arial" w:eastAsia="黑体"/>
    </w:rPr>
  </w:style>
  <w:style w:type="paragraph" w:customStyle="1" w:styleId="1898">
    <w:name w:val="样式 正文缩进 + 段前: 0.2 行 段后: 0.2 行 Char"/>
    <w:basedOn w:val="1"/>
    <w:qFormat/>
    <w:uiPriority w:val="0"/>
    <w:pPr>
      <w:autoSpaceDE w:val="0"/>
      <w:autoSpaceDN w:val="0"/>
      <w:adjustRightInd w:val="0"/>
      <w:spacing w:before="93" w:after="93"/>
      <w:ind w:firstLine="560" w:firstLineChars="200"/>
    </w:pPr>
    <w:rPr>
      <w:rFonts w:ascii="宋体" w:hAnsi="宋体"/>
      <w:color w:val="000000"/>
      <w:sz w:val="28"/>
      <w:szCs w:val="20"/>
    </w:rPr>
  </w:style>
  <w:style w:type="paragraph" w:customStyle="1" w:styleId="1899">
    <w:name w:val="段标"/>
    <w:basedOn w:val="1"/>
    <w:qFormat/>
    <w:uiPriority w:val="0"/>
    <w:pPr>
      <w:adjustRightInd w:val="0"/>
      <w:ind w:firstLine="567"/>
      <w:textAlignment w:val="baseline"/>
    </w:pPr>
    <w:rPr>
      <w:kern w:val="0"/>
      <w:sz w:val="28"/>
      <w:szCs w:val="20"/>
    </w:rPr>
  </w:style>
  <w:style w:type="paragraph" w:customStyle="1" w:styleId="1900">
    <w:name w:val="单元格格式"/>
    <w:qFormat/>
    <w:uiPriority w:val="0"/>
    <w:pPr>
      <w:widowControl w:val="0"/>
      <w:adjustRightInd w:val="0"/>
      <w:spacing w:beforeLines="20" w:afterLines="20" w:line="320" w:lineRule="exact"/>
      <w:ind w:left="32" w:leftChars="10" w:right="32" w:rightChars="10"/>
      <w:textAlignment w:val="baseline"/>
    </w:pPr>
    <w:rPr>
      <w:rFonts w:ascii="宋体" w:hAnsi="宋体" w:eastAsia="宋体" w:cs="Times New Roman"/>
      <w:kern w:val="0"/>
      <w:sz w:val="28"/>
      <w:szCs w:val="20"/>
      <w:lang w:val="en-US" w:eastAsia="zh-CN" w:bidi="ar-SA"/>
    </w:rPr>
  </w:style>
  <w:style w:type="paragraph" w:customStyle="1" w:styleId="1901">
    <w:name w:val="表内宋5"/>
    <w:basedOn w:val="82"/>
    <w:qFormat/>
    <w:uiPriority w:val="0"/>
    <w:pPr>
      <w:adjustRightInd w:val="0"/>
      <w:snapToGrid w:val="0"/>
      <w:spacing w:line="240" w:lineRule="auto"/>
      <w:jc w:val="both"/>
    </w:pPr>
    <w:rPr>
      <w:color w:val="000000"/>
      <w:sz w:val="21"/>
    </w:rPr>
  </w:style>
  <w:style w:type="paragraph" w:customStyle="1" w:styleId="1902">
    <w:name w:val="a3"/>
    <w:basedOn w:val="1"/>
    <w:qFormat/>
    <w:uiPriority w:val="0"/>
    <w:pPr>
      <w:widowControl/>
      <w:spacing w:before="100" w:beforeAutospacing="1" w:after="100" w:afterAutospacing="1" w:line="240" w:lineRule="auto"/>
      <w:jc w:val="left"/>
    </w:pPr>
    <w:rPr>
      <w:rFonts w:ascii="宋体" w:hAnsi="宋体" w:cs="宋体"/>
      <w:color w:val="000000"/>
      <w:kern w:val="0"/>
    </w:rPr>
  </w:style>
  <w:style w:type="paragraph" w:customStyle="1" w:styleId="1903">
    <w:name w:val="首缩"/>
    <w:basedOn w:val="1"/>
    <w:qFormat/>
    <w:uiPriority w:val="0"/>
    <w:pPr>
      <w:adjustRightInd w:val="0"/>
      <w:snapToGrid w:val="0"/>
      <w:spacing w:line="500" w:lineRule="exact"/>
      <w:ind w:firstLine="567"/>
    </w:pPr>
    <w:rPr>
      <w:rFonts w:ascii="仿宋_GB2312" w:eastAsia="仿宋_GB2312"/>
      <w:snapToGrid w:val="0"/>
      <w:kern w:val="0"/>
      <w:sz w:val="28"/>
      <w:szCs w:val="20"/>
    </w:rPr>
  </w:style>
  <w:style w:type="paragraph" w:customStyle="1" w:styleId="1904">
    <w:name w:val="Char Char Char1"/>
    <w:basedOn w:val="1"/>
    <w:qFormat/>
    <w:uiPriority w:val="0"/>
  </w:style>
  <w:style w:type="paragraph" w:customStyle="1" w:styleId="1905">
    <w:name w:val="工艺题目"/>
    <w:basedOn w:val="1"/>
    <w:qFormat/>
    <w:uiPriority w:val="0"/>
    <w:pPr>
      <w:adjustRightInd w:val="0"/>
      <w:snapToGrid w:val="0"/>
    </w:pPr>
    <w:rPr>
      <w:b/>
      <w:sz w:val="28"/>
    </w:rPr>
  </w:style>
  <w:style w:type="paragraph" w:customStyle="1" w:styleId="1906">
    <w:name w:val="_Style 33"/>
    <w:basedOn w:val="1"/>
    <w:qFormat/>
    <w:uiPriority w:val="0"/>
    <w:pPr>
      <w:spacing w:line="240" w:lineRule="auto"/>
    </w:pPr>
    <w:rPr>
      <w:rFonts w:ascii="Tahoma" w:hAnsi="Tahoma"/>
      <w:szCs w:val="20"/>
    </w:rPr>
  </w:style>
  <w:style w:type="paragraph" w:customStyle="1" w:styleId="1907">
    <w:name w:val="样式 标题 4 + 五号 非加粗 段后: 0 磅 行距: 最小值 0 磅"/>
    <w:basedOn w:val="8"/>
    <w:qFormat/>
    <w:uiPriority w:val="0"/>
    <w:pPr>
      <w:keepNext w:val="0"/>
      <w:keepLines/>
      <w:widowControl/>
      <w:tabs>
        <w:tab w:val="clear" w:pos="864"/>
      </w:tabs>
      <w:spacing w:line="0" w:lineRule="atLeast"/>
      <w:ind w:left="0" w:firstLine="200" w:firstLineChars="200"/>
      <w:jc w:val="left"/>
    </w:pPr>
    <w:rPr>
      <w:rFonts w:eastAsia="黑体"/>
      <w:b w:val="0"/>
      <w:bCs w:val="0"/>
      <w:sz w:val="21"/>
      <w:szCs w:val="20"/>
    </w:rPr>
  </w:style>
  <w:style w:type="paragraph" w:customStyle="1" w:styleId="1908">
    <w:name w:val="样式 标题 1一级标题一级标题(章)标题1章节H1一、章 + 段前: 0.5 行 段后: 0.5 行"/>
    <w:basedOn w:val="5"/>
    <w:qFormat/>
    <w:uiPriority w:val="0"/>
    <w:pPr>
      <w:keepNext w:val="0"/>
      <w:keepLines/>
      <w:pageBreakBefore/>
      <w:spacing w:before="360" w:beforeLines="50" w:after="360" w:afterLines="50" w:line="360" w:lineRule="auto"/>
    </w:pPr>
    <w:rPr>
      <w:rFonts w:ascii="Times New Roman" w:hAnsi="Times New Roman" w:eastAsia="黑体" w:cs="宋体"/>
      <w:kern w:val="44"/>
      <w:sz w:val="30"/>
      <w:szCs w:val="20"/>
    </w:rPr>
  </w:style>
  <w:style w:type="paragraph" w:customStyle="1" w:styleId="1909">
    <w:name w:val="xl120"/>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910">
    <w:name w:val="日期5"/>
    <w:basedOn w:val="1"/>
    <w:next w:val="1"/>
    <w:qFormat/>
    <w:uiPriority w:val="0"/>
    <w:pPr>
      <w:adjustRightInd w:val="0"/>
      <w:spacing w:line="240" w:lineRule="auto"/>
      <w:textAlignment w:val="baseline"/>
    </w:pPr>
    <w:rPr>
      <w:sz w:val="21"/>
      <w:szCs w:val="20"/>
    </w:rPr>
  </w:style>
  <w:style w:type="paragraph" w:customStyle="1" w:styleId="1911">
    <w:name w:val="xl104"/>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1912">
    <w:name w:val="表格（小）"/>
    <w:basedOn w:val="1"/>
    <w:qFormat/>
    <w:uiPriority w:val="0"/>
    <w:pPr>
      <w:adjustRightInd w:val="0"/>
      <w:snapToGrid w:val="0"/>
      <w:spacing w:line="240" w:lineRule="auto"/>
    </w:pPr>
    <w:rPr>
      <w:snapToGrid w:val="0"/>
      <w:kern w:val="0"/>
      <w:sz w:val="21"/>
      <w:szCs w:val="20"/>
    </w:rPr>
  </w:style>
  <w:style w:type="paragraph" w:customStyle="1" w:styleId="1913">
    <w:name w:val="Plain Text1"/>
    <w:basedOn w:val="1"/>
    <w:qFormat/>
    <w:uiPriority w:val="0"/>
    <w:pPr>
      <w:autoSpaceDE w:val="0"/>
      <w:autoSpaceDN w:val="0"/>
      <w:adjustRightInd w:val="0"/>
      <w:spacing w:line="240" w:lineRule="auto"/>
    </w:pPr>
    <w:rPr>
      <w:rFonts w:ascii="宋体"/>
      <w:sz w:val="21"/>
      <w:szCs w:val="20"/>
    </w:rPr>
  </w:style>
  <w:style w:type="paragraph" w:customStyle="1" w:styleId="1914">
    <w:name w:val="样式 标题 3小标题小节标题标题3H3h33rd level第二层条标题 3 Char标题 3 Char Ch...1"/>
    <w:basedOn w:val="7"/>
    <w:qFormat/>
    <w:uiPriority w:val="0"/>
    <w:pPr>
      <w:tabs>
        <w:tab w:val="left" w:pos="1288"/>
      </w:tabs>
      <w:adjustRightInd w:val="0"/>
      <w:spacing w:before="120" w:after="0" w:line="360" w:lineRule="auto"/>
      <w:jc w:val="left"/>
    </w:pPr>
    <w:rPr>
      <w:rFonts w:ascii="Times New Roman" w:hAnsi="Times New Roman" w:eastAsia="黑体" w:cs="宋体"/>
      <w:b w:val="0"/>
      <w:bCs w:val="0"/>
      <w:color w:val="auto"/>
      <w:kern w:val="0"/>
      <w:szCs w:val="20"/>
    </w:rPr>
  </w:style>
  <w:style w:type="paragraph" w:customStyle="1" w:styleId="1915">
    <w:name w:val="标题40"/>
    <w:basedOn w:val="23"/>
    <w:qFormat/>
    <w:uiPriority w:val="0"/>
    <w:pPr>
      <w:spacing w:beforeLines="50" w:line="360" w:lineRule="auto"/>
      <w:ind w:firstLine="0"/>
      <w:outlineLvl w:val="3"/>
    </w:pPr>
    <w:rPr>
      <w:rFonts w:ascii="宋体" w:hAnsi="宋体"/>
      <w:bCs/>
      <w:snapToGrid w:val="0"/>
      <w:kern w:val="0"/>
      <w:sz w:val="24"/>
    </w:rPr>
  </w:style>
  <w:style w:type="paragraph" w:customStyle="1" w:styleId="1916">
    <w:name w:val="样式 样式 正文文本 + 首行缩进:  2 字符 + 首行缩进:  2 字符"/>
    <w:basedOn w:val="1"/>
    <w:qFormat/>
    <w:uiPriority w:val="0"/>
    <w:pPr>
      <w:spacing w:line="240" w:lineRule="auto"/>
      <w:ind w:firstLine="200" w:firstLineChars="200"/>
    </w:pPr>
    <w:rPr>
      <w:rFonts w:eastAsia="仿宋_GB2312" w:cs="宋体"/>
      <w:sz w:val="28"/>
      <w:szCs w:val="20"/>
    </w:rPr>
  </w:style>
  <w:style w:type="paragraph" w:customStyle="1" w:styleId="1917">
    <w:name w:val="单元格"/>
    <w:basedOn w:val="1"/>
    <w:qFormat/>
    <w:uiPriority w:val="0"/>
    <w:pPr>
      <w:spacing w:line="300" w:lineRule="auto"/>
      <w:ind w:firstLine="480" w:firstLineChars="200"/>
      <w:jc w:val="center"/>
    </w:pPr>
    <w:rPr>
      <w:rFonts w:hint="eastAsia" w:ascii="黑体" w:eastAsia="黑体"/>
      <w:b/>
      <w:sz w:val="21"/>
    </w:rPr>
  </w:style>
  <w:style w:type="paragraph" w:customStyle="1" w:styleId="1918">
    <w:name w:val="Char11"/>
    <w:basedOn w:val="1"/>
    <w:qFormat/>
    <w:uiPriority w:val="0"/>
    <w:pPr>
      <w:spacing w:line="240" w:lineRule="auto"/>
    </w:pPr>
  </w:style>
  <w:style w:type="paragraph" w:customStyle="1" w:styleId="1919">
    <w:name w:val="font14"/>
    <w:basedOn w:val="1"/>
    <w:qFormat/>
    <w:uiPriority w:val="0"/>
    <w:pPr>
      <w:widowControl/>
      <w:spacing w:before="100" w:beforeAutospacing="1" w:after="100" w:afterAutospacing="1" w:line="240" w:lineRule="auto"/>
      <w:jc w:val="left"/>
    </w:pPr>
    <w:rPr>
      <w:rFonts w:ascii="宋体" w:hAnsi="宋体" w:cs="宋体"/>
      <w:color w:val="000000"/>
      <w:kern w:val="0"/>
      <w:sz w:val="18"/>
      <w:szCs w:val="18"/>
    </w:rPr>
  </w:style>
  <w:style w:type="paragraph" w:customStyle="1" w:styleId="1920">
    <w:name w:val="章节标题三"/>
    <w:basedOn w:val="1921"/>
    <w:qFormat/>
    <w:uiPriority w:val="0"/>
    <w:pPr>
      <w:ind w:firstLine="561"/>
    </w:pPr>
    <w:rPr>
      <w:bCs w:val="0"/>
      <w:color w:val="000000"/>
      <w:sz w:val="28"/>
    </w:rPr>
  </w:style>
  <w:style w:type="paragraph" w:customStyle="1" w:styleId="1921">
    <w:name w:val="章节标题二"/>
    <w:basedOn w:val="1"/>
    <w:next w:val="1920"/>
    <w:qFormat/>
    <w:uiPriority w:val="0"/>
    <w:pPr>
      <w:keepNext/>
      <w:keepLines/>
      <w:ind w:firstLine="721" w:firstLineChars="200"/>
      <w:outlineLvl w:val="0"/>
    </w:pPr>
    <w:rPr>
      <w:rFonts w:ascii="宋体" w:hAnsi="宋体"/>
      <w:b/>
      <w:bCs/>
      <w:kern w:val="44"/>
      <w:sz w:val="32"/>
      <w:szCs w:val="28"/>
    </w:rPr>
  </w:style>
  <w:style w:type="paragraph" w:customStyle="1" w:styleId="1922">
    <w:name w:val="正文（行首缩进2字）"/>
    <w:basedOn w:val="1"/>
    <w:qFormat/>
    <w:uiPriority w:val="0"/>
    <w:pPr>
      <w:ind w:firstLine="200" w:firstLineChars="200"/>
    </w:pPr>
  </w:style>
  <w:style w:type="paragraph" w:customStyle="1" w:styleId="1923">
    <w:name w:val="pictext"/>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924">
    <w:name w:val="泸县焦化正文"/>
    <w:basedOn w:val="1"/>
    <w:next w:val="1048"/>
    <w:qFormat/>
    <w:uiPriority w:val="0"/>
    <w:pPr>
      <w:adjustRightInd w:val="0"/>
      <w:snapToGrid w:val="0"/>
      <w:ind w:firstLine="200" w:firstLineChars="200"/>
    </w:pPr>
    <w:rPr>
      <w:color w:val="0000FF"/>
    </w:rPr>
  </w:style>
  <w:style w:type="paragraph" w:customStyle="1" w:styleId="1925">
    <w:name w:val="16"/>
    <w:basedOn w:val="1"/>
    <w:qFormat/>
    <w:uiPriority w:val="0"/>
    <w:pPr>
      <w:widowControl/>
      <w:snapToGrid w:val="0"/>
      <w:spacing w:before="100" w:beforeAutospacing="1" w:after="100" w:afterAutospacing="1" w:line="460" w:lineRule="atLeast"/>
      <w:ind w:left="-86"/>
    </w:pPr>
    <w:rPr>
      <w:rFonts w:ascii="宋体" w:hAnsi="宋体" w:cs="宋体"/>
      <w:kern w:val="0"/>
    </w:rPr>
  </w:style>
  <w:style w:type="paragraph" w:customStyle="1" w:styleId="1926">
    <w:name w:val="xl5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kern w:val="0"/>
      <w:sz w:val="16"/>
      <w:szCs w:val="16"/>
    </w:rPr>
  </w:style>
  <w:style w:type="paragraph" w:customStyle="1" w:styleId="1927">
    <w:name w:val="Char Char Char Char Char2 Char"/>
    <w:basedOn w:val="1"/>
    <w:semiHidden/>
    <w:qFormat/>
    <w:uiPriority w:val="0"/>
    <w:pPr>
      <w:adjustRightInd w:val="0"/>
      <w:snapToGrid w:val="0"/>
      <w:ind w:firstLine="200" w:firstLineChars="200"/>
    </w:pPr>
    <w:rPr>
      <w:rFonts w:ascii="宋体" w:hAnsi="宋体" w:cs="宋体"/>
      <w:szCs w:val="26"/>
    </w:rPr>
  </w:style>
  <w:style w:type="paragraph" w:customStyle="1" w:styleId="1928">
    <w:name w:val="表字"/>
    <w:basedOn w:val="1"/>
    <w:qFormat/>
    <w:uiPriority w:val="0"/>
    <w:pPr>
      <w:spacing w:line="240" w:lineRule="auto"/>
      <w:jc w:val="center"/>
    </w:pPr>
    <w:rPr>
      <w:rFonts w:ascii="宋体"/>
      <w:sz w:val="21"/>
      <w:szCs w:val="20"/>
    </w:rPr>
  </w:style>
  <w:style w:type="paragraph" w:customStyle="1" w:styleId="1929">
    <w:name w:val="正文22"/>
    <w:qFormat/>
    <w:uiPriority w:val="0"/>
    <w:pPr>
      <w:adjustRightInd w:val="0"/>
      <w:snapToGrid w:val="0"/>
      <w:spacing w:line="480" w:lineRule="atLeast"/>
      <w:jc w:val="center"/>
    </w:pPr>
    <w:rPr>
      <w:rFonts w:ascii="宋体" w:hAnsi="Times New Roman" w:eastAsia="宋体" w:cs="Times New Roman"/>
      <w:spacing w:val="6"/>
      <w:kern w:val="0"/>
      <w:sz w:val="21"/>
      <w:szCs w:val="20"/>
      <w:lang w:val="en-US" w:eastAsia="zh-CN" w:bidi="ar-SA"/>
    </w:rPr>
  </w:style>
  <w:style w:type="paragraph" w:customStyle="1" w:styleId="1930">
    <w:name w:val="表标题5.3"/>
    <w:basedOn w:val="1"/>
    <w:qFormat/>
    <w:uiPriority w:val="0"/>
    <w:pPr>
      <w:numPr>
        <w:ilvl w:val="0"/>
        <w:numId w:val="37"/>
      </w:numPr>
      <w:spacing w:beforeLines="100" w:line="0" w:lineRule="atLeast"/>
    </w:pPr>
    <w:rPr>
      <w:rFonts w:eastAsia="黑体"/>
      <w:b/>
    </w:rPr>
  </w:style>
  <w:style w:type="paragraph" w:customStyle="1" w:styleId="1931">
    <w:name w:val="zg1"/>
    <w:basedOn w:val="1"/>
    <w:qFormat/>
    <w:uiPriority w:val="0"/>
    <w:pPr>
      <w:adjustRightInd w:val="0"/>
      <w:spacing w:beforeLines="50"/>
      <w:ind w:firstLine="425"/>
      <w:jc w:val="center"/>
    </w:pPr>
    <w:rPr>
      <w:szCs w:val="20"/>
    </w:rPr>
  </w:style>
  <w:style w:type="paragraph" w:customStyle="1" w:styleId="1932">
    <w:name w:val="Char Char Char1 Char14"/>
    <w:basedOn w:val="1"/>
    <w:qFormat/>
    <w:uiPriority w:val="0"/>
    <w:pPr>
      <w:adjustRightInd w:val="0"/>
      <w:snapToGrid w:val="0"/>
      <w:spacing w:line="240" w:lineRule="auto"/>
      <w:ind w:left="-45"/>
    </w:pPr>
    <w:rPr>
      <w:sz w:val="21"/>
    </w:rPr>
  </w:style>
  <w:style w:type="paragraph" w:customStyle="1" w:styleId="1933">
    <w:name w:val="表内式样"/>
    <w:qFormat/>
    <w:uiPriority w:val="0"/>
    <w:pPr>
      <w:framePr w:hSpace="180" w:wrap="around" w:vAnchor="text" w:hAnchor="margin" w:xAlign="center" w:y="403"/>
      <w:widowControl w:val="0"/>
      <w:snapToGrid w:val="0"/>
      <w:jc w:val="center"/>
    </w:pPr>
    <w:rPr>
      <w:rFonts w:ascii="Times New Roman" w:hAnsi="Times New Roman" w:eastAsia="宋体" w:cs="Times New Roman"/>
      <w:color w:val="000000"/>
      <w:kern w:val="2"/>
      <w:sz w:val="21"/>
      <w:szCs w:val="21"/>
      <w:lang w:val="en-US" w:eastAsia="zh-CN" w:bidi="ar-SA"/>
    </w:rPr>
  </w:style>
  <w:style w:type="paragraph" w:customStyle="1" w:styleId="1934">
    <w:name w:val="gb2312"/>
    <w:basedOn w:val="1"/>
    <w:qFormat/>
    <w:uiPriority w:val="0"/>
    <w:pPr>
      <w:widowControl/>
      <w:spacing w:before="100" w:beforeAutospacing="1" w:after="100" w:afterAutospacing="1" w:line="240" w:lineRule="auto"/>
    </w:pPr>
    <w:rPr>
      <w:rFonts w:ascii="宋体" w:hAnsi="宋体" w:cs="宋体"/>
      <w:kern w:val="0"/>
    </w:rPr>
  </w:style>
  <w:style w:type="paragraph" w:customStyle="1" w:styleId="1935">
    <w:name w:val="1 Char Char Char Char Char Char Char Char Char Char"/>
    <w:basedOn w:val="1"/>
    <w:qFormat/>
    <w:uiPriority w:val="0"/>
    <w:pPr>
      <w:spacing w:line="240" w:lineRule="auto"/>
    </w:pPr>
    <w:rPr>
      <w:rFonts w:ascii="Courier New" w:hAnsi="Courier New" w:eastAsia="仿宋_GB2312" w:cs="Courier New"/>
      <w:sz w:val="21"/>
      <w:szCs w:val="20"/>
    </w:rPr>
  </w:style>
  <w:style w:type="paragraph" w:customStyle="1" w:styleId="1936">
    <w:name w:val="样式 样式 标题 1 + (中文) 黑体 段前: 15.6 磅 段后: 15.6 磅 行距: 最小值 12 磅 + 两端对齐"/>
    <w:basedOn w:val="1"/>
    <w:qFormat/>
    <w:uiPriority w:val="0"/>
    <w:pPr>
      <w:keepNext/>
      <w:keepLines/>
      <w:adjustRightInd w:val="0"/>
      <w:snapToGrid w:val="0"/>
      <w:spacing w:after="312" w:line="240" w:lineRule="auto"/>
      <w:outlineLvl w:val="0"/>
    </w:pPr>
    <w:rPr>
      <w:rFonts w:eastAsia="黑体" w:cs="宋体"/>
      <w:kern w:val="44"/>
      <w:sz w:val="32"/>
      <w:szCs w:val="20"/>
    </w:rPr>
  </w:style>
  <w:style w:type="paragraph" w:customStyle="1" w:styleId="1937">
    <w:name w:val="Char Char Char3 Char Char Char Char1"/>
    <w:basedOn w:val="1"/>
    <w:qFormat/>
    <w:uiPriority w:val="0"/>
    <w:pPr>
      <w:spacing w:line="240" w:lineRule="auto"/>
    </w:pPr>
    <w:rPr>
      <w:sz w:val="21"/>
      <w:szCs w:val="20"/>
    </w:rPr>
  </w:style>
  <w:style w:type="paragraph" w:customStyle="1" w:styleId="1938">
    <w:name w:val="附录标识"/>
    <w:basedOn w:val="1795"/>
    <w:qFormat/>
    <w:uiPriority w:val="0"/>
    <w:pPr>
      <w:tabs>
        <w:tab w:val="left" w:pos="6405"/>
      </w:tabs>
      <w:spacing w:after="200"/>
      <w:ind w:left="0" w:firstLine="0"/>
    </w:pPr>
    <w:rPr>
      <w:sz w:val="21"/>
    </w:rPr>
  </w:style>
  <w:style w:type="paragraph" w:customStyle="1" w:styleId="1939">
    <w:name w:val="reader-word-layer reader-word-s1-6"/>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940">
    <w:name w:val="样式 (符号) 宋体 四号 行距: 1.5 倍行距"/>
    <w:basedOn w:val="1"/>
    <w:qFormat/>
    <w:uiPriority w:val="0"/>
    <w:pPr>
      <w:spacing w:line="240" w:lineRule="auto"/>
      <w:jc w:val="center"/>
    </w:pPr>
    <w:rPr>
      <w:b/>
      <w:snapToGrid w:val="0"/>
      <w:spacing w:val="6"/>
      <w:kern w:val="0"/>
      <w:sz w:val="21"/>
    </w:rPr>
  </w:style>
  <w:style w:type="paragraph" w:customStyle="1" w:styleId="1941">
    <w:name w:val="环境报告书"/>
    <w:basedOn w:val="1"/>
    <w:qFormat/>
    <w:uiPriority w:val="0"/>
    <w:pPr>
      <w:spacing w:before="240" w:after="240" w:line="360" w:lineRule="atLeast"/>
      <w:jc w:val="center"/>
    </w:pPr>
    <w:rPr>
      <w:spacing w:val="12"/>
      <w:sz w:val="21"/>
      <w:szCs w:val="20"/>
    </w:rPr>
  </w:style>
  <w:style w:type="paragraph" w:customStyle="1" w:styleId="1942">
    <w:name w:val="样式 标题 3 SL CON + 宋体"/>
    <w:basedOn w:val="1640"/>
    <w:qFormat/>
    <w:uiPriority w:val="99"/>
    <w:rPr>
      <w:rFonts w:ascii="宋体" w:hAnsi="宋体"/>
    </w:rPr>
  </w:style>
  <w:style w:type="paragraph" w:customStyle="1" w:styleId="1943">
    <w:name w:val="图目"/>
    <w:basedOn w:val="1"/>
    <w:qFormat/>
    <w:uiPriority w:val="0"/>
    <w:pPr>
      <w:adjustRightInd w:val="0"/>
      <w:spacing w:line="360" w:lineRule="atLeast"/>
      <w:jc w:val="center"/>
      <w:textAlignment w:val="baseline"/>
    </w:pPr>
    <w:rPr>
      <w:kern w:val="0"/>
      <w:szCs w:val="20"/>
    </w:rPr>
  </w:style>
  <w:style w:type="paragraph" w:customStyle="1" w:styleId="1944">
    <w:name w:val="样式 首行缩进:  2 字符1"/>
    <w:basedOn w:val="1"/>
    <w:qFormat/>
    <w:uiPriority w:val="0"/>
    <w:pPr>
      <w:spacing w:line="240" w:lineRule="auto"/>
      <w:ind w:firstLine="504" w:firstLineChars="200"/>
    </w:pPr>
    <w:rPr>
      <w:rFonts w:cs="宋体"/>
      <w:szCs w:val="20"/>
    </w:rPr>
  </w:style>
  <w:style w:type="paragraph" w:customStyle="1" w:styleId="1945">
    <w:name w:val="样式 标题 2节标题标题21.1H2h2第一层条4.1二级标题标题 lxb2二级标题 Char表标题单位...1"/>
    <w:basedOn w:val="6"/>
    <w:qFormat/>
    <w:uiPriority w:val="0"/>
    <w:pPr>
      <w:keepNext/>
      <w:keepLines/>
      <w:numPr>
        <w:ilvl w:val="0"/>
        <w:numId w:val="0"/>
      </w:numPr>
      <w:tabs>
        <w:tab w:val="clear" w:pos="-181"/>
      </w:tabs>
      <w:snapToGrid/>
      <w:spacing w:before="240" w:beforeLines="0" w:after="120" w:line="240" w:lineRule="auto"/>
      <w:ind w:left="840" w:hanging="420"/>
    </w:pPr>
    <w:rPr>
      <w:b/>
      <w:bCs/>
      <w:kern w:val="32"/>
      <w:sz w:val="32"/>
      <w:szCs w:val="20"/>
    </w:rPr>
  </w:style>
  <w:style w:type="paragraph" w:customStyle="1" w:styleId="1946">
    <w:name w:val="p17"/>
    <w:basedOn w:val="1"/>
    <w:qFormat/>
    <w:uiPriority w:val="0"/>
    <w:pPr>
      <w:widowControl/>
      <w:snapToGrid w:val="0"/>
      <w:ind w:firstLine="420"/>
      <w:jc w:val="left"/>
    </w:pPr>
    <w:rPr>
      <w:kern w:val="0"/>
      <w:sz w:val="26"/>
      <w:szCs w:val="26"/>
    </w:rPr>
  </w:style>
  <w:style w:type="paragraph" w:customStyle="1" w:styleId="1947">
    <w:name w:val="样式 标题 2H2Heading 2 HiddenHeading 2 CCBS2nd levelh22Header..."/>
    <w:basedOn w:val="6"/>
    <w:qFormat/>
    <w:uiPriority w:val="0"/>
    <w:pPr>
      <w:keepNext/>
      <w:keepLines/>
      <w:numPr>
        <w:ilvl w:val="0"/>
        <w:numId w:val="0"/>
      </w:numPr>
      <w:tabs>
        <w:tab w:val="clear" w:pos="-181"/>
      </w:tabs>
      <w:adjustRightInd/>
      <w:snapToGrid/>
      <w:spacing w:before="260" w:beforeLines="0" w:after="260" w:afterLines="100"/>
      <w:jc w:val="both"/>
      <w:textAlignment w:val="auto"/>
    </w:pPr>
    <w:rPr>
      <w:rFonts w:ascii="黑体" w:hAnsi="Arial" w:cs="宋体"/>
      <w:b/>
      <w:bCs/>
      <w:kern w:val="2"/>
      <w:sz w:val="32"/>
      <w:szCs w:val="20"/>
    </w:rPr>
  </w:style>
  <w:style w:type="paragraph" w:customStyle="1" w:styleId="1948">
    <w:name w:val="0 字符"/>
    <w:basedOn w:val="1"/>
    <w:qFormat/>
    <w:uiPriority w:val="0"/>
    <w:pPr>
      <w:adjustRightInd w:val="0"/>
      <w:spacing w:line="240" w:lineRule="exact"/>
      <w:jc w:val="center"/>
    </w:pPr>
    <w:rPr>
      <w:rFonts w:cs="宋体"/>
      <w:color w:val="000000"/>
      <w:kern w:val="0"/>
      <w:sz w:val="21"/>
      <w:szCs w:val="20"/>
    </w:rPr>
  </w:style>
  <w:style w:type="paragraph" w:customStyle="1" w:styleId="1949">
    <w:name w:val="样式 首行缩进:  2 字符20"/>
    <w:basedOn w:val="1"/>
    <w:qFormat/>
    <w:uiPriority w:val="0"/>
    <w:pPr>
      <w:spacing w:line="520" w:lineRule="exact"/>
      <w:ind w:firstLine="560" w:firstLineChars="200"/>
    </w:pPr>
    <w:rPr>
      <w:rFonts w:cs="宋体"/>
      <w:szCs w:val="20"/>
    </w:rPr>
  </w:style>
  <w:style w:type="paragraph" w:customStyle="1" w:styleId="1950">
    <w:name w:val="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951">
    <w:name w:val="修订1"/>
    <w:qFormat/>
    <w:uiPriority w:val="0"/>
    <w:rPr>
      <w:rFonts w:ascii="Times New Roman" w:hAnsi="Times New Roman" w:eastAsia="宋体" w:cs="Times New Roman"/>
      <w:kern w:val="2"/>
      <w:sz w:val="21"/>
      <w:szCs w:val="24"/>
      <w:lang w:val="en-US" w:eastAsia="zh-CN" w:bidi="ar-SA"/>
    </w:rPr>
  </w:style>
  <w:style w:type="paragraph" w:customStyle="1" w:styleId="1952">
    <w:name w:val="图框"/>
    <w:basedOn w:val="1"/>
    <w:qFormat/>
    <w:uiPriority w:val="0"/>
    <w:pPr>
      <w:widowControl/>
      <w:spacing w:line="240" w:lineRule="auto"/>
      <w:jc w:val="center"/>
    </w:pPr>
    <w:rPr>
      <w:kern w:val="0"/>
      <w:sz w:val="21"/>
      <w:szCs w:val="21"/>
      <w:lang w:bidi="en-US"/>
    </w:rPr>
  </w:style>
  <w:style w:type="paragraph" w:customStyle="1" w:styleId="1953">
    <w:name w:val="PSPSPSPS"/>
    <w:basedOn w:val="1"/>
    <w:qFormat/>
    <w:uiPriority w:val="0"/>
    <w:pPr>
      <w:adjustRightInd w:val="0"/>
      <w:spacing w:line="600" w:lineRule="atLeast"/>
      <w:textAlignment w:val="baseline"/>
    </w:pPr>
    <w:rPr>
      <w:kern w:val="0"/>
      <w:sz w:val="28"/>
      <w:szCs w:val="20"/>
    </w:rPr>
  </w:style>
  <w:style w:type="paragraph" w:customStyle="1" w:styleId="1954">
    <w:name w:val="样式 正文文字 + 首行缩进:  2 字符"/>
    <w:basedOn w:val="36"/>
    <w:qFormat/>
    <w:uiPriority w:val="0"/>
    <w:pPr>
      <w:widowControl/>
      <w:spacing w:after="0" w:line="420" w:lineRule="atLeast"/>
      <w:ind w:firstLine="200" w:firstLineChars="200"/>
      <w:jc w:val="left"/>
    </w:pPr>
    <w:rPr>
      <w:color w:val="FF0000"/>
      <w:kern w:val="0"/>
    </w:rPr>
  </w:style>
  <w:style w:type="paragraph" w:customStyle="1" w:styleId="1955">
    <w:name w:val="xl129"/>
    <w:basedOn w:val="1"/>
    <w:qFormat/>
    <w:uiPriority w:val="0"/>
    <w:pPr>
      <w:widowControl/>
      <w:pBdr>
        <w:left w:val="single" w:color="auto" w:sz="4" w:space="0"/>
        <w:right w:val="single" w:color="auto" w:sz="4" w:space="0"/>
      </w:pBdr>
      <w:spacing w:before="100" w:beforeAutospacing="1" w:after="100" w:afterAutospacing="1" w:line="240" w:lineRule="auto"/>
      <w:jc w:val="center"/>
    </w:pPr>
    <w:rPr>
      <w:kern w:val="0"/>
      <w:sz w:val="20"/>
      <w:szCs w:val="20"/>
    </w:rPr>
  </w:style>
  <w:style w:type="paragraph" w:customStyle="1" w:styleId="1956">
    <w:name w:val="样式 标题 41.1.1.1标题 4.1.1.1.1标题 4 Char款1.1.1.1 Char标4段1.1.1..."/>
    <w:basedOn w:val="8"/>
    <w:qFormat/>
    <w:uiPriority w:val="0"/>
    <w:pPr>
      <w:keepLines/>
      <w:tabs>
        <w:tab w:val="clear" w:pos="864"/>
      </w:tabs>
      <w:spacing w:before="120" w:after="120" w:line="312" w:lineRule="auto"/>
      <w:ind w:left="851" w:hanging="851"/>
      <w:jc w:val="both"/>
    </w:pPr>
    <w:rPr>
      <w:rFonts w:ascii="Arial" w:hAnsi="Arial" w:eastAsia="黑体" w:cs="宋体"/>
      <w:szCs w:val="20"/>
    </w:rPr>
  </w:style>
  <w:style w:type="paragraph" w:customStyle="1" w:styleId="1957">
    <w:name w:val="样式81"/>
    <w:basedOn w:val="23"/>
    <w:qFormat/>
    <w:uiPriority w:val="0"/>
    <w:pPr>
      <w:adjustRightInd w:val="0"/>
      <w:snapToGrid w:val="0"/>
      <w:spacing w:line="360" w:lineRule="auto"/>
      <w:ind w:firstLine="480" w:firstLineChars="200"/>
    </w:pPr>
    <w:rPr>
      <w:sz w:val="24"/>
      <w:szCs w:val="24"/>
    </w:rPr>
  </w:style>
  <w:style w:type="paragraph" w:customStyle="1" w:styleId="1958">
    <w:name w:val="Title.2"/>
    <w:qFormat/>
    <w:uiPriority w:val="0"/>
    <w:pPr>
      <w:keepNext/>
      <w:keepLines/>
      <w:spacing w:before="50" w:beforeLines="50" w:after="50" w:afterLines="50"/>
      <w:outlineLvl w:val="1"/>
    </w:pPr>
    <w:rPr>
      <w:rFonts w:ascii="Times New Roman" w:hAnsi="Times New Roman" w:eastAsia="黑体" w:cs="Times New Roman"/>
      <w:kern w:val="0"/>
      <w:sz w:val="28"/>
      <w:szCs w:val="20"/>
      <w:lang w:val="en-US" w:eastAsia="zh-CN" w:bidi="ar-SA"/>
    </w:rPr>
  </w:style>
  <w:style w:type="paragraph" w:customStyle="1" w:styleId="1959">
    <w:name w:val="蒲表头"/>
    <w:basedOn w:val="1"/>
    <w:qFormat/>
    <w:uiPriority w:val="0"/>
    <w:pPr>
      <w:jc w:val="center"/>
    </w:pPr>
    <w:rPr>
      <w:b/>
      <w:color w:val="FF0000"/>
      <w:sz w:val="21"/>
      <w:szCs w:val="21"/>
    </w:rPr>
  </w:style>
  <w:style w:type="paragraph" w:customStyle="1" w:styleId="1960">
    <w:name w:val="样式87"/>
    <w:basedOn w:val="1673"/>
    <w:qFormat/>
    <w:uiPriority w:val="0"/>
    <w:rPr>
      <w:b w:val="0"/>
    </w:rPr>
  </w:style>
  <w:style w:type="paragraph" w:customStyle="1" w:styleId="1961">
    <w:name w:val="Char Char Char Char Char Char Char Char Char"/>
    <w:basedOn w:val="1"/>
    <w:qFormat/>
    <w:uiPriority w:val="0"/>
  </w:style>
  <w:style w:type="paragraph" w:customStyle="1" w:styleId="1962">
    <w:name w:val="正文 + 宋体"/>
    <w:basedOn w:val="1"/>
    <w:qFormat/>
    <w:uiPriority w:val="0"/>
    <w:pPr>
      <w:spacing w:line="240" w:lineRule="auto"/>
    </w:pPr>
    <w:rPr>
      <w:rFonts w:ascii="宋体" w:hAnsi="宋体"/>
      <w:sz w:val="28"/>
      <w:szCs w:val="28"/>
    </w:rPr>
  </w:style>
  <w:style w:type="paragraph" w:customStyle="1" w:styleId="1963">
    <w:name w:val="正文图标题"/>
    <w:next w:val="8"/>
    <w:qFormat/>
    <w:uiPriority w:val="0"/>
    <w:pPr>
      <w:jc w:val="center"/>
    </w:pPr>
    <w:rPr>
      <w:rFonts w:ascii="黑体" w:hAnsi="Times New Roman" w:eastAsia="黑体" w:cs="Times New Roman"/>
      <w:kern w:val="0"/>
      <w:sz w:val="21"/>
      <w:szCs w:val="20"/>
      <w:lang w:val="en-US" w:eastAsia="zh-CN" w:bidi="ar-SA"/>
    </w:rPr>
  </w:style>
  <w:style w:type="paragraph" w:customStyle="1" w:styleId="1964">
    <w:name w:val="正文文本 211"/>
    <w:basedOn w:val="1"/>
    <w:qFormat/>
    <w:uiPriority w:val="0"/>
    <w:pPr>
      <w:overflowPunct w:val="0"/>
      <w:autoSpaceDE w:val="0"/>
      <w:autoSpaceDN w:val="0"/>
      <w:adjustRightInd w:val="0"/>
      <w:spacing w:after="120"/>
      <w:textAlignment w:val="baseline"/>
    </w:pPr>
    <w:rPr>
      <w:szCs w:val="20"/>
    </w:rPr>
  </w:style>
  <w:style w:type="paragraph" w:customStyle="1" w:styleId="1965">
    <w:name w:val="biaoge"/>
    <w:qFormat/>
    <w:uiPriority w:val="0"/>
    <w:pPr>
      <w:ind w:left="-84" w:leftChars="-30"/>
      <w:jc w:val="center"/>
    </w:pPr>
    <w:rPr>
      <w:rFonts w:ascii="Times New Roman" w:hAnsi="Times New Roman" w:eastAsia="宋体" w:cs="Times New Roman"/>
      <w:spacing w:val="-10"/>
      <w:kern w:val="28"/>
      <w:sz w:val="28"/>
      <w:szCs w:val="20"/>
      <w:lang w:val="en-US" w:eastAsia="zh-CN" w:bidi="ar-SA"/>
    </w:rPr>
  </w:style>
  <w:style w:type="paragraph" w:customStyle="1" w:styleId="1966">
    <w:name w:val="样式 正文首行缩进 + 四号 首行缩进:  2 字符"/>
    <w:basedOn w:val="87"/>
    <w:qFormat/>
    <w:uiPriority w:val="0"/>
    <w:pPr>
      <w:tabs>
        <w:tab w:val="left" w:pos="628"/>
        <w:tab w:val="left" w:pos="1727"/>
        <w:tab w:val="left" w:pos="1884"/>
        <w:tab w:val="left" w:pos="4900"/>
      </w:tabs>
      <w:autoSpaceDE w:val="0"/>
      <w:autoSpaceDN w:val="0"/>
      <w:adjustRightInd w:val="0"/>
      <w:snapToGrid w:val="0"/>
      <w:spacing w:after="0"/>
      <w:ind w:firstLine="0" w:firstLineChars="0"/>
      <w:jc w:val="left"/>
    </w:pPr>
    <w:rPr>
      <w:rFonts w:ascii="宋体" w:cs="宋体"/>
      <w:color w:val="000000"/>
      <w:spacing w:val="4"/>
      <w:kern w:val="0"/>
      <w:sz w:val="28"/>
      <w:szCs w:val="28"/>
      <w:lang w:val="zh-CN"/>
    </w:rPr>
  </w:style>
  <w:style w:type="paragraph" w:customStyle="1" w:styleId="1967">
    <w:name w:val="xl45"/>
    <w:basedOn w:val="1"/>
    <w:qFormat/>
    <w:uiPriority w:val="0"/>
    <w:pPr>
      <w:widowControl/>
      <w:pBdr>
        <w:top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968">
    <w:name w:val="样式 样式 样式 样式 标题 3 + 段前: 0.5 行 + 段前: 0.5 行 + 段前: 0.5 行 + 段前: 0.5 行"/>
    <w:basedOn w:val="1"/>
    <w:qFormat/>
    <w:uiPriority w:val="0"/>
    <w:pPr>
      <w:keepNext/>
      <w:keepLines/>
      <w:tabs>
        <w:tab w:val="left" w:pos="720"/>
        <w:tab w:val="left" w:pos="1260"/>
      </w:tabs>
      <w:adjustRightInd w:val="0"/>
      <w:spacing w:beforeLines="50" w:line="300" w:lineRule="auto"/>
      <w:ind w:left="902" w:hanging="902"/>
      <w:outlineLvl w:val="2"/>
    </w:pPr>
    <w:rPr>
      <w:rFonts w:eastAsia="黑体" w:cs="宋体"/>
      <w:b/>
      <w:szCs w:val="20"/>
    </w:rPr>
  </w:style>
  <w:style w:type="paragraph" w:customStyle="1" w:styleId="1969">
    <w:name w:val="Char1 Char Char Char Char Char Char1"/>
    <w:basedOn w:val="1"/>
    <w:qFormat/>
    <w:uiPriority w:val="0"/>
  </w:style>
  <w:style w:type="paragraph" w:customStyle="1" w:styleId="1970">
    <w:name w:val="xl40"/>
    <w:basedOn w:val="1"/>
    <w:qFormat/>
    <w:uiPriority w:val="0"/>
    <w:pPr>
      <w:widowControl/>
      <w:pBdr>
        <w:top w:val="single" w:color="auto" w:sz="4" w:space="0"/>
        <w:bottom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1971">
    <w:name w:val="样式 表名1 + 段前: 0.3 行2"/>
    <w:basedOn w:val="1"/>
    <w:qFormat/>
    <w:uiPriority w:val="0"/>
    <w:pPr>
      <w:adjustRightInd w:val="0"/>
      <w:snapToGrid w:val="0"/>
      <w:spacing w:beforeLines="30" w:afterLines="20" w:line="240" w:lineRule="auto"/>
      <w:jc w:val="center"/>
    </w:pPr>
    <w:rPr>
      <w:rFonts w:eastAsia="黑体" w:cs="宋体"/>
      <w:color w:val="000000"/>
      <w:szCs w:val="20"/>
    </w:rPr>
  </w:style>
  <w:style w:type="paragraph" w:customStyle="1" w:styleId="1972">
    <w:name w:val="五级无标题条"/>
    <w:basedOn w:val="1"/>
    <w:qFormat/>
    <w:uiPriority w:val="0"/>
    <w:pPr>
      <w:spacing w:line="240" w:lineRule="auto"/>
    </w:pPr>
    <w:rPr>
      <w:sz w:val="21"/>
    </w:rPr>
  </w:style>
  <w:style w:type="paragraph" w:customStyle="1" w:styleId="1973">
    <w:name w:val="样式 行距: 多倍行距 1.25 字行1"/>
    <w:basedOn w:val="1"/>
    <w:qFormat/>
    <w:uiPriority w:val="0"/>
    <w:pPr>
      <w:adjustRightInd w:val="0"/>
    </w:pPr>
    <w:rPr>
      <w:rFonts w:cs="宋体"/>
      <w:color w:val="000000"/>
      <w:sz w:val="21"/>
      <w:szCs w:val="20"/>
    </w:rPr>
  </w:style>
  <w:style w:type="paragraph" w:customStyle="1" w:styleId="1974">
    <w:name w:val="样式 正文首行缩进 + 左侧:  -0.1 字符"/>
    <w:basedOn w:val="87"/>
    <w:qFormat/>
    <w:uiPriority w:val="0"/>
    <w:pPr>
      <w:keepNext/>
      <w:tabs>
        <w:tab w:val="left" w:pos="628"/>
        <w:tab w:val="left" w:pos="1727"/>
        <w:tab w:val="left" w:pos="1884"/>
        <w:tab w:val="left" w:pos="4900"/>
      </w:tabs>
      <w:autoSpaceDE w:val="0"/>
      <w:autoSpaceDN w:val="0"/>
      <w:adjustRightInd w:val="0"/>
      <w:snapToGrid w:val="0"/>
      <w:spacing w:after="0"/>
      <w:ind w:firstLine="200" w:firstLineChars="200"/>
      <w:jc w:val="left"/>
    </w:pPr>
    <w:rPr>
      <w:rFonts w:ascii="宋体" w:cs="宋体"/>
      <w:spacing w:val="4"/>
      <w:kern w:val="0"/>
      <w:sz w:val="28"/>
      <w:szCs w:val="20"/>
      <w:lang w:val="zh-CN"/>
    </w:rPr>
  </w:style>
  <w:style w:type="paragraph" w:customStyle="1" w:styleId="1975">
    <w:name w:val="规划"/>
    <w:basedOn w:val="1451"/>
    <w:qFormat/>
    <w:uiPriority w:val="0"/>
    <w:pPr>
      <w:numPr>
        <w:ilvl w:val="1"/>
        <w:numId w:val="38"/>
      </w:numPr>
      <w:tabs>
        <w:tab w:val="left" w:pos="0"/>
        <w:tab w:val="clear" w:pos="807"/>
      </w:tabs>
      <w:adjustRightInd w:val="0"/>
      <w:spacing w:afterLines="50" w:line="360" w:lineRule="auto"/>
      <w:ind w:left="0" w:firstLine="0"/>
      <w:jc w:val="both"/>
    </w:pPr>
    <w:rPr>
      <w:color w:val="FF0000"/>
    </w:rPr>
  </w:style>
  <w:style w:type="paragraph" w:customStyle="1" w:styleId="1976">
    <w:name w:val="蒲标题4"/>
    <w:basedOn w:val="8"/>
    <w:qFormat/>
    <w:uiPriority w:val="0"/>
    <w:pPr>
      <w:keepLines/>
      <w:tabs>
        <w:tab w:val="clear" w:pos="864"/>
      </w:tabs>
      <w:adjustRightInd w:val="0"/>
      <w:snapToGrid w:val="0"/>
      <w:ind w:left="0" w:firstLine="0"/>
      <w:jc w:val="both"/>
    </w:pPr>
    <w:rPr>
      <w:rFonts w:eastAsia="黑体"/>
      <w:b w:val="0"/>
    </w:rPr>
  </w:style>
  <w:style w:type="paragraph" w:customStyle="1" w:styleId="1977">
    <w:name w:val="表格下方正文"/>
    <w:basedOn w:val="1"/>
    <w:qFormat/>
    <w:uiPriority w:val="0"/>
    <w:pPr>
      <w:widowControl/>
      <w:spacing w:before="300" w:line="460" w:lineRule="exact"/>
      <w:jc w:val="left"/>
    </w:pPr>
    <w:rPr>
      <w:rFonts w:ascii="宋体" w:hAnsi="宋体" w:cs="宋体"/>
      <w:kern w:val="0"/>
    </w:rPr>
  </w:style>
  <w:style w:type="paragraph" w:customStyle="1" w:styleId="1978">
    <w:name w:val="xl69"/>
    <w:basedOn w:val="1"/>
    <w:qFormat/>
    <w:uiPriority w:val="0"/>
    <w:pPr>
      <w:widowControl/>
      <w:pBdr>
        <w:left w:val="single" w:color="auto" w:sz="4" w:space="0"/>
        <w:bottom w:val="single" w:color="auto" w:sz="8" w:space="0"/>
        <w:right w:val="single" w:color="auto" w:sz="4" w:space="0"/>
      </w:pBdr>
      <w:spacing w:before="100" w:beforeAutospacing="1" w:after="100" w:afterAutospacing="1" w:line="240" w:lineRule="auto"/>
      <w:jc w:val="left"/>
    </w:pPr>
    <w:rPr>
      <w:rFonts w:hint="eastAsia" w:ascii="宋体" w:hAnsi="宋体"/>
      <w:kern w:val="0"/>
      <w:sz w:val="32"/>
      <w:szCs w:val="32"/>
    </w:rPr>
  </w:style>
  <w:style w:type="paragraph" w:customStyle="1" w:styleId="1979">
    <w:name w:val="样式 标题 3标题 3 Char + 红色 段前: 6 磅 段后: 6 磅 行距: 1.5 倍行距"/>
    <w:basedOn w:val="7"/>
    <w:qFormat/>
    <w:uiPriority w:val="0"/>
    <w:pPr>
      <w:tabs>
        <w:tab w:val="left" w:pos="1080"/>
      </w:tabs>
      <w:spacing w:before="120" w:after="120" w:line="360" w:lineRule="auto"/>
    </w:pPr>
    <w:rPr>
      <w:rFonts w:ascii="Times New Roman" w:hAnsi="Times New Roman" w:cs="宋体"/>
      <w:szCs w:val="20"/>
    </w:rPr>
  </w:style>
  <w:style w:type="paragraph" w:customStyle="1" w:styleId="1980">
    <w:name w:val="表式1"/>
    <w:basedOn w:val="1"/>
    <w:qFormat/>
    <w:uiPriority w:val="0"/>
    <w:pPr>
      <w:adjustRightInd w:val="0"/>
      <w:spacing w:line="0" w:lineRule="atLeast"/>
      <w:jc w:val="left"/>
      <w:textAlignment w:val="baseline"/>
    </w:pPr>
    <w:rPr>
      <w:rFonts w:ascii="Arial" w:hAnsi="Arial" w:eastAsia="MingLiU"/>
      <w:b/>
      <w:kern w:val="0"/>
      <w:szCs w:val="20"/>
      <w:lang w:eastAsia="zh-TW"/>
    </w:rPr>
  </w:style>
  <w:style w:type="paragraph" w:customStyle="1" w:styleId="1981">
    <w:name w:val="表格文字1"/>
    <w:basedOn w:val="1"/>
    <w:qFormat/>
    <w:uiPriority w:val="0"/>
    <w:pPr>
      <w:tabs>
        <w:tab w:val="left" w:pos="0"/>
      </w:tabs>
      <w:autoSpaceDE w:val="0"/>
      <w:autoSpaceDN w:val="0"/>
      <w:adjustRightInd w:val="0"/>
      <w:spacing w:before="60" w:line="240" w:lineRule="auto"/>
      <w:ind w:left="57" w:right="57"/>
      <w:jc w:val="center"/>
      <w:textAlignment w:val="baseline"/>
    </w:pPr>
    <w:rPr>
      <w:sz w:val="21"/>
    </w:rPr>
  </w:style>
  <w:style w:type="paragraph" w:customStyle="1" w:styleId="1982">
    <w:name w:val="表、图名宋旭峰"/>
    <w:basedOn w:val="3"/>
    <w:qFormat/>
    <w:uiPriority w:val="0"/>
    <w:pPr>
      <w:spacing w:after="0" w:line="440" w:lineRule="exact"/>
      <w:ind w:left="0" w:leftChars="0" w:firstLine="560" w:firstLineChars="200"/>
    </w:pPr>
    <w:rPr>
      <w:rFonts w:ascii="宋体" w:hAnsi="宋体"/>
      <w:spacing w:val="20"/>
      <w:szCs w:val="20"/>
    </w:rPr>
  </w:style>
  <w:style w:type="paragraph" w:customStyle="1" w:styleId="1983">
    <w:name w:val="edri-title first"/>
    <w:basedOn w:val="1"/>
    <w:qFormat/>
    <w:uiPriority w:val="0"/>
    <w:pPr>
      <w:tabs>
        <w:tab w:val="left" w:pos="2"/>
        <w:tab w:val="left" w:pos="945"/>
      </w:tabs>
      <w:spacing w:before="50" w:beforeLines="50" w:line="300" w:lineRule="auto"/>
      <w:ind w:left="966" w:hanging="964"/>
      <w:outlineLvl w:val="0"/>
    </w:pPr>
    <w:rPr>
      <w:rFonts w:ascii="Arial Narrow" w:hAnsi="Arial Narrow"/>
      <w:b/>
      <w:bCs/>
      <w:kern w:val="0"/>
      <w:sz w:val="30"/>
      <w:szCs w:val="20"/>
    </w:rPr>
  </w:style>
  <w:style w:type="paragraph" w:customStyle="1" w:styleId="1984">
    <w:name w:val="表－左对齐"/>
    <w:basedOn w:val="1"/>
    <w:qFormat/>
    <w:uiPriority w:val="0"/>
    <w:pPr>
      <w:suppressLineNumbers/>
      <w:suppressAutoHyphens/>
      <w:snapToGrid w:val="0"/>
      <w:spacing w:before="60" w:after="60" w:line="240" w:lineRule="auto"/>
    </w:pPr>
    <w:rPr>
      <w:rFonts w:cs="Arial"/>
      <w:kern w:val="0"/>
      <w:sz w:val="21"/>
      <w:szCs w:val="21"/>
      <w:lang w:eastAsia="ja-JP"/>
    </w:rPr>
  </w:style>
  <w:style w:type="paragraph" w:customStyle="1" w:styleId="1985">
    <w:name w:val="封面名称日期"/>
    <w:qFormat/>
    <w:uiPriority w:val="0"/>
    <w:pPr>
      <w:widowControl w:val="0"/>
      <w:jc w:val="center"/>
    </w:pPr>
    <w:rPr>
      <w:rFonts w:ascii="Times New Roman" w:hAnsi="Times New Roman" w:eastAsia="仿宋_GB2312" w:cs="Times New Roman"/>
      <w:b/>
      <w:kern w:val="0"/>
      <w:sz w:val="32"/>
      <w:szCs w:val="20"/>
      <w:lang w:val="en-US" w:eastAsia="zh-CN" w:bidi="ar-SA"/>
    </w:rPr>
  </w:style>
  <w:style w:type="paragraph" w:customStyle="1" w:styleId="1986">
    <w:name w:val="表格题目"/>
    <w:basedOn w:val="1"/>
    <w:qFormat/>
    <w:uiPriority w:val="0"/>
    <w:pPr>
      <w:shd w:val="clear" w:color="auto" w:fill="FFFFFF"/>
      <w:spacing w:before="156" w:line="300" w:lineRule="auto"/>
      <w:ind w:firstLine="482" w:firstLineChars="200"/>
      <w:jc w:val="center"/>
    </w:pPr>
    <w:rPr>
      <w:rFonts w:ascii="黑体" w:eastAsia="黑体"/>
      <w:b/>
    </w:rPr>
  </w:style>
  <w:style w:type="paragraph" w:customStyle="1" w:styleId="1987">
    <w:name w:val="自定义缩进"/>
    <w:basedOn w:val="1"/>
    <w:qFormat/>
    <w:uiPriority w:val="0"/>
    <w:pPr>
      <w:spacing w:line="480" w:lineRule="atLeast"/>
      <w:ind w:firstLine="480" w:firstLineChars="200"/>
    </w:pPr>
    <w:rPr>
      <w:color w:val="FF0000"/>
    </w:rPr>
  </w:style>
  <w:style w:type="paragraph" w:customStyle="1" w:styleId="1988">
    <w:name w:val="样式 标题 4 + 小四"/>
    <w:basedOn w:val="8"/>
    <w:qFormat/>
    <w:uiPriority w:val="0"/>
    <w:pPr>
      <w:keepLines/>
      <w:tabs>
        <w:tab w:val="clear" w:pos="864"/>
      </w:tabs>
      <w:spacing w:before="280" w:after="290" w:line="376" w:lineRule="auto"/>
      <w:ind w:left="0" w:firstLine="0"/>
      <w:jc w:val="both"/>
    </w:pPr>
    <w:rPr>
      <w:rFonts w:ascii="Arial" w:hAnsi="Arial" w:eastAsia="黑体"/>
      <w:b w:val="0"/>
      <w:color w:val="0000FF"/>
      <w:sz w:val="28"/>
      <w:szCs w:val="28"/>
    </w:rPr>
  </w:style>
  <w:style w:type="paragraph" w:customStyle="1" w:styleId="1989">
    <w:name w:val="XCHG论文正文"/>
    <w:basedOn w:val="1"/>
    <w:qFormat/>
    <w:uiPriority w:val="0"/>
    <w:pPr>
      <w:tabs>
        <w:tab w:val="left" w:pos="0"/>
      </w:tabs>
      <w:spacing w:line="288" w:lineRule="auto"/>
      <w:ind w:firstLine="480" w:firstLineChars="200"/>
    </w:pPr>
    <w:rPr>
      <w:color w:val="000000"/>
    </w:rPr>
  </w:style>
  <w:style w:type="paragraph" w:customStyle="1" w:styleId="1990">
    <w:name w:val="封面"/>
    <w:basedOn w:val="1"/>
    <w:next w:val="36"/>
    <w:qFormat/>
    <w:uiPriority w:val="0"/>
    <w:pPr>
      <w:suppressLineNumbers/>
      <w:suppressAutoHyphens/>
      <w:topLinePunct/>
      <w:adjustRightInd w:val="0"/>
      <w:snapToGrid w:val="0"/>
      <w:ind w:firstLine="480" w:firstLineChars="200"/>
      <w:jc w:val="center"/>
    </w:pPr>
    <w:rPr>
      <w:rFonts w:ascii="宋体"/>
      <w:b/>
      <w:color w:val="000000"/>
      <w:sz w:val="32"/>
    </w:rPr>
  </w:style>
  <w:style w:type="paragraph" w:customStyle="1" w:styleId="1991">
    <w:name w:val="16.4.2.1"/>
    <w:basedOn w:val="428"/>
    <w:qFormat/>
    <w:uiPriority w:val="0"/>
    <w:pPr>
      <w:numPr>
        <w:numId w:val="39"/>
      </w:numPr>
      <w:tabs>
        <w:tab w:val="left" w:pos="360"/>
        <w:tab w:val="left" w:pos="425"/>
        <w:tab w:val="left" w:pos="1620"/>
        <w:tab w:val="left" w:pos="1680"/>
        <w:tab w:val="left" w:pos="2160"/>
        <w:tab w:val="clear" w:pos="1800"/>
      </w:tabs>
      <w:ind w:left="0" w:leftChars="600" w:firstLine="0"/>
    </w:pPr>
  </w:style>
  <w:style w:type="paragraph" w:customStyle="1" w:styleId="1992">
    <w:name w:val="样式 小五 居中"/>
    <w:basedOn w:val="1"/>
    <w:qFormat/>
    <w:uiPriority w:val="0"/>
    <w:pPr>
      <w:spacing w:line="300" w:lineRule="auto"/>
      <w:jc w:val="center"/>
    </w:pPr>
    <w:rPr>
      <w:rFonts w:cs="宋体"/>
      <w:b/>
      <w:sz w:val="18"/>
      <w:szCs w:val="20"/>
    </w:rPr>
  </w:style>
  <w:style w:type="paragraph" w:customStyle="1" w:styleId="1993">
    <w:name w:val="ljw子标题"/>
    <w:basedOn w:val="1"/>
    <w:next w:val="36"/>
    <w:qFormat/>
    <w:uiPriority w:val="0"/>
    <w:pPr>
      <w:adjustRightInd w:val="0"/>
      <w:snapToGrid w:val="0"/>
      <w:spacing w:beforeLines="50" w:afterLines="50" w:line="240" w:lineRule="auto"/>
    </w:pPr>
    <w:rPr>
      <w:rFonts w:ascii="宋体" w:hAnsi="宋体"/>
      <w:b/>
      <w:szCs w:val="28"/>
    </w:rPr>
  </w:style>
  <w:style w:type="paragraph" w:customStyle="1" w:styleId="1994">
    <w:name w:val="表标题16.10-1"/>
    <w:basedOn w:val="1446"/>
    <w:qFormat/>
    <w:uiPriority w:val="0"/>
    <w:pPr>
      <w:numPr>
        <w:ilvl w:val="0"/>
        <w:numId w:val="40"/>
      </w:numPr>
      <w:tabs>
        <w:tab w:val="left" w:pos="6200"/>
        <w:tab w:val="clear" w:pos="3360"/>
      </w:tabs>
      <w:ind w:left="5540"/>
    </w:pPr>
  </w:style>
  <w:style w:type="paragraph" w:customStyle="1" w:styleId="1995">
    <w:name w:val="表标"/>
    <w:next w:val="1"/>
    <w:qFormat/>
    <w:uiPriority w:val="0"/>
    <w:pPr>
      <w:tabs>
        <w:tab w:val="left" w:pos="8207"/>
      </w:tabs>
      <w:adjustRightInd w:val="0"/>
      <w:snapToGrid w:val="0"/>
      <w:spacing w:before="120" w:line="312" w:lineRule="auto"/>
      <w:jc w:val="center"/>
      <w:textAlignment w:val="baseline"/>
    </w:pPr>
    <w:rPr>
      <w:rFonts w:ascii="Times New Roman" w:hAnsi="Times New Roman" w:eastAsia="黑体" w:cs="Times New Roman"/>
      <w:kern w:val="2"/>
      <w:sz w:val="24"/>
      <w:szCs w:val="20"/>
      <w:lang w:val="en-US" w:eastAsia="zh-CN" w:bidi="ar-SA"/>
    </w:rPr>
  </w:style>
  <w:style w:type="paragraph" w:customStyle="1" w:styleId="1996">
    <w:name w:val="大纲正文"/>
    <w:basedOn w:val="1"/>
    <w:qFormat/>
    <w:uiPriority w:val="0"/>
    <w:pPr>
      <w:autoSpaceDE w:val="0"/>
      <w:autoSpaceDN w:val="0"/>
      <w:adjustRightInd w:val="0"/>
      <w:spacing w:line="300" w:lineRule="auto"/>
      <w:ind w:firstLine="200" w:firstLineChars="200"/>
    </w:pPr>
    <w:rPr>
      <w:rFonts w:ascii="宋体"/>
      <w:color w:val="000000"/>
      <w:kern w:val="0"/>
      <w:szCs w:val="28"/>
    </w:rPr>
  </w:style>
  <w:style w:type="paragraph" w:customStyle="1" w:styleId="1997">
    <w:name w:val="表格文字居中 Char Char"/>
    <w:basedOn w:val="87"/>
    <w:qFormat/>
    <w:uiPriority w:val="0"/>
    <w:pPr>
      <w:keepNext/>
      <w:tabs>
        <w:tab w:val="left" w:pos="628"/>
        <w:tab w:val="left" w:pos="980"/>
        <w:tab w:val="left" w:pos="1727"/>
        <w:tab w:val="left" w:pos="1884"/>
        <w:tab w:val="left" w:pos="4900"/>
      </w:tabs>
      <w:autoSpaceDE w:val="0"/>
      <w:autoSpaceDN w:val="0"/>
      <w:adjustRightInd w:val="0"/>
      <w:snapToGrid w:val="0"/>
      <w:spacing w:before="100" w:beforeAutospacing="1" w:after="0" w:line="240" w:lineRule="auto"/>
      <w:ind w:left="-139" w:leftChars="-58" w:firstLine="0" w:firstLineChars="0"/>
      <w:jc w:val="center"/>
    </w:pPr>
    <w:rPr>
      <w:rFonts w:ascii="宋体" w:hAnsi="宋体"/>
      <w:color w:val="FF0000"/>
      <w:spacing w:val="-12"/>
      <w:kern w:val="0"/>
      <w:sz w:val="28"/>
      <w:szCs w:val="28"/>
      <w:lang w:val="zh-CN"/>
    </w:rPr>
  </w:style>
  <w:style w:type="paragraph" w:customStyle="1" w:styleId="1998">
    <w:name w:val="样式 样式 样式 正文首行缩进 + 黑体 四号 黑色 + 右侧:  -0.47 字符 + 左侧:  1.52 厘米 首行缩进:..."/>
    <w:basedOn w:val="8"/>
    <w:next w:val="8"/>
    <w:qFormat/>
    <w:uiPriority w:val="0"/>
    <w:pPr>
      <w:keepLines/>
      <w:numPr>
        <w:ilvl w:val="3"/>
        <w:numId w:val="41"/>
      </w:numPr>
      <w:tabs>
        <w:tab w:val="left" w:pos="1080"/>
        <w:tab w:val="clear" w:pos="864"/>
      </w:tabs>
      <w:jc w:val="both"/>
    </w:pPr>
    <w:rPr>
      <w:rFonts w:ascii="宋体" w:hAnsi="Arial"/>
      <w:b w:val="0"/>
      <w:sz w:val="28"/>
      <w:szCs w:val="20"/>
    </w:rPr>
  </w:style>
  <w:style w:type="paragraph" w:customStyle="1" w:styleId="1999">
    <w:name w:val="基准脚注"/>
    <w:basedOn w:val="1"/>
    <w:qFormat/>
    <w:uiPriority w:val="0"/>
    <w:pPr>
      <w:widowControl/>
      <w:tabs>
        <w:tab w:val="left" w:pos="187"/>
      </w:tabs>
      <w:overflowPunct w:val="0"/>
      <w:autoSpaceDE w:val="0"/>
      <w:autoSpaceDN w:val="0"/>
      <w:adjustRightInd w:val="0"/>
      <w:spacing w:line="220" w:lineRule="exact"/>
      <w:ind w:left="187" w:hanging="187"/>
      <w:textAlignment w:val="baseline"/>
    </w:pPr>
    <w:rPr>
      <w:kern w:val="0"/>
      <w:sz w:val="18"/>
      <w:szCs w:val="20"/>
      <w:lang w:bidi="en-US"/>
    </w:rPr>
  </w:style>
  <w:style w:type="paragraph" w:customStyle="1" w:styleId="2000">
    <w:name w:val="1文章"/>
    <w:basedOn w:val="1"/>
    <w:qFormat/>
    <w:uiPriority w:val="0"/>
    <w:pPr>
      <w:snapToGrid w:val="0"/>
      <w:ind w:firstLine="573"/>
    </w:pPr>
    <w:rPr>
      <w:rFonts w:eastAsia="仿宋_GB2312"/>
      <w:sz w:val="28"/>
      <w:szCs w:val="20"/>
    </w:rPr>
  </w:style>
  <w:style w:type="paragraph" w:customStyle="1" w:styleId="2001">
    <w:name w:val="puce"/>
    <w:basedOn w:val="1"/>
    <w:qFormat/>
    <w:uiPriority w:val="0"/>
    <w:pPr>
      <w:snapToGrid w:val="0"/>
      <w:ind w:firstLine="425"/>
      <w:jc w:val="left"/>
    </w:pPr>
    <w:rPr>
      <w:rFonts w:ascii="宋体" w:hAnsi="宋体"/>
      <w:spacing w:val="20"/>
      <w:szCs w:val="20"/>
    </w:rPr>
  </w:style>
  <w:style w:type="paragraph" w:customStyle="1" w:styleId="2002">
    <w:name w:val="內(1)"/>
    <w:basedOn w:val="1"/>
    <w:qFormat/>
    <w:uiPriority w:val="0"/>
    <w:pPr>
      <w:snapToGrid w:val="0"/>
      <w:spacing w:line="420" w:lineRule="atLeast"/>
      <w:ind w:left="1531" w:firstLine="520" w:firstLineChars="200"/>
    </w:pPr>
    <w:rPr>
      <w:rFonts w:eastAsia="DFKai-SB"/>
      <w:sz w:val="26"/>
      <w:szCs w:val="20"/>
      <w:lang w:eastAsia="zh-TW"/>
    </w:rPr>
  </w:style>
  <w:style w:type="paragraph" w:customStyle="1" w:styleId="2003">
    <w:name w:val="图表目录2"/>
    <w:basedOn w:val="23"/>
    <w:next w:val="23"/>
    <w:qFormat/>
    <w:uiPriority w:val="0"/>
    <w:pPr>
      <w:tabs>
        <w:tab w:val="right" w:leader="dot" w:pos="8051"/>
      </w:tabs>
      <w:adjustRightInd w:val="0"/>
      <w:spacing w:line="360" w:lineRule="atLeast"/>
      <w:ind w:left="840" w:hanging="840"/>
      <w:jc w:val="left"/>
      <w:textAlignment w:val="baseline"/>
    </w:pPr>
    <w:rPr>
      <w:rFonts w:ascii="宋体" w:hAnsi="宋体" w:cs="宋体"/>
      <w:spacing w:val="4"/>
      <w:kern w:val="0"/>
      <w:sz w:val="24"/>
      <w:szCs w:val="24"/>
    </w:rPr>
  </w:style>
  <w:style w:type="paragraph" w:customStyle="1" w:styleId="2004">
    <w:name w:val="（1）"/>
    <w:basedOn w:val="1"/>
    <w:qFormat/>
    <w:uiPriority w:val="0"/>
    <w:pPr>
      <w:spacing w:beforeLines="50" w:afterLines="50" w:line="400" w:lineRule="exact"/>
      <w:ind w:firstLine="200" w:firstLineChars="200"/>
    </w:pPr>
    <w:rPr>
      <w:rFonts w:ascii="仿宋_GB2312" w:eastAsia="楷体_GB2312"/>
      <w:b/>
      <w:bCs/>
      <w:sz w:val="28"/>
      <w:szCs w:val="28"/>
    </w:rPr>
  </w:style>
  <w:style w:type="paragraph" w:customStyle="1" w:styleId="2005">
    <w:name w:val="Char Char1 Char1"/>
    <w:basedOn w:val="1"/>
    <w:next w:val="1"/>
    <w:qFormat/>
    <w:uiPriority w:val="0"/>
    <w:pPr>
      <w:widowControl/>
      <w:ind w:firstLine="200" w:firstLineChars="200"/>
    </w:pPr>
    <w:rPr>
      <w:rFonts w:ascii="宋体" w:hAnsi="宋体" w:cs="宋体"/>
      <w:kern w:val="0"/>
      <w:lang w:bidi="en-US"/>
    </w:rPr>
  </w:style>
  <w:style w:type="paragraph" w:customStyle="1" w:styleId="2006">
    <w:name w:val="表格的样式"/>
    <w:basedOn w:val="1"/>
    <w:qFormat/>
    <w:uiPriority w:val="0"/>
    <w:pPr>
      <w:spacing w:line="280" w:lineRule="exact"/>
      <w:jc w:val="left"/>
    </w:pPr>
    <w:rPr>
      <w:kern w:val="0"/>
      <w:sz w:val="21"/>
      <w:szCs w:val="21"/>
    </w:rPr>
  </w:style>
  <w:style w:type="paragraph" w:customStyle="1" w:styleId="2007">
    <w:name w:val="样式97"/>
    <w:basedOn w:val="273"/>
    <w:qFormat/>
    <w:uiPriority w:val="0"/>
    <w:pPr>
      <w:spacing w:before="0" w:after="0" w:line="360" w:lineRule="auto"/>
      <w:ind w:left="520" w:firstLine="83" w:firstLineChars="83"/>
      <w:jc w:val="center"/>
    </w:pPr>
    <w:rPr>
      <w:rFonts w:ascii="黑体" w:hAnsi="黑体" w:eastAsia="黑体"/>
      <w:b/>
      <w:bCs w:val="0"/>
      <w:kern w:val="2"/>
      <w:szCs w:val="24"/>
      <w:u w:val="double"/>
    </w:rPr>
  </w:style>
  <w:style w:type="paragraph" w:customStyle="1" w:styleId="2008">
    <w:name w:val="PA"/>
    <w:basedOn w:val="1"/>
    <w:qFormat/>
    <w:uiPriority w:val="0"/>
    <w:pPr>
      <w:widowControl/>
      <w:spacing w:after="120" w:line="240" w:lineRule="auto"/>
      <w:ind w:left="1134"/>
    </w:pPr>
    <w:rPr>
      <w:rFonts w:ascii="Arial" w:hAnsi="Arial"/>
      <w:b/>
      <w:color w:val="000000"/>
      <w:spacing w:val="6"/>
      <w:kern w:val="0"/>
      <w:sz w:val="22"/>
      <w:szCs w:val="20"/>
      <w:lang w:val="en-GB"/>
    </w:rPr>
  </w:style>
  <w:style w:type="paragraph" w:customStyle="1" w:styleId="2009">
    <w:name w:val="待定小"/>
    <w:basedOn w:val="2010"/>
    <w:qFormat/>
    <w:uiPriority w:val="0"/>
    <w:pPr>
      <w:spacing w:line="240" w:lineRule="auto"/>
      <w:ind w:left="0" w:leftChars="0" w:right="0" w:rightChars="0" w:firstLine="0"/>
    </w:pPr>
    <w:rPr>
      <w:color w:val="0000FF"/>
    </w:rPr>
  </w:style>
  <w:style w:type="paragraph" w:customStyle="1" w:styleId="2010">
    <w:name w:val="表内文字小"/>
    <w:basedOn w:val="1"/>
    <w:qFormat/>
    <w:uiPriority w:val="0"/>
    <w:pPr>
      <w:adjustRightInd w:val="0"/>
      <w:snapToGrid w:val="0"/>
      <w:spacing w:line="320" w:lineRule="exact"/>
      <w:ind w:left="-176" w:leftChars="-84" w:right="-206" w:rightChars="-98" w:firstLine="22"/>
      <w:jc w:val="center"/>
    </w:pPr>
    <w:rPr>
      <w:rFonts w:ascii="宋体" w:hAnsi="Times"/>
      <w:sz w:val="21"/>
      <w:szCs w:val="20"/>
    </w:rPr>
  </w:style>
  <w:style w:type="paragraph" w:customStyle="1" w:styleId="2011">
    <w:name w:val="普通(Web)1"/>
    <w:basedOn w:val="1"/>
    <w:qFormat/>
    <w:uiPriority w:val="0"/>
    <w:pPr>
      <w:widowControl/>
      <w:spacing w:before="75" w:after="100" w:afterAutospacing="1" w:line="240" w:lineRule="auto"/>
      <w:jc w:val="left"/>
    </w:pPr>
    <w:rPr>
      <w:rFonts w:ascii="宋体" w:hAnsi="宋体" w:cs="宋体"/>
      <w:kern w:val="0"/>
    </w:rPr>
  </w:style>
  <w:style w:type="paragraph" w:customStyle="1" w:styleId="2012">
    <w:name w:val="正文文本缩进-1"/>
    <w:basedOn w:val="3"/>
    <w:qFormat/>
    <w:uiPriority w:val="0"/>
    <w:pPr>
      <w:widowControl/>
      <w:adjustRightInd w:val="0"/>
      <w:snapToGrid w:val="0"/>
      <w:spacing w:after="0"/>
      <w:ind w:left="0" w:leftChars="0" w:firstLine="482" w:firstLineChars="200"/>
    </w:pPr>
    <w:rPr>
      <w:b/>
      <w:i/>
      <w:color w:val="0000FF"/>
      <w:kern w:val="0"/>
      <w:u w:val="single"/>
    </w:rPr>
  </w:style>
  <w:style w:type="paragraph" w:customStyle="1" w:styleId="2013">
    <w:name w:val="a0"/>
    <w:basedOn w:val="1"/>
    <w:qFormat/>
    <w:uiPriority w:val="0"/>
    <w:pPr>
      <w:widowControl/>
      <w:spacing w:before="100" w:beforeAutospacing="1" w:after="100" w:afterAutospacing="1" w:line="240" w:lineRule="auto"/>
      <w:jc w:val="left"/>
    </w:pPr>
    <w:rPr>
      <w:rFonts w:ascii="宋体" w:hAnsi="宋体"/>
      <w:color w:val="000000"/>
      <w:kern w:val="0"/>
    </w:rPr>
  </w:style>
  <w:style w:type="paragraph" w:customStyle="1" w:styleId="2014">
    <w:name w:val="正文999"/>
    <w:basedOn w:val="1"/>
    <w:qFormat/>
    <w:uiPriority w:val="0"/>
    <w:pPr>
      <w:adjustRightInd w:val="0"/>
      <w:ind w:firstLine="480" w:firstLineChars="200"/>
    </w:pPr>
    <w:rPr>
      <w:rFonts w:ascii="宋体" w:hAnsi="宋体" w:cs="宋体"/>
      <w:color w:val="000000"/>
    </w:rPr>
  </w:style>
  <w:style w:type="paragraph" w:customStyle="1" w:styleId="2015">
    <w:name w:val="标标题1.9"/>
    <w:basedOn w:val="1"/>
    <w:qFormat/>
    <w:uiPriority w:val="0"/>
    <w:pPr>
      <w:numPr>
        <w:ilvl w:val="0"/>
        <w:numId w:val="42"/>
      </w:numPr>
      <w:tabs>
        <w:tab w:val="center" w:pos="4060"/>
        <w:tab w:val="right" w:pos="8261"/>
      </w:tabs>
      <w:suppressAutoHyphens/>
      <w:adjustRightInd w:val="0"/>
      <w:spacing w:before="240" w:line="0" w:lineRule="atLeast"/>
      <w:jc w:val="center"/>
    </w:pPr>
    <w:rPr>
      <w:rFonts w:ascii="黑体" w:eastAsia="黑体"/>
      <w:b/>
      <w:spacing w:val="6"/>
      <w:kern w:val="0"/>
      <w:sz w:val="26"/>
      <w:szCs w:val="26"/>
    </w:rPr>
  </w:style>
  <w:style w:type="paragraph" w:customStyle="1" w:styleId="2016">
    <w:name w:val="默认段落字体 Para Char Char Char Char Char Char Char Char Char Char"/>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color w:val="auto"/>
      <w:sz w:val="24"/>
      <w:szCs w:val="20"/>
    </w:rPr>
  </w:style>
  <w:style w:type="paragraph" w:customStyle="1" w:styleId="2017">
    <w:name w:val="样式 题注 + (西文) Times New Roman (中文) 宋体 小四 加粗 黑色 居中 段前: 3 磅 ..."/>
    <w:basedOn w:val="24"/>
    <w:qFormat/>
    <w:uiPriority w:val="0"/>
    <w:pPr>
      <w:keepNext w:val="0"/>
      <w:adjustRightInd w:val="0"/>
      <w:spacing w:afterLines="100"/>
    </w:pPr>
    <w:rPr>
      <w:rFonts w:cs="宋体"/>
      <w:bCs/>
      <w:color w:val="000000"/>
      <w:kern w:val="0"/>
    </w:rPr>
  </w:style>
  <w:style w:type="paragraph" w:customStyle="1" w:styleId="2018">
    <w:name w:val="表格，五宋"/>
    <w:qFormat/>
    <w:uiPriority w:val="0"/>
    <w:pPr>
      <w:adjustRightInd w:val="0"/>
      <w:spacing w:line="360" w:lineRule="exact"/>
      <w:jc w:val="center"/>
    </w:pPr>
    <w:rPr>
      <w:rFonts w:ascii="Times New Roman" w:hAnsi="Times New Roman" w:eastAsia="宋体" w:cs="Times New Roman"/>
      <w:kern w:val="0"/>
      <w:sz w:val="21"/>
      <w:szCs w:val="20"/>
      <w:lang w:val="en-US" w:eastAsia="zh-CN" w:bidi="ar-SA"/>
    </w:rPr>
  </w:style>
  <w:style w:type="paragraph" w:customStyle="1" w:styleId="2019">
    <w:name w:val="应填表格"/>
    <w:basedOn w:val="1"/>
    <w:qFormat/>
    <w:uiPriority w:val="0"/>
    <w:pPr>
      <w:adjustRightInd w:val="0"/>
      <w:spacing w:before="40" w:after="40"/>
      <w:textAlignment w:val="baseline"/>
    </w:pPr>
    <w:rPr>
      <w:kern w:val="0"/>
      <w:szCs w:val="20"/>
    </w:rPr>
  </w:style>
  <w:style w:type="paragraph" w:customStyle="1" w:styleId="2020">
    <w:name w:val="Char Char Char1 Char Char Char1 Char"/>
    <w:basedOn w:val="1"/>
    <w:qFormat/>
    <w:uiPriority w:val="0"/>
    <w:pPr>
      <w:spacing w:line="240" w:lineRule="auto"/>
    </w:pPr>
    <w:rPr>
      <w:sz w:val="21"/>
      <w:szCs w:val="20"/>
    </w:rPr>
  </w:style>
  <w:style w:type="paragraph" w:customStyle="1" w:styleId="2021">
    <w:name w:val="3 级样式"/>
    <w:basedOn w:val="7"/>
    <w:qFormat/>
    <w:uiPriority w:val="0"/>
    <w:pPr>
      <w:numPr>
        <w:numId w:val="43"/>
      </w:numPr>
      <w:spacing w:before="120" w:beforeLines="20" w:after="0" w:afterLines="30" w:line="360" w:lineRule="auto"/>
      <w:jc w:val="left"/>
    </w:pPr>
    <w:rPr>
      <w:rFonts w:ascii="Times New Roman" w:hAnsi="Times New Roman" w:eastAsia="黑体" w:cs="宋体"/>
      <w:b w:val="0"/>
      <w:bCs w:val="0"/>
      <w:kern w:val="28"/>
      <w:szCs w:val="28"/>
    </w:rPr>
  </w:style>
  <w:style w:type="paragraph" w:customStyle="1" w:styleId="2022">
    <w:name w:val="项目2"/>
    <w:basedOn w:val="1"/>
    <w:qFormat/>
    <w:uiPriority w:val="0"/>
    <w:pPr>
      <w:tabs>
        <w:tab w:val="left" w:pos="840"/>
      </w:tabs>
      <w:snapToGrid w:val="0"/>
      <w:spacing w:line="0" w:lineRule="atLeast"/>
      <w:ind w:left="840" w:hanging="420"/>
    </w:pPr>
    <w:rPr>
      <w:sz w:val="28"/>
      <w:szCs w:val="20"/>
    </w:rPr>
  </w:style>
  <w:style w:type="paragraph" w:customStyle="1" w:styleId="2023">
    <w:name w:val="表样式2"/>
    <w:basedOn w:val="1"/>
    <w:qFormat/>
    <w:uiPriority w:val="0"/>
    <w:pPr>
      <w:spacing w:line="240" w:lineRule="auto"/>
      <w:jc w:val="center"/>
    </w:pPr>
    <w:rPr>
      <w:rFonts w:ascii="宋体" w:hAnsi="宋体"/>
      <w:bCs/>
      <w:sz w:val="21"/>
    </w:rPr>
  </w:style>
  <w:style w:type="paragraph" w:customStyle="1" w:styleId="2024">
    <w:name w:val="纯文本1"/>
    <w:basedOn w:val="1"/>
    <w:qFormat/>
    <w:uiPriority w:val="0"/>
    <w:pPr>
      <w:adjustRightInd w:val="0"/>
      <w:spacing w:line="240" w:lineRule="auto"/>
      <w:textAlignment w:val="baseline"/>
    </w:pPr>
    <w:rPr>
      <w:rFonts w:ascii="宋体"/>
      <w:kern w:val="0"/>
      <w:sz w:val="21"/>
      <w:szCs w:val="20"/>
    </w:rPr>
  </w:style>
  <w:style w:type="paragraph" w:customStyle="1" w:styleId="2025">
    <w:name w:val="标题3 Char Char Char Char Char Char1 Char Char Char"/>
    <w:basedOn w:val="1"/>
    <w:qFormat/>
    <w:uiPriority w:val="0"/>
    <w:pPr>
      <w:spacing w:afterLines="50" w:line="560" w:lineRule="exact"/>
    </w:pPr>
    <w:rPr>
      <w:rFonts w:eastAsia="黑体"/>
      <w:sz w:val="30"/>
      <w:szCs w:val="30"/>
    </w:rPr>
  </w:style>
  <w:style w:type="paragraph" w:customStyle="1" w:styleId="2026">
    <w:name w:val="body 1"/>
    <w:basedOn w:val="1"/>
    <w:qFormat/>
    <w:uiPriority w:val="0"/>
    <w:pPr>
      <w:adjustRightInd w:val="0"/>
      <w:spacing w:line="360" w:lineRule="atLeast"/>
      <w:textAlignment w:val="baseline"/>
    </w:pPr>
    <w:rPr>
      <w:rFonts w:ascii="華康中楷體" w:eastAsia="華康中楷體"/>
      <w:spacing w:val="60"/>
      <w:kern w:val="0"/>
      <w:szCs w:val="20"/>
      <w:lang w:eastAsia="zh-TW"/>
    </w:rPr>
  </w:style>
  <w:style w:type="paragraph" w:customStyle="1" w:styleId="2027">
    <w:name w:val="图表内容"/>
    <w:qFormat/>
    <w:uiPriority w:val="0"/>
    <w:pPr>
      <w:spacing w:line="300" w:lineRule="auto"/>
      <w:jc w:val="center"/>
    </w:pPr>
    <w:rPr>
      <w:rFonts w:ascii="Times New Roman" w:hAnsi="Times New Roman" w:eastAsia="宋体" w:cs="宋体"/>
      <w:kern w:val="0"/>
      <w:sz w:val="18"/>
      <w:szCs w:val="20"/>
      <w:lang w:val="en-US" w:eastAsia="zh-CN" w:bidi="ar-SA"/>
    </w:rPr>
  </w:style>
  <w:style w:type="paragraph" w:customStyle="1" w:styleId="2028">
    <w:name w:val="表内5S"/>
    <w:basedOn w:val="1"/>
    <w:qFormat/>
    <w:uiPriority w:val="0"/>
    <w:pPr>
      <w:spacing w:line="300" w:lineRule="atLeast"/>
      <w:jc w:val="center"/>
    </w:pPr>
    <w:rPr>
      <w:rFonts w:eastAsia="方正宋三简体"/>
      <w:sz w:val="21"/>
      <w:szCs w:val="20"/>
    </w:rPr>
  </w:style>
  <w:style w:type="paragraph" w:customStyle="1" w:styleId="2029">
    <w:name w:val="Char12"/>
    <w:basedOn w:val="1"/>
    <w:qFormat/>
    <w:uiPriority w:val="0"/>
    <w:pPr>
      <w:spacing w:line="240" w:lineRule="auto"/>
    </w:pPr>
  </w:style>
  <w:style w:type="paragraph" w:customStyle="1" w:styleId="2030">
    <w:name w:val="样式 标题 2Paragrafo + Times New Roman 非加粗 左侧:  0 厘米 首行缩进:  0 厘米..."/>
    <w:basedOn w:val="6"/>
    <w:qFormat/>
    <w:uiPriority w:val="0"/>
    <w:pPr>
      <w:keepNext/>
      <w:keepLines/>
      <w:numPr>
        <w:ilvl w:val="0"/>
        <w:numId w:val="0"/>
      </w:numPr>
      <w:tabs>
        <w:tab w:val="clear" w:pos="-181"/>
      </w:tabs>
      <w:adjustRightInd/>
      <w:snapToGrid/>
      <w:spacing w:before="120" w:beforeLines="0" w:after="120"/>
      <w:jc w:val="both"/>
      <w:textAlignment w:val="auto"/>
    </w:pPr>
    <w:rPr>
      <w:rFonts w:cs="宋体"/>
      <w:kern w:val="2"/>
      <w:szCs w:val="20"/>
    </w:rPr>
  </w:style>
  <w:style w:type="paragraph" w:customStyle="1" w:styleId="2031">
    <w:name w:val="公式样式1"/>
    <w:basedOn w:val="1"/>
    <w:qFormat/>
    <w:uiPriority w:val="0"/>
    <w:pPr>
      <w:spacing w:line="240" w:lineRule="auto"/>
      <w:jc w:val="center"/>
    </w:pPr>
    <w:rPr>
      <w:color w:val="000000"/>
      <w:sz w:val="21"/>
    </w:rPr>
  </w:style>
  <w:style w:type="paragraph" w:customStyle="1" w:styleId="2032">
    <w:name w:val="编号1"/>
    <w:basedOn w:val="1"/>
    <w:qFormat/>
    <w:uiPriority w:val="0"/>
    <w:pPr>
      <w:tabs>
        <w:tab w:val="left" w:pos="980"/>
        <w:tab w:val="left" w:pos="1620"/>
      </w:tabs>
      <w:spacing w:line="500" w:lineRule="exact"/>
      <w:ind w:left="980" w:leftChars="600" w:hanging="420" w:hangingChars="200"/>
    </w:pPr>
    <w:rPr>
      <w:rFonts w:eastAsia="仿宋_GB2312"/>
      <w:color w:val="000000"/>
      <w:sz w:val="32"/>
      <w:szCs w:val="20"/>
    </w:rPr>
  </w:style>
  <w:style w:type="paragraph" w:customStyle="1" w:styleId="2033">
    <w:name w:val="附件"/>
    <w:basedOn w:val="1"/>
    <w:qFormat/>
    <w:uiPriority w:val="0"/>
    <w:pPr>
      <w:tabs>
        <w:tab w:val="left" w:pos="960"/>
      </w:tabs>
    </w:pPr>
    <w:rPr>
      <w:rFonts w:ascii="宋体" w:hAnsi="宋体"/>
    </w:rPr>
  </w:style>
  <w:style w:type="paragraph" w:customStyle="1" w:styleId="2034">
    <w:name w:val="表标题4.2"/>
    <w:basedOn w:val="1"/>
    <w:qFormat/>
    <w:uiPriority w:val="0"/>
    <w:pPr>
      <w:spacing w:beforeLines="100" w:line="0" w:lineRule="atLeast"/>
      <w:jc w:val="left"/>
    </w:pPr>
    <w:rPr>
      <w:rFonts w:eastAsia="黑体"/>
      <w:b/>
    </w:rPr>
  </w:style>
  <w:style w:type="paragraph" w:customStyle="1" w:styleId="2035">
    <w:name w:val="表格文字小四"/>
    <w:basedOn w:val="1"/>
    <w:qFormat/>
    <w:uiPriority w:val="0"/>
    <w:pPr>
      <w:spacing w:line="240" w:lineRule="auto"/>
      <w:jc w:val="center"/>
    </w:pPr>
    <w:rPr>
      <w:rFonts w:ascii="Times" w:hAnsi="Times"/>
      <w:kern w:val="24"/>
    </w:rPr>
  </w:style>
  <w:style w:type="paragraph" w:customStyle="1" w:styleId="2036">
    <w:name w:val="样式 标题 2 + 黑体 小三"/>
    <w:basedOn w:val="6"/>
    <w:qFormat/>
    <w:uiPriority w:val="0"/>
    <w:pPr>
      <w:keepNext/>
      <w:keepLines/>
      <w:numPr>
        <w:ilvl w:val="0"/>
        <w:numId w:val="0"/>
      </w:numPr>
      <w:tabs>
        <w:tab w:val="clear" w:pos="-181"/>
      </w:tabs>
      <w:spacing w:before="0" w:beforeLines="0"/>
      <w:ind w:firstLine="562" w:firstLineChars="200"/>
      <w:jc w:val="both"/>
      <w:textAlignment w:val="auto"/>
    </w:pPr>
    <w:rPr>
      <w:rFonts w:ascii="黑体" w:hAnsi="黑体" w:cs="宋体"/>
      <w:b/>
      <w:bCs/>
      <w:spacing w:val="4"/>
      <w:kern w:val="2"/>
      <w:sz w:val="28"/>
      <w:szCs w:val="32"/>
    </w:rPr>
  </w:style>
  <w:style w:type="paragraph" w:customStyle="1" w:styleId="2037">
    <w:name w:val="Char Char7 Char Char Char Char Char Char4"/>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kern w:val="0"/>
      <w:szCs w:val="20"/>
    </w:rPr>
  </w:style>
  <w:style w:type="paragraph" w:customStyle="1" w:styleId="2038">
    <w:name w:val="样式 标题 1 + 段后: 6 磅"/>
    <w:basedOn w:val="5"/>
    <w:qFormat/>
    <w:uiPriority w:val="0"/>
    <w:pPr>
      <w:keepLines/>
      <w:tabs>
        <w:tab w:val="left" w:pos="360"/>
      </w:tabs>
      <w:snapToGrid w:val="0"/>
      <w:spacing w:before="340" w:line="360" w:lineRule="auto"/>
      <w:ind w:left="170" w:hanging="170"/>
      <w:jc w:val="left"/>
    </w:pPr>
    <w:rPr>
      <w:rFonts w:ascii="Times New Roman" w:hAnsi="Times New Roman" w:cs="宋体"/>
      <w:b/>
      <w:bCs/>
      <w:kern w:val="0"/>
      <w:sz w:val="84"/>
      <w:szCs w:val="20"/>
    </w:rPr>
  </w:style>
  <w:style w:type="paragraph" w:customStyle="1" w:styleId="2039">
    <w:name w:val="样式 正文 首行缩进:  2 字符 SL CON + 首行缩进:  2 字符1"/>
    <w:basedOn w:val="861"/>
    <w:qFormat/>
    <w:uiPriority w:val="0"/>
    <w:pPr>
      <w:ind w:firstLine="480"/>
    </w:pPr>
    <w:rPr>
      <w:szCs w:val="20"/>
    </w:rPr>
  </w:style>
  <w:style w:type="paragraph" w:customStyle="1" w:styleId="2040">
    <w:name w:val="样式77"/>
    <w:basedOn w:val="1729"/>
    <w:qFormat/>
    <w:uiPriority w:val="0"/>
  </w:style>
  <w:style w:type="paragraph" w:customStyle="1" w:styleId="2041">
    <w:name w:val="样式 标题 3小标题标题 3 Char头小节标题 + 段前: 12 磅 段后: 18 磅 行距: 固定值 25 磅"/>
    <w:basedOn w:val="7"/>
    <w:qFormat/>
    <w:uiPriority w:val="0"/>
    <w:pPr>
      <w:numPr>
        <w:numId w:val="0"/>
      </w:numPr>
      <w:tabs>
        <w:tab w:val="left" w:pos="1365"/>
      </w:tabs>
      <w:spacing w:before="120" w:after="120" w:line="440" w:lineRule="exact"/>
    </w:pPr>
    <w:rPr>
      <w:rFonts w:ascii="Arial" w:hAnsi="Times New Roman" w:eastAsia="黑体" w:cs="宋体"/>
      <w:color w:val="auto"/>
      <w:sz w:val="24"/>
      <w:szCs w:val="20"/>
    </w:rPr>
  </w:style>
  <w:style w:type="paragraph" w:customStyle="1" w:styleId="2042">
    <w:name w:val="样式 首行缩进:  2 字符4"/>
    <w:basedOn w:val="1"/>
    <w:qFormat/>
    <w:uiPriority w:val="0"/>
    <w:pPr>
      <w:ind w:firstLine="200" w:firstLineChars="200"/>
    </w:pPr>
    <w:rPr>
      <w:rFonts w:cs="宋体"/>
      <w:szCs w:val="20"/>
    </w:rPr>
  </w:style>
  <w:style w:type="paragraph" w:customStyle="1" w:styleId="2043">
    <w:name w:val="33"/>
    <w:basedOn w:val="1"/>
    <w:qFormat/>
    <w:uiPriority w:val="0"/>
    <w:pPr>
      <w:widowControl/>
      <w:tabs>
        <w:tab w:val="left" w:pos="720"/>
      </w:tabs>
      <w:spacing w:beforeLines="50" w:afterLines="50" w:line="240" w:lineRule="auto"/>
      <w:outlineLvl w:val="2"/>
    </w:pPr>
    <w:rPr>
      <w:rFonts w:eastAsia="黑体" w:cs="宋体"/>
      <w:bCs/>
      <w:kern w:val="0"/>
      <w:sz w:val="28"/>
      <w:szCs w:val="20"/>
      <w:lang w:bidi="en-US"/>
    </w:rPr>
  </w:style>
  <w:style w:type="paragraph" w:customStyle="1" w:styleId="2044">
    <w:name w:val="正文文本缩进 24"/>
    <w:basedOn w:val="1"/>
    <w:qFormat/>
    <w:uiPriority w:val="0"/>
    <w:pPr>
      <w:adjustRightInd w:val="0"/>
      <w:spacing w:line="312" w:lineRule="atLeast"/>
      <w:ind w:firstLine="540"/>
      <w:textAlignment w:val="baseline"/>
    </w:pPr>
    <w:rPr>
      <w:kern w:val="0"/>
      <w:sz w:val="21"/>
      <w:szCs w:val="20"/>
    </w:rPr>
  </w:style>
  <w:style w:type="paragraph" w:customStyle="1" w:styleId="2045">
    <w:name w:val="页眉4"/>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046">
    <w:name w:val="nt"/>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047">
    <w:name w:val="默认段落字体 Para Char Char Char Char Char Char Char Char Char Char Char Char Char"/>
    <w:basedOn w:val="1"/>
    <w:qFormat/>
    <w:uiPriority w:val="0"/>
    <w:pPr>
      <w:spacing w:line="240" w:lineRule="auto"/>
    </w:pPr>
    <w:rPr>
      <w:sz w:val="21"/>
    </w:rPr>
  </w:style>
  <w:style w:type="paragraph" w:customStyle="1" w:styleId="2048">
    <w:name w:val="w4"/>
    <w:basedOn w:val="1"/>
    <w:qFormat/>
    <w:uiPriority w:val="0"/>
    <w:pPr>
      <w:widowControl/>
      <w:spacing w:before="100" w:beforeAutospacing="1" w:after="100" w:afterAutospacing="1" w:line="240" w:lineRule="auto"/>
      <w:jc w:val="left"/>
    </w:pPr>
    <w:rPr>
      <w:rFonts w:ascii="宋体" w:hAnsi="宋体" w:cs="宋体"/>
      <w:color w:val="000000"/>
      <w:kern w:val="0"/>
    </w:rPr>
  </w:style>
  <w:style w:type="paragraph" w:customStyle="1" w:styleId="2049">
    <w:name w:val="Char2 Char Char Char Char Char Char Char3"/>
    <w:basedOn w:val="1"/>
    <w:qFormat/>
    <w:uiPriority w:val="0"/>
    <w:pPr>
      <w:autoSpaceDE w:val="0"/>
      <w:autoSpaceDN w:val="0"/>
      <w:adjustRightInd w:val="0"/>
      <w:snapToGrid w:val="0"/>
      <w:spacing w:before="50" w:after="50"/>
      <w:ind w:firstLine="560" w:firstLineChars="200"/>
    </w:pPr>
    <w:rPr>
      <w:rFonts w:eastAsia="仿宋_GB2312"/>
      <w:color w:val="000000"/>
    </w:rPr>
  </w:style>
  <w:style w:type="paragraph" w:customStyle="1" w:styleId="2050">
    <w:name w:val="标题样式4"/>
    <w:basedOn w:val="8"/>
    <w:qFormat/>
    <w:uiPriority w:val="0"/>
    <w:pPr>
      <w:keepLines/>
      <w:tabs>
        <w:tab w:val="left" w:pos="1080"/>
        <w:tab w:val="clear" w:pos="864"/>
      </w:tabs>
      <w:jc w:val="both"/>
    </w:pPr>
    <w:rPr>
      <w:rFonts w:ascii="黑体" w:hAnsi="Arial" w:eastAsia="黑体"/>
      <w:kern w:val="0"/>
      <w:szCs w:val="28"/>
    </w:rPr>
  </w:style>
  <w:style w:type="paragraph" w:customStyle="1" w:styleId="2051">
    <w:name w:val="样式 标题 51)项标5标题 5 Char1) Char项 Char一级项 +"/>
    <w:basedOn w:val="9"/>
    <w:qFormat/>
    <w:uiPriority w:val="0"/>
    <w:pPr>
      <w:keepNext w:val="0"/>
      <w:keepLines w:val="0"/>
      <w:tabs>
        <w:tab w:val="left" w:pos="2100"/>
        <w:tab w:val="left" w:pos="2138"/>
        <w:tab w:val="clear" w:pos="1008"/>
      </w:tabs>
      <w:spacing w:before="0" w:after="0"/>
      <w:ind w:left="800" w:leftChars="800" w:hanging="992" w:hangingChars="200"/>
    </w:pPr>
    <w:rPr>
      <w:rFonts w:ascii="宋体" w:hAnsi="宋体"/>
      <w:b w:val="0"/>
      <w:color w:val="000000"/>
      <w:szCs w:val="28"/>
    </w:rPr>
  </w:style>
  <w:style w:type="paragraph" w:customStyle="1" w:styleId="2052">
    <w:name w:val="1.1.1-"/>
    <w:basedOn w:val="1"/>
    <w:qFormat/>
    <w:uiPriority w:val="0"/>
    <w:pPr>
      <w:tabs>
        <w:tab w:val="left" w:pos="397"/>
      </w:tabs>
      <w:wordWrap w:val="0"/>
      <w:adjustRightInd w:val="0"/>
      <w:snapToGrid w:val="0"/>
      <w:spacing w:line="360" w:lineRule="atLeast"/>
      <w:ind w:left="397" w:firstLine="1021"/>
      <w:textAlignment w:val="baseline"/>
    </w:pPr>
    <w:rPr>
      <w:rFonts w:ascii="Arial" w:hAnsi="Arial" w:eastAsia="Gulim"/>
      <w:kern w:val="0"/>
      <w:sz w:val="20"/>
      <w:szCs w:val="20"/>
    </w:rPr>
  </w:style>
  <w:style w:type="paragraph" w:customStyle="1" w:styleId="2053">
    <w:name w:val="排序（1）（2）"/>
    <w:basedOn w:val="1"/>
    <w:qFormat/>
    <w:uiPriority w:val="0"/>
    <w:pPr>
      <w:spacing w:line="460" w:lineRule="atLeast"/>
    </w:pPr>
    <w:rPr>
      <w:spacing w:val="12"/>
    </w:rPr>
  </w:style>
  <w:style w:type="paragraph" w:customStyle="1" w:styleId="2054">
    <w:name w:val="Char Char1 Char Char1 Char Char1 Char Char1 Char Char Char Char Char Char Char1"/>
    <w:basedOn w:val="1"/>
    <w:qFormat/>
    <w:uiPriority w:val="0"/>
    <w:pPr>
      <w:spacing w:line="240" w:lineRule="auto"/>
    </w:pPr>
    <w:rPr>
      <w:rFonts w:ascii="Tahoma" w:hAnsi="Tahoma"/>
    </w:rPr>
  </w:style>
  <w:style w:type="paragraph" w:customStyle="1" w:styleId="2055">
    <w:name w:val="msolistparagraph"/>
    <w:basedOn w:val="1"/>
    <w:qFormat/>
    <w:uiPriority w:val="0"/>
    <w:pPr>
      <w:widowControl/>
      <w:spacing w:line="240" w:lineRule="auto"/>
      <w:ind w:firstLine="420"/>
      <w:jc w:val="left"/>
    </w:pPr>
    <w:rPr>
      <w:rFonts w:ascii="宋体" w:hAnsi="宋体" w:cs="宋体"/>
      <w:kern w:val="0"/>
      <w:sz w:val="21"/>
    </w:rPr>
  </w:style>
  <w:style w:type="paragraph" w:customStyle="1" w:styleId="2056">
    <w:name w:val="s16qcsl240slmult0nowidct"/>
    <w:qFormat/>
    <w:uiPriority w:val="0"/>
    <w:pPr>
      <w:widowControl w:val="0"/>
      <w:adjustRightInd w:val="0"/>
      <w:textAlignment w:val="baseline"/>
    </w:pPr>
    <w:rPr>
      <w:rFonts w:ascii="Times New Roman" w:hAnsi="Times New Roman" w:eastAsia="宋体" w:cs="Times New Roman"/>
      <w:kern w:val="0"/>
      <w:sz w:val="21"/>
      <w:szCs w:val="20"/>
      <w:lang w:val="en-US" w:eastAsia="zh-CN" w:bidi="ar-SA"/>
    </w:rPr>
  </w:style>
  <w:style w:type="paragraph" w:customStyle="1" w:styleId="2057">
    <w:name w:val="样式 标题 1章标题 1文章标题h11st levelSection Headl1章b1H1章节标题1标题..."/>
    <w:basedOn w:val="5"/>
    <w:qFormat/>
    <w:uiPriority w:val="0"/>
    <w:pPr>
      <w:keepNext w:val="0"/>
      <w:spacing w:line="360" w:lineRule="auto"/>
    </w:pPr>
    <w:rPr>
      <w:rFonts w:ascii="Times New Roman" w:hAnsi="Times New Roman" w:eastAsia="黑体"/>
      <w:color w:val="0000FF"/>
      <w:kern w:val="44"/>
      <w:sz w:val="32"/>
      <w:szCs w:val="32"/>
    </w:rPr>
  </w:style>
  <w:style w:type="paragraph" w:customStyle="1" w:styleId="2058">
    <w:name w:val="附件目录"/>
    <w:basedOn w:val="1"/>
    <w:qFormat/>
    <w:uiPriority w:val="0"/>
    <w:pPr>
      <w:ind w:left="1392" w:leftChars="200" w:hanging="912" w:hangingChars="380"/>
    </w:pPr>
    <w:rPr>
      <w:rFonts w:cs="宋体"/>
      <w:szCs w:val="20"/>
    </w:rPr>
  </w:style>
  <w:style w:type="paragraph" w:customStyle="1" w:styleId="2059">
    <w:name w:val="文本框标题"/>
    <w:basedOn w:val="1"/>
    <w:qFormat/>
    <w:uiPriority w:val="0"/>
    <w:pPr>
      <w:adjustRightInd w:val="0"/>
      <w:snapToGrid w:val="0"/>
      <w:spacing w:line="240" w:lineRule="auto"/>
      <w:jc w:val="center"/>
    </w:pPr>
    <w:rPr>
      <w:rFonts w:eastAsia="黑体"/>
    </w:rPr>
  </w:style>
  <w:style w:type="paragraph" w:customStyle="1" w:styleId="2060">
    <w:name w:val="1 Char Char Char"/>
    <w:next w:val="2"/>
    <w:qFormat/>
    <w:uiPriority w:val="0"/>
    <w:pPr>
      <w:snapToGrid w:val="0"/>
      <w:spacing w:line="360" w:lineRule="auto"/>
      <w:ind w:firstLine="200" w:firstLineChars="200"/>
    </w:pPr>
    <w:rPr>
      <w:rFonts w:ascii="Times New Roman" w:hAnsi="Times New Roman" w:eastAsia="仿宋_GB2312" w:cs="Times New Roman"/>
      <w:kern w:val="2"/>
      <w:sz w:val="24"/>
      <w:szCs w:val="24"/>
      <w:lang w:val="en-US" w:eastAsia="zh-CN" w:bidi="ar-SA"/>
    </w:rPr>
  </w:style>
  <w:style w:type="paragraph" w:customStyle="1" w:styleId="2061">
    <w:name w:val="style15"/>
    <w:basedOn w:val="1"/>
    <w:qFormat/>
    <w:uiPriority w:val="0"/>
    <w:pPr>
      <w:widowControl/>
      <w:spacing w:before="100" w:beforeAutospacing="1" w:after="100" w:afterAutospacing="1" w:line="240" w:lineRule="auto"/>
      <w:jc w:val="left"/>
    </w:pPr>
    <w:rPr>
      <w:rFonts w:ascii="Arial Unicode MS" w:hAnsi="Arial Unicode MS" w:eastAsia="Arial Unicode MS" w:cs="Arial Unicode MS"/>
      <w:kern w:val="0"/>
    </w:rPr>
  </w:style>
  <w:style w:type="paragraph" w:customStyle="1" w:styleId="2062">
    <w:name w:val="样式 样式 标题 4 + Times New Roman 段前: 0.5 行 + 段前: 0.5 行"/>
    <w:basedOn w:val="1"/>
    <w:qFormat/>
    <w:uiPriority w:val="0"/>
    <w:pPr>
      <w:keepNext/>
      <w:keepLines/>
      <w:tabs>
        <w:tab w:val="left" w:pos="1680"/>
      </w:tabs>
      <w:adjustRightInd w:val="0"/>
      <w:spacing w:beforeLines="50" w:line="300" w:lineRule="auto"/>
      <w:ind w:left="1680" w:hanging="420"/>
      <w:outlineLvl w:val="3"/>
    </w:pPr>
    <w:rPr>
      <w:rFonts w:eastAsia="黑体" w:cs="宋体"/>
      <w:szCs w:val="20"/>
    </w:rPr>
  </w:style>
  <w:style w:type="paragraph" w:customStyle="1" w:styleId="2063">
    <w:name w:val="依据文字"/>
    <w:basedOn w:val="2"/>
    <w:qFormat/>
    <w:uiPriority w:val="0"/>
    <w:pPr>
      <w:tabs>
        <w:tab w:val="left" w:pos="420"/>
        <w:tab w:val="left" w:pos="870"/>
        <w:tab w:val="left" w:pos="3150"/>
      </w:tabs>
      <w:autoSpaceDE/>
      <w:autoSpaceDN/>
      <w:adjustRightInd w:val="0"/>
      <w:spacing w:before="60" w:line="336" w:lineRule="auto"/>
      <w:ind w:firstLine="527" w:firstLineChars="0"/>
      <w:textAlignment w:val="baseline"/>
    </w:pPr>
    <w:rPr>
      <w:rFonts w:hint="default" w:ascii="宋体" w:hAnsi="宋体" w:cs="宋体"/>
      <w:spacing w:val="4"/>
    </w:rPr>
  </w:style>
  <w:style w:type="paragraph" w:customStyle="1" w:styleId="2064">
    <w:name w:val="項目:(一)[a]1.[a](1)[a]"/>
    <w:basedOn w:val="1"/>
    <w:qFormat/>
    <w:uiPriority w:val="0"/>
    <w:pPr>
      <w:spacing w:line="320" w:lineRule="atLeast"/>
      <w:ind w:left="1038" w:firstLine="448"/>
    </w:pPr>
    <w:rPr>
      <w:rFonts w:eastAsia="MingLiU"/>
      <w:sz w:val="22"/>
      <w:szCs w:val="20"/>
      <w:lang w:eastAsia="zh-TW"/>
    </w:rPr>
  </w:style>
  <w:style w:type="paragraph" w:customStyle="1" w:styleId="2065">
    <w:name w:val="CM12"/>
    <w:basedOn w:val="1"/>
    <w:next w:val="1"/>
    <w:qFormat/>
    <w:uiPriority w:val="0"/>
    <w:pPr>
      <w:autoSpaceDE w:val="0"/>
      <w:autoSpaceDN w:val="0"/>
      <w:adjustRightInd w:val="0"/>
      <w:spacing w:line="456" w:lineRule="atLeast"/>
      <w:jc w:val="left"/>
    </w:pPr>
    <w:rPr>
      <w:rFonts w:ascii="宋体" w:cs="宋体"/>
      <w:kern w:val="0"/>
    </w:rPr>
  </w:style>
  <w:style w:type="paragraph" w:customStyle="1" w:styleId="2066">
    <w:name w:val="图表正文"/>
    <w:basedOn w:val="1"/>
    <w:qFormat/>
    <w:uiPriority w:val="0"/>
    <w:pPr>
      <w:widowControl/>
      <w:spacing w:line="360" w:lineRule="atLeast"/>
      <w:ind w:firstLine="420" w:firstLineChars="200"/>
      <w:jc w:val="center"/>
    </w:pPr>
    <w:rPr>
      <w:rFonts w:ascii="宋体" w:hAnsi="宋体"/>
      <w:snapToGrid w:val="0"/>
      <w:kern w:val="0"/>
      <w:sz w:val="21"/>
    </w:rPr>
  </w:style>
  <w:style w:type="paragraph" w:customStyle="1" w:styleId="2067">
    <w:name w:val="样式 区划正文+小4 24 + 首行缩进:  2 字符1"/>
    <w:basedOn w:val="1"/>
    <w:qFormat/>
    <w:uiPriority w:val="0"/>
    <w:pPr>
      <w:adjustRightInd w:val="0"/>
      <w:snapToGrid w:val="0"/>
      <w:spacing w:line="460" w:lineRule="exact"/>
      <w:ind w:firstLine="200" w:firstLineChars="200"/>
    </w:pPr>
    <w:rPr>
      <w:szCs w:val="20"/>
    </w:rPr>
  </w:style>
  <w:style w:type="paragraph" w:customStyle="1" w:styleId="2068">
    <w:name w:val="表字五号缩进"/>
    <w:basedOn w:val="1531"/>
    <w:qFormat/>
    <w:uiPriority w:val="0"/>
    <w:pPr>
      <w:spacing w:beforeLines="0" w:afterLines="0"/>
      <w:ind w:firstLine="420" w:firstLineChars="200"/>
      <w:jc w:val="both"/>
    </w:pPr>
    <w:rPr>
      <w:color w:val="000000"/>
    </w:rPr>
  </w:style>
  <w:style w:type="paragraph" w:customStyle="1" w:styleId="2069">
    <w:name w:val="流程文字"/>
    <w:basedOn w:val="1"/>
    <w:qFormat/>
    <w:uiPriority w:val="0"/>
    <w:pPr>
      <w:tabs>
        <w:tab w:val="left" w:pos="6480"/>
      </w:tabs>
      <w:topLinePunct/>
      <w:adjustRightInd w:val="0"/>
      <w:snapToGrid w:val="0"/>
      <w:spacing w:line="240" w:lineRule="auto"/>
      <w:jc w:val="center"/>
    </w:pPr>
    <w:rPr>
      <w:rFonts w:eastAsia="仿宋_GB2312"/>
      <w:sz w:val="21"/>
      <w:szCs w:val="20"/>
    </w:rPr>
  </w:style>
  <w:style w:type="paragraph" w:customStyle="1" w:styleId="2070">
    <w:name w:val="样式 首行缩进:  2 字符 行距: 固定值 15 磅"/>
    <w:basedOn w:val="1"/>
    <w:qFormat/>
    <w:uiPriority w:val="0"/>
    <w:pPr>
      <w:adjustRightInd w:val="0"/>
      <w:snapToGrid w:val="0"/>
      <w:spacing w:line="240" w:lineRule="auto"/>
      <w:ind w:left="-64"/>
      <w:jc w:val="center"/>
    </w:pPr>
    <w:rPr>
      <w:rFonts w:ascii="仿宋_GB2312" w:eastAsia="仿宋_GB2312"/>
      <w:sz w:val="28"/>
    </w:rPr>
  </w:style>
  <w:style w:type="paragraph" w:customStyle="1" w:styleId="2071">
    <w:name w:val="样式 表（或图）标题 样式 宋体 五号 居中 SL CON + 段前: 自动"/>
    <w:basedOn w:val="1"/>
    <w:qFormat/>
    <w:uiPriority w:val="99"/>
    <w:pPr>
      <w:widowControl/>
      <w:tabs>
        <w:tab w:val="left" w:pos="377"/>
      </w:tabs>
      <w:spacing w:before="100" w:beforeAutospacing="1"/>
      <w:jc w:val="center"/>
    </w:pPr>
    <w:rPr>
      <w:rFonts w:ascii="宋体" w:hAnsi="宋体" w:cs="宋体"/>
      <w:b/>
      <w:bCs/>
      <w:kern w:val="0"/>
      <w:sz w:val="21"/>
      <w:szCs w:val="20"/>
    </w:rPr>
  </w:style>
  <w:style w:type="paragraph" w:customStyle="1" w:styleId="2072">
    <w:name w:val="样式98"/>
    <w:basedOn w:val="6"/>
    <w:qFormat/>
    <w:uiPriority w:val="0"/>
    <w:pPr>
      <w:keepNext/>
      <w:keepLines/>
      <w:numPr>
        <w:ilvl w:val="0"/>
        <w:numId w:val="0"/>
      </w:numPr>
      <w:tabs>
        <w:tab w:val="clear" w:pos="-181"/>
      </w:tabs>
      <w:spacing w:before="260" w:beforeLines="0" w:after="260"/>
      <w:jc w:val="both"/>
      <w:textAlignment w:val="auto"/>
    </w:pPr>
    <w:rPr>
      <w:rFonts w:hAnsi="Arial"/>
      <w:b/>
      <w:bCs/>
      <w:kern w:val="2"/>
      <w:sz w:val="32"/>
      <w:szCs w:val="32"/>
    </w:rPr>
  </w:style>
  <w:style w:type="paragraph" w:customStyle="1" w:styleId="2073">
    <w:name w:val="Char Char Char1 Char Char Char Char Char Char Char3"/>
    <w:basedOn w:val="1"/>
    <w:qFormat/>
    <w:uiPriority w:val="0"/>
    <w:pPr>
      <w:spacing w:line="240" w:lineRule="auto"/>
    </w:pPr>
    <w:rPr>
      <w:sz w:val="21"/>
    </w:rPr>
  </w:style>
  <w:style w:type="paragraph" w:customStyle="1" w:styleId="2074">
    <w:name w:val="Char2 Char Char Char Char Char Char Char Char Char Char Char Char Char Char Char Char Char Char Char Char Char"/>
    <w:basedOn w:val="1"/>
    <w:qFormat/>
    <w:uiPriority w:val="0"/>
    <w:pPr>
      <w:ind w:firstLine="200" w:firstLineChars="200"/>
    </w:pPr>
    <w:rPr>
      <w:rFonts w:eastAsia="黑体"/>
      <w:sz w:val="28"/>
      <w:szCs w:val="28"/>
    </w:rPr>
  </w:style>
  <w:style w:type="paragraph" w:customStyle="1" w:styleId="2075">
    <w:name w:val="图片文字"/>
    <w:basedOn w:val="1"/>
    <w:qFormat/>
    <w:uiPriority w:val="0"/>
    <w:pPr>
      <w:spacing w:line="240" w:lineRule="auto"/>
      <w:jc w:val="center"/>
    </w:pPr>
    <w:rPr>
      <w:sz w:val="21"/>
    </w:rPr>
  </w:style>
  <w:style w:type="paragraph" w:customStyle="1" w:styleId="2076">
    <w:name w:val="ky-txt Char"/>
    <w:qFormat/>
    <w:uiPriority w:val="0"/>
    <w:pPr>
      <w:widowControl w:val="0"/>
      <w:spacing w:line="500" w:lineRule="exact"/>
      <w:ind w:firstLine="480" w:firstLineChars="200"/>
      <w:jc w:val="both"/>
    </w:pPr>
    <w:rPr>
      <w:rFonts w:ascii="宋体" w:hAnsi="宋体" w:eastAsia="宋体" w:cs="Times New Roman"/>
      <w:color w:val="000000"/>
      <w:kern w:val="2"/>
      <w:sz w:val="24"/>
      <w:szCs w:val="24"/>
      <w:lang w:val="en-US" w:eastAsia="zh-CN" w:bidi="ar-SA"/>
    </w:rPr>
  </w:style>
  <w:style w:type="paragraph" w:customStyle="1" w:styleId="2077">
    <w:name w:val="样式 标题 4标题 4 Char Char + 两端对齐 左侧:  0 厘米 段前: 0 磅 段后: 0 磅"/>
    <w:basedOn w:val="8"/>
    <w:qFormat/>
    <w:uiPriority w:val="0"/>
    <w:pPr>
      <w:keepLines/>
      <w:tabs>
        <w:tab w:val="left" w:pos="2160"/>
        <w:tab w:val="left" w:pos="4500"/>
        <w:tab w:val="clear" w:pos="864"/>
      </w:tabs>
      <w:snapToGrid w:val="0"/>
      <w:spacing w:line="440" w:lineRule="atLeast"/>
      <w:ind w:left="2160" w:hanging="420"/>
      <w:jc w:val="both"/>
    </w:pPr>
    <w:rPr>
      <w:rFonts w:ascii="Arial" w:hAnsi="Arial" w:eastAsia="黑体" w:cs="宋体"/>
      <w:bCs w:val="0"/>
      <w:szCs w:val="20"/>
    </w:rPr>
  </w:style>
  <w:style w:type="paragraph" w:customStyle="1" w:styleId="2078">
    <w:name w:val="样式 首行缩进:  1 厘米 行距: 固定值 25 磅"/>
    <w:basedOn w:val="1"/>
    <w:qFormat/>
    <w:uiPriority w:val="0"/>
    <w:pPr>
      <w:adjustRightInd w:val="0"/>
      <w:snapToGrid w:val="0"/>
      <w:ind w:firstLine="480" w:firstLineChars="200"/>
      <w:textAlignment w:val="baseline"/>
    </w:pPr>
    <w:rPr>
      <w:rFonts w:hAnsi="Arial"/>
      <w:snapToGrid w:val="0"/>
      <w:kern w:val="0"/>
      <w:szCs w:val="20"/>
    </w:rPr>
  </w:style>
  <w:style w:type="paragraph" w:customStyle="1" w:styleId="2079">
    <w:name w:val="列表引导"/>
    <w:basedOn w:val="67"/>
    <w:next w:val="67"/>
    <w:qFormat/>
    <w:uiPriority w:val="0"/>
    <w:pPr>
      <w:widowControl/>
      <w:tabs>
        <w:tab w:val="left" w:pos="720"/>
      </w:tabs>
      <w:overflowPunct w:val="0"/>
      <w:autoSpaceDE w:val="0"/>
      <w:autoSpaceDN w:val="0"/>
      <w:adjustRightInd w:val="0"/>
      <w:spacing w:before="80" w:after="80"/>
      <w:ind w:left="720" w:hanging="360" w:firstLineChars="0"/>
      <w:textAlignment w:val="baseline"/>
    </w:pPr>
    <w:rPr>
      <w:kern w:val="0"/>
      <w:sz w:val="20"/>
      <w:lang w:bidi="en-US"/>
    </w:rPr>
  </w:style>
  <w:style w:type="paragraph" w:customStyle="1" w:styleId="2080">
    <w:name w:val="正文文本缩进 21"/>
    <w:basedOn w:val="1"/>
    <w:qFormat/>
    <w:uiPriority w:val="0"/>
    <w:pPr>
      <w:adjustRightInd w:val="0"/>
      <w:spacing w:line="400" w:lineRule="atLeast"/>
      <w:ind w:firstLine="570"/>
      <w:jc w:val="left"/>
      <w:textAlignment w:val="baseline"/>
    </w:pPr>
    <w:rPr>
      <w:kern w:val="0"/>
      <w:sz w:val="28"/>
      <w:szCs w:val="20"/>
    </w:rPr>
  </w:style>
  <w:style w:type="paragraph" w:customStyle="1" w:styleId="2081">
    <w:name w:val="样式 标题 3小标题小节标题H3h33rd level第二层条标题4标题 3 Char标题 3 Char Ch..."/>
    <w:basedOn w:val="7"/>
    <w:qFormat/>
    <w:uiPriority w:val="0"/>
    <w:pPr>
      <w:numPr>
        <w:ilvl w:val="0"/>
        <w:numId w:val="0"/>
      </w:numPr>
      <w:tabs>
        <w:tab w:val="left" w:pos="851"/>
        <w:tab w:val="left" w:pos="1050"/>
      </w:tabs>
      <w:adjustRightInd w:val="0"/>
      <w:snapToGrid w:val="0"/>
      <w:spacing w:before="0" w:after="0" w:line="360" w:lineRule="auto"/>
      <w:ind w:left="851" w:hanging="851"/>
      <w:textAlignment w:val="baseline"/>
    </w:pPr>
    <w:rPr>
      <w:rFonts w:ascii="Arial" w:hAnsi="Arial"/>
      <w:bCs w:val="0"/>
      <w:color w:val="auto"/>
      <w:kern w:val="32"/>
      <w:sz w:val="30"/>
      <w:szCs w:val="30"/>
      <w:lang w:val="en-GB"/>
    </w:rPr>
  </w:style>
  <w:style w:type="paragraph" w:customStyle="1" w:styleId="2082">
    <w:name w:val="页脚32"/>
    <w:basedOn w:val="1511"/>
    <w:qFormat/>
    <w:uiPriority w:val="0"/>
    <w:pPr>
      <w:tabs>
        <w:tab w:val="center" w:pos="4153"/>
        <w:tab w:val="right" w:pos="8306"/>
      </w:tabs>
      <w:autoSpaceDE/>
      <w:autoSpaceDN/>
      <w:adjustRightInd w:val="0"/>
      <w:spacing w:after="0" w:line="240" w:lineRule="atLeast"/>
      <w:ind w:left="0" w:firstLine="0"/>
      <w:jc w:val="left"/>
      <w:textAlignment w:val="baseline"/>
    </w:pPr>
    <w:rPr>
      <w:rFonts w:ascii="宋体"/>
      <w:kern w:val="0"/>
      <w:sz w:val="18"/>
    </w:rPr>
  </w:style>
  <w:style w:type="paragraph" w:customStyle="1" w:styleId="2083">
    <w:name w:val="font10"/>
    <w:basedOn w:val="1"/>
    <w:qFormat/>
    <w:uiPriority w:val="0"/>
    <w:pPr>
      <w:widowControl/>
      <w:spacing w:before="100" w:beforeAutospacing="1" w:after="100" w:afterAutospacing="1" w:line="240" w:lineRule="auto"/>
      <w:jc w:val="left"/>
    </w:pPr>
    <w:rPr>
      <w:kern w:val="0"/>
    </w:rPr>
  </w:style>
  <w:style w:type="paragraph" w:customStyle="1" w:styleId="2084">
    <w:name w:val="正文设置格式"/>
    <w:basedOn w:val="23"/>
    <w:qFormat/>
    <w:uiPriority w:val="0"/>
    <w:pPr>
      <w:spacing w:line="400" w:lineRule="exact"/>
      <w:ind w:firstLine="480" w:firstLineChars="200"/>
      <w:textAlignment w:val="top"/>
    </w:pPr>
    <w:rPr>
      <w:color w:val="FF0000"/>
      <w:sz w:val="24"/>
      <w:szCs w:val="24"/>
    </w:rPr>
  </w:style>
  <w:style w:type="paragraph" w:customStyle="1" w:styleId="2085">
    <w:name w:val="样式 表格1 + 首行缩进:  0.63 厘米"/>
    <w:basedOn w:val="409"/>
    <w:qFormat/>
    <w:uiPriority w:val="0"/>
    <w:pPr>
      <w:snapToGrid w:val="0"/>
      <w:spacing w:line="300" w:lineRule="exact"/>
      <w:jc w:val="center"/>
      <w:textAlignment w:val="auto"/>
    </w:pPr>
    <w:rPr>
      <w:rFonts w:hAnsi="宋体" w:cs="宋体"/>
      <w:spacing w:val="0"/>
      <w:szCs w:val="18"/>
    </w:rPr>
  </w:style>
  <w:style w:type="paragraph" w:customStyle="1" w:styleId="2086">
    <w:name w:val="xl87"/>
    <w:basedOn w:val="1"/>
    <w:qFormat/>
    <w:uiPriority w:val="0"/>
    <w:pPr>
      <w:widowControl/>
      <w:spacing w:before="100" w:beforeAutospacing="1" w:after="100" w:afterAutospacing="1" w:line="240" w:lineRule="auto"/>
      <w:jc w:val="right"/>
      <w:textAlignment w:val="center"/>
    </w:pPr>
    <w:rPr>
      <w:rFonts w:ascii="宋体" w:hAnsi="宋体" w:cs="宋体"/>
      <w:kern w:val="0"/>
      <w:sz w:val="22"/>
      <w:szCs w:val="22"/>
    </w:rPr>
  </w:style>
  <w:style w:type="paragraph" w:customStyle="1" w:styleId="2087">
    <w:name w:val="正文文本缩进 25"/>
    <w:basedOn w:val="1"/>
    <w:qFormat/>
    <w:uiPriority w:val="0"/>
    <w:pPr>
      <w:adjustRightInd w:val="0"/>
      <w:spacing w:line="400" w:lineRule="atLeast"/>
      <w:ind w:firstLine="570"/>
      <w:jc w:val="left"/>
      <w:textAlignment w:val="baseline"/>
    </w:pPr>
    <w:rPr>
      <w:kern w:val="0"/>
      <w:sz w:val="28"/>
      <w:szCs w:val="20"/>
    </w:rPr>
  </w:style>
  <w:style w:type="paragraph" w:customStyle="1" w:styleId="2088">
    <w:name w:val="湛江码头表"/>
    <w:basedOn w:val="1"/>
    <w:qFormat/>
    <w:uiPriority w:val="0"/>
    <w:pPr>
      <w:adjustRightInd w:val="0"/>
      <w:jc w:val="center"/>
    </w:pPr>
    <w:rPr>
      <w:rFonts w:cs="宋体"/>
      <w:color w:val="000000"/>
      <w:kern w:val="0"/>
      <w:sz w:val="21"/>
      <w:lang w:eastAsia="zh-TW"/>
    </w:rPr>
  </w:style>
  <w:style w:type="paragraph" w:customStyle="1" w:styleId="2089">
    <w:name w:val="样式 标题 3小标题小节标题标题3H3h33rd level第二层条标题4 + 非加粗 左 段前: 6 磅..."/>
    <w:basedOn w:val="7"/>
    <w:qFormat/>
    <w:uiPriority w:val="0"/>
    <w:pPr>
      <w:numPr>
        <w:ilvl w:val="0"/>
        <w:numId w:val="0"/>
      </w:numPr>
      <w:tabs>
        <w:tab w:val="left" w:pos="1080"/>
      </w:tabs>
      <w:snapToGrid w:val="0"/>
      <w:spacing w:before="0" w:after="0" w:line="360" w:lineRule="auto"/>
      <w:ind w:left="851" w:hanging="851"/>
    </w:pPr>
    <w:rPr>
      <w:rFonts w:ascii="Times New Roman" w:hAnsi="Times New Roman"/>
      <w:b w:val="0"/>
      <w:color w:val="auto"/>
      <w:sz w:val="30"/>
      <w:szCs w:val="30"/>
      <w:lang w:val="en-GB"/>
    </w:rPr>
  </w:style>
  <w:style w:type="paragraph" w:customStyle="1" w:styleId="2090">
    <w:name w:val="样式 宋体 小四 行距: 固定值 25 磅"/>
    <w:basedOn w:val="1"/>
    <w:qFormat/>
    <w:uiPriority w:val="0"/>
    <w:pPr>
      <w:ind w:firstLine="540" w:firstLineChars="225"/>
    </w:pPr>
    <w:rPr>
      <w:rFonts w:ascii="宋体" w:hAnsi="宋体"/>
      <w:szCs w:val="20"/>
    </w:rPr>
  </w:style>
  <w:style w:type="paragraph" w:customStyle="1" w:styleId="2091">
    <w:name w:val="Aufzählung"/>
    <w:basedOn w:val="1"/>
    <w:qFormat/>
    <w:uiPriority w:val="0"/>
    <w:pPr>
      <w:widowControl/>
      <w:numPr>
        <w:ilvl w:val="0"/>
        <w:numId w:val="44"/>
      </w:numPr>
      <w:adjustRightInd w:val="0"/>
      <w:snapToGrid w:val="0"/>
      <w:ind w:firstLine="200" w:firstLineChars="200"/>
    </w:pPr>
    <w:rPr>
      <w:rFonts w:eastAsia="Times"/>
      <w:kern w:val="0"/>
      <w:sz w:val="22"/>
      <w:szCs w:val="20"/>
      <w:lang w:val="de-CH" w:eastAsia="de-CH"/>
    </w:rPr>
  </w:style>
  <w:style w:type="paragraph" w:customStyle="1" w:styleId="2092">
    <w:name w:val="-"/>
    <w:basedOn w:val="1"/>
    <w:qFormat/>
    <w:uiPriority w:val="0"/>
    <w:pPr>
      <w:widowControl/>
      <w:spacing w:before="100" w:beforeAutospacing="1" w:after="100" w:afterAutospacing="1" w:line="240" w:lineRule="auto"/>
      <w:jc w:val="left"/>
    </w:pPr>
    <w:rPr>
      <w:rFonts w:ascii="宋体" w:hAnsi="宋体"/>
      <w:kern w:val="0"/>
    </w:rPr>
  </w:style>
  <w:style w:type="paragraph" w:customStyle="1" w:styleId="2093">
    <w:name w:val="样式 图表 + 首行缩进:  2 字符1"/>
    <w:basedOn w:val="1"/>
    <w:qFormat/>
    <w:uiPriority w:val="0"/>
    <w:pPr>
      <w:adjustRightInd w:val="0"/>
      <w:snapToGrid w:val="0"/>
      <w:spacing w:beforeLines="20" w:afterLines="20"/>
      <w:ind w:left="-102" w:leftChars="-50" w:right="-105" w:rightChars="-50" w:hanging="3"/>
      <w:jc w:val="center"/>
    </w:pPr>
    <w:rPr>
      <w:rFonts w:cs="宋体"/>
      <w:color w:val="000000"/>
      <w:sz w:val="21"/>
    </w:rPr>
  </w:style>
  <w:style w:type="paragraph" w:customStyle="1" w:styleId="2094">
    <w:name w:val="样式 左侧:  1.5 厘米 首行缩进:  0 厘米"/>
    <w:basedOn w:val="1"/>
    <w:qFormat/>
    <w:uiPriority w:val="0"/>
    <w:pPr>
      <w:spacing w:after="120" w:line="440" w:lineRule="exact"/>
      <w:ind w:left="851"/>
    </w:pPr>
    <w:rPr>
      <w:rFonts w:ascii="Arial" w:hAnsi="Arial"/>
      <w:kern w:val="0"/>
      <w:szCs w:val="20"/>
    </w:rPr>
  </w:style>
  <w:style w:type="paragraph" w:customStyle="1" w:styleId="2095">
    <w:name w:val="reader-word-layer reader-word-s1-7"/>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096">
    <w:name w:val="et18"/>
    <w:basedOn w:val="1"/>
    <w:qFormat/>
    <w:uiPriority w:val="0"/>
    <w:pPr>
      <w:widowControl/>
      <w:pBdr>
        <w:top w:val="single" w:color="000000" w:sz="4" w:space="0"/>
        <w:bottom w:val="single" w:color="000000" w:sz="12"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097">
    <w:name w:val="样式7.4.6.1"/>
    <w:basedOn w:val="1606"/>
    <w:qFormat/>
    <w:uiPriority w:val="0"/>
    <w:pPr>
      <w:numPr>
        <w:numId w:val="45"/>
      </w:numPr>
      <w:tabs>
        <w:tab w:val="left" w:pos="720"/>
      </w:tabs>
      <w:spacing w:line="360" w:lineRule="auto"/>
    </w:pPr>
  </w:style>
  <w:style w:type="paragraph" w:customStyle="1" w:styleId="2098">
    <w:name w:val="标准书眉_偶数页"/>
    <w:basedOn w:val="1"/>
    <w:next w:val="1"/>
    <w:qFormat/>
    <w:uiPriority w:val="0"/>
    <w:pPr>
      <w:widowControl/>
      <w:tabs>
        <w:tab w:val="center" w:pos="4154"/>
        <w:tab w:val="right" w:pos="8306"/>
      </w:tabs>
      <w:spacing w:after="120" w:line="240" w:lineRule="auto"/>
    </w:pPr>
    <w:rPr>
      <w:kern w:val="0"/>
      <w:sz w:val="21"/>
      <w:szCs w:val="20"/>
    </w:rPr>
  </w:style>
  <w:style w:type="paragraph" w:customStyle="1" w:styleId="2099">
    <w:name w:val="编号引导"/>
    <w:basedOn w:val="22"/>
    <w:next w:val="22"/>
    <w:qFormat/>
    <w:uiPriority w:val="0"/>
    <w:pPr>
      <w:widowControl/>
      <w:tabs>
        <w:tab w:val="clear" w:pos="432"/>
      </w:tabs>
      <w:overflowPunct w:val="0"/>
      <w:autoSpaceDE w:val="0"/>
      <w:autoSpaceDN w:val="0"/>
      <w:adjustRightInd w:val="0"/>
      <w:spacing w:before="80" w:after="160" w:line="240" w:lineRule="auto"/>
      <w:ind w:left="720" w:firstLine="0" w:firstLineChars="0"/>
      <w:textAlignment w:val="baseline"/>
    </w:pPr>
    <w:rPr>
      <w:kern w:val="0"/>
      <w:sz w:val="20"/>
      <w:lang w:bidi="en-US"/>
    </w:rPr>
  </w:style>
  <w:style w:type="paragraph" w:customStyle="1" w:styleId="2100">
    <w:name w:val="正文1 Char Char Char"/>
    <w:basedOn w:val="1"/>
    <w:qFormat/>
    <w:uiPriority w:val="0"/>
    <w:pPr>
      <w:suppressLineNumbers/>
      <w:suppressAutoHyphens/>
      <w:topLinePunct/>
      <w:adjustRightInd w:val="0"/>
      <w:snapToGrid w:val="0"/>
      <w:ind w:firstLine="480" w:firstLineChars="200"/>
    </w:pPr>
  </w:style>
  <w:style w:type="paragraph" w:customStyle="1" w:styleId="2101">
    <w:name w:val="样式 表格文字居中 + 红色"/>
    <w:basedOn w:val="453"/>
    <w:qFormat/>
    <w:uiPriority w:val="0"/>
    <w:pPr>
      <w:adjustRightInd w:val="0"/>
      <w:snapToGrid w:val="0"/>
      <w:spacing w:line="288" w:lineRule="auto"/>
      <w:ind w:right="0" w:rightChars="0"/>
      <w:jc w:val="both"/>
    </w:pPr>
    <w:rPr>
      <w:color w:val="auto"/>
      <w:sz w:val="24"/>
      <w:lang w:val="zh-CN"/>
    </w:rPr>
  </w:style>
  <w:style w:type="paragraph" w:customStyle="1" w:styleId="2102">
    <w:name w:val="陈光的正文"/>
    <w:basedOn w:val="1"/>
    <w:qFormat/>
    <w:uiPriority w:val="0"/>
    <w:pPr>
      <w:adjustRightInd w:val="0"/>
      <w:ind w:firstLine="567"/>
    </w:pPr>
    <w:rPr>
      <w:rFonts w:ascii="Arial" w:hAnsi="Arial" w:cs="宋体"/>
      <w:color w:val="000000"/>
      <w:szCs w:val="20"/>
    </w:rPr>
  </w:style>
  <w:style w:type="paragraph" w:customStyle="1" w:styleId="2103">
    <w:name w:val="首页脚注"/>
    <w:basedOn w:val="56"/>
    <w:qFormat/>
    <w:uiPriority w:val="0"/>
    <w:pPr>
      <w:keepLines/>
      <w:widowControl/>
      <w:tabs>
        <w:tab w:val="center" w:pos="7200"/>
        <w:tab w:val="clear" w:pos="4153"/>
        <w:tab w:val="clear" w:pos="8306"/>
      </w:tabs>
      <w:overflowPunct w:val="0"/>
      <w:autoSpaceDE w:val="0"/>
      <w:autoSpaceDN w:val="0"/>
      <w:adjustRightInd w:val="0"/>
      <w:snapToGrid/>
      <w:jc w:val="center"/>
      <w:textAlignment w:val="baseline"/>
    </w:pPr>
    <w:rPr>
      <w:spacing w:val="80"/>
      <w:kern w:val="0"/>
      <w:sz w:val="20"/>
      <w:szCs w:val="20"/>
      <w:lang w:bidi="en-US"/>
    </w:rPr>
  </w:style>
  <w:style w:type="paragraph" w:customStyle="1" w:styleId="2104">
    <w:name w:val="表格内容格式"/>
    <w:basedOn w:val="1"/>
    <w:qFormat/>
    <w:uiPriority w:val="0"/>
    <w:pPr>
      <w:adjustRightInd w:val="0"/>
      <w:spacing w:line="220" w:lineRule="exact"/>
      <w:jc w:val="center"/>
      <w:textAlignment w:val="baseline"/>
    </w:pPr>
    <w:rPr>
      <w:rFonts w:ascii="宋体" w:hAnsi="宋体"/>
      <w:snapToGrid w:val="0"/>
      <w:kern w:val="0"/>
      <w:sz w:val="18"/>
      <w:szCs w:val="18"/>
    </w:rPr>
  </w:style>
  <w:style w:type="paragraph" w:customStyle="1" w:styleId="2105">
    <w:name w:val="条(四级)"/>
    <w:basedOn w:val="1"/>
    <w:next w:val="1"/>
    <w:qFormat/>
    <w:uiPriority w:val="0"/>
    <w:pPr>
      <w:keepNext/>
      <w:keepLines/>
      <w:widowControl/>
      <w:autoSpaceDE w:val="0"/>
      <w:autoSpaceDN w:val="0"/>
      <w:adjustRightInd w:val="0"/>
      <w:spacing w:line="460" w:lineRule="exact"/>
      <w:textAlignment w:val="bottom"/>
    </w:pPr>
    <w:rPr>
      <w:rFonts w:ascii="宋体" w:hAnsi="Arial"/>
      <w:spacing w:val="3"/>
      <w:kern w:val="24"/>
      <w:sz w:val="26"/>
      <w:szCs w:val="20"/>
    </w:rPr>
  </w:style>
  <w:style w:type="paragraph" w:customStyle="1" w:styleId="2106">
    <w:name w:val="xl107"/>
    <w:basedOn w:val="1"/>
    <w:qFormat/>
    <w:uiPriority w:val="0"/>
    <w:pPr>
      <w:widowControl/>
      <w:pBdr>
        <w:top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107">
    <w:name w:val="标题7.3.5.1"/>
    <w:basedOn w:val="8"/>
    <w:qFormat/>
    <w:uiPriority w:val="0"/>
    <w:pPr>
      <w:keepLines/>
      <w:numPr>
        <w:ilvl w:val="3"/>
        <w:numId w:val="46"/>
      </w:numPr>
      <w:tabs>
        <w:tab w:val="left" w:pos="1080"/>
        <w:tab w:val="left" w:pos="1680"/>
        <w:tab w:val="clear" w:pos="864"/>
      </w:tabs>
      <w:spacing w:before="120" w:after="120" w:line="312" w:lineRule="auto"/>
      <w:ind w:left="1680" w:hanging="420"/>
      <w:jc w:val="both"/>
    </w:pPr>
    <w:rPr>
      <w:rFonts w:ascii="Arial" w:hAnsi="Arial" w:eastAsia="黑体"/>
    </w:rPr>
  </w:style>
  <w:style w:type="paragraph" w:customStyle="1" w:styleId="2108">
    <w:name w:val="ljw表格"/>
    <w:basedOn w:val="1"/>
    <w:next w:val="1"/>
    <w:qFormat/>
    <w:uiPriority w:val="0"/>
    <w:pPr>
      <w:adjustRightInd w:val="0"/>
      <w:snapToGrid w:val="0"/>
      <w:spacing w:beforeLines="25" w:afterLines="25" w:line="240" w:lineRule="auto"/>
      <w:jc w:val="center"/>
    </w:pPr>
    <w:rPr>
      <w:rFonts w:ascii="宋体" w:hAnsi="宋体"/>
      <w:bCs/>
      <w:sz w:val="22"/>
      <w:szCs w:val="28"/>
    </w:rPr>
  </w:style>
  <w:style w:type="paragraph" w:customStyle="1" w:styleId="2109">
    <w:name w:val="xl49"/>
    <w:basedOn w:val="1"/>
    <w:qFormat/>
    <w:uiPriority w:val="0"/>
    <w:pPr>
      <w:widowControl/>
      <w:spacing w:before="100" w:beforeAutospacing="1" w:after="100" w:afterAutospacing="1"/>
      <w:jc w:val="left"/>
    </w:pPr>
    <w:rPr>
      <w:rFonts w:hint="eastAsia" w:ascii="宋体" w:hAnsi="宋体"/>
      <w:color w:val="013F21"/>
      <w:kern w:val="0"/>
    </w:rPr>
  </w:style>
  <w:style w:type="paragraph" w:customStyle="1" w:styleId="2110">
    <w:name w:val="样式 样式 表格1 + 首行缩进:  2 字符 + 首行缩进:  2 字符"/>
    <w:basedOn w:val="1"/>
    <w:qFormat/>
    <w:uiPriority w:val="0"/>
    <w:pPr>
      <w:spacing w:line="400" w:lineRule="exact"/>
    </w:pPr>
    <w:rPr>
      <w:rFonts w:cs="宋体"/>
      <w:sz w:val="21"/>
      <w:szCs w:val="20"/>
    </w:rPr>
  </w:style>
  <w:style w:type="paragraph" w:customStyle="1" w:styleId="2111">
    <w:name w:val="4标"/>
    <w:basedOn w:val="1"/>
    <w:qFormat/>
    <w:uiPriority w:val="0"/>
    <w:pPr>
      <w:keepNext/>
      <w:keepLines/>
      <w:widowControl/>
      <w:spacing w:beforeLines="50" w:afterLines="50" w:line="240" w:lineRule="auto"/>
      <w:outlineLvl w:val="3"/>
    </w:pPr>
    <w:rPr>
      <w:rFonts w:eastAsia="黑体" w:cs="宋体"/>
      <w:kern w:val="0"/>
      <w:sz w:val="21"/>
      <w:szCs w:val="20"/>
      <w:lang w:bidi="en-US"/>
    </w:rPr>
  </w:style>
  <w:style w:type="paragraph" w:customStyle="1" w:styleId="2112">
    <w:name w:val="Char Char Char1 Char Char Char Char Char Char Char Char Char Char1"/>
    <w:basedOn w:val="1"/>
    <w:qFormat/>
    <w:uiPriority w:val="0"/>
    <w:pPr>
      <w:widowControl/>
      <w:spacing w:line="240" w:lineRule="auto"/>
    </w:pPr>
    <w:rPr>
      <w:kern w:val="0"/>
      <w:sz w:val="21"/>
      <w:lang w:bidi="en-US"/>
    </w:rPr>
  </w:style>
  <w:style w:type="paragraph" w:customStyle="1" w:styleId="2113">
    <w:name w:val="样式 正文1 Char Char + 字距调整七号"/>
    <w:basedOn w:val="1"/>
    <w:qFormat/>
    <w:uiPriority w:val="0"/>
    <w:pPr>
      <w:suppressLineNumbers/>
      <w:suppressAutoHyphens/>
      <w:topLinePunct/>
      <w:adjustRightInd w:val="0"/>
      <w:snapToGrid w:val="0"/>
      <w:ind w:firstLine="480" w:firstLineChars="200"/>
    </w:pPr>
    <w:rPr>
      <w:kern w:val="11"/>
    </w:rPr>
  </w:style>
  <w:style w:type="paragraph" w:customStyle="1" w:styleId="2114">
    <w:name w:val="表头 + 段前: 6 磅"/>
    <w:basedOn w:val="3"/>
    <w:qFormat/>
    <w:uiPriority w:val="0"/>
    <w:pPr>
      <w:spacing w:after="0" w:line="440" w:lineRule="exact"/>
      <w:ind w:left="0" w:leftChars="0" w:firstLine="560" w:firstLineChars="200"/>
    </w:pPr>
    <w:rPr>
      <w:rFonts w:ascii="宋体" w:hAnsi="宋体"/>
      <w:spacing w:val="20"/>
      <w:szCs w:val="20"/>
    </w:rPr>
  </w:style>
  <w:style w:type="paragraph" w:customStyle="1" w:styleId="2115">
    <w:name w:val="样式 表标题5.3 + 居中 段前: 1 行"/>
    <w:basedOn w:val="1930"/>
    <w:qFormat/>
    <w:uiPriority w:val="0"/>
    <w:pPr>
      <w:numPr>
        <w:numId w:val="0"/>
      </w:numPr>
      <w:tabs>
        <w:tab w:val="left" w:pos="2100"/>
      </w:tabs>
      <w:spacing w:before="240"/>
      <w:ind w:left="2100" w:hanging="420"/>
      <w:jc w:val="center"/>
    </w:pPr>
    <w:rPr>
      <w:rFonts w:cs="宋体"/>
      <w:bCs/>
      <w:szCs w:val="20"/>
    </w:rPr>
  </w:style>
  <w:style w:type="paragraph" w:customStyle="1" w:styleId="2116">
    <w:name w:val="样式 小四 首行缩进:  2 字符"/>
    <w:basedOn w:val="1"/>
    <w:qFormat/>
    <w:uiPriority w:val="0"/>
    <w:pPr>
      <w:spacing w:line="240" w:lineRule="auto"/>
      <w:ind w:firstLine="514" w:firstLineChars="200"/>
    </w:pPr>
    <w:rPr>
      <w:rFonts w:cs="宋体"/>
      <w:szCs w:val="20"/>
    </w:rPr>
  </w:style>
  <w:style w:type="paragraph" w:customStyle="1" w:styleId="2117">
    <w:name w:val="Char Char Char Char Char Char Char Char Char Char Char Char Char Char Char Char Char Char"/>
    <w:basedOn w:val="1"/>
    <w:qFormat/>
    <w:uiPriority w:val="0"/>
    <w:pPr>
      <w:spacing w:line="240" w:lineRule="auto"/>
    </w:pPr>
    <w:rPr>
      <w:sz w:val="21"/>
    </w:rPr>
  </w:style>
  <w:style w:type="paragraph" w:customStyle="1" w:styleId="2118">
    <w:name w:val="Char Char1 Char Char Char Char Char Char Char Char Char Char Char Char Char Char"/>
    <w:basedOn w:val="1"/>
    <w:qFormat/>
    <w:uiPriority w:val="0"/>
    <w:pPr>
      <w:widowControl/>
      <w:spacing w:after="160" w:line="240" w:lineRule="exact"/>
      <w:jc w:val="left"/>
    </w:pPr>
    <w:rPr>
      <w:rFonts w:ascii="Verdana" w:hAnsi="Verdana" w:cs="宋体"/>
      <w:kern w:val="0"/>
      <w:sz w:val="20"/>
      <w:szCs w:val="20"/>
      <w:lang w:eastAsia="en-US"/>
    </w:rPr>
  </w:style>
  <w:style w:type="paragraph" w:customStyle="1" w:styleId="2119">
    <w:name w:val="项目1"/>
    <w:basedOn w:val="1"/>
    <w:qFormat/>
    <w:uiPriority w:val="0"/>
    <w:pPr>
      <w:tabs>
        <w:tab w:val="left" w:pos="819"/>
      </w:tabs>
      <w:snapToGrid w:val="0"/>
      <w:spacing w:line="0" w:lineRule="atLeast"/>
      <w:ind w:left="819" w:hanging="420"/>
    </w:pPr>
    <w:rPr>
      <w:sz w:val="28"/>
      <w:szCs w:val="20"/>
    </w:rPr>
  </w:style>
  <w:style w:type="paragraph" w:customStyle="1" w:styleId="2120">
    <w:name w:val="_Style 4"/>
    <w:basedOn w:val="1"/>
    <w:qFormat/>
    <w:uiPriority w:val="0"/>
    <w:pPr>
      <w:ind w:firstLine="200" w:firstLineChars="200"/>
    </w:pPr>
    <w:rPr>
      <w:sz w:val="21"/>
      <w:szCs w:val="20"/>
    </w:rPr>
  </w:style>
  <w:style w:type="paragraph" w:customStyle="1" w:styleId="2121">
    <w:name w:val="样式 标题 1 + 首行缩进:  0 厘米 段前: 6 磅 段后: 6 磅 行距: 固定值 28 磅"/>
    <w:basedOn w:val="5"/>
    <w:qFormat/>
    <w:uiPriority w:val="0"/>
    <w:pPr>
      <w:keepLines/>
      <w:pageBreakBefore/>
      <w:widowControl/>
      <w:tabs>
        <w:tab w:val="left" w:pos="1800"/>
      </w:tabs>
      <w:spacing w:before="360" w:beforeLines="200" w:after="120" w:line="560" w:lineRule="exact"/>
      <w:jc w:val="center"/>
    </w:pPr>
    <w:rPr>
      <w:rFonts w:ascii="黑体" w:hAnsi="Times New Roman" w:eastAsia="黑体" w:cs="宋体"/>
      <w:bCs/>
      <w:color w:val="000000"/>
      <w:kern w:val="44"/>
      <w:sz w:val="32"/>
      <w:szCs w:val="32"/>
      <w:u w:color="000000"/>
    </w:rPr>
  </w:style>
  <w:style w:type="paragraph" w:customStyle="1" w:styleId="2122">
    <w:name w:val="样式 标题 2第一层条Head2A2H2h2Heading 2 HiddenHeading 2 CCBS第一章 ..."/>
    <w:basedOn w:val="6"/>
    <w:qFormat/>
    <w:uiPriority w:val="0"/>
    <w:pPr>
      <w:keepNext/>
      <w:keepLines/>
      <w:numPr>
        <w:ilvl w:val="0"/>
        <w:numId w:val="0"/>
      </w:numPr>
      <w:tabs>
        <w:tab w:val="left" w:pos="930"/>
        <w:tab w:val="clear" w:pos="-181"/>
      </w:tabs>
      <w:snapToGrid/>
      <w:spacing w:before="0" w:beforeLines="0"/>
      <w:ind w:left="930" w:hanging="576"/>
      <w:jc w:val="both"/>
    </w:pPr>
    <w:rPr>
      <w:b/>
      <w:bCs/>
      <w:color w:val="0000FF"/>
      <w:sz w:val="28"/>
      <w:szCs w:val="20"/>
    </w:rPr>
  </w:style>
  <w:style w:type="paragraph" w:customStyle="1" w:styleId="2123">
    <w:name w:val="样式45"/>
    <w:basedOn w:val="1568"/>
    <w:qFormat/>
    <w:uiPriority w:val="0"/>
    <w:pPr>
      <w:tabs>
        <w:tab w:val="left" w:pos="1365"/>
      </w:tabs>
      <w:adjustRightInd w:val="0"/>
      <w:snapToGrid w:val="0"/>
      <w:spacing w:line="360" w:lineRule="auto"/>
      <w:jc w:val="both"/>
    </w:pPr>
    <w:rPr>
      <w:rFonts w:ascii="黑体" w:hAnsi="宋体" w:eastAsia="黑体"/>
      <w:b/>
      <w:bCs/>
      <w:sz w:val="28"/>
      <w:szCs w:val="28"/>
    </w:rPr>
  </w:style>
  <w:style w:type="paragraph" w:customStyle="1" w:styleId="2124">
    <w:name w:val="xl103"/>
    <w:basedOn w:val="1"/>
    <w:qFormat/>
    <w:uiPriority w:val="0"/>
    <w:pPr>
      <w:widowControl/>
      <w:pBdr>
        <w:left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125">
    <w:name w:val="样式20"/>
    <w:basedOn w:val="2126"/>
    <w:qFormat/>
    <w:uiPriority w:val="0"/>
    <w:rPr>
      <w:color w:val="000000"/>
    </w:rPr>
  </w:style>
  <w:style w:type="paragraph" w:customStyle="1" w:styleId="2126">
    <w:name w:val="样式 表号 + Times New Roman"/>
    <w:basedOn w:val="415"/>
    <w:qFormat/>
    <w:uiPriority w:val="0"/>
    <w:pPr>
      <w:widowControl w:val="0"/>
      <w:adjustRightInd/>
      <w:snapToGrid/>
      <w:spacing w:line="240" w:lineRule="auto"/>
      <w:outlineLvl w:val="9"/>
    </w:pPr>
    <w:rPr>
      <w:rFonts w:ascii="Times New Roman" w:hAnsi="Times New Roman" w:eastAsia="华文中宋"/>
      <w:sz w:val="21"/>
    </w:rPr>
  </w:style>
  <w:style w:type="paragraph" w:customStyle="1" w:styleId="2127">
    <w:name w:val="xl97"/>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128">
    <w:name w:val="样式9"/>
    <w:qFormat/>
    <w:uiPriority w:val="0"/>
    <w:pPr>
      <w:adjustRightInd w:val="0"/>
      <w:snapToGrid w:val="0"/>
      <w:spacing w:beforeLines="50"/>
      <w:ind w:firstLine="200" w:firstLineChars="200"/>
    </w:pPr>
    <w:rPr>
      <w:rFonts w:ascii="Times New Roman" w:hAnsi="宋体" w:eastAsia="Times New Roman" w:cs="Times New Roman"/>
      <w:b/>
      <w:kern w:val="2"/>
      <w:sz w:val="21"/>
      <w:szCs w:val="21"/>
      <w:lang w:val="en-US" w:eastAsia="zh-CN" w:bidi="ar-SA"/>
    </w:rPr>
  </w:style>
  <w:style w:type="paragraph" w:customStyle="1" w:styleId="2129">
    <w:name w:val="Title.3"/>
    <w:next w:val="1"/>
    <w:qFormat/>
    <w:uiPriority w:val="0"/>
    <w:pPr>
      <w:keepNext/>
      <w:keepLines/>
      <w:spacing w:before="50" w:beforeLines="50" w:line="360" w:lineRule="auto"/>
      <w:outlineLvl w:val="2"/>
    </w:pPr>
    <w:rPr>
      <w:rFonts w:ascii="Times New Roman" w:hAnsi="Times New Roman" w:eastAsia="仿宋_GB2312" w:cs="Times New Roman"/>
      <w:kern w:val="0"/>
      <w:sz w:val="28"/>
      <w:szCs w:val="20"/>
      <w:lang w:val="en-US" w:eastAsia="zh-CN" w:bidi="ar-SA"/>
    </w:rPr>
  </w:style>
  <w:style w:type="paragraph" w:customStyle="1" w:styleId="2130">
    <w:name w:val="正文无缩进"/>
    <w:basedOn w:val="1"/>
    <w:qFormat/>
    <w:uiPriority w:val="0"/>
    <w:pPr>
      <w:spacing w:beforeLines="50" w:line="240" w:lineRule="auto"/>
      <w:jc w:val="left"/>
    </w:pPr>
    <w:rPr>
      <w:rFonts w:ascii="宋体" w:hAnsi="宋体"/>
      <w:sz w:val="30"/>
    </w:rPr>
  </w:style>
  <w:style w:type="paragraph" w:customStyle="1" w:styleId="2131">
    <w:name w:val="et9"/>
    <w:basedOn w:val="1"/>
    <w:qFormat/>
    <w:uiPriority w:val="0"/>
    <w:pPr>
      <w:widowControl/>
      <w:pBdr>
        <w:top w:val="single" w:color="000000" w:sz="4" w:space="0"/>
        <w:left w:val="single" w:color="000000" w:sz="4" w:space="0"/>
        <w:bottom w:val="single" w:color="000000" w:sz="12"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132">
    <w:name w:val="填表内容"/>
    <w:basedOn w:val="1"/>
    <w:qFormat/>
    <w:uiPriority w:val="0"/>
    <w:pPr>
      <w:adjustRightInd w:val="0"/>
      <w:spacing w:line="480" w:lineRule="exact"/>
      <w:ind w:firstLine="560" w:firstLineChars="200"/>
      <w:jc w:val="left"/>
      <w:textAlignment w:val="baseline"/>
    </w:pPr>
    <w:rPr>
      <w:rFonts w:ascii="楷体_GB2312" w:eastAsia="楷体_GB2312"/>
      <w:sz w:val="28"/>
      <w:szCs w:val="20"/>
    </w:rPr>
  </w:style>
  <w:style w:type="paragraph" w:customStyle="1" w:styleId="2133">
    <w:name w:val="样式19"/>
    <w:basedOn w:val="6"/>
    <w:qFormat/>
    <w:uiPriority w:val="0"/>
    <w:pPr>
      <w:numPr>
        <w:numId w:val="0"/>
      </w:numPr>
      <w:tabs>
        <w:tab w:val="left" w:pos="576"/>
        <w:tab w:val="left" w:pos="630"/>
        <w:tab w:val="left" w:pos="840"/>
        <w:tab w:val="left" w:pos="1287"/>
        <w:tab w:val="left" w:pos="3920"/>
        <w:tab w:val="left" w:pos="5670"/>
        <w:tab w:val="clear" w:pos="-181"/>
        <w:tab w:val="clear" w:pos="860"/>
      </w:tabs>
      <w:snapToGrid/>
      <w:spacing w:before="260" w:beforeLines="50" w:after="260" w:afterLines="50" w:line="520" w:lineRule="exact"/>
      <w:ind w:left="576" w:firstLine="567"/>
      <w:jc w:val="both"/>
      <w:textAlignment w:val="auto"/>
    </w:pPr>
    <w:rPr>
      <w:rFonts w:hAnsi="Batang" w:eastAsia="华文行楷" w:cs="宋体"/>
      <w:bCs/>
      <w:snapToGrid w:val="0"/>
      <w:color w:val="000000"/>
      <w:spacing w:val="4"/>
      <w:kern w:val="2"/>
      <w:sz w:val="28"/>
    </w:rPr>
  </w:style>
  <w:style w:type="paragraph" w:customStyle="1" w:styleId="2134">
    <w:name w:val="图头"/>
    <w:basedOn w:val="1"/>
    <w:qFormat/>
    <w:uiPriority w:val="0"/>
    <w:pPr>
      <w:spacing w:beforeLines="50" w:afterLines="50" w:line="520" w:lineRule="exact"/>
      <w:ind w:firstLine="560" w:firstLineChars="200"/>
    </w:pPr>
    <w:rPr>
      <w:rFonts w:ascii="黑体" w:eastAsia="黑体"/>
      <w:b/>
      <w:bCs/>
      <w:szCs w:val="28"/>
    </w:rPr>
  </w:style>
  <w:style w:type="paragraph" w:customStyle="1" w:styleId="2135">
    <w:name w:val="xl72"/>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eastAsia="Arial Unicode MS"/>
      <w:color w:val="000000"/>
      <w:kern w:val="0"/>
      <w:sz w:val="21"/>
      <w:szCs w:val="21"/>
    </w:rPr>
  </w:style>
  <w:style w:type="paragraph" w:customStyle="1" w:styleId="2136">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kern w:val="0"/>
      <w:sz w:val="16"/>
      <w:szCs w:val="16"/>
    </w:rPr>
  </w:style>
  <w:style w:type="paragraph" w:customStyle="1" w:styleId="2137">
    <w:name w:val="Char Char Char Char Char Char Char4"/>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2138">
    <w:name w:val="插图名称"/>
    <w:basedOn w:val="1"/>
    <w:next w:val="1"/>
    <w:qFormat/>
    <w:uiPriority w:val="0"/>
    <w:pPr>
      <w:adjustRightInd w:val="0"/>
      <w:snapToGrid w:val="0"/>
      <w:spacing w:line="480" w:lineRule="atLeast"/>
      <w:jc w:val="center"/>
    </w:pPr>
    <w:rPr>
      <w:rFonts w:ascii="黑体" w:hAnsi="Plotter" w:eastAsia="黑体" w:cs="Plotter"/>
      <w:b/>
      <w:sz w:val="21"/>
      <w:szCs w:val="21"/>
    </w:rPr>
  </w:style>
  <w:style w:type="paragraph" w:customStyle="1" w:styleId="2139">
    <w:name w:val="样式 haydonli + 首行缩进:  2 字符"/>
    <w:basedOn w:val="1"/>
    <w:qFormat/>
    <w:uiPriority w:val="0"/>
    <w:pPr>
      <w:adjustRightInd w:val="0"/>
      <w:snapToGrid w:val="0"/>
      <w:spacing w:line="400" w:lineRule="exact"/>
      <w:ind w:firstLine="420"/>
    </w:pPr>
    <w:rPr>
      <w:rFonts w:ascii="宋体" w:hAnsi="宋体" w:cs="宋体"/>
      <w:snapToGrid w:val="0"/>
      <w:kern w:val="0"/>
    </w:rPr>
  </w:style>
  <w:style w:type="paragraph" w:customStyle="1" w:styleId="2140">
    <w:name w:val="标题3 Char Char Char Char"/>
    <w:basedOn w:val="1"/>
    <w:qFormat/>
    <w:uiPriority w:val="0"/>
    <w:pPr>
      <w:spacing w:afterLines="50" w:line="560" w:lineRule="exact"/>
      <w:ind w:right="1224" w:rightChars="583" w:firstLine="600" w:firstLineChars="250"/>
    </w:pPr>
    <w:rPr>
      <w:rFonts w:eastAsia="黑体"/>
      <w:sz w:val="30"/>
      <w:szCs w:val="30"/>
    </w:rPr>
  </w:style>
  <w:style w:type="paragraph" w:customStyle="1" w:styleId="2141">
    <w:name w:val="样式21"/>
    <w:basedOn w:val="1"/>
    <w:qFormat/>
    <w:uiPriority w:val="0"/>
    <w:pPr>
      <w:numPr>
        <w:ilvl w:val="3"/>
        <w:numId w:val="47"/>
      </w:numPr>
      <w:spacing w:line="312" w:lineRule="auto"/>
    </w:pPr>
  </w:style>
  <w:style w:type="paragraph" w:customStyle="1" w:styleId="2142">
    <w:name w:val="正文样式"/>
    <w:basedOn w:val="1"/>
    <w:qFormat/>
    <w:uiPriority w:val="0"/>
    <w:pPr>
      <w:ind w:firstLine="480" w:firstLineChars="200"/>
    </w:pPr>
    <w:rPr>
      <w:rFonts w:ascii="宋体" w:hAnsi="宋体"/>
    </w:rPr>
  </w:style>
  <w:style w:type="paragraph" w:customStyle="1" w:styleId="2143">
    <w:name w:val="样式 样式 样式 小四 加粗 首行缩进:  0.85 厘米 + 段后: 0.5 行 + 段后: 1 行"/>
    <w:basedOn w:val="1"/>
    <w:qFormat/>
    <w:uiPriority w:val="0"/>
    <w:pPr>
      <w:spacing w:afterLines="100" w:line="240" w:lineRule="auto"/>
      <w:ind w:firstLine="482"/>
      <w:outlineLvl w:val="3"/>
    </w:pPr>
    <w:rPr>
      <w:rFonts w:cs="宋体"/>
      <w:b/>
      <w:bCs/>
      <w:szCs w:val="20"/>
    </w:rPr>
  </w:style>
  <w:style w:type="paragraph" w:customStyle="1" w:styleId="2144">
    <w:name w:val="IDC A-Head (2nd Line)"/>
    <w:basedOn w:val="1"/>
    <w:next w:val="1"/>
    <w:qFormat/>
    <w:uiPriority w:val="0"/>
    <w:pPr>
      <w:widowControl/>
      <w:spacing w:line="240" w:lineRule="auto"/>
      <w:jc w:val="center"/>
    </w:pPr>
    <w:rPr>
      <w:caps/>
      <w:kern w:val="0"/>
      <w:szCs w:val="20"/>
    </w:rPr>
  </w:style>
  <w:style w:type="paragraph" w:customStyle="1" w:styleId="2145">
    <w:name w:val="样式 左"/>
    <w:basedOn w:val="1"/>
    <w:qFormat/>
    <w:uiPriority w:val="0"/>
    <w:pPr>
      <w:autoSpaceDE w:val="0"/>
      <w:autoSpaceDN w:val="0"/>
      <w:adjustRightInd w:val="0"/>
      <w:snapToGrid w:val="0"/>
      <w:ind w:firstLine="480" w:firstLineChars="200"/>
      <w:jc w:val="left"/>
    </w:pPr>
    <w:rPr>
      <w:rFonts w:ascii="宋体" w:hAnsi="宋体"/>
      <w:color w:val="000000"/>
      <w:kern w:val="0"/>
      <w:szCs w:val="20"/>
    </w:rPr>
  </w:style>
  <w:style w:type="paragraph" w:customStyle="1" w:styleId="2146">
    <w:name w:val="Char Char Char Char2"/>
    <w:basedOn w:val="1"/>
    <w:qFormat/>
    <w:uiPriority w:val="0"/>
    <w:pPr>
      <w:widowControl/>
      <w:tabs>
        <w:tab w:val="left" w:pos="360"/>
      </w:tabs>
      <w:spacing w:line="240" w:lineRule="auto"/>
    </w:pPr>
    <w:rPr>
      <w:kern w:val="0"/>
      <w:lang w:bidi="en-US"/>
    </w:rPr>
  </w:style>
  <w:style w:type="paragraph" w:customStyle="1" w:styleId="2147">
    <w:name w:val="样式正文 + (符号) 宋体 小四 行距: 固定值 24 磅"/>
    <w:basedOn w:val="1"/>
    <w:qFormat/>
    <w:uiPriority w:val="0"/>
    <w:pPr>
      <w:ind w:firstLine="148" w:firstLineChars="148"/>
    </w:pPr>
    <w:rPr>
      <w:rFonts w:ascii="宋体" w:hAnsi="宋体" w:cs="宋体"/>
    </w:rPr>
  </w:style>
  <w:style w:type="paragraph" w:customStyle="1" w:styleId="2148">
    <w:name w:val="样式74"/>
    <w:basedOn w:val="602"/>
    <w:qFormat/>
    <w:uiPriority w:val="0"/>
    <w:pPr>
      <w:widowControl w:val="0"/>
      <w:adjustRightInd w:val="0"/>
      <w:snapToGrid w:val="0"/>
      <w:spacing w:before="0" w:beforeLines="0" w:line="360" w:lineRule="auto"/>
      <w:ind w:firstLine="480"/>
      <w:jc w:val="both"/>
    </w:pPr>
    <w:rPr>
      <w:rFonts w:eastAsia="宋体"/>
      <w:snapToGrid w:val="0"/>
      <w:kern w:val="0"/>
      <w:sz w:val="24"/>
      <w:szCs w:val="24"/>
    </w:rPr>
  </w:style>
  <w:style w:type="paragraph" w:customStyle="1" w:styleId="2149">
    <w:name w:val="_Style 34"/>
    <w:basedOn w:val="1"/>
    <w:qFormat/>
    <w:uiPriority w:val="0"/>
    <w:pPr>
      <w:spacing w:line="240" w:lineRule="auto"/>
    </w:pPr>
  </w:style>
  <w:style w:type="paragraph" w:customStyle="1" w:styleId="2150">
    <w:name w:val="样式91"/>
    <w:basedOn w:val="1"/>
    <w:qFormat/>
    <w:uiPriority w:val="0"/>
    <w:pPr>
      <w:spacing w:line="240" w:lineRule="auto"/>
    </w:pPr>
    <w:rPr>
      <w:sz w:val="21"/>
    </w:rPr>
  </w:style>
  <w:style w:type="paragraph" w:customStyle="1" w:styleId="2151">
    <w:name w:val="四号章"/>
    <w:basedOn w:val="1"/>
    <w:qFormat/>
    <w:uiPriority w:val="0"/>
    <w:pPr>
      <w:widowControl/>
      <w:overflowPunct w:val="0"/>
      <w:topLinePunct/>
      <w:adjustRightInd w:val="0"/>
      <w:snapToGrid w:val="0"/>
      <w:spacing w:line="480" w:lineRule="atLeast"/>
      <w:jc w:val="center"/>
    </w:pPr>
    <w:rPr>
      <w:rFonts w:ascii="宋体" w:hAnsi="宋体" w:eastAsia="黑体" w:cs="宋体"/>
      <w:spacing w:val="6"/>
      <w:kern w:val="0"/>
      <w:sz w:val="28"/>
      <w:szCs w:val="20"/>
    </w:rPr>
  </w:style>
  <w:style w:type="paragraph" w:customStyle="1" w:styleId="2152">
    <w:name w:val="正文1 Char Char1 Char"/>
    <w:basedOn w:val="1"/>
    <w:qFormat/>
    <w:uiPriority w:val="0"/>
    <w:pPr>
      <w:adjustRightInd w:val="0"/>
      <w:snapToGrid w:val="0"/>
      <w:spacing w:line="516" w:lineRule="exact"/>
      <w:ind w:firstLine="200" w:firstLineChars="200"/>
    </w:pPr>
    <w:rPr>
      <w:rFonts w:eastAsia="楷体_GB2312"/>
      <w:sz w:val="26"/>
      <w:szCs w:val="26"/>
    </w:rPr>
  </w:style>
  <w:style w:type="paragraph" w:customStyle="1" w:styleId="2153">
    <w:name w:val="xl93"/>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2154">
    <w:name w:val="章2"/>
    <w:basedOn w:val="5"/>
    <w:qFormat/>
    <w:uiPriority w:val="0"/>
    <w:pPr>
      <w:keepNext w:val="0"/>
      <w:adjustRightInd w:val="0"/>
      <w:snapToGrid w:val="0"/>
      <w:spacing w:beforeLines="50" w:afterLines="50" w:line="312" w:lineRule="auto"/>
      <w:jc w:val="center"/>
      <w:textAlignment w:val="baseline"/>
    </w:pPr>
    <w:rPr>
      <w:rFonts w:ascii="黑体" w:hAnsi="Times New Roman" w:eastAsia="黑体"/>
      <w:snapToGrid w:val="0"/>
      <w:spacing w:val="6"/>
      <w:kern w:val="0"/>
      <w:sz w:val="36"/>
      <w:szCs w:val="28"/>
    </w:rPr>
  </w:style>
  <w:style w:type="paragraph" w:customStyle="1" w:styleId="2155">
    <w:name w:val="样式 样式 蓝色 首行缩进:  1 厘米 行距: 固定值 25 磅 + 首行缩进:  2 字符"/>
    <w:basedOn w:val="1"/>
    <w:qFormat/>
    <w:uiPriority w:val="0"/>
    <w:pPr>
      <w:spacing w:line="500" w:lineRule="exact"/>
      <w:ind w:firstLine="560" w:firstLineChars="200"/>
    </w:pPr>
    <w:rPr>
      <w:rFonts w:cs="宋体"/>
      <w:sz w:val="28"/>
      <w:szCs w:val="20"/>
    </w:rPr>
  </w:style>
  <w:style w:type="paragraph" w:customStyle="1" w:styleId="2156">
    <w:name w:val="样式1－表头"/>
    <w:basedOn w:val="1"/>
    <w:qFormat/>
    <w:uiPriority w:val="0"/>
    <w:pPr>
      <w:adjustRightInd w:val="0"/>
      <w:snapToGrid w:val="0"/>
      <w:spacing w:beforeLines="50" w:afterLines="50" w:line="336" w:lineRule="auto"/>
      <w:jc w:val="center"/>
    </w:pPr>
    <w:rPr>
      <w:rFonts w:eastAsia="黑体"/>
      <w:spacing w:val="6"/>
      <w:szCs w:val="20"/>
    </w:rPr>
  </w:style>
  <w:style w:type="paragraph" w:customStyle="1" w:styleId="2157">
    <w:name w:val="【附件】"/>
    <w:basedOn w:val="557"/>
    <w:qFormat/>
    <w:uiPriority w:val="0"/>
    <w:pPr>
      <w:ind w:firstLine="0" w:firstLineChars="0"/>
      <w:jc w:val="left"/>
    </w:pPr>
    <w:rPr>
      <w:rFonts w:ascii="宋体" w:hAnsi="宋体" w:cs="Times New Roman"/>
      <w:b/>
      <w:bCs/>
      <w:spacing w:val="4"/>
      <w:szCs w:val="24"/>
    </w:rPr>
  </w:style>
  <w:style w:type="paragraph" w:customStyle="1" w:styleId="2158">
    <w:name w:val="表格内容居中"/>
    <w:basedOn w:val="1"/>
    <w:qFormat/>
    <w:uiPriority w:val="0"/>
    <w:pPr>
      <w:overflowPunct w:val="0"/>
      <w:adjustRightInd w:val="0"/>
      <w:snapToGrid w:val="0"/>
      <w:spacing w:line="460" w:lineRule="exact"/>
      <w:jc w:val="center"/>
      <w:textAlignment w:val="baseline"/>
    </w:pPr>
    <w:rPr>
      <w:rFonts w:ascii="仿宋_GB2312" w:hAnsi="宋体" w:eastAsia="仿宋_GB2312"/>
      <w:spacing w:val="12"/>
      <w:kern w:val="0"/>
      <w:sz w:val="21"/>
      <w:szCs w:val="21"/>
    </w:rPr>
  </w:style>
  <w:style w:type="paragraph" w:customStyle="1" w:styleId="2159">
    <w:name w:val="表格文字中"/>
    <w:basedOn w:val="1"/>
    <w:qFormat/>
    <w:uiPriority w:val="0"/>
    <w:pPr>
      <w:tabs>
        <w:tab w:val="left" w:pos="1727"/>
        <w:tab w:val="left" w:pos="1884"/>
      </w:tabs>
      <w:adjustRightInd w:val="0"/>
      <w:snapToGrid w:val="0"/>
      <w:spacing w:line="240" w:lineRule="auto"/>
      <w:jc w:val="center"/>
    </w:pPr>
    <w:rPr>
      <w:rFonts w:ascii="宋体" w:hAnsi="宋体"/>
      <w:color w:val="000000"/>
      <w:kern w:val="0"/>
    </w:rPr>
  </w:style>
  <w:style w:type="paragraph" w:customStyle="1" w:styleId="2160">
    <w:name w:val="text3"/>
    <w:basedOn w:val="1"/>
    <w:qFormat/>
    <w:uiPriority w:val="0"/>
    <w:pPr>
      <w:widowControl/>
      <w:adjustRightInd w:val="0"/>
      <w:spacing w:before="100" w:beforeAutospacing="1" w:after="100" w:afterAutospacing="1" w:line="300" w:lineRule="atLeast"/>
      <w:textAlignment w:val="baseline"/>
    </w:pPr>
    <w:rPr>
      <w:rFonts w:ascii="宋体" w:hAnsi="宋体"/>
      <w:color w:val="000000"/>
      <w:kern w:val="0"/>
      <w:szCs w:val="20"/>
    </w:rPr>
  </w:style>
  <w:style w:type="paragraph" w:customStyle="1" w:styleId="2161">
    <w:name w:val="表标6.7"/>
    <w:basedOn w:val="1"/>
    <w:qFormat/>
    <w:uiPriority w:val="0"/>
    <w:pPr>
      <w:tabs>
        <w:tab w:val="left" w:pos="360"/>
      </w:tabs>
      <w:spacing w:beforeLines="100" w:line="0" w:lineRule="atLeast"/>
    </w:pPr>
    <w:rPr>
      <w:rFonts w:eastAsia="黑体"/>
      <w:b/>
    </w:rPr>
  </w:style>
  <w:style w:type="paragraph" w:customStyle="1" w:styleId="2162">
    <w:name w:val="T正文"/>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kern w:val="0"/>
      <w:sz w:val="28"/>
      <w:szCs w:val="20"/>
      <w:lang w:val="en-US" w:eastAsia="zh-CN" w:bidi="ar-SA"/>
    </w:rPr>
  </w:style>
  <w:style w:type="paragraph" w:customStyle="1" w:styleId="2163">
    <w:name w:val="样式 表内-文字 +"/>
    <w:basedOn w:val="2164"/>
    <w:qFormat/>
    <w:uiPriority w:val="0"/>
    <w:pPr>
      <w:tabs>
        <w:tab w:val="left" w:pos="1260"/>
      </w:tabs>
    </w:pPr>
    <w:rPr>
      <w:bCs w:val="0"/>
      <w:kern w:val="0"/>
    </w:rPr>
  </w:style>
  <w:style w:type="paragraph" w:customStyle="1" w:styleId="2164">
    <w:name w:val="表内-文字"/>
    <w:basedOn w:val="1"/>
    <w:qFormat/>
    <w:uiPriority w:val="0"/>
    <w:pPr>
      <w:spacing w:line="320" w:lineRule="exact"/>
      <w:jc w:val="center"/>
    </w:pPr>
    <w:rPr>
      <w:rFonts w:eastAsia="楷体_GB2312" w:cs="宋体"/>
      <w:bCs/>
      <w:color w:val="000000"/>
      <w:sz w:val="21"/>
      <w:szCs w:val="21"/>
    </w:rPr>
  </w:style>
  <w:style w:type="paragraph" w:customStyle="1" w:styleId="2165">
    <w:name w:val="xl11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166">
    <w:name w:val="Char Char Char"/>
    <w:basedOn w:val="1"/>
    <w:qFormat/>
    <w:uiPriority w:val="0"/>
    <w:pPr>
      <w:adjustRightInd w:val="0"/>
    </w:pPr>
  </w:style>
  <w:style w:type="paragraph" w:customStyle="1" w:styleId="2167">
    <w:name w:val="中文报告书样式"/>
    <w:basedOn w:val="1"/>
    <w:qFormat/>
    <w:uiPriority w:val="0"/>
    <w:pPr>
      <w:adjustRightInd w:val="0"/>
      <w:spacing w:line="520" w:lineRule="exact"/>
      <w:ind w:firstLine="578"/>
      <w:textAlignment w:val="baseline"/>
    </w:pPr>
    <w:rPr>
      <w:kern w:val="24"/>
      <w:sz w:val="28"/>
      <w:szCs w:val="20"/>
    </w:rPr>
  </w:style>
  <w:style w:type="paragraph" w:customStyle="1" w:styleId="2168">
    <w:name w:val="标题3样式"/>
    <w:basedOn w:val="7"/>
    <w:qFormat/>
    <w:uiPriority w:val="0"/>
    <w:pPr>
      <w:widowControl/>
      <w:numPr>
        <w:numId w:val="0"/>
      </w:numPr>
      <w:tabs>
        <w:tab w:val="left" w:pos="1080"/>
      </w:tabs>
      <w:spacing w:before="0" w:after="0" w:line="360" w:lineRule="auto"/>
      <w:jc w:val="left"/>
    </w:pPr>
    <w:rPr>
      <w:rFonts w:ascii="黑体" w:hAnsi="Times New Roman" w:eastAsia="黑体"/>
      <w:color w:val="auto"/>
      <w:kern w:val="0"/>
      <w:sz w:val="24"/>
    </w:rPr>
  </w:style>
  <w:style w:type="paragraph" w:customStyle="1" w:styleId="2169">
    <w:name w:val="样式 小五 首行缩进:  2 字符"/>
    <w:basedOn w:val="1"/>
    <w:qFormat/>
    <w:uiPriority w:val="0"/>
    <w:pPr>
      <w:spacing w:line="240" w:lineRule="auto"/>
    </w:pPr>
    <w:rPr>
      <w:rFonts w:cs="宋体"/>
      <w:sz w:val="18"/>
      <w:szCs w:val="20"/>
    </w:rPr>
  </w:style>
  <w:style w:type="paragraph" w:customStyle="1" w:styleId="2170">
    <w:name w:val="首行缩进2字符 Char"/>
    <w:basedOn w:val="1"/>
    <w:qFormat/>
    <w:uiPriority w:val="0"/>
    <w:pPr>
      <w:ind w:firstLine="480" w:firstLineChars="200"/>
    </w:pPr>
    <w:rPr>
      <w:rFonts w:cs="宋体"/>
      <w:szCs w:val="20"/>
    </w:rPr>
  </w:style>
  <w:style w:type="paragraph" w:customStyle="1" w:styleId="2171">
    <w:name w:val="样式 标题 2 + 首行缩进:  2 字符 段前: 0.5 行 段后: 0.5 行"/>
    <w:basedOn w:val="6"/>
    <w:qFormat/>
    <w:uiPriority w:val="0"/>
    <w:pPr>
      <w:keepNext/>
      <w:keepLines/>
      <w:numPr>
        <w:ilvl w:val="0"/>
        <w:numId w:val="0"/>
      </w:numPr>
      <w:tabs>
        <w:tab w:val="clear" w:pos="-181"/>
      </w:tabs>
      <w:adjustRightInd/>
      <w:snapToGrid/>
      <w:spacing w:before="260" w:beforeLines="50" w:after="260" w:afterLines="50" w:line="240" w:lineRule="auto"/>
      <w:jc w:val="both"/>
      <w:textAlignment w:val="auto"/>
    </w:pPr>
    <w:rPr>
      <w:rFonts w:ascii="Arial" w:hAnsi="Arial" w:eastAsia="华文中宋" w:cs="宋体"/>
      <w:b/>
      <w:bCs/>
      <w:kern w:val="2"/>
      <w:sz w:val="28"/>
      <w:szCs w:val="20"/>
    </w:rPr>
  </w:style>
  <w:style w:type="paragraph" w:customStyle="1" w:styleId="2172">
    <w:name w:val="Char6 Char Char Char Char Char Char Char Char Char2"/>
    <w:basedOn w:val="1"/>
    <w:qFormat/>
    <w:uiPriority w:val="0"/>
    <w:pPr>
      <w:spacing w:line="240" w:lineRule="auto"/>
    </w:pPr>
    <w:rPr>
      <w:rFonts w:ascii="宋体" w:hAnsi="宋体"/>
      <w:color w:val="000000"/>
      <w:sz w:val="28"/>
      <w:szCs w:val="20"/>
    </w:rPr>
  </w:style>
  <w:style w:type="paragraph" w:customStyle="1" w:styleId="2173">
    <w:name w:val="Pa3"/>
    <w:basedOn w:val="1345"/>
    <w:next w:val="1345"/>
    <w:qFormat/>
    <w:uiPriority w:val="0"/>
    <w:rPr>
      <w:rFonts w:ascii="MHei-Medium" w:eastAsia="MHei-Medium"/>
      <w:color w:val="auto"/>
      <w:sz w:val="20"/>
    </w:rPr>
  </w:style>
  <w:style w:type="paragraph" w:customStyle="1" w:styleId="2174">
    <w:name w:val="样式 样式 标题 2 + 段前: 0.5 行4 + 段前: 0.5 行"/>
    <w:basedOn w:val="1"/>
    <w:qFormat/>
    <w:uiPriority w:val="0"/>
    <w:pPr>
      <w:tabs>
        <w:tab w:val="left" w:pos="540"/>
      </w:tabs>
      <w:adjustRightInd w:val="0"/>
      <w:spacing w:before="163"/>
      <w:ind w:left="567" w:hanging="540"/>
      <w:outlineLvl w:val="1"/>
    </w:pPr>
    <w:rPr>
      <w:rFonts w:eastAsia="黑体" w:cs="宋体"/>
      <w:szCs w:val="20"/>
    </w:rPr>
  </w:style>
  <w:style w:type="paragraph" w:customStyle="1" w:styleId="2175">
    <w:name w:val="Char Char2 Char1"/>
    <w:basedOn w:val="1"/>
    <w:qFormat/>
    <w:uiPriority w:val="0"/>
    <w:pPr>
      <w:spacing w:line="240" w:lineRule="auto"/>
    </w:pPr>
    <w:rPr>
      <w:sz w:val="21"/>
      <w:szCs w:val="20"/>
    </w:rPr>
  </w:style>
  <w:style w:type="paragraph" w:customStyle="1" w:styleId="2176">
    <w:name w:val="7"/>
    <w:basedOn w:val="1"/>
    <w:next w:val="1"/>
    <w:qFormat/>
    <w:uiPriority w:val="0"/>
    <w:pPr>
      <w:tabs>
        <w:tab w:val="left" w:pos="780"/>
      </w:tabs>
      <w:spacing w:before="120" w:line="300" w:lineRule="auto"/>
      <w:ind w:left="780" w:leftChars="200" w:hanging="360" w:hangingChars="200"/>
      <w:jc w:val="left"/>
      <w:outlineLvl w:val="1"/>
    </w:pPr>
    <w:rPr>
      <w:rFonts w:eastAsia="仿宋_GB2312"/>
      <w:kern w:val="28"/>
      <w:szCs w:val="20"/>
    </w:rPr>
  </w:style>
  <w:style w:type="paragraph" w:customStyle="1" w:styleId="2177">
    <w:name w:val="正文文本缩进 211"/>
    <w:basedOn w:val="1"/>
    <w:qFormat/>
    <w:uiPriority w:val="0"/>
    <w:pPr>
      <w:widowControl/>
      <w:adjustRightInd w:val="0"/>
      <w:ind w:firstLine="510"/>
      <w:textAlignment w:val="baseline"/>
    </w:pPr>
    <w:rPr>
      <w:rFonts w:ascii="宋体" w:hAnsi="宋体"/>
      <w:kern w:val="0"/>
      <w:sz w:val="28"/>
      <w:szCs w:val="20"/>
      <w:lang w:bidi="en-US"/>
    </w:rPr>
  </w:style>
  <w:style w:type="paragraph" w:customStyle="1" w:styleId="2178">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179">
    <w:name w:val="样式 左侧:  0.85 厘米 首行缩进:  2 字符"/>
    <w:basedOn w:val="1"/>
    <w:qFormat/>
    <w:uiPriority w:val="0"/>
    <w:pPr>
      <w:spacing w:line="480" w:lineRule="exact"/>
      <w:ind w:firstLine="200" w:firstLineChars="200"/>
    </w:pPr>
    <w:rPr>
      <w:rFonts w:cs="宋体"/>
      <w:szCs w:val="20"/>
    </w:rPr>
  </w:style>
  <w:style w:type="paragraph" w:customStyle="1" w:styleId="2180">
    <w:name w:val="样式 小四 行距: 多倍行距 1.25 字行 首行缩进:  2.25 字符"/>
    <w:basedOn w:val="1"/>
    <w:qFormat/>
    <w:uiPriority w:val="0"/>
    <w:pPr>
      <w:spacing w:line="300" w:lineRule="auto"/>
      <w:ind w:firstLine="200" w:firstLineChars="200"/>
    </w:pPr>
    <w:rPr>
      <w:rFonts w:cs="宋体"/>
      <w:szCs w:val="20"/>
    </w:rPr>
  </w:style>
  <w:style w:type="paragraph" w:customStyle="1" w:styleId="2181">
    <w:name w:val="三级目录格式"/>
    <w:basedOn w:val="1"/>
    <w:qFormat/>
    <w:uiPriority w:val="0"/>
    <w:pPr>
      <w:keepLines/>
      <w:outlineLvl w:val="2"/>
    </w:pPr>
    <w:rPr>
      <w:rFonts w:eastAsia="黑体"/>
      <w:bCs/>
      <w:sz w:val="28"/>
      <w:szCs w:val="28"/>
    </w:rPr>
  </w:style>
  <w:style w:type="paragraph" w:customStyle="1" w:styleId="2182">
    <w:name w:val="泸县焦化表头"/>
    <w:basedOn w:val="1"/>
    <w:qFormat/>
    <w:uiPriority w:val="0"/>
    <w:pPr>
      <w:adjustRightInd w:val="0"/>
      <w:snapToGrid w:val="0"/>
      <w:jc w:val="center"/>
    </w:pPr>
    <w:rPr>
      <w:b/>
      <w:color w:val="0000FF"/>
    </w:rPr>
  </w:style>
  <w:style w:type="paragraph" w:customStyle="1" w:styleId="2183">
    <w:name w:val="!Texte courant"/>
    <w:qFormat/>
    <w:uiPriority w:val="0"/>
    <w:pPr>
      <w:spacing w:before="120" w:line="280" w:lineRule="atLeast"/>
      <w:jc w:val="both"/>
    </w:pPr>
    <w:rPr>
      <w:rFonts w:ascii="Times New Roman" w:hAnsi="Times New Roman" w:eastAsia="宋体" w:cs="Times New Roman"/>
      <w:kern w:val="0"/>
      <w:sz w:val="24"/>
      <w:szCs w:val="20"/>
      <w:lang w:val="fr-FR" w:eastAsia="en-US" w:bidi="ar-SA"/>
    </w:rPr>
  </w:style>
  <w:style w:type="paragraph" w:customStyle="1" w:styleId="2184">
    <w:name w:val="66"/>
    <w:basedOn w:val="2"/>
    <w:qFormat/>
    <w:uiPriority w:val="0"/>
    <w:pPr>
      <w:autoSpaceDE/>
      <w:autoSpaceDN/>
      <w:ind w:firstLine="200"/>
    </w:pPr>
    <w:rPr>
      <w:rFonts w:hint="default"/>
      <w:color w:val="auto"/>
      <w:szCs w:val="24"/>
    </w:rPr>
  </w:style>
  <w:style w:type="paragraph" w:customStyle="1" w:styleId="2185">
    <w:name w:val="表格+行距18磅"/>
    <w:basedOn w:val="1"/>
    <w:qFormat/>
    <w:uiPriority w:val="0"/>
    <w:pPr>
      <w:snapToGrid w:val="0"/>
      <w:spacing w:line="240" w:lineRule="exact"/>
      <w:jc w:val="center"/>
    </w:pPr>
    <w:rPr>
      <w:rFonts w:ascii="仿宋_GB2312" w:eastAsia="仿宋_GB2312"/>
      <w:color w:val="000000"/>
      <w:sz w:val="21"/>
      <w:szCs w:val="20"/>
    </w:rPr>
  </w:style>
  <w:style w:type="paragraph" w:customStyle="1" w:styleId="2186">
    <w:name w:val="样式 正文（首行缩进两字） + 行距: 固定值 20 磅"/>
    <w:basedOn w:val="23"/>
    <w:qFormat/>
    <w:uiPriority w:val="0"/>
    <w:pPr>
      <w:spacing w:afterLines="20" w:line="400" w:lineRule="exact"/>
      <w:ind w:left="227" w:firstLine="0"/>
      <w:jc w:val="center"/>
    </w:pPr>
  </w:style>
  <w:style w:type="paragraph" w:customStyle="1" w:styleId="2187">
    <w:name w:val="样式 表头 + 段前: 1 行1"/>
    <w:basedOn w:val="3"/>
    <w:qFormat/>
    <w:uiPriority w:val="0"/>
    <w:pPr>
      <w:spacing w:beforeLines="100" w:after="0"/>
      <w:ind w:left="0" w:leftChars="0" w:firstLine="509" w:firstLineChars="196"/>
      <w:jc w:val="center"/>
    </w:pPr>
    <w:rPr>
      <w:rFonts w:cs="宋体"/>
      <w:sz w:val="21"/>
      <w:szCs w:val="20"/>
    </w:rPr>
  </w:style>
  <w:style w:type="paragraph" w:customStyle="1" w:styleId="2188">
    <w:name w:val="样式 正文1 Char Char + 字距调整七号 Char1"/>
    <w:basedOn w:val="1"/>
    <w:qFormat/>
    <w:uiPriority w:val="0"/>
    <w:pPr>
      <w:suppressLineNumbers/>
      <w:suppressAutoHyphens/>
      <w:topLinePunct/>
      <w:adjustRightInd w:val="0"/>
      <w:snapToGrid w:val="0"/>
      <w:ind w:firstLine="480" w:firstLineChars="200"/>
    </w:pPr>
    <w:rPr>
      <w:kern w:val="11"/>
    </w:rPr>
  </w:style>
  <w:style w:type="paragraph" w:customStyle="1" w:styleId="2189">
    <w:name w:val="小表内容"/>
    <w:basedOn w:val="1"/>
    <w:qFormat/>
    <w:uiPriority w:val="0"/>
    <w:pPr>
      <w:wordWrap w:val="0"/>
      <w:spacing w:line="240" w:lineRule="exact"/>
      <w:jc w:val="center"/>
    </w:pPr>
    <w:rPr>
      <w:rFonts w:ascii="宋体" w:hAnsi="宋体"/>
      <w:sz w:val="18"/>
      <w:szCs w:val="21"/>
    </w:rPr>
  </w:style>
  <w:style w:type="paragraph" w:customStyle="1" w:styleId="2190">
    <w:name w:val="样式 样式 正文1 + 段前: 0.1 行 + 段前: 0.1 行"/>
    <w:basedOn w:val="2191"/>
    <w:qFormat/>
    <w:uiPriority w:val="0"/>
    <w:pPr>
      <w:spacing w:before="24"/>
    </w:pPr>
  </w:style>
  <w:style w:type="paragraph" w:customStyle="1" w:styleId="2191">
    <w:name w:val="样式 正文1 + 段前: 0.1 行"/>
    <w:basedOn w:val="1"/>
    <w:qFormat/>
    <w:uiPriority w:val="0"/>
    <w:pPr>
      <w:snapToGrid w:val="0"/>
      <w:spacing w:beforeLines="10" w:line="440" w:lineRule="atLeast"/>
      <w:ind w:firstLine="567"/>
    </w:pPr>
    <w:rPr>
      <w:szCs w:val="20"/>
    </w:rPr>
  </w:style>
  <w:style w:type="paragraph" w:customStyle="1" w:styleId="2192">
    <w:name w:val="样式 标题 2 + 段前: 6 磅 段后: 0 磅"/>
    <w:basedOn w:val="6"/>
    <w:qFormat/>
    <w:uiPriority w:val="0"/>
    <w:pPr>
      <w:keepNext/>
      <w:keepLines/>
      <w:numPr>
        <w:ilvl w:val="0"/>
        <w:numId w:val="0"/>
      </w:numPr>
      <w:tabs>
        <w:tab w:val="left" w:pos="2040"/>
        <w:tab w:val="clear" w:pos="-181"/>
      </w:tabs>
      <w:adjustRightInd/>
      <w:snapToGrid/>
      <w:spacing w:before="260" w:beforeLines="0" w:after="260" w:line="415" w:lineRule="auto"/>
      <w:ind w:left="2040" w:leftChars="800" w:hanging="360" w:hangingChars="200"/>
      <w:jc w:val="both"/>
      <w:textAlignment w:val="auto"/>
    </w:pPr>
    <w:rPr>
      <w:rFonts w:ascii="Arial" w:hAnsi="Arial"/>
      <w:b/>
      <w:bCs/>
      <w:kern w:val="2"/>
      <w:sz w:val="32"/>
      <w:szCs w:val="32"/>
    </w:rPr>
  </w:style>
  <w:style w:type="paragraph" w:customStyle="1" w:styleId="2193">
    <w:name w:val="样式 标题 3 + 小三 段前: 6 磅 段后: 6 磅 行距: 多倍行距 1.25 字行"/>
    <w:basedOn w:val="7"/>
    <w:qFormat/>
    <w:uiPriority w:val="0"/>
    <w:pPr>
      <w:numPr>
        <w:ilvl w:val="0"/>
        <w:numId w:val="0"/>
      </w:numPr>
      <w:spacing w:before="0" w:after="0" w:line="300" w:lineRule="auto"/>
    </w:pPr>
    <w:rPr>
      <w:rFonts w:ascii="Times New Roman" w:hAnsi="Times New Roman"/>
      <w:bCs w:val="0"/>
      <w:color w:val="auto"/>
      <w:szCs w:val="20"/>
    </w:rPr>
  </w:style>
  <w:style w:type="paragraph" w:customStyle="1" w:styleId="2194">
    <w:name w:val="cs10 additive Default Pa"/>
    <w:qFormat/>
    <w:uiPriority w:val="0"/>
    <w:pPr>
      <w:widowControl w:val="0"/>
      <w:autoSpaceDE w:val="0"/>
      <w:autoSpaceDN w:val="0"/>
      <w:adjustRightInd w:val="0"/>
    </w:pPr>
    <w:rPr>
      <w:rFonts w:ascii="Times New Roman" w:hAnsi="Times New Roman" w:eastAsia="宋体" w:cs="Times New Roman"/>
      <w:kern w:val="0"/>
      <w:sz w:val="20"/>
      <w:szCs w:val="20"/>
      <w:lang w:val="en-US" w:eastAsia="zh-CN" w:bidi="ar-SA"/>
    </w:rPr>
  </w:style>
  <w:style w:type="paragraph" w:customStyle="1" w:styleId="2195">
    <w:name w:val="样式 标题 3小标题小节标题标题3H3h33rd level第二层条标题4 + Arial 两端对齐"/>
    <w:basedOn w:val="7"/>
    <w:qFormat/>
    <w:uiPriority w:val="0"/>
    <w:pPr>
      <w:numPr>
        <w:ilvl w:val="0"/>
        <w:numId w:val="0"/>
      </w:numPr>
      <w:tabs>
        <w:tab w:val="left" w:pos="1050"/>
        <w:tab w:val="left" w:pos="1111"/>
      </w:tabs>
      <w:adjustRightInd w:val="0"/>
      <w:snapToGrid w:val="0"/>
      <w:spacing w:before="0" w:after="0" w:line="360" w:lineRule="auto"/>
      <w:ind w:left="851" w:hanging="851"/>
      <w:textAlignment w:val="baseline"/>
    </w:pPr>
    <w:rPr>
      <w:rFonts w:ascii="Arial" w:hAnsi="Arial" w:cs="宋体"/>
      <w:color w:val="auto"/>
      <w:kern w:val="32"/>
      <w:sz w:val="30"/>
      <w:szCs w:val="30"/>
      <w:lang w:val="en-GB"/>
    </w:rPr>
  </w:style>
  <w:style w:type="paragraph" w:customStyle="1" w:styleId="2196">
    <w:name w:val="表文居中"/>
    <w:basedOn w:val="1"/>
    <w:qFormat/>
    <w:uiPriority w:val="0"/>
    <w:pPr>
      <w:framePr w:hSpace="180" w:wrap="around" w:vAnchor="text" w:hAnchor="margin" w:y="2"/>
      <w:spacing w:before="48" w:after="48" w:line="300" w:lineRule="exact"/>
      <w:jc w:val="center"/>
    </w:pPr>
    <w:rPr>
      <w:rFonts w:ascii="Arial" w:hAnsi="Arial" w:eastAsia="仿宋_GB2312" w:cs="Arial"/>
      <w:sz w:val="21"/>
      <w:szCs w:val="21"/>
    </w:rPr>
  </w:style>
  <w:style w:type="paragraph" w:customStyle="1" w:styleId="2197">
    <w:name w:val="样式42"/>
    <w:basedOn w:val="708"/>
    <w:qFormat/>
    <w:uiPriority w:val="0"/>
    <w:rPr>
      <w:rFonts w:ascii="Times New Roman" w:hAnsi="Times New Roman"/>
    </w:rPr>
  </w:style>
  <w:style w:type="paragraph" w:customStyle="1" w:styleId="2198">
    <w:name w:val="+正文"/>
    <w:basedOn w:val="1"/>
    <w:qFormat/>
    <w:uiPriority w:val="0"/>
    <w:pPr>
      <w:ind w:firstLine="200" w:firstLineChars="200"/>
    </w:pPr>
    <w:rPr>
      <w:sz w:val="28"/>
      <w:szCs w:val="28"/>
    </w:rPr>
  </w:style>
  <w:style w:type="paragraph" w:customStyle="1" w:styleId="2199">
    <w:name w:val="Char Char Char Char Char Char Char6"/>
    <w:basedOn w:val="1"/>
    <w:qFormat/>
    <w:uiPriority w:val="0"/>
    <w:pPr>
      <w:widowControl/>
      <w:spacing w:after="160" w:line="240" w:lineRule="exact"/>
    </w:pPr>
    <w:rPr>
      <w:rFonts w:ascii="Verdana" w:hAnsi="Verdana"/>
      <w:kern w:val="0"/>
      <w:sz w:val="20"/>
      <w:szCs w:val="20"/>
      <w:lang w:bidi="en-US"/>
    </w:rPr>
  </w:style>
  <w:style w:type="paragraph" w:customStyle="1" w:styleId="2200">
    <w:name w:val="样式 目录 1 + 行距: 最小值 12 磅1"/>
    <w:basedOn w:val="60"/>
    <w:qFormat/>
    <w:uiPriority w:val="0"/>
    <w:pPr>
      <w:widowControl/>
      <w:tabs>
        <w:tab w:val="right" w:leader="dot" w:pos="9060"/>
        <w:tab w:val="right" w:leader="dot" w:pos="9100"/>
      </w:tabs>
      <w:adjustRightInd w:val="0"/>
      <w:snapToGrid w:val="0"/>
      <w:spacing w:beforeLines="50" w:line="500" w:lineRule="atLeast"/>
    </w:pPr>
    <w:rPr>
      <w:rFonts w:ascii="Calibri" w:hAnsi="Calibri" w:eastAsia="宋体"/>
      <w:caps w:val="0"/>
      <w:sz w:val="24"/>
      <w:szCs w:val="24"/>
    </w:rPr>
  </w:style>
  <w:style w:type="paragraph" w:customStyle="1" w:styleId="2201">
    <w:name w:val="样式 样式 标题 2 + 左侧:  2 字符1 + 左侧:  2 字符"/>
    <w:basedOn w:val="1"/>
    <w:qFormat/>
    <w:uiPriority w:val="0"/>
    <w:pPr>
      <w:keepNext/>
      <w:keepLines/>
      <w:numPr>
        <w:ilvl w:val="1"/>
        <w:numId w:val="48"/>
      </w:numPr>
      <w:spacing w:beforeLines="50" w:afterLines="50" w:line="240" w:lineRule="auto"/>
      <w:ind w:left="210" w:right="210" w:rightChars="100" w:firstLine="0"/>
      <w:outlineLvl w:val="1"/>
    </w:pPr>
    <w:rPr>
      <w:rFonts w:ascii="黑体" w:hAnsi="Arial" w:eastAsia="黑体"/>
      <w:sz w:val="52"/>
      <w:szCs w:val="20"/>
    </w:rPr>
  </w:style>
  <w:style w:type="paragraph" w:customStyle="1" w:styleId="2202">
    <w:name w:val="样式 标题 2 + 段前: 0.3 行 段后: 0.3 行"/>
    <w:basedOn w:val="6"/>
    <w:qFormat/>
    <w:uiPriority w:val="0"/>
    <w:pPr>
      <w:keepNext/>
      <w:keepLines/>
      <w:widowControl/>
      <w:numPr>
        <w:ilvl w:val="0"/>
        <w:numId w:val="0"/>
      </w:numPr>
      <w:tabs>
        <w:tab w:val="clear" w:pos="-181"/>
      </w:tabs>
      <w:spacing w:before="120" w:beforeLines="0" w:after="120" w:line="480" w:lineRule="exact"/>
      <w:jc w:val="both"/>
      <w:textAlignment w:val="auto"/>
    </w:pPr>
    <w:rPr>
      <w:rFonts w:cs="宋体"/>
      <w:bCs/>
      <w:i/>
      <w:szCs w:val="20"/>
    </w:rPr>
  </w:style>
  <w:style w:type="paragraph" w:customStyle="1" w:styleId="2203">
    <w:name w:val="表格 2"/>
    <w:basedOn w:val="1"/>
    <w:qFormat/>
    <w:uiPriority w:val="0"/>
    <w:pPr>
      <w:autoSpaceDE w:val="0"/>
      <w:autoSpaceDN w:val="0"/>
      <w:adjustRightInd w:val="0"/>
      <w:spacing w:line="240" w:lineRule="auto"/>
      <w:jc w:val="center"/>
      <w:textAlignment w:val="baseline"/>
    </w:pPr>
    <w:rPr>
      <w:kern w:val="0"/>
      <w:szCs w:val="20"/>
    </w:rPr>
  </w:style>
  <w:style w:type="paragraph" w:customStyle="1" w:styleId="2204">
    <w:name w:val="样式 正文文本 + 首行缩进:  2 字符"/>
    <w:basedOn w:val="36"/>
    <w:qFormat/>
    <w:uiPriority w:val="0"/>
    <w:pPr>
      <w:spacing w:after="0" w:line="240" w:lineRule="auto"/>
      <w:ind w:firstLine="420" w:firstLineChars="200"/>
    </w:pPr>
    <w:rPr>
      <w:rFonts w:eastAsia="仿宋_GB2312" w:cs="宋体"/>
      <w:sz w:val="28"/>
      <w:szCs w:val="20"/>
    </w:rPr>
  </w:style>
  <w:style w:type="paragraph" w:customStyle="1" w:styleId="2205">
    <w:name w:val="页眉41"/>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206">
    <w:name w:val="样式6"/>
    <w:basedOn w:val="1"/>
    <w:next w:val="1"/>
    <w:qFormat/>
    <w:uiPriority w:val="0"/>
    <w:pPr>
      <w:tabs>
        <w:tab w:val="left" w:pos="540"/>
      </w:tabs>
      <w:spacing w:line="440" w:lineRule="exact"/>
      <w:ind w:left="540" w:hanging="540"/>
    </w:pPr>
    <w:rPr>
      <w:szCs w:val="20"/>
    </w:rPr>
  </w:style>
  <w:style w:type="paragraph" w:customStyle="1" w:styleId="2207">
    <w:name w:val="Char Char7 Char Char Char Char Char Char3"/>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2208">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2209">
    <w:name w:val="44"/>
    <w:basedOn w:val="8"/>
    <w:qFormat/>
    <w:uiPriority w:val="0"/>
    <w:pPr>
      <w:widowControl/>
      <w:tabs>
        <w:tab w:val="clear" w:pos="864"/>
      </w:tabs>
      <w:spacing w:before="280" w:beforeLines="50" w:after="290" w:afterLines="50" w:line="440" w:lineRule="exact"/>
      <w:ind w:left="0" w:firstLine="0"/>
      <w:jc w:val="both"/>
    </w:pPr>
    <w:rPr>
      <w:rFonts w:eastAsia="黑体" w:cs="宋体"/>
      <w:b w:val="0"/>
      <w:bCs w:val="0"/>
      <w:lang w:bidi="en-US"/>
    </w:rPr>
  </w:style>
  <w:style w:type="paragraph" w:customStyle="1" w:styleId="2210">
    <w:name w:val="样式 样式 样式 样式 标题 2标题 2 Char Char + Arial 加粗 首行缩进:  0 厘米 段前: 12 磅 段..."/>
    <w:basedOn w:val="1"/>
    <w:qFormat/>
    <w:uiPriority w:val="0"/>
    <w:pPr>
      <w:keepNext/>
      <w:keepLines/>
      <w:adjustRightInd w:val="0"/>
      <w:spacing w:beforeLines="50"/>
      <w:ind w:left="200" w:leftChars="200"/>
      <w:textAlignment w:val="baseline"/>
      <w:outlineLvl w:val="1"/>
    </w:pPr>
    <w:rPr>
      <w:rFonts w:ascii="Arial" w:hAnsi="Arial" w:eastAsia="黑体" w:cs="宋体"/>
      <w:b/>
      <w:bCs/>
      <w:color w:val="000000"/>
      <w:spacing w:val="-4"/>
      <w:szCs w:val="20"/>
    </w:rPr>
  </w:style>
  <w:style w:type="paragraph" w:customStyle="1" w:styleId="2211">
    <w:name w:val="样式 表文字+居中 + 首行缩进:  0.74 厘米"/>
    <w:basedOn w:val="2212"/>
    <w:qFormat/>
    <w:uiPriority w:val="0"/>
    <w:pPr>
      <w:tabs>
        <w:tab w:val="left" w:pos="945"/>
        <w:tab w:val="right" w:leader="dot" w:pos="1155"/>
        <w:tab w:val="left" w:pos="8715"/>
      </w:tabs>
    </w:pPr>
    <w:rPr>
      <w:rFonts w:cs="宋体"/>
      <w:bCs w:val="0"/>
      <w:szCs w:val="20"/>
    </w:rPr>
  </w:style>
  <w:style w:type="paragraph" w:customStyle="1" w:styleId="2212">
    <w:name w:val="表文字+居中"/>
    <w:basedOn w:val="950"/>
    <w:qFormat/>
    <w:uiPriority w:val="0"/>
    <w:pPr>
      <w:jc w:val="center"/>
    </w:pPr>
    <w:rPr>
      <w:bCs/>
    </w:rPr>
  </w:style>
  <w:style w:type="paragraph" w:customStyle="1" w:styleId="2213">
    <w:name w:val="样式 样式 标题 2标题 2 Char Char + 段前: 0.3 行 + 段前: 0.5 行"/>
    <w:basedOn w:val="2214"/>
    <w:qFormat/>
    <w:uiPriority w:val="0"/>
    <w:pPr>
      <w:tabs>
        <w:tab w:val="left" w:pos="860"/>
        <w:tab w:val="left" w:pos="1407"/>
      </w:tabs>
      <w:spacing w:beforeLines="0"/>
    </w:pPr>
  </w:style>
  <w:style w:type="paragraph" w:customStyle="1" w:styleId="2214">
    <w:name w:val="样式 标题 2标题 2 Char Char + 段前: 0.3 行"/>
    <w:basedOn w:val="6"/>
    <w:qFormat/>
    <w:uiPriority w:val="0"/>
    <w:pPr>
      <w:numPr>
        <w:ilvl w:val="0"/>
        <w:numId w:val="0"/>
      </w:numPr>
      <w:tabs>
        <w:tab w:val="left" w:pos="1407"/>
        <w:tab w:val="clear" w:pos="-181"/>
      </w:tabs>
      <w:spacing w:before="260" w:beforeLines="50"/>
      <w:ind w:left="1407" w:hanging="420"/>
      <w:jc w:val="both"/>
      <w:textAlignment w:val="auto"/>
    </w:pPr>
    <w:rPr>
      <w:rFonts w:ascii="黑体" w:hAnsi="Arial" w:cs="宋体"/>
      <w:kern w:val="2"/>
      <w:sz w:val="28"/>
    </w:rPr>
  </w:style>
  <w:style w:type="paragraph" w:customStyle="1" w:styleId="2215">
    <w:name w:val="样式 样式 表格1 + 首行缩进:  0.63 厘米 + 段前: 7.8 磅"/>
    <w:basedOn w:val="1"/>
    <w:qFormat/>
    <w:uiPriority w:val="0"/>
    <w:pPr>
      <w:adjustRightInd w:val="0"/>
      <w:snapToGrid w:val="0"/>
      <w:spacing w:line="300" w:lineRule="exact"/>
      <w:jc w:val="center"/>
    </w:pPr>
    <w:rPr>
      <w:sz w:val="18"/>
      <w:szCs w:val="18"/>
    </w:rPr>
  </w:style>
  <w:style w:type="paragraph" w:customStyle="1" w:styleId="2216">
    <w:name w:val="Char1 Char Char Char Char Char Char"/>
    <w:basedOn w:val="1"/>
    <w:qFormat/>
    <w:uiPriority w:val="0"/>
  </w:style>
  <w:style w:type="paragraph" w:customStyle="1" w:styleId="2217">
    <w:name w:val="列表结尾"/>
    <w:basedOn w:val="67"/>
    <w:next w:val="36"/>
    <w:qFormat/>
    <w:uiPriority w:val="0"/>
    <w:pPr>
      <w:widowControl/>
      <w:tabs>
        <w:tab w:val="left" w:pos="720"/>
      </w:tabs>
      <w:overflowPunct w:val="0"/>
      <w:autoSpaceDE w:val="0"/>
      <w:autoSpaceDN w:val="0"/>
      <w:adjustRightInd w:val="0"/>
      <w:spacing w:after="240"/>
      <w:ind w:left="720" w:hanging="360" w:firstLineChars="0"/>
      <w:textAlignment w:val="baseline"/>
    </w:pPr>
    <w:rPr>
      <w:kern w:val="0"/>
      <w:sz w:val="20"/>
      <w:lang w:bidi="en-US"/>
    </w:rPr>
  </w:style>
  <w:style w:type="paragraph" w:customStyle="1" w:styleId="2218">
    <w:name w:val="样式 标题 2h2l22nd levelTitre22Header 2节标题 1.1 + 宋体 四号 左 段..."/>
    <w:basedOn w:val="6"/>
    <w:qFormat/>
    <w:uiPriority w:val="0"/>
    <w:pPr>
      <w:keepNext/>
      <w:keepLines/>
      <w:numPr>
        <w:ilvl w:val="0"/>
        <w:numId w:val="0"/>
      </w:numPr>
      <w:tabs>
        <w:tab w:val="left" w:pos="1400"/>
        <w:tab w:val="clear" w:pos="-181"/>
      </w:tabs>
      <w:spacing w:before="0" w:beforeLines="0" w:line="300" w:lineRule="exact"/>
      <w:ind w:left="1400" w:hanging="420"/>
      <w:textAlignment w:val="auto"/>
    </w:pPr>
    <w:rPr>
      <w:rFonts w:ascii="宋体" w:hAnsi="宋体" w:eastAsia="宋体"/>
      <w:b/>
      <w:color w:val="000000"/>
      <w:kern w:val="44"/>
      <w:sz w:val="28"/>
      <w:szCs w:val="20"/>
    </w:rPr>
  </w:style>
  <w:style w:type="paragraph" w:customStyle="1" w:styleId="2219">
    <w:name w:val="xl73"/>
    <w:basedOn w:val="1"/>
    <w:qFormat/>
    <w:uiPriority w:val="0"/>
    <w:pPr>
      <w:widowControl/>
      <w:pBdr>
        <w:top w:val="single" w:color="auto" w:sz="8" w:space="0"/>
        <w:left w:val="single" w:color="auto" w:sz="4" w:space="0"/>
        <w:right w:val="single" w:color="auto" w:sz="4" w:space="0"/>
      </w:pBdr>
      <w:spacing w:before="100" w:beforeAutospacing="1" w:after="100" w:afterAutospacing="1" w:line="240" w:lineRule="auto"/>
      <w:jc w:val="center"/>
      <w:textAlignment w:val="center"/>
    </w:pPr>
    <w:rPr>
      <w:rFonts w:hint="eastAsia" w:ascii="宋体" w:hAnsi="宋体"/>
      <w:kern w:val="0"/>
      <w:sz w:val="32"/>
      <w:szCs w:val="32"/>
    </w:rPr>
  </w:style>
  <w:style w:type="paragraph" w:customStyle="1" w:styleId="2220">
    <w:name w:val="xl110"/>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221">
    <w:name w:val="et16"/>
    <w:basedOn w:val="1"/>
    <w:qFormat/>
    <w:uiPriority w:val="0"/>
    <w:pPr>
      <w:widowControl/>
      <w:pBdr>
        <w:left w:val="single" w:color="000000" w:sz="4" w:space="0"/>
        <w:bottom w:val="single" w:color="000000" w:sz="12"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2222">
    <w:name w:val="样式 表格001 + Arial 五号 行距: 最小值 0 磅"/>
    <w:basedOn w:val="1"/>
    <w:qFormat/>
    <w:uiPriority w:val="0"/>
    <w:pPr>
      <w:spacing w:line="0" w:lineRule="atLeast"/>
      <w:jc w:val="center"/>
    </w:pPr>
    <w:rPr>
      <w:rFonts w:ascii="Arial" w:hAnsi="Arial" w:cs="宋体"/>
      <w:spacing w:val="10"/>
      <w:sz w:val="21"/>
      <w:szCs w:val="21"/>
    </w:rPr>
  </w:style>
  <w:style w:type="paragraph" w:customStyle="1" w:styleId="2223">
    <w:name w:val="项目符号引导"/>
    <w:basedOn w:val="26"/>
    <w:next w:val="26"/>
    <w:qFormat/>
    <w:uiPriority w:val="0"/>
    <w:pPr>
      <w:widowControl/>
      <w:tabs>
        <w:tab w:val="clear" w:pos="432"/>
      </w:tabs>
      <w:overflowPunct w:val="0"/>
      <w:autoSpaceDE w:val="0"/>
      <w:autoSpaceDN w:val="0"/>
      <w:adjustRightInd w:val="0"/>
      <w:spacing w:before="80" w:after="160" w:line="240" w:lineRule="auto"/>
      <w:ind w:left="720" w:firstLine="0" w:firstLineChars="0"/>
      <w:textAlignment w:val="baseline"/>
    </w:pPr>
    <w:rPr>
      <w:kern w:val="0"/>
      <w:sz w:val="20"/>
      <w:lang w:bidi="en-US"/>
    </w:rPr>
  </w:style>
  <w:style w:type="paragraph" w:customStyle="1" w:styleId="2224">
    <w:name w:val="a14"/>
    <w:basedOn w:val="1"/>
    <w:qFormat/>
    <w:uiPriority w:val="0"/>
    <w:pPr>
      <w:widowControl/>
      <w:spacing w:before="100" w:beforeAutospacing="1" w:after="100" w:afterAutospacing="1" w:line="300" w:lineRule="atLeast"/>
      <w:ind w:firstLine="375" w:firstLineChars="200"/>
    </w:pPr>
    <w:rPr>
      <w:rFonts w:ascii="宋体" w:hAnsi="宋体"/>
      <w:kern w:val="0"/>
      <w:sz w:val="21"/>
      <w:szCs w:val="21"/>
    </w:rPr>
  </w:style>
  <w:style w:type="paragraph" w:customStyle="1" w:styleId="2225">
    <w:name w:val="Char Char Char1 Char"/>
    <w:basedOn w:val="1"/>
    <w:qFormat/>
    <w:uiPriority w:val="0"/>
    <w:pPr>
      <w:spacing w:line="240" w:lineRule="auto"/>
    </w:pPr>
    <w:rPr>
      <w:sz w:val="21"/>
    </w:rPr>
  </w:style>
  <w:style w:type="paragraph" w:customStyle="1" w:styleId="2226">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pPr>
    <w:rPr>
      <w:rFonts w:ascii="Arial" w:hAnsi="Arial"/>
      <w:b/>
      <w:spacing w:val="-10"/>
      <w:kern w:val="0"/>
      <w:position w:val="7"/>
      <w:sz w:val="20"/>
      <w:szCs w:val="20"/>
    </w:rPr>
  </w:style>
  <w:style w:type="paragraph" w:customStyle="1" w:styleId="2227">
    <w:name w:val="首行缩进"/>
    <w:basedOn w:val="1"/>
    <w:qFormat/>
    <w:uiPriority w:val="0"/>
    <w:pPr>
      <w:snapToGrid w:val="0"/>
      <w:ind w:firstLine="499"/>
    </w:pPr>
    <w:rPr>
      <w:rFonts w:ascii="宋体"/>
      <w:szCs w:val="20"/>
    </w:rPr>
  </w:style>
  <w:style w:type="paragraph" w:customStyle="1" w:styleId="2228">
    <w:name w:val="报告书 标题2"/>
    <w:basedOn w:val="6"/>
    <w:qFormat/>
    <w:uiPriority w:val="0"/>
    <w:pPr>
      <w:tabs>
        <w:tab w:val="left" w:pos="576"/>
      </w:tabs>
      <w:spacing w:before="120" w:beforeLines="0" w:after="120" w:line="415" w:lineRule="auto"/>
    </w:pPr>
    <w:rPr>
      <w:rFonts w:eastAsia="仿宋_GB2312" w:cs="宋体"/>
      <w:color w:val="0000FF"/>
      <w:szCs w:val="20"/>
    </w:rPr>
  </w:style>
  <w:style w:type="paragraph" w:customStyle="1" w:styleId="2229">
    <w:name w:val="Qzy样式3"/>
    <w:basedOn w:val="7"/>
    <w:qFormat/>
    <w:uiPriority w:val="0"/>
    <w:pPr>
      <w:keepNext w:val="0"/>
      <w:keepLines w:val="0"/>
      <w:widowControl/>
      <w:numPr>
        <w:ilvl w:val="0"/>
        <w:numId w:val="0"/>
      </w:numPr>
      <w:tabs>
        <w:tab w:val="left" w:pos="709"/>
      </w:tabs>
      <w:spacing w:before="120" w:beforeLines="50" w:after="0" w:afterLines="10" w:line="240" w:lineRule="atLeast"/>
      <w:ind w:left="709" w:hanging="709" w:firstLineChars="200"/>
      <w:jc w:val="left"/>
    </w:pPr>
    <w:rPr>
      <w:rFonts w:ascii="Times New Roman"/>
      <w:bCs w:val="0"/>
      <w:kern w:val="0"/>
      <w:sz w:val="30"/>
      <w:szCs w:val="28"/>
    </w:rPr>
  </w:style>
  <w:style w:type="paragraph" w:customStyle="1" w:styleId="2230">
    <w:name w:val="font12"/>
    <w:basedOn w:val="1"/>
    <w:qFormat/>
    <w:uiPriority w:val="0"/>
    <w:pPr>
      <w:widowControl/>
      <w:spacing w:before="100" w:beforeAutospacing="1" w:after="100" w:afterAutospacing="1"/>
      <w:ind w:firstLine="200" w:firstLineChars="200"/>
      <w:jc w:val="left"/>
    </w:pPr>
    <w:rPr>
      <w:rFonts w:hint="eastAsia" w:ascii="宋体" w:hAnsi="宋体"/>
      <w:i/>
      <w:iCs/>
      <w:kern w:val="0"/>
    </w:rPr>
  </w:style>
  <w:style w:type="paragraph" w:customStyle="1" w:styleId="2231">
    <w:name w:val="样式 正文1 Char + 仿宋_GB2312 四号 首行缩进:  2 字符 Char Char"/>
    <w:basedOn w:val="1"/>
    <w:qFormat/>
    <w:uiPriority w:val="0"/>
    <w:pPr>
      <w:suppressLineNumbers/>
      <w:suppressAutoHyphens/>
      <w:topLinePunct/>
      <w:adjustRightInd w:val="0"/>
      <w:snapToGrid w:val="0"/>
      <w:ind w:firstLine="560" w:firstLineChars="200"/>
    </w:pPr>
    <w:rPr>
      <w:rFonts w:ascii="宋体" w:hAnsi="宋体" w:cs="宋体"/>
      <w:sz w:val="28"/>
      <w:szCs w:val="28"/>
    </w:rPr>
  </w:style>
  <w:style w:type="paragraph" w:customStyle="1" w:styleId="2232">
    <w:name w:val="技术规范"/>
    <w:basedOn w:val="1451"/>
    <w:qFormat/>
    <w:uiPriority w:val="0"/>
    <w:pPr>
      <w:numPr>
        <w:ilvl w:val="0"/>
        <w:numId w:val="49"/>
      </w:numPr>
    </w:pPr>
  </w:style>
  <w:style w:type="paragraph" w:customStyle="1" w:styleId="2233">
    <w:name w:val="表中文字++++++++"/>
    <w:basedOn w:val="1"/>
    <w:qFormat/>
    <w:uiPriority w:val="0"/>
    <w:pPr>
      <w:spacing w:line="240" w:lineRule="exact"/>
      <w:jc w:val="center"/>
    </w:pPr>
    <w:rPr>
      <w:sz w:val="21"/>
      <w:szCs w:val="21"/>
    </w:rPr>
  </w:style>
  <w:style w:type="paragraph" w:customStyle="1" w:styleId="2234">
    <w:name w:val="样式 标题 3 + 段后: 0.5 行"/>
    <w:basedOn w:val="7"/>
    <w:qFormat/>
    <w:uiPriority w:val="0"/>
    <w:pPr>
      <w:numPr>
        <w:numId w:val="50"/>
      </w:numPr>
      <w:tabs>
        <w:tab w:val="left" w:pos="425"/>
      </w:tabs>
      <w:spacing w:after="0" w:afterLines="50" w:line="360" w:lineRule="auto"/>
      <w:jc w:val="left"/>
    </w:pPr>
    <w:rPr>
      <w:rFonts w:ascii="Times New Roman" w:hAnsi="Times New Roman" w:eastAsia="华文细黑" w:cs="宋体"/>
      <w:b w:val="0"/>
      <w:sz w:val="30"/>
      <w:szCs w:val="20"/>
    </w:rPr>
  </w:style>
  <w:style w:type="paragraph" w:customStyle="1" w:styleId="2235">
    <w:name w:val="正文一"/>
    <w:basedOn w:val="1"/>
    <w:qFormat/>
    <w:uiPriority w:val="0"/>
    <w:pPr>
      <w:widowControl/>
      <w:adjustRightInd w:val="0"/>
      <w:snapToGrid w:val="0"/>
      <w:spacing w:line="480" w:lineRule="atLeast"/>
      <w:jc w:val="left"/>
    </w:pPr>
    <w:rPr>
      <w:rFonts w:ascii="宋体" w:hAnsi="宋体" w:cs="宋体"/>
      <w:spacing w:val="6"/>
      <w:kern w:val="0"/>
      <w:szCs w:val="20"/>
    </w:rPr>
  </w:style>
  <w:style w:type="paragraph" w:customStyle="1" w:styleId="2236">
    <w:name w:val="dandan6-13正文 Char Char Char"/>
    <w:basedOn w:val="1"/>
    <w:next w:val="1"/>
    <w:qFormat/>
    <w:uiPriority w:val="0"/>
    <w:pPr>
      <w:keepNext/>
      <w:keepLines/>
      <w:widowControl/>
      <w:adjustRightInd w:val="0"/>
      <w:spacing w:before="40" w:after="40"/>
      <w:ind w:firstLine="200" w:firstLineChars="200"/>
      <w:textAlignment w:val="baseline"/>
    </w:pPr>
    <w:rPr>
      <w:rFonts w:cs="宋体"/>
      <w:kern w:val="0"/>
      <w:szCs w:val="28"/>
    </w:rPr>
  </w:style>
  <w:style w:type="paragraph" w:customStyle="1" w:styleId="2237">
    <w:name w:val="CM124"/>
    <w:basedOn w:val="1345"/>
    <w:next w:val="1345"/>
    <w:qFormat/>
    <w:uiPriority w:val="0"/>
    <w:pPr>
      <w:spacing w:after="183"/>
    </w:pPr>
    <w:rPr>
      <w:rFonts w:ascii="·..." w:eastAsia="·..." w:cs="·..."/>
      <w:color w:val="auto"/>
    </w:rPr>
  </w:style>
  <w:style w:type="paragraph" w:customStyle="1" w:styleId="2238">
    <w:name w:val="样式6 + 段前: 0.5 行 段后: 0.5 行"/>
    <w:basedOn w:val="2206"/>
    <w:qFormat/>
    <w:uiPriority w:val="0"/>
    <w:pPr>
      <w:tabs>
        <w:tab w:val="left" w:pos="1230"/>
        <w:tab w:val="clear" w:pos="540"/>
      </w:tabs>
      <w:adjustRightInd w:val="0"/>
      <w:snapToGrid w:val="0"/>
      <w:spacing w:line="360" w:lineRule="auto"/>
      <w:ind w:left="1230" w:hanging="720"/>
      <w:jc w:val="left"/>
      <w:outlineLvl w:val="2"/>
    </w:pPr>
    <w:rPr>
      <w:rFonts w:cs="宋体"/>
    </w:rPr>
  </w:style>
  <w:style w:type="paragraph" w:customStyle="1" w:styleId="2239">
    <w:name w:val="样式 标题 2节标题 1.1b21.1标题2b21 Char1.1标题2 Char标题 21节标题 1.11b2..."/>
    <w:basedOn w:val="6"/>
    <w:qFormat/>
    <w:uiPriority w:val="0"/>
    <w:pPr>
      <w:widowControl/>
      <w:numPr>
        <w:numId w:val="0"/>
      </w:numPr>
      <w:tabs>
        <w:tab w:val="left" w:pos="0"/>
        <w:tab w:val="left" w:pos="576"/>
        <w:tab w:val="clear" w:pos="-181"/>
      </w:tabs>
      <w:snapToGrid/>
      <w:spacing w:before="360" w:beforeLines="0" w:line="480" w:lineRule="auto"/>
      <w:jc w:val="both"/>
      <w:textAlignment w:val="auto"/>
    </w:pPr>
    <w:rPr>
      <w:rFonts w:ascii="黑体" w:cs="宋体"/>
      <w:b/>
      <w:bCs/>
      <w:i/>
      <w:szCs w:val="30"/>
    </w:rPr>
  </w:style>
  <w:style w:type="paragraph" w:customStyle="1" w:styleId="2240">
    <w:name w:val="表内5中"/>
    <w:basedOn w:val="1"/>
    <w:qFormat/>
    <w:uiPriority w:val="0"/>
    <w:pPr>
      <w:autoSpaceDE w:val="0"/>
      <w:autoSpaceDN w:val="0"/>
      <w:adjustRightInd w:val="0"/>
      <w:snapToGrid w:val="0"/>
      <w:spacing w:line="240" w:lineRule="auto"/>
      <w:jc w:val="center"/>
    </w:pPr>
    <w:rPr>
      <w:rFonts w:hAnsi="宋体"/>
      <w:sz w:val="21"/>
    </w:rPr>
  </w:style>
  <w:style w:type="paragraph" w:customStyle="1" w:styleId="2241">
    <w:name w:val="图表目录3"/>
    <w:basedOn w:val="1511"/>
    <w:next w:val="1511"/>
    <w:qFormat/>
    <w:uiPriority w:val="0"/>
    <w:pPr>
      <w:tabs>
        <w:tab w:val="right" w:leader="dot" w:pos="8051"/>
      </w:tabs>
      <w:autoSpaceDE/>
      <w:autoSpaceDN/>
      <w:adjustRightInd w:val="0"/>
      <w:spacing w:after="0" w:line="360" w:lineRule="atLeast"/>
      <w:ind w:left="840" w:hanging="840"/>
      <w:jc w:val="left"/>
      <w:textAlignment w:val="baseline"/>
    </w:pPr>
    <w:rPr>
      <w:rFonts w:ascii="宋体"/>
      <w:kern w:val="0"/>
      <w:sz w:val="24"/>
    </w:rPr>
  </w:style>
  <w:style w:type="paragraph" w:customStyle="1" w:styleId="2242">
    <w:name w:val="表标题16.7.1.1"/>
    <w:basedOn w:val="8"/>
    <w:qFormat/>
    <w:uiPriority w:val="0"/>
    <w:pPr>
      <w:keepLines/>
      <w:numPr>
        <w:ilvl w:val="3"/>
        <w:numId w:val="51"/>
      </w:numPr>
      <w:tabs>
        <w:tab w:val="left" w:pos="1080"/>
        <w:tab w:val="clear" w:pos="864"/>
      </w:tabs>
      <w:spacing w:before="120" w:after="120" w:line="312" w:lineRule="auto"/>
      <w:jc w:val="both"/>
    </w:pPr>
    <w:rPr>
      <w:rFonts w:ascii="Arial" w:hAnsi="Arial" w:eastAsia="黑体"/>
    </w:rPr>
  </w:style>
  <w:style w:type="paragraph" w:customStyle="1" w:styleId="2243">
    <w:name w:val="页脚21"/>
    <w:basedOn w:val="2244"/>
    <w:qFormat/>
    <w:uiPriority w:val="0"/>
    <w:pPr>
      <w:keepNext w:val="0"/>
      <w:tabs>
        <w:tab w:val="center" w:pos="4153"/>
        <w:tab w:val="right" w:pos="8306"/>
      </w:tabs>
      <w:spacing w:before="0" w:after="200" w:line="240" w:lineRule="atLeast"/>
      <w:ind w:firstLine="0" w:firstLineChars="0"/>
      <w:jc w:val="left"/>
    </w:pPr>
    <w:rPr>
      <w:rFonts w:ascii="宋体" w:hAnsi="Calibri"/>
      <w:sz w:val="18"/>
      <w:szCs w:val="22"/>
    </w:rPr>
  </w:style>
  <w:style w:type="paragraph" w:customStyle="1" w:styleId="2244">
    <w:name w:val="正文32"/>
    <w:basedOn w:val="1"/>
    <w:qFormat/>
    <w:uiPriority w:val="0"/>
    <w:pPr>
      <w:keepNext/>
      <w:adjustRightInd w:val="0"/>
      <w:spacing w:before="160" w:line="300" w:lineRule="auto"/>
      <w:ind w:firstLine="480" w:firstLineChars="200"/>
      <w:jc w:val="center"/>
      <w:textAlignment w:val="baseline"/>
    </w:pPr>
    <w:rPr>
      <w:kern w:val="0"/>
      <w:sz w:val="28"/>
      <w:szCs w:val="20"/>
    </w:rPr>
  </w:style>
  <w:style w:type="paragraph" w:customStyle="1" w:styleId="2245">
    <w:name w:val="(1)"/>
    <w:basedOn w:val="1"/>
    <w:qFormat/>
    <w:uiPriority w:val="0"/>
    <w:pPr>
      <w:spacing w:line="500" w:lineRule="atLeast"/>
      <w:ind w:firstLine="200" w:firstLineChars="200"/>
    </w:pPr>
    <w:rPr>
      <w:b/>
      <w:bCs/>
    </w:rPr>
  </w:style>
  <w:style w:type="paragraph" w:customStyle="1" w:styleId="2246">
    <w:name w:val="奇数页脚"/>
    <w:basedOn w:val="56"/>
    <w:qFormat/>
    <w:uiPriority w:val="0"/>
    <w:pPr>
      <w:widowControl/>
      <w:tabs>
        <w:tab w:val="center" w:pos="4320"/>
        <w:tab w:val="right" w:pos="8640"/>
        <w:tab w:val="clear" w:pos="4153"/>
        <w:tab w:val="clear" w:pos="8306"/>
      </w:tabs>
      <w:adjustRightInd w:val="0"/>
      <w:ind w:firstLine="480" w:firstLineChars="200"/>
      <w:jc w:val="right"/>
    </w:pPr>
    <w:rPr>
      <w:rFonts w:ascii="宋体" w:hAnsi="宋体" w:cs="宋体"/>
      <w:i/>
      <w:spacing w:val="4"/>
      <w:sz w:val="24"/>
    </w:rPr>
  </w:style>
  <w:style w:type="paragraph" w:customStyle="1" w:styleId="2247">
    <w:name w:val="示例"/>
    <w:next w:val="8"/>
    <w:qFormat/>
    <w:uiPriority w:val="0"/>
    <w:pPr>
      <w:tabs>
        <w:tab w:val="left" w:pos="816"/>
      </w:tabs>
      <w:ind w:firstLine="419" w:firstLineChars="233"/>
      <w:jc w:val="both"/>
    </w:pPr>
    <w:rPr>
      <w:rFonts w:ascii="宋体" w:hAnsi="Times New Roman" w:eastAsia="宋体" w:cs="Times New Roman"/>
      <w:kern w:val="0"/>
      <w:sz w:val="18"/>
      <w:szCs w:val="20"/>
      <w:lang w:val="en-US" w:eastAsia="zh-CN" w:bidi="ar-SA"/>
    </w:rPr>
  </w:style>
  <w:style w:type="paragraph" w:customStyle="1" w:styleId="2248">
    <w:name w:val="一级标题王"/>
    <w:basedOn w:val="6"/>
    <w:qFormat/>
    <w:uiPriority w:val="0"/>
    <w:pPr>
      <w:widowControl/>
      <w:numPr>
        <w:numId w:val="0"/>
      </w:numPr>
      <w:tabs>
        <w:tab w:val="left" w:pos="576"/>
        <w:tab w:val="clear" w:pos="-181"/>
      </w:tabs>
      <w:autoSpaceDE w:val="0"/>
      <w:autoSpaceDN w:val="0"/>
      <w:spacing w:before="0" w:beforeLines="0"/>
      <w:textAlignment w:val="auto"/>
      <w:outlineLvl w:val="0"/>
    </w:pPr>
    <w:rPr>
      <w:rFonts w:ascii="黑体" w:cs="宋体"/>
      <w:b/>
      <w:spacing w:val="4"/>
      <w:kern w:val="2"/>
      <w:sz w:val="24"/>
      <w:szCs w:val="24"/>
    </w:rPr>
  </w:style>
  <w:style w:type="paragraph" w:customStyle="1" w:styleId="2249">
    <w:name w:val="正文文本缩进 311"/>
    <w:basedOn w:val="1"/>
    <w:qFormat/>
    <w:uiPriority w:val="0"/>
    <w:pPr>
      <w:tabs>
        <w:tab w:val="left" w:pos="480"/>
      </w:tabs>
      <w:adjustRightInd w:val="0"/>
      <w:spacing w:line="360" w:lineRule="atLeast"/>
      <w:ind w:firstLine="567"/>
      <w:jc w:val="left"/>
      <w:textAlignment w:val="baseline"/>
    </w:pPr>
    <w:rPr>
      <w:rFonts w:ascii="宋体"/>
      <w:kern w:val="0"/>
      <w:sz w:val="28"/>
      <w:szCs w:val="20"/>
    </w:rPr>
  </w:style>
  <w:style w:type="paragraph" w:customStyle="1" w:styleId="2250">
    <w:name w:val="ttxtl"/>
    <w:basedOn w:val="1"/>
    <w:qFormat/>
    <w:uiPriority w:val="0"/>
    <w:pPr>
      <w:widowControl/>
      <w:spacing w:before="100" w:beforeAutospacing="1" w:after="100" w:afterAutospacing="1" w:line="240" w:lineRule="auto"/>
      <w:jc w:val="left"/>
    </w:pPr>
    <w:rPr>
      <w:rFonts w:ascii="宋体" w:hAnsi="宋体"/>
      <w:kern w:val="0"/>
    </w:rPr>
  </w:style>
  <w:style w:type="paragraph" w:customStyle="1" w:styleId="2251">
    <w:name w:val="Char Char Char Char Char Char Char Char2 Char Char Char Char Char Char Char Char Char Char Char Char Char Char Char Char Char Char Char Char Char"/>
    <w:basedOn w:val="1"/>
    <w:qFormat/>
    <w:uiPriority w:val="0"/>
    <w:pPr>
      <w:spacing w:line="240" w:lineRule="auto"/>
    </w:pPr>
    <w:rPr>
      <w:rFonts w:ascii="宋体" w:hAnsi="宋体" w:eastAsia="汉鼎简书宋" w:cs="宋体"/>
      <w:spacing w:val="4"/>
    </w:rPr>
  </w:style>
  <w:style w:type="paragraph" w:customStyle="1" w:styleId="2252">
    <w:name w:val="表格"/>
    <w:basedOn w:val="1"/>
    <w:qFormat/>
    <w:uiPriority w:val="0"/>
    <w:pPr>
      <w:spacing w:before="156" w:beforeLines="50" w:after="156" w:afterLines="50" w:line="300" w:lineRule="auto"/>
      <w:ind w:firstLine="560" w:firstLineChars="200"/>
      <w:jc w:val="center"/>
    </w:pPr>
    <w:rPr>
      <w:rFonts w:ascii="宋体"/>
      <w:spacing w:val="20"/>
      <w:szCs w:val="20"/>
    </w:rPr>
  </w:style>
  <w:style w:type="paragraph" w:customStyle="1" w:styleId="2253">
    <w:name w:val="默认段落字体 Para Char Char Char Char"/>
    <w:basedOn w:val="1"/>
    <w:qFormat/>
    <w:uiPriority w:val="0"/>
    <w:pPr>
      <w:spacing w:line="240" w:lineRule="auto"/>
    </w:pPr>
  </w:style>
  <w:style w:type="paragraph" w:customStyle="1" w:styleId="2254">
    <w:name w:val="尾注文本1"/>
    <w:basedOn w:val="1"/>
    <w:qFormat/>
    <w:uiPriority w:val="0"/>
    <w:pPr>
      <w:adjustRightInd w:val="0"/>
      <w:spacing w:line="360" w:lineRule="atLeast"/>
      <w:textAlignment w:val="baseline"/>
    </w:pPr>
    <w:rPr>
      <w:rFonts w:ascii="宋体" w:cs="宋体"/>
      <w:color w:val="000000"/>
      <w:kern w:val="0"/>
      <w:sz w:val="21"/>
      <w:szCs w:val="20"/>
    </w:rPr>
  </w:style>
  <w:style w:type="paragraph" w:customStyle="1" w:styleId="2255">
    <w:name w:val="环评表头"/>
    <w:next w:val="1"/>
    <w:qFormat/>
    <w:uiPriority w:val="0"/>
    <w:pPr>
      <w:tabs>
        <w:tab w:val="left" w:pos="8207"/>
      </w:tabs>
      <w:adjustRightInd w:val="0"/>
      <w:snapToGrid w:val="0"/>
      <w:spacing w:line="360" w:lineRule="auto"/>
      <w:jc w:val="center"/>
      <w:textAlignment w:val="baseline"/>
    </w:pPr>
    <w:rPr>
      <w:rFonts w:ascii="Times New Roman" w:hAnsi="Times New Roman" w:eastAsia="黑体" w:cs="Times New Roman"/>
      <w:kern w:val="2"/>
      <w:sz w:val="24"/>
      <w:szCs w:val="20"/>
      <w:lang w:val="en-US" w:eastAsia="zh-CN" w:bidi="ar-SA"/>
    </w:rPr>
  </w:style>
  <w:style w:type="paragraph" w:customStyle="1" w:styleId="2256">
    <w:name w:val="xl132"/>
    <w:basedOn w:val="1"/>
    <w:qFormat/>
    <w:uiPriority w:val="0"/>
    <w:pPr>
      <w:widowControl/>
      <w:pBdr>
        <w:top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257">
    <w:name w:val="样式 首行缩进:  0.77 厘米 行距: 固定值 20 磅44"/>
    <w:basedOn w:val="1"/>
    <w:qFormat/>
    <w:uiPriority w:val="0"/>
    <w:pPr>
      <w:ind w:firstLine="480" w:firstLineChars="200"/>
    </w:pPr>
  </w:style>
  <w:style w:type="paragraph" w:customStyle="1" w:styleId="2258">
    <w:name w:val="样式 标题 1 + 首行缩进:  2 字符1"/>
    <w:basedOn w:val="5"/>
    <w:qFormat/>
    <w:uiPriority w:val="0"/>
    <w:pPr>
      <w:keepLines/>
      <w:pageBreakBefore/>
      <w:spacing w:before="156" w:after="330" w:line="576" w:lineRule="auto"/>
      <w:jc w:val="center"/>
    </w:pPr>
    <w:rPr>
      <w:rFonts w:ascii="Times New Roman" w:hAnsi="Times New Roman" w:cs="宋体"/>
      <w:b/>
      <w:bCs/>
      <w:kern w:val="44"/>
      <w:sz w:val="44"/>
      <w:szCs w:val="20"/>
    </w:rPr>
  </w:style>
  <w:style w:type="paragraph" w:customStyle="1" w:styleId="2259">
    <w:name w:val="Char Char Char1 Char Char Char Char"/>
    <w:basedOn w:val="1"/>
    <w:qFormat/>
    <w:uiPriority w:val="0"/>
    <w:pPr>
      <w:widowControl/>
      <w:spacing w:after="100" w:afterAutospacing="1" w:line="240" w:lineRule="exact"/>
      <w:jc w:val="left"/>
    </w:pPr>
    <w:rPr>
      <w:rFonts w:ascii="Verdana" w:hAnsi="Verdana" w:eastAsia="仿宋_GB2312"/>
      <w:kern w:val="0"/>
      <w:szCs w:val="20"/>
      <w:lang w:eastAsia="en-US"/>
    </w:rPr>
  </w:style>
  <w:style w:type="paragraph" w:customStyle="1" w:styleId="2260">
    <w:name w:val="正文(a)"/>
    <w:basedOn w:val="36"/>
    <w:qFormat/>
    <w:uiPriority w:val="0"/>
    <w:pPr>
      <w:widowControl/>
      <w:tabs>
        <w:tab w:val="left" w:pos="1139"/>
        <w:tab w:val="left" w:pos="1332"/>
      </w:tabs>
      <w:spacing w:after="0" w:line="351" w:lineRule="atLeast"/>
      <w:ind w:left="-141" w:firstLine="566"/>
      <w:textAlignment w:val="baseline"/>
    </w:pPr>
    <w:rPr>
      <w:rFonts w:ascii="宋体" w:hAnsi="宋体" w:cs="宋体"/>
      <w:bCs/>
      <w:color w:val="000000"/>
      <w:spacing w:val="5"/>
      <w:sz w:val="21"/>
      <w:szCs w:val="21"/>
      <w:u w:color="000000"/>
    </w:rPr>
  </w:style>
  <w:style w:type="paragraph" w:customStyle="1" w:styleId="2261">
    <w:name w:val="样式51"/>
    <w:basedOn w:val="546"/>
    <w:qFormat/>
    <w:uiPriority w:val="0"/>
    <w:pPr>
      <w:ind w:firstLine="0" w:firstLineChars="0"/>
    </w:pPr>
    <w:rPr>
      <w:rFonts w:hAnsi="Times New Roman" w:eastAsia="黑体"/>
      <w:sz w:val="28"/>
      <w:szCs w:val="28"/>
    </w:rPr>
  </w:style>
  <w:style w:type="paragraph" w:customStyle="1" w:styleId="2262">
    <w:name w:val="Char Char Char Char Char Char Char Char Char Char Char Char Char Char Char Char Char Char Char Char Char Char Char Char Char Char Char Char Char Char Char1"/>
    <w:basedOn w:val="1"/>
    <w:qFormat/>
    <w:uiPriority w:val="0"/>
    <w:pPr>
      <w:spacing w:line="240" w:lineRule="auto"/>
    </w:pPr>
    <w:rPr>
      <w:sz w:val="21"/>
    </w:rPr>
  </w:style>
  <w:style w:type="paragraph" w:customStyle="1" w:styleId="2263">
    <w:name w:val="四级标题王1"/>
    <w:basedOn w:val="1"/>
    <w:qFormat/>
    <w:uiPriority w:val="0"/>
    <w:pPr>
      <w:adjustRightInd w:val="0"/>
      <w:snapToGrid w:val="0"/>
      <w:textAlignment w:val="baseline"/>
      <w:outlineLvl w:val="3"/>
    </w:pPr>
    <w:rPr>
      <w:rFonts w:ascii="黑体" w:eastAsia="黑体"/>
      <w:kern w:val="0"/>
    </w:rPr>
  </w:style>
  <w:style w:type="paragraph" w:customStyle="1" w:styleId="2264">
    <w:name w:val="04"/>
    <w:basedOn w:val="1"/>
    <w:qFormat/>
    <w:uiPriority w:val="0"/>
    <w:pPr>
      <w:spacing w:line="312" w:lineRule="auto"/>
    </w:pPr>
    <w:rPr>
      <w:rFonts w:eastAsia="华文仿宋"/>
      <w:szCs w:val="30"/>
    </w:rPr>
  </w:style>
  <w:style w:type="paragraph" w:customStyle="1" w:styleId="2265">
    <w:name w:val="标题 4 + 首行缩进: 1 厘米"/>
    <w:basedOn w:val="8"/>
    <w:qFormat/>
    <w:uiPriority w:val="0"/>
    <w:pPr>
      <w:keepLines/>
      <w:tabs>
        <w:tab w:val="left" w:pos="2040"/>
        <w:tab w:val="clear" w:pos="864"/>
      </w:tabs>
      <w:spacing w:before="280" w:after="290" w:line="376" w:lineRule="auto"/>
      <w:ind w:left="2040" w:leftChars="800" w:hanging="360" w:hangingChars="200"/>
      <w:jc w:val="both"/>
    </w:pPr>
    <w:rPr>
      <w:rFonts w:ascii="Arial" w:hAnsi="Arial" w:eastAsia="黑体"/>
      <w:sz w:val="28"/>
      <w:szCs w:val="28"/>
    </w:rPr>
  </w:style>
  <w:style w:type="paragraph" w:customStyle="1" w:styleId="2266">
    <w:name w:val="CM28"/>
    <w:basedOn w:val="1345"/>
    <w:next w:val="1345"/>
    <w:qFormat/>
    <w:uiPriority w:val="0"/>
    <w:pPr>
      <w:spacing w:line="468" w:lineRule="atLeast"/>
    </w:pPr>
    <w:rPr>
      <w:rFonts w:ascii="·..." w:eastAsia="·..." w:cs="·..."/>
      <w:color w:val="auto"/>
    </w:rPr>
  </w:style>
  <w:style w:type="paragraph" w:customStyle="1" w:styleId="2267">
    <w:name w:val="样式59"/>
    <w:basedOn w:val="545"/>
    <w:qFormat/>
    <w:uiPriority w:val="0"/>
    <w:pPr>
      <w:outlineLvl w:val="2"/>
    </w:pPr>
  </w:style>
  <w:style w:type="paragraph" w:customStyle="1" w:styleId="2268">
    <w:name w:val="Char2 Char Char Char Char Char Char Char Char 字元 字元 Char Char Char"/>
    <w:basedOn w:val="1"/>
    <w:qFormat/>
    <w:uiPriority w:val="0"/>
    <w:pPr>
      <w:spacing w:line="240" w:lineRule="auto"/>
    </w:pPr>
  </w:style>
  <w:style w:type="paragraph" w:customStyle="1" w:styleId="2269">
    <w:name w:val="纳溪"/>
    <w:basedOn w:val="1"/>
    <w:next w:val="1"/>
    <w:qFormat/>
    <w:uiPriority w:val="0"/>
    <w:pPr>
      <w:adjustRightInd w:val="0"/>
      <w:snapToGrid w:val="0"/>
      <w:ind w:firstLine="560" w:firstLineChars="200"/>
    </w:pPr>
    <w:rPr>
      <w:rFonts w:cs="宋体"/>
      <w:snapToGrid w:val="0"/>
      <w:color w:val="000000"/>
      <w:kern w:val="0"/>
    </w:rPr>
  </w:style>
  <w:style w:type="paragraph" w:customStyle="1" w:styleId="2270">
    <w:name w:val="样式 标题 2一级标题节 + 仿宋_GB2312 小三 红色 段前: 12 磅 段后: 6 磅 行距: 1.5 倍..."/>
    <w:basedOn w:val="6"/>
    <w:qFormat/>
    <w:uiPriority w:val="0"/>
    <w:pPr>
      <w:tabs>
        <w:tab w:val="left" w:pos="576"/>
      </w:tabs>
      <w:spacing w:before="120" w:beforeLines="0" w:after="120" w:line="415" w:lineRule="auto"/>
    </w:pPr>
    <w:rPr>
      <w:rFonts w:ascii="宋体" w:hAnsi="宋体" w:eastAsia="宋体" w:cs="宋体"/>
      <w:color w:val="000000"/>
      <w:szCs w:val="20"/>
    </w:rPr>
  </w:style>
  <w:style w:type="paragraph" w:customStyle="1" w:styleId="2271">
    <w:name w:val="小标题@"/>
    <w:basedOn w:val="1"/>
    <w:qFormat/>
    <w:uiPriority w:val="0"/>
    <w:pPr>
      <w:adjustRightInd w:val="0"/>
      <w:spacing w:before="60" w:after="60" w:line="240" w:lineRule="auto"/>
      <w:textAlignment w:val="baseline"/>
    </w:pPr>
    <w:rPr>
      <w:szCs w:val="20"/>
    </w:rPr>
  </w:style>
  <w:style w:type="paragraph" w:customStyle="1" w:styleId="2272">
    <w:name w:val="列出段落2"/>
    <w:basedOn w:val="1"/>
    <w:qFormat/>
    <w:uiPriority w:val="0"/>
    <w:pPr>
      <w:spacing w:line="240" w:lineRule="auto"/>
      <w:ind w:firstLine="420" w:firstLineChars="200"/>
    </w:pPr>
    <w:rPr>
      <w:rFonts w:ascii="Calibri" w:hAnsi="Calibri"/>
      <w:sz w:val="21"/>
      <w:szCs w:val="22"/>
    </w:rPr>
  </w:style>
  <w:style w:type="paragraph" w:customStyle="1" w:styleId="2273">
    <w:name w:val="图片"/>
    <w:basedOn w:val="1"/>
    <w:qFormat/>
    <w:uiPriority w:val="0"/>
    <w:pPr>
      <w:adjustRightInd w:val="0"/>
      <w:jc w:val="center"/>
    </w:pPr>
    <w:rPr>
      <w:rFonts w:cs="宋体"/>
      <w:color w:val="000000"/>
      <w:kern w:val="0"/>
    </w:rPr>
  </w:style>
  <w:style w:type="paragraph" w:customStyle="1" w:styleId="2274">
    <w:name w:val="数字"/>
    <w:basedOn w:val="1"/>
    <w:qFormat/>
    <w:uiPriority w:val="0"/>
    <w:pPr>
      <w:widowControl/>
      <w:spacing w:before="100" w:beforeAutospacing="1" w:after="100" w:afterAutospacing="1"/>
      <w:jc w:val="left"/>
    </w:pPr>
    <w:rPr>
      <w:color w:val="013F21"/>
      <w:kern w:val="0"/>
    </w:rPr>
  </w:style>
  <w:style w:type="paragraph" w:customStyle="1" w:styleId="2275">
    <w:name w:val="p15"/>
    <w:basedOn w:val="1"/>
    <w:qFormat/>
    <w:uiPriority w:val="0"/>
    <w:pPr>
      <w:widowControl/>
      <w:spacing w:line="500" w:lineRule="atLeast"/>
      <w:ind w:firstLine="420"/>
    </w:pPr>
    <w:rPr>
      <w:rFonts w:ascii="Arial" w:hAnsi="Arial" w:cs="Arial"/>
      <w:kern w:val="0"/>
    </w:rPr>
  </w:style>
  <w:style w:type="paragraph" w:customStyle="1" w:styleId="2276">
    <w:name w:val="题注图名"/>
    <w:basedOn w:val="1"/>
    <w:qFormat/>
    <w:uiPriority w:val="0"/>
    <w:pPr>
      <w:spacing w:after="120" w:line="300" w:lineRule="auto"/>
      <w:jc w:val="center"/>
    </w:pPr>
    <w:rPr>
      <w:b/>
      <w:bCs/>
      <w:sz w:val="21"/>
      <w:szCs w:val="20"/>
      <w:lang w:val="zh-CN"/>
    </w:rPr>
  </w:style>
  <w:style w:type="paragraph" w:customStyle="1" w:styleId="2277">
    <w:name w:val="1 Char Char Char Char Char Char Char Char Char Char Char Char Char"/>
    <w:basedOn w:val="1"/>
    <w:qFormat/>
    <w:uiPriority w:val="0"/>
    <w:pPr>
      <w:spacing w:line="240" w:lineRule="auto"/>
    </w:pPr>
    <w:rPr>
      <w:sz w:val="21"/>
    </w:rPr>
  </w:style>
  <w:style w:type="paragraph" w:customStyle="1" w:styleId="2278">
    <w:name w:val="Char Char Char Char Char Char Char7"/>
    <w:basedOn w:val="1"/>
    <w:qFormat/>
    <w:uiPriority w:val="0"/>
    <w:pPr>
      <w:spacing w:line="240" w:lineRule="auto"/>
    </w:pPr>
    <w:rPr>
      <w:sz w:val="21"/>
      <w:szCs w:val="20"/>
    </w:rPr>
  </w:style>
  <w:style w:type="paragraph" w:customStyle="1" w:styleId="2279">
    <w:name w:val="Char Char Char2"/>
    <w:basedOn w:val="1"/>
    <w:qFormat/>
    <w:uiPriority w:val="0"/>
  </w:style>
  <w:style w:type="paragraph" w:customStyle="1" w:styleId="2280">
    <w:name w:val="图名"/>
    <w:basedOn w:val="1"/>
    <w:qFormat/>
    <w:uiPriority w:val="0"/>
    <w:pPr>
      <w:ind w:firstLine="480" w:firstLineChars="200"/>
    </w:pPr>
    <w:rPr>
      <w:rFonts w:ascii="黑体" w:eastAsia="黑体"/>
      <w:color w:val="000000"/>
    </w:rPr>
  </w:style>
  <w:style w:type="paragraph" w:customStyle="1" w:styleId="2281">
    <w:name w:val="样式 样式 表标题3.10 + 段前: 1 行 + 段前: 1 行"/>
    <w:basedOn w:val="1"/>
    <w:qFormat/>
    <w:uiPriority w:val="0"/>
    <w:pPr>
      <w:tabs>
        <w:tab w:val="left" w:pos="2025"/>
        <w:tab w:val="center" w:pos="4060"/>
        <w:tab w:val="right" w:pos="8261"/>
      </w:tabs>
      <w:suppressAutoHyphens/>
      <w:adjustRightInd w:val="0"/>
      <w:spacing w:beforeLines="100" w:line="0" w:lineRule="atLeast"/>
      <w:ind w:left="1365" w:hanging="420"/>
    </w:pPr>
    <w:rPr>
      <w:rFonts w:ascii="黑体" w:eastAsia="黑体" w:cs="宋体"/>
      <w:b/>
      <w:bCs/>
      <w:kern w:val="0"/>
      <w:szCs w:val="20"/>
    </w:rPr>
  </w:style>
  <w:style w:type="paragraph" w:customStyle="1" w:styleId="2282">
    <w:name w:val="样式 标题 1 + 加粗 首行缩进:  0 厘米"/>
    <w:basedOn w:val="5"/>
    <w:qFormat/>
    <w:uiPriority w:val="0"/>
    <w:pPr>
      <w:keepLines/>
      <w:widowControl/>
      <w:tabs>
        <w:tab w:val="left" w:pos="1800"/>
      </w:tabs>
      <w:spacing w:before="360" w:beforeLines="200" w:after="360" w:line="480" w:lineRule="atLeast"/>
      <w:jc w:val="center"/>
    </w:pPr>
    <w:rPr>
      <w:rFonts w:ascii="Times New Roman" w:hAnsi="Times New Roman" w:cs="宋体"/>
      <w:bCs/>
      <w:kern w:val="44"/>
      <w:sz w:val="44"/>
      <w:szCs w:val="44"/>
    </w:rPr>
  </w:style>
  <w:style w:type="paragraph" w:customStyle="1" w:styleId="2283">
    <w:name w:val="框图文字1"/>
    <w:basedOn w:val="1"/>
    <w:qFormat/>
    <w:uiPriority w:val="0"/>
    <w:pPr>
      <w:adjustRightInd w:val="0"/>
      <w:snapToGrid w:val="0"/>
      <w:spacing w:before="78" w:line="240" w:lineRule="auto"/>
      <w:jc w:val="center"/>
    </w:pPr>
    <w:rPr>
      <w:sz w:val="18"/>
      <w:szCs w:val="20"/>
    </w:rPr>
  </w:style>
  <w:style w:type="paragraph" w:customStyle="1" w:styleId="2284">
    <w:name w:val="样式 正文文本缩进 2正文文字缩进 2 + 四号 蓝色 Char Char Char Char Char"/>
    <w:basedOn w:val="52"/>
    <w:qFormat/>
    <w:uiPriority w:val="0"/>
    <w:pPr>
      <w:adjustRightInd w:val="0"/>
      <w:spacing w:line="480" w:lineRule="exact"/>
      <w:ind w:firstLine="709"/>
      <w:textAlignment w:val="baseline"/>
    </w:pPr>
    <w:rPr>
      <w:rFonts w:ascii="Times New Roman" w:hAnsi="Times New Roman"/>
      <w:color w:val="0000FF"/>
      <w:kern w:val="0"/>
      <w:sz w:val="24"/>
    </w:rPr>
  </w:style>
  <w:style w:type="paragraph" w:customStyle="1" w:styleId="2285">
    <w:name w:val="xl32"/>
    <w:basedOn w:val="1"/>
    <w:qFormat/>
    <w:uiPriority w:val="0"/>
    <w:pPr>
      <w:widowControl/>
      <w:pBdr>
        <w:left w:val="single" w:color="auto" w:sz="12" w:space="0"/>
        <w:right w:val="single" w:color="auto" w:sz="4" w:space="0"/>
      </w:pBdr>
      <w:spacing w:before="100" w:beforeAutospacing="1" w:after="100" w:afterAutospacing="1" w:line="240" w:lineRule="auto"/>
      <w:jc w:val="center"/>
    </w:pPr>
    <w:rPr>
      <w:rFonts w:ascii="Arial Unicode MS" w:hAnsi="Arial Unicode MS" w:eastAsia="Arial Unicode MS" w:cs="Arial Unicode MS"/>
      <w:b/>
      <w:bCs/>
      <w:kern w:val="0"/>
      <w:sz w:val="21"/>
      <w:szCs w:val="21"/>
    </w:rPr>
  </w:style>
  <w:style w:type="paragraph" w:customStyle="1" w:styleId="2286">
    <w:name w:val="样式 首行缩进:  2.25 字符"/>
    <w:basedOn w:val="1"/>
    <w:qFormat/>
    <w:uiPriority w:val="0"/>
    <w:pPr>
      <w:ind w:firstLine="540" w:firstLineChars="225"/>
      <w:jc w:val="left"/>
    </w:pPr>
    <w:rPr>
      <w:szCs w:val="20"/>
    </w:rPr>
  </w:style>
  <w:style w:type="paragraph" w:customStyle="1" w:styleId="2287">
    <w:name w:val="段落"/>
    <w:basedOn w:val="1"/>
    <w:qFormat/>
    <w:uiPriority w:val="0"/>
    <w:pPr>
      <w:spacing w:line="580" w:lineRule="exact"/>
      <w:ind w:firstLine="200"/>
    </w:pPr>
    <w:rPr>
      <w:spacing w:val="6"/>
      <w:sz w:val="28"/>
      <w:szCs w:val="20"/>
    </w:rPr>
  </w:style>
  <w:style w:type="paragraph" w:customStyle="1" w:styleId="2288">
    <w:name w:val="TOC 标题1"/>
    <w:basedOn w:val="5"/>
    <w:next w:val="1"/>
    <w:qFormat/>
    <w:uiPriority w:val="0"/>
    <w:pPr>
      <w:widowControl/>
      <w:spacing w:before="240" w:after="60" w:line="240" w:lineRule="auto"/>
      <w:jc w:val="left"/>
      <w:outlineLvl w:val="9"/>
    </w:pPr>
    <w:rPr>
      <w:rFonts w:ascii="Cambria" w:hAnsi="Cambria"/>
      <w:b/>
      <w:bCs/>
      <w:kern w:val="32"/>
      <w:sz w:val="32"/>
      <w:szCs w:val="32"/>
      <w:lang w:eastAsia="en-US" w:bidi="en-US"/>
    </w:rPr>
  </w:style>
  <w:style w:type="paragraph" w:customStyle="1" w:styleId="2289">
    <w:name w:val="正文（首行缩进两字） Char Char Char"/>
    <w:basedOn w:val="1"/>
    <w:qFormat/>
    <w:uiPriority w:val="0"/>
    <w:pPr>
      <w:spacing w:line="300" w:lineRule="auto"/>
      <w:ind w:firstLine="200" w:firstLineChars="200"/>
    </w:pPr>
  </w:style>
  <w:style w:type="paragraph" w:customStyle="1" w:styleId="2290">
    <w:name w:val="注："/>
    <w:next w:val="1"/>
    <w:qFormat/>
    <w:uiPriority w:val="0"/>
    <w:pPr>
      <w:widowControl w:val="0"/>
      <w:tabs>
        <w:tab w:val="left" w:pos="895"/>
      </w:tabs>
      <w:autoSpaceDE w:val="0"/>
      <w:autoSpaceDN w:val="0"/>
      <w:ind w:left="895" w:hanging="420"/>
      <w:jc w:val="both"/>
    </w:pPr>
    <w:rPr>
      <w:rFonts w:ascii="宋体" w:hAnsi="Times New Roman" w:eastAsia="宋体" w:cs="Times New Roman"/>
      <w:kern w:val="0"/>
      <w:sz w:val="18"/>
      <w:szCs w:val="20"/>
      <w:lang w:val="en-US" w:eastAsia="zh-CN" w:bidi="ar-SA"/>
    </w:rPr>
  </w:style>
  <w:style w:type="paragraph" w:customStyle="1" w:styleId="2291">
    <w:name w:val="样式 Times 四号 行距: 固定值 24 磅1"/>
    <w:basedOn w:val="1"/>
    <w:qFormat/>
    <w:uiPriority w:val="0"/>
    <w:pPr>
      <w:spacing w:line="480" w:lineRule="exact"/>
      <w:ind w:firstLine="200" w:firstLineChars="200"/>
    </w:pPr>
    <w:rPr>
      <w:rFonts w:ascii="Times" w:hAnsi="Times" w:cs="宋体"/>
      <w:spacing w:val="14"/>
      <w:kern w:val="20"/>
      <w:sz w:val="28"/>
      <w:szCs w:val="20"/>
    </w:rPr>
  </w:style>
  <w:style w:type="paragraph" w:customStyle="1" w:styleId="2292">
    <w:name w:val="君邦目录"/>
    <w:qFormat/>
    <w:uiPriority w:val="0"/>
    <w:pPr>
      <w:pBdr>
        <w:bottom w:val="single" w:color="auto" w:sz="12" w:space="1"/>
      </w:pBdr>
      <w:spacing w:before="960" w:after="960"/>
      <w:ind w:left="567" w:hanging="567"/>
      <w:jc w:val="right"/>
      <w:outlineLvl w:val="1"/>
    </w:pPr>
    <w:rPr>
      <w:rFonts w:ascii="Times New Roman" w:hAnsi="Times New Roman" w:eastAsia="黑体" w:cs="Times New Roman"/>
      <w:b/>
      <w:kern w:val="0"/>
      <w:sz w:val="32"/>
      <w:szCs w:val="20"/>
      <w:lang w:val="en-US" w:eastAsia="zh-CN" w:bidi="ar-SA"/>
    </w:rPr>
  </w:style>
  <w:style w:type="paragraph" w:customStyle="1" w:styleId="2293">
    <w:name w:val="表格标题（左对齐）"/>
    <w:basedOn w:val="1"/>
    <w:qFormat/>
    <w:uiPriority w:val="0"/>
    <w:pPr>
      <w:spacing w:before="120" w:after="120" w:line="400" w:lineRule="atLeast"/>
      <w:ind w:left="425"/>
      <w:jc w:val="center"/>
    </w:pPr>
    <w:rPr>
      <w:rFonts w:eastAsia="黑体"/>
      <w:b/>
      <w:snapToGrid w:val="0"/>
      <w:sz w:val="28"/>
      <w:szCs w:val="20"/>
    </w:rPr>
  </w:style>
  <w:style w:type="paragraph" w:customStyle="1" w:styleId="2294">
    <w:name w:val="样式7 Char"/>
    <w:basedOn w:val="1"/>
    <w:qFormat/>
    <w:uiPriority w:val="0"/>
    <w:pPr>
      <w:spacing w:line="460" w:lineRule="exact"/>
    </w:pPr>
    <w:rPr>
      <w:sz w:val="21"/>
      <w:szCs w:val="21"/>
    </w:rPr>
  </w:style>
  <w:style w:type="paragraph" w:customStyle="1" w:styleId="2295">
    <w:name w:val="样式 正文首行缩进 + 四号 首行缩进:  1 字符 段后: 2.5 磅 行距: 1.5 倍行距"/>
    <w:basedOn w:val="87"/>
    <w:qFormat/>
    <w:uiPriority w:val="0"/>
    <w:pPr>
      <w:spacing w:after="0"/>
      <w:ind w:firstLine="100"/>
    </w:pPr>
    <w:rPr>
      <w:rFonts w:ascii="宋体" w:hAnsi="宋体" w:cs="宋体"/>
      <w:spacing w:val="4"/>
      <w:sz w:val="28"/>
      <w:szCs w:val="20"/>
    </w:rPr>
  </w:style>
  <w:style w:type="paragraph" w:customStyle="1" w:styleId="2296">
    <w:name w:val="et28"/>
    <w:basedOn w:val="1"/>
    <w:qFormat/>
    <w:uiPriority w:val="0"/>
    <w:pPr>
      <w:widowControl/>
      <w:pBdr>
        <w:top w:val="single" w:color="000000" w:sz="18" w:space="0"/>
        <w:bottom w:val="single" w:color="000000" w:sz="12"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297">
    <w:name w:val="表题7.5"/>
    <w:basedOn w:val="18"/>
    <w:qFormat/>
    <w:uiPriority w:val="0"/>
    <w:pPr>
      <w:snapToGrid w:val="0"/>
      <w:jc w:val="both"/>
    </w:pPr>
    <w:rPr>
      <w:rFonts w:eastAsia="黑体"/>
      <w:b/>
      <w:bCs/>
    </w:rPr>
  </w:style>
  <w:style w:type="paragraph" w:customStyle="1" w:styleId="2298">
    <w:name w:val="CM68"/>
    <w:basedOn w:val="1"/>
    <w:next w:val="1"/>
    <w:qFormat/>
    <w:uiPriority w:val="0"/>
    <w:pPr>
      <w:autoSpaceDE w:val="0"/>
      <w:autoSpaceDN w:val="0"/>
      <w:adjustRightInd w:val="0"/>
      <w:spacing w:line="468" w:lineRule="atLeast"/>
      <w:jc w:val="left"/>
    </w:pPr>
    <w:rPr>
      <w:rFonts w:ascii="·..." w:eastAsia="·..." w:cs="·..."/>
      <w:kern w:val="0"/>
    </w:rPr>
  </w:style>
  <w:style w:type="paragraph" w:customStyle="1" w:styleId="2299">
    <w:name w:val="样式 样式 题注 + (西文) 宋体 + 段后: 1 行"/>
    <w:basedOn w:val="1"/>
    <w:qFormat/>
    <w:uiPriority w:val="0"/>
    <w:pPr>
      <w:keepNext/>
      <w:ind w:firstLine="200" w:firstLineChars="200"/>
      <w:jc w:val="left"/>
    </w:pPr>
    <w:rPr>
      <w:rFonts w:ascii="宋体" w:hAnsi="宋体" w:cs="宋体"/>
      <w:color w:val="000000"/>
      <w:sz w:val="28"/>
      <w:szCs w:val="20"/>
    </w:rPr>
  </w:style>
  <w:style w:type="paragraph" w:customStyle="1" w:styleId="2300">
    <w:name w:val="样式62"/>
    <w:basedOn w:val="1196"/>
    <w:qFormat/>
    <w:uiPriority w:val="0"/>
    <w:rPr>
      <w:rFonts w:ascii="Times New Roman"/>
    </w:rPr>
  </w:style>
  <w:style w:type="paragraph" w:customStyle="1" w:styleId="2301">
    <w:name w:val="正文单倍行距"/>
    <w:basedOn w:val="1"/>
    <w:qFormat/>
    <w:uiPriority w:val="0"/>
    <w:pPr>
      <w:tabs>
        <w:tab w:val="left" w:pos="8640"/>
      </w:tabs>
      <w:adjustRightInd w:val="0"/>
      <w:snapToGrid w:val="0"/>
      <w:ind w:firstLine="560" w:firstLineChars="200"/>
    </w:pPr>
    <w:rPr>
      <w:rFonts w:cs="宋体"/>
      <w:color w:val="000000"/>
    </w:rPr>
  </w:style>
  <w:style w:type="paragraph" w:customStyle="1" w:styleId="2302">
    <w:name w:val="样式 小五 居中 首行缩进:  2 字符"/>
    <w:basedOn w:val="1"/>
    <w:qFormat/>
    <w:uiPriority w:val="0"/>
    <w:pPr>
      <w:spacing w:line="240" w:lineRule="auto"/>
      <w:jc w:val="center"/>
    </w:pPr>
    <w:rPr>
      <w:rFonts w:cs="宋体"/>
      <w:sz w:val="18"/>
      <w:szCs w:val="20"/>
    </w:rPr>
  </w:style>
  <w:style w:type="paragraph" w:customStyle="1" w:styleId="2303">
    <w:name w:val="样式 题注 + 段后: 6 磅"/>
    <w:basedOn w:val="24"/>
    <w:qFormat/>
    <w:uiPriority w:val="0"/>
    <w:pPr>
      <w:keepNext w:val="0"/>
      <w:spacing w:beforeLines="50"/>
    </w:pPr>
    <w:rPr>
      <w:rFonts w:cs="宋体"/>
      <w:kern w:val="0"/>
      <w:sz w:val="21"/>
      <w:szCs w:val="21"/>
    </w:rPr>
  </w:style>
  <w:style w:type="paragraph" w:customStyle="1" w:styleId="2304">
    <w:name w:val="1标题1级"/>
    <w:basedOn w:val="1"/>
    <w:qFormat/>
    <w:uiPriority w:val="0"/>
    <w:pPr>
      <w:keepNext/>
      <w:snapToGrid w:val="0"/>
      <w:spacing w:line="420" w:lineRule="auto"/>
      <w:outlineLvl w:val="0"/>
    </w:pPr>
    <w:rPr>
      <w:rFonts w:eastAsia="黑体"/>
      <w:b/>
      <w:sz w:val="30"/>
    </w:rPr>
  </w:style>
  <w:style w:type="paragraph" w:customStyle="1" w:styleId="2305">
    <w:name w:val="列项·"/>
    <w:qFormat/>
    <w:uiPriority w:val="0"/>
    <w:pPr>
      <w:tabs>
        <w:tab w:val="left" w:pos="840"/>
      </w:tabs>
      <w:ind w:left="840" w:leftChars="200" w:hanging="420" w:hangingChars="200"/>
      <w:jc w:val="both"/>
    </w:pPr>
    <w:rPr>
      <w:rFonts w:ascii="宋体" w:hAnsi="Times New Roman" w:eastAsia="宋体" w:cs="Times New Roman"/>
      <w:kern w:val="0"/>
      <w:sz w:val="21"/>
      <w:szCs w:val="20"/>
      <w:lang w:val="en-US" w:eastAsia="zh-CN" w:bidi="ar-SA"/>
    </w:rPr>
  </w:style>
  <w:style w:type="paragraph" w:customStyle="1" w:styleId="2306">
    <w:name w:val="1"/>
    <w:basedOn w:val="1"/>
    <w:next w:val="36"/>
    <w:qFormat/>
    <w:uiPriority w:val="0"/>
    <w:pPr>
      <w:spacing w:line="240" w:lineRule="auto"/>
    </w:pPr>
    <w:rPr>
      <w:rFonts w:ascii="宋体"/>
      <w:sz w:val="28"/>
      <w:szCs w:val="20"/>
    </w:rPr>
  </w:style>
  <w:style w:type="paragraph" w:customStyle="1" w:styleId="2307">
    <w:name w:val="样式 样式 注意 + 首行缩进:  2 字符 + 首行缩进:  2 字符"/>
    <w:basedOn w:val="87"/>
    <w:next w:val="87"/>
    <w:qFormat/>
    <w:uiPriority w:val="0"/>
    <w:pPr>
      <w:tabs>
        <w:tab w:val="left" w:pos="628"/>
        <w:tab w:val="left" w:pos="1727"/>
        <w:tab w:val="left" w:pos="1884"/>
        <w:tab w:val="left" w:pos="2514"/>
        <w:tab w:val="left" w:pos="4900"/>
      </w:tabs>
      <w:autoSpaceDE w:val="0"/>
      <w:autoSpaceDN w:val="0"/>
      <w:adjustRightInd w:val="0"/>
      <w:snapToGrid w:val="0"/>
      <w:spacing w:after="0"/>
      <w:ind w:left="-2" w:leftChars="-1" w:right="-99" w:rightChars="-47" w:firstLine="480" w:firstLineChars="0"/>
    </w:pPr>
    <w:rPr>
      <w:rFonts w:ascii="宋体" w:hAnsi="宋体" w:cs="宋体"/>
      <w:color w:val="000000"/>
      <w:spacing w:val="4"/>
      <w:kern w:val="0"/>
      <w:sz w:val="21"/>
      <w:szCs w:val="21"/>
      <w:lang w:val="zh-CN"/>
    </w:rPr>
  </w:style>
  <w:style w:type="paragraph" w:customStyle="1" w:styleId="2308">
    <w:name w:val="样式 桔黄 首行缩进:  1 厘米 行距: 固定值 25 磅"/>
    <w:basedOn w:val="1"/>
    <w:qFormat/>
    <w:uiPriority w:val="0"/>
    <w:pPr>
      <w:adjustRightInd w:val="0"/>
      <w:spacing w:line="500" w:lineRule="exact"/>
      <w:ind w:firstLine="560" w:firstLineChars="200"/>
    </w:pPr>
    <w:rPr>
      <w:rFonts w:ascii="宋体" w:hAnsi="宋体" w:cs="宋体"/>
      <w:kern w:val="0"/>
      <w:sz w:val="28"/>
      <w:szCs w:val="20"/>
    </w:rPr>
  </w:style>
  <w:style w:type="paragraph" w:customStyle="1" w:styleId="2309">
    <w:name w:val="表格-5号"/>
    <w:basedOn w:val="2310"/>
    <w:qFormat/>
    <w:uiPriority w:val="0"/>
    <w:pPr>
      <w:keepNext w:val="0"/>
      <w:topLinePunct w:val="0"/>
      <w:autoSpaceDE/>
      <w:autoSpaceDN/>
      <w:adjustRightInd/>
      <w:spacing w:line="280" w:lineRule="exact"/>
      <w:jc w:val="left"/>
      <w:textAlignment w:val="auto"/>
    </w:pPr>
    <w:rPr>
      <w:rFonts w:ascii="Times New Roman"/>
      <w:color w:val="000000"/>
      <w:position w:val="0"/>
      <w:szCs w:val="24"/>
    </w:rPr>
  </w:style>
  <w:style w:type="paragraph" w:customStyle="1" w:styleId="2310">
    <w:name w:val="表格2"/>
    <w:basedOn w:val="409"/>
    <w:next w:val="1"/>
    <w:qFormat/>
    <w:uiPriority w:val="0"/>
    <w:pPr>
      <w:keepNext/>
      <w:topLinePunct/>
      <w:autoSpaceDE w:val="0"/>
      <w:autoSpaceDN w:val="0"/>
      <w:spacing w:line="240" w:lineRule="auto"/>
      <w:jc w:val="center"/>
    </w:pPr>
    <w:rPr>
      <w:spacing w:val="0"/>
      <w:position w:val="-28"/>
      <w:sz w:val="21"/>
    </w:rPr>
  </w:style>
  <w:style w:type="paragraph" w:customStyle="1" w:styleId="2311">
    <w:name w:val="style6"/>
    <w:basedOn w:val="1"/>
    <w:qFormat/>
    <w:uiPriority w:val="0"/>
    <w:pPr>
      <w:widowControl/>
      <w:spacing w:before="100" w:beforeAutospacing="1" w:after="100" w:afterAutospacing="1"/>
    </w:pPr>
    <w:rPr>
      <w:rFonts w:ascii="宋体" w:hAnsi="宋体"/>
      <w:kern w:val="0"/>
      <w:sz w:val="20"/>
      <w:szCs w:val="20"/>
    </w:rPr>
  </w:style>
  <w:style w:type="paragraph" w:customStyle="1" w:styleId="2312">
    <w:name w:val="Char Char Char1 Char Char Char Char Char Char Char"/>
    <w:basedOn w:val="1"/>
    <w:qFormat/>
    <w:uiPriority w:val="0"/>
    <w:pPr>
      <w:spacing w:line="240" w:lineRule="auto"/>
    </w:pPr>
    <w:rPr>
      <w:sz w:val="21"/>
    </w:rPr>
  </w:style>
  <w:style w:type="paragraph" w:customStyle="1" w:styleId="2313">
    <w:name w:val="样式 表名称 + 首行缩进:  2 字符 段前: 0.5 行 段后: 0.3 行"/>
    <w:basedOn w:val="1574"/>
    <w:qFormat/>
    <w:uiPriority w:val="0"/>
    <w:pPr>
      <w:widowControl w:val="0"/>
      <w:tabs>
        <w:tab w:val="clear" w:pos="720"/>
      </w:tabs>
      <w:overflowPunct/>
      <w:topLinePunct/>
      <w:autoSpaceDE/>
      <w:autoSpaceDN/>
      <w:snapToGrid w:val="0"/>
      <w:spacing w:beforeLines="30" w:after="30" w:line="240" w:lineRule="auto"/>
      <w:ind w:firstLine="200" w:firstLineChars="200"/>
      <w:jc w:val="both"/>
      <w:textAlignment w:val="auto"/>
    </w:pPr>
    <w:rPr>
      <w:rFonts w:ascii="黑体" w:eastAsia="黑体" w:cs="Times New Roman"/>
      <w:sz w:val="24"/>
      <w:lang w:bidi="ar-SA"/>
    </w:rPr>
  </w:style>
  <w:style w:type="paragraph" w:customStyle="1" w:styleId="2314">
    <w:name w:val="1.1.1报告标题"/>
    <w:qFormat/>
    <w:uiPriority w:val="0"/>
    <w:pPr>
      <w:spacing w:beforeLines="50" w:afterLines="50" w:line="360" w:lineRule="auto"/>
      <w:jc w:val="both"/>
      <w:outlineLvl w:val="2"/>
    </w:pPr>
    <w:rPr>
      <w:rFonts w:ascii="黑体" w:hAnsi="Times New Roman" w:eastAsia="黑体" w:cs="Times New Roman"/>
      <w:b/>
      <w:color w:val="000000"/>
      <w:kern w:val="2"/>
      <w:sz w:val="28"/>
      <w:szCs w:val="20"/>
      <w:lang w:val="en-US" w:eastAsia="zh-CN" w:bidi="ar-SA"/>
    </w:rPr>
  </w:style>
  <w:style w:type="paragraph" w:customStyle="1" w:styleId="2315">
    <w:name w:val="mytext11"/>
    <w:basedOn w:val="1"/>
    <w:qFormat/>
    <w:uiPriority w:val="0"/>
    <w:pPr>
      <w:widowControl/>
      <w:spacing w:before="100" w:beforeAutospacing="1" w:after="100" w:afterAutospacing="1" w:line="240" w:lineRule="auto"/>
      <w:jc w:val="left"/>
    </w:pPr>
    <w:rPr>
      <w:rFonts w:ascii="宋体" w:hAnsi="宋体" w:cs="宋体"/>
      <w:color w:val="000000"/>
      <w:kern w:val="0"/>
    </w:rPr>
  </w:style>
  <w:style w:type="paragraph" w:customStyle="1" w:styleId="2316">
    <w:name w:val="edri-1).title"/>
    <w:basedOn w:val="2317"/>
    <w:qFormat/>
    <w:uiPriority w:val="0"/>
    <w:pPr>
      <w:tabs>
        <w:tab w:val="left" w:pos="0"/>
        <w:tab w:val="left" w:pos="851"/>
        <w:tab w:val="left" w:pos="945"/>
        <w:tab w:val="left" w:pos="1785"/>
        <w:tab w:val="left" w:pos="2250"/>
      </w:tabs>
      <w:ind w:left="2250" w:hanging="420"/>
      <w:outlineLvl w:val="4"/>
    </w:pPr>
  </w:style>
  <w:style w:type="paragraph" w:customStyle="1" w:styleId="2317">
    <w:name w:val="edri-A title Char1"/>
    <w:basedOn w:val="2318"/>
    <w:next w:val="2318"/>
    <w:qFormat/>
    <w:uiPriority w:val="0"/>
    <w:pPr>
      <w:tabs>
        <w:tab w:val="left" w:pos="0"/>
        <w:tab w:val="left" w:pos="851"/>
        <w:tab w:val="left" w:pos="945"/>
      </w:tabs>
      <w:ind w:left="851" w:hanging="851"/>
      <w:outlineLvl w:val="3"/>
    </w:pPr>
  </w:style>
  <w:style w:type="paragraph" w:customStyle="1" w:styleId="2318">
    <w:name w:val="edri-title third Char1"/>
    <w:basedOn w:val="1"/>
    <w:qFormat/>
    <w:uiPriority w:val="0"/>
    <w:pPr>
      <w:tabs>
        <w:tab w:val="left" w:pos="0"/>
        <w:tab w:val="left" w:pos="945"/>
      </w:tabs>
      <w:spacing w:before="50" w:beforeLines="50" w:line="300" w:lineRule="auto"/>
      <w:ind w:left="964" w:hanging="964"/>
      <w:outlineLvl w:val="2"/>
    </w:pPr>
    <w:rPr>
      <w:bCs/>
      <w:kern w:val="0"/>
    </w:rPr>
  </w:style>
  <w:style w:type="paragraph" w:customStyle="1" w:styleId="2319">
    <w:name w:val="工艺题目5级"/>
    <w:basedOn w:val="2320"/>
    <w:qFormat/>
    <w:uiPriority w:val="0"/>
    <w:pPr>
      <w:tabs>
        <w:tab w:val="left" w:pos="1260"/>
      </w:tabs>
      <w:ind w:left="1260" w:hanging="720"/>
    </w:pPr>
  </w:style>
  <w:style w:type="paragraph" w:customStyle="1" w:styleId="2320">
    <w:name w:val="工艺正文"/>
    <w:basedOn w:val="1"/>
    <w:qFormat/>
    <w:uiPriority w:val="0"/>
    <w:pPr>
      <w:adjustRightInd w:val="0"/>
      <w:snapToGrid w:val="0"/>
      <w:ind w:firstLine="578"/>
    </w:pPr>
    <w:rPr>
      <w:rFonts w:ascii="宋体"/>
      <w:sz w:val="28"/>
      <w:szCs w:val="20"/>
    </w:rPr>
  </w:style>
  <w:style w:type="paragraph" w:customStyle="1" w:styleId="2321">
    <w:name w:val="正文 小四 行距: 1.5 倍行距"/>
    <w:basedOn w:val="1"/>
    <w:qFormat/>
    <w:uiPriority w:val="0"/>
    <w:pPr>
      <w:ind w:firstLine="480" w:firstLineChars="200"/>
    </w:pPr>
    <w:rPr>
      <w:szCs w:val="20"/>
    </w:rPr>
  </w:style>
  <w:style w:type="paragraph" w:customStyle="1" w:styleId="2322">
    <w:name w:val="表内格式"/>
    <w:basedOn w:val="572"/>
    <w:qFormat/>
    <w:uiPriority w:val="0"/>
  </w:style>
  <w:style w:type="paragraph" w:customStyle="1" w:styleId="2323">
    <w:name w:val="样式 报告正文 + (西文) 黑体 (中文) 黑体"/>
    <w:basedOn w:val="522"/>
    <w:qFormat/>
    <w:uiPriority w:val="0"/>
    <w:pPr>
      <w:spacing w:line="360" w:lineRule="auto"/>
      <w:ind w:firstLine="480" w:firstLineChars="83"/>
      <w:outlineLvl w:val="0"/>
    </w:pPr>
    <w:rPr>
      <w:rFonts w:hAnsi="宋体" w:cs="宋体"/>
      <w:spacing w:val="4"/>
      <w:sz w:val="24"/>
      <w:szCs w:val="24"/>
    </w:rPr>
  </w:style>
  <w:style w:type="paragraph" w:customStyle="1" w:styleId="2324">
    <w:name w:val="自定义正文 Char Char Char"/>
    <w:qFormat/>
    <w:uiPriority w:val="0"/>
    <w:pPr>
      <w:widowControl w:val="0"/>
      <w:adjustRightInd w:val="0"/>
      <w:snapToGrid w:val="0"/>
      <w:spacing w:line="360" w:lineRule="auto"/>
      <w:ind w:firstLine="510"/>
      <w:jc w:val="both"/>
    </w:pPr>
    <w:rPr>
      <w:rFonts w:ascii="Times New Roman" w:hAnsi="Times New Roman" w:eastAsia="宋体" w:cs="Times New Roman"/>
      <w:spacing w:val="-2"/>
      <w:kern w:val="2"/>
      <w:sz w:val="28"/>
      <w:szCs w:val="24"/>
      <w:lang w:val="en-US" w:eastAsia="zh-CN" w:bidi="ar-SA"/>
    </w:rPr>
  </w:style>
  <w:style w:type="paragraph" w:customStyle="1" w:styleId="2325">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326">
    <w:name w:val="关键词"/>
    <w:basedOn w:val="1"/>
    <w:qFormat/>
    <w:uiPriority w:val="0"/>
    <w:pPr>
      <w:spacing w:before="120" w:after="200" w:line="240" w:lineRule="auto"/>
      <w:ind w:firstLine="369"/>
    </w:pPr>
    <w:rPr>
      <w:rFonts w:eastAsia="黑体"/>
      <w:kern w:val="0"/>
      <w:sz w:val="18"/>
      <w:szCs w:val="20"/>
    </w:rPr>
  </w:style>
  <w:style w:type="paragraph" w:customStyle="1" w:styleId="2327">
    <w:name w:val="样式56"/>
    <w:basedOn w:val="1519"/>
    <w:qFormat/>
    <w:uiPriority w:val="0"/>
  </w:style>
  <w:style w:type="paragraph" w:customStyle="1" w:styleId="2328">
    <w:name w:val="Char Char Char1 Char Char Char Char Char Char Char Char Char Char Char Char Char Char Char Char Char Char Char"/>
    <w:basedOn w:val="1"/>
    <w:qFormat/>
    <w:uiPriority w:val="0"/>
    <w:pPr>
      <w:spacing w:line="240" w:lineRule="auto"/>
    </w:pPr>
    <w:rPr>
      <w:sz w:val="21"/>
      <w:szCs w:val="20"/>
    </w:rPr>
  </w:style>
  <w:style w:type="paragraph" w:customStyle="1" w:styleId="2329">
    <w:name w:val="ST20_1"/>
    <w:basedOn w:val="1"/>
    <w:qFormat/>
    <w:uiPriority w:val="0"/>
    <w:pPr>
      <w:adjustRightInd w:val="0"/>
      <w:spacing w:line="240" w:lineRule="auto"/>
      <w:jc w:val="center"/>
      <w:textAlignment w:val="baseline"/>
    </w:pPr>
    <w:rPr>
      <w:rFonts w:ascii="宋体"/>
      <w:kern w:val="0"/>
      <w:sz w:val="21"/>
      <w:szCs w:val="20"/>
    </w:rPr>
  </w:style>
  <w:style w:type="paragraph" w:customStyle="1" w:styleId="2330">
    <w:name w:val="样式 行距: 固定值 28 磅"/>
    <w:basedOn w:val="1"/>
    <w:qFormat/>
    <w:uiPriority w:val="0"/>
    <w:pPr>
      <w:spacing w:line="540" w:lineRule="exact"/>
      <w:ind w:firstLine="560" w:firstLineChars="200"/>
      <w:jc w:val="left"/>
    </w:pPr>
    <w:rPr>
      <w:sz w:val="28"/>
      <w:szCs w:val="20"/>
    </w:rPr>
  </w:style>
  <w:style w:type="paragraph" w:customStyle="1" w:styleId="2331">
    <w:name w:val="符号_01"/>
    <w:qFormat/>
    <w:uiPriority w:val="0"/>
    <w:pPr>
      <w:tabs>
        <w:tab w:val="left" w:pos="720"/>
        <w:tab w:val="left" w:pos="1701"/>
        <w:tab w:val="right" w:leader="dot" w:pos="6896"/>
        <w:tab w:val="left" w:pos="7070"/>
      </w:tabs>
      <w:spacing w:afterLines="50" w:line="240" w:lineRule="atLeast"/>
      <w:ind w:left="720" w:right="420" w:rightChars="200" w:hanging="720"/>
      <w:jc w:val="both"/>
    </w:pPr>
    <w:rPr>
      <w:rFonts w:ascii="Garamond" w:hAnsi="Garamond" w:eastAsia="楷体_GB2312" w:cs="Times New Roman"/>
      <w:kern w:val="2"/>
      <w:sz w:val="28"/>
      <w:szCs w:val="28"/>
      <w:lang w:val="en-US" w:eastAsia="zh-CN" w:bidi="ar-SA"/>
    </w:rPr>
  </w:style>
  <w:style w:type="paragraph" w:customStyle="1" w:styleId="2332">
    <w:name w:val="日期3"/>
    <w:basedOn w:val="1"/>
    <w:next w:val="1"/>
    <w:qFormat/>
    <w:uiPriority w:val="0"/>
    <w:pPr>
      <w:adjustRightInd w:val="0"/>
      <w:spacing w:line="312" w:lineRule="atLeast"/>
      <w:jc w:val="right"/>
      <w:textAlignment w:val="baseline"/>
    </w:pPr>
    <w:rPr>
      <w:kern w:val="0"/>
      <w:sz w:val="21"/>
      <w:szCs w:val="20"/>
    </w:rPr>
  </w:style>
  <w:style w:type="paragraph" w:customStyle="1" w:styleId="2333">
    <w:name w:val="简单回函地址"/>
    <w:basedOn w:val="1"/>
    <w:qFormat/>
    <w:uiPriority w:val="0"/>
    <w:pPr>
      <w:spacing w:line="240" w:lineRule="auto"/>
    </w:pPr>
    <w:rPr>
      <w:sz w:val="21"/>
    </w:rPr>
  </w:style>
  <w:style w:type="paragraph" w:customStyle="1" w:styleId="2334">
    <w:name w:val="说明-正文"/>
    <w:basedOn w:val="1"/>
    <w:qFormat/>
    <w:uiPriority w:val="0"/>
    <w:pPr>
      <w:autoSpaceDN w:val="0"/>
      <w:adjustRightInd w:val="0"/>
      <w:snapToGrid w:val="0"/>
      <w:ind w:firstLine="480" w:firstLineChars="200"/>
    </w:pPr>
    <w:rPr>
      <w:kern w:val="0"/>
      <w:szCs w:val="20"/>
    </w:rPr>
  </w:style>
  <w:style w:type="paragraph" w:customStyle="1" w:styleId="2335">
    <w:name w:val="zxl正文首行缩进  2 字符 行距: Char Char"/>
    <w:basedOn w:val="1"/>
    <w:qFormat/>
    <w:uiPriority w:val="0"/>
    <w:pPr>
      <w:widowControl/>
      <w:tabs>
        <w:tab w:val="left" w:pos="-1843"/>
        <w:tab w:val="left" w:pos="0"/>
        <w:tab w:val="left" w:pos="1727"/>
        <w:tab w:val="left" w:pos="1884"/>
      </w:tabs>
      <w:ind w:firstLine="482"/>
      <w:textAlignment w:val="bottom"/>
      <w:outlineLvl w:val="0"/>
    </w:pPr>
    <w:rPr>
      <w:rFonts w:ascii="宋体" w:hAnsi="宋体"/>
      <w:color w:val="000000"/>
      <w:szCs w:val="20"/>
    </w:rPr>
  </w:style>
  <w:style w:type="paragraph" w:customStyle="1" w:styleId="2336">
    <w:name w:val="CM33"/>
    <w:basedOn w:val="1345"/>
    <w:next w:val="1345"/>
    <w:qFormat/>
    <w:uiPriority w:val="0"/>
    <w:pPr>
      <w:spacing w:line="468" w:lineRule="atLeast"/>
    </w:pPr>
    <w:rPr>
      <w:rFonts w:ascii="·..." w:eastAsia="·..." w:cs="·..."/>
      <w:color w:val="auto"/>
    </w:rPr>
  </w:style>
  <w:style w:type="paragraph" w:customStyle="1" w:styleId="2337">
    <w:name w:val="保留正文"/>
    <w:basedOn w:val="36"/>
    <w:qFormat/>
    <w:uiPriority w:val="0"/>
    <w:pPr>
      <w:keepNext/>
      <w:widowControl/>
      <w:overflowPunct w:val="0"/>
      <w:autoSpaceDE w:val="0"/>
      <w:autoSpaceDN w:val="0"/>
      <w:adjustRightInd w:val="0"/>
      <w:spacing w:after="160" w:line="240" w:lineRule="auto"/>
      <w:jc w:val="left"/>
      <w:textAlignment w:val="baseline"/>
    </w:pPr>
    <w:rPr>
      <w:kern w:val="0"/>
      <w:sz w:val="20"/>
      <w:szCs w:val="20"/>
      <w:lang w:bidi="en-US"/>
    </w:rPr>
  </w:style>
  <w:style w:type="paragraph" w:customStyle="1" w:styleId="2338">
    <w:name w:val="样式 样式 样式 样式 样式 标题 2标题 2 Char Char + Arial 加粗 首行缩进:  0 厘米 段前: 12 ..."/>
    <w:basedOn w:val="1"/>
    <w:qFormat/>
    <w:uiPriority w:val="0"/>
    <w:pPr>
      <w:keepNext/>
      <w:keepLines/>
      <w:adjustRightInd w:val="0"/>
      <w:spacing w:beforeLines="50"/>
      <w:ind w:left="420" w:leftChars="200"/>
      <w:textAlignment w:val="baseline"/>
      <w:outlineLvl w:val="1"/>
    </w:pPr>
    <w:rPr>
      <w:rFonts w:ascii="Arial" w:hAnsi="Arial" w:eastAsia="黑体" w:cs="宋体"/>
      <w:b/>
      <w:bCs/>
      <w:color w:val="000000"/>
      <w:spacing w:val="-4"/>
      <w:szCs w:val="20"/>
    </w:rPr>
  </w:style>
  <w:style w:type="paragraph" w:customStyle="1" w:styleId="2339">
    <w:name w:val="可研报告"/>
    <w:basedOn w:val="2340"/>
    <w:qFormat/>
    <w:uiPriority w:val="0"/>
    <w:pPr>
      <w:numPr>
        <w:ilvl w:val="0"/>
        <w:numId w:val="38"/>
      </w:numPr>
      <w:tabs>
        <w:tab w:val="left" w:pos="851"/>
      </w:tabs>
    </w:pPr>
  </w:style>
  <w:style w:type="paragraph" w:customStyle="1" w:styleId="2340">
    <w:name w:val="有关文件"/>
    <w:basedOn w:val="1451"/>
    <w:qFormat/>
    <w:uiPriority w:val="0"/>
    <w:pPr>
      <w:numPr>
        <w:ilvl w:val="0"/>
        <w:numId w:val="52"/>
      </w:numPr>
    </w:pPr>
  </w:style>
  <w:style w:type="paragraph" w:customStyle="1" w:styleId="2341">
    <w:name w:val="xl44"/>
    <w:basedOn w:val="1"/>
    <w:qFormat/>
    <w:uiPriority w:val="0"/>
    <w:pPr>
      <w:widowControl/>
      <w:pBdr>
        <w:top w:val="single" w:color="auto" w:sz="4" w:space="0"/>
        <w:lef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342">
    <w:name w:val="Char Char Char Char1 Char Char Char Char Char Char Char Char Char Char Char Char1"/>
    <w:basedOn w:val="1"/>
    <w:qFormat/>
    <w:uiPriority w:val="0"/>
    <w:pPr>
      <w:spacing w:line="240" w:lineRule="auto"/>
    </w:pPr>
  </w:style>
  <w:style w:type="paragraph" w:customStyle="1" w:styleId="2343">
    <w:name w:val="俺的正文"/>
    <w:basedOn w:val="1"/>
    <w:qFormat/>
    <w:uiPriority w:val="0"/>
    <w:pPr>
      <w:spacing w:line="460" w:lineRule="exact"/>
      <w:ind w:firstLine="200" w:firstLineChars="200"/>
    </w:pPr>
  </w:style>
  <w:style w:type="paragraph" w:customStyle="1" w:styleId="2344">
    <w:name w:val="样式 标题 4H4H41小小节河石管道4 +"/>
    <w:basedOn w:val="8"/>
    <w:qFormat/>
    <w:uiPriority w:val="0"/>
    <w:pPr>
      <w:keepLines/>
      <w:tabs>
        <w:tab w:val="left" w:pos="1080"/>
        <w:tab w:val="clear" w:pos="864"/>
      </w:tabs>
      <w:spacing w:after="290" w:afterLines="50"/>
      <w:ind w:left="1561" w:hanging="1561"/>
      <w:jc w:val="both"/>
    </w:pPr>
    <w:rPr>
      <w:b w:val="0"/>
      <w:bCs w:val="0"/>
      <w:i/>
      <w:iCs/>
      <w:kern w:val="0"/>
      <w:szCs w:val="20"/>
    </w:rPr>
  </w:style>
  <w:style w:type="paragraph" w:customStyle="1" w:styleId="2345">
    <w:name w:val="reader-word-layer reader-word-s1-5"/>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346">
    <w:name w:val="表16.3-1 + 段前: 1 行"/>
    <w:basedOn w:val="1632"/>
    <w:qFormat/>
    <w:uiPriority w:val="0"/>
    <w:pPr>
      <w:numPr>
        <w:ilvl w:val="0"/>
        <w:numId w:val="0"/>
      </w:numPr>
      <w:tabs>
        <w:tab w:val="left" w:pos="420"/>
      </w:tabs>
      <w:spacing w:before="240"/>
    </w:pPr>
  </w:style>
  <w:style w:type="paragraph" w:customStyle="1" w:styleId="2347">
    <w:name w:val="正文+++++++++++++++++++++++"/>
    <w:basedOn w:val="1"/>
    <w:qFormat/>
    <w:uiPriority w:val="0"/>
    <w:pPr>
      <w:adjustRightInd w:val="0"/>
      <w:spacing w:line="460" w:lineRule="exact"/>
      <w:ind w:left="1" w:firstLine="522" w:firstLineChars="192"/>
      <w:textAlignment w:val="baseline"/>
    </w:pPr>
    <w:rPr>
      <w:rFonts w:hAnsi="宋体" w:cs="宋体"/>
      <w:spacing w:val="16"/>
    </w:rPr>
  </w:style>
  <w:style w:type="paragraph" w:customStyle="1" w:styleId="2348">
    <w:name w:val="俺的正文样式"/>
    <w:basedOn w:val="1"/>
    <w:qFormat/>
    <w:uiPriority w:val="0"/>
    <w:pPr>
      <w:spacing w:line="500" w:lineRule="exact"/>
      <w:ind w:firstLine="560" w:firstLineChars="200"/>
    </w:pPr>
    <w:rPr>
      <w:rFonts w:ascii="宋体" w:cs="宋体"/>
      <w:sz w:val="28"/>
      <w:szCs w:val="28"/>
    </w:rPr>
  </w:style>
  <w:style w:type="paragraph" w:customStyle="1" w:styleId="2349">
    <w:name w:val="表样"/>
    <w:basedOn w:val="1"/>
    <w:qFormat/>
    <w:uiPriority w:val="0"/>
    <w:pPr>
      <w:autoSpaceDE w:val="0"/>
      <w:autoSpaceDN w:val="0"/>
      <w:adjustRightInd w:val="0"/>
      <w:spacing w:line="240" w:lineRule="auto"/>
      <w:jc w:val="center"/>
      <w:textAlignment w:val="bottom"/>
    </w:pPr>
    <w:rPr>
      <w:rFonts w:ascii="Arial" w:hAnsi="Arial" w:cs="Arial"/>
      <w:color w:val="0000FF"/>
      <w:spacing w:val="-20"/>
      <w:kern w:val="0"/>
      <w:sz w:val="21"/>
      <w:szCs w:val="20"/>
    </w:rPr>
  </w:style>
  <w:style w:type="paragraph" w:customStyle="1" w:styleId="2350">
    <w:name w:val="样式 标题 21.1标题 21.1_Heading 2标题 2 Char1节标2节标题 1.11.1标题2h..."/>
    <w:basedOn w:val="6"/>
    <w:qFormat/>
    <w:uiPriority w:val="0"/>
    <w:pPr>
      <w:numPr>
        <w:ilvl w:val="0"/>
        <w:numId w:val="0"/>
      </w:numPr>
      <w:tabs>
        <w:tab w:val="clear" w:pos="-181"/>
      </w:tabs>
      <w:snapToGrid/>
      <w:spacing w:before="0" w:beforeLines="0"/>
      <w:jc w:val="both"/>
      <w:textAlignment w:val="auto"/>
    </w:pPr>
    <w:rPr>
      <w:b/>
      <w:i/>
      <w:color w:val="0000FF"/>
      <w:kern w:val="2"/>
      <w:szCs w:val="30"/>
    </w:rPr>
  </w:style>
  <w:style w:type="paragraph" w:customStyle="1" w:styleId="2351">
    <w:name w:val="正文新 Char"/>
    <w:basedOn w:val="1"/>
    <w:qFormat/>
    <w:uiPriority w:val="0"/>
    <w:pPr>
      <w:ind w:firstLine="480" w:firstLineChars="200"/>
    </w:pPr>
    <w:rPr>
      <w:szCs w:val="20"/>
    </w:rPr>
  </w:style>
  <w:style w:type="paragraph" w:customStyle="1" w:styleId="2352">
    <w:name w:val="样式 样式 标题 4款标题1.1.1.1标题 4 Char标题 4 Char CharL4 + 宋体 小四 非加粗1 + 段前:..."/>
    <w:basedOn w:val="2353"/>
    <w:qFormat/>
    <w:uiPriority w:val="0"/>
    <w:pPr>
      <w:spacing w:afterLines="0"/>
    </w:pPr>
    <w:rPr>
      <w:rFonts w:cs="宋体"/>
      <w:szCs w:val="20"/>
    </w:rPr>
  </w:style>
  <w:style w:type="paragraph" w:customStyle="1" w:styleId="2353">
    <w:name w:val="样式 标题 4款标题1.1.1.1标题 4 Char标题 4 Char CharL4 + 宋体 小四 非加粗1"/>
    <w:basedOn w:val="8"/>
    <w:qFormat/>
    <w:uiPriority w:val="0"/>
    <w:pPr>
      <w:keepLines/>
      <w:tabs>
        <w:tab w:val="clear" w:pos="864"/>
      </w:tabs>
      <w:spacing w:before="280" w:beforeLines="50" w:after="290" w:afterLines="50" w:line="377" w:lineRule="auto"/>
      <w:ind w:left="0" w:firstLine="0"/>
      <w:jc w:val="both"/>
    </w:pPr>
    <w:rPr>
      <w:rFonts w:ascii="宋体" w:hAnsi="宋体" w:eastAsia="黑体"/>
      <w:bCs w:val="0"/>
    </w:rPr>
  </w:style>
  <w:style w:type="paragraph" w:customStyle="1" w:styleId="2354">
    <w:name w:val="样式 行距: 多倍行距 1.35 字行"/>
    <w:basedOn w:val="1"/>
    <w:qFormat/>
    <w:uiPriority w:val="0"/>
    <w:pPr>
      <w:adjustRightInd w:val="0"/>
      <w:snapToGrid w:val="0"/>
      <w:ind w:firstLine="480" w:firstLineChars="200"/>
    </w:pPr>
    <w:rPr>
      <w:rFonts w:ascii="宋体" w:hAnsi="宋体" w:cs="宋体"/>
    </w:rPr>
  </w:style>
  <w:style w:type="paragraph" w:customStyle="1" w:styleId="2355">
    <w:name w:val="默认段落字体 Para Char Char Char Char Char Char Char"/>
    <w:basedOn w:val="1"/>
    <w:qFormat/>
    <w:uiPriority w:val="0"/>
    <w:pPr>
      <w:adjustRightInd w:val="0"/>
      <w:textAlignment w:val="baseline"/>
    </w:pPr>
    <w:rPr>
      <w:kern w:val="0"/>
      <w:szCs w:val="20"/>
    </w:rPr>
  </w:style>
  <w:style w:type="paragraph" w:customStyle="1" w:styleId="2356">
    <w:name w:val="目录-篇"/>
    <w:basedOn w:val="17"/>
    <w:qFormat/>
    <w:uiPriority w:val="0"/>
    <w:pPr>
      <w:widowControl/>
      <w:tabs>
        <w:tab w:val="left" w:pos="0"/>
        <w:tab w:val="left" w:pos="5745"/>
      </w:tabs>
      <w:ind w:left="0" w:leftChars="0"/>
      <w:jc w:val="center"/>
    </w:pPr>
    <w:rPr>
      <w:rFonts w:ascii="宋体" w:hAnsi="宋体" w:cs="宋体"/>
      <w:b/>
      <w:kern w:val="0"/>
      <w:sz w:val="32"/>
      <w:szCs w:val="28"/>
    </w:rPr>
  </w:style>
  <w:style w:type="paragraph" w:customStyle="1" w:styleId="2357">
    <w:name w:val="In Table"/>
    <w:basedOn w:val="1"/>
    <w:qFormat/>
    <w:uiPriority w:val="0"/>
    <w:pPr>
      <w:tabs>
        <w:tab w:val="left" w:pos="3960"/>
        <w:tab w:val="left" w:pos="5280"/>
      </w:tabs>
      <w:spacing w:beforeLines="40" w:afterLines="40" w:line="240" w:lineRule="atLeast"/>
      <w:jc w:val="center"/>
    </w:pPr>
  </w:style>
  <w:style w:type="paragraph" w:customStyle="1" w:styleId="2358">
    <w:name w:val="xl41"/>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359">
    <w:name w:val="四级"/>
    <w:basedOn w:val="8"/>
    <w:qFormat/>
    <w:uiPriority w:val="0"/>
    <w:pPr>
      <w:widowControl/>
      <w:tabs>
        <w:tab w:val="clear" w:pos="864"/>
      </w:tabs>
      <w:spacing w:before="10" w:after="10" w:line="440" w:lineRule="exact"/>
      <w:ind w:left="0" w:firstLine="0"/>
      <w:jc w:val="both"/>
    </w:pPr>
    <w:rPr>
      <w:rFonts w:eastAsia="黑体"/>
      <w:b w:val="0"/>
      <w:bCs w:val="0"/>
      <w:szCs w:val="28"/>
      <w:lang w:bidi="en-US"/>
    </w:rPr>
  </w:style>
  <w:style w:type="paragraph" w:customStyle="1" w:styleId="2360">
    <w:name w:val="样式 报告表正文 + 首行缩进:  2 字符 行距: 1.5 倍行距"/>
    <w:basedOn w:val="569"/>
    <w:qFormat/>
    <w:uiPriority w:val="0"/>
    <w:pPr>
      <w:spacing w:line="360" w:lineRule="auto"/>
      <w:ind w:left="0" w:firstLine="0" w:firstLineChars="0"/>
      <w:jc w:val="both"/>
      <w:textAlignment w:val="auto"/>
    </w:pPr>
    <w:rPr>
      <w:rFonts w:cs="宋体"/>
      <w:color w:val="0000FF"/>
    </w:rPr>
  </w:style>
  <w:style w:type="paragraph" w:customStyle="1" w:styleId="2361">
    <w:name w:val="样式 正文文本缩进正文文字缩进正文文字缩进1 + 首行缩进:  0.98 厘米 Char"/>
    <w:basedOn w:val="3"/>
    <w:qFormat/>
    <w:uiPriority w:val="0"/>
    <w:pPr>
      <w:snapToGrid w:val="0"/>
      <w:spacing w:after="0" w:line="460" w:lineRule="exact"/>
      <w:ind w:left="0" w:leftChars="0" w:firstLine="556"/>
    </w:pPr>
    <w:rPr>
      <w:rFonts w:ascii="楷体_GB2312" w:eastAsia="楷体_GB2312"/>
      <w:bCs/>
      <w:color w:val="000000"/>
      <w:sz w:val="28"/>
      <w:szCs w:val="28"/>
    </w:rPr>
  </w:style>
  <w:style w:type="paragraph" w:customStyle="1" w:styleId="2362">
    <w:name w:val="农业部一"/>
    <w:next w:val="36"/>
    <w:qFormat/>
    <w:uiPriority w:val="0"/>
    <w:pPr>
      <w:widowControl w:val="0"/>
      <w:topLinePunct/>
      <w:spacing w:line="480" w:lineRule="atLeast"/>
      <w:jc w:val="center"/>
    </w:pPr>
    <w:rPr>
      <w:rFonts w:ascii="Times New Roman" w:hAnsi="Times New Roman" w:eastAsia="宋体" w:cs="Times New Roman"/>
      <w:kern w:val="2"/>
      <w:sz w:val="21"/>
      <w:szCs w:val="24"/>
      <w:lang w:val="en-US" w:eastAsia="zh-CN" w:bidi="ar-SA"/>
    </w:rPr>
  </w:style>
  <w:style w:type="paragraph" w:customStyle="1" w:styleId="2363">
    <w:name w:val="奇数页眉"/>
    <w:basedOn w:val="58"/>
    <w:qFormat/>
    <w:uiPriority w:val="0"/>
    <w:pPr>
      <w:widowControl/>
    </w:pPr>
    <w:rPr>
      <w:rFonts w:ascii="Calibri" w:hAnsi="Calibri" w:cs="宋体"/>
      <w:spacing w:val="4"/>
      <w:lang w:eastAsia="en-US" w:bidi="en-US"/>
    </w:rPr>
  </w:style>
  <w:style w:type="paragraph" w:customStyle="1" w:styleId="2364">
    <w:name w:val="Table Paragraph"/>
    <w:basedOn w:val="1"/>
    <w:qFormat/>
    <w:uiPriority w:val="1"/>
    <w:pPr>
      <w:autoSpaceDE w:val="0"/>
      <w:autoSpaceDN w:val="0"/>
      <w:adjustRightInd w:val="0"/>
      <w:spacing w:line="240" w:lineRule="auto"/>
      <w:jc w:val="left"/>
    </w:pPr>
    <w:rPr>
      <w:kern w:val="0"/>
    </w:rPr>
  </w:style>
  <w:style w:type="paragraph" w:customStyle="1" w:styleId="2365">
    <w:name w:val="Personal Info"/>
    <w:basedOn w:val="1807"/>
    <w:qFormat/>
    <w:uiPriority w:val="0"/>
    <w:pPr>
      <w:tabs>
        <w:tab w:val="left" w:pos="425"/>
        <w:tab w:val="clear" w:pos="960"/>
      </w:tabs>
      <w:spacing w:before="220"/>
      <w:ind w:left="425" w:hanging="425"/>
    </w:pPr>
    <w:rPr>
      <w:szCs w:val="20"/>
    </w:rPr>
  </w:style>
  <w:style w:type="paragraph" w:customStyle="1" w:styleId="2366">
    <w:name w:val="Char Char Char Char Char Char Char Char Char Char Char Char Char Char Char Char Char Char Char Char Char Char Char Char Char Char Char Char Char Char Char Char Char Char Char Char Char Char Char Char1"/>
    <w:basedOn w:val="1"/>
    <w:qFormat/>
    <w:uiPriority w:val="0"/>
    <w:pPr>
      <w:adjustRightInd w:val="0"/>
    </w:pPr>
    <w:rPr>
      <w:rFonts w:cs="宋体"/>
      <w:color w:val="000000"/>
      <w:sz w:val="21"/>
    </w:rPr>
  </w:style>
  <w:style w:type="paragraph" w:customStyle="1" w:styleId="2367">
    <w:name w:val="文章正文"/>
    <w:basedOn w:val="1"/>
    <w:qFormat/>
    <w:uiPriority w:val="0"/>
    <w:pPr>
      <w:adjustRightInd w:val="0"/>
      <w:snapToGrid w:val="0"/>
      <w:spacing w:line="320" w:lineRule="exact"/>
      <w:ind w:left="560"/>
    </w:pPr>
    <w:rPr>
      <w:rFonts w:eastAsia="方正书宋_GBK"/>
      <w:sz w:val="28"/>
    </w:rPr>
  </w:style>
  <w:style w:type="paragraph" w:customStyle="1" w:styleId="2368">
    <w:name w:val="main"/>
    <w:basedOn w:val="1"/>
    <w:qFormat/>
    <w:uiPriority w:val="0"/>
    <w:pPr>
      <w:widowControl/>
      <w:spacing w:before="100" w:beforeAutospacing="1" w:after="100" w:afterAutospacing="1" w:line="240" w:lineRule="auto"/>
      <w:ind w:firstLine="400"/>
    </w:pPr>
    <w:rPr>
      <w:rFonts w:eastAsia="Arial Unicode MS" w:cs="Arial Unicode MS"/>
      <w:color w:val="0033CC"/>
      <w:kern w:val="0"/>
      <w:sz w:val="18"/>
      <w:szCs w:val="18"/>
    </w:rPr>
  </w:style>
  <w:style w:type="paragraph" w:customStyle="1" w:styleId="2369">
    <w:name w:val="样式 标题 4 + (西文) Times New Roman (中文) 宋体 小四"/>
    <w:basedOn w:val="8"/>
    <w:qFormat/>
    <w:uiPriority w:val="0"/>
    <w:pPr>
      <w:keepLines/>
      <w:tabs>
        <w:tab w:val="clear" w:pos="864"/>
      </w:tabs>
      <w:snapToGrid w:val="0"/>
      <w:spacing w:before="280" w:beforeLines="25" w:after="290" w:afterLines="25"/>
      <w:ind w:left="0" w:firstLine="0"/>
      <w:jc w:val="both"/>
      <w:textAlignment w:val="baseline"/>
    </w:pPr>
    <w:rPr>
      <w:rFonts w:ascii="幼圆" w:eastAsia="幼圆"/>
      <w:bCs w:val="0"/>
      <w:color w:val="0000FF"/>
    </w:rPr>
  </w:style>
  <w:style w:type="paragraph" w:customStyle="1" w:styleId="2370">
    <w:name w:val="大妹正文"/>
    <w:basedOn w:val="5"/>
    <w:qFormat/>
    <w:uiPriority w:val="0"/>
    <w:pPr>
      <w:keepNext w:val="0"/>
      <w:tabs>
        <w:tab w:val="center" w:pos="4396"/>
        <w:tab w:val="left" w:pos="6600"/>
      </w:tabs>
      <w:adjustRightInd w:val="0"/>
      <w:snapToGrid w:val="0"/>
      <w:spacing w:line="360" w:lineRule="auto"/>
      <w:ind w:firstLine="538" w:firstLineChars="230"/>
      <w:outlineLvl w:val="9"/>
    </w:pPr>
    <w:rPr>
      <w:rFonts w:ascii="Arial" w:hAnsi="Arial"/>
      <w:spacing w:val="-3"/>
      <w:sz w:val="24"/>
      <w:szCs w:val="20"/>
    </w:rPr>
  </w:style>
  <w:style w:type="paragraph" w:customStyle="1" w:styleId="2371">
    <w:name w:val="表数"/>
    <w:basedOn w:val="1645"/>
    <w:qFormat/>
    <w:uiPriority w:val="0"/>
    <w:pPr>
      <w:jc w:val="center"/>
    </w:pPr>
    <w:rPr>
      <w:bCs w:val="0"/>
      <w:sz w:val="21"/>
      <w:szCs w:val="24"/>
    </w:rPr>
  </w:style>
  <w:style w:type="paragraph" w:customStyle="1" w:styleId="2372">
    <w:name w:val="样式10"/>
    <w:basedOn w:val="588"/>
    <w:qFormat/>
    <w:uiPriority w:val="0"/>
    <w:pPr>
      <w:keepNext/>
      <w:keepLines/>
      <w:widowControl w:val="0"/>
      <w:tabs>
        <w:tab w:val="left" w:pos="142"/>
        <w:tab w:val="left" w:pos="840"/>
      </w:tabs>
      <w:adjustRightInd w:val="0"/>
      <w:snapToGrid w:val="0"/>
      <w:spacing w:line="360" w:lineRule="auto"/>
      <w:ind w:left="142" w:hanging="420"/>
      <w:textAlignment w:val="baseline"/>
    </w:pPr>
    <w:rPr>
      <w:rFonts w:ascii="黑体" w:hAnsi="黑体" w:eastAsia="黑体" w:cs="Times New Roman"/>
      <w:bCs/>
      <w:color w:val="000000"/>
      <w:sz w:val="32"/>
      <w:szCs w:val="32"/>
    </w:rPr>
  </w:style>
  <w:style w:type="paragraph" w:customStyle="1" w:styleId="2373">
    <w:name w:val="附录2级"/>
    <w:basedOn w:val="1"/>
    <w:qFormat/>
    <w:uiPriority w:val="0"/>
    <w:pPr>
      <w:spacing w:before="100" w:beforeAutospacing="1" w:after="100" w:afterAutospacing="1" w:line="440" w:lineRule="exact"/>
      <w:ind w:firstLine="420"/>
      <w:jc w:val="center"/>
    </w:pPr>
    <w:rPr>
      <w:b/>
      <w:shd w:val="clear" w:color="auto" w:fill="FFFFFF"/>
    </w:rPr>
  </w:style>
  <w:style w:type="paragraph" w:customStyle="1" w:styleId="2374">
    <w:name w:val="Char Char Char Char"/>
    <w:basedOn w:val="1"/>
    <w:qFormat/>
    <w:uiPriority w:val="0"/>
    <w:pPr>
      <w:tabs>
        <w:tab w:val="left" w:pos="360"/>
      </w:tabs>
      <w:spacing w:line="240" w:lineRule="auto"/>
    </w:pPr>
  </w:style>
  <w:style w:type="paragraph" w:customStyle="1" w:styleId="2375">
    <w:name w:val="目录1"/>
    <w:basedOn w:val="60"/>
    <w:next w:val="60"/>
    <w:qFormat/>
    <w:uiPriority w:val="0"/>
    <w:pPr>
      <w:tabs>
        <w:tab w:val="left" w:pos="315"/>
        <w:tab w:val="right" w:leader="dot" w:pos="8302"/>
        <w:tab w:val="right" w:leader="dot" w:pos="9060"/>
        <w:tab w:val="right" w:leader="dot" w:pos="9231"/>
      </w:tabs>
      <w:adjustRightInd w:val="0"/>
      <w:snapToGrid w:val="0"/>
      <w:spacing w:line="360" w:lineRule="auto"/>
      <w:jc w:val="center"/>
      <w:textAlignment w:val="baseline"/>
    </w:pPr>
    <w:rPr>
      <w:rFonts w:ascii="宋体" w:hAnsi="宋体" w:eastAsia="楷体_GB2312"/>
      <w:iCs/>
      <w:caps w:val="0"/>
      <w:snapToGrid w:val="0"/>
      <w:color w:val="000000"/>
      <w:kern w:val="0"/>
      <w:szCs w:val="28"/>
    </w:rPr>
  </w:style>
  <w:style w:type="paragraph" w:customStyle="1" w:styleId="2376">
    <w:name w:val="表项"/>
    <w:basedOn w:val="1"/>
    <w:qFormat/>
    <w:uiPriority w:val="0"/>
    <w:pPr>
      <w:keepNext/>
      <w:spacing w:line="240" w:lineRule="auto"/>
      <w:jc w:val="center"/>
      <w:outlineLvl w:val="5"/>
    </w:pPr>
    <w:rPr>
      <w:rFonts w:ascii="宋体" w:hAnsi="宋体"/>
      <w:spacing w:val="-20"/>
      <w:w w:val="90"/>
      <w:kern w:val="10"/>
    </w:rPr>
  </w:style>
  <w:style w:type="paragraph" w:customStyle="1" w:styleId="2377">
    <w:name w:val="huigel标题1"/>
    <w:basedOn w:val="5"/>
    <w:next w:val="23"/>
    <w:qFormat/>
    <w:uiPriority w:val="0"/>
    <w:pPr>
      <w:keepLines/>
      <w:tabs>
        <w:tab w:val="left" w:pos="1117"/>
      </w:tabs>
      <w:spacing w:before="340" w:after="330" w:line="578" w:lineRule="auto"/>
      <w:ind w:left="397"/>
    </w:pPr>
    <w:rPr>
      <w:rFonts w:ascii="Times New Roman" w:hAnsi="Times New Roman" w:eastAsia="仿宋_GB2312"/>
      <w:b/>
      <w:bCs/>
      <w:kern w:val="44"/>
      <w:sz w:val="30"/>
      <w:szCs w:val="44"/>
    </w:rPr>
  </w:style>
  <w:style w:type="paragraph" w:customStyle="1" w:styleId="2378">
    <w:name w:val="样式 四号 首行缩进:  2 字符"/>
    <w:basedOn w:val="1"/>
    <w:qFormat/>
    <w:uiPriority w:val="0"/>
    <w:pPr>
      <w:spacing w:line="480" w:lineRule="atLeast"/>
      <w:ind w:firstLine="200" w:firstLineChars="200"/>
    </w:pPr>
  </w:style>
  <w:style w:type="paragraph" w:customStyle="1" w:styleId="2379">
    <w:name w:val="表格名称"/>
    <w:basedOn w:val="1"/>
    <w:qFormat/>
    <w:uiPriority w:val="0"/>
    <w:pPr>
      <w:tabs>
        <w:tab w:val="left" w:pos="720"/>
      </w:tabs>
      <w:spacing w:line="240" w:lineRule="auto"/>
      <w:jc w:val="center"/>
    </w:pPr>
    <w:rPr>
      <w:rFonts w:eastAsia="黑体"/>
      <w:sz w:val="21"/>
      <w:szCs w:val="20"/>
    </w:rPr>
  </w:style>
  <w:style w:type="paragraph" w:customStyle="1" w:styleId="2380">
    <w:name w:val="16.8.1.1"/>
    <w:basedOn w:val="8"/>
    <w:qFormat/>
    <w:uiPriority w:val="0"/>
    <w:pPr>
      <w:keepLines/>
      <w:numPr>
        <w:ilvl w:val="3"/>
        <w:numId w:val="53"/>
      </w:numPr>
      <w:tabs>
        <w:tab w:val="left" w:pos="1080"/>
        <w:tab w:val="clear" w:pos="864"/>
      </w:tabs>
      <w:spacing w:before="120" w:after="120" w:line="312" w:lineRule="auto"/>
      <w:jc w:val="both"/>
    </w:pPr>
    <w:rPr>
      <w:rFonts w:ascii="Arial" w:hAnsi="Arial" w:eastAsia="黑体"/>
    </w:rPr>
  </w:style>
  <w:style w:type="paragraph" w:customStyle="1" w:styleId="2381">
    <w:name w:val="文本正文 + 仿宋_GB2312"/>
    <w:basedOn w:val="1"/>
    <w:qFormat/>
    <w:uiPriority w:val="0"/>
    <w:pPr>
      <w:adjustRightInd w:val="0"/>
      <w:ind w:firstLine="567"/>
      <w:textAlignment w:val="baseline"/>
    </w:pPr>
    <w:rPr>
      <w:rFonts w:ascii="仿宋_GB2312" w:hAnsi="仿宋_GB2312" w:cs="宋体"/>
      <w:snapToGrid w:val="0"/>
      <w:color w:val="000000"/>
      <w:spacing w:val="4"/>
      <w:kern w:val="18"/>
    </w:rPr>
  </w:style>
  <w:style w:type="paragraph" w:customStyle="1" w:styleId="2382">
    <w:name w:val="质报书正文"/>
    <w:basedOn w:val="1"/>
    <w:qFormat/>
    <w:uiPriority w:val="0"/>
    <w:pPr>
      <w:spacing w:line="240" w:lineRule="auto"/>
      <w:ind w:firstLine="480" w:firstLineChars="200"/>
    </w:pPr>
    <w:rPr>
      <w:kern w:val="0"/>
    </w:rPr>
  </w:style>
  <w:style w:type="paragraph" w:customStyle="1" w:styleId="2383">
    <w:name w:val="样式 标题 2 + 段前: 6 磅"/>
    <w:basedOn w:val="6"/>
    <w:qFormat/>
    <w:uiPriority w:val="0"/>
    <w:pPr>
      <w:numPr>
        <w:ilvl w:val="0"/>
      </w:numPr>
      <w:tabs>
        <w:tab w:val="left" w:pos="450"/>
        <w:tab w:val="clear" w:pos="-181"/>
      </w:tabs>
      <w:snapToGrid/>
      <w:spacing w:before="240" w:beforeLines="0" w:after="60" w:line="240" w:lineRule="auto"/>
      <w:ind w:left="567" w:hanging="567"/>
      <w:textAlignment w:val="auto"/>
    </w:pPr>
    <w:rPr>
      <w:rFonts w:cs="宋体"/>
      <w:b/>
      <w:bCs/>
      <w:kern w:val="2"/>
      <w:sz w:val="24"/>
      <w:szCs w:val="20"/>
    </w:rPr>
  </w:style>
  <w:style w:type="paragraph" w:customStyle="1" w:styleId="2384">
    <w:name w:val="备注"/>
    <w:basedOn w:val="87"/>
    <w:qFormat/>
    <w:uiPriority w:val="0"/>
    <w:pPr>
      <w:keepNext/>
      <w:widowControl/>
      <w:tabs>
        <w:tab w:val="left" w:pos="628"/>
        <w:tab w:val="left" w:pos="1727"/>
        <w:tab w:val="left" w:pos="1884"/>
        <w:tab w:val="left" w:pos="4900"/>
      </w:tabs>
      <w:adjustRightInd w:val="0"/>
      <w:snapToGrid w:val="0"/>
      <w:spacing w:after="0" w:line="0" w:lineRule="atLeast"/>
      <w:ind w:firstLine="0" w:firstLineChars="0"/>
    </w:pPr>
    <w:rPr>
      <w:rFonts w:ascii="宋体" w:hAnsi="宋体" w:cs="Arial"/>
      <w:spacing w:val="4"/>
      <w:kern w:val="0"/>
      <w:sz w:val="18"/>
      <w:szCs w:val="18"/>
    </w:rPr>
  </w:style>
  <w:style w:type="paragraph" w:customStyle="1" w:styleId="2385">
    <w:name w:val="4级标"/>
    <w:basedOn w:val="1494"/>
    <w:next w:val="1494"/>
    <w:qFormat/>
    <w:uiPriority w:val="0"/>
    <w:pPr>
      <w:spacing w:beforeLines="50" w:afterLines="50" w:line="440" w:lineRule="exact"/>
    </w:pPr>
    <w:rPr>
      <w:rFonts w:eastAsia="黑体" w:cs="宋体"/>
      <w:b w:val="0"/>
      <w:bCs/>
      <w:szCs w:val="20"/>
    </w:rPr>
  </w:style>
  <w:style w:type="paragraph" w:customStyle="1" w:styleId="2386">
    <w:name w:val="1标题4级"/>
    <w:basedOn w:val="239"/>
    <w:qFormat/>
    <w:uiPriority w:val="0"/>
    <w:pPr>
      <w:keepNext/>
      <w:spacing w:line="420" w:lineRule="auto"/>
      <w:outlineLvl w:val="2"/>
    </w:pPr>
    <w:rPr>
      <w:rFonts w:eastAsia="黑体"/>
      <w:b/>
      <w:sz w:val="24"/>
      <w:szCs w:val="24"/>
    </w:rPr>
  </w:style>
  <w:style w:type="paragraph" w:customStyle="1" w:styleId="2387">
    <w:name w:val="档案号"/>
    <w:basedOn w:val="58"/>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2388">
    <w:name w:val="奇数页篇眉"/>
    <w:basedOn w:val="58"/>
    <w:qFormat/>
    <w:uiPriority w:val="0"/>
    <w:pPr>
      <w:keepLines/>
      <w:widowControl/>
      <w:pBdr>
        <w:bottom w:val="none" w:color="auto" w:sz="0" w:space="0"/>
      </w:pBdr>
      <w:tabs>
        <w:tab w:val="center" w:pos="7200"/>
        <w:tab w:val="right" w:pos="14400"/>
        <w:tab w:val="clear" w:pos="4153"/>
        <w:tab w:val="clear" w:pos="8306"/>
      </w:tabs>
      <w:overflowPunct w:val="0"/>
      <w:autoSpaceDE w:val="0"/>
      <w:autoSpaceDN w:val="0"/>
      <w:adjustRightInd w:val="0"/>
      <w:snapToGrid/>
      <w:textAlignment w:val="baseline"/>
    </w:pPr>
    <w:rPr>
      <w:spacing w:val="80"/>
      <w:kern w:val="0"/>
      <w:sz w:val="20"/>
      <w:szCs w:val="20"/>
      <w:lang w:bidi="en-US"/>
    </w:rPr>
  </w:style>
  <w:style w:type="paragraph" w:customStyle="1" w:styleId="2389">
    <w:name w:val="第五章表头"/>
    <w:basedOn w:val="1"/>
    <w:qFormat/>
    <w:uiPriority w:val="0"/>
    <w:pPr>
      <w:numPr>
        <w:ilvl w:val="0"/>
        <w:numId w:val="54"/>
      </w:numPr>
      <w:jc w:val="center"/>
    </w:pPr>
    <w:rPr>
      <w:b/>
      <w:color w:val="0000FF"/>
    </w:rPr>
  </w:style>
  <w:style w:type="paragraph" w:customStyle="1" w:styleId="2390">
    <w:name w:val="分标题"/>
    <w:basedOn w:val="1"/>
    <w:next w:val="1"/>
    <w:qFormat/>
    <w:uiPriority w:val="0"/>
    <w:pPr>
      <w:widowControl/>
      <w:spacing w:before="60" w:after="60"/>
    </w:pPr>
    <w:rPr>
      <w:rFonts w:ascii="宋体"/>
      <w:b/>
      <w:kern w:val="0"/>
    </w:rPr>
  </w:style>
  <w:style w:type="paragraph" w:customStyle="1" w:styleId="2391">
    <w:name w:val="項目:(一)[a]1.[a](1)[a]圈[a]A"/>
    <w:basedOn w:val="1"/>
    <w:qFormat/>
    <w:uiPriority w:val="0"/>
    <w:pPr>
      <w:spacing w:line="320" w:lineRule="atLeast"/>
      <w:ind w:left="1548" w:hanging="289"/>
    </w:pPr>
    <w:rPr>
      <w:rFonts w:eastAsia="MingLiU"/>
      <w:sz w:val="22"/>
      <w:szCs w:val="20"/>
      <w:lang w:eastAsia="zh-TW"/>
    </w:rPr>
  </w:style>
  <w:style w:type="paragraph" w:customStyle="1" w:styleId="2392">
    <w:name w:val="8"/>
    <w:basedOn w:val="1"/>
    <w:next w:val="1"/>
    <w:qFormat/>
    <w:uiPriority w:val="0"/>
    <w:pPr>
      <w:adjustRightInd w:val="0"/>
      <w:spacing w:before="60" w:line="240" w:lineRule="auto"/>
      <w:ind w:firstLine="480"/>
      <w:textAlignment w:val="baseline"/>
    </w:pPr>
    <w:rPr>
      <w:color w:val="FF0000"/>
      <w:szCs w:val="20"/>
    </w:rPr>
  </w:style>
  <w:style w:type="paragraph" w:customStyle="1" w:styleId="2393">
    <w:name w:val="表标题5.14"/>
    <w:basedOn w:val="1"/>
    <w:qFormat/>
    <w:uiPriority w:val="0"/>
    <w:pPr>
      <w:numPr>
        <w:ilvl w:val="0"/>
        <w:numId w:val="55"/>
      </w:numPr>
      <w:spacing w:beforeLines="100" w:line="0" w:lineRule="atLeast"/>
    </w:pPr>
    <w:rPr>
      <w:rFonts w:eastAsia="黑体"/>
      <w:b/>
    </w:rPr>
  </w:style>
  <w:style w:type="paragraph" w:customStyle="1" w:styleId="2394">
    <w:name w:val="图表目录4"/>
    <w:basedOn w:val="2395"/>
    <w:next w:val="2395"/>
    <w:qFormat/>
    <w:uiPriority w:val="0"/>
    <w:pPr>
      <w:tabs>
        <w:tab w:val="right" w:leader="dot" w:pos="8051"/>
      </w:tabs>
      <w:ind w:left="840" w:hanging="840"/>
    </w:pPr>
  </w:style>
  <w:style w:type="paragraph" w:customStyle="1" w:styleId="2395">
    <w:name w:val="正文6"/>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2396">
    <w:name w:val="91"/>
    <w:basedOn w:val="1"/>
    <w:qFormat/>
    <w:uiPriority w:val="0"/>
    <w:pPr>
      <w:keepNext/>
      <w:spacing w:beforeLines="30" w:afterLines="30"/>
    </w:pPr>
  </w:style>
  <w:style w:type="paragraph" w:customStyle="1" w:styleId="2397">
    <w:name w:val="样式 表格 + 五号1"/>
    <w:basedOn w:val="1"/>
    <w:qFormat/>
    <w:uiPriority w:val="0"/>
    <w:pPr>
      <w:spacing w:line="400" w:lineRule="exact"/>
      <w:jc w:val="center"/>
    </w:pPr>
    <w:rPr>
      <w:sz w:val="21"/>
      <w:szCs w:val="21"/>
    </w:rPr>
  </w:style>
  <w:style w:type="paragraph" w:customStyle="1" w:styleId="2398">
    <w:name w:val="样式 居中"/>
    <w:basedOn w:val="1"/>
    <w:qFormat/>
    <w:uiPriority w:val="0"/>
    <w:pPr>
      <w:spacing w:before="100" w:beforeAutospacing="1" w:after="100" w:afterAutospacing="1" w:line="300" w:lineRule="auto"/>
      <w:jc w:val="center"/>
    </w:pPr>
    <w:rPr>
      <w:rFonts w:eastAsia="楷体_GB2312" w:cs="宋体"/>
      <w:b/>
      <w:sz w:val="32"/>
      <w:szCs w:val="20"/>
    </w:rPr>
  </w:style>
  <w:style w:type="paragraph" w:customStyle="1" w:styleId="2399">
    <w:name w:val="样式 仿宋_GB2312 小四1"/>
    <w:basedOn w:val="1"/>
    <w:qFormat/>
    <w:uiPriority w:val="0"/>
    <w:pPr>
      <w:adjustRightInd w:val="0"/>
      <w:ind w:firstLine="480" w:firstLineChars="200"/>
      <w:textAlignment w:val="baseline"/>
    </w:pPr>
    <w:rPr>
      <w:rFonts w:cs="宋体"/>
      <w:color w:val="000000"/>
      <w:kern w:val="0"/>
    </w:rPr>
  </w:style>
  <w:style w:type="paragraph" w:customStyle="1" w:styleId="2400">
    <w:name w:val="样式 宋体 加粗 居中"/>
    <w:basedOn w:val="24"/>
    <w:next w:val="1"/>
    <w:qFormat/>
    <w:uiPriority w:val="0"/>
    <w:pPr>
      <w:keepNext w:val="0"/>
      <w:spacing w:line="300" w:lineRule="auto"/>
    </w:pPr>
    <w:rPr>
      <w:rFonts w:ascii="宋体" w:hAnsi="宋体" w:cs="宋体"/>
      <w:bCs/>
      <w:sz w:val="21"/>
    </w:rPr>
  </w:style>
  <w:style w:type="paragraph" w:customStyle="1" w:styleId="2401">
    <w:name w:val="样式75"/>
    <w:basedOn w:val="1639"/>
    <w:qFormat/>
    <w:uiPriority w:val="0"/>
    <w:rPr>
      <w:rFonts w:ascii="Times New Roman" w:hAnsi="Times New Roman"/>
    </w:rPr>
  </w:style>
  <w:style w:type="paragraph" w:customStyle="1" w:styleId="2402">
    <w:name w:val="样式 1 + Times New Roman 段前: 1 行 段后: 0.5 行 行距: 多倍行距 1.25 字行"/>
    <w:basedOn w:val="5"/>
    <w:qFormat/>
    <w:uiPriority w:val="0"/>
    <w:pPr>
      <w:keepNext w:val="0"/>
      <w:spacing w:before="360" w:beforeLines="100" w:after="360" w:afterLines="50" w:line="300" w:lineRule="auto"/>
      <w:jc w:val="left"/>
      <w:outlineLvl w:val="9"/>
    </w:pPr>
    <w:rPr>
      <w:rFonts w:ascii="Times New Roman" w:hAnsi="Times New Roman" w:eastAsia="黑体" w:cs="宋体"/>
      <w:b/>
      <w:bCs/>
      <w:kern w:val="0"/>
      <w:sz w:val="30"/>
      <w:szCs w:val="20"/>
    </w:rPr>
  </w:style>
  <w:style w:type="paragraph" w:customStyle="1" w:styleId="2403">
    <w:name w:val="正文缩"/>
    <w:basedOn w:val="1"/>
    <w:qFormat/>
    <w:uiPriority w:val="0"/>
    <w:pPr>
      <w:adjustRightInd w:val="0"/>
      <w:snapToGrid w:val="0"/>
      <w:spacing w:line="480" w:lineRule="atLeast"/>
      <w:ind w:firstLine="200" w:firstLineChars="200"/>
    </w:pPr>
    <w:rPr>
      <w:rFonts w:ascii="宋体"/>
      <w:snapToGrid w:val="0"/>
      <w:spacing w:val="6"/>
      <w:kern w:val="0"/>
      <w:sz w:val="28"/>
    </w:rPr>
  </w:style>
  <w:style w:type="paragraph" w:customStyle="1" w:styleId="2404">
    <w:name w:val="样式23"/>
    <w:basedOn w:val="1"/>
    <w:qFormat/>
    <w:uiPriority w:val="0"/>
    <w:pPr>
      <w:spacing w:line="240" w:lineRule="auto"/>
      <w:ind w:firstLine="475" w:firstLineChars="200"/>
    </w:pPr>
    <w:rPr>
      <w:rFonts w:eastAsia="华文中宋"/>
      <w:color w:val="000000"/>
    </w:rPr>
  </w:style>
  <w:style w:type="paragraph" w:customStyle="1" w:styleId="2405">
    <w:name w:val="样式 标题 2节标题标题21.1H2h2第一层条4.1二级标题标题 lxb2二级标题 Char表标题单位..."/>
    <w:basedOn w:val="1"/>
    <w:qFormat/>
    <w:uiPriority w:val="0"/>
    <w:pPr>
      <w:tabs>
        <w:tab w:val="left" w:pos="737"/>
      </w:tabs>
      <w:spacing w:line="240" w:lineRule="auto"/>
      <w:ind w:left="737" w:hanging="737"/>
    </w:pPr>
    <w:rPr>
      <w:sz w:val="21"/>
    </w:rPr>
  </w:style>
  <w:style w:type="paragraph" w:customStyle="1" w:styleId="2406">
    <w:name w:val="zhang正文"/>
    <w:basedOn w:val="3"/>
    <w:qFormat/>
    <w:uiPriority w:val="0"/>
    <w:pPr>
      <w:autoSpaceDE w:val="0"/>
      <w:autoSpaceDN w:val="0"/>
      <w:adjustRightInd w:val="0"/>
      <w:snapToGrid w:val="0"/>
      <w:spacing w:after="0"/>
      <w:ind w:left="0" w:leftChars="0" w:firstLine="539"/>
    </w:pPr>
    <w:rPr>
      <w:rFonts w:eastAsia="楷体_GB2312"/>
      <w:kern w:val="0"/>
      <w:sz w:val="28"/>
      <w:szCs w:val="20"/>
    </w:rPr>
  </w:style>
  <w:style w:type="paragraph" w:customStyle="1" w:styleId="2407">
    <w:name w:val="样式 样式 样式 样式 标题 21.1标题 21.1标题2标题 2 Char1节标2_Heading 2一级条二级标题，黑粗，...."/>
    <w:basedOn w:val="1"/>
    <w:qFormat/>
    <w:uiPriority w:val="0"/>
    <w:pPr>
      <w:keepNext/>
      <w:widowControl/>
      <w:numPr>
        <w:ilvl w:val="1"/>
        <w:numId w:val="56"/>
      </w:numPr>
      <w:snapToGrid w:val="0"/>
      <w:spacing w:beforeLines="50" w:afterLines="50" w:line="240" w:lineRule="auto"/>
      <w:outlineLvl w:val="1"/>
    </w:pPr>
    <w:rPr>
      <w:rFonts w:ascii="黑体" w:hAnsi="Arial" w:eastAsia="黑体" w:cs="宋体"/>
      <w:color w:val="000000"/>
      <w:kern w:val="24"/>
      <w:sz w:val="28"/>
      <w:szCs w:val="20"/>
      <w:lang w:val="zh-CN"/>
    </w:rPr>
  </w:style>
  <w:style w:type="paragraph" w:customStyle="1" w:styleId="2408">
    <w:name w:val="燕山正文 Char Char"/>
    <w:basedOn w:val="1"/>
    <w:qFormat/>
    <w:uiPriority w:val="0"/>
    <w:pPr>
      <w:tabs>
        <w:tab w:val="left" w:pos="4680"/>
      </w:tabs>
      <w:adjustRightInd w:val="0"/>
      <w:snapToGrid w:val="0"/>
      <w:ind w:firstLine="480" w:firstLineChars="200"/>
    </w:pPr>
    <w:rPr>
      <w:snapToGrid w:val="0"/>
      <w:sz w:val="21"/>
    </w:rPr>
  </w:style>
  <w:style w:type="paragraph" w:customStyle="1" w:styleId="2409">
    <w:name w:val="样式 燕山正文 + 首行缩进:  3.5 字符"/>
    <w:basedOn w:val="1773"/>
    <w:qFormat/>
    <w:uiPriority w:val="0"/>
    <w:pPr>
      <w:tabs>
        <w:tab w:val="clear" w:pos="4680"/>
      </w:tabs>
      <w:jc w:val="both"/>
    </w:pPr>
    <w:rPr>
      <w:rFonts w:hAnsi="Times New Roman"/>
      <w:snapToGrid/>
      <w:kern w:val="2"/>
    </w:rPr>
  </w:style>
  <w:style w:type="paragraph" w:customStyle="1" w:styleId="2410">
    <w:name w:val="xl100"/>
    <w:basedOn w:val="1"/>
    <w:qFormat/>
    <w:uiPriority w:val="0"/>
    <w:pPr>
      <w:widowControl/>
      <w:pBdr>
        <w:left w:val="single" w:color="auto" w:sz="4" w:space="0"/>
        <w:bottom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411">
    <w:name w:val="1.1.1"/>
    <w:basedOn w:val="6"/>
    <w:qFormat/>
    <w:uiPriority w:val="0"/>
    <w:pPr>
      <w:numPr>
        <w:ilvl w:val="0"/>
        <w:numId w:val="0"/>
      </w:numPr>
      <w:tabs>
        <w:tab w:val="clear" w:pos="-181"/>
      </w:tabs>
      <w:adjustRightInd/>
      <w:spacing w:before="0" w:beforeLines="50" w:afterLines="50"/>
      <w:ind w:left="1288" w:hanging="688"/>
      <w:jc w:val="both"/>
      <w:textAlignment w:val="auto"/>
      <w:outlineLvl w:val="9"/>
    </w:pPr>
    <w:rPr>
      <w:rFonts w:ascii="DFKai-SB" w:eastAsia="DFKai-SB"/>
      <w:b/>
      <w:bCs/>
      <w:kern w:val="2"/>
      <w:sz w:val="28"/>
      <w:lang w:eastAsia="zh-TW"/>
    </w:rPr>
  </w:style>
  <w:style w:type="paragraph" w:customStyle="1" w:styleId="2412">
    <w:name w:val="样式 宋体 居中"/>
    <w:basedOn w:val="1"/>
    <w:qFormat/>
    <w:uiPriority w:val="0"/>
    <w:pPr>
      <w:adjustRightInd w:val="0"/>
      <w:jc w:val="center"/>
      <w:textAlignment w:val="baseline"/>
    </w:pPr>
    <w:rPr>
      <w:rFonts w:ascii="宋体" w:hAnsi="宋体"/>
      <w:kern w:val="21"/>
    </w:rPr>
  </w:style>
  <w:style w:type="paragraph" w:customStyle="1" w:styleId="2413">
    <w:name w:val="样式50"/>
    <w:basedOn w:val="2123"/>
    <w:qFormat/>
    <w:uiPriority w:val="0"/>
    <w:pPr>
      <w:outlineLvl w:val="2"/>
    </w:pPr>
  </w:style>
  <w:style w:type="paragraph" w:customStyle="1" w:styleId="2414">
    <w:name w:val="目录3"/>
    <w:basedOn w:val="1"/>
    <w:next w:val="1"/>
    <w:qFormat/>
    <w:uiPriority w:val="0"/>
    <w:pPr>
      <w:tabs>
        <w:tab w:val="left" w:leader="dot" w:pos="8492"/>
      </w:tabs>
      <w:adjustRightInd w:val="0"/>
      <w:spacing w:line="748" w:lineRule="atLeast"/>
      <w:ind w:left="419" w:firstLine="419"/>
    </w:pPr>
    <w:rPr>
      <w:rFonts w:ascii="宋体" w:cs="宋体"/>
      <w:color w:val="000000"/>
      <w:kern w:val="0"/>
      <w:sz w:val="21"/>
      <w:szCs w:val="20"/>
      <w:u w:color="000000"/>
    </w:rPr>
  </w:style>
  <w:style w:type="paragraph" w:customStyle="1" w:styleId="2415">
    <w:name w:val="reader-word-layer reader-word-s1-19"/>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416">
    <w:name w:val="报告标题3"/>
    <w:basedOn w:val="1"/>
    <w:qFormat/>
    <w:uiPriority w:val="0"/>
    <w:pPr>
      <w:tabs>
        <w:tab w:val="left" w:pos="1080"/>
      </w:tabs>
      <w:autoSpaceDE w:val="0"/>
      <w:autoSpaceDN w:val="0"/>
      <w:spacing w:line="300" w:lineRule="auto"/>
      <w:ind w:left="1080" w:hanging="1080" w:firstLineChars="200"/>
      <w:textAlignment w:val="baseline"/>
    </w:pPr>
    <w:rPr>
      <w:rFonts w:ascii="宋体"/>
      <w:b/>
      <w:kern w:val="0"/>
      <w:sz w:val="28"/>
      <w:szCs w:val="20"/>
    </w:rPr>
  </w:style>
  <w:style w:type="paragraph" w:customStyle="1" w:styleId="2417">
    <w:name w:val="图表头2"/>
    <w:basedOn w:val="2418"/>
    <w:qFormat/>
    <w:uiPriority w:val="0"/>
    <w:pPr>
      <w:spacing w:beforeLines="50"/>
      <w:ind w:right="42" w:rightChars="20"/>
      <w:textAlignment w:val="auto"/>
    </w:pPr>
    <w:rPr>
      <w:rFonts w:ascii="黑体" w:eastAsia="黑体"/>
      <w:b/>
      <w:spacing w:val="5"/>
      <w:sz w:val="26"/>
      <w:szCs w:val="21"/>
    </w:rPr>
  </w:style>
  <w:style w:type="paragraph" w:customStyle="1" w:styleId="2418">
    <w:name w:val="图表头"/>
    <w:basedOn w:val="1"/>
    <w:qFormat/>
    <w:uiPriority w:val="0"/>
    <w:pPr>
      <w:adjustRightInd w:val="0"/>
      <w:spacing w:line="312" w:lineRule="atLeast"/>
      <w:jc w:val="center"/>
      <w:textAlignment w:val="baseline"/>
    </w:pPr>
    <w:rPr>
      <w:bCs/>
      <w:spacing w:val="-10"/>
    </w:rPr>
  </w:style>
  <w:style w:type="paragraph" w:customStyle="1" w:styleId="2419">
    <w:name w:val="a9"/>
    <w:basedOn w:val="1"/>
    <w:qFormat/>
    <w:uiPriority w:val="0"/>
    <w:pPr>
      <w:widowControl/>
      <w:adjustRightInd w:val="0"/>
      <w:spacing w:before="100" w:beforeAutospacing="1" w:after="100" w:afterAutospacing="1" w:line="360" w:lineRule="atLeast"/>
      <w:textAlignment w:val="baseline"/>
    </w:pPr>
    <w:rPr>
      <w:rFonts w:ascii="宋体" w:hAnsi="宋体"/>
      <w:color w:val="000000"/>
      <w:kern w:val="0"/>
      <w:szCs w:val="20"/>
    </w:rPr>
  </w:style>
  <w:style w:type="paragraph" w:customStyle="1" w:styleId="2420">
    <w:name w:val="样式 标题 3 + Arial"/>
    <w:basedOn w:val="1"/>
    <w:qFormat/>
    <w:uiPriority w:val="0"/>
    <w:pPr>
      <w:spacing w:line="240" w:lineRule="auto"/>
    </w:pPr>
    <w:rPr>
      <w:sz w:val="21"/>
      <w:szCs w:val="20"/>
    </w:rPr>
  </w:style>
  <w:style w:type="paragraph" w:customStyle="1" w:styleId="2421">
    <w:name w:val="表格王"/>
    <w:basedOn w:val="1"/>
    <w:qFormat/>
    <w:uiPriority w:val="0"/>
    <w:pPr>
      <w:adjustRightInd w:val="0"/>
      <w:snapToGrid w:val="0"/>
      <w:spacing w:line="360" w:lineRule="exact"/>
      <w:jc w:val="center"/>
    </w:pPr>
    <w:rPr>
      <w:sz w:val="21"/>
      <w:szCs w:val="18"/>
    </w:rPr>
  </w:style>
  <w:style w:type="paragraph" w:customStyle="1" w:styleId="2422">
    <w:name w:val="样式85"/>
    <w:basedOn w:val="5"/>
    <w:qFormat/>
    <w:uiPriority w:val="0"/>
    <w:pPr>
      <w:keepLines/>
      <w:adjustRightInd w:val="0"/>
      <w:snapToGrid w:val="0"/>
      <w:spacing w:before="300" w:after="300" w:line="360" w:lineRule="auto"/>
    </w:pPr>
    <w:rPr>
      <w:rFonts w:ascii="Times New Roman" w:hAnsi="Times New Roman" w:eastAsia="黑体"/>
      <w:b/>
      <w:bCs/>
      <w:kern w:val="44"/>
      <w:sz w:val="44"/>
      <w:szCs w:val="44"/>
    </w:rPr>
  </w:style>
  <w:style w:type="paragraph" w:customStyle="1" w:styleId="2423">
    <w:name w:val="二级标题new"/>
    <w:basedOn w:val="1"/>
    <w:qFormat/>
    <w:uiPriority w:val="0"/>
    <w:pPr>
      <w:keepNext/>
      <w:keepLines/>
      <w:tabs>
        <w:tab w:val="left" w:pos="0"/>
      </w:tabs>
      <w:jc w:val="left"/>
      <w:textAlignment w:val="baseline"/>
      <w:outlineLvl w:val="1"/>
    </w:pPr>
    <w:rPr>
      <w:rFonts w:eastAsia="黑体" w:cs="宋体"/>
      <w:b/>
      <w:bCs/>
      <w:kern w:val="0"/>
      <w:sz w:val="32"/>
      <w:szCs w:val="32"/>
    </w:rPr>
  </w:style>
  <w:style w:type="paragraph" w:customStyle="1" w:styleId="2424">
    <w:name w:val="1级标题"/>
    <w:basedOn w:val="5"/>
    <w:qFormat/>
    <w:uiPriority w:val="0"/>
    <w:pPr>
      <w:keepNext w:val="0"/>
      <w:tabs>
        <w:tab w:val="left" w:pos="432"/>
      </w:tabs>
      <w:spacing w:line="360" w:lineRule="auto"/>
      <w:ind w:left="432" w:hanging="432"/>
    </w:pPr>
    <w:rPr>
      <w:rFonts w:ascii="黑体" w:hAnsi="Times New Roman" w:eastAsia="黑体"/>
      <w:bCs/>
      <w:kern w:val="44"/>
      <w:sz w:val="30"/>
      <w:szCs w:val="30"/>
    </w:rPr>
  </w:style>
  <w:style w:type="paragraph" w:customStyle="1" w:styleId="2425">
    <w:name w:val="表中居中文字"/>
    <w:basedOn w:val="1"/>
    <w:qFormat/>
    <w:uiPriority w:val="0"/>
    <w:pPr>
      <w:numPr>
        <w:ilvl w:val="3"/>
        <w:numId w:val="57"/>
      </w:numPr>
      <w:tabs>
        <w:tab w:val="clear" w:pos="2249"/>
      </w:tabs>
      <w:spacing w:line="240" w:lineRule="auto"/>
      <w:ind w:left="0" w:firstLine="0"/>
    </w:pPr>
    <w:rPr>
      <w:rFonts w:ascii="宋体" w:hAnsi="宋体" w:cs="Arial"/>
      <w:bCs/>
      <w:color w:val="FF0000"/>
      <w:szCs w:val="18"/>
    </w:rPr>
  </w:style>
  <w:style w:type="paragraph" w:customStyle="1" w:styleId="2426">
    <w:name w:val="1.1报告标题"/>
    <w:basedOn w:val="6"/>
    <w:qFormat/>
    <w:uiPriority w:val="0"/>
    <w:pPr>
      <w:numPr>
        <w:ilvl w:val="0"/>
        <w:numId w:val="0"/>
      </w:numPr>
      <w:tabs>
        <w:tab w:val="clear" w:pos="-181"/>
      </w:tabs>
      <w:adjustRightInd/>
      <w:spacing w:before="260" w:beforeLines="50" w:after="260" w:afterLines="50"/>
      <w:jc w:val="both"/>
      <w:textAlignment w:val="auto"/>
    </w:pPr>
    <w:rPr>
      <w:i/>
      <w:kern w:val="2"/>
      <w:szCs w:val="30"/>
    </w:rPr>
  </w:style>
  <w:style w:type="paragraph" w:customStyle="1" w:styleId="2427">
    <w:name w:val="图表目录1"/>
    <w:basedOn w:val="1283"/>
    <w:next w:val="1283"/>
    <w:qFormat/>
    <w:uiPriority w:val="0"/>
    <w:pPr>
      <w:tabs>
        <w:tab w:val="right" w:leader="dot" w:pos="8051"/>
      </w:tabs>
      <w:ind w:left="840" w:hanging="840"/>
    </w:pPr>
  </w:style>
  <w:style w:type="paragraph" w:customStyle="1" w:styleId="2428">
    <w:name w:val="小3级"/>
    <w:basedOn w:val="1"/>
    <w:qFormat/>
    <w:uiPriority w:val="0"/>
    <w:pPr>
      <w:spacing w:line="500" w:lineRule="exact"/>
      <w:outlineLvl w:val="2"/>
    </w:pPr>
    <w:rPr>
      <w:rFonts w:ascii="宋体" w:hAnsi="宋体" w:eastAsia="楷体_GB2312"/>
      <w:b/>
      <w:bCs/>
      <w:color w:val="000000"/>
      <w:kern w:val="24"/>
    </w:rPr>
  </w:style>
  <w:style w:type="paragraph" w:customStyle="1" w:styleId="2429">
    <w:name w:val="Char Char Char3 Char Char Char Char"/>
    <w:basedOn w:val="1"/>
    <w:qFormat/>
    <w:uiPriority w:val="0"/>
    <w:pPr>
      <w:spacing w:line="240" w:lineRule="auto"/>
    </w:pPr>
    <w:rPr>
      <w:sz w:val="21"/>
      <w:szCs w:val="20"/>
    </w:rPr>
  </w:style>
  <w:style w:type="paragraph" w:customStyle="1" w:styleId="2430">
    <w:name w:val="Char Char2 Char Char Char Char Char Char Char1"/>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color w:val="auto"/>
      <w:sz w:val="24"/>
      <w:szCs w:val="20"/>
    </w:rPr>
  </w:style>
  <w:style w:type="paragraph" w:customStyle="1" w:styleId="2431">
    <w:name w:val="Char Char Char Char Char Char1 Char Char Char Char1"/>
    <w:basedOn w:val="1"/>
    <w:qFormat/>
    <w:uiPriority w:val="0"/>
    <w:pPr>
      <w:spacing w:line="240" w:lineRule="auto"/>
    </w:pPr>
    <w:rPr>
      <w:sz w:val="21"/>
    </w:rPr>
  </w:style>
  <w:style w:type="paragraph" w:customStyle="1" w:styleId="2432">
    <w:name w:val="Char31"/>
    <w:basedOn w:val="1"/>
    <w:qFormat/>
    <w:uiPriority w:val="0"/>
    <w:pPr>
      <w:spacing w:line="240" w:lineRule="auto"/>
    </w:pPr>
    <w:rPr>
      <w:sz w:val="21"/>
    </w:rPr>
  </w:style>
  <w:style w:type="paragraph" w:customStyle="1" w:styleId="2433">
    <w:name w:val="奇页页眉样式"/>
    <w:basedOn w:val="1"/>
    <w:qFormat/>
    <w:uiPriority w:val="0"/>
    <w:pPr>
      <w:keepLines/>
      <w:widowControl/>
      <w:tabs>
        <w:tab w:val="center" w:pos="-18551"/>
        <w:tab w:val="right" w:pos="4320"/>
      </w:tabs>
      <w:spacing w:line="240" w:lineRule="atLeast"/>
      <w:jc w:val="center"/>
    </w:pPr>
    <w:rPr>
      <w:rFonts w:ascii="Garamond" w:hAnsi="Garamond"/>
      <w:smallCaps/>
      <w:spacing w:val="15"/>
      <w:kern w:val="0"/>
      <w:sz w:val="21"/>
      <w:szCs w:val="20"/>
    </w:rPr>
  </w:style>
  <w:style w:type="paragraph" w:customStyle="1" w:styleId="2434">
    <w:name w:val="2"/>
    <w:basedOn w:val="1"/>
    <w:next w:val="46"/>
    <w:qFormat/>
    <w:uiPriority w:val="0"/>
    <w:pPr>
      <w:spacing w:line="240" w:lineRule="auto"/>
    </w:pPr>
    <w:rPr>
      <w:rFonts w:ascii="宋体" w:hAnsi="Courier New"/>
      <w:sz w:val="21"/>
      <w:szCs w:val="20"/>
    </w:rPr>
  </w:style>
  <w:style w:type="paragraph" w:customStyle="1" w:styleId="2435">
    <w:name w:val="样式 加粗 左侧:  0.32 厘米"/>
    <w:basedOn w:val="1"/>
    <w:qFormat/>
    <w:uiPriority w:val="0"/>
    <w:pPr>
      <w:spacing w:line="500" w:lineRule="exact"/>
      <w:ind w:left="180"/>
    </w:pPr>
    <w:rPr>
      <w:rFonts w:cs="宋体"/>
      <w:b/>
      <w:bCs/>
      <w:szCs w:val="20"/>
    </w:rPr>
  </w:style>
  <w:style w:type="paragraph" w:customStyle="1" w:styleId="2436">
    <w:name w:val="s0"/>
    <w:qFormat/>
    <w:uiPriority w:val="0"/>
    <w:pPr>
      <w:widowControl w:val="0"/>
      <w:autoSpaceDE w:val="0"/>
      <w:autoSpaceDN w:val="0"/>
      <w:adjustRightInd w:val="0"/>
    </w:pPr>
    <w:rPr>
      <w:rFonts w:ascii="????" w:hAnsi="Times New Roman" w:eastAsia="????" w:cs="Times New Roman"/>
      <w:kern w:val="0"/>
      <w:sz w:val="20"/>
      <w:szCs w:val="20"/>
      <w:lang w:val="en-US" w:eastAsia="zh-CN" w:bidi="ar-SA"/>
    </w:rPr>
  </w:style>
  <w:style w:type="paragraph" w:customStyle="1" w:styleId="2437">
    <w:name w:val="样式7.5.7.1"/>
    <w:basedOn w:val="1"/>
    <w:qFormat/>
    <w:uiPriority w:val="0"/>
    <w:pPr>
      <w:keepNext/>
      <w:keepLines/>
      <w:numPr>
        <w:ilvl w:val="3"/>
        <w:numId w:val="58"/>
      </w:numPr>
      <w:spacing w:before="120" w:after="120" w:line="312" w:lineRule="auto"/>
      <w:outlineLvl w:val="3"/>
    </w:pPr>
    <w:rPr>
      <w:rFonts w:ascii="Arial" w:hAnsi="Arial" w:eastAsia="黑体"/>
      <w:b/>
      <w:bCs/>
    </w:rPr>
  </w:style>
  <w:style w:type="paragraph" w:customStyle="1" w:styleId="2438">
    <w:name w:val="样式 正文缩进正文（首行缩进两字）正文（首行缩进两字） Char Char Char Char Char Char Char..."/>
    <w:basedOn w:val="23"/>
    <w:qFormat/>
    <w:uiPriority w:val="0"/>
    <w:pPr>
      <w:tabs>
        <w:tab w:val="left" w:pos="3360"/>
      </w:tabs>
      <w:adjustRightInd w:val="0"/>
      <w:snapToGrid w:val="0"/>
      <w:spacing w:line="360" w:lineRule="auto"/>
      <w:ind w:firstLine="480" w:firstLineChars="200"/>
      <w:textAlignment w:val="baseline"/>
    </w:pPr>
    <w:rPr>
      <w:rFonts w:ascii="楷体_GB2312" w:hAnsi="宋体" w:eastAsia="楷体_GB2312" w:cs="宋体"/>
      <w:snapToGrid w:val="0"/>
      <w:color w:val="000000"/>
      <w:spacing w:val="4"/>
      <w:kern w:val="0"/>
      <w:sz w:val="24"/>
      <w:szCs w:val="24"/>
    </w:rPr>
  </w:style>
  <w:style w:type="paragraph" w:customStyle="1" w:styleId="2439">
    <w:name w:val="CM45"/>
    <w:basedOn w:val="1345"/>
    <w:next w:val="1345"/>
    <w:qFormat/>
    <w:uiPriority w:val="0"/>
    <w:rPr>
      <w:rFonts w:ascii="黑体" w:eastAsia="黑体"/>
      <w:color w:val="auto"/>
    </w:rPr>
  </w:style>
  <w:style w:type="paragraph" w:customStyle="1" w:styleId="2440">
    <w:name w:val="段前2字符"/>
    <w:basedOn w:val="1"/>
    <w:qFormat/>
    <w:uiPriority w:val="0"/>
    <w:pPr>
      <w:adjustRightInd w:val="0"/>
      <w:snapToGrid w:val="0"/>
      <w:ind w:firstLine="480" w:firstLineChars="200"/>
      <w:jc w:val="left"/>
    </w:pPr>
    <w:rPr>
      <w:rFonts w:cs="宋体"/>
      <w:snapToGrid w:val="0"/>
      <w:kern w:val="0"/>
      <w:szCs w:val="20"/>
    </w:rPr>
  </w:style>
  <w:style w:type="paragraph" w:customStyle="1" w:styleId="2441">
    <w:name w:val="样式 (符号) 宋体 首行缩进:  0.93 厘米 段前: 6 磅 段后: 6 磅 行距: 固定值 18 磅1"/>
    <w:basedOn w:val="1"/>
    <w:qFormat/>
    <w:uiPriority w:val="0"/>
    <w:pPr>
      <w:spacing w:before="160" w:after="160" w:line="320" w:lineRule="exact"/>
      <w:ind w:firstLine="527" w:firstLineChars="200"/>
    </w:pPr>
    <w:rPr>
      <w:rFonts w:hAnsi="宋体"/>
      <w:szCs w:val="20"/>
    </w:rPr>
  </w:style>
  <w:style w:type="paragraph" w:customStyle="1" w:styleId="2442">
    <w:name w:val="Char Char Char Char Char Char Char5"/>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2443">
    <w:name w:val="Char1 Char Char Char Char Char Char Char Char Char1"/>
    <w:basedOn w:val="1"/>
    <w:qFormat/>
    <w:uiPriority w:val="0"/>
    <w:pPr>
      <w:spacing w:line="240" w:lineRule="auto"/>
    </w:pPr>
    <w:rPr>
      <w:sz w:val="21"/>
    </w:rPr>
  </w:style>
  <w:style w:type="paragraph" w:customStyle="1" w:styleId="2444">
    <w:name w:val="尾注文本21"/>
    <w:basedOn w:val="2244"/>
    <w:qFormat/>
    <w:uiPriority w:val="0"/>
    <w:pPr>
      <w:keepNext w:val="0"/>
      <w:spacing w:before="0" w:after="200" w:line="360" w:lineRule="atLeast"/>
      <w:ind w:firstLine="0" w:firstLineChars="0"/>
      <w:jc w:val="left"/>
    </w:pPr>
    <w:rPr>
      <w:rFonts w:ascii="宋体" w:hAnsi="Calibri"/>
      <w:sz w:val="21"/>
      <w:szCs w:val="22"/>
    </w:rPr>
  </w:style>
  <w:style w:type="paragraph" w:customStyle="1" w:styleId="2445">
    <w:name w:val="Char Char1 Char Char Char Char2"/>
    <w:basedOn w:val="1"/>
    <w:qFormat/>
    <w:uiPriority w:val="0"/>
    <w:pPr>
      <w:adjustRightInd w:val="0"/>
      <w:snapToGrid w:val="0"/>
      <w:ind w:firstLine="200" w:firstLineChars="200"/>
    </w:pPr>
    <w:rPr>
      <w:rFonts w:ascii="宋体"/>
    </w:rPr>
  </w:style>
  <w:style w:type="paragraph" w:customStyle="1" w:styleId="2446">
    <w:name w:val="小5"/>
    <w:qFormat/>
    <w:uiPriority w:val="0"/>
    <w:pPr>
      <w:adjustRightInd w:val="0"/>
      <w:snapToGrid w:val="0"/>
    </w:pPr>
    <w:rPr>
      <w:rFonts w:ascii="Times New Roman" w:hAnsi="Times New Roman" w:eastAsia="宋体" w:cs="Times New Roman"/>
      <w:color w:val="000000"/>
      <w:kern w:val="2"/>
      <w:sz w:val="18"/>
      <w:szCs w:val="21"/>
      <w:lang w:val="en-US" w:eastAsia="zh-CN" w:bidi="ar-SA"/>
    </w:rPr>
  </w:style>
  <w:style w:type="paragraph" w:customStyle="1" w:styleId="2447">
    <w:name w:val="11111"/>
    <w:basedOn w:val="1"/>
    <w:qFormat/>
    <w:uiPriority w:val="0"/>
    <w:pPr>
      <w:spacing w:line="240" w:lineRule="auto"/>
    </w:pPr>
    <w:rPr>
      <w:sz w:val="21"/>
    </w:rPr>
  </w:style>
  <w:style w:type="paragraph" w:customStyle="1" w:styleId="2448">
    <w:name w:val="样式 样式1 + Times New Roman"/>
    <w:basedOn w:val="5"/>
    <w:qFormat/>
    <w:uiPriority w:val="0"/>
    <w:pPr>
      <w:keepLines/>
      <w:tabs>
        <w:tab w:val="left" w:pos="432"/>
      </w:tabs>
      <w:spacing w:before="160" w:after="160" w:line="360" w:lineRule="auto"/>
      <w:ind w:left="432" w:hanging="432"/>
    </w:pPr>
    <w:rPr>
      <w:rFonts w:ascii="Times New Roman" w:hAnsi="Times New Roman" w:eastAsia="Times New Roman"/>
      <w:b/>
      <w:bCs/>
      <w:kern w:val="44"/>
      <w:sz w:val="30"/>
      <w:szCs w:val="20"/>
    </w:rPr>
  </w:style>
  <w:style w:type="paragraph" w:customStyle="1" w:styleId="2449">
    <w:name w:val="样式 样式 表格 + 加粗 全部大写 + 加粗 非全部大写"/>
    <w:basedOn w:val="2450"/>
    <w:qFormat/>
    <w:uiPriority w:val="0"/>
    <w:rPr>
      <w:caps w:val="0"/>
    </w:rPr>
  </w:style>
  <w:style w:type="paragraph" w:customStyle="1" w:styleId="2450">
    <w:name w:val="样式 表格 + 加粗 全部大写"/>
    <w:basedOn w:val="1"/>
    <w:qFormat/>
    <w:uiPriority w:val="0"/>
    <w:pPr>
      <w:adjustRightInd w:val="0"/>
      <w:spacing w:line="240" w:lineRule="auto"/>
      <w:jc w:val="center"/>
    </w:pPr>
    <w:rPr>
      <w:rFonts w:ascii="宋体" w:hAnsi="宋体" w:cs="宋体"/>
      <w:caps/>
      <w:color w:val="000000"/>
      <w:spacing w:val="4"/>
      <w:sz w:val="21"/>
      <w:szCs w:val="21"/>
    </w:rPr>
  </w:style>
  <w:style w:type="paragraph" w:customStyle="1" w:styleId="2451">
    <w:name w:val="文本框内字"/>
    <w:qFormat/>
    <w:uiPriority w:val="0"/>
    <w:pPr>
      <w:adjustRightInd w:val="0"/>
      <w:snapToGrid w:val="0"/>
      <w:jc w:val="center"/>
    </w:pPr>
    <w:rPr>
      <w:rFonts w:ascii="Times New Roman" w:hAnsi="Times New Roman" w:eastAsia="宋体" w:cs="Times New Roman"/>
      <w:snapToGrid w:val="0"/>
      <w:kern w:val="0"/>
      <w:sz w:val="21"/>
      <w:szCs w:val="20"/>
      <w:lang w:val="en-US" w:eastAsia="zh-CN" w:bidi="ar-SA"/>
    </w:rPr>
  </w:style>
  <w:style w:type="paragraph" w:customStyle="1" w:styleId="2452">
    <w:name w:val="正文样式100"/>
    <w:basedOn w:val="1"/>
    <w:qFormat/>
    <w:uiPriority w:val="0"/>
    <w:pPr>
      <w:widowControl/>
      <w:ind w:firstLine="480" w:firstLineChars="200"/>
    </w:pPr>
    <w:rPr>
      <w:rFonts w:ascii="宋体" w:hAnsi="宋体" w:cs="Courier New"/>
      <w:color w:val="000000"/>
      <w:kern w:val="0"/>
      <w:lang w:bidi="en-US"/>
    </w:rPr>
  </w:style>
  <w:style w:type="paragraph" w:customStyle="1" w:styleId="2453">
    <w:name w:val="xl112"/>
    <w:basedOn w:val="1"/>
    <w:qFormat/>
    <w:uiPriority w:val="0"/>
    <w:pPr>
      <w:widowControl/>
      <w:pBdr>
        <w:left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454">
    <w:name w:val="目录-章"/>
    <w:basedOn w:val="1"/>
    <w:qFormat/>
    <w:uiPriority w:val="0"/>
    <w:pPr>
      <w:widowControl/>
      <w:tabs>
        <w:tab w:val="left" w:pos="840"/>
        <w:tab w:val="left" w:pos="1080"/>
      </w:tabs>
      <w:ind w:left="840" w:hanging="360"/>
      <w:jc w:val="left"/>
    </w:pPr>
    <w:rPr>
      <w:rFonts w:ascii="宋体" w:hAnsi="宋体" w:cs="宋体"/>
      <w:b/>
      <w:kern w:val="0"/>
      <w:sz w:val="30"/>
      <w:szCs w:val="30"/>
    </w:rPr>
  </w:style>
  <w:style w:type="paragraph" w:customStyle="1" w:styleId="2455">
    <w:name w:val="c"/>
    <w:qFormat/>
    <w:uiPriority w:val="0"/>
    <w:pPr>
      <w:widowControl w:val="0"/>
      <w:autoSpaceDE w:val="0"/>
      <w:autoSpaceDN w:val="0"/>
      <w:adjustRightInd w:val="0"/>
      <w:jc w:val="both"/>
    </w:pPr>
    <w:rPr>
      <w:rFonts w:ascii="Arial" w:hAnsi="Arial" w:eastAsia="宋体" w:cs="Times New Roman"/>
      <w:kern w:val="0"/>
      <w:sz w:val="24"/>
      <w:szCs w:val="20"/>
      <w:lang w:val="en-US" w:eastAsia="zh-CN" w:bidi="ar-SA"/>
    </w:rPr>
  </w:style>
  <w:style w:type="paragraph" w:customStyle="1" w:styleId="2456">
    <w:name w:val="表左"/>
    <w:basedOn w:val="1"/>
    <w:next w:val="1"/>
    <w:qFormat/>
    <w:uiPriority w:val="0"/>
    <w:pPr>
      <w:adjustRightInd w:val="0"/>
      <w:spacing w:line="280" w:lineRule="exact"/>
      <w:ind w:firstLine="567"/>
      <w:jc w:val="center"/>
      <w:textAlignment w:val="baseline"/>
    </w:pPr>
    <w:rPr>
      <w:rFonts w:ascii="仿宋_GB2312" w:eastAsia="仿宋_GB2312"/>
      <w:color w:val="000000"/>
      <w:sz w:val="21"/>
      <w:szCs w:val="21"/>
    </w:rPr>
  </w:style>
  <w:style w:type="paragraph" w:customStyle="1" w:styleId="2457">
    <w:name w:val="Char Char1 Char Char Char Char1"/>
    <w:basedOn w:val="1"/>
    <w:qFormat/>
    <w:uiPriority w:val="0"/>
    <w:pPr>
      <w:tabs>
        <w:tab w:val="left" w:pos="360"/>
      </w:tabs>
      <w:spacing w:line="240" w:lineRule="auto"/>
    </w:pPr>
  </w:style>
  <w:style w:type="paragraph" w:customStyle="1" w:styleId="2458">
    <w:name w:val="样式 表标题4.5 + 居中"/>
    <w:basedOn w:val="1688"/>
    <w:qFormat/>
    <w:uiPriority w:val="0"/>
    <w:pPr>
      <w:numPr>
        <w:ilvl w:val="0"/>
        <w:numId w:val="59"/>
      </w:numPr>
      <w:jc w:val="center"/>
    </w:pPr>
    <w:rPr>
      <w:rFonts w:cs="宋体"/>
      <w:bCs/>
      <w:szCs w:val="20"/>
    </w:rPr>
  </w:style>
  <w:style w:type="paragraph" w:customStyle="1" w:styleId="2459">
    <w:name w:val="正文文字缩进 31"/>
    <w:basedOn w:val="1"/>
    <w:next w:val="52"/>
    <w:qFormat/>
    <w:uiPriority w:val="0"/>
    <w:pPr>
      <w:ind w:firstLine="280" w:firstLineChars="100"/>
    </w:pPr>
    <w:rPr>
      <w:rFonts w:ascii="宋体" w:hAnsi="宋体" w:cs="宋体"/>
      <w:bCs/>
      <w:sz w:val="28"/>
      <w:szCs w:val="30"/>
    </w:rPr>
  </w:style>
  <w:style w:type="paragraph" w:customStyle="1" w:styleId="2460">
    <w:name w:val="样式 四号 黑色 首行缩进:  2 字符"/>
    <w:basedOn w:val="1"/>
    <w:qFormat/>
    <w:uiPriority w:val="0"/>
    <w:pPr>
      <w:spacing w:line="480" w:lineRule="atLeast"/>
      <w:ind w:firstLine="200" w:firstLineChars="200"/>
    </w:pPr>
    <w:rPr>
      <w:color w:val="000000"/>
    </w:rPr>
  </w:style>
  <w:style w:type="paragraph" w:customStyle="1" w:styleId="2461">
    <w:name w:val="报告2"/>
    <w:basedOn w:val="970"/>
    <w:qFormat/>
    <w:uiPriority w:val="0"/>
    <w:pPr>
      <w:tabs>
        <w:tab w:val="left" w:pos="895"/>
      </w:tabs>
      <w:ind w:left="895" w:hanging="390"/>
    </w:pPr>
    <w:rPr>
      <w:rFonts w:ascii="TimesNewRoman" w:hAnsi="TimesNewRoman"/>
    </w:rPr>
  </w:style>
  <w:style w:type="paragraph" w:customStyle="1" w:styleId="2462">
    <w:name w:val="Char6 Char Char Char Char Char Char Char Char Char5"/>
    <w:basedOn w:val="1"/>
    <w:qFormat/>
    <w:uiPriority w:val="0"/>
    <w:pPr>
      <w:spacing w:line="240" w:lineRule="auto"/>
    </w:pPr>
    <w:rPr>
      <w:rFonts w:ascii="宋体" w:hAnsi="宋体"/>
      <w:color w:val="000000"/>
      <w:sz w:val="28"/>
      <w:szCs w:val="20"/>
    </w:rPr>
  </w:style>
  <w:style w:type="paragraph" w:customStyle="1" w:styleId="2463">
    <w:name w:val="font7"/>
    <w:basedOn w:val="1"/>
    <w:qFormat/>
    <w:uiPriority w:val="0"/>
    <w:pPr>
      <w:widowControl/>
      <w:spacing w:before="100" w:beforeAutospacing="1" w:after="100" w:afterAutospacing="1" w:line="240" w:lineRule="auto"/>
      <w:jc w:val="left"/>
    </w:pPr>
    <w:rPr>
      <w:rFonts w:hint="eastAsia" w:ascii="宋体" w:hAnsi="宋体"/>
      <w:kern w:val="0"/>
      <w:sz w:val="16"/>
      <w:szCs w:val="16"/>
    </w:rPr>
  </w:style>
  <w:style w:type="paragraph" w:customStyle="1" w:styleId="2464">
    <w:name w:val="样式 小四 居中 行距: 单倍行距"/>
    <w:basedOn w:val="1"/>
    <w:qFormat/>
    <w:uiPriority w:val="0"/>
    <w:pPr>
      <w:adjustRightInd w:val="0"/>
      <w:spacing w:line="500" w:lineRule="atLeast"/>
      <w:ind w:firstLine="567"/>
      <w:jc w:val="center"/>
    </w:pPr>
    <w:rPr>
      <w:kern w:val="0"/>
      <w:szCs w:val="20"/>
      <w:lang w:val="en-GB"/>
    </w:rPr>
  </w:style>
  <w:style w:type="paragraph" w:customStyle="1" w:styleId="2465">
    <w:name w:val="Char1 Char Char Char2"/>
    <w:basedOn w:val="1"/>
    <w:qFormat/>
    <w:uiPriority w:val="0"/>
    <w:pPr>
      <w:spacing w:line="240" w:lineRule="auto"/>
    </w:pPr>
    <w:rPr>
      <w:rFonts w:ascii="Tahoma" w:hAnsi="Tahoma"/>
      <w:szCs w:val="20"/>
    </w:rPr>
  </w:style>
  <w:style w:type="paragraph" w:customStyle="1" w:styleId="2466">
    <w:name w:val="Char Char Char1 Char2"/>
    <w:basedOn w:val="1"/>
    <w:qFormat/>
    <w:uiPriority w:val="0"/>
    <w:pPr>
      <w:spacing w:line="240" w:lineRule="auto"/>
    </w:pPr>
    <w:rPr>
      <w:sz w:val="21"/>
    </w:rPr>
  </w:style>
  <w:style w:type="paragraph" w:customStyle="1" w:styleId="2467">
    <w:name w:val="页脚2"/>
    <w:basedOn w:val="1"/>
    <w:qFormat/>
    <w:uiPriority w:val="0"/>
    <w:pPr>
      <w:adjustRightInd w:val="0"/>
      <w:spacing w:line="360" w:lineRule="atLeast"/>
      <w:jc w:val="left"/>
      <w:textAlignment w:val="baseline"/>
    </w:pPr>
    <w:rPr>
      <w:rFonts w:ascii="宋体" w:hAnsi="宋体" w:cs="宋体"/>
      <w:spacing w:val="4"/>
    </w:rPr>
  </w:style>
  <w:style w:type="paragraph" w:customStyle="1" w:styleId="2468">
    <w:name w:val="样式 标题 1 + 小四"/>
    <w:basedOn w:val="5"/>
    <w:qFormat/>
    <w:uiPriority w:val="0"/>
    <w:pPr>
      <w:keepLines/>
      <w:numPr>
        <w:ilvl w:val="0"/>
        <w:numId w:val="60"/>
      </w:numPr>
      <w:tabs>
        <w:tab w:val="left" w:pos="1200"/>
        <w:tab w:val="clear" w:pos="900"/>
      </w:tabs>
      <w:spacing w:before="120" w:beforeLines="50" w:after="240" w:afterLines="50" w:line="0" w:lineRule="atLeast"/>
      <w:ind w:left="1200" w:hanging="720"/>
      <w:jc w:val="center"/>
    </w:pPr>
    <w:rPr>
      <w:rFonts w:ascii="Times New Roman" w:hAnsi="Times New Roman" w:eastAsia="黑体"/>
      <w:kern w:val="44"/>
      <w:sz w:val="30"/>
      <w:szCs w:val="20"/>
    </w:rPr>
  </w:style>
  <w:style w:type="paragraph" w:customStyle="1" w:styleId="2469">
    <w:name w:val="c正文"/>
    <w:basedOn w:val="1"/>
    <w:qFormat/>
    <w:uiPriority w:val="0"/>
    <w:pPr>
      <w:tabs>
        <w:tab w:val="left" w:pos="-1418"/>
        <w:tab w:val="left" w:pos="6510"/>
      </w:tabs>
      <w:topLinePunct/>
      <w:ind w:firstLine="560" w:firstLineChars="200"/>
    </w:pPr>
    <w:rPr>
      <w:rFonts w:eastAsia="仿宋_GB2312"/>
      <w:kern w:val="0"/>
      <w:sz w:val="28"/>
      <w:szCs w:val="20"/>
    </w:rPr>
  </w:style>
  <w:style w:type="paragraph" w:customStyle="1" w:styleId="2470">
    <w:name w:val="样式 标题 4标4 + (符号) 宋体"/>
    <w:basedOn w:val="8"/>
    <w:qFormat/>
    <w:uiPriority w:val="0"/>
    <w:pPr>
      <w:keepLines/>
      <w:tabs>
        <w:tab w:val="left" w:pos="360"/>
        <w:tab w:val="clear" w:pos="864"/>
      </w:tabs>
      <w:spacing w:line="336" w:lineRule="auto"/>
      <w:ind w:left="245" w:hanging="245"/>
      <w:jc w:val="both"/>
    </w:pPr>
    <w:rPr>
      <w:rFonts w:ascii="宋体" w:eastAsia="黑体"/>
      <w:bCs w:val="0"/>
      <w:kern w:val="0"/>
    </w:rPr>
  </w:style>
  <w:style w:type="paragraph" w:customStyle="1" w:styleId="2471">
    <w:name w:val="xl108"/>
    <w:basedOn w:val="1"/>
    <w:qFormat/>
    <w:uiPriority w:val="0"/>
    <w:pPr>
      <w:widowControl/>
      <w:pBdr>
        <w:left w:val="single" w:color="auto" w:sz="4" w:space="0"/>
        <w:bottom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472">
    <w:name w:val="Char Char Char Char Char Char Char Char Char Char Char Char Char Char Char Char Char Char Char Char Char Char Char Char Char Char Char Char Char Char Char"/>
    <w:basedOn w:val="1"/>
    <w:qFormat/>
    <w:uiPriority w:val="0"/>
    <w:pPr>
      <w:spacing w:line="240" w:lineRule="auto"/>
    </w:pPr>
    <w:rPr>
      <w:sz w:val="21"/>
    </w:rPr>
  </w:style>
  <w:style w:type="paragraph" w:customStyle="1" w:styleId="2473">
    <w:name w:val="Address 1"/>
    <w:basedOn w:val="1"/>
    <w:qFormat/>
    <w:uiPriority w:val="0"/>
    <w:pPr>
      <w:framePr w:w="2400" w:wrap="notBeside" w:vAnchor="page" w:hAnchor="page" w:x="8065" w:y="1009" w:anchorLock="1"/>
      <w:widowControl/>
      <w:spacing w:line="200" w:lineRule="atLeast"/>
    </w:pPr>
    <w:rPr>
      <w:kern w:val="0"/>
      <w:sz w:val="16"/>
      <w:szCs w:val="20"/>
    </w:rPr>
  </w:style>
  <w:style w:type="paragraph" w:customStyle="1" w:styleId="2474">
    <w:name w:val="In Table (II)"/>
    <w:basedOn w:val="2357"/>
    <w:qFormat/>
    <w:uiPriority w:val="0"/>
    <w:pPr>
      <w:tabs>
        <w:tab w:val="left" w:pos="2200"/>
      </w:tabs>
      <w:spacing w:beforeLines="0" w:afterLines="0" w:line="0" w:lineRule="atLeast"/>
      <w:ind w:left="52"/>
      <w:jc w:val="left"/>
    </w:pPr>
    <w:rPr>
      <w:rFonts w:ascii="Tahoma" w:hAnsi="Tahoma" w:eastAsia="华文中宋"/>
      <w:sz w:val="21"/>
      <w:szCs w:val="20"/>
    </w:rPr>
  </w:style>
  <w:style w:type="paragraph" w:customStyle="1" w:styleId="2475">
    <w:name w:val="et12"/>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2476">
    <w:name w:val="Zw Char Char Char Char Char Char"/>
    <w:basedOn w:val="1"/>
    <w:qFormat/>
    <w:uiPriority w:val="0"/>
    <w:pPr>
      <w:spacing w:line="240" w:lineRule="auto"/>
    </w:pPr>
    <w:rPr>
      <w:rFonts w:ascii="宋体" w:hAnsi="宋体" w:cs="宋体"/>
    </w:rPr>
  </w:style>
  <w:style w:type="paragraph" w:customStyle="1" w:styleId="2477">
    <w:name w:val="一级"/>
    <w:basedOn w:val="1"/>
    <w:qFormat/>
    <w:uiPriority w:val="0"/>
    <w:pPr>
      <w:keepNext/>
      <w:keepLines/>
      <w:widowControl/>
      <w:spacing w:beforeLines="50" w:afterLines="50"/>
      <w:outlineLvl w:val="0"/>
    </w:pPr>
    <w:rPr>
      <w:rFonts w:eastAsia="黑体" w:cs="宋体"/>
      <w:b/>
      <w:color w:val="000000"/>
      <w:kern w:val="44"/>
      <w:sz w:val="32"/>
      <w:szCs w:val="20"/>
      <w:lang w:bidi="en-US"/>
    </w:rPr>
  </w:style>
  <w:style w:type="paragraph" w:customStyle="1" w:styleId="2478">
    <w:name w:val="样式 样式 首行缩进:  2 字符 + 首行缩进:  2 字符"/>
    <w:basedOn w:val="1"/>
    <w:qFormat/>
    <w:uiPriority w:val="0"/>
    <w:pPr>
      <w:spacing w:line="240" w:lineRule="auto"/>
      <w:ind w:firstLine="587" w:firstLineChars="200"/>
    </w:pPr>
    <w:rPr>
      <w:rFonts w:ascii="宋体"/>
      <w:sz w:val="27"/>
      <w:szCs w:val="27"/>
    </w:rPr>
  </w:style>
  <w:style w:type="paragraph" w:customStyle="1" w:styleId="2479">
    <w:name w:val="节标"/>
    <w:basedOn w:val="1"/>
    <w:qFormat/>
    <w:uiPriority w:val="0"/>
    <w:pPr>
      <w:widowControl/>
      <w:autoSpaceDE w:val="0"/>
      <w:autoSpaceDN w:val="0"/>
      <w:adjustRightInd w:val="0"/>
      <w:spacing w:line="480" w:lineRule="exact"/>
      <w:ind w:firstLine="567"/>
      <w:jc w:val="center"/>
      <w:textAlignment w:val="bottom"/>
    </w:pPr>
    <w:rPr>
      <w:b/>
      <w:kern w:val="0"/>
      <w:sz w:val="30"/>
      <w:szCs w:val="20"/>
    </w:rPr>
  </w:style>
  <w:style w:type="paragraph" w:customStyle="1" w:styleId="2480">
    <w:name w:val="正文样式3"/>
    <w:basedOn w:val="1"/>
    <w:qFormat/>
    <w:uiPriority w:val="0"/>
    <w:pPr>
      <w:keepLines/>
      <w:adjustRightInd w:val="0"/>
      <w:spacing w:line="20" w:lineRule="atLeast"/>
      <w:jc w:val="center"/>
      <w:textAlignment w:val="baseline"/>
    </w:pPr>
    <w:rPr>
      <w:kern w:val="0"/>
      <w:szCs w:val="20"/>
    </w:rPr>
  </w:style>
  <w:style w:type="paragraph" w:customStyle="1" w:styleId="2481">
    <w:name w:val="日期2"/>
    <w:basedOn w:val="1"/>
    <w:next w:val="1"/>
    <w:qFormat/>
    <w:uiPriority w:val="0"/>
    <w:pPr>
      <w:adjustRightInd w:val="0"/>
      <w:spacing w:line="312" w:lineRule="atLeast"/>
      <w:jc w:val="right"/>
      <w:textAlignment w:val="baseline"/>
    </w:pPr>
    <w:rPr>
      <w:kern w:val="0"/>
      <w:sz w:val="21"/>
      <w:szCs w:val="20"/>
    </w:rPr>
  </w:style>
  <w:style w:type="paragraph" w:customStyle="1" w:styleId="2482">
    <w:name w:val="小2级"/>
    <w:basedOn w:val="1"/>
    <w:qFormat/>
    <w:uiPriority w:val="0"/>
    <w:pPr>
      <w:spacing w:line="500" w:lineRule="exact"/>
      <w:outlineLvl w:val="1"/>
    </w:pPr>
    <w:rPr>
      <w:rFonts w:ascii="宋体"/>
      <w:b/>
      <w:bCs/>
      <w:color w:val="000000"/>
      <w:kern w:val="24"/>
    </w:rPr>
  </w:style>
  <w:style w:type="paragraph" w:customStyle="1" w:styleId="2483">
    <w:name w:val="报告正文文字"/>
    <w:basedOn w:val="1"/>
    <w:qFormat/>
    <w:uiPriority w:val="0"/>
    <w:pPr>
      <w:widowControl/>
      <w:autoSpaceDE w:val="0"/>
      <w:autoSpaceDN w:val="0"/>
      <w:ind w:firstLine="480" w:firstLineChars="200"/>
    </w:pPr>
    <w:rPr>
      <w:rFonts w:ascii="宋体" w:hAnsi="宋体"/>
      <w:color w:val="000000"/>
      <w:spacing w:val="4"/>
      <w:kern w:val="0"/>
      <w:szCs w:val="20"/>
    </w:rPr>
  </w:style>
  <w:style w:type="paragraph" w:customStyle="1" w:styleId="2484">
    <w:name w:val="样式31"/>
    <w:basedOn w:val="1"/>
    <w:qFormat/>
    <w:uiPriority w:val="0"/>
    <w:pPr>
      <w:spacing w:line="240" w:lineRule="auto"/>
      <w:ind w:firstLine="475" w:firstLineChars="200"/>
    </w:pPr>
    <w:rPr>
      <w:rFonts w:eastAsia="华文中宋"/>
    </w:rPr>
  </w:style>
  <w:style w:type="paragraph" w:customStyle="1" w:styleId="2485">
    <w:name w:val="表头2"/>
    <w:basedOn w:val="1"/>
    <w:qFormat/>
    <w:uiPriority w:val="0"/>
    <w:pPr>
      <w:adjustRightInd w:val="0"/>
      <w:snapToGrid w:val="0"/>
      <w:spacing w:before="240" w:line="312" w:lineRule="auto"/>
      <w:jc w:val="center"/>
    </w:pPr>
    <w:rPr>
      <w:rFonts w:ascii="黑体" w:eastAsia="黑体"/>
      <w:b/>
      <w:bCs/>
      <w:spacing w:val="6"/>
      <w:sz w:val="32"/>
    </w:rPr>
  </w:style>
  <w:style w:type="paragraph" w:customStyle="1" w:styleId="2486">
    <w:name w:val="Char6"/>
    <w:basedOn w:val="1"/>
    <w:qFormat/>
    <w:uiPriority w:val="0"/>
    <w:pPr>
      <w:ind w:firstLine="200" w:firstLineChars="200"/>
    </w:pPr>
    <w:rPr>
      <w:sz w:val="21"/>
      <w:szCs w:val="20"/>
    </w:rPr>
  </w:style>
  <w:style w:type="paragraph" w:customStyle="1" w:styleId="2487">
    <w:name w:val="记录label"/>
    <w:basedOn w:val="1"/>
    <w:qFormat/>
    <w:uiPriority w:val="0"/>
    <w:pPr>
      <w:widowControl/>
      <w:spacing w:before="120" w:line="300" w:lineRule="auto"/>
      <w:ind w:firstLine="480" w:firstLineChars="200"/>
    </w:pPr>
    <w:rPr>
      <w:rFonts w:ascii="Arial" w:hAnsi="Arial"/>
      <w:color w:val="000000"/>
      <w:kern w:val="0"/>
      <w:sz w:val="21"/>
      <w:szCs w:val="15"/>
      <w:lang w:val="en-GB" w:eastAsia="zh-TW"/>
    </w:rPr>
  </w:style>
  <w:style w:type="paragraph" w:customStyle="1" w:styleId="2488">
    <w:name w:val="Char Char Char Char Char Char Char Char Char Char2"/>
    <w:basedOn w:val="1"/>
    <w:qFormat/>
    <w:uiPriority w:val="0"/>
    <w:pPr>
      <w:ind w:firstLine="200" w:firstLineChars="200"/>
    </w:pPr>
    <w:rPr>
      <w:rFonts w:ascii="宋体" w:hAnsi="宋体" w:cs="宋体"/>
    </w:rPr>
  </w:style>
  <w:style w:type="paragraph" w:customStyle="1" w:styleId="2489">
    <w:name w:val="流程图"/>
    <w:basedOn w:val="1"/>
    <w:qFormat/>
    <w:uiPriority w:val="0"/>
    <w:pPr>
      <w:tabs>
        <w:tab w:val="left" w:pos="0"/>
      </w:tabs>
      <w:autoSpaceDE w:val="0"/>
      <w:autoSpaceDN w:val="0"/>
      <w:adjustRightInd w:val="0"/>
      <w:spacing w:line="240" w:lineRule="atLeast"/>
      <w:jc w:val="center"/>
      <w:textAlignment w:val="bottom"/>
    </w:pPr>
    <w:rPr>
      <w:rFonts w:ascii="宋体"/>
      <w:sz w:val="21"/>
      <w:szCs w:val="20"/>
    </w:rPr>
  </w:style>
  <w:style w:type="paragraph" w:customStyle="1" w:styleId="2490">
    <w:name w:val="xl12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kern w:val="0"/>
      <w:sz w:val="18"/>
      <w:szCs w:val="18"/>
    </w:rPr>
  </w:style>
  <w:style w:type="paragraph" w:customStyle="1" w:styleId="2491">
    <w:name w:val="首行缩进:  2 字符1"/>
    <w:basedOn w:val="1"/>
    <w:qFormat/>
    <w:uiPriority w:val="0"/>
    <w:pPr>
      <w:spacing w:line="240" w:lineRule="atLeast"/>
      <w:ind w:firstLine="200" w:firstLineChars="200"/>
    </w:pPr>
    <w:rPr>
      <w:rFonts w:cs="宋体"/>
      <w:sz w:val="28"/>
      <w:szCs w:val="20"/>
    </w:rPr>
  </w:style>
  <w:style w:type="paragraph" w:customStyle="1" w:styleId="2492">
    <w:name w:val="22.1.7.1标题4"/>
    <w:basedOn w:val="8"/>
    <w:qFormat/>
    <w:uiPriority w:val="0"/>
    <w:pPr>
      <w:keepLines/>
      <w:numPr>
        <w:ilvl w:val="3"/>
        <w:numId w:val="61"/>
      </w:numPr>
      <w:tabs>
        <w:tab w:val="left" w:pos="1080"/>
        <w:tab w:val="clear" w:pos="864"/>
      </w:tabs>
      <w:spacing w:before="120" w:after="120" w:line="312" w:lineRule="auto"/>
      <w:jc w:val="both"/>
    </w:pPr>
    <w:rPr>
      <w:rFonts w:ascii="Arial" w:hAnsi="Arial" w:eastAsia="黑体"/>
    </w:rPr>
  </w:style>
  <w:style w:type="paragraph" w:customStyle="1" w:styleId="2493">
    <w:name w:val="CM132"/>
    <w:basedOn w:val="1"/>
    <w:next w:val="1"/>
    <w:qFormat/>
    <w:uiPriority w:val="0"/>
    <w:pPr>
      <w:autoSpaceDE w:val="0"/>
      <w:autoSpaceDN w:val="0"/>
      <w:adjustRightInd w:val="0"/>
      <w:spacing w:after="58" w:line="240" w:lineRule="auto"/>
      <w:jc w:val="left"/>
    </w:pPr>
    <w:rPr>
      <w:rFonts w:ascii="·..." w:eastAsia="·..." w:cs="·..."/>
      <w:kern w:val="0"/>
    </w:rPr>
  </w:style>
  <w:style w:type="paragraph" w:customStyle="1" w:styleId="2494">
    <w:name w:val="首页篇眉"/>
    <w:basedOn w:val="58"/>
    <w:qFormat/>
    <w:uiPriority w:val="0"/>
    <w:pPr>
      <w:keepLines/>
      <w:widowControl/>
      <w:pBdr>
        <w:bottom w:val="none" w:color="auto" w:sz="0" w:space="0"/>
      </w:pBdr>
      <w:tabs>
        <w:tab w:val="center" w:pos="7200"/>
        <w:tab w:val="clear" w:pos="4153"/>
        <w:tab w:val="clear" w:pos="8306"/>
      </w:tabs>
      <w:overflowPunct w:val="0"/>
      <w:autoSpaceDE w:val="0"/>
      <w:autoSpaceDN w:val="0"/>
      <w:adjustRightInd w:val="0"/>
      <w:snapToGrid/>
      <w:textAlignment w:val="baseline"/>
    </w:pPr>
    <w:rPr>
      <w:spacing w:val="80"/>
      <w:kern w:val="0"/>
      <w:sz w:val="20"/>
      <w:szCs w:val="20"/>
      <w:lang w:bidi="en-US"/>
    </w:rPr>
  </w:style>
  <w:style w:type="paragraph" w:customStyle="1" w:styleId="2495">
    <w:name w:val="标题一"/>
    <w:basedOn w:val="1"/>
    <w:qFormat/>
    <w:uiPriority w:val="0"/>
    <w:pPr>
      <w:adjustRightInd w:val="0"/>
      <w:snapToGrid w:val="0"/>
      <w:ind w:firstLine="200" w:firstLineChars="200"/>
      <w:jc w:val="left"/>
      <w:outlineLvl w:val="0"/>
    </w:pPr>
    <w:rPr>
      <w:rFonts w:ascii="黑体" w:hAnsi="宋体" w:eastAsia="黑体"/>
      <w:b/>
      <w:bCs/>
    </w:rPr>
  </w:style>
  <w:style w:type="paragraph" w:customStyle="1" w:styleId="2496">
    <w:name w:val="已有表格"/>
    <w:basedOn w:val="1"/>
    <w:qFormat/>
    <w:uiPriority w:val="0"/>
    <w:pPr>
      <w:adjustRightInd w:val="0"/>
      <w:spacing w:before="40" w:after="40" w:line="240" w:lineRule="auto"/>
      <w:jc w:val="center"/>
      <w:textAlignment w:val="baseline"/>
    </w:pPr>
    <w:rPr>
      <w:b/>
      <w:kern w:val="0"/>
      <w:szCs w:val="20"/>
    </w:rPr>
  </w:style>
  <w:style w:type="paragraph" w:customStyle="1" w:styleId="2497">
    <w:name w:val="正文3"/>
    <w:qFormat/>
    <w:uiPriority w:val="0"/>
    <w:pPr>
      <w:widowControl w:val="0"/>
      <w:adjustRightInd w:val="0"/>
      <w:spacing w:line="360" w:lineRule="atLeast"/>
      <w:textAlignment w:val="baseline"/>
    </w:pPr>
    <w:rPr>
      <w:rFonts w:ascii="宋体" w:hAnsi="Times New Roman" w:eastAsia="宋体" w:cs="Times New Roman"/>
      <w:kern w:val="0"/>
      <w:sz w:val="34"/>
      <w:szCs w:val="20"/>
      <w:lang w:val="en-US" w:eastAsia="zh-CN" w:bidi="ar-SA"/>
    </w:rPr>
  </w:style>
  <w:style w:type="paragraph" w:customStyle="1" w:styleId="2498">
    <w:name w:val="表5.12-1"/>
    <w:basedOn w:val="1"/>
    <w:qFormat/>
    <w:uiPriority w:val="0"/>
    <w:pPr>
      <w:spacing w:beforeLines="100" w:line="0" w:lineRule="atLeast"/>
    </w:pPr>
    <w:rPr>
      <w:rFonts w:eastAsia="黑体"/>
      <w:sz w:val="21"/>
    </w:rPr>
  </w:style>
  <w:style w:type="paragraph" w:customStyle="1" w:styleId="2499">
    <w:name w:val="段落样式"/>
    <w:basedOn w:val="1"/>
    <w:qFormat/>
    <w:uiPriority w:val="0"/>
    <w:pPr>
      <w:tabs>
        <w:tab w:val="left" w:pos="567"/>
      </w:tabs>
      <w:ind w:firstLine="567"/>
    </w:pPr>
    <w:rPr>
      <w:spacing w:val="20"/>
      <w:szCs w:val="20"/>
    </w:rPr>
  </w:style>
  <w:style w:type="paragraph" w:styleId="2500">
    <w:name w:val="List Paragraph"/>
    <w:basedOn w:val="1"/>
    <w:qFormat/>
    <w:uiPriority w:val="1"/>
    <w:pPr>
      <w:spacing w:line="240" w:lineRule="auto"/>
      <w:ind w:firstLine="420" w:firstLineChars="200"/>
    </w:pPr>
    <w:rPr>
      <w:rFonts w:ascii="Calibri" w:hAnsi="Calibri"/>
      <w:sz w:val="21"/>
      <w:szCs w:val="22"/>
    </w:rPr>
  </w:style>
  <w:style w:type="paragraph" w:customStyle="1" w:styleId="2501">
    <w:name w:val="标题5"/>
    <w:basedOn w:val="9"/>
    <w:qFormat/>
    <w:uiPriority w:val="0"/>
    <w:pPr>
      <w:tabs>
        <w:tab w:val="left" w:pos="360"/>
        <w:tab w:val="clear" w:pos="1008"/>
      </w:tabs>
      <w:adjustRightInd/>
      <w:spacing w:before="200" w:after="40" w:line="376" w:lineRule="auto"/>
      <w:ind w:left="360" w:hanging="360" w:firstLineChars="200"/>
      <w:jc w:val="both"/>
      <w:textAlignment w:val="auto"/>
    </w:pPr>
    <w:rPr>
      <w:rFonts w:hAnsi="Arial"/>
      <w:bCs/>
      <w:kern w:val="2"/>
      <w:sz w:val="24"/>
    </w:rPr>
  </w:style>
  <w:style w:type="paragraph" w:customStyle="1" w:styleId="2502">
    <w:name w:val="样式 正文1 Char + 宋体 小四 首行缩进:  2 字符"/>
    <w:basedOn w:val="1"/>
    <w:qFormat/>
    <w:uiPriority w:val="0"/>
    <w:pPr>
      <w:suppressLineNumbers/>
      <w:suppressAutoHyphens/>
      <w:topLinePunct/>
      <w:adjustRightInd w:val="0"/>
      <w:snapToGrid w:val="0"/>
      <w:ind w:firstLine="480" w:firstLineChars="200"/>
    </w:pPr>
    <w:rPr>
      <w:rFonts w:cs="宋体"/>
      <w:kern w:val="0"/>
    </w:rPr>
  </w:style>
  <w:style w:type="paragraph" w:customStyle="1" w:styleId="2503">
    <w:name w:val="插图1"/>
    <w:basedOn w:val="1"/>
    <w:qFormat/>
    <w:uiPriority w:val="0"/>
    <w:pPr>
      <w:adjustRightInd w:val="0"/>
      <w:spacing w:before="120" w:after="120" w:line="240" w:lineRule="auto"/>
    </w:pPr>
    <w:rPr>
      <w:kern w:val="0"/>
      <w:szCs w:val="28"/>
    </w:rPr>
  </w:style>
  <w:style w:type="paragraph" w:customStyle="1" w:styleId="2504">
    <w:name w:val="样式 华文中宋 首行缩进:  2 字符"/>
    <w:basedOn w:val="1"/>
    <w:qFormat/>
    <w:uiPriority w:val="0"/>
    <w:pPr>
      <w:spacing w:line="240" w:lineRule="auto"/>
      <w:ind w:firstLine="200" w:firstLineChars="200"/>
    </w:pPr>
    <w:rPr>
      <w:rFonts w:ascii="华文中宋" w:hAnsi="华文中宋" w:eastAsia="华文中宋" w:cs="宋体"/>
      <w:szCs w:val="20"/>
    </w:rPr>
  </w:style>
  <w:style w:type="paragraph" w:customStyle="1" w:styleId="2505">
    <w:name w:val="可研正文"/>
    <w:basedOn w:val="1"/>
    <w:qFormat/>
    <w:uiPriority w:val="0"/>
    <w:pPr>
      <w:ind w:firstLine="560" w:firstLineChars="200"/>
    </w:pPr>
    <w:rPr>
      <w:rFonts w:ascii="宋体" w:hAnsi="宋体" w:cs="宋体"/>
      <w:sz w:val="28"/>
      <w:szCs w:val="20"/>
    </w:rPr>
  </w:style>
  <w:style w:type="paragraph" w:customStyle="1" w:styleId="2506">
    <w:name w:val="样式 标题 3 + 段前: 0 磅 段后: 8 磅 行距: 固定值 22 磅1"/>
    <w:basedOn w:val="7"/>
    <w:qFormat/>
    <w:uiPriority w:val="0"/>
    <w:pPr>
      <w:numPr>
        <w:ilvl w:val="0"/>
        <w:numId w:val="0"/>
      </w:numPr>
      <w:tabs>
        <w:tab w:val="left" w:pos="720"/>
      </w:tabs>
      <w:adjustRightInd w:val="0"/>
      <w:snapToGrid w:val="0"/>
      <w:spacing w:before="0" w:after="0" w:line="360" w:lineRule="auto"/>
      <w:ind w:left="720" w:hanging="720"/>
    </w:pPr>
    <w:rPr>
      <w:rFonts w:ascii="Times New Roman" w:hAnsi="Times New Roman"/>
      <w:bCs w:val="0"/>
      <w:color w:val="auto"/>
      <w:szCs w:val="30"/>
      <w:lang w:val="en-GB"/>
    </w:rPr>
  </w:style>
  <w:style w:type="paragraph" w:customStyle="1" w:styleId="2507">
    <w:name w:val="样式 样式 标题 41.1.1.1标题 4.1.1.1.1标题 4 Char款1.116.6.2.1"/>
    <w:basedOn w:val="428"/>
    <w:qFormat/>
    <w:uiPriority w:val="0"/>
    <w:pPr>
      <w:numPr>
        <w:numId w:val="62"/>
      </w:numPr>
      <w:tabs>
        <w:tab w:val="left" w:pos="360"/>
        <w:tab w:val="left" w:pos="425"/>
        <w:tab w:val="left" w:pos="455"/>
        <w:tab w:val="left" w:pos="780"/>
        <w:tab w:val="left" w:pos="864"/>
        <w:tab w:val="left" w:pos="1680"/>
        <w:tab w:val="left" w:pos="2160"/>
        <w:tab w:val="clear" w:pos="1800"/>
      </w:tabs>
      <w:spacing w:after="0"/>
      <w:ind w:left="2160" w:leftChars="200" w:hanging="420"/>
    </w:pPr>
  </w:style>
  <w:style w:type="paragraph" w:customStyle="1" w:styleId="2508">
    <w:name w:val="样式 行距: 固定值 25 磅"/>
    <w:basedOn w:val="1"/>
    <w:qFormat/>
    <w:uiPriority w:val="0"/>
    <w:pPr>
      <w:adjustRightInd w:val="0"/>
      <w:snapToGrid w:val="0"/>
      <w:spacing w:line="324" w:lineRule="auto"/>
      <w:ind w:firstLine="560" w:firstLineChars="200"/>
      <w:jc w:val="left"/>
      <w:textAlignment w:val="baseline"/>
    </w:pPr>
    <w:rPr>
      <w:kern w:val="0"/>
      <w:sz w:val="28"/>
      <w:szCs w:val="20"/>
    </w:rPr>
  </w:style>
  <w:style w:type="paragraph" w:customStyle="1" w:styleId="2509">
    <w:name w:val="样式 首行缩进:  0.99 厘米 行距: 1.5 倍行距"/>
    <w:basedOn w:val="1"/>
    <w:qFormat/>
    <w:uiPriority w:val="0"/>
    <w:pPr>
      <w:snapToGrid w:val="0"/>
      <w:ind w:firstLine="560" w:firstLineChars="200"/>
    </w:pPr>
    <w:rPr>
      <w:rFonts w:ascii="仿宋_GB2312" w:eastAsia="仿宋_GB2312"/>
      <w:color w:val="000000"/>
      <w:sz w:val="28"/>
      <w:szCs w:val="21"/>
    </w:rPr>
  </w:style>
  <w:style w:type="paragraph" w:customStyle="1" w:styleId="2510">
    <w:name w:val="正文文本31"/>
    <w:basedOn w:val="1"/>
    <w:next w:val="1"/>
    <w:qFormat/>
    <w:uiPriority w:val="0"/>
    <w:pPr>
      <w:widowControl/>
      <w:autoSpaceDE w:val="0"/>
      <w:autoSpaceDN w:val="0"/>
      <w:adjustRightInd w:val="0"/>
      <w:spacing w:before="60" w:after="60" w:line="240" w:lineRule="auto"/>
      <w:jc w:val="left"/>
    </w:pPr>
    <w:rPr>
      <w:rFonts w:ascii="宋体"/>
      <w:kern w:val="0"/>
      <w:lang w:eastAsia="en-US"/>
    </w:rPr>
  </w:style>
  <w:style w:type="paragraph" w:customStyle="1" w:styleId="2511">
    <w:name w:val="注释标题1"/>
    <w:basedOn w:val="23"/>
    <w:next w:val="23"/>
    <w:qFormat/>
    <w:uiPriority w:val="0"/>
    <w:pPr>
      <w:tabs>
        <w:tab w:val="left" w:pos="420"/>
      </w:tabs>
      <w:spacing w:line="360" w:lineRule="auto"/>
      <w:ind w:left="420" w:hanging="420" w:firstLineChars="200"/>
    </w:pPr>
    <w:rPr>
      <w:color w:val="000000"/>
      <w:sz w:val="24"/>
      <w:szCs w:val="18"/>
    </w:rPr>
  </w:style>
  <w:style w:type="paragraph" w:customStyle="1" w:styleId="2512">
    <w:name w:val="gray"/>
    <w:basedOn w:val="1"/>
    <w:qFormat/>
    <w:uiPriority w:val="0"/>
    <w:pPr>
      <w:widowControl/>
      <w:spacing w:before="100" w:beforeAutospacing="1" w:after="100" w:afterAutospacing="1" w:line="301" w:lineRule="atLeast"/>
      <w:jc w:val="left"/>
    </w:pPr>
    <w:rPr>
      <w:rFonts w:ascii="宋体" w:hAnsi="宋体"/>
      <w:color w:val="737373"/>
      <w:kern w:val="0"/>
      <w:sz w:val="20"/>
      <w:szCs w:val="20"/>
    </w:rPr>
  </w:style>
  <w:style w:type="paragraph" w:customStyle="1" w:styleId="2513">
    <w:name w:val="Puce fleche"/>
    <w:basedOn w:val="36"/>
    <w:qFormat/>
    <w:uiPriority w:val="0"/>
    <w:pPr>
      <w:widowControl/>
      <w:tabs>
        <w:tab w:val="left" w:pos="1280"/>
      </w:tabs>
      <w:spacing w:before="60" w:after="0" w:line="240" w:lineRule="auto"/>
      <w:ind w:left="1280" w:hanging="720"/>
    </w:pPr>
    <w:rPr>
      <w:rFonts w:ascii="Arial" w:hAnsi="Arial"/>
      <w:kern w:val="0"/>
      <w:sz w:val="20"/>
      <w:szCs w:val="20"/>
      <w:lang w:val="en-GB" w:eastAsia="fr-FR"/>
    </w:rPr>
  </w:style>
  <w:style w:type="paragraph" w:customStyle="1" w:styleId="2514">
    <w:name w:val="xyb自建四级标题"/>
    <w:basedOn w:val="1"/>
    <w:qFormat/>
    <w:uiPriority w:val="0"/>
    <w:pPr>
      <w:tabs>
        <w:tab w:val="left" w:pos="8280"/>
      </w:tabs>
      <w:spacing w:before="100" w:after="100" w:line="412" w:lineRule="auto"/>
      <w:outlineLvl w:val="3"/>
    </w:pPr>
    <w:rPr>
      <w:rFonts w:ascii="楷体_GB2312" w:hAnsi="宋体" w:eastAsia="楷体_GB2312"/>
      <w:b/>
      <w:bCs/>
    </w:rPr>
  </w:style>
  <w:style w:type="paragraph" w:customStyle="1" w:styleId="2515">
    <w:name w:val="Char Char Char Char Char Char Char Char Char Char Char Char Char"/>
    <w:basedOn w:val="1"/>
    <w:qFormat/>
    <w:uiPriority w:val="0"/>
    <w:pPr>
      <w:spacing w:line="240" w:lineRule="auto"/>
    </w:pPr>
    <w:rPr>
      <w:rFonts w:ascii="Tahoma" w:hAnsi="Tahoma"/>
      <w:szCs w:val="20"/>
    </w:rPr>
  </w:style>
  <w:style w:type="paragraph" w:customStyle="1" w:styleId="2516">
    <w:name w:val="Company Name"/>
    <w:basedOn w:val="1"/>
    <w:next w:val="1"/>
    <w:qFormat/>
    <w:uiPriority w:val="0"/>
    <w:pPr>
      <w:widowControl/>
      <w:tabs>
        <w:tab w:val="left" w:pos="2160"/>
        <w:tab w:val="right" w:pos="6480"/>
      </w:tabs>
      <w:spacing w:before="220" w:after="40" w:line="220" w:lineRule="atLeast"/>
      <w:ind w:right="-360"/>
    </w:pPr>
    <w:rPr>
      <w:kern w:val="0"/>
      <w:sz w:val="20"/>
      <w:szCs w:val="20"/>
    </w:rPr>
  </w:style>
  <w:style w:type="paragraph" w:customStyle="1" w:styleId="2517">
    <w:name w:val="正文仿宋"/>
    <w:basedOn w:val="1"/>
    <w:qFormat/>
    <w:uiPriority w:val="0"/>
    <w:pPr>
      <w:adjustRightInd w:val="0"/>
      <w:snapToGrid w:val="0"/>
      <w:ind w:firstLine="567"/>
    </w:pPr>
    <w:rPr>
      <w:rFonts w:cs="宋体"/>
      <w:snapToGrid w:val="0"/>
      <w:color w:val="000000"/>
      <w:kern w:val="0"/>
      <w:szCs w:val="20"/>
    </w:rPr>
  </w:style>
  <w:style w:type="paragraph" w:customStyle="1" w:styleId="2518">
    <w:name w:val="68BAF9E1919946E38FBF9403D0201D18"/>
    <w:qFormat/>
    <w:uiPriority w:val="0"/>
    <w:pPr>
      <w:spacing w:after="200" w:line="276" w:lineRule="auto"/>
      <w:jc w:val="both"/>
    </w:pPr>
    <w:rPr>
      <w:rFonts w:ascii="Calibri" w:hAnsi="Calibri" w:eastAsia="宋体" w:cs="Times New Roman"/>
      <w:kern w:val="0"/>
      <w:sz w:val="22"/>
      <w:szCs w:val="22"/>
      <w:lang w:val="en-US" w:eastAsia="en-US" w:bidi="ar-SA"/>
    </w:rPr>
  </w:style>
  <w:style w:type="paragraph" w:customStyle="1" w:styleId="2519">
    <w:name w:val="6表(图)头(治)"/>
    <w:next w:val="1"/>
    <w:qFormat/>
    <w:uiPriority w:val="0"/>
    <w:pPr>
      <w:widowControl w:val="0"/>
      <w:adjustRightInd w:val="0"/>
      <w:snapToGrid w:val="0"/>
      <w:jc w:val="center"/>
    </w:pPr>
    <w:rPr>
      <w:rFonts w:ascii="Times New Roman" w:hAnsi="宋体" w:eastAsia="宋体" w:cs="Times New Roman"/>
      <w:kern w:val="0"/>
      <w:sz w:val="21"/>
      <w:szCs w:val="21"/>
      <w:lang w:val="en-US" w:eastAsia="zh-CN" w:bidi="ar-SA"/>
    </w:rPr>
  </w:style>
  <w:style w:type="paragraph" w:customStyle="1" w:styleId="2520">
    <w:name w:val="样式 标题5 + 首行缩进:  0.74 厘米"/>
    <w:basedOn w:val="1"/>
    <w:qFormat/>
    <w:uiPriority w:val="0"/>
    <w:pPr>
      <w:keepNext/>
      <w:keepLines/>
      <w:outlineLvl w:val="4"/>
    </w:pPr>
    <w:rPr>
      <w:rFonts w:cs="宋体"/>
      <w:b/>
      <w:bCs/>
      <w:sz w:val="28"/>
      <w:szCs w:val="20"/>
    </w:rPr>
  </w:style>
  <w:style w:type="paragraph" w:customStyle="1" w:styleId="2521">
    <w:name w:val="表样式"/>
    <w:basedOn w:val="1"/>
    <w:qFormat/>
    <w:uiPriority w:val="0"/>
    <w:pPr>
      <w:spacing w:line="240" w:lineRule="auto"/>
      <w:jc w:val="center"/>
    </w:pPr>
    <w:rPr>
      <w:rFonts w:hint="eastAsia" w:ascii="仿宋_GB2312" w:eastAsia="黑体"/>
      <w:sz w:val="21"/>
    </w:rPr>
  </w:style>
  <w:style w:type="paragraph" w:customStyle="1" w:styleId="2522">
    <w:name w:val="页眉5"/>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52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524">
    <w:name w:val="章(一级)"/>
    <w:basedOn w:val="5"/>
    <w:next w:val="1469"/>
    <w:qFormat/>
    <w:uiPriority w:val="0"/>
    <w:pPr>
      <w:keepLines/>
      <w:adjustRightInd w:val="0"/>
      <w:spacing w:line="460" w:lineRule="exact"/>
      <w:textAlignment w:val="baseline"/>
      <w:outlineLvl w:val="9"/>
    </w:pPr>
    <w:rPr>
      <w:rFonts w:hAnsi="Arial"/>
      <w:b/>
      <w:kern w:val="24"/>
      <w:sz w:val="24"/>
      <w:szCs w:val="20"/>
    </w:rPr>
  </w:style>
  <w:style w:type="paragraph" w:customStyle="1" w:styleId="2525">
    <w:name w:val="xl130"/>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526">
    <w:name w:val="常用正文样式"/>
    <w:qFormat/>
    <w:uiPriority w:val="0"/>
    <w:pPr>
      <w:widowControl w:val="0"/>
      <w:spacing w:line="360" w:lineRule="auto"/>
      <w:ind w:firstLine="454"/>
      <w:jc w:val="both"/>
    </w:pPr>
    <w:rPr>
      <w:rFonts w:ascii="宋体" w:hAnsi="新宋体" w:eastAsia="仿宋_GB2312" w:cs="Times New Roman"/>
      <w:kern w:val="2"/>
      <w:sz w:val="24"/>
      <w:szCs w:val="24"/>
      <w:lang w:val="en-US" w:eastAsia="zh-CN" w:bidi="ar-SA"/>
    </w:rPr>
  </w:style>
  <w:style w:type="paragraph" w:customStyle="1" w:styleId="2527">
    <w:name w:val="样式30"/>
    <w:basedOn w:val="674"/>
    <w:qFormat/>
    <w:uiPriority w:val="0"/>
    <w:pPr>
      <w:adjustRightInd w:val="0"/>
      <w:spacing w:line="300" w:lineRule="exact"/>
      <w:ind w:left="520"/>
      <w:textAlignment w:val="baseline"/>
    </w:pPr>
    <w:rPr>
      <w:rFonts w:eastAsia="宋体"/>
      <w:spacing w:val="0"/>
      <w:szCs w:val="21"/>
    </w:rPr>
  </w:style>
  <w:style w:type="paragraph" w:customStyle="1" w:styleId="2528">
    <w:name w:val="文-1"/>
    <w:basedOn w:val="1"/>
    <w:qFormat/>
    <w:uiPriority w:val="0"/>
    <w:pPr>
      <w:spacing w:before="120" w:line="240" w:lineRule="auto"/>
      <w:ind w:left="851" w:firstLine="482"/>
    </w:pPr>
    <w:rPr>
      <w:szCs w:val="20"/>
    </w:rPr>
  </w:style>
  <w:style w:type="paragraph" w:customStyle="1" w:styleId="2529">
    <w:name w:val="font2"/>
    <w:basedOn w:val="1"/>
    <w:qFormat/>
    <w:uiPriority w:val="0"/>
    <w:pPr>
      <w:widowControl/>
      <w:spacing w:before="100" w:beforeAutospacing="1" w:after="100" w:afterAutospacing="1" w:line="240" w:lineRule="auto"/>
      <w:jc w:val="left"/>
    </w:pPr>
    <w:rPr>
      <w:rFonts w:ascii="宋体" w:hAnsi="宋体" w:cs="宋体"/>
      <w:color w:val="000000"/>
      <w:kern w:val="0"/>
      <w:sz w:val="18"/>
      <w:szCs w:val="18"/>
    </w:rPr>
  </w:style>
  <w:style w:type="paragraph" w:customStyle="1" w:styleId="2530">
    <w:name w:val="xl91"/>
    <w:basedOn w:val="1"/>
    <w:qFormat/>
    <w:uiPriority w:val="0"/>
    <w:pPr>
      <w:widowControl/>
      <w:spacing w:before="100" w:beforeAutospacing="1" w:after="100" w:afterAutospacing="1" w:line="240" w:lineRule="auto"/>
      <w:jc w:val="right"/>
    </w:pPr>
    <w:rPr>
      <w:rFonts w:ascii="宋体" w:hAnsi="宋体" w:cs="宋体"/>
      <w:kern w:val="0"/>
      <w:sz w:val="22"/>
      <w:szCs w:val="22"/>
    </w:rPr>
  </w:style>
  <w:style w:type="paragraph" w:customStyle="1" w:styleId="2531">
    <w:name w:val="Bullet_Indent"/>
    <w:basedOn w:val="1"/>
    <w:qFormat/>
    <w:uiPriority w:val="0"/>
    <w:pPr>
      <w:widowControl/>
      <w:adjustRightInd w:val="0"/>
      <w:snapToGrid w:val="0"/>
      <w:spacing w:after="240"/>
      <w:ind w:left="1440" w:hanging="720"/>
      <w:jc w:val="left"/>
    </w:pPr>
    <w:rPr>
      <w:kern w:val="0"/>
      <w:szCs w:val="20"/>
    </w:rPr>
  </w:style>
  <w:style w:type="paragraph" w:customStyle="1" w:styleId="2532">
    <w:name w:val="图表文字"/>
    <w:basedOn w:val="1"/>
    <w:qFormat/>
    <w:uiPriority w:val="0"/>
    <w:pPr>
      <w:spacing w:line="300" w:lineRule="exact"/>
      <w:jc w:val="center"/>
    </w:pPr>
    <w:rPr>
      <w:rFonts w:ascii="仿宋_GB2312" w:eastAsia="仿宋_GB2312"/>
      <w:bCs/>
      <w:sz w:val="21"/>
      <w:szCs w:val="20"/>
    </w:rPr>
  </w:style>
  <w:style w:type="paragraph" w:customStyle="1" w:styleId="2533">
    <w:name w:val="正文首行缩进 2 + 首行缩进:  2 字符"/>
    <w:basedOn w:val="2"/>
    <w:qFormat/>
    <w:uiPriority w:val="0"/>
    <w:pPr>
      <w:widowControl/>
      <w:autoSpaceDE/>
      <w:autoSpaceDN/>
      <w:spacing w:before="120"/>
      <w:ind w:left="210" w:firstLine="200"/>
    </w:pPr>
    <w:rPr>
      <w:rFonts w:hint="default" w:eastAsia="仿宋_GB2312" w:cs="宋体"/>
      <w:color w:val="auto"/>
      <w:sz w:val="28"/>
    </w:rPr>
  </w:style>
  <w:style w:type="paragraph" w:customStyle="1" w:styleId="2534">
    <w:name w:val="标题11"/>
    <w:basedOn w:val="1"/>
    <w:qFormat/>
    <w:uiPriority w:val="0"/>
    <w:pPr>
      <w:tabs>
        <w:tab w:val="left" w:pos="0"/>
        <w:tab w:val="left" w:pos="1320"/>
      </w:tabs>
      <w:adjustRightInd w:val="0"/>
      <w:snapToGrid w:val="0"/>
      <w:ind w:left="1320" w:hanging="420"/>
    </w:pPr>
    <w:rPr>
      <w:sz w:val="28"/>
      <w:szCs w:val="20"/>
    </w:rPr>
  </w:style>
  <w:style w:type="paragraph" w:customStyle="1" w:styleId="2535">
    <w:name w:val="5级"/>
    <w:basedOn w:val="9"/>
    <w:qFormat/>
    <w:uiPriority w:val="0"/>
    <w:pPr>
      <w:keepNext w:val="0"/>
      <w:keepLines w:val="0"/>
      <w:widowControl/>
      <w:tabs>
        <w:tab w:val="clear" w:pos="1008"/>
      </w:tabs>
      <w:adjustRightInd/>
      <w:spacing w:before="280" w:beforeLines="50" w:after="290" w:afterLines="50" w:line="440" w:lineRule="exact"/>
      <w:ind w:left="0" w:firstLine="0"/>
      <w:jc w:val="both"/>
      <w:textAlignment w:val="auto"/>
    </w:pPr>
    <w:rPr>
      <w:rFonts w:hAnsi="宋体" w:cs="宋体"/>
      <w:i/>
      <w:iCs/>
      <w:kern w:val="2"/>
      <w:sz w:val="26"/>
      <w:szCs w:val="26"/>
      <w:lang w:bidi="en-US"/>
    </w:rPr>
  </w:style>
  <w:style w:type="paragraph" w:customStyle="1" w:styleId="2536">
    <w:name w:val="表字小五"/>
    <w:basedOn w:val="1"/>
    <w:qFormat/>
    <w:uiPriority w:val="0"/>
    <w:pPr>
      <w:autoSpaceDE w:val="0"/>
      <w:autoSpaceDN w:val="0"/>
      <w:adjustRightInd w:val="0"/>
      <w:snapToGrid w:val="0"/>
      <w:spacing w:beforeLines="10" w:afterLines="10" w:line="240" w:lineRule="auto"/>
      <w:jc w:val="center"/>
      <w:textAlignment w:val="bottom"/>
    </w:pPr>
    <w:rPr>
      <w:kern w:val="0"/>
      <w:sz w:val="18"/>
      <w:szCs w:val="18"/>
    </w:rPr>
  </w:style>
  <w:style w:type="paragraph" w:customStyle="1" w:styleId="2537">
    <w:name w:val="et27"/>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538">
    <w:name w:val="xl6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kern w:val="0"/>
      <w:sz w:val="16"/>
      <w:szCs w:val="16"/>
    </w:rPr>
  </w:style>
  <w:style w:type="paragraph" w:customStyle="1" w:styleId="2539">
    <w:name w:val="样式 一级标题 + 自动设置"/>
    <w:basedOn w:val="347"/>
    <w:qFormat/>
    <w:uiPriority w:val="0"/>
    <w:pPr>
      <w:keepNext/>
      <w:keepLines/>
      <w:pageBreakBefore/>
      <w:widowControl w:val="0"/>
      <w:tabs>
        <w:tab w:val="left" w:pos="720"/>
      </w:tabs>
      <w:adjustRightInd w:val="0"/>
      <w:spacing w:line="240" w:lineRule="auto"/>
      <w:ind w:left="720" w:leftChars="800" w:hanging="1844" w:hangingChars="200"/>
      <w:textAlignment w:val="baseline"/>
    </w:pPr>
    <w:rPr>
      <w:rFonts w:ascii="Times New Roman" w:hAnsi="Times New Roman" w:eastAsia="黑体" w:cs="Times New Roman"/>
      <w:bCs/>
      <w:kern w:val="44"/>
      <w:szCs w:val="32"/>
    </w:rPr>
  </w:style>
  <w:style w:type="paragraph" w:customStyle="1" w:styleId="2540">
    <w:name w:val="xl47"/>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541">
    <w:name w:val="为"/>
    <w:basedOn w:val="1"/>
    <w:qFormat/>
    <w:uiPriority w:val="0"/>
    <w:pPr>
      <w:adjustRightInd w:val="0"/>
      <w:spacing w:line="600" w:lineRule="atLeast"/>
      <w:textAlignment w:val="baseline"/>
    </w:pPr>
    <w:rPr>
      <w:kern w:val="0"/>
      <w:sz w:val="28"/>
      <w:szCs w:val="20"/>
    </w:rPr>
  </w:style>
  <w:style w:type="paragraph" w:customStyle="1" w:styleId="2542">
    <w:name w:val="样式 目录 1 + 首行缩进:  2 字符"/>
    <w:basedOn w:val="60"/>
    <w:qFormat/>
    <w:uiPriority w:val="0"/>
    <w:pPr>
      <w:tabs>
        <w:tab w:val="right" w:leader="dot" w:pos="8720"/>
      </w:tabs>
      <w:spacing w:line="480" w:lineRule="exact"/>
      <w:ind w:firstLine="480" w:firstLineChars="200"/>
    </w:pPr>
    <w:rPr>
      <w:rFonts w:ascii="Comic Sans MS" w:hAnsi="Comic Sans MS" w:eastAsia="楷体_GB2312" w:cs="宋体"/>
      <w:bCs w:val="0"/>
      <w:sz w:val="20"/>
    </w:rPr>
  </w:style>
  <w:style w:type="paragraph" w:customStyle="1" w:styleId="2543">
    <w:name w:val="样式 标题 21.1标题 21.1标题2标题 2 Char1节标2_Heading 2可研-标题 2节 Ch..."/>
    <w:basedOn w:val="6"/>
    <w:qFormat/>
    <w:uiPriority w:val="0"/>
    <w:pPr>
      <w:keepNext/>
      <w:keepLines/>
      <w:numPr>
        <w:ilvl w:val="0"/>
        <w:numId w:val="0"/>
      </w:numPr>
      <w:tabs>
        <w:tab w:val="left" w:pos="960"/>
        <w:tab w:val="clear" w:pos="-181"/>
      </w:tabs>
      <w:adjustRightInd/>
      <w:snapToGrid/>
      <w:spacing w:before="120" w:beforeLines="0" w:after="120" w:line="240" w:lineRule="auto"/>
      <w:ind w:left="240"/>
      <w:jc w:val="both"/>
      <w:textAlignment w:val="auto"/>
    </w:pPr>
    <w:rPr>
      <w:rFonts w:ascii="Arial" w:hAnsi="Arial" w:cs="宋体"/>
      <w:b/>
      <w:bCs/>
      <w:color w:val="000000"/>
      <w:spacing w:val="4"/>
      <w:kern w:val="2"/>
      <w:sz w:val="24"/>
      <w:szCs w:val="24"/>
    </w:rPr>
  </w:style>
  <w:style w:type="paragraph" w:customStyle="1" w:styleId="2544">
    <w:name w:val="表居中（中文）"/>
    <w:basedOn w:val="1"/>
    <w:qFormat/>
    <w:uiPriority w:val="0"/>
    <w:pPr>
      <w:adjustRightInd w:val="0"/>
      <w:spacing w:line="380" w:lineRule="atLeast"/>
      <w:jc w:val="center"/>
      <w:textAlignment w:val="baseline"/>
    </w:pPr>
    <w:rPr>
      <w:rFonts w:eastAsia="楷体_GB2312"/>
      <w:kern w:val="0"/>
      <w:szCs w:val="20"/>
    </w:rPr>
  </w:style>
  <w:style w:type="paragraph" w:customStyle="1" w:styleId="2545">
    <w:name w:val="正文首行缩进3"/>
    <w:basedOn w:val="36"/>
    <w:qFormat/>
    <w:uiPriority w:val="0"/>
    <w:pPr>
      <w:adjustRightInd w:val="0"/>
      <w:spacing w:line="312" w:lineRule="atLeast"/>
      <w:ind w:firstLine="420"/>
      <w:textAlignment w:val="baseline"/>
    </w:pPr>
    <w:rPr>
      <w:kern w:val="0"/>
      <w:sz w:val="27"/>
      <w:szCs w:val="20"/>
    </w:rPr>
  </w:style>
  <w:style w:type="paragraph" w:customStyle="1" w:styleId="2546">
    <w:name w:val="样式 行距: 1.5 倍行距"/>
    <w:basedOn w:val="1"/>
    <w:qFormat/>
    <w:uiPriority w:val="0"/>
    <w:pPr>
      <w:ind w:firstLine="505" w:firstLineChars="200"/>
      <w:jc w:val="left"/>
    </w:pPr>
    <w:rPr>
      <w:rFonts w:eastAsia="仿宋_GB2312" w:cs="宋体"/>
      <w:sz w:val="28"/>
      <w:szCs w:val="28"/>
    </w:rPr>
  </w:style>
  <w:style w:type="paragraph" w:customStyle="1" w:styleId="2547">
    <w:name w:val="政府正文"/>
    <w:basedOn w:val="1"/>
    <w:qFormat/>
    <w:uiPriority w:val="0"/>
    <w:pPr>
      <w:adjustRightInd w:val="0"/>
      <w:snapToGrid w:val="0"/>
      <w:ind w:firstLine="600" w:firstLineChars="200"/>
    </w:pPr>
    <w:rPr>
      <w:rFonts w:ascii="仿宋_GB2312" w:eastAsia="仿宋_GB2312"/>
      <w:sz w:val="30"/>
      <w:szCs w:val="28"/>
    </w:rPr>
  </w:style>
  <w:style w:type="paragraph" w:customStyle="1" w:styleId="2548">
    <w:name w:val="正文文本最新 Char Char Char1 Char Char Char Char Char"/>
    <w:qFormat/>
    <w:uiPriority w:val="0"/>
    <w:pPr>
      <w:spacing w:line="360" w:lineRule="auto"/>
      <w:ind w:firstLine="200" w:firstLineChars="200"/>
      <w:jc w:val="both"/>
    </w:pPr>
    <w:rPr>
      <w:rFonts w:ascii="Times New Roman" w:hAnsi="Times New Roman" w:eastAsia="宋体" w:cs="Times New Roman"/>
      <w:bCs/>
      <w:kern w:val="2"/>
      <w:sz w:val="28"/>
      <w:szCs w:val="24"/>
      <w:lang w:val="en-US" w:eastAsia="zh-CN" w:bidi="ar-SA"/>
    </w:rPr>
  </w:style>
  <w:style w:type="paragraph" w:customStyle="1" w:styleId="2549">
    <w:name w:val="样式 标题 4 + (中文) 黑体"/>
    <w:basedOn w:val="8"/>
    <w:qFormat/>
    <w:uiPriority w:val="0"/>
    <w:pPr>
      <w:keepLines/>
      <w:tabs>
        <w:tab w:val="left" w:pos="2040"/>
        <w:tab w:val="clear" w:pos="864"/>
      </w:tabs>
      <w:spacing w:before="280" w:after="290" w:line="376" w:lineRule="auto"/>
      <w:ind w:left="2040" w:leftChars="800" w:hanging="360" w:hangingChars="200"/>
      <w:jc w:val="both"/>
    </w:pPr>
    <w:rPr>
      <w:rFonts w:ascii="Arial" w:hAnsi="Arial" w:eastAsia="黑体"/>
      <w:sz w:val="28"/>
      <w:szCs w:val="28"/>
    </w:rPr>
  </w:style>
  <w:style w:type="paragraph" w:customStyle="1" w:styleId="2550">
    <w:name w:val="font6"/>
    <w:basedOn w:val="1"/>
    <w:qFormat/>
    <w:uiPriority w:val="0"/>
    <w:pPr>
      <w:widowControl/>
      <w:spacing w:before="100" w:beforeAutospacing="1" w:after="100" w:afterAutospacing="1" w:line="240" w:lineRule="auto"/>
      <w:jc w:val="left"/>
    </w:pPr>
    <w:rPr>
      <w:rFonts w:hint="eastAsia" w:ascii="宋体" w:hAnsi="宋体"/>
      <w:kern w:val="0"/>
      <w:sz w:val="18"/>
      <w:szCs w:val="18"/>
    </w:rPr>
  </w:style>
  <w:style w:type="paragraph" w:customStyle="1" w:styleId="2551">
    <w:name w:val="缩五"/>
    <w:basedOn w:val="1"/>
    <w:qFormat/>
    <w:uiPriority w:val="0"/>
    <w:pPr>
      <w:tabs>
        <w:tab w:val="right" w:pos="8925"/>
      </w:tabs>
      <w:spacing w:line="550" w:lineRule="exact"/>
      <w:ind w:firstLine="560" w:firstLineChars="200"/>
    </w:pPr>
    <w:rPr>
      <w:color w:val="000000"/>
      <w:sz w:val="28"/>
      <w:szCs w:val="28"/>
    </w:rPr>
  </w:style>
  <w:style w:type="paragraph" w:customStyle="1" w:styleId="2552">
    <w:name w:val="Normal1"/>
    <w:qFormat/>
    <w:uiPriority w:val="0"/>
    <w:pPr>
      <w:widowControl w:val="0"/>
      <w:adjustRightInd w:val="0"/>
      <w:spacing w:line="360" w:lineRule="atLeast"/>
      <w:textAlignment w:val="baseline"/>
    </w:pPr>
    <w:rPr>
      <w:rFonts w:ascii="宋体" w:hAnsi="Times New Roman" w:eastAsia="宋体" w:cs="Times New Roman"/>
      <w:kern w:val="0"/>
      <w:sz w:val="34"/>
      <w:szCs w:val="20"/>
      <w:lang w:val="en-US" w:eastAsia="zh-CN" w:bidi="ar-SA"/>
    </w:rPr>
  </w:style>
  <w:style w:type="paragraph" w:customStyle="1" w:styleId="2553">
    <w:name w:val="et5"/>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554">
    <w:name w:val="条题"/>
    <w:basedOn w:val="1"/>
    <w:qFormat/>
    <w:uiPriority w:val="0"/>
    <w:pPr>
      <w:tabs>
        <w:tab w:val="left" w:pos="1640"/>
      </w:tabs>
      <w:spacing w:before="156" w:beforeLines="50" w:line="480" w:lineRule="exact"/>
      <w:ind w:firstLine="560"/>
    </w:pPr>
    <w:rPr>
      <w:color w:val="000000"/>
    </w:rPr>
  </w:style>
  <w:style w:type="paragraph" w:customStyle="1" w:styleId="2555">
    <w:name w:val="Numéro-8pts"/>
    <w:basedOn w:val="1"/>
    <w:qFormat/>
    <w:uiPriority w:val="0"/>
    <w:pPr>
      <w:keepLines/>
      <w:widowControl/>
      <w:tabs>
        <w:tab w:val="left" w:pos="851"/>
      </w:tabs>
      <w:spacing w:before="160" w:line="240" w:lineRule="auto"/>
      <w:ind w:left="1418" w:hanging="284"/>
    </w:pPr>
    <w:rPr>
      <w:rFonts w:ascii="Arial" w:hAnsi="Arial"/>
      <w:spacing w:val="-2"/>
      <w:kern w:val="0"/>
      <w:sz w:val="20"/>
      <w:szCs w:val="20"/>
      <w:lang w:eastAsia="fr-FR"/>
    </w:rPr>
  </w:style>
  <w:style w:type="paragraph" w:customStyle="1" w:styleId="2556">
    <w:name w:val="圖標題"/>
    <w:basedOn w:val="1"/>
    <w:qFormat/>
    <w:uiPriority w:val="0"/>
    <w:pPr>
      <w:topLinePunct/>
      <w:adjustRightInd w:val="0"/>
      <w:spacing w:line="384" w:lineRule="exact"/>
      <w:jc w:val="center"/>
      <w:textAlignment w:val="baseline"/>
    </w:pPr>
    <w:rPr>
      <w:rFonts w:ascii="Arial" w:hAnsi="Arial" w:eastAsia="華康粗黑體" w:cs="Arial"/>
      <w:kern w:val="20"/>
      <w:szCs w:val="20"/>
      <w:lang w:eastAsia="zh-TW"/>
    </w:rPr>
  </w:style>
  <w:style w:type="paragraph" w:customStyle="1" w:styleId="2557">
    <w:name w:val="正文2002"/>
    <w:basedOn w:val="1"/>
    <w:qFormat/>
    <w:uiPriority w:val="0"/>
    <w:pPr>
      <w:spacing w:line="240" w:lineRule="atLeast"/>
    </w:pPr>
    <w:rPr>
      <w:color w:val="0000FF"/>
      <w:sz w:val="21"/>
    </w:rPr>
  </w:style>
  <w:style w:type="paragraph" w:customStyle="1" w:styleId="2558">
    <w:name w:val="1说明"/>
    <w:basedOn w:val="2000"/>
    <w:qFormat/>
    <w:uiPriority w:val="0"/>
    <w:pPr>
      <w:spacing w:line="420" w:lineRule="auto"/>
      <w:ind w:firstLine="454"/>
      <w:outlineLvl w:val="4"/>
    </w:pPr>
    <w:rPr>
      <w:rFonts w:eastAsia="宋体"/>
      <w:spacing w:val="4"/>
      <w:sz w:val="21"/>
      <w:szCs w:val="24"/>
    </w:rPr>
  </w:style>
  <w:style w:type="paragraph" w:customStyle="1" w:styleId="2559">
    <w:name w:val="0007小四 居中"/>
    <w:basedOn w:val="1"/>
    <w:qFormat/>
    <w:uiPriority w:val="0"/>
    <w:pPr>
      <w:widowControl/>
      <w:adjustRightInd w:val="0"/>
      <w:spacing w:line="500" w:lineRule="exact"/>
      <w:jc w:val="center"/>
    </w:pPr>
    <w:rPr>
      <w:rFonts w:ascii="宋体" w:hAnsi="宋体"/>
    </w:rPr>
  </w:style>
  <w:style w:type="paragraph" w:customStyle="1" w:styleId="2560">
    <w:name w:val="大妹正文 Char"/>
    <w:basedOn w:val="5"/>
    <w:qFormat/>
    <w:uiPriority w:val="0"/>
    <w:pPr>
      <w:keepNext w:val="0"/>
      <w:spacing w:line="360" w:lineRule="auto"/>
      <w:ind w:firstLine="420" w:firstLineChars="200"/>
      <w:jc w:val="center"/>
      <w:outlineLvl w:val="9"/>
    </w:pPr>
    <w:rPr>
      <w:color w:val="000000"/>
      <w:sz w:val="21"/>
      <w:szCs w:val="21"/>
    </w:rPr>
  </w:style>
  <w:style w:type="paragraph" w:customStyle="1" w:styleId="2561">
    <w:name w:val="样式 标题 1章标题标题1章节H1NMP Heading 1 + Arial 左 段前: 12 磅 段后: 6 ..."/>
    <w:basedOn w:val="5"/>
    <w:qFormat/>
    <w:uiPriority w:val="0"/>
    <w:pPr>
      <w:keepLines/>
      <w:snapToGrid w:val="0"/>
      <w:spacing w:line="360" w:lineRule="auto"/>
      <w:ind w:left="170" w:hanging="170"/>
      <w:jc w:val="left"/>
    </w:pPr>
    <w:rPr>
      <w:rFonts w:ascii="Times New Roman" w:hAnsi="Times New Roman"/>
      <w:b/>
      <w:bCs/>
      <w:spacing w:val="-12"/>
      <w:kern w:val="0"/>
      <w:sz w:val="44"/>
      <w:szCs w:val="44"/>
    </w:rPr>
  </w:style>
  <w:style w:type="paragraph" w:customStyle="1" w:styleId="2562">
    <w:name w:val="et10"/>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563">
    <w:name w:val="5#表格"/>
    <w:basedOn w:val="1"/>
    <w:qFormat/>
    <w:uiPriority w:val="0"/>
    <w:pPr>
      <w:tabs>
        <w:tab w:val="left" w:pos="600"/>
      </w:tabs>
      <w:adjustRightInd w:val="0"/>
      <w:spacing w:line="360" w:lineRule="exact"/>
      <w:jc w:val="center"/>
    </w:pPr>
    <w:rPr>
      <w:kern w:val="0"/>
      <w:sz w:val="21"/>
      <w:szCs w:val="21"/>
    </w:rPr>
  </w:style>
  <w:style w:type="paragraph" w:customStyle="1" w:styleId="2564">
    <w:name w:val="Body Text 21"/>
    <w:basedOn w:val="1"/>
    <w:qFormat/>
    <w:uiPriority w:val="0"/>
    <w:pPr>
      <w:adjustRightInd w:val="0"/>
      <w:spacing w:line="500" w:lineRule="exact"/>
      <w:textAlignment w:val="baseline"/>
    </w:pPr>
    <w:rPr>
      <w:rFonts w:eastAsia="仿宋体"/>
      <w:szCs w:val="20"/>
    </w:rPr>
  </w:style>
  <w:style w:type="paragraph" w:customStyle="1" w:styleId="2565">
    <w:name w:val="Char1 Char Char Char Char Char Char Char Char Char"/>
    <w:basedOn w:val="1"/>
    <w:qFormat/>
    <w:uiPriority w:val="0"/>
    <w:pPr>
      <w:spacing w:line="240" w:lineRule="auto"/>
    </w:pPr>
    <w:rPr>
      <w:sz w:val="21"/>
    </w:rPr>
  </w:style>
  <w:style w:type="paragraph" w:customStyle="1" w:styleId="2566">
    <w:name w:val="正文文字"/>
    <w:basedOn w:val="36"/>
    <w:qFormat/>
    <w:uiPriority w:val="0"/>
    <w:pPr>
      <w:adjustRightInd w:val="0"/>
      <w:snapToGrid w:val="0"/>
      <w:spacing w:after="0" w:line="264" w:lineRule="auto"/>
      <w:jc w:val="center"/>
    </w:pPr>
    <w:rPr>
      <w:rFonts w:ascii="宋体" w:hAnsi="宋体" w:cs="宋体"/>
      <w:sz w:val="21"/>
      <w:szCs w:val="21"/>
    </w:rPr>
  </w:style>
  <w:style w:type="paragraph" w:customStyle="1" w:styleId="2567">
    <w:name w:val="Char1 Char Char Char12"/>
    <w:basedOn w:val="1"/>
    <w:qFormat/>
    <w:uiPriority w:val="0"/>
    <w:pPr>
      <w:adjustRightInd w:val="0"/>
      <w:snapToGrid w:val="0"/>
      <w:ind w:firstLine="200" w:firstLineChars="200"/>
    </w:pPr>
    <w:rPr>
      <w:rFonts w:ascii="宋体" w:hAnsi="宋体" w:eastAsia="汉鼎简书宋" w:cs="宋体"/>
      <w:spacing w:val="4"/>
    </w:rPr>
  </w:style>
  <w:style w:type="paragraph" w:customStyle="1" w:styleId="2568">
    <w:name w:val="Char Char7 Char Char Char Char Char Char2"/>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2569">
    <w:name w:val="16.6.3.1"/>
    <w:basedOn w:val="428"/>
    <w:qFormat/>
    <w:uiPriority w:val="0"/>
    <w:pPr>
      <w:numPr>
        <w:numId w:val="63"/>
      </w:numPr>
      <w:tabs>
        <w:tab w:val="left" w:pos="360"/>
        <w:tab w:val="left" w:pos="425"/>
        <w:tab w:val="left" w:pos="455"/>
        <w:tab w:val="left" w:pos="864"/>
        <w:tab w:val="left" w:pos="1200"/>
        <w:tab w:val="left" w:pos="1680"/>
        <w:tab w:val="left" w:pos="2160"/>
        <w:tab w:val="clear" w:pos="1800"/>
      </w:tabs>
      <w:spacing w:after="0"/>
      <w:ind w:left="2160" w:leftChars="400" w:hanging="420"/>
    </w:pPr>
  </w:style>
  <w:style w:type="paragraph" w:customStyle="1" w:styleId="2570">
    <w:name w:val="新标题1"/>
    <w:basedOn w:val="1"/>
    <w:qFormat/>
    <w:uiPriority w:val="0"/>
    <w:pPr>
      <w:keepNext/>
      <w:autoSpaceDE w:val="0"/>
      <w:autoSpaceDN w:val="0"/>
      <w:adjustRightInd w:val="0"/>
      <w:spacing w:before="120" w:after="120" w:line="460" w:lineRule="exact"/>
      <w:outlineLvl w:val="0"/>
    </w:pPr>
    <w:rPr>
      <w:rFonts w:ascii="黑体" w:eastAsia="黑体" w:cs="宋体"/>
      <w:b/>
      <w:bCs/>
      <w:color w:val="000000"/>
      <w:sz w:val="28"/>
      <w:szCs w:val="28"/>
      <w:lang w:val="zh-CN"/>
    </w:rPr>
  </w:style>
  <w:style w:type="paragraph" w:customStyle="1" w:styleId="2571">
    <w:name w:val="正文标准样式"/>
    <w:basedOn w:val="1"/>
    <w:qFormat/>
    <w:uiPriority w:val="0"/>
    <w:pPr>
      <w:adjustRightInd w:val="0"/>
      <w:spacing w:line="300" w:lineRule="auto"/>
      <w:ind w:firstLine="482"/>
      <w:textAlignment w:val="baseline"/>
    </w:pPr>
    <w:rPr>
      <w:kern w:val="0"/>
      <w:szCs w:val="20"/>
    </w:rPr>
  </w:style>
  <w:style w:type="paragraph" w:customStyle="1" w:styleId="2572">
    <w:name w:val="Char Char1 Char Char1 Char Char1 Char Char1 Char Char Char Char Char Char Char"/>
    <w:basedOn w:val="1"/>
    <w:qFormat/>
    <w:uiPriority w:val="0"/>
    <w:pPr>
      <w:spacing w:line="240" w:lineRule="auto"/>
    </w:pPr>
    <w:rPr>
      <w:rFonts w:ascii="Tahoma" w:hAnsi="Tahoma"/>
    </w:rPr>
  </w:style>
  <w:style w:type="paragraph" w:customStyle="1" w:styleId="2573">
    <w:name w:val="样式 样式 左侧:  2 字符 段后: 0.5 行 + 首行缩进:  2 字符 段后: 0.5 行"/>
    <w:basedOn w:val="1"/>
    <w:qFormat/>
    <w:uiPriority w:val="0"/>
    <w:pPr>
      <w:spacing w:after="156"/>
      <w:ind w:firstLine="560" w:firstLineChars="200"/>
    </w:pPr>
    <w:rPr>
      <w:rFonts w:eastAsia="仿宋_GB2312"/>
      <w:sz w:val="28"/>
      <w:szCs w:val="20"/>
    </w:rPr>
  </w:style>
  <w:style w:type="paragraph" w:customStyle="1" w:styleId="2574">
    <w:name w:val="样式 表字五号 + 段前: 0.1 行 段后: 0.1 行"/>
    <w:basedOn w:val="1531"/>
    <w:qFormat/>
    <w:uiPriority w:val="0"/>
    <w:pPr>
      <w:spacing w:beforeLines="0" w:afterLines="0"/>
    </w:pPr>
    <w:rPr>
      <w:rFonts w:cs="宋体"/>
      <w:szCs w:val="21"/>
    </w:rPr>
  </w:style>
  <w:style w:type="paragraph" w:customStyle="1" w:styleId="2575">
    <w:name w:val="正文文字1"/>
    <w:basedOn w:val="1"/>
    <w:qFormat/>
    <w:uiPriority w:val="0"/>
    <w:pPr>
      <w:ind w:firstLine="480" w:firstLineChars="200"/>
    </w:pPr>
    <w:rPr>
      <w:rFonts w:ascii="宋体"/>
    </w:rPr>
  </w:style>
  <w:style w:type="paragraph" w:customStyle="1" w:styleId="2576">
    <w:name w:val="xl134"/>
    <w:basedOn w:val="1"/>
    <w:qFormat/>
    <w:uiPriority w:val="0"/>
    <w:pPr>
      <w:widowControl/>
      <w:spacing w:before="100" w:beforeAutospacing="1" w:after="100" w:afterAutospacing="1" w:line="240" w:lineRule="auto"/>
      <w:jc w:val="center"/>
    </w:pPr>
    <w:rPr>
      <w:rFonts w:ascii="宋体" w:hAnsi="宋体" w:cs="宋体"/>
      <w:kern w:val="0"/>
      <w:sz w:val="20"/>
      <w:szCs w:val="20"/>
    </w:rPr>
  </w:style>
  <w:style w:type="paragraph" w:customStyle="1" w:styleId="2577">
    <w:name w:val="CM69"/>
    <w:basedOn w:val="1345"/>
    <w:next w:val="1345"/>
    <w:qFormat/>
    <w:uiPriority w:val="0"/>
    <w:rPr>
      <w:rFonts w:ascii="黑体" w:eastAsia="黑体"/>
      <w:color w:val="auto"/>
    </w:rPr>
  </w:style>
  <w:style w:type="paragraph" w:customStyle="1" w:styleId="2578">
    <w:name w:val="xyb自建表格名称 Char Char"/>
    <w:basedOn w:val="1"/>
    <w:qFormat/>
    <w:uiPriority w:val="0"/>
    <w:pPr>
      <w:jc w:val="center"/>
    </w:pPr>
    <w:rPr>
      <w:rFonts w:ascii="宋体" w:hAnsi="宋体"/>
    </w:rPr>
  </w:style>
  <w:style w:type="paragraph" w:customStyle="1" w:styleId="2579">
    <w:name w:val="尾注文本2"/>
    <w:basedOn w:val="1511"/>
    <w:qFormat/>
    <w:uiPriority w:val="0"/>
    <w:pPr>
      <w:autoSpaceDE/>
      <w:autoSpaceDN/>
      <w:adjustRightInd w:val="0"/>
      <w:spacing w:after="0" w:line="360" w:lineRule="atLeast"/>
      <w:ind w:left="0" w:firstLine="0"/>
      <w:jc w:val="left"/>
      <w:textAlignment w:val="baseline"/>
    </w:pPr>
    <w:rPr>
      <w:rFonts w:ascii="宋体"/>
      <w:kern w:val="0"/>
      <w:sz w:val="21"/>
    </w:rPr>
  </w:style>
  <w:style w:type="paragraph" w:customStyle="1" w:styleId="2580">
    <w:name w:val="默认段落字体 Para Char"/>
    <w:basedOn w:val="1"/>
    <w:next w:val="1"/>
    <w:link w:val="3218"/>
    <w:qFormat/>
    <w:uiPriority w:val="0"/>
    <w:pPr>
      <w:ind w:firstLine="200" w:firstLineChars="200"/>
    </w:pPr>
    <w:rPr>
      <w:rFonts w:ascii="宋体" w:hAnsi="宋体" w:cs="宋体"/>
    </w:rPr>
  </w:style>
  <w:style w:type="paragraph" w:customStyle="1" w:styleId="2581">
    <w:name w:val="环正文"/>
    <w:basedOn w:val="1"/>
    <w:qFormat/>
    <w:uiPriority w:val="0"/>
    <w:pPr>
      <w:widowControl/>
      <w:tabs>
        <w:tab w:val="left" w:pos="5094"/>
      </w:tabs>
      <w:adjustRightInd w:val="0"/>
      <w:snapToGrid w:val="0"/>
      <w:spacing w:line="240" w:lineRule="auto"/>
      <w:ind w:firstLine="610" w:firstLineChars="218"/>
      <w:textAlignment w:val="baseline"/>
    </w:pPr>
    <w:rPr>
      <w:rFonts w:ascii="宋体" w:hAnsi="宋体"/>
      <w:color w:val="000000"/>
      <w:kern w:val="0"/>
      <w:sz w:val="28"/>
      <w:szCs w:val="28"/>
    </w:rPr>
  </w:style>
  <w:style w:type="paragraph" w:customStyle="1" w:styleId="2582">
    <w:name w:val="表内小4"/>
    <w:basedOn w:val="2583"/>
    <w:qFormat/>
    <w:uiPriority w:val="0"/>
    <w:pPr>
      <w:ind w:left="240" w:hanging="240"/>
    </w:pPr>
    <w:rPr>
      <w:sz w:val="18"/>
      <w:szCs w:val="18"/>
    </w:rPr>
  </w:style>
  <w:style w:type="paragraph" w:customStyle="1" w:styleId="2583">
    <w:name w:val="表内文字大"/>
    <w:basedOn w:val="1"/>
    <w:qFormat/>
    <w:uiPriority w:val="0"/>
    <w:pPr>
      <w:adjustRightInd w:val="0"/>
      <w:snapToGrid w:val="0"/>
      <w:spacing w:line="240" w:lineRule="auto"/>
      <w:ind w:left="-25"/>
    </w:pPr>
    <w:rPr>
      <w:sz w:val="21"/>
      <w:szCs w:val="21"/>
    </w:rPr>
  </w:style>
  <w:style w:type="paragraph" w:customStyle="1" w:styleId="2584">
    <w:name w:val="普通(网站)2"/>
    <w:basedOn w:val="1"/>
    <w:qFormat/>
    <w:uiPriority w:val="0"/>
    <w:pPr>
      <w:adjustRightInd w:val="0"/>
      <w:spacing w:line="240" w:lineRule="auto"/>
      <w:textAlignment w:val="baseline"/>
    </w:pPr>
    <w:rPr>
      <w:szCs w:val="20"/>
    </w:rPr>
  </w:style>
  <w:style w:type="paragraph" w:customStyle="1" w:styleId="2585">
    <w:name w:val="标题1样式"/>
    <w:basedOn w:val="5"/>
    <w:qFormat/>
    <w:uiPriority w:val="0"/>
    <w:pPr>
      <w:keepLines/>
      <w:widowControl/>
      <w:spacing w:line="500" w:lineRule="exact"/>
      <w:jc w:val="left"/>
    </w:pPr>
    <w:rPr>
      <w:rFonts w:eastAsia="黑体"/>
      <w:b/>
      <w:bCs/>
      <w:sz w:val="24"/>
      <w:szCs w:val="44"/>
    </w:rPr>
  </w:style>
  <w:style w:type="paragraph" w:customStyle="1" w:styleId="2586">
    <w:name w:val="样式 最新泸县焦化表格文字 + 升高量  3 磅"/>
    <w:basedOn w:val="2587"/>
    <w:qFormat/>
    <w:uiPriority w:val="0"/>
    <w:pPr>
      <w:jc w:val="center"/>
    </w:pPr>
    <w:rPr>
      <w:bCs w:val="0"/>
      <w:spacing w:val="-2"/>
      <w:kern w:val="0"/>
      <w:position w:val="6"/>
    </w:rPr>
  </w:style>
  <w:style w:type="paragraph" w:customStyle="1" w:styleId="2587">
    <w:name w:val="最新泸县焦化表格文字"/>
    <w:basedOn w:val="2588"/>
    <w:qFormat/>
    <w:uiPriority w:val="0"/>
    <w:pPr>
      <w:keepNext/>
      <w:keepLines/>
      <w:autoSpaceDE w:val="0"/>
      <w:autoSpaceDN w:val="0"/>
      <w:spacing w:line="240" w:lineRule="auto"/>
      <w:ind w:firstLine="0" w:firstLineChars="0"/>
    </w:pPr>
    <w:rPr>
      <w:bCs/>
      <w:szCs w:val="21"/>
    </w:rPr>
  </w:style>
  <w:style w:type="paragraph" w:customStyle="1" w:styleId="2588">
    <w:name w:val="样式 泸县焦化表格文字 +1"/>
    <w:basedOn w:val="1924"/>
    <w:qFormat/>
    <w:uiPriority w:val="0"/>
    <w:rPr>
      <w:sz w:val="21"/>
    </w:rPr>
  </w:style>
  <w:style w:type="paragraph" w:customStyle="1" w:styleId="2589">
    <w:name w:val="样式67"/>
    <w:basedOn w:val="6"/>
    <w:qFormat/>
    <w:uiPriority w:val="0"/>
    <w:pPr>
      <w:keepNext/>
      <w:keepLines/>
      <w:numPr>
        <w:ilvl w:val="0"/>
        <w:numId w:val="0"/>
      </w:numPr>
      <w:tabs>
        <w:tab w:val="left" w:pos="930"/>
        <w:tab w:val="clear" w:pos="-181"/>
      </w:tabs>
      <w:spacing w:before="0" w:beforeLines="0"/>
      <w:jc w:val="both"/>
      <w:textAlignment w:val="auto"/>
    </w:pPr>
    <w:rPr>
      <w:rFonts w:ascii="Arial" w:hAnsi="Arial"/>
      <w:b/>
      <w:bCs/>
      <w:kern w:val="2"/>
      <w:sz w:val="32"/>
      <w:szCs w:val="32"/>
    </w:rPr>
  </w:style>
  <w:style w:type="paragraph" w:customStyle="1" w:styleId="2590">
    <w:name w:val="et22"/>
    <w:basedOn w:val="1"/>
    <w:qFormat/>
    <w:uiPriority w:val="0"/>
    <w:pPr>
      <w:widowControl/>
      <w:pBdr>
        <w:bottom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591">
    <w:name w:val="奇数页脚注"/>
    <w:basedOn w:val="56"/>
    <w:qFormat/>
    <w:uiPriority w:val="0"/>
    <w:pPr>
      <w:keepLines/>
      <w:widowControl/>
      <w:tabs>
        <w:tab w:val="center" w:pos="7200"/>
        <w:tab w:val="right" w:pos="14400"/>
        <w:tab w:val="clear" w:pos="4153"/>
        <w:tab w:val="clear" w:pos="8306"/>
      </w:tabs>
      <w:overflowPunct w:val="0"/>
      <w:autoSpaceDE w:val="0"/>
      <w:autoSpaceDN w:val="0"/>
      <w:adjustRightInd w:val="0"/>
      <w:snapToGrid/>
      <w:jc w:val="center"/>
      <w:textAlignment w:val="baseline"/>
    </w:pPr>
    <w:rPr>
      <w:spacing w:val="80"/>
      <w:kern w:val="0"/>
      <w:sz w:val="20"/>
      <w:szCs w:val="20"/>
      <w:lang w:bidi="en-US"/>
    </w:rPr>
  </w:style>
  <w:style w:type="paragraph" w:customStyle="1" w:styleId="2592">
    <w:name w:val="正文-叶"/>
    <w:basedOn w:val="1"/>
    <w:qFormat/>
    <w:uiPriority w:val="0"/>
    <w:pPr>
      <w:topLinePunct/>
      <w:spacing w:line="312" w:lineRule="auto"/>
      <w:ind w:firstLine="465" w:firstLineChars="200"/>
    </w:pPr>
    <w:rPr>
      <w:szCs w:val="20"/>
    </w:rPr>
  </w:style>
  <w:style w:type="paragraph" w:customStyle="1" w:styleId="2593">
    <w:name w:val="Definition Term"/>
    <w:basedOn w:val="1"/>
    <w:next w:val="1"/>
    <w:qFormat/>
    <w:uiPriority w:val="0"/>
    <w:pPr>
      <w:autoSpaceDE w:val="0"/>
      <w:autoSpaceDN w:val="0"/>
      <w:adjustRightInd w:val="0"/>
      <w:spacing w:line="240" w:lineRule="auto"/>
      <w:jc w:val="left"/>
    </w:pPr>
    <w:rPr>
      <w:kern w:val="0"/>
      <w:szCs w:val="20"/>
    </w:rPr>
  </w:style>
  <w:style w:type="paragraph" w:customStyle="1" w:styleId="2594">
    <w:name w:val="样式 正文（首行缩进两字） Char1标题4 + 宋体 小四 首行缩进:  0.85 厘米"/>
    <w:basedOn w:val="1"/>
    <w:qFormat/>
    <w:uiPriority w:val="0"/>
    <w:pPr>
      <w:adjustRightInd w:val="0"/>
      <w:spacing w:line="440" w:lineRule="atLeast"/>
      <w:ind w:firstLine="482"/>
    </w:pPr>
    <w:rPr>
      <w:rFonts w:ascii="宋体" w:hAnsi="宋体" w:cs="宋体"/>
      <w:kern w:val="0"/>
      <w:szCs w:val="20"/>
    </w:rPr>
  </w:style>
  <w:style w:type="paragraph" w:customStyle="1" w:styleId="2595">
    <w:name w:val="杠式表格"/>
    <w:basedOn w:val="1"/>
    <w:qFormat/>
    <w:uiPriority w:val="0"/>
    <w:pPr>
      <w:adjustRightInd w:val="0"/>
      <w:spacing w:after="60" w:line="312" w:lineRule="atLeast"/>
      <w:jc w:val="center"/>
      <w:textAlignment w:val="baseline"/>
    </w:pPr>
    <w:rPr>
      <w:sz w:val="21"/>
      <w:szCs w:val="20"/>
    </w:rPr>
  </w:style>
  <w:style w:type="paragraph" w:customStyle="1" w:styleId="2596">
    <w:name w:val="样式 样式 样式 正文首行缩进 + 首行缩进:  2 字符 + 首行缩进:  2 字符 + 首行缩进:  2 字符"/>
    <w:basedOn w:val="1"/>
    <w:qFormat/>
    <w:uiPriority w:val="0"/>
    <w:pPr>
      <w:widowControl/>
      <w:tabs>
        <w:tab w:val="left" w:pos="628"/>
        <w:tab w:val="left" w:pos="1727"/>
        <w:tab w:val="left" w:pos="1884"/>
        <w:tab w:val="left" w:pos="2660"/>
        <w:tab w:val="left" w:pos="5460"/>
      </w:tabs>
      <w:autoSpaceDE w:val="0"/>
      <w:snapToGrid w:val="0"/>
      <w:ind w:firstLine="200" w:firstLineChars="200"/>
      <w:jc w:val="left"/>
    </w:pPr>
    <w:rPr>
      <w:rFonts w:ascii="宋体" w:cs="宋体"/>
      <w:snapToGrid w:val="0"/>
      <w:color w:val="000000"/>
      <w:kern w:val="0"/>
      <w:sz w:val="28"/>
      <w:szCs w:val="20"/>
    </w:rPr>
  </w:style>
  <w:style w:type="paragraph" w:customStyle="1" w:styleId="2597">
    <w:name w:val="二级无标题条"/>
    <w:basedOn w:val="1"/>
    <w:qFormat/>
    <w:uiPriority w:val="0"/>
    <w:pPr>
      <w:spacing w:line="240" w:lineRule="auto"/>
    </w:pPr>
    <w:rPr>
      <w:sz w:val="21"/>
    </w:rPr>
  </w:style>
  <w:style w:type="paragraph" w:customStyle="1" w:styleId="2598">
    <w:name w:val="样式 标题 4款标题1.1.1.1标题 4 Char标题 4 Char CharL4 + 宋体 小四 非加粗"/>
    <w:basedOn w:val="8"/>
    <w:qFormat/>
    <w:uiPriority w:val="0"/>
    <w:pPr>
      <w:keepLines/>
      <w:tabs>
        <w:tab w:val="clear" w:pos="864"/>
      </w:tabs>
      <w:spacing w:before="120" w:after="120" w:line="377" w:lineRule="auto"/>
      <w:ind w:left="0" w:firstLine="0"/>
      <w:jc w:val="both"/>
    </w:pPr>
    <w:rPr>
      <w:rFonts w:ascii="宋体" w:hAnsi="宋体" w:eastAsia="黑体"/>
      <w:bCs w:val="0"/>
    </w:rPr>
  </w:style>
  <w:style w:type="paragraph" w:customStyle="1" w:styleId="2599">
    <w:name w:val="图文框"/>
    <w:basedOn w:val="1"/>
    <w:qFormat/>
    <w:uiPriority w:val="0"/>
    <w:pPr>
      <w:snapToGrid w:val="0"/>
      <w:spacing w:line="240" w:lineRule="auto"/>
      <w:jc w:val="center"/>
    </w:pPr>
    <w:rPr>
      <w:rFonts w:eastAsia="黑体"/>
      <w:color w:val="000000"/>
      <w:sz w:val="21"/>
      <w:szCs w:val="21"/>
    </w:rPr>
  </w:style>
  <w:style w:type="paragraph" w:customStyle="1" w:styleId="2600">
    <w:name w:val="正文s+红色"/>
    <w:basedOn w:val="1"/>
    <w:qFormat/>
    <w:uiPriority w:val="0"/>
    <w:pPr>
      <w:ind w:firstLine="480" w:firstLineChars="200"/>
    </w:pPr>
    <w:rPr>
      <w:rFonts w:cs="宋体"/>
      <w:color w:val="FF0000"/>
      <w:kern w:val="0"/>
    </w:rPr>
  </w:style>
  <w:style w:type="paragraph" w:customStyle="1" w:styleId="2601">
    <w:name w:val="Char Char2 Char Char Char Char Char Char Char Char Char Char"/>
    <w:basedOn w:val="1"/>
    <w:qFormat/>
    <w:uiPriority w:val="0"/>
    <w:pPr>
      <w:ind w:firstLine="200" w:firstLineChars="200"/>
    </w:pPr>
    <w:rPr>
      <w:rFonts w:ascii="宋体" w:hAnsi="宋体" w:cs="宋体"/>
      <w:szCs w:val="28"/>
    </w:rPr>
  </w:style>
  <w:style w:type="paragraph" w:customStyle="1" w:styleId="2602">
    <w:name w:val="正文 1"/>
    <w:basedOn w:val="1"/>
    <w:qFormat/>
    <w:uiPriority w:val="0"/>
    <w:pPr>
      <w:spacing w:line="480" w:lineRule="exact"/>
      <w:ind w:firstLine="567"/>
    </w:pPr>
    <w:rPr>
      <w:sz w:val="28"/>
    </w:rPr>
  </w:style>
  <w:style w:type="paragraph" w:customStyle="1" w:styleId="2603">
    <w:name w:val="小5级"/>
    <w:basedOn w:val="1"/>
    <w:qFormat/>
    <w:uiPriority w:val="0"/>
    <w:pPr>
      <w:spacing w:line="500" w:lineRule="exact"/>
      <w:ind w:firstLine="200" w:firstLineChars="200"/>
    </w:pPr>
    <w:rPr>
      <w:rFonts w:ascii="宋体" w:hAnsi="宋体"/>
      <w:b/>
      <w:snapToGrid w:val="0"/>
    </w:rPr>
  </w:style>
  <w:style w:type="paragraph" w:customStyle="1" w:styleId="2604">
    <w:name w:val="段标题"/>
    <w:basedOn w:val="1"/>
    <w:next w:val="1"/>
    <w:qFormat/>
    <w:uiPriority w:val="0"/>
    <w:pPr>
      <w:spacing w:line="240" w:lineRule="auto"/>
      <w:ind w:firstLine="200" w:firstLineChars="200"/>
      <w:jc w:val="left"/>
      <w:outlineLvl w:val="2"/>
    </w:pPr>
    <w:rPr>
      <w:rFonts w:ascii="宋体" w:hAnsi="宋体"/>
      <w:bCs/>
      <w:kern w:val="0"/>
      <w:sz w:val="28"/>
      <w:szCs w:val="28"/>
    </w:rPr>
  </w:style>
  <w:style w:type="paragraph" w:customStyle="1" w:styleId="2605">
    <w:name w:val="Document Label"/>
    <w:basedOn w:val="1"/>
    <w:next w:val="1"/>
    <w:qFormat/>
    <w:uiPriority w:val="0"/>
    <w:pPr>
      <w:widowControl/>
      <w:spacing w:after="220" w:line="240" w:lineRule="auto"/>
      <w:ind w:right="-360"/>
    </w:pPr>
    <w:rPr>
      <w:spacing w:val="-20"/>
      <w:kern w:val="0"/>
      <w:sz w:val="48"/>
      <w:szCs w:val="20"/>
    </w:rPr>
  </w:style>
  <w:style w:type="paragraph" w:customStyle="1" w:styleId="2606">
    <w:name w:val="(一)內文"/>
    <w:basedOn w:val="1"/>
    <w:qFormat/>
    <w:uiPriority w:val="0"/>
    <w:pPr>
      <w:snapToGrid w:val="0"/>
      <w:spacing w:line="480" w:lineRule="atLeast"/>
      <w:ind w:left="1202" w:firstLine="601"/>
    </w:pPr>
    <w:rPr>
      <w:rFonts w:eastAsia="DFKai-SB"/>
      <w:sz w:val="28"/>
      <w:szCs w:val="20"/>
      <w:lang w:eastAsia="zh-TW"/>
    </w:rPr>
  </w:style>
  <w:style w:type="paragraph" w:customStyle="1" w:styleId="2607">
    <w:name w:val="et30"/>
    <w:basedOn w:val="1"/>
    <w:qFormat/>
    <w:uiPriority w:val="0"/>
    <w:pPr>
      <w:widowControl/>
      <w:pBdr>
        <w:top w:val="single" w:color="000000" w:sz="18" w:space="0"/>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608">
    <w:name w:val="样式22"/>
    <w:basedOn w:val="703"/>
    <w:qFormat/>
    <w:uiPriority w:val="0"/>
    <w:pPr>
      <w:adjustRightInd/>
      <w:snapToGrid/>
      <w:spacing w:after="0" w:line="240" w:lineRule="auto"/>
      <w:ind w:left="0" w:firstLine="475" w:firstLineChars="200"/>
      <w:outlineLvl w:val="9"/>
    </w:pPr>
    <w:rPr>
      <w:rFonts w:eastAsia="华文中宋"/>
      <w:bCs w:val="0"/>
      <w:sz w:val="24"/>
      <w:szCs w:val="24"/>
      <w:lang w:val="en-US"/>
    </w:rPr>
  </w:style>
  <w:style w:type="paragraph" w:customStyle="1" w:styleId="2609">
    <w:name w:val="xl102"/>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610">
    <w:name w:val="样式 标题 4h441.1.1.1标题 4 Char可研-标题 4H4H41款常用标题 4款标题款标题1...."/>
    <w:basedOn w:val="8"/>
    <w:qFormat/>
    <w:uiPriority w:val="0"/>
    <w:pPr>
      <w:keepLines/>
      <w:tabs>
        <w:tab w:val="left" w:pos="288"/>
        <w:tab w:val="left" w:pos="1080"/>
        <w:tab w:val="clear" w:pos="864"/>
      </w:tabs>
      <w:adjustRightInd w:val="0"/>
      <w:jc w:val="left"/>
      <w:textAlignment w:val="baseline"/>
    </w:pPr>
    <w:rPr>
      <w:rFonts w:eastAsia="黑体"/>
      <w:b w:val="0"/>
      <w:bCs w:val="0"/>
    </w:rPr>
  </w:style>
  <w:style w:type="paragraph" w:customStyle="1" w:styleId="2611">
    <w:name w:val="xl115"/>
    <w:basedOn w:val="1"/>
    <w:qFormat/>
    <w:uiPriority w:val="0"/>
    <w:pPr>
      <w:widowControl/>
      <w:pBdr>
        <w:top w:val="single" w:color="auto" w:sz="4" w:space="0"/>
        <w:bottom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612">
    <w:name w:val="河石管道 表名"/>
    <w:qFormat/>
    <w:uiPriority w:val="0"/>
    <w:pPr>
      <w:widowControl w:val="0"/>
      <w:spacing w:beforeLines="50"/>
      <w:jc w:val="center"/>
    </w:pPr>
    <w:rPr>
      <w:rFonts w:ascii="宋体" w:hAnsi="宋体" w:eastAsia="宋体" w:cs="Times New Roman"/>
      <w:b/>
      <w:snapToGrid w:val="0"/>
      <w:kern w:val="2"/>
      <w:sz w:val="21"/>
      <w:szCs w:val="20"/>
      <w:lang w:val="en-US" w:eastAsia="zh-CN" w:bidi="ar-SA"/>
    </w:rPr>
  </w:style>
  <w:style w:type="paragraph" w:customStyle="1" w:styleId="2613">
    <w:name w:val="样式 标题 2 + 段前: 0.5 行3"/>
    <w:basedOn w:val="6"/>
    <w:qFormat/>
    <w:uiPriority w:val="0"/>
    <w:pPr>
      <w:numPr>
        <w:ilvl w:val="0"/>
        <w:numId w:val="0"/>
      </w:numPr>
      <w:tabs>
        <w:tab w:val="left" w:pos="540"/>
        <w:tab w:val="clear" w:pos="-181"/>
      </w:tabs>
      <w:adjustRightInd/>
      <w:spacing w:before="50" w:beforeLines="0"/>
      <w:ind w:left="567" w:hanging="540"/>
      <w:jc w:val="both"/>
      <w:textAlignment w:val="auto"/>
    </w:pPr>
    <w:rPr>
      <w:rFonts w:cs="宋体"/>
      <w:b/>
      <w:bCs/>
      <w:kern w:val="2"/>
      <w:sz w:val="24"/>
      <w:szCs w:val="20"/>
    </w:rPr>
  </w:style>
  <w:style w:type="paragraph" w:customStyle="1" w:styleId="2614">
    <w:name w:val="font13"/>
    <w:basedOn w:val="1"/>
    <w:qFormat/>
    <w:uiPriority w:val="0"/>
    <w:pPr>
      <w:widowControl/>
      <w:spacing w:before="100" w:beforeAutospacing="1" w:after="100" w:afterAutospacing="1"/>
      <w:ind w:firstLine="200" w:firstLineChars="200"/>
      <w:jc w:val="left"/>
    </w:pPr>
    <w:rPr>
      <w:rFonts w:eastAsia="Arial Unicode MS"/>
      <w:i/>
      <w:iCs/>
      <w:kern w:val="0"/>
    </w:rPr>
  </w:style>
  <w:style w:type="paragraph" w:customStyle="1" w:styleId="2615">
    <w:name w:val="二级标题 Char Char Char"/>
    <w:basedOn w:val="1"/>
    <w:next w:val="1"/>
    <w:qFormat/>
    <w:uiPriority w:val="0"/>
    <w:pPr>
      <w:spacing w:line="240" w:lineRule="auto"/>
      <w:ind w:firstLine="200" w:firstLineChars="200"/>
    </w:pPr>
    <w:rPr>
      <w:rFonts w:ascii="宋体" w:hAnsi="宋体" w:cs="宋体"/>
    </w:rPr>
  </w:style>
  <w:style w:type="paragraph" w:customStyle="1" w:styleId="2616">
    <w:name w:val="正文表格"/>
    <w:basedOn w:val="1"/>
    <w:qFormat/>
    <w:uiPriority w:val="0"/>
    <w:pPr>
      <w:keepNext/>
      <w:keepLines/>
      <w:overflowPunct w:val="0"/>
      <w:adjustRightInd w:val="0"/>
      <w:spacing w:before="80" w:line="240" w:lineRule="auto"/>
      <w:jc w:val="center"/>
      <w:textAlignment w:val="bottom"/>
    </w:pPr>
    <w:rPr>
      <w:kern w:val="0"/>
      <w:sz w:val="28"/>
      <w:szCs w:val="20"/>
    </w:rPr>
  </w:style>
  <w:style w:type="paragraph" w:customStyle="1" w:styleId="2617">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618">
    <w:name w:val="样式 正文缩进 + 小四 首行缩进:  2 字符1"/>
    <w:basedOn w:val="23"/>
    <w:qFormat/>
    <w:uiPriority w:val="0"/>
    <w:pPr>
      <w:keepNext/>
      <w:tabs>
        <w:tab w:val="left" w:pos="1727"/>
        <w:tab w:val="left" w:pos="1884"/>
      </w:tabs>
      <w:spacing w:line="360" w:lineRule="auto"/>
      <w:ind w:firstLine="480" w:firstLineChars="200"/>
      <w:jc w:val="left"/>
      <w:outlineLvl w:val="0"/>
    </w:pPr>
    <w:rPr>
      <w:rFonts w:ascii="宋体" w:hAnsi="宋体" w:cs="宋体"/>
      <w:snapToGrid w:val="0"/>
      <w:color w:val="000000"/>
      <w:spacing w:val="4"/>
      <w:kern w:val="0"/>
      <w:sz w:val="28"/>
      <w:szCs w:val="24"/>
    </w:rPr>
  </w:style>
  <w:style w:type="paragraph" w:customStyle="1" w:styleId="2619">
    <w:name w:val="样式 正文 首行缩进:  2 字符 SL CON + 首行缩进:  2 字符"/>
    <w:basedOn w:val="1"/>
    <w:qFormat/>
    <w:uiPriority w:val="0"/>
    <w:pPr>
      <w:widowControl/>
      <w:tabs>
        <w:tab w:val="left" w:pos="377"/>
      </w:tabs>
      <w:ind w:firstLine="480" w:firstLineChars="200"/>
    </w:pPr>
    <w:rPr>
      <w:rFonts w:hint="eastAsia" w:ascii="宋体"/>
      <w:kern w:val="0"/>
      <w:szCs w:val="20"/>
    </w:rPr>
  </w:style>
  <w:style w:type="paragraph" w:customStyle="1" w:styleId="2620">
    <w:name w:val="区划正文"/>
    <w:basedOn w:val="1"/>
    <w:qFormat/>
    <w:uiPriority w:val="0"/>
    <w:pPr>
      <w:snapToGrid w:val="0"/>
      <w:spacing w:line="240" w:lineRule="auto"/>
    </w:pPr>
    <w:rPr>
      <w:rFonts w:cs="宋体"/>
      <w:sz w:val="21"/>
      <w:szCs w:val="20"/>
    </w:rPr>
  </w:style>
  <w:style w:type="paragraph" w:customStyle="1" w:styleId="2621">
    <w:name w:val="表文左对齐"/>
    <w:basedOn w:val="1"/>
    <w:qFormat/>
    <w:uiPriority w:val="0"/>
    <w:pPr>
      <w:spacing w:line="240" w:lineRule="auto"/>
      <w:jc w:val="left"/>
    </w:pPr>
    <w:rPr>
      <w:rFonts w:eastAsia="仿宋_GB2312"/>
      <w:sz w:val="21"/>
      <w:szCs w:val="20"/>
    </w:rPr>
  </w:style>
  <w:style w:type="paragraph" w:customStyle="1" w:styleId="2622">
    <w:name w:val="Char Char Char1 Char11"/>
    <w:basedOn w:val="1"/>
    <w:qFormat/>
    <w:uiPriority w:val="0"/>
    <w:pPr>
      <w:adjustRightInd w:val="0"/>
      <w:snapToGrid w:val="0"/>
      <w:spacing w:line="240" w:lineRule="auto"/>
      <w:ind w:left="-45"/>
    </w:pPr>
    <w:rPr>
      <w:sz w:val="21"/>
    </w:rPr>
  </w:style>
  <w:style w:type="paragraph" w:customStyle="1" w:styleId="2623">
    <w:name w:val="正文缩进（自定义） Char Char Char"/>
    <w:basedOn w:val="1"/>
    <w:qFormat/>
    <w:uiPriority w:val="0"/>
    <w:pPr>
      <w:spacing w:before="120" w:after="120"/>
      <w:ind w:firstLine="480" w:firstLineChars="200"/>
    </w:pPr>
    <w:rPr>
      <w:rFonts w:ascii="Century Gothic" w:hAnsi="Century Gothic" w:cs="宋体"/>
      <w:kern w:val="0"/>
    </w:rPr>
  </w:style>
  <w:style w:type="paragraph" w:customStyle="1" w:styleId="2624">
    <w:name w:val="样式 标题 1章章标题 + 黑体 三号 加粗 黑色 段前: 12 磅 段后: 12 磅 行距: 多倍行距 1.7..."/>
    <w:basedOn w:val="5"/>
    <w:qFormat/>
    <w:uiPriority w:val="0"/>
    <w:pPr>
      <w:spacing w:before="240" w:after="240" w:line="415" w:lineRule="auto"/>
    </w:pPr>
    <w:rPr>
      <w:rFonts w:ascii="黑体" w:hAnsi="Times New Roman" w:eastAsia="黑体" w:cs="宋体"/>
      <w:b/>
      <w:bCs/>
      <w:color w:val="000000"/>
      <w:kern w:val="44"/>
      <w:sz w:val="32"/>
      <w:szCs w:val="20"/>
    </w:rPr>
  </w:style>
  <w:style w:type="paragraph" w:customStyle="1" w:styleId="2625">
    <w:name w:val="Puce2-8pts"/>
    <w:basedOn w:val="1"/>
    <w:qFormat/>
    <w:uiPriority w:val="0"/>
    <w:pPr>
      <w:keepLines/>
      <w:widowControl/>
      <w:tabs>
        <w:tab w:val="left" w:pos="-283"/>
        <w:tab w:val="left" w:pos="1280"/>
      </w:tabs>
      <w:spacing w:before="160" w:line="240" w:lineRule="auto"/>
      <w:ind w:left="1701" w:hanging="720"/>
    </w:pPr>
    <w:rPr>
      <w:rFonts w:ascii="Arial" w:hAnsi="Arial"/>
      <w:kern w:val="0"/>
      <w:sz w:val="20"/>
      <w:szCs w:val="20"/>
      <w:lang w:eastAsia="fr-FR"/>
    </w:rPr>
  </w:style>
  <w:style w:type="paragraph" w:customStyle="1" w:styleId="2626">
    <w:name w:val="样式 (符号) 宋体 四号 左 行距: 1.5 倍行距"/>
    <w:basedOn w:val="1"/>
    <w:qFormat/>
    <w:uiPriority w:val="0"/>
    <w:pPr>
      <w:ind w:firstLine="560" w:firstLineChars="200"/>
      <w:jc w:val="left"/>
    </w:pPr>
    <w:rPr>
      <w:rFonts w:ascii="宋体" w:hAnsi="宋体" w:cs="宋体"/>
      <w:sz w:val="28"/>
      <w:szCs w:val="20"/>
    </w:rPr>
  </w:style>
  <w:style w:type="paragraph" w:customStyle="1" w:styleId="2627">
    <w:name w:val="Char Char Char Char Char Char1 Char"/>
    <w:basedOn w:val="1"/>
    <w:qFormat/>
    <w:uiPriority w:val="0"/>
    <w:pPr>
      <w:spacing w:line="240" w:lineRule="auto"/>
    </w:pPr>
    <w:rPr>
      <w:sz w:val="21"/>
    </w:rPr>
  </w:style>
  <w:style w:type="paragraph" w:customStyle="1" w:styleId="2628">
    <w:name w:val="CM127"/>
    <w:basedOn w:val="1345"/>
    <w:next w:val="1345"/>
    <w:qFormat/>
    <w:uiPriority w:val="0"/>
    <w:pPr>
      <w:spacing w:after="115"/>
    </w:pPr>
    <w:rPr>
      <w:rFonts w:ascii="·..." w:eastAsia="·..." w:cs="·..."/>
      <w:color w:val="auto"/>
    </w:rPr>
  </w:style>
  <w:style w:type="paragraph" w:customStyle="1" w:styleId="2629">
    <w:name w:val="样式 首行缩进:  2 字符"/>
    <w:basedOn w:val="1"/>
    <w:qFormat/>
    <w:uiPriority w:val="0"/>
    <w:pPr>
      <w:spacing w:line="240" w:lineRule="auto"/>
      <w:ind w:firstLine="506" w:firstLineChars="200"/>
    </w:pPr>
    <w:rPr>
      <w:rFonts w:cs="宋体"/>
      <w:szCs w:val="20"/>
    </w:rPr>
  </w:style>
  <w:style w:type="paragraph" w:customStyle="1" w:styleId="2630">
    <w:name w:val="正文文本4"/>
    <w:basedOn w:val="1"/>
    <w:next w:val="1"/>
    <w:qFormat/>
    <w:uiPriority w:val="0"/>
    <w:pPr>
      <w:widowControl/>
      <w:autoSpaceDE w:val="0"/>
      <w:autoSpaceDN w:val="0"/>
      <w:adjustRightInd w:val="0"/>
      <w:spacing w:before="60" w:after="60" w:line="240" w:lineRule="auto"/>
      <w:jc w:val="left"/>
    </w:pPr>
    <w:rPr>
      <w:rFonts w:ascii="宋体"/>
      <w:kern w:val="0"/>
      <w:lang w:eastAsia="en-US"/>
    </w:rPr>
  </w:style>
  <w:style w:type="paragraph" w:customStyle="1" w:styleId="2631">
    <w:name w:val="Job Title"/>
    <w:next w:val="1807"/>
    <w:qFormat/>
    <w:uiPriority w:val="0"/>
    <w:pPr>
      <w:spacing w:after="40" w:line="220" w:lineRule="atLeast"/>
      <w:jc w:val="both"/>
    </w:pPr>
    <w:rPr>
      <w:rFonts w:ascii="Arial" w:hAnsi="Arial" w:eastAsia="宋体" w:cs="Times New Roman"/>
      <w:b/>
      <w:spacing w:val="-10"/>
      <w:kern w:val="0"/>
      <w:sz w:val="20"/>
      <w:szCs w:val="20"/>
      <w:lang w:val="en-US" w:eastAsia="zh-CN" w:bidi="ar-SA"/>
    </w:rPr>
  </w:style>
  <w:style w:type="paragraph" w:customStyle="1" w:styleId="2632">
    <w:name w:val="Char Char2 Char"/>
    <w:basedOn w:val="1"/>
    <w:qFormat/>
    <w:uiPriority w:val="0"/>
    <w:pPr>
      <w:spacing w:line="240" w:lineRule="auto"/>
    </w:pPr>
    <w:rPr>
      <w:sz w:val="21"/>
      <w:szCs w:val="20"/>
    </w:rPr>
  </w:style>
  <w:style w:type="paragraph" w:customStyle="1" w:styleId="2633">
    <w:name w:val="样式 表名1 + 段前: 0.3 行1"/>
    <w:basedOn w:val="2634"/>
    <w:qFormat/>
    <w:uiPriority w:val="0"/>
    <w:rPr>
      <w:rFonts w:cs="宋体"/>
      <w:bCs w:val="0"/>
    </w:rPr>
  </w:style>
  <w:style w:type="paragraph" w:customStyle="1" w:styleId="2634">
    <w:name w:val="表名1"/>
    <w:basedOn w:val="1"/>
    <w:qFormat/>
    <w:uiPriority w:val="0"/>
    <w:pPr>
      <w:adjustRightInd w:val="0"/>
      <w:snapToGrid w:val="0"/>
      <w:spacing w:beforeLines="30" w:line="300" w:lineRule="auto"/>
      <w:jc w:val="center"/>
    </w:pPr>
    <w:rPr>
      <w:rFonts w:eastAsia="黑体"/>
      <w:bCs/>
    </w:rPr>
  </w:style>
  <w:style w:type="paragraph" w:customStyle="1" w:styleId="2635">
    <w:name w:val="xl46"/>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top"/>
    </w:pPr>
    <w:rPr>
      <w:rFonts w:eastAsia="Arial Unicode MS"/>
      <w:color w:val="FF0000"/>
      <w:kern w:val="0"/>
      <w:sz w:val="21"/>
      <w:szCs w:val="21"/>
    </w:rPr>
  </w:style>
  <w:style w:type="paragraph" w:customStyle="1" w:styleId="2636">
    <w:name w:val="尾注文本3"/>
    <w:basedOn w:val="1"/>
    <w:qFormat/>
    <w:uiPriority w:val="0"/>
    <w:pPr>
      <w:adjustRightInd w:val="0"/>
      <w:spacing w:line="360" w:lineRule="atLeast"/>
      <w:textAlignment w:val="baseline"/>
    </w:pPr>
    <w:rPr>
      <w:rFonts w:ascii="宋体" w:cs="宋体"/>
      <w:color w:val="000000"/>
      <w:kern w:val="0"/>
      <w:sz w:val="21"/>
      <w:szCs w:val="20"/>
    </w:rPr>
  </w:style>
  <w:style w:type="paragraph" w:customStyle="1" w:styleId="2637">
    <w:name w:val="mediumtxt"/>
    <w:basedOn w:val="1"/>
    <w:qFormat/>
    <w:uiPriority w:val="0"/>
    <w:pPr>
      <w:widowControl/>
      <w:tabs>
        <w:tab w:val="left" w:pos="840"/>
      </w:tabs>
      <w:spacing w:before="100" w:beforeAutospacing="1" w:after="100" w:afterAutospacing="1" w:line="240" w:lineRule="auto"/>
      <w:jc w:val="left"/>
    </w:pPr>
    <w:rPr>
      <w:rFonts w:ascii="Tahoma" w:hAnsi="Tahoma" w:cs="Tahoma"/>
      <w:color w:val="000000"/>
      <w:kern w:val="0"/>
      <w:sz w:val="20"/>
      <w:szCs w:val="20"/>
    </w:rPr>
  </w:style>
  <w:style w:type="paragraph" w:customStyle="1" w:styleId="2638">
    <w:name w:val="中文表标题"/>
    <w:basedOn w:val="1"/>
    <w:next w:val="1"/>
    <w:qFormat/>
    <w:uiPriority w:val="0"/>
    <w:pPr>
      <w:keepNext/>
      <w:widowControl/>
      <w:overflowPunct w:val="0"/>
      <w:adjustRightInd w:val="0"/>
      <w:snapToGrid w:val="0"/>
      <w:spacing w:before="480" w:after="360" w:line="500" w:lineRule="exact"/>
      <w:jc w:val="center"/>
      <w:textAlignment w:val="baseline"/>
    </w:pPr>
    <w:rPr>
      <w:kern w:val="0"/>
      <w:sz w:val="28"/>
      <w:szCs w:val="20"/>
    </w:rPr>
  </w:style>
  <w:style w:type="paragraph" w:customStyle="1" w:styleId="2639">
    <w:name w:val="Indent1"/>
    <w:basedOn w:val="1"/>
    <w:qFormat/>
    <w:uiPriority w:val="0"/>
    <w:pPr>
      <w:overflowPunct w:val="0"/>
      <w:autoSpaceDE w:val="0"/>
      <w:autoSpaceDN w:val="0"/>
      <w:adjustRightInd w:val="0"/>
      <w:spacing w:line="240" w:lineRule="auto"/>
      <w:ind w:left="1440" w:hanging="720"/>
      <w:jc w:val="left"/>
      <w:textAlignment w:val="baseline"/>
    </w:pPr>
    <w:rPr>
      <w:rFonts w:ascii="Arial" w:hAnsi="Arial"/>
      <w:kern w:val="0"/>
      <w:sz w:val="22"/>
      <w:szCs w:val="20"/>
    </w:rPr>
  </w:style>
  <w:style w:type="paragraph" w:customStyle="1" w:styleId="2640">
    <w:name w:val="Char Char Char3 Char Char Char1"/>
    <w:basedOn w:val="1"/>
    <w:qFormat/>
    <w:uiPriority w:val="0"/>
    <w:pPr>
      <w:spacing w:line="240" w:lineRule="auto"/>
    </w:pPr>
    <w:rPr>
      <w:sz w:val="21"/>
      <w:szCs w:val="20"/>
    </w:rPr>
  </w:style>
  <w:style w:type="paragraph" w:customStyle="1" w:styleId="2641">
    <w:name w:val="Char6 Char Char Char Char Char Char Char Char Char1"/>
    <w:basedOn w:val="1"/>
    <w:qFormat/>
    <w:uiPriority w:val="0"/>
    <w:pPr>
      <w:spacing w:line="240" w:lineRule="auto"/>
    </w:pPr>
    <w:rPr>
      <w:rFonts w:ascii="宋体" w:hAnsi="宋体"/>
      <w:color w:val="000000"/>
      <w:sz w:val="28"/>
      <w:szCs w:val="20"/>
    </w:rPr>
  </w:style>
  <w:style w:type="paragraph" w:customStyle="1" w:styleId="2642">
    <w:name w:val="Char2 Char Char Char Char Char Char Char4"/>
    <w:basedOn w:val="1"/>
    <w:qFormat/>
    <w:uiPriority w:val="0"/>
    <w:pPr>
      <w:autoSpaceDE w:val="0"/>
      <w:autoSpaceDN w:val="0"/>
      <w:adjustRightInd w:val="0"/>
      <w:snapToGrid w:val="0"/>
      <w:spacing w:before="50" w:after="50"/>
      <w:ind w:firstLine="560" w:firstLineChars="200"/>
    </w:pPr>
    <w:rPr>
      <w:rFonts w:eastAsia="仿宋_GB2312"/>
      <w:color w:val="000000"/>
      <w:szCs w:val="20"/>
    </w:rPr>
  </w:style>
  <w:style w:type="paragraph" w:customStyle="1" w:styleId="264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sz w:val="21"/>
      <w:szCs w:val="21"/>
    </w:rPr>
  </w:style>
  <w:style w:type="paragraph" w:customStyle="1" w:styleId="2644">
    <w:name w:val="表文1"/>
    <w:basedOn w:val="531"/>
    <w:qFormat/>
    <w:uiPriority w:val="0"/>
    <w:pPr>
      <w:adjustRightInd/>
      <w:snapToGrid/>
      <w:spacing w:line="500" w:lineRule="exact"/>
      <w:jc w:val="both"/>
    </w:pPr>
    <w:rPr>
      <w:rFonts w:ascii="CG Times" w:hAnsi="CG Times"/>
      <w:spacing w:val="4"/>
      <w:sz w:val="21"/>
    </w:rPr>
  </w:style>
  <w:style w:type="paragraph" w:customStyle="1" w:styleId="2645">
    <w:name w:val="左五"/>
    <w:basedOn w:val="1"/>
    <w:qFormat/>
    <w:uiPriority w:val="0"/>
    <w:pPr>
      <w:adjustRightInd w:val="0"/>
      <w:snapToGrid w:val="0"/>
      <w:spacing w:line="280" w:lineRule="exact"/>
    </w:pPr>
    <w:rPr>
      <w:rFonts w:ascii="宋体" w:hAnsi="Symusic" w:cs="宋体"/>
      <w:color w:val="000000"/>
      <w:sz w:val="18"/>
    </w:rPr>
  </w:style>
  <w:style w:type="paragraph" w:customStyle="1" w:styleId="2646">
    <w:name w:val="列表名称 Char Char Char Char"/>
    <w:basedOn w:val="1"/>
    <w:qFormat/>
    <w:uiPriority w:val="0"/>
    <w:pPr>
      <w:tabs>
        <w:tab w:val="left" w:pos="3777"/>
        <w:tab w:val="left" w:pos="5106"/>
        <w:tab w:val="left" w:pos="6313"/>
        <w:tab w:val="left" w:pos="7998"/>
        <w:tab w:val="left" w:pos="9238"/>
      </w:tabs>
      <w:spacing w:line="480" w:lineRule="exact"/>
      <w:jc w:val="center"/>
    </w:pPr>
    <w:rPr>
      <w:rFonts w:eastAsia="黑体"/>
      <w:bCs/>
    </w:rPr>
  </w:style>
  <w:style w:type="paragraph" w:customStyle="1" w:styleId="2647">
    <w:name w:val="正文-使用"/>
    <w:basedOn w:val="1"/>
    <w:qFormat/>
    <w:uiPriority w:val="0"/>
    <w:pPr>
      <w:ind w:firstLine="482"/>
    </w:pPr>
    <w:rPr>
      <w:szCs w:val="20"/>
    </w:rPr>
  </w:style>
  <w:style w:type="paragraph" w:customStyle="1" w:styleId="2648">
    <w:name w:val="Char Char Char1 Char12"/>
    <w:basedOn w:val="1"/>
    <w:qFormat/>
    <w:uiPriority w:val="0"/>
    <w:pPr>
      <w:adjustRightInd w:val="0"/>
      <w:snapToGrid w:val="0"/>
      <w:spacing w:line="240" w:lineRule="auto"/>
      <w:ind w:left="-45"/>
    </w:pPr>
    <w:rPr>
      <w:sz w:val="21"/>
    </w:rPr>
  </w:style>
  <w:style w:type="paragraph" w:customStyle="1" w:styleId="2649">
    <w:name w:val="Char Char Char Char Char Char1"/>
    <w:basedOn w:val="1"/>
    <w:qFormat/>
    <w:uiPriority w:val="0"/>
    <w:pPr>
      <w:spacing w:line="240" w:lineRule="auto"/>
    </w:pPr>
    <w:rPr>
      <w:rFonts w:eastAsia="仿宋_GB2312"/>
    </w:rPr>
  </w:style>
  <w:style w:type="paragraph" w:customStyle="1" w:styleId="2650">
    <w:name w:val="xyb自建正文 Char Char Char"/>
    <w:basedOn w:val="1"/>
    <w:qFormat/>
    <w:uiPriority w:val="0"/>
    <w:pPr>
      <w:tabs>
        <w:tab w:val="left" w:pos="7920"/>
      </w:tabs>
      <w:spacing w:beforeLines="50" w:afterLines="50"/>
      <w:ind w:firstLine="480" w:firstLineChars="200"/>
    </w:pPr>
    <w:rPr>
      <w:rFonts w:ascii="宋体" w:hAnsi="宋体"/>
    </w:rPr>
  </w:style>
  <w:style w:type="paragraph" w:customStyle="1" w:styleId="2651">
    <w:name w:val="xl9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652">
    <w:name w:val="样式 (中文) 黑体"/>
    <w:basedOn w:val="1"/>
    <w:qFormat/>
    <w:uiPriority w:val="0"/>
    <w:pPr>
      <w:spacing w:line="480" w:lineRule="exact"/>
      <w:ind w:firstLine="567"/>
    </w:pPr>
    <w:rPr>
      <w:rFonts w:eastAsia="黑体" w:cs="宋体"/>
      <w:kern w:val="0"/>
      <w:szCs w:val="20"/>
    </w:rPr>
  </w:style>
  <w:style w:type="paragraph" w:customStyle="1" w:styleId="2653">
    <w:name w:val="MFS表格表头"/>
    <w:basedOn w:val="1"/>
    <w:qFormat/>
    <w:uiPriority w:val="0"/>
    <w:pPr>
      <w:spacing w:before="156" w:beforeLines="50" w:line="240" w:lineRule="auto"/>
      <w:jc w:val="center"/>
    </w:pPr>
    <w:rPr>
      <w:rFonts w:ascii="黑体" w:eastAsia="黑体"/>
      <w:sz w:val="21"/>
      <w:szCs w:val="21"/>
    </w:rPr>
  </w:style>
  <w:style w:type="paragraph" w:customStyle="1" w:styleId="2654">
    <w:name w:val="0003"/>
    <w:basedOn w:val="7"/>
    <w:qFormat/>
    <w:uiPriority w:val="0"/>
    <w:pPr>
      <w:keepNext w:val="0"/>
      <w:keepLines w:val="0"/>
      <w:numPr>
        <w:ilvl w:val="0"/>
        <w:numId w:val="0"/>
      </w:numPr>
      <w:adjustRightInd w:val="0"/>
      <w:snapToGrid w:val="0"/>
      <w:spacing w:before="120" w:beforeLines="100" w:after="0" w:line="360" w:lineRule="auto"/>
    </w:pPr>
    <w:rPr>
      <w:rFonts w:hAnsi="Times New Roman"/>
      <w:b w:val="0"/>
      <w:bCs w:val="0"/>
      <w:color w:val="auto"/>
      <w:kern w:val="0"/>
      <w:sz w:val="24"/>
    </w:rPr>
  </w:style>
  <w:style w:type="paragraph" w:customStyle="1" w:styleId="2655">
    <w:name w:val="Char Char Char Char Char Char1 Char Char Char Char Char Char Char1"/>
    <w:basedOn w:val="1"/>
    <w:qFormat/>
    <w:uiPriority w:val="0"/>
    <w:pPr>
      <w:spacing w:line="240" w:lineRule="auto"/>
    </w:pPr>
    <w:rPr>
      <w:sz w:val="21"/>
      <w:szCs w:val="20"/>
    </w:rPr>
  </w:style>
  <w:style w:type="paragraph" w:customStyle="1" w:styleId="2656">
    <w:name w:val="表标题5.7"/>
    <w:basedOn w:val="1"/>
    <w:qFormat/>
    <w:uiPriority w:val="0"/>
    <w:pPr>
      <w:numPr>
        <w:ilvl w:val="0"/>
        <w:numId w:val="64"/>
      </w:numPr>
      <w:spacing w:beforeLines="100" w:line="0" w:lineRule="atLeast"/>
      <w:jc w:val="center"/>
    </w:pPr>
    <w:rPr>
      <w:rFonts w:eastAsia="黑体"/>
      <w:b/>
    </w:rPr>
  </w:style>
  <w:style w:type="paragraph" w:customStyle="1" w:styleId="2657">
    <w:name w:val="inhalt1"/>
    <w:basedOn w:val="1"/>
    <w:qFormat/>
    <w:uiPriority w:val="0"/>
    <w:pPr>
      <w:widowControl/>
      <w:spacing w:before="100" w:beforeAutospacing="1" w:after="100" w:afterAutospacing="1" w:line="240" w:lineRule="auto"/>
      <w:jc w:val="left"/>
    </w:pPr>
    <w:rPr>
      <w:rFonts w:ascii="宋体" w:hAnsi="宋体"/>
      <w:color w:val="000000"/>
      <w:kern w:val="0"/>
    </w:rPr>
  </w:style>
  <w:style w:type="paragraph" w:customStyle="1" w:styleId="2658">
    <w:name w:val="基准篇头"/>
    <w:basedOn w:val="1"/>
    <w:next w:val="36"/>
    <w:qFormat/>
    <w:uiPriority w:val="0"/>
    <w:pPr>
      <w:keepNext/>
      <w:widowControl/>
      <w:overflowPunct w:val="0"/>
      <w:autoSpaceDE w:val="0"/>
      <w:autoSpaceDN w:val="0"/>
      <w:adjustRightInd w:val="0"/>
      <w:spacing w:before="240" w:after="120" w:line="240" w:lineRule="auto"/>
      <w:textAlignment w:val="baseline"/>
    </w:pPr>
    <w:rPr>
      <w:rFonts w:ascii="Arial" w:hAnsi="Arial"/>
      <w:b/>
      <w:kern w:val="28"/>
      <w:sz w:val="36"/>
      <w:szCs w:val="20"/>
      <w:lang w:bidi="en-US"/>
    </w:rPr>
  </w:style>
  <w:style w:type="paragraph" w:customStyle="1" w:styleId="2659">
    <w:name w:val="样式 标题 1 + 两端对齐1"/>
    <w:basedOn w:val="5"/>
    <w:qFormat/>
    <w:uiPriority w:val="0"/>
    <w:pPr>
      <w:keepNext w:val="0"/>
      <w:keepLines/>
      <w:spacing w:before="120" w:after="120" w:line="312" w:lineRule="auto"/>
    </w:pPr>
    <w:rPr>
      <w:rFonts w:ascii="Times New Roman" w:hAnsi="Times New Roman" w:eastAsia="黑体" w:cs="宋体"/>
      <w:b/>
      <w:bCs/>
      <w:kern w:val="44"/>
      <w:szCs w:val="20"/>
    </w:rPr>
  </w:style>
  <w:style w:type="paragraph" w:customStyle="1" w:styleId="2660">
    <w:name w:val="3级题"/>
    <w:basedOn w:val="1651"/>
    <w:qFormat/>
    <w:uiPriority w:val="0"/>
    <w:pPr>
      <w:jc w:val="both"/>
    </w:pPr>
  </w:style>
  <w:style w:type="paragraph" w:customStyle="1" w:styleId="2661">
    <w:name w:val="表前文字"/>
    <w:basedOn w:val="1"/>
    <w:qFormat/>
    <w:uiPriority w:val="0"/>
    <w:pPr>
      <w:spacing w:line="240" w:lineRule="auto"/>
      <w:jc w:val="center"/>
    </w:pPr>
  </w:style>
  <w:style w:type="paragraph" w:customStyle="1" w:styleId="2662">
    <w:name w:val="样式 标题 1 + 宋体 四号"/>
    <w:basedOn w:val="5"/>
    <w:qFormat/>
    <w:uiPriority w:val="0"/>
    <w:pPr>
      <w:spacing w:line="540" w:lineRule="exact"/>
      <w:jc w:val="center"/>
    </w:pPr>
    <w:rPr>
      <w:b/>
      <w:szCs w:val="32"/>
    </w:rPr>
  </w:style>
  <w:style w:type="paragraph" w:customStyle="1" w:styleId="2663">
    <w:name w:val="13点"/>
    <w:basedOn w:val="1"/>
    <w:qFormat/>
    <w:uiPriority w:val="0"/>
    <w:pPr>
      <w:adjustRightInd w:val="0"/>
      <w:snapToGrid w:val="0"/>
      <w:spacing w:line="240" w:lineRule="auto"/>
      <w:jc w:val="center"/>
    </w:pPr>
    <w:rPr>
      <w:rFonts w:ascii="宋体" w:hAnsi="宋体"/>
      <w:szCs w:val="28"/>
    </w:rPr>
  </w:style>
  <w:style w:type="paragraph" w:customStyle="1" w:styleId="2664">
    <w:name w:val="石化现状样式1"/>
    <w:basedOn w:val="1"/>
    <w:qFormat/>
    <w:uiPriority w:val="0"/>
    <w:pPr>
      <w:spacing w:before="240" w:after="240"/>
      <w:ind w:left="567" w:hanging="567"/>
    </w:pPr>
    <w:rPr>
      <w:b/>
      <w:bCs/>
      <w:smallCaps/>
      <w:strike/>
      <w:vanish/>
      <w:sz w:val="32"/>
      <w:vertAlign w:val="superscript"/>
    </w:rPr>
  </w:style>
  <w:style w:type="paragraph" w:customStyle="1" w:styleId="2665">
    <w:name w:val="Char Char Char1 Char5"/>
    <w:basedOn w:val="1"/>
    <w:qFormat/>
    <w:uiPriority w:val="0"/>
    <w:pPr>
      <w:widowControl/>
      <w:spacing w:line="240" w:lineRule="auto"/>
    </w:pPr>
    <w:rPr>
      <w:kern w:val="0"/>
      <w:sz w:val="21"/>
      <w:lang w:bidi="en-US"/>
    </w:rPr>
  </w:style>
  <w:style w:type="paragraph" w:customStyle="1" w:styleId="2666">
    <w:name w:val="表格3"/>
    <w:basedOn w:val="1"/>
    <w:next w:val="1"/>
    <w:qFormat/>
    <w:uiPriority w:val="0"/>
    <w:pPr>
      <w:spacing w:line="280" w:lineRule="exact"/>
      <w:jc w:val="center"/>
    </w:pPr>
    <w:rPr>
      <w:kern w:val="0"/>
      <w:sz w:val="18"/>
    </w:rPr>
  </w:style>
  <w:style w:type="paragraph" w:customStyle="1" w:styleId="2667">
    <w:name w:val="审核办文"/>
    <w:basedOn w:val="1"/>
    <w:qFormat/>
    <w:uiPriority w:val="0"/>
    <w:pPr>
      <w:ind w:firstLine="567"/>
    </w:pPr>
    <w:rPr>
      <w:rFonts w:ascii="Garamond" w:hAnsi="Garamond"/>
      <w:sz w:val="28"/>
      <w:szCs w:val="20"/>
    </w:rPr>
  </w:style>
  <w:style w:type="paragraph" w:customStyle="1" w:styleId="2668">
    <w:name w:val="标题 11"/>
    <w:basedOn w:val="1"/>
    <w:next w:val="1"/>
    <w:qFormat/>
    <w:uiPriority w:val="1"/>
    <w:pPr>
      <w:keepNext/>
      <w:keepLines/>
      <w:outlineLvl w:val="0"/>
    </w:pPr>
    <w:rPr>
      <w:rFonts w:ascii="黑体" w:hAnsi="宋体" w:eastAsia="黑体"/>
      <w:bCs/>
      <w:color w:val="0000FF"/>
      <w:kern w:val="44"/>
      <w:sz w:val="36"/>
      <w:szCs w:val="44"/>
    </w:rPr>
  </w:style>
  <w:style w:type="paragraph" w:customStyle="1" w:styleId="2669">
    <w:name w:val="样式 正文文本 + 红色"/>
    <w:basedOn w:val="36"/>
    <w:qFormat/>
    <w:uiPriority w:val="0"/>
    <w:pPr>
      <w:adjustRightInd w:val="0"/>
      <w:snapToGrid w:val="0"/>
      <w:spacing w:before="60" w:after="60" w:line="264" w:lineRule="auto"/>
      <w:ind w:firstLine="200" w:firstLineChars="200"/>
      <w:textAlignment w:val="baseline"/>
    </w:pPr>
    <w:rPr>
      <w:rFonts w:eastAsia="仿宋_GB2312"/>
      <w:snapToGrid w:val="0"/>
      <w:color w:val="FF0000"/>
      <w:kern w:val="0"/>
    </w:rPr>
  </w:style>
  <w:style w:type="paragraph" w:customStyle="1" w:styleId="2670">
    <w:name w:val="表格中"/>
    <w:basedOn w:val="1"/>
    <w:qFormat/>
    <w:uiPriority w:val="0"/>
    <w:pPr>
      <w:spacing w:line="280" w:lineRule="exact"/>
      <w:jc w:val="center"/>
    </w:pPr>
    <w:rPr>
      <w:rFonts w:ascii="宋体"/>
      <w:sz w:val="18"/>
    </w:rPr>
  </w:style>
  <w:style w:type="paragraph" w:customStyle="1" w:styleId="2671">
    <w:name w:val="Char Char Char2 Char Char Char Char Char Char Char Char Char Char Char"/>
    <w:basedOn w:val="1"/>
    <w:qFormat/>
    <w:uiPriority w:val="0"/>
    <w:pPr>
      <w:widowControl/>
      <w:spacing w:beforeLines="20" w:line="440" w:lineRule="atLeast"/>
      <w:jc w:val="left"/>
    </w:pPr>
    <w:rPr>
      <w:rFonts w:ascii="宋体" w:hAnsi="宋体" w:cs="宋体"/>
      <w:kern w:val="0"/>
    </w:rPr>
  </w:style>
  <w:style w:type="paragraph" w:customStyle="1" w:styleId="2672">
    <w:name w:val="样式 标题 2 + Times New Roman 小三 居中 行距: 单倍行距"/>
    <w:basedOn w:val="6"/>
    <w:qFormat/>
    <w:uiPriority w:val="0"/>
    <w:pPr>
      <w:keepNext/>
      <w:keepLines/>
      <w:widowControl/>
      <w:numPr>
        <w:ilvl w:val="0"/>
        <w:numId w:val="0"/>
      </w:numPr>
      <w:tabs>
        <w:tab w:val="clear" w:pos="-181"/>
      </w:tabs>
      <w:adjustRightInd/>
      <w:snapToGrid/>
      <w:spacing w:before="260" w:beforeLines="0" w:after="260" w:line="240" w:lineRule="auto"/>
      <w:ind w:firstLine="538" w:firstLineChars="192"/>
      <w:textAlignment w:val="auto"/>
    </w:pPr>
    <w:rPr>
      <w:rFonts w:cs="宋体"/>
      <w:b/>
      <w:spacing w:val="4"/>
      <w:kern w:val="2"/>
      <w:szCs w:val="24"/>
    </w:rPr>
  </w:style>
  <w:style w:type="paragraph" w:customStyle="1" w:styleId="2673">
    <w:name w:val="Char3"/>
    <w:basedOn w:val="1"/>
    <w:qFormat/>
    <w:uiPriority w:val="0"/>
    <w:pPr>
      <w:spacing w:line="240" w:lineRule="auto"/>
    </w:pPr>
  </w:style>
  <w:style w:type="paragraph" w:customStyle="1" w:styleId="2674">
    <w:name w:val="XCHG论文节"/>
    <w:basedOn w:val="1"/>
    <w:qFormat/>
    <w:uiPriority w:val="0"/>
    <w:pPr>
      <w:tabs>
        <w:tab w:val="left" w:pos="0"/>
      </w:tabs>
      <w:spacing w:beforeLines="100" w:afterLines="100" w:line="240" w:lineRule="auto"/>
    </w:pPr>
    <w:rPr>
      <w:rFonts w:ascii="方正姚体" w:eastAsia="方正姚体"/>
      <w:b/>
      <w:bCs/>
      <w:sz w:val="36"/>
    </w:rPr>
  </w:style>
  <w:style w:type="paragraph" w:customStyle="1" w:styleId="2675">
    <w:name w:val="样式 表格 + 段后: 6 磅3"/>
    <w:basedOn w:val="1"/>
    <w:qFormat/>
    <w:uiPriority w:val="0"/>
    <w:pPr>
      <w:spacing w:line="240" w:lineRule="auto"/>
    </w:pPr>
    <w:rPr>
      <w:rFonts w:ascii="宋体" w:hAnsi="宋体" w:cs="宋体"/>
      <w:color w:val="000000"/>
      <w:sz w:val="18"/>
      <w:szCs w:val="20"/>
    </w:rPr>
  </w:style>
  <w:style w:type="paragraph" w:customStyle="1" w:styleId="2676">
    <w:name w:val="样式 目录 1 + 首行缩进:  2 字符1"/>
    <w:basedOn w:val="60"/>
    <w:qFormat/>
    <w:uiPriority w:val="0"/>
    <w:pPr>
      <w:tabs>
        <w:tab w:val="right" w:leader="dot" w:pos="8720"/>
      </w:tabs>
      <w:spacing w:line="480" w:lineRule="exact"/>
      <w:ind w:firstLine="480" w:firstLineChars="200"/>
    </w:pPr>
    <w:rPr>
      <w:rFonts w:ascii="Comic Sans MS" w:hAnsi="Comic Sans MS" w:eastAsia="楷体_GB2312" w:cs="宋体"/>
      <w:bCs w:val="0"/>
      <w:sz w:val="20"/>
    </w:rPr>
  </w:style>
  <w:style w:type="paragraph" w:customStyle="1" w:styleId="2677">
    <w:name w:val="样式 标题 2 + 段后: 0.5 行"/>
    <w:basedOn w:val="6"/>
    <w:qFormat/>
    <w:uiPriority w:val="0"/>
    <w:pPr>
      <w:numPr>
        <w:numId w:val="0"/>
      </w:numPr>
      <w:tabs>
        <w:tab w:val="left" w:pos="576"/>
        <w:tab w:val="left" w:pos="630"/>
        <w:tab w:val="left" w:pos="840"/>
        <w:tab w:val="left" w:pos="1287"/>
        <w:tab w:val="left" w:pos="3920"/>
        <w:tab w:val="left" w:pos="5670"/>
        <w:tab w:val="clear" w:pos="-181"/>
        <w:tab w:val="clear" w:pos="860"/>
      </w:tabs>
      <w:snapToGrid/>
      <w:spacing w:before="260" w:beforeLines="50" w:after="260" w:afterLines="50"/>
      <w:ind w:left="576" w:firstLine="567"/>
      <w:jc w:val="both"/>
      <w:textAlignment w:val="auto"/>
    </w:pPr>
    <w:rPr>
      <w:rFonts w:hAnsi="Batang" w:eastAsia="仿宋_GB2312" w:cs="宋体"/>
      <w:snapToGrid w:val="0"/>
      <w:color w:val="000000"/>
      <w:spacing w:val="4"/>
      <w:kern w:val="2"/>
      <w:sz w:val="28"/>
      <w:szCs w:val="32"/>
    </w:rPr>
  </w:style>
  <w:style w:type="paragraph" w:customStyle="1" w:styleId="2678">
    <w:name w:val="列表1"/>
    <w:basedOn w:val="1"/>
    <w:qFormat/>
    <w:uiPriority w:val="0"/>
    <w:pPr>
      <w:spacing w:line="240" w:lineRule="auto"/>
    </w:pPr>
    <w:rPr>
      <w:sz w:val="21"/>
      <w:szCs w:val="20"/>
    </w:rPr>
  </w:style>
  <w:style w:type="paragraph" w:customStyle="1" w:styleId="2679">
    <w:name w:val="brdrw15brsp20 tqctx4153t"/>
    <w:qFormat/>
    <w:uiPriority w:val="0"/>
    <w:pPr>
      <w:widowControl w:val="0"/>
      <w:pBdr>
        <w:bottom w:val="single" w:color="auto" w:sz="6" w:space="0"/>
      </w:pBdr>
      <w:adjustRightInd w:val="0"/>
      <w:spacing w:line="312" w:lineRule="atLeast"/>
      <w:jc w:val="center"/>
      <w:textAlignment w:val="baseline"/>
    </w:pPr>
    <w:rPr>
      <w:rFonts w:ascii="Times New Roman" w:hAnsi="Times New Roman" w:eastAsia="宋体" w:cs="Times New Roman"/>
      <w:kern w:val="0"/>
      <w:sz w:val="21"/>
      <w:szCs w:val="20"/>
      <w:lang w:val="en-US" w:eastAsia="zh-CN" w:bidi="ar-SA"/>
    </w:rPr>
  </w:style>
  <w:style w:type="paragraph" w:customStyle="1" w:styleId="2680">
    <w:name w:val="正文5"/>
    <w:basedOn w:val="46"/>
    <w:qFormat/>
    <w:uiPriority w:val="0"/>
    <w:pPr>
      <w:spacing w:line="240" w:lineRule="auto"/>
      <w:ind w:firstLine="200" w:firstLineChars="200"/>
    </w:pPr>
    <w:rPr>
      <w:rFonts w:ascii="Times New Roman" w:hAnsi="Times New Roman" w:cs="宋体"/>
      <w:spacing w:val="4"/>
      <w:szCs w:val="24"/>
    </w:rPr>
  </w:style>
  <w:style w:type="paragraph" w:customStyle="1" w:styleId="2681">
    <w:name w:val="Char Char Char1 Char3"/>
    <w:basedOn w:val="1"/>
    <w:qFormat/>
    <w:uiPriority w:val="0"/>
    <w:pPr>
      <w:widowControl/>
      <w:spacing w:line="240" w:lineRule="auto"/>
    </w:pPr>
    <w:rPr>
      <w:kern w:val="0"/>
      <w:sz w:val="21"/>
      <w:lang w:bidi="en-US"/>
    </w:rPr>
  </w:style>
  <w:style w:type="paragraph" w:customStyle="1" w:styleId="2682">
    <w:name w:val="图标题1"/>
    <w:basedOn w:val="1"/>
    <w:qFormat/>
    <w:uiPriority w:val="0"/>
    <w:pPr>
      <w:tabs>
        <w:tab w:val="left" w:pos="1819"/>
      </w:tabs>
      <w:adjustRightInd w:val="0"/>
      <w:snapToGrid w:val="0"/>
      <w:spacing w:line="0" w:lineRule="atLeast"/>
      <w:jc w:val="center"/>
    </w:pPr>
    <w:rPr>
      <w:snapToGrid w:val="0"/>
      <w:kern w:val="0"/>
      <w:sz w:val="21"/>
    </w:rPr>
  </w:style>
  <w:style w:type="paragraph" w:customStyle="1" w:styleId="2683">
    <w:name w:val="xl114"/>
    <w:basedOn w:val="1"/>
    <w:qFormat/>
    <w:uiPriority w:val="0"/>
    <w:pPr>
      <w:widowControl/>
      <w:spacing w:before="100" w:beforeAutospacing="1" w:after="100" w:afterAutospacing="1" w:line="240" w:lineRule="auto"/>
      <w:jc w:val="center"/>
      <w:textAlignment w:val="center"/>
    </w:pPr>
    <w:rPr>
      <w:rFonts w:ascii="黑体" w:hAnsi="黑体" w:eastAsia="黑体" w:cs="宋体"/>
      <w:kern w:val="0"/>
      <w:sz w:val="40"/>
      <w:szCs w:val="40"/>
      <w:u w:val="single"/>
    </w:rPr>
  </w:style>
  <w:style w:type="paragraph" w:customStyle="1" w:styleId="2684">
    <w:name w:val="规划正文样式"/>
    <w:basedOn w:val="1"/>
    <w:qFormat/>
    <w:uiPriority w:val="0"/>
    <w:pPr>
      <w:spacing w:line="400" w:lineRule="exact"/>
      <w:ind w:firstLine="480" w:firstLineChars="200"/>
    </w:pPr>
  </w:style>
  <w:style w:type="paragraph" w:customStyle="1" w:styleId="2685">
    <w:name w:val="6"/>
    <w:basedOn w:val="1"/>
    <w:next w:val="82"/>
    <w:qFormat/>
    <w:uiPriority w:val="0"/>
    <w:pPr>
      <w:widowControl/>
      <w:snapToGrid w:val="0"/>
      <w:spacing w:before="100" w:beforeAutospacing="1" w:after="100" w:afterAutospacing="1" w:line="240" w:lineRule="auto"/>
      <w:jc w:val="left"/>
    </w:pPr>
    <w:rPr>
      <w:rFonts w:ascii="Arial Unicode MS" w:hAnsi="Arial Unicode MS" w:eastAsia="Arial Unicode MS" w:cs="Arial Unicode MS"/>
      <w:color w:val="000000"/>
      <w:kern w:val="0"/>
      <w:sz w:val="21"/>
    </w:rPr>
  </w:style>
  <w:style w:type="paragraph" w:customStyle="1" w:styleId="2686">
    <w:name w:val="样式92"/>
    <w:basedOn w:val="1"/>
    <w:qFormat/>
    <w:uiPriority w:val="0"/>
    <w:pPr>
      <w:spacing w:line="240" w:lineRule="auto"/>
    </w:pPr>
    <w:rPr>
      <w:sz w:val="21"/>
    </w:rPr>
  </w:style>
  <w:style w:type="paragraph" w:customStyle="1" w:styleId="2687">
    <w:name w:val="小标题(1)"/>
    <w:basedOn w:val="36"/>
    <w:qFormat/>
    <w:uiPriority w:val="0"/>
    <w:pPr>
      <w:adjustRightInd w:val="0"/>
      <w:snapToGrid w:val="0"/>
      <w:spacing w:before="60" w:after="60" w:line="264" w:lineRule="auto"/>
      <w:ind w:firstLine="240" w:firstLineChars="100"/>
      <w:textAlignment w:val="baseline"/>
    </w:pPr>
    <w:rPr>
      <w:rFonts w:eastAsia="仿宋_GB2312"/>
      <w:snapToGrid w:val="0"/>
      <w:kern w:val="0"/>
    </w:rPr>
  </w:style>
  <w:style w:type="paragraph" w:customStyle="1" w:styleId="2688">
    <w:name w:val="公式"/>
    <w:basedOn w:val="87"/>
    <w:next w:val="1"/>
    <w:qFormat/>
    <w:uiPriority w:val="0"/>
    <w:pPr>
      <w:snapToGrid w:val="0"/>
      <w:spacing w:after="0" w:line="440" w:lineRule="exact"/>
      <w:ind w:firstLine="0" w:firstLineChars="0"/>
      <w:jc w:val="center"/>
    </w:pPr>
    <w:rPr>
      <w:rFonts w:ascii="宋体" w:hAnsi="宋体" w:cs="宋体"/>
      <w:spacing w:val="8"/>
      <w:kern w:val="24"/>
      <w:szCs w:val="20"/>
    </w:rPr>
  </w:style>
  <w:style w:type="paragraph" w:customStyle="1" w:styleId="2689">
    <w:name w:val="Char Char Char3 Char Char Char Char Char Char Char Char Char Char Char Char1 Char Char Char Char1"/>
    <w:basedOn w:val="1"/>
    <w:qFormat/>
    <w:uiPriority w:val="0"/>
    <w:pPr>
      <w:spacing w:line="240" w:lineRule="auto"/>
    </w:pPr>
    <w:rPr>
      <w:sz w:val="21"/>
      <w:szCs w:val="20"/>
    </w:rPr>
  </w:style>
  <w:style w:type="paragraph" w:customStyle="1" w:styleId="2690">
    <w:name w:val="样式48"/>
    <w:basedOn w:val="2691"/>
    <w:qFormat/>
    <w:uiPriority w:val="0"/>
    <w:pPr>
      <w:outlineLvl w:val="1"/>
    </w:pPr>
    <w:rPr>
      <w:rFonts w:hAnsi="黑体"/>
    </w:rPr>
  </w:style>
  <w:style w:type="paragraph" w:customStyle="1" w:styleId="2691">
    <w:name w:val="样式47"/>
    <w:basedOn w:val="447"/>
    <w:qFormat/>
    <w:uiPriority w:val="0"/>
    <w:pPr>
      <w:ind w:left="0" w:firstLine="0" w:firstLineChars="0"/>
      <w:jc w:val="both"/>
      <w:outlineLvl w:val="2"/>
    </w:pPr>
    <w:rPr>
      <w:rFonts w:ascii="Times New Roman" w:hAnsi="Times New Roman"/>
      <w:spacing w:val="0"/>
      <w:sz w:val="32"/>
      <w:szCs w:val="32"/>
    </w:rPr>
  </w:style>
  <w:style w:type="paragraph" w:customStyle="1" w:styleId="2692">
    <w:name w:val="图表标题"/>
    <w:basedOn w:val="970"/>
    <w:next w:val="592"/>
    <w:qFormat/>
    <w:uiPriority w:val="0"/>
    <w:pPr>
      <w:snapToGrid w:val="0"/>
      <w:spacing w:line="240" w:lineRule="auto"/>
      <w:ind w:firstLine="0"/>
      <w:jc w:val="center"/>
      <w:textAlignment w:val="baseline"/>
    </w:pPr>
    <w:rPr>
      <w:b/>
      <w:szCs w:val="24"/>
    </w:rPr>
  </w:style>
  <w:style w:type="paragraph" w:customStyle="1" w:styleId="2693">
    <w:name w:val="xl35"/>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694">
    <w:name w:val="样式 标题 2 + 五号 非加粗 段前: 0 磅 段后: 0 磅 行距: 最小值 0 磅"/>
    <w:basedOn w:val="6"/>
    <w:qFormat/>
    <w:uiPriority w:val="0"/>
    <w:pPr>
      <w:keepLines/>
      <w:numPr>
        <w:ilvl w:val="0"/>
        <w:numId w:val="0"/>
      </w:numPr>
      <w:tabs>
        <w:tab w:val="left" w:pos="780"/>
        <w:tab w:val="clear" w:pos="-181"/>
      </w:tabs>
      <w:adjustRightInd/>
      <w:snapToGrid/>
      <w:spacing w:before="0" w:beforeLines="0" w:line="0" w:lineRule="atLeast"/>
      <w:ind w:left="780" w:hanging="360" w:firstLineChars="200"/>
      <w:jc w:val="both"/>
      <w:textAlignment w:val="auto"/>
    </w:pPr>
    <w:rPr>
      <w:rFonts w:cs="宋体"/>
      <w:spacing w:val="4"/>
      <w:kern w:val="2"/>
      <w:sz w:val="21"/>
      <w:szCs w:val="24"/>
    </w:rPr>
  </w:style>
  <w:style w:type="paragraph" w:customStyle="1" w:styleId="2695">
    <w:name w:val="热电厂正文 Char"/>
    <w:basedOn w:val="1"/>
    <w:qFormat/>
    <w:uiPriority w:val="0"/>
    <w:pPr>
      <w:spacing w:line="440" w:lineRule="exact"/>
      <w:ind w:firstLine="480" w:firstLineChars="200"/>
    </w:pPr>
    <w:rPr>
      <w:szCs w:val="20"/>
    </w:rPr>
  </w:style>
  <w:style w:type="paragraph" w:customStyle="1" w:styleId="2696">
    <w:name w:val="蒲标题5"/>
    <w:basedOn w:val="1"/>
    <w:qFormat/>
    <w:uiPriority w:val="0"/>
    <w:pPr>
      <w:adjustRightInd w:val="0"/>
      <w:snapToGrid w:val="0"/>
    </w:pPr>
    <w:rPr>
      <w:rFonts w:ascii="宋体" w:hAnsi="宋体" w:eastAsia="楷体_GB2312"/>
      <w:color w:val="000000"/>
    </w:rPr>
  </w:style>
  <w:style w:type="paragraph" w:customStyle="1" w:styleId="2697">
    <w:name w:val="2 级样式"/>
    <w:basedOn w:val="6"/>
    <w:qFormat/>
    <w:uiPriority w:val="0"/>
    <w:pPr>
      <w:keepNext/>
      <w:keepLines/>
      <w:numPr>
        <w:numId w:val="43"/>
      </w:numPr>
      <w:tabs>
        <w:tab w:val="clear" w:pos="-181"/>
      </w:tabs>
      <w:snapToGrid/>
      <w:spacing w:before="260" w:beforeLines="30" w:after="260" w:afterLines="30"/>
      <w:jc w:val="both"/>
      <w:textAlignment w:val="auto"/>
    </w:pPr>
    <w:rPr>
      <w:rFonts w:cs="宋体"/>
      <w:b/>
      <w:i/>
      <w:color w:val="003300"/>
      <w:kern w:val="2"/>
      <w:szCs w:val="30"/>
    </w:rPr>
  </w:style>
  <w:style w:type="paragraph" w:customStyle="1" w:styleId="2698">
    <w:name w:val="xl71"/>
    <w:basedOn w:val="1"/>
    <w:qFormat/>
    <w:uiPriority w:val="0"/>
    <w:pPr>
      <w:widowControl/>
      <w:spacing w:before="100" w:beforeAutospacing="1" w:after="100" w:afterAutospacing="1" w:line="240" w:lineRule="auto"/>
      <w:jc w:val="left"/>
    </w:pPr>
    <w:rPr>
      <w:rFonts w:ascii="宋体" w:hAnsi="宋体"/>
      <w:kern w:val="0"/>
      <w:sz w:val="32"/>
      <w:szCs w:val="32"/>
    </w:rPr>
  </w:style>
  <w:style w:type="paragraph" w:customStyle="1" w:styleId="2699">
    <w:name w:val="p18"/>
    <w:basedOn w:val="1"/>
    <w:qFormat/>
    <w:uiPriority w:val="0"/>
    <w:pPr>
      <w:widowControl/>
      <w:snapToGrid w:val="0"/>
      <w:spacing w:line="240" w:lineRule="auto"/>
      <w:jc w:val="center"/>
    </w:pPr>
    <w:rPr>
      <w:color w:val="000000"/>
      <w:kern w:val="0"/>
      <w:sz w:val="21"/>
      <w:szCs w:val="21"/>
    </w:rPr>
  </w:style>
  <w:style w:type="paragraph" w:customStyle="1" w:styleId="2700">
    <w:name w:val="1 Char Char Char Char"/>
    <w:basedOn w:val="1"/>
    <w:qFormat/>
    <w:uiPriority w:val="0"/>
    <w:pPr>
      <w:ind w:firstLine="200" w:firstLineChars="200"/>
    </w:pPr>
    <w:rPr>
      <w:rFonts w:ascii="宋体" w:hAnsi="宋体" w:cs="宋体"/>
    </w:rPr>
  </w:style>
  <w:style w:type="paragraph" w:customStyle="1" w:styleId="2701">
    <w:name w:val="xl106"/>
    <w:basedOn w:val="1"/>
    <w:qFormat/>
    <w:uiPriority w:val="0"/>
    <w:pPr>
      <w:widowControl/>
      <w:pBdr>
        <w:top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702">
    <w:name w:val="目录-节"/>
    <w:basedOn w:val="1"/>
    <w:qFormat/>
    <w:uiPriority w:val="0"/>
    <w:pPr>
      <w:widowControl/>
      <w:ind w:left="3420" w:hanging="720"/>
      <w:jc w:val="center"/>
    </w:pPr>
    <w:rPr>
      <w:rFonts w:ascii="宋体" w:hAnsi="宋体" w:cs="宋体"/>
      <w:b/>
      <w:kern w:val="0"/>
      <w:sz w:val="28"/>
      <w:szCs w:val="28"/>
    </w:rPr>
  </w:style>
  <w:style w:type="paragraph" w:customStyle="1" w:styleId="2703">
    <w:name w:val="样式 正文首行缩进 + 四号 段后: 0 磅 行距: 1.5 倍行距"/>
    <w:basedOn w:val="87"/>
    <w:qFormat/>
    <w:uiPriority w:val="0"/>
    <w:pPr>
      <w:spacing w:after="0"/>
      <w:ind w:firstLine="560" w:firstLineChars="200"/>
    </w:pPr>
    <w:rPr>
      <w:rFonts w:ascii="宋体" w:hAnsi="宋体" w:cs="宋体"/>
      <w:spacing w:val="4"/>
      <w:sz w:val="28"/>
      <w:szCs w:val="20"/>
    </w:rPr>
  </w:style>
  <w:style w:type="paragraph" w:customStyle="1" w:styleId="2704">
    <w:name w:val="列表名称 Char"/>
    <w:basedOn w:val="1"/>
    <w:qFormat/>
    <w:uiPriority w:val="0"/>
    <w:pPr>
      <w:tabs>
        <w:tab w:val="left" w:pos="3777"/>
        <w:tab w:val="left" w:pos="5106"/>
        <w:tab w:val="left" w:pos="6313"/>
        <w:tab w:val="left" w:pos="7998"/>
        <w:tab w:val="left" w:pos="9238"/>
      </w:tabs>
      <w:spacing w:line="480" w:lineRule="exact"/>
      <w:jc w:val="center"/>
    </w:pPr>
    <w:rPr>
      <w:rFonts w:eastAsia="黑体"/>
      <w:bCs/>
    </w:rPr>
  </w:style>
  <w:style w:type="paragraph" w:customStyle="1" w:styleId="2705">
    <w:name w:val="插图"/>
    <w:basedOn w:val="1"/>
    <w:qFormat/>
    <w:uiPriority w:val="0"/>
    <w:pPr>
      <w:spacing w:line="240" w:lineRule="auto"/>
    </w:pPr>
  </w:style>
  <w:style w:type="paragraph" w:customStyle="1" w:styleId="2706">
    <w:name w:val="样式 7.3.2.1 + 黑色 段前: 6 磅"/>
    <w:basedOn w:val="1370"/>
    <w:qFormat/>
    <w:uiPriority w:val="0"/>
    <w:pPr>
      <w:numPr>
        <w:ilvl w:val="3"/>
        <w:numId w:val="65"/>
      </w:numPr>
      <w:spacing w:before="120"/>
      <w:ind w:left="0" w:firstLine="0"/>
    </w:pPr>
    <w:rPr>
      <w:rFonts w:cs="宋体"/>
      <w:color w:val="000000"/>
      <w:szCs w:val="24"/>
    </w:rPr>
  </w:style>
  <w:style w:type="paragraph" w:customStyle="1" w:styleId="2707">
    <w:name w:val="样式 样式 标题 3标题 3 Char + 首行缩进:  2 字符 + 行距: 1.5 倍行距"/>
    <w:basedOn w:val="2708"/>
    <w:qFormat/>
    <w:uiPriority w:val="0"/>
    <w:pPr>
      <w:tabs>
        <w:tab w:val="left" w:pos="2705"/>
      </w:tabs>
    </w:pPr>
    <w:rPr>
      <w:rFonts w:cs="宋体"/>
    </w:rPr>
  </w:style>
  <w:style w:type="paragraph" w:customStyle="1" w:styleId="2708">
    <w:name w:val="样式 标题 3标题 3 Char + 首行缩进:  2 字符"/>
    <w:basedOn w:val="7"/>
    <w:qFormat/>
    <w:uiPriority w:val="0"/>
    <w:pPr>
      <w:numPr>
        <w:ilvl w:val="0"/>
        <w:numId w:val="0"/>
      </w:numPr>
      <w:spacing w:before="0" w:after="0" w:line="360" w:lineRule="auto"/>
    </w:pPr>
    <w:rPr>
      <w:rFonts w:ascii="Times New Roman" w:hAnsi="Times New Roman" w:eastAsia="黑体"/>
      <w:color w:val="auto"/>
      <w:szCs w:val="20"/>
    </w:rPr>
  </w:style>
  <w:style w:type="paragraph" w:customStyle="1" w:styleId="2709">
    <w:name w:val="Char Char Char Char Char Char Char Char Char Char Char Char Char Char Char Char Char Char Char Char Char Char Char Char Char Char Char Char Char Char Char Char Char Char Char Char Char Char Char Char"/>
    <w:basedOn w:val="1"/>
    <w:qFormat/>
    <w:uiPriority w:val="0"/>
    <w:pPr>
      <w:adjustRightInd w:val="0"/>
    </w:pPr>
    <w:rPr>
      <w:rFonts w:cs="宋体"/>
      <w:color w:val="000000"/>
      <w:sz w:val="21"/>
    </w:rPr>
  </w:style>
  <w:style w:type="paragraph" w:customStyle="1" w:styleId="2710">
    <w:name w:val="xl80"/>
    <w:basedOn w:val="1"/>
    <w:qFormat/>
    <w:uiPriority w:val="0"/>
    <w:pPr>
      <w:widowControl/>
      <w:pBdr>
        <w:left w:val="single" w:color="auto" w:sz="4" w:space="0"/>
        <w:bottom w:val="single" w:color="auto" w:sz="4" w:space="0"/>
      </w:pBdr>
      <w:spacing w:before="100" w:beforeAutospacing="1" w:after="100" w:afterAutospacing="1" w:line="240" w:lineRule="auto"/>
      <w:jc w:val="center"/>
    </w:pPr>
    <w:rPr>
      <w:rFonts w:ascii="Arial Unicode MS" w:hAnsi="Arial Unicode MS" w:eastAsia="Arial Unicode MS" w:cs="Arial Unicode MS"/>
      <w:kern w:val="0"/>
      <w:sz w:val="20"/>
      <w:szCs w:val="20"/>
    </w:rPr>
  </w:style>
  <w:style w:type="paragraph" w:customStyle="1" w:styleId="2711">
    <w:name w:val="样式 表名 + 段前: 0.5 行"/>
    <w:basedOn w:val="1"/>
    <w:qFormat/>
    <w:uiPriority w:val="0"/>
    <w:pPr>
      <w:spacing w:before="156" w:afterLines="30" w:line="360" w:lineRule="exact"/>
      <w:jc w:val="center"/>
    </w:pPr>
    <w:rPr>
      <w:rFonts w:eastAsia="黑体" w:cs="宋体"/>
      <w:szCs w:val="20"/>
    </w:rPr>
  </w:style>
  <w:style w:type="paragraph" w:customStyle="1" w:styleId="2712">
    <w:name w:val="页眉3"/>
    <w:basedOn w:val="1"/>
    <w:qFormat/>
    <w:uiPriority w:val="0"/>
    <w:pPr>
      <w:pBdr>
        <w:bottom w:val="single" w:color="auto" w:sz="6" w:space="1"/>
      </w:pBdr>
      <w:tabs>
        <w:tab w:val="center" w:pos="4153"/>
        <w:tab w:val="right" w:pos="8306"/>
      </w:tabs>
      <w:adjustRightInd w:val="0"/>
      <w:spacing w:line="240" w:lineRule="atLeast"/>
      <w:jc w:val="center"/>
      <w:textAlignment w:val="baseline"/>
    </w:pPr>
    <w:rPr>
      <w:rFonts w:ascii="宋体" w:hAnsi="宋体" w:cs="宋体"/>
      <w:spacing w:val="4"/>
      <w:sz w:val="18"/>
    </w:rPr>
  </w:style>
  <w:style w:type="paragraph" w:customStyle="1" w:styleId="2713">
    <w:name w:val="xl34"/>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kern w:val="0"/>
      <w:sz w:val="16"/>
      <w:szCs w:val="16"/>
    </w:rPr>
  </w:style>
  <w:style w:type="paragraph" w:customStyle="1" w:styleId="2714">
    <w:name w:val="样式76"/>
    <w:basedOn w:val="2401"/>
    <w:qFormat/>
    <w:uiPriority w:val="0"/>
  </w:style>
  <w:style w:type="paragraph" w:customStyle="1" w:styleId="2715">
    <w:name w:val="图形中文字"/>
    <w:basedOn w:val="1"/>
    <w:qFormat/>
    <w:uiPriority w:val="0"/>
    <w:pPr>
      <w:widowControl/>
      <w:spacing w:line="351" w:lineRule="atLeast"/>
      <w:ind w:firstLine="419"/>
      <w:jc w:val="center"/>
      <w:textAlignment w:val="baseline"/>
    </w:pPr>
    <w:rPr>
      <w:rFonts w:ascii="宋体"/>
      <w:color w:val="000000"/>
      <w:kern w:val="0"/>
      <w:szCs w:val="20"/>
      <w:u w:color="000000"/>
    </w:rPr>
  </w:style>
  <w:style w:type="paragraph" w:customStyle="1" w:styleId="2716">
    <w:name w:val="项目符号结尾"/>
    <w:basedOn w:val="26"/>
    <w:next w:val="36"/>
    <w:qFormat/>
    <w:uiPriority w:val="0"/>
    <w:pPr>
      <w:widowControl/>
      <w:tabs>
        <w:tab w:val="clear" w:pos="432"/>
      </w:tabs>
      <w:overflowPunct w:val="0"/>
      <w:autoSpaceDE w:val="0"/>
      <w:autoSpaceDN w:val="0"/>
      <w:adjustRightInd w:val="0"/>
      <w:spacing w:after="240" w:line="240" w:lineRule="auto"/>
      <w:ind w:left="720" w:firstLine="0" w:firstLineChars="0"/>
      <w:textAlignment w:val="baseline"/>
    </w:pPr>
    <w:rPr>
      <w:kern w:val="0"/>
      <w:sz w:val="20"/>
      <w:lang w:bidi="en-US"/>
    </w:rPr>
  </w:style>
  <w:style w:type="paragraph" w:customStyle="1" w:styleId="2717">
    <w:name w:val="5号字表"/>
    <w:basedOn w:val="1"/>
    <w:qFormat/>
    <w:uiPriority w:val="0"/>
    <w:pPr>
      <w:tabs>
        <w:tab w:val="left" w:pos="210"/>
      </w:tabs>
      <w:spacing w:line="500" w:lineRule="exact"/>
      <w:ind w:firstLine="200" w:firstLineChars="200"/>
    </w:pPr>
    <w:rPr>
      <w:rFonts w:ascii="宋体" w:hAnsi="宋体" w:cs="宋体"/>
      <w:bCs/>
      <w:szCs w:val="20"/>
    </w:rPr>
  </w:style>
  <w:style w:type="paragraph" w:customStyle="1" w:styleId="2718">
    <w:name w:val="图"/>
    <w:basedOn w:val="74"/>
    <w:qFormat/>
    <w:uiPriority w:val="0"/>
    <w:pPr>
      <w:ind w:left="840" w:leftChars="200" w:firstLine="435"/>
    </w:pPr>
    <w:rPr>
      <w:rFonts w:ascii="黑体" w:hAnsi="宋体" w:eastAsia="黑体"/>
      <w:i/>
      <w:color w:val="000000"/>
      <w:szCs w:val="21"/>
    </w:rPr>
  </w:style>
  <w:style w:type="paragraph" w:customStyle="1" w:styleId="2719">
    <w:name w:val="cd1"/>
    <w:basedOn w:val="1"/>
    <w:qFormat/>
    <w:uiPriority w:val="0"/>
    <w:pPr>
      <w:spacing w:before="120" w:line="240" w:lineRule="auto"/>
      <w:jc w:val="center"/>
    </w:pPr>
    <w:rPr>
      <w:rFonts w:eastAsia="黑体"/>
      <w:b/>
      <w:szCs w:val="20"/>
    </w:rPr>
  </w:style>
  <w:style w:type="paragraph" w:customStyle="1" w:styleId="2720">
    <w:name w:val="页脚3"/>
    <w:basedOn w:val="1283"/>
    <w:qFormat/>
    <w:uiPriority w:val="0"/>
    <w:pPr>
      <w:tabs>
        <w:tab w:val="center" w:pos="4153"/>
        <w:tab w:val="right" w:pos="8306"/>
      </w:tabs>
      <w:spacing w:line="240" w:lineRule="atLeast"/>
    </w:pPr>
    <w:rPr>
      <w:sz w:val="18"/>
    </w:rPr>
  </w:style>
  <w:style w:type="paragraph" w:customStyle="1" w:styleId="2721">
    <w:name w:val="0005左缩2"/>
    <w:basedOn w:val="1"/>
    <w:qFormat/>
    <w:uiPriority w:val="0"/>
    <w:pPr>
      <w:widowControl/>
      <w:adjustRightInd w:val="0"/>
      <w:spacing w:afterLines="30" w:line="500" w:lineRule="exact"/>
      <w:ind w:firstLine="200" w:firstLineChars="200"/>
    </w:pPr>
    <w:rPr>
      <w:rFonts w:ascii="宋体" w:hAnsi="宋体"/>
    </w:rPr>
  </w:style>
  <w:style w:type="paragraph" w:customStyle="1" w:styleId="2722">
    <w:name w:val="0"/>
    <w:basedOn w:val="1"/>
    <w:qFormat/>
    <w:uiPriority w:val="0"/>
    <w:pPr>
      <w:widowControl/>
      <w:spacing w:before="100" w:beforeAutospacing="1" w:after="100" w:afterAutospacing="1"/>
      <w:jc w:val="left"/>
    </w:pPr>
    <w:rPr>
      <w:rFonts w:ascii="宋体" w:hAnsi="宋体"/>
      <w:kern w:val="0"/>
    </w:rPr>
  </w:style>
  <w:style w:type="paragraph" w:customStyle="1" w:styleId="2723">
    <w:name w:val="样式 正文1 Char Char + 字距调整七号 Char1 Char"/>
    <w:basedOn w:val="1"/>
    <w:qFormat/>
    <w:uiPriority w:val="0"/>
    <w:pPr>
      <w:suppressLineNumbers/>
      <w:suppressAutoHyphens/>
      <w:topLinePunct/>
      <w:adjustRightInd w:val="0"/>
      <w:snapToGrid w:val="0"/>
      <w:ind w:firstLine="480" w:firstLineChars="200"/>
    </w:pPr>
    <w:rPr>
      <w:kern w:val="11"/>
    </w:rPr>
  </w:style>
  <w:style w:type="paragraph" w:customStyle="1" w:styleId="2724">
    <w:name w:val="样式68"/>
    <w:basedOn w:val="2725"/>
    <w:qFormat/>
    <w:uiPriority w:val="0"/>
    <w:rPr>
      <w:rFonts w:ascii="Times New Roman" w:hAnsi="Times New Roman"/>
      <w:kern w:val="0"/>
      <w:lang w:bidi="en-US"/>
    </w:rPr>
  </w:style>
  <w:style w:type="paragraph" w:customStyle="1" w:styleId="2725">
    <w:name w:val="样式57"/>
    <w:basedOn w:val="5"/>
    <w:qFormat/>
    <w:uiPriority w:val="0"/>
    <w:pPr>
      <w:keepLines/>
      <w:adjustRightInd w:val="0"/>
      <w:snapToGrid w:val="0"/>
      <w:spacing w:line="360" w:lineRule="auto"/>
    </w:pPr>
    <w:rPr>
      <w:rFonts w:ascii="黑体" w:hAnsi="黑体" w:eastAsia="黑体"/>
      <w:b/>
      <w:bCs/>
      <w:kern w:val="44"/>
      <w:sz w:val="44"/>
      <w:szCs w:val="44"/>
    </w:rPr>
  </w:style>
  <w:style w:type="paragraph" w:customStyle="1" w:styleId="2726">
    <w:name w:val="样式 标题 2节标题 1.11.1标题 21.1标题2标题 2 Char1节_Heading 2b21.1标..."/>
    <w:basedOn w:val="6"/>
    <w:qFormat/>
    <w:uiPriority w:val="0"/>
    <w:pPr>
      <w:keepNext/>
      <w:keepLines/>
      <w:widowControl/>
      <w:numPr>
        <w:ilvl w:val="0"/>
        <w:numId w:val="0"/>
      </w:numPr>
      <w:tabs>
        <w:tab w:val="clear" w:pos="-181"/>
      </w:tabs>
      <w:adjustRightInd/>
      <w:snapToGrid/>
      <w:spacing w:before="260" w:beforeLines="50" w:after="50"/>
      <w:jc w:val="both"/>
      <w:textAlignment w:val="auto"/>
      <w:outlineLvl w:val="2"/>
    </w:pPr>
    <w:rPr>
      <w:rFonts w:ascii="Tahoma" w:hAnsi="Tahoma" w:cs="宋体"/>
      <w:bCs/>
      <w:color w:val="000000"/>
      <w:sz w:val="28"/>
      <w:szCs w:val="20"/>
    </w:rPr>
  </w:style>
  <w:style w:type="paragraph" w:customStyle="1" w:styleId="2727">
    <w:name w:val="xl48"/>
    <w:basedOn w:val="1"/>
    <w:qFormat/>
    <w:uiPriority w:val="0"/>
    <w:pPr>
      <w:widowControl/>
      <w:pBdr>
        <w:top w:val="single" w:color="auto" w:sz="4" w:space="0"/>
        <w:bottom w:val="single" w:color="auto" w:sz="4" w:space="0"/>
      </w:pBdr>
      <w:spacing w:before="100" w:beforeAutospacing="1" w:after="100" w:afterAutospacing="1" w:line="240" w:lineRule="auto"/>
      <w:jc w:val="center"/>
      <w:textAlignment w:val="center"/>
    </w:pPr>
    <w:rPr>
      <w:rFonts w:ascii="宋体" w:hAnsi="宋体"/>
      <w:kern w:val="0"/>
    </w:rPr>
  </w:style>
  <w:style w:type="paragraph" w:customStyle="1" w:styleId="2728">
    <w:name w:val="CM78"/>
    <w:basedOn w:val="1345"/>
    <w:next w:val="1345"/>
    <w:qFormat/>
    <w:uiPriority w:val="0"/>
    <w:pPr>
      <w:spacing w:line="468" w:lineRule="atLeast"/>
    </w:pPr>
    <w:rPr>
      <w:rFonts w:ascii="·..." w:eastAsia="·..." w:cs="·..."/>
      <w:color w:val="auto"/>
    </w:rPr>
  </w:style>
  <w:style w:type="paragraph" w:customStyle="1" w:styleId="2729">
    <w:name w:val="图形标题"/>
    <w:basedOn w:val="1"/>
    <w:next w:val="1"/>
    <w:qFormat/>
    <w:uiPriority w:val="0"/>
    <w:pPr>
      <w:adjustRightInd w:val="0"/>
      <w:snapToGrid w:val="0"/>
      <w:spacing w:before="120" w:after="120" w:line="240" w:lineRule="auto"/>
      <w:jc w:val="center"/>
    </w:pPr>
    <w:rPr>
      <w:rFonts w:ascii="Times" w:hAnsi="Times"/>
      <w:b/>
      <w:sz w:val="21"/>
      <w:szCs w:val="20"/>
    </w:rPr>
  </w:style>
  <w:style w:type="paragraph" w:customStyle="1" w:styleId="2730">
    <w:name w:val="样式 表名1 + 段前: 0.3 行"/>
    <w:basedOn w:val="2634"/>
    <w:qFormat/>
    <w:uiPriority w:val="0"/>
    <w:pPr>
      <w:spacing w:beforeLines="40"/>
    </w:pPr>
    <w:rPr>
      <w:rFonts w:cs="宋体"/>
      <w:bCs w:val="0"/>
      <w:szCs w:val="20"/>
    </w:rPr>
  </w:style>
  <w:style w:type="paragraph" w:customStyle="1" w:styleId="2731">
    <w:name w:val="Char4 Char Char Char Char Char Char11"/>
    <w:basedOn w:val="1"/>
    <w:qFormat/>
    <w:uiPriority w:val="0"/>
    <w:pPr>
      <w:ind w:firstLine="200" w:firstLineChars="200"/>
    </w:pPr>
    <w:rPr>
      <w:rFonts w:ascii="宋体" w:hAnsi="宋体" w:cs="宋体"/>
    </w:rPr>
  </w:style>
  <w:style w:type="paragraph" w:customStyle="1" w:styleId="2732">
    <w:name w:val="表格表文"/>
    <w:basedOn w:val="1"/>
    <w:next w:val="1"/>
    <w:qFormat/>
    <w:uiPriority w:val="0"/>
    <w:pPr>
      <w:adjustRightInd w:val="0"/>
      <w:spacing w:beforeLines="50" w:line="300" w:lineRule="auto"/>
      <w:jc w:val="center"/>
    </w:pPr>
    <w:rPr>
      <w:szCs w:val="20"/>
    </w:rPr>
  </w:style>
  <w:style w:type="paragraph" w:customStyle="1" w:styleId="2733">
    <w:name w:val="样式 段前: 7.8 磅"/>
    <w:basedOn w:val="1"/>
    <w:qFormat/>
    <w:uiPriority w:val="0"/>
    <w:pPr>
      <w:jc w:val="center"/>
    </w:pPr>
    <w:rPr>
      <w:rFonts w:ascii="宋体" w:hAnsi="宋体" w:cs="宋体"/>
      <w:color w:val="FF00FF"/>
      <w:szCs w:val="20"/>
    </w:rPr>
  </w:style>
  <w:style w:type="paragraph" w:customStyle="1" w:styleId="2734">
    <w:name w:val="Char Char29"/>
    <w:basedOn w:val="1"/>
    <w:qFormat/>
    <w:uiPriority w:val="0"/>
    <w:pPr>
      <w:spacing w:line="240" w:lineRule="auto"/>
    </w:pPr>
    <w:rPr>
      <w:rFonts w:ascii="宋体" w:hAnsi="宋体" w:eastAsia="汉鼎简书宋" w:cs="宋体"/>
      <w:spacing w:val="4"/>
    </w:rPr>
  </w:style>
  <w:style w:type="paragraph" w:customStyle="1" w:styleId="2735">
    <w:name w:val="表体正文3"/>
    <w:basedOn w:val="1"/>
    <w:next w:val="1"/>
    <w:qFormat/>
    <w:uiPriority w:val="0"/>
    <w:pPr>
      <w:widowControl/>
      <w:spacing w:line="240" w:lineRule="auto"/>
      <w:jc w:val="center"/>
    </w:pPr>
    <w:rPr>
      <w:rFonts w:ascii="宋体" w:hAnsi="宋体"/>
      <w:spacing w:val="-2"/>
      <w:kern w:val="0"/>
      <w:sz w:val="18"/>
      <w:lang w:bidi="en-US"/>
    </w:rPr>
  </w:style>
  <w:style w:type="paragraph" w:customStyle="1" w:styleId="2736">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sz w:val="16"/>
      <w:szCs w:val="16"/>
    </w:rPr>
  </w:style>
  <w:style w:type="paragraph" w:customStyle="1" w:styleId="2737">
    <w:name w:val="p16"/>
    <w:basedOn w:val="1"/>
    <w:qFormat/>
    <w:uiPriority w:val="0"/>
    <w:pPr>
      <w:widowControl/>
      <w:snapToGrid w:val="0"/>
      <w:ind w:firstLine="420"/>
    </w:pPr>
    <w:rPr>
      <w:kern w:val="0"/>
    </w:rPr>
  </w:style>
  <w:style w:type="paragraph" w:customStyle="1" w:styleId="2738">
    <w:name w:val="样式54"/>
    <w:basedOn w:val="545"/>
    <w:qFormat/>
    <w:uiPriority w:val="0"/>
  </w:style>
  <w:style w:type="paragraph" w:customStyle="1" w:styleId="2739">
    <w:name w:val="样式 标题 31.1.1条标题 3 Char Char标题 3 CharBSH-3条标题1.1.1H3b3标题...1"/>
    <w:basedOn w:val="7"/>
    <w:qFormat/>
    <w:uiPriority w:val="0"/>
    <w:pPr>
      <w:numPr>
        <w:numId w:val="0"/>
      </w:numPr>
      <w:tabs>
        <w:tab w:val="left" w:pos="1365"/>
      </w:tabs>
      <w:spacing w:before="156" w:after="156" w:line="360" w:lineRule="auto"/>
    </w:pPr>
    <w:rPr>
      <w:rFonts w:ascii="黑体" w:hAnsi="Times New Roman" w:eastAsia="黑体" w:cs="宋体"/>
      <w:bCs w:val="0"/>
      <w:color w:val="auto"/>
      <w:szCs w:val="20"/>
    </w:rPr>
  </w:style>
  <w:style w:type="paragraph" w:customStyle="1" w:styleId="274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2741">
    <w:name w:val="xl24"/>
    <w:basedOn w:val="1"/>
    <w:qFormat/>
    <w:uiPriority w:val="0"/>
    <w:pPr>
      <w:widowControl/>
      <w:spacing w:before="100" w:beforeAutospacing="1" w:after="100" w:afterAutospacing="1"/>
      <w:jc w:val="center"/>
    </w:pPr>
    <w:rPr>
      <w:rFonts w:ascii="宋体"/>
      <w:kern w:val="0"/>
    </w:rPr>
  </w:style>
  <w:style w:type="paragraph" w:customStyle="1" w:styleId="2742">
    <w:name w:val="基准标题"/>
    <w:basedOn w:val="36"/>
    <w:next w:val="36"/>
    <w:qFormat/>
    <w:uiPriority w:val="0"/>
    <w:pPr>
      <w:widowControl/>
      <w:snapToGrid w:val="0"/>
      <w:spacing w:after="0" w:line="320" w:lineRule="exact"/>
      <w:jc w:val="center"/>
    </w:pPr>
    <w:rPr>
      <w:rFonts w:hAnsi="宋体" w:cs="宋体"/>
      <w:spacing w:val="4"/>
      <w:sz w:val="21"/>
    </w:rPr>
  </w:style>
  <w:style w:type="paragraph" w:customStyle="1" w:styleId="2743">
    <w:name w:val="Char2"/>
    <w:basedOn w:val="1"/>
    <w:qFormat/>
    <w:uiPriority w:val="0"/>
    <w:pPr>
      <w:spacing w:line="240" w:lineRule="auto"/>
    </w:pPr>
  </w:style>
  <w:style w:type="paragraph" w:customStyle="1" w:styleId="2744">
    <w:name w:val="表格专用文本"/>
    <w:basedOn w:val="670"/>
    <w:qFormat/>
    <w:uiPriority w:val="0"/>
    <w:pPr>
      <w:spacing w:line="240" w:lineRule="auto"/>
      <w:ind w:firstLine="0" w:firstLineChars="0"/>
      <w:jc w:val="center"/>
    </w:pPr>
    <w:rPr>
      <w:sz w:val="21"/>
      <w:szCs w:val="20"/>
    </w:rPr>
  </w:style>
  <w:style w:type="paragraph" w:customStyle="1" w:styleId="2745">
    <w:name w:val="表格段落1"/>
    <w:basedOn w:val="1"/>
    <w:qFormat/>
    <w:uiPriority w:val="0"/>
    <w:pPr>
      <w:snapToGrid w:val="0"/>
      <w:spacing w:line="240" w:lineRule="atLeast"/>
    </w:pPr>
    <w:rPr>
      <w:szCs w:val="20"/>
    </w:rPr>
  </w:style>
  <w:style w:type="paragraph" w:customStyle="1" w:styleId="2746">
    <w:name w:val="reader-word-layer reader-word-s1-35"/>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747">
    <w:name w:val="16.2.1.1"/>
    <w:basedOn w:val="8"/>
    <w:qFormat/>
    <w:uiPriority w:val="0"/>
    <w:pPr>
      <w:keepLines/>
      <w:numPr>
        <w:ilvl w:val="3"/>
        <w:numId w:val="66"/>
      </w:numPr>
      <w:tabs>
        <w:tab w:val="left" w:pos="1080"/>
        <w:tab w:val="clear" w:pos="864"/>
      </w:tabs>
      <w:spacing w:before="120" w:after="120" w:line="312" w:lineRule="auto"/>
      <w:jc w:val="both"/>
    </w:pPr>
    <w:rPr>
      <w:rFonts w:ascii="Arial" w:hAnsi="Arial" w:eastAsia="黑体" w:cs="宋体"/>
      <w:szCs w:val="20"/>
    </w:rPr>
  </w:style>
  <w:style w:type="paragraph" w:customStyle="1" w:styleId="2748">
    <w:name w:val="Char Char Char Char Char Char1 Char Char Char1 Char Char Char Char Char Char Char"/>
    <w:basedOn w:val="1"/>
    <w:qFormat/>
    <w:uiPriority w:val="0"/>
    <w:pPr>
      <w:ind w:firstLine="200" w:firstLineChars="200"/>
    </w:pPr>
    <w:rPr>
      <w:rFonts w:ascii="宋体" w:hAnsi="宋体" w:cs="宋体"/>
    </w:rPr>
  </w:style>
  <w:style w:type="paragraph" w:customStyle="1" w:styleId="2749">
    <w:name w:val="右侧"/>
    <w:qFormat/>
    <w:uiPriority w:val="0"/>
    <w:pPr>
      <w:spacing w:line="280" w:lineRule="exact"/>
      <w:jc w:val="right"/>
    </w:pPr>
    <w:rPr>
      <w:rFonts w:ascii="Batang" w:hAnsi="Batang" w:eastAsia="宋体" w:cs="Times New Roman"/>
      <w:color w:val="000000"/>
      <w:kern w:val="0"/>
      <w:sz w:val="18"/>
      <w:szCs w:val="20"/>
      <w:lang w:val="en-US" w:eastAsia="zh-CN" w:bidi="ar-SA"/>
    </w:rPr>
  </w:style>
  <w:style w:type="paragraph" w:customStyle="1" w:styleId="2750">
    <w:name w:val="Name"/>
    <w:basedOn w:val="1"/>
    <w:next w:val="1"/>
    <w:qFormat/>
    <w:uiPriority w:val="0"/>
    <w:pPr>
      <w:widowControl/>
      <w:spacing w:after="440" w:line="240" w:lineRule="atLeast"/>
      <w:ind w:left="2160"/>
    </w:pPr>
    <w:rPr>
      <w:spacing w:val="-20"/>
      <w:kern w:val="0"/>
      <w:sz w:val="48"/>
      <w:szCs w:val="20"/>
    </w:rPr>
  </w:style>
  <w:style w:type="paragraph" w:customStyle="1" w:styleId="2751">
    <w:name w:val="xl60"/>
    <w:basedOn w:val="1"/>
    <w:qFormat/>
    <w:uiPriority w:val="0"/>
    <w:pPr>
      <w:widowControl/>
      <w:pBdr>
        <w:left w:val="single" w:color="auto" w:sz="8" w:space="0"/>
        <w:right w:val="single" w:color="auto" w:sz="4" w:space="0"/>
      </w:pBdr>
      <w:spacing w:before="100" w:after="100" w:line="240" w:lineRule="auto"/>
      <w:jc w:val="center"/>
      <w:textAlignment w:val="top"/>
    </w:pPr>
    <w:rPr>
      <w:kern w:val="0"/>
    </w:rPr>
  </w:style>
  <w:style w:type="paragraph" w:customStyle="1" w:styleId="2752">
    <w:name w:val="样式69"/>
    <w:basedOn w:val="2753"/>
    <w:qFormat/>
    <w:uiPriority w:val="0"/>
    <w:pPr>
      <w:tabs>
        <w:tab w:val="left" w:pos="860"/>
        <w:tab w:val="left" w:pos="930"/>
      </w:tabs>
    </w:pPr>
    <w:rPr>
      <w:rFonts w:ascii="Times New Roman" w:hAnsi="Times New Roman"/>
      <w:kern w:val="0"/>
      <w:lang w:bidi="en-US"/>
    </w:rPr>
  </w:style>
  <w:style w:type="paragraph" w:customStyle="1" w:styleId="2753">
    <w:name w:val="样式58"/>
    <w:basedOn w:val="6"/>
    <w:qFormat/>
    <w:uiPriority w:val="0"/>
    <w:pPr>
      <w:keepNext/>
      <w:keepLines/>
      <w:numPr>
        <w:ilvl w:val="0"/>
        <w:numId w:val="0"/>
      </w:numPr>
      <w:tabs>
        <w:tab w:val="left" w:pos="930"/>
        <w:tab w:val="clear" w:pos="-181"/>
      </w:tabs>
      <w:spacing w:before="0" w:beforeLines="0"/>
      <w:jc w:val="both"/>
      <w:textAlignment w:val="auto"/>
    </w:pPr>
    <w:rPr>
      <w:rFonts w:ascii="Arial" w:hAnsi="Arial"/>
      <w:b/>
      <w:bCs/>
      <w:kern w:val="2"/>
      <w:sz w:val="32"/>
      <w:szCs w:val="32"/>
    </w:rPr>
  </w:style>
  <w:style w:type="paragraph" w:customStyle="1" w:styleId="2754">
    <w:name w:val="Char1 Char Char Char11"/>
    <w:basedOn w:val="1"/>
    <w:qFormat/>
    <w:uiPriority w:val="0"/>
    <w:pPr>
      <w:ind w:firstLine="200" w:firstLineChars="200"/>
    </w:pPr>
    <w:rPr>
      <w:rFonts w:ascii="宋体" w:hAnsi="宋体" w:cs="宋体"/>
    </w:rPr>
  </w:style>
  <w:style w:type="paragraph" w:customStyle="1" w:styleId="2755">
    <w:name w:val="表标题8.3"/>
    <w:basedOn w:val="6"/>
    <w:qFormat/>
    <w:uiPriority w:val="0"/>
    <w:pPr>
      <w:numPr>
        <w:ilvl w:val="0"/>
        <w:numId w:val="67"/>
      </w:numPr>
      <w:tabs>
        <w:tab w:val="center" w:pos="4060"/>
        <w:tab w:val="right" w:pos="8261"/>
        <w:tab w:val="clear" w:pos="-181"/>
      </w:tabs>
      <w:suppressAutoHyphens/>
      <w:snapToGrid/>
      <w:spacing w:before="0" w:line="0" w:lineRule="atLeast"/>
      <w:jc w:val="center"/>
      <w:textAlignment w:val="auto"/>
      <w:outlineLvl w:val="9"/>
    </w:pPr>
    <w:rPr>
      <w:rFonts w:ascii="黑体" w:cs="宋体"/>
      <w:b/>
      <w:bCs/>
      <w:spacing w:val="6"/>
      <w:sz w:val="24"/>
      <w:szCs w:val="20"/>
    </w:rPr>
  </w:style>
  <w:style w:type="paragraph" w:customStyle="1" w:styleId="2756">
    <w:name w:val="样式 标题 3小标题小节标题标题3H3h33rd level第二层条标题 3 Char标题 3 Char Ch..."/>
    <w:basedOn w:val="7"/>
    <w:qFormat/>
    <w:uiPriority w:val="0"/>
    <w:pPr>
      <w:spacing w:before="120" w:after="0" w:line="360" w:lineRule="auto"/>
      <w:jc w:val="left"/>
    </w:pPr>
    <w:rPr>
      <w:rFonts w:ascii="Times New Roman" w:hAnsi="Times New Roman" w:eastAsia="黑体" w:cs="宋体"/>
      <w:b w:val="0"/>
      <w:bCs w:val="0"/>
      <w:color w:val="auto"/>
      <w:kern w:val="0"/>
      <w:szCs w:val="20"/>
    </w:rPr>
  </w:style>
  <w:style w:type="paragraph" w:customStyle="1" w:styleId="2757">
    <w:name w:val="正文文本缩进 32"/>
    <w:basedOn w:val="1"/>
    <w:qFormat/>
    <w:uiPriority w:val="0"/>
    <w:pPr>
      <w:tabs>
        <w:tab w:val="left" w:pos="480"/>
      </w:tabs>
      <w:adjustRightInd w:val="0"/>
      <w:spacing w:line="360" w:lineRule="atLeast"/>
      <w:ind w:firstLine="567"/>
      <w:jc w:val="left"/>
      <w:textAlignment w:val="baseline"/>
    </w:pPr>
    <w:rPr>
      <w:rFonts w:ascii="宋体"/>
      <w:kern w:val="0"/>
      <w:sz w:val="28"/>
      <w:szCs w:val="20"/>
    </w:rPr>
  </w:style>
  <w:style w:type="paragraph" w:customStyle="1" w:styleId="2758">
    <w:name w:val="封2"/>
    <w:basedOn w:val="1"/>
    <w:qFormat/>
    <w:uiPriority w:val="0"/>
    <w:pPr>
      <w:spacing w:before="50" w:line="300" w:lineRule="auto"/>
      <w:ind w:firstLine="480" w:firstLineChars="200"/>
    </w:pPr>
  </w:style>
  <w:style w:type="paragraph" w:customStyle="1" w:styleId="2759">
    <w:name w:val="小表格"/>
    <w:basedOn w:val="1"/>
    <w:qFormat/>
    <w:uiPriority w:val="0"/>
    <w:pPr>
      <w:autoSpaceDE w:val="0"/>
      <w:autoSpaceDN w:val="0"/>
      <w:adjustRightInd w:val="0"/>
      <w:snapToGrid w:val="0"/>
      <w:spacing w:line="240" w:lineRule="auto"/>
      <w:jc w:val="center"/>
    </w:pPr>
    <w:rPr>
      <w:rFonts w:hint="eastAsia" w:ascii="仿宋_GB2312"/>
      <w:kern w:val="0"/>
      <w:sz w:val="21"/>
      <w:szCs w:val="20"/>
    </w:rPr>
  </w:style>
  <w:style w:type="paragraph" w:customStyle="1" w:styleId="2760">
    <w:name w:val="小表头"/>
    <w:basedOn w:val="1"/>
    <w:qFormat/>
    <w:uiPriority w:val="0"/>
    <w:pPr>
      <w:wordWrap w:val="0"/>
      <w:spacing w:line="400" w:lineRule="exact"/>
      <w:jc w:val="right"/>
    </w:pPr>
    <w:rPr>
      <w:rFonts w:ascii="宋体"/>
      <w:b/>
    </w:rPr>
  </w:style>
  <w:style w:type="paragraph" w:customStyle="1" w:styleId="2761">
    <w:name w:val="xl135"/>
    <w:basedOn w:val="1"/>
    <w:qFormat/>
    <w:uiPriority w:val="0"/>
    <w:pPr>
      <w:widowControl/>
      <w:pBdr>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762">
    <w:name w:val="样式 my标题3 + 段前: 0.5 行 段后: 0.5 行1"/>
    <w:basedOn w:val="2763"/>
    <w:qFormat/>
    <w:uiPriority w:val="0"/>
    <w:pPr>
      <w:numPr>
        <w:ilvl w:val="2"/>
      </w:numPr>
      <w:tabs>
        <w:tab w:val="left" w:pos="2705"/>
      </w:tabs>
      <w:spacing w:after="120"/>
      <w:ind w:left="540"/>
    </w:pPr>
    <w:rPr>
      <w:kern w:val="0"/>
      <w:szCs w:val="20"/>
    </w:rPr>
  </w:style>
  <w:style w:type="paragraph" w:customStyle="1" w:styleId="2763">
    <w:name w:val="my标题3"/>
    <w:basedOn w:val="7"/>
    <w:qFormat/>
    <w:uiPriority w:val="0"/>
    <w:pPr>
      <w:numPr>
        <w:ilvl w:val="0"/>
        <w:numId w:val="0"/>
      </w:numPr>
      <w:spacing w:before="120" w:beforeLines="50" w:after="0" w:afterLines="50" w:line="480" w:lineRule="exact"/>
      <w:ind w:left="540"/>
      <w:jc w:val="left"/>
    </w:pPr>
    <w:rPr>
      <w:rFonts w:ascii="Times New Roman" w:hAnsi="Times New Roman" w:cs="宋体"/>
      <w:sz w:val="24"/>
      <w:szCs w:val="24"/>
    </w:rPr>
  </w:style>
  <w:style w:type="paragraph" w:customStyle="1" w:styleId="2764">
    <w:name w:val="表7.3-1"/>
    <w:basedOn w:val="1"/>
    <w:qFormat/>
    <w:uiPriority w:val="0"/>
    <w:pPr>
      <w:numPr>
        <w:ilvl w:val="0"/>
        <w:numId w:val="68"/>
      </w:numPr>
      <w:tabs>
        <w:tab w:val="center" w:pos="4060"/>
        <w:tab w:val="right" w:pos="8261"/>
      </w:tabs>
      <w:suppressAutoHyphens/>
      <w:adjustRightInd w:val="0"/>
      <w:spacing w:before="240" w:line="0" w:lineRule="atLeast"/>
    </w:pPr>
    <w:rPr>
      <w:rFonts w:ascii="黑体" w:eastAsia="黑体" w:cs="宋体"/>
      <w:b/>
      <w:bCs/>
      <w:kern w:val="0"/>
    </w:rPr>
  </w:style>
  <w:style w:type="paragraph" w:customStyle="1" w:styleId="2765">
    <w:name w:val="my t－title  题注"/>
    <w:basedOn w:val="1"/>
    <w:qFormat/>
    <w:uiPriority w:val="0"/>
    <w:pPr>
      <w:keepNext/>
      <w:suppressAutoHyphens/>
      <w:spacing w:before="152" w:after="160" w:line="240" w:lineRule="auto"/>
      <w:jc w:val="center"/>
    </w:pPr>
    <w:rPr>
      <w:rFonts w:ascii="Arial" w:hAnsi="Arial" w:eastAsia="黑体"/>
      <w:kern w:val="1"/>
      <w:szCs w:val="20"/>
    </w:rPr>
  </w:style>
  <w:style w:type="paragraph" w:customStyle="1" w:styleId="2766">
    <w:name w:val="项目"/>
    <w:basedOn w:val="1"/>
    <w:qFormat/>
    <w:uiPriority w:val="0"/>
    <w:pPr>
      <w:tabs>
        <w:tab w:val="left" w:pos="360"/>
      </w:tabs>
      <w:spacing w:line="240" w:lineRule="auto"/>
    </w:pPr>
  </w:style>
  <w:style w:type="paragraph" w:customStyle="1" w:styleId="2767">
    <w:name w:val="样式 标题 3 + 首行缩进:  2 字符 段前: 0.5 行 段后: 0.5 行"/>
    <w:basedOn w:val="7"/>
    <w:qFormat/>
    <w:uiPriority w:val="0"/>
    <w:pPr>
      <w:numPr>
        <w:ilvl w:val="0"/>
        <w:numId w:val="0"/>
      </w:numPr>
      <w:spacing w:before="120" w:beforeLines="50" w:after="0" w:afterLines="50" w:line="240" w:lineRule="auto"/>
    </w:pPr>
    <w:rPr>
      <w:rFonts w:ascii="Times New Roman" w:hAnsi="Times New Roman" w:eastAsia="黑体" w:cs="宋体"/>
      <w:b w:val="0"/>
      <w:color w:val="auto"/>
      <w:szCs w:val="20"/>
    </w:rPr>
  </w:style>
  <w:style w:type="paragraph" w:customStyle="1" w:styleId="2768">
    <w:name w:val="目次"/>
    <w:basedOn w:val="87"/>
    <w:qFormat/>
    <w:uiPriority w:val="0"/>
    <w:pPr>
      <w:keepNext/>
      <w:tabs>
        <w:tab w:val="left" w:pos="628"/>
        <w:tab w:val="left" w:pos="1727"/>
        <w:tab w:val="left" w:pos="1884"/>
        <w:tab w:val="left" w:pos="2660"/>
        <w:tab w:val="left" w:pos="4325"/>
      </w:tabs>
      <w:adjustRightInd w:val="0"/>
      <w:snapToGrid w:val="0"/>
      <w:spacing w:after="0"/>
      <w:ind w:firstLine="560" w:firstLineChars="200"/>
    </w:pPr>
    <w:rPr>
      <w:rFonts w:ascii="宋体" w:hAnsi="宋体"/>
      <w:b/>
      <w:bCs/>
      <w:color w:val="000000"/>
      <w:kern w:val="0"/>
      <w:sz w:val="28"/>
      <w:szCs w:val="28"/>
    </w:rPr>
  </w:style>
  <w:style w:type="paragraph" w:customStyle="1" w:styleId="2769">
    <w:name w:val="样式93"/>
    <w:basedOn w:val="1"/>
    <w:qFormat/>
    <w:uiPriority w:val="0"/>
    <w:pPr>
      <w:ind w:firstLine="665" w:firstLineChars="277"/>
    </w:pPr>
  </w:style>
  <w:style w:type="paragraph" w:customStyle="1" w:styleId="2770">
    <w:name w:val="样式 标题 3标题3小标题1.1.1标题 3 + 段后: 4 磅"/>
    <w:basedOn w:val="7"/>
    <w:qFormat/>
    <w:uiPriority w:val="0"/>
    <w:pPr>
      <w:keepNext w:val="0"/>
      <w:keepLines w:val="0"/>
      <w:widowControl/>
      <w:numPr>
        <w:numId w:val="0"/>
      </w:numPr>
      <w:adjustRightInd w:val="0"/>
      <w:snapToGrid w:val="0"/>
      <w:spacing w:before="0" w:after="80" w:line="360" w:lineRule="auto"/>
    </w:pPr>
    <w:rPr>
      <w:rFonts w:ascii="Times New Roman" w:hAnsi="Times New Roman" w:eastAsia="黑体" w:cs="宋体"/>
      <w:color w:val="auto"/>
      <w:spacing w:val="-5"/>
      <w:kern w:val="28"/>
      <w:sz w:val="24"/>
      <w:szCs w:val="20"/>
    </w:rPr>
  </w:style>
  <w:style w:type="paragraph" w:customStyle="1" w:styleId="2771">
    <w:name w:val="样式 行距: 多倍行距 1.25 字行"/>
    <w:basedOn w:val="1"/>
    <w:qFormat/>
    <w:uiPriority w:val="0"/>
    <w:pPr>
      <w:adjustRightInd w:val="0"/>
    </w:pPr>
    <w:rPr>
      <w:rFonts w:cs="宋体"/>
      <w:color w:val="000000"/>
      <w:sz w:val="21"/>
      <w:szCs w:val="20"/>
    </w:rPr>
  </w:style>
  <w:style w:type="paragraph" w:customStyle="1" w:styleId="2772">
    <w:name w:val="小四宋居中1.0"/>
    <w:basedOn w:val="1"/>
    <w:next w:val="1"/>
    <w:qFormat/>
    <w:uiPriority w:val="0"/>
    <w:pPr>
      <w:overflowPunct w:val="0"/>
      <w:autoSpaceDE w:val="0"/>
      <w:autoSpaceDN w:val="0"/>
      <w:ind w:left="-2" w:hanging="26"/>
      <w:jc w:val="center"/>
    </w:pPr>
    <w:rPr>
      <w:rFonts w:ascii="宋体" w:hAnsi="宋体"/>
      <w:color w:val="000000"/>
      <w:kern w:val="0"/>
      <w:szCs w:val="20"/>
    </w:rPr>
  </w:style>
  <w:style w:type="paragraph" w:customStyle="1" w:styleId="2773">
    <w:name w:val="121111111111"/>
    <w:basedOn w:val="1"/>
    <w:qFormat/>
    <w:uiPriority w:val="0"/>
    <w:pPr>
      <w:spacing w:line="460" w:lineRule="exact"/>
      <w:jc w:val="center"/>
    </w:pPr>
    <w:rPr>
      <w:rFonts w:eastAsia="黑体"/>
      <w:color w:val="000000"/>
      <w:spacing w:val="16"/>
    </w:rPr>
  </w:style>
  <w:style w:type="paragraph" w:customStyle="1" w:styleId="2774">
    <w:name w:val="图号"/>
    <w:basedOn w:val="1"/>
    <w:qFormat/>
    <w:uiPriority w:val="0"/>
    <w:pPr>
      <w:spacing w:after="120" w:line="460" w:lineRule="exact"/>
      <w:jc w:val="center"/>
      <w:outlineLvl w:val="0"/>
    </w:pPr>
    <w:rPr>
      <w:rFonts w:eastAsia="黑体"/>
      <w:szCs w:val="20"/>
    </w:rPr>
  </w:style>
  <w:style w:type="paragraph" w:customStyle="1" w:styleId="2775">
    <w:name w:val="表格后-段落"/>
    <w:basedOn w:val="1685"/>
    <w:qFormat/>
    <w:uiPriority w:val="0"/>
    <w:pPr>
      <w:spacing w:beforeLines="150" w:line="360" w:lineRule="auto"/>
      <w:ind w:firstLine="200" w:firstLineChars="200"/>
      <w:jc w:val="left"/>
    </w:pPr>
    <w:rPr>
      <w:sz w:val="24"/>
      <w:szCs w:val="24"/>
    </w:rPr>
  </w:style>
  <w:style w:type="paragraph" w:customStyle="1" w:styleId="2776">
    <w:name w:val="表头00000"/>
    <w:basedOn w:val="1"/>
    <w:next w:val="924"/>
    <w:qFormat/>
    <w:uiPriority w:val="0"/>
    <w:pPr>
      <w:adjustRightInd w:val="0"/>
      <w:spacing w:line="240" w:lineRule="atLeast"/>
      <w:jc w:val="center"/>
      <w:textAlignment w:val="baseline"/>
    </w:pPr>
    <w:rPr>
      <w:rFonts w:ascii="黑体" w:hAnsi="黑体" w:eastAsia="黑体"/>
      <w:kern w:val="0"/>
      <w:szCs w:val="20"/>
    </w:rPr>
  </w:style>
  <w:style w:type="paragraph" w:customStyle="1" w:styleId="2777">
    <w:name w:val="样式 正文宋体小四 + 首行缩进:  2 字符"/>
    <w:basedOn w:val="1"/>
    <w:qFormat/>
    <w:uiPriority w:val="0"/>
    <w:pPr>
      <w:spacing w:line="240" w:lineRule="auto"/>
      <w:ind w:firstLine="480"/>
    </w:pPr>
    <w:rPr>
      <w:rFonts w:cs="宋体"/>
      <w:sz w:val="21"/>
    </w:rPr>
  </w:style>
  <w:style w:type="paragraph" w:customStyle="1" w:styleId="2778">
    <w:name w:val="标题三"/>
    <w:basedOn w:val="1"/>
    <w:qFormat/>
    <w:uiPriority w:val="0"/>
    <w:pPr>
      <w:adjustRightInd w:val="0"/>
      <w:snapToGrid w:val="0"/>
      <w:ind w:firstLine="200" w:firstLineChars="200"/>
      <w:jc w:val="left"/>
      <w:outlineLvl w:val="2"/>
    </w:pPr>
    <w:rPr>
      <w:rFonts w:ascii="黑体" w:hAnsi="宋体" w:eastAsia="黑体"/>
      <w:b/>
      <w:bCs/>
    </w:rPr>
  </w:style>
  <w:style w:type="paragraph" w:customStyle="1" w:styleId="2779">
    <w:name w:val="图号样式"/>
    <w:basedOn w:val="1"/>
    <w:qFormat/>
    <w:uiPriority w:val="0"/>
    <w:pPr>
      <w:widowControl/>
      <w:jc w:val="center"/>
    </w:pPr>
    <w:rPr>
      <w:kern w:val="0"/>
      <w:lang w:bidi="en-US"/>
    </w:rPr>
  </w:style>
  <w:style w:type="paragraph" w:customStyle="1" w:styleId="2780">
    <w:name w:val="xl88"/>
    <w:basedOn w:val="1"/>
    <w:qFormat/>
    <w:uiPriority w:val="0"/>
    <w:pPr>
      <w:widowControl/>
      <w:spacing w:before="100" w:beforeAutospacing="1" w:after="100" w:afterAutospacing="1" w:line="240" w:lineRule="auto"/>
      <w:jc w:val="left"/>
      <w:textAlignment w:val="center"/>
    </w:pPr>
    <w:rPr>
      <w:rFonts w:ascii="宋体" w:hAnsi="宋体" w:cs="宋体"/>
      <w:kern w:val="0"/>
      <w:sz w:val="22"/>
      <w:szCs w:val="22"/>
    </w:rPr>
  </w:style>
  <w:style w:type="paragraph" w:customStyle="1" w:styleId="278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2782">
    <w:name w:val="1表"/>
    <w:basedOn w:val="1"/>
    <w:qFormat/>
    <w:uiPriority w:val="0"/>
    <w:pPr>
      <w:widowControl/>
      <w:spacing w:beforeLines="25" w:afterLines="25" w:line="400" w:lineRule="exact"/>
      <w:jc w:val="center"/>
    </w:pPr>
    <w:rPr>
      <w:rFonts w:eastAsia="黑体" w:cs="宋体"/>
      <w:kern w:val="0"/>
      <w:szCs w:val="20"/>
      <w:lang w:bidi="en-US"/>
    </w:rPr>
  </w:style>
  <w:style w:type="paragraph" w:customStyle="1" w:styleId="2783">
    <w:name w:val="xl28"/>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eastAsia="Arial Unicode MS"/>
      <w:kern w:val="0"/>
      <w:sz w:val="21"/>
      <w:szCs w:val="21"/>
    </w:rPr>
  </w:style>
  <w:style w:type="paragraph" w:customStyle="1" w:styleId="2784">
    <w:name w:val="报告书表格"/>
    <w:basedOn w:val="1"/>
    <w:qFormat/>
    <w:uiPriority w:val="0"/>
    <w:pPr>
      <w:adjustRightInd w:val="0"/>
      <w:spacing w:before="60" w:after="60" w:line="240" w:lineRule="atLeast"/>
      <w:jc w:val="center"/>
      <w:textAlignment w:val="baseline"/>
    </w:pPr>
    <w:rPr>
      <w:kern w:val="0"/>
      <w:sz w:val="21"/>
      <w:szCs w:val="20"/>
    </w:rPr>
  </w:style>
  <w:style w:type="paragraph" w:customStyle="1" w:styleId="2785">
    <w:name w:val="正文1 Char Char Char Char1 Char"/>
    <w:basedOn w:val="1"/>
    <w:qFormat/>
    <w:uiPriority w:val="0"/>
    <w:pPr>
      <w:suppressLineNumbers/>
      <w:suppressAutoHyphens/>
      <w:topLinePunct/>
      <w:adjustRightInd w:val="0"/>
      <w:snapToGrid w:val="0"/>
      <w:ind w:firstLine="480" w:firstLineChars="200"/>
    </w:pPr>
  </w:style>
  <w:style w:type="paragraph" w:customStyle="1" w:styleId="2786">
    <w:name w:val="16.7.2.1"/>
    <w:basedOn w:val="8"/>
    <w:qFormat/>
    <w:uiPriority w:val="0"/>
    <w:pPr>
      <w:keepLines/>
      <w:numPr>
        <w:ilvl w:val="3"/>
        <w:numId w:val="69"/>
      </w:numPr>
      <w:tabs>
        <w:tab w:val="left" w:pos="1080"/>
        <w:tab w:val="clear" w:pos="864"/>
      </w:tabs>
      <w:spacing w:before="120" w:after="120" w:line="312" w:lineRule="auto"/>
      <w:jc w:val="both"/>
    </w:pPr>
    <w:rPr>
      <w:rFonts w:ascii="Arial" w:hAnsi="Arial" w:eastAsia="黑体"/>
    </w:rPr>
  </w:style>
  <w:style w:type="paragraph" w:customStyle="1" w:styleId="2787">
    <w:name w:val="文"/>
    <w:basedOn w:val="1"/>
    <w:qFormat/>
    <w:uiPriority w:val="0"/>
    <w:pPr>
      <w:adjustRightInd w:val="0"/>
      <w:snapToGrid w:val="0"/>
      <w:spacing w:line="312" w:lineRule="auto"/>
      <w:ind w:firstLine="567"/>
    </w:pPr>
    <w:rPr>
      <w:rFonts w:ascii="宋体"/>
      <w:spacing w:val="6"/>
      <w:sz w:val="28"/>
      <w:szCs w:val="20"/>
    </w:rPr>
  </w:style>
  <w:style w:type="paragraph" w:customStyle="1" w:styleId="2788">
    <w:name w:val="样式 题注 + (西文) Times New Roman (中文) 宋体 小四 加粗 黑色 Char"/>
    <w:basedOn w:val="24"/>
    <w:qFormat/>
    <w:uiPriority w:val="0"/>
    <w:pPr>
      <w:keepNext w:val="0"/>
      <w:adjustRightInd w:val="0"/>
      <w:spacing w:beforeLines="100"/>
    </w:pPr>
    <w:rPr>
      <w:bCs/>
      <w:color w:val="000000"/>
      <w:kern w:val="0"/>
      <w:szCs w:val="24"/>
    </w:rPr>
  </w:style>
  <w:style w:type="paragraph" w:customStyle="1" w:styleId="2789">
    <w:name w:val="样式 宋体 四号 黑色 行距: 1.5 倍行距"/>
    <w:basedOn w:val="1"/>
    <w:qFormat/>
    <w:uiPriority w:val="0"/>
    <w:pPr>
      <w:autoSpaceDE w:val="0"/>
      <w:autoSpaceDN w:val="0"/>
      <w:ind w:firstLine="200" w:firstLineChars="200"/>
    </w:pPr>
    <w:rPr>
      <w:rFonts w:ascii="宋体" w:hAnsi="宋体" w:cs="宋体"/>
      <w:color w:val="000000"/>
      <w:sz w:val="28"/>
      <w:szCs w:val="20"/>
    </w:rPr>
  </w:style>
  <w:style w:type="paragraph" w:customStyle="1" w:styleId="2790">
    <w:name w:val="样式 黑色 行距: 1.5 倍行距 首行缩进:  2 字符"/>
    <w:basedOn w:val="1"/>
    <w:qFormat/>
    <w:uiPriority w:val="0"/>
    <w:pPr>
      <w:ind w:firstLine="480" w:firstLineChars="200"/>
    </w:pPr>
    <w:rPr>
      <w:rFonts w:eastAsia="楷体_GB2312" w:cs="宋体"/>
      <w:color w:val="000000"/>
      <w:szCs w:val="20"/>
    </w:rPr>
  </w:style>
  <w:style w:type="paragraph" w:customStyle="1" w:styleId="2791">
    <w:name w:val="式样13"/>
    <w:basedOn w:val="2792"/>
    <w:qFormat/>
    <w:uiPriority w:val="0"/>
    <w:pPr>
      <w:numPr>
        <w:ilvl w:val="0"/>
        <w:numId w:val="0"/>
      </w:numPr>
      <w:tabs>
        <w:tab w:val="left" w:pos="1571"/>
        <w:tab w:val="left" w:pos="2514"/>
      </w:tabs>
    </w:pPr>
  </w:style>
  <w:style w:type="paragraph" w:customStyle="1" w:styleId="2792">
    <w:name w:val="样式 13.4.4.1 +"/>
    <w:basedOn w:val="1432"/>
    <w:qFormat/>
    <w:uiPriority w:val="0"/>
    <w:rPr>
      <w:bCs/>
    </w:rPr>
  </w:style>
  <w:style w:type="paragraph" w:customStyle="1" w:styleId="2793">
    <w:name w:val="Char Char1 Char2"/>
    <w:basedOn w:val="1"/>
    <w:next w:val="1"/>
    <w:qFormat/>
    <w:uiPriority w:val="0"/>
    <w:pPr>
      <w:widowControl/>
      <w:ind w:firstLine="200" w:firstLineChars="200"/>
    </w:pPr>
    <w:rPr>
      <w:rFonts w:ascii="宋体" w:hAnsi="宋体" w:cs="宋体"/>
      <w:kern w:val="0"/>
      <w:lang w:bidi="en-US"/>
    </w:rPr>
  </w:style>
  <w:style w:type="paragraph" w:customStyle="1" w:styleId="2794">
    <w:name w:val="新标题2"/>
    <w:basedOn w:val="1"/>
    <w:qFormat/>
    <w:uiPriority w:val="0"/>
    <w:pPr>
      <w:keepNext/>
      <w:autoSpaceDE w:val="0"/>
      <w:autoSpaceDN w:val="0"/>
      <w:adjustRightInd w:val="0"/>
      <w:spacing w:before="120" w:after="120" w:line="460" w:lineRule="exact"/>
      <w:outlineLvl w:val="1"/>
    </w:pPr>
    <w:rPr>
      <w:rFonts w:ascii="黑体" w:eastAsia="黑体" w:cs="宋体"/>
      <w:b/>
      <w:bCs/>
      <w:color w:val="000000"/>
      <w:lang w:val="zh-CN"/>
    </w:rPr>
  </w:style>
  <w:style w:type="paragraph" w:customStyle="1" w:styleId="2795">
    <w:name w:val="尾注文本11"/>
    <w:basedOn w:val="1"/>
    <w:qFormat/>
    <w:uiPriority w:val="0"/>
    <w:pPr>
      <w:adjustRightInd w:val="0"/>
      <w:spacing w:line="360" w:lineRule="atLeast"/>
      <w:jc w:val="left"/>
      <w:textAlignment w:val="baseline"/>
    </w:pPr>
    <w:rPr>
      <w:rFonts w:ascii="宋体" w:hAnsi="宋体" w:cs="宋体"/>
      <w:spacing w:val="4"/>
      <w:sz w:val="21"/>
    </w:rPr>
  </w:style>
  <w:style w:type="paragraph" w:customStyle="1" w:styleId="2796">
    <w:name w:val="表格编号"/>
    <w:basedOn w:val="1"/>
    <w:next w:val="1"/>
    <w:qFormat/>
    <w:uiPriority w:val="0"/>
    <w:pPr>
      <w:tabs>
        <w:tab w:val="left" w:pos="720"/>
      </w:tabs>
      <w:spacing w:before="300" w:after="200" w:line="240" w:lineRule="auto"/>
      <w:jc w:val="center"/>
    </w:pPr>
    <w:rPr>
      <w:szCs w:val="20"/>
    </w:rPr>
  </w:style>
  <w:style w:type="paragraph" w:customStyle="1" w:styleId="2797">
    <w:name w:val="样式 标题 2一级标题节 + 仿宋_GB2312 小三 段前: 12 磅 段后: 6 磅 行距: 1.5 倍行距"/>
    <w:basedOn w:val="6"/>
    <w:qFormat/>
    <w:uiPriority w:val="0"/>
    <w:pPr>
      <w:tabs>
        <w:tab w:val="left" w:pos="576"/>
      </w:tabs>
      <w:spacing w:before="240" w:beforeLines="0" w:after="120"/>
    </w:pPr>
    <w:rPr>
      <w:rFonts w:ascii="仿宋_GB2312" w:hAnsi="宋体" w:eastAsia="仿宋_GB2312" w:cs="宋体"/>
      <w:szCs w:val="20"/>
    </w:rPr>
  </w:style>
  <w:style w:type="paragraph" w:customStyle="1" w:styleId="2798">
    <w:name w:val="2级标题"/>
    <w:basedOn w:val="6"/>
    <w:qFormat/>
    <w:uiPriority w:val="0"/>
    <w:pPr>
      <w:numPr>
        <w:ilvl w:val="0"/>
        <w:numId w:val="0"/>
      </w:numPr>
      <w:tabs>
        <w:tab w:val="left" w:pos="3564"/>
        <w:tab w:val="clear" w:pos="-181"/>
      </w:tabs>
      <w:adjustRightInd/>
      <w:snapToGrid/>
      <w:spacing w:before="0" w:beforeLines="0"/>
      <w:jc w:val="both"/>
      <w:textAlignment w:val="auto"/>
    </w:pPr>
    <w:rPr>
      <w:rFonts w:ascii="黑体" w:hAnsi="Arial"/>
      <w:kern w:val="2"/>
      <w:sz w:val="28"/>
    </w:rPr>
  </w:style>
  <w:style w:type="paragraph" w:customStyle="1" w:styleId="2799">
    <w:name w:val="Char12 Char Char Char1"/>
    <w:basedOn w:val="1"/>
    <w:qFormat/>
    <w:uiPriority w:val="0"/>
    <w:pPr>
      <w:spacing w:after="160" w:line="240" w:lineRule="exact"/>
      <w:jc w:val="left"/>
    </w:pPr>
    <w:rPr>
      <w:rFonts w:ascii="Arial" w:hAnsi="Arial" w:eastAsia="Times New Roman" w:cs="Verdana"/>
      <w:b/>
      <w:kern w:val="0"/>
      <w:lang w:eastAsia="en-US"/>
    </w:rPr>
  </w:style>
  <w:style w:type="paragraph" w:customStyle="1" w:styleId="2800">
    <w:name w:val="xl98"/>
    <w:basedOn w:val="1"/>
    <w:qFormat/>
    <w:uiPriority w:val="0"/>
    <w:pPr>
      <w:widowControl/>
      <w:pBdr>
        <w:top w:val="single" w:color="auto" w:sz="4" w:space="0"/>
        <w:lef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801">
    <w:name w:val="样式 燕山正文 + 首行缩进:  3.5 字符1"/>
    <w:basedOn w:val="1773"/>
    <w:qFormat/>
    <w:uiPriority w:val="0"/>
    <w:pPr>
      <w:ind w:firstLine="200"/>
      <w:jc w:val="both"/>
    </w:pPr>
    <w:rPr>
      <w:rFonts w:ascii="宋体" w:hAnsi="宋体" w:cs="宋体"/>
      <w:snapToGrid/>
      <w:color w:val="000000"/>
      <w:spacing w:val="0"/>
      <w:kern w:val="2"/>
      <w:sz w:val="28"/>
      <w:szCs w:val="20"/>
    </w:rPr>
  </w:style>
  <w:style w:type="paragraph" w:customStyle="1" w:styleId="2802">
    <w:name w:val="xl117"/>
    <w:basedOn w:val="1"/>
    <w:qFormat/>
    <w:uiPriority w:val="0"/>
    <w:pPr>
      <w:widowControl/>
      <w:pBdr>
        <w:top w:val="single" w:color="auto" w:sz="4" w:space="0"/>
        <w:bottom w:val="single" w:color="auto" w:sz="4" w:space="0"/>
      </w:pBdr>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2803">
    <w:name w:val="标题　4"/>
    <w:basedOn w:val="8"/>
    <w:qFormat/>
    <w:uiPriority w:val="0"/>
    <w:pPr>
      <w:keepLines/>
      <w:tabs>
        <w:tab w:val="left" w:pos="1080"/>
        <w:tab w:val="clear" w:pos="864"/>
      </w:tabs>
      <w:jc w:val="both"/>
    </w:pPr>
    <w:rPr>
      <w:kern w:val="0"/>
      <w:sz w:val="28"/>
      <w:szCs w:val="20"/>
    </w:rPr>
  </w:style>
  <w:style w:type="paragraph" w:customStyle="1" w:styleId="2804">
    <w:name w:val="head"/>
    <w:basedOn w:val="1"/>
    <w:next w:val="87"/>
    <w:qFormat/>
    <w:uiPriority w:val="0"/>
    <w:pPr>
      <w:keepNext/>
      <w:keepLines/>
      <w:snapToGrid w:val="0"/>
      <w:spacing w:before="120" w:after="120"/>
      <w:jc w:val="left"/>
    </w:pPr>
    <w:rPr>
      <w:rFonts w:ascii="宋体" w:hAnsi="宋体" w:cs="宋体"/>
      <w:sz w:val="32"/>
      <w:szCs w:val="32"/>
    </w:rPr>
  </w:style>
  <w:style w:type="paragraph" w:customStyle="1" w:styleId="2805">
    <w:name w:val="表字1"/>
    <w:basedOn w:val="36"/>
    <w:qFormat/>
    <w:uiPriority w:val="0"/>
    <w:pPr>
      <w:spacing w:line="240" w:lineRule="auto"/>
      <w:jc w:val="center"/>
    </w:pPr>
    <w:rPr>
      <w:sz w:val="21"/>
      <w:szCs w:val="21"/>
    </w:rPr>
  </w:style>
  <w:style w:type="paragraph" w:customStyle="1" w:styleId="2806">
    <w:name w:val="方程式"/>
    <w:basedOn w:val="1"/>
    <w:qFormat/>
    <w:uiPriority w:val="0"/>
    <w:pPr>
      <w:overflowPunct w:val="0"/>
      <w:autoSpaceDE w:val="0"/>
      <w:autoSpaceDN w:val="0"/>
      <w:adjustRightInd w:val="0"/>
      <w:spacing w:before="60" w:after="60" w:line="340" w:lineRule="exact"/>
      <w:jc w:val="left"/>
      <w:textAlignment w:val="bottom"/>
    </w:pPr>
    <w:rPr>
      <w:rFonts w:ascii="宋体"/>
      <w:kern w:val="0"/>
      <w:szCs w:val="20"/>
    </w:rPr>
  </w:style>
  <w:style w:type="paragraph" w:customStyle="1" w:styleId="2807">
    <w:name w:val="样式 标题 1 + 段前: 0 磅1"/>
    <w:basedOn w:val="5"/>
    <w:qFormat/>
    <w:uiPriority w:val="0"/>
    <w:pPr>
      <w:keepLines/>
      <w:pageBreakBefore/>
      <w:tabs>
        <w:tab w:val="left" w:pos="8160"/>
      </w:tabs>
      <w:adjustRightInd w:val="0"/>
      <w:spacing w:after="360" w:afterLines="50" w:line="240" w:lineRule="auto"/>
      <w:jc w:val="left"/>
      <w:textAlignment w:val="baseline"/>
    </w:pPr>
    <w:rPr>
      <w:rFonts w:ascii="Times New Roman" w:hAnsi="Times New Roman" w:cs="宋体"/>
      <w:b/>
      <w:bCs/>
      <w:kern w:val="44"/>
      <w:sz w:val="24"/>
      <w:szCs w:val="20"/>
    </w:rPr>
  </w:style>
  <w:style w:type="paragraph" w:customStyle="1" w:styleId="2808">
    <w:name w:val="样式 样式 正文缩进首行缩进两字正文（首行缩进两字） Char特点正文（首行缩进两字） Char Char Char正文（首....."/>
    <w:basedOn w:val="1"/>
    <w:qFormat/>
    <w:uiPriority w:val="0"/>
    <w:pPr>
      <w:spacing w:line="264" w:lineRule="auto"/>
      <w:ind w:firstLine="489" w:firstLineChars="200"/>
    </w:pPr>
    <w:rPr>
      <w:rFonts w:ascii="Arial" w:hAnsi="Arial" w:cs="宋体"/>
      <w:spacing w:val="10"/>
      <w:szCs w:val="20"/>
    </w:rPr>
  </w:style>
  <w:style w:type="paragraph" w:customStyle="1" w:styleId="2809">
    <w:name w:val="图1-1"/>
    <w:basedOn w:val="9"/>
    <w:qFormat/>
    <w:uiPriority w:val="0"/>
    <w:pPr>
      <w:keepNext w:val="0"/>
      <w:tabs>
        <w:tab w:val="clear" w:pos="1008"/>
      </w:tabs>
      <w:adjustRightInd/>
      <w:spacing w:before="0" w:after="0" w:line="240" w:lineRule="auto"/>
      <w:ind w:left="0" w:firstLine="0"/>
      <w:jc w:val="center"/>
      <w:textAlignment w:val="auto"/>
      <w:outlineLvl w:val="9"/>
    </w:pPr>
    <w:rPr>
      <w:b w:val="0"/>
      <w:kern w:val="2"/>
      <w:sz w:val="21"/>
      <w:szCs w:val="24"/>
    </w:rPr>
  </w:style>
  <w:style w:type="paragraph" w:customStyle="1" w:styleId="2810">
    <w:name w:val="样式 大正文 + 黑色"/>
    <w:basedOn w:val="2811"/>
    <w:qFormat/>
    <w:uiPriority w:val="0"/>
    <w:rPr>
      <w:color w:val="000000"/>
    </w:rPr>
  </w:style>
  <w:style w:type="paragraph" w:customStyle="1" w:styleId="2811">
    <w:name w:val="大正文"/>
    <w:basedOn w:val="1"/>
    <w:qFormat/>
    <w:uiPriority w:val="0"/>
    <w:pPr>
      <w:spacing w:line="240" w:lineRule="auto"/>
      <w:ind w:firstLine="200" w:firstLineChars="200"/>
    </w:pPr>
    <w:rPr>
      <w:rFonts w:ascii="仿宋_GB2312" w:hAnsi="宋体" w:eastAsia="仿宋_GB2312"/>
      <w:sz w:val="28"/>
      <w:szCs w:val="28"/>
    </w:rPr>
  </w:style>
  <w:style w:type="paragraph" w:customStyle="1" w:styleId="2812">
    <w:name w:val="reader-word-layer reader-word-s1-12"/>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813">
    <w:name w:val="et13"/>
    <w:basedOn w:val="1"/>
    <w:qFormat/>
    <w:uiPriority w:val="0"/>
    <w:pPr>
      <w:widowControl/>
      <w:pBdr>
        <w:bottom w:val="single" w:color="000000" w:sz="18"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814">
    <w:name w:val="样式 首行缩进:  2 字符10"/>
    <w:basedOn w:val="1"/>
    <w:qFormat/>
    <w:uiPriority w:val="0"/>
    <w:pPr>
      <w:spacing w:line="520" w:lineRule="exact"/>
      <w:ind w:firstLine="560" w:firstLineChars="200"/>
    </w:pPr>
    <w:rPr>
      <w:rFonts w:cs="宋体"/>
      <w:szCs w:val="20"/>
    </w:rPr>
  </w:style>
  <w:style w:type="paragraph" w:customStyle="1" w:styleId="2815">
    <w:name w:val="表7.4"/>
    <w:basedOn w:val="1"/>
    <w:qFormat/>
    <w:uiPriority w:val="0"/>
    <w:pPr>
      <w:tabs>
        <w:tab w:val="left" w:pos="420"/>
        <w:tab w:val="center" w:pos="4060"/>
        <w:tab w:val="right" w:pos="8261"/>
      </w:tabs>
      <w:suppressAutoHyphens/>
      <w:adjustRightInd w:val="0"/>
      <w:spacing w:beforeLines="100" w:line="0" w:lineRule="atLeast"/>
      <w:jc w:val="center"/>
    </w:pPr>
    <w:rPr>
      <w:rFonts w:ascii="黑体" w:eastAsia="黑体" w:cs="宋体"/>
      <w:b/>
      <w:bCs/>
      <w:spacing w:val="6"/>
      <w:kern w:val="0"/>
      <w:szCs w:val="20"/>
    </w:rPr>
  </w:style>
  <w:style w:type="paragraph" w:customStyle="1" w:styleId="2816">
    <w:name w:val="et23"/>
    <w:basedOn w:val="1"/>
    <w:qFormat/>
    <w:uiPriority w:val="0"/>
    <w:pPr>
      <w:widowControl/>
      <w:pBdr>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817">
    <w:name w:val="Number List"/>
    <w:qFormat/>
    <w:uiPriority w:val="0"/>
    <w:pPr>
      <w:widowControl w:val="0"/>
      <w:autoSpaceDE w:val="0"/>
      <w:autoSpaceDN w:val="0"/>
      <w:adjustRightInd w:val="0"/>
      <w:ind w:left="720"/>
      <w:textAlignment w:val="baseline"/>
    </w:pPr>
    <w:rPr>
      <w:rFonts w:ascii="宋体" w:hAnsi="Times New Roman" w:eastAsia="宋体" w:cs="Times New Roman"/>
      <w:color w:val="000000"/>
      <w:kern w:val="0"/>
      <w:sz w:val="24"/>
      <w:szCs w:val="20"/>
      <w:lang w:val="en-US" w:eastAsia="zh-CN" w:bidi="ar-SA"/>
    </w:rPr>
  </w:style>
  <w:style w:type="paragraph" w:customStyle="1" w:styleId="2818">
    <w:name w:val="标题3 Char Char Char Char Char Char1 Char"/>
    <w:basedOn w:val="1"/>
    <w:qFormat/>
    <w:uiPriority w:val="0"/>
    <w:pPr>
      <w:spacing w:afterLines="50" w:line="560" w:lineRule="exact"/>
    </w:pPr>
    <w:rPr>
      <w:rFonts w:eastAsia="黑体"/>
      <w:sz w:val="30"/>
      <w:szCs w:val="30"/>
    </w:rPr>
  </w:style>
  <w:style w:type="paragraph" w:customStyle="1" w:styleId="2819">
    <w:name w:val="样式16"/>
    <w:basedOn w:val="1"/>
    <w:qFormat/>
    <w:uiPriority w:val="0"/>
    <w:pPr>
      <w:spacing w:line="240" w:lineRule="auto"/>
      <w:jc w:val="center"/>
    </w:pPr>
    <w:rPr>
      <w:rFonts w:eastAsia="黑体"/>
    </w:rPr>
  </w:style>
  <w:style w:type="paragraph" w:customStyle="1" w:styleId="2820">
    <w:name w:val="样式 首行缩进:  0.77 厘米 行距: 固定值 20 磅4"/>
    <w:basedOn w:val="1"/>
    <w:qFormat/>
    <w:uiPriority w:val="0"/>
    <w:pPr>
      <w:ind w:firstLine="435"/>
    </w:pPr>
    <w:rPr>
      <w:sz w:val="21"/>
      <w:szCs w:val="20"/>
    </w:rPr>
  </w:style>
  <w:style w:type="paragraph" w:customStyle="1" w:styleId="2821">
    <w:name w:val="样式8"/>
    <w:basedOn w:val="1"/>
    <w:qFormat/>
    <w:uiPriority w:val="0"/>
    <w:pPr>
      <w:spacing w:line="240" w:lineRule="auto"/>
      <w:ind w:firstLine="499"/>
    </w:pPr>
    <w:rPr>
      <w:rFonts w:ascii="宋体"/>
      <w:szCs w:val="20"/>
    </w:rPr>
  </w:style>
  <w:style w:type="paragraph" w:customStyle="1" w:styleId="2822">
    <w:name w:val="基准页眉样式"/>
    <w:basedOn w:val="36"/>
    <w:qFormat/>
    <w:uiPriority w:val="0"/>
    <w:pPr>
      <w:spacing w:after="0" w:line="240" w:lineRule="auto"/>
      <w:jc w:val="center"/>
      <w:outlineLvl w:val="0"/>
    </w:pPr>
    <w:rPr>
      <w:rFonts w:ascii="宋体" w:hAnsi="Garamond"/>
      <w:color w:val="000000"/>
      <w:spacing w:val="15"/>
      <w:sz w:val="21"/>
      <w:szCs w:val="20"/>
    </w:rPr>
  </w:style>
  <w:style w:type="paragraph" w:customStyle="1" w:styleId="2823">
    <w:name w:val="文本正文"/>
    <w:basedOn w:val="52"/>
    <w:qFormat/>
    <w:uiPriority w:val="0"/>
    <w:pPr>
      <w:spacing w:before="156" w:beforeLines="50" w:after="156" w:afterLines="50" w:line="360" w:lineRule="auto"/>
      <w:ind w:firstLine="538" w:firstLineChars="224"/>
    </w:pPr>
    <w:rPr>
      <w:rFonts w:ascii="Times New Roman" w:hAnsi="Times New Roman"/>
      <w:sz w:val="24"/>
    </w:rPr>
  </w:style>
  <w:style w:type="paragraph" w:customStyle="1" w:styleId="2824">
    <w:name w:val="样式 标题 31.1.1条标题 3 Char Char标题 3 Char标3可研-标题 3§1.1.1.. (1..."/>
    <w:basedOn w:val="7"/>
    <w:qFormat/>
    <w:uiPriority w:val="0"/>
    <w:pPr>
      <w:keepNext w:val="0"/>
      <w:keepLines w:val="0"/>
      <w:numPr>
        <w:numId w:val="56"/>
      </w:numPr>
      <w:tabs>
        <w:tab w:val="left" w:pos="180"/>
        <w:tab w:val="left" w:pos="432"/>
        <w:tab w:val="left" w:pos="628"/>
      </w:tabs>
      <w:autoSpaceDE w:val="0"/>
      <w:autoSpaceDN w:val="0"/>
      <w:adjustRightInd w:val="0"/>
      <w:snapToGrid w:val="0"/>
      <w:spacing w:before="0" w:after="0" w:line="360" w:lineRule="auto"/>
    </w:pPr>
    <w:rPr>
      <w:rFonts w:cs="宋体"/>
      <w:b w:val="0"/>
      <w:bCs w:val="0"/>
      <w:spacing w:val="3"/>
      <w:szCs w:val="28"/>
      <w:lang w:val="zh-CN"/>
    </w:rPr>
  </w:style>
  <w:style w:type="paragraph" w:customStyle="1" w:styleId="2825">
    <w:name w:val="五号表格"/>
    <w:basedOn w:val="1"/>
    <w:qFormat/>
    <w:uiPriority w:val="0"/>
    <w:pPr>
      <w:jc w:val="center"/>
    </w:pPr>
    <w:rPr>
      <w:kern w:val="0"/>
      <w:szCs w:val="20"/>
    </w:rPr>
  </w:style>
  <w:style w:type="paragraph" w:customStyle="1" w:styleId="2826">
    <w:name w:val="四级标题 new"/>
    <w:basedOn w:val="8"/>
    <w:qFormat/>
    <w:uiPriority w:val="0"/>
    <w:pPr>
      <w:keepLines/>
      <w:tabs>
        <w:tab w:val="left" w:pos="1680"/>
        <w:tab w:val="clear" w:pos="864"/>
      </w:tabs>
      <w:adjustRightInd w:val="0"/>
      <w:ind w:left="800" w:leftChars="800" w:hanging="420" w:hangingChars="200"/>
      <w:jc w:val="left"/>
      <w:textAlignment w:val="baseline"/>
    </w:pPr>
    <w:rPr>
      <w:rFonts w:cs="宋体"/>
      <w:kern w:val="0"/>
      <w:szCs w:val="20"/>
    </w:rPr>
  </w:style>
  <w:style w:type="paragraph" w:customStyle="1" w:styleId="2827">
    <w:name w:val="样式80"/>
    <w:basedOn w:val="1527"/>
    <w:qFormat/>
    <w:uiPriority w:val="0"/>
    <w:rPr>
      <w:rFonts w:hAnsi="Times New Roman"/>
    </w:rPr>
  </w:style>
  <w:style w:type="paragraph" w:customStyle="1" w:styleId="2828">
    <w:name w:val="正文缩近"/>
    <w:basedOn w:val="1"/>
    <w:qFormat/>
    <w:uiPriority w:val="0"/>
    <w:pPr>
      <w:ind w:firstLine="560" w:firstLineChars="200"/>
    </w:pPr>
    <w:rPr>
      <w:sz w:val="28"/>
      <w:szCs w:val="28"/>
    </w:rPr>
  </w:style>
  <w:style w:type="paragraph" w:customStyle="1" w:styleId="2829">
    <w:name w:val="font11"/>
    <w:basedOn w:val="1"/>
    <w:qFormat/>
    <w:uiPriority w:val="0"/>
    <w:pPr>
      <w:widowControl/>
      <w:spacing w:before="100" w:beforeAutospacing="1" w:after="100" w:afterAutospacing="1" w:line="240" w:lineRule="auto"/>
      <w:jc w:val="left"/>
    </w:pPr>
    <w:rPr>
      <w:kern w:val="0"/>
      <w:sz w:val="16"/>
      <w:szCs w:val="16"/>
    </w:rPr>
  </w:style>
  <w:style w:type="paragraph" w:customStyle="1" w:styleId="2830">
    <w:name w:val="ch中文正文"/>
    <w:qFormat/>
    <w:uiPriority w:val="0"/>
    <w:pPr>
      <w:spacing w:beforeLines="50" w:afterLines="50" w:line="360" w:lineRule="auto"/>
      <w:ind w:firstLine="200" w:firstLineChars="200"/>
      <w:jc w:val="both"/>
    </w:pPr>
    <w:rPr>
      <w:rFonts w:ascii="Times New Roman" w:hAnsi="Times New Roman" w:eastAsia="宋体" w:cs="Times New Roman"/>
      <w:kern w:val="0"/>
      <w:sz w:val="24"/>
      <w:szCs w:val="20"/>
      <w:lang w:val="en-US" w:eastAsia="zh-CN" w:bidi="ar-SA"/>
    </w:rPr>
  </w:style>
  <w:style w:type="paragraph" w:customStyle="1" w:styleId="2831">
    <w:name w:val="5文章(治)"/>
    <w:basedOn w:val="1"/>
    <w:qFormat/>
    <w:uiPriority w:val="0"/>
    <w:pPr>
      <w:ind w:firstLine="560" w:firstLineChars="200"/>
    </w:pPr>
    <w:rPr>
      <w:rFonts w:eastAsia="楷体_GB2312"/>
      <w:szCs w:val="20"/>
    </w:rPr>
  </w:style>
  <w:style w:type="paragraph" w:customStyle="1" w:styleId="2832">
    <w:name w:val="样式 样式 标题 2节 + (西文) Times New Roman (中文) 宋体 四号 段前: 0.5 行 段后: 0......"/>
    <w:basedOn w:val="1"/>
    <w:qFormat/>
    <w:uiPriority w:val="0"/>
    <w:pPr>
      <w:keepNext/>
      <w:keepLines/>
      <w:adjustRightInd w:val="0"/>
      <w:snapToGrid w:val="0"/>
      <w:spacing w:beforeLines="90" w:afterLines="90" w:line="300" w:lineRule="auto"/>
      <w:ind w:firstLine="480" w:firstLineChars="200"/>
      <w:textAlignment w:val="baseline"/>
    </w:pPr>
    <w:rPr>
      <w:rFonts w:ascii="幼圆" w:eastAsia="幼圆"/>
      <w:b/>
      <w:sz w:val="28"/>
      <w:szCs w:val="20"/>
    </w:rPr>
  </w:style>
  <w:style w:type="paragraph" w:customStyle="1" w:styleId="2833">
    <w:name w:val="三级标题new"/>
    <w:basedOn w:val="7"/>
    <w:qFormat/>
    <w:uiPriority w:val="0"/>
    <w:pPr>
      <w:numPr>
        <w:ilvl w:val="0"/>
        <w:numId w:val="0"/>
      </w:numPr>
      <w:tabs>
        <w:tab w:val="left" w:pos="900"/>
      </w:tabs>
      <w:spacing w:before="0" w:after="0" w:line="360" w:lineRule="auto"/>
      <w:jc w:val="left"/>
    </w:pPr>
    <w:rPr>
      <w:rFonts w:ascii="Times New Roman" w:hAnsi="Times New Roman" w:eastAsia="黑体" w:cs="宋体"/>
      <w:color w:val="auto"/>
      <w:szCs w:val="20"/>
    </w:rPr>
  </w:style>
  <w:style w:type="paragraph" w:customStyle="1" w:styleId="2834">
    <w:name w:val="正文首行缩进4"/>
    <w:basedOn w:val="36"/>
    <w:qFormat/>
    <w:uiPriority w:val="0"/>
    <w:pPr>
      <w:adjustRightInd w:val="0"/>
      <w:spacing w:line="312" w:lineRule="atLeast"/>
      <w:ind w:firstLine="420"/>
      <w:textAlignment w:val="baseline"/>
    </w:pPr>
    <w:rPr>
      <w:kern w:val="0"/>
      <w:sz w:val="27"/>
      <w:szCs w:val="20"/>
    </w:rPr>
  </w:style>
  <w:style w:type="paragraph" w:customStyle="1" w:styleId="2835">
    <w:name w:val="正文文"/>
    <w:basedOn w:val="1"/>
    <w:next w:val="1"/>
    <w:qFormat/>
    <w:uiPriority w:val="0"/>
    <w:pPr>
      <w:spacing w:beforeLines="25" w:afterLines="25" w:line="440" w:lineRule="exact"/>
      <w:ind w:firstLine="200" w:firstLineChars="200"/>
    </w:pPr>
    <w:rPr>
      <w:rFonts w:cs="宋体"/>
      <w:szCs w:val="20"/>
    </w:rPr>
  </w:style>
  <w:style w:type="paragraph" w:customStyle="1" w:styleId="2836">
    <w:name w:val="Char Char Char Char Char"/>
    <w:basedOn w:val="1"/>
    <w:qFormat/>
    <w:uiPriority w:val="0"/>
    <w:pPr>
      <w:spacing w:line="240" w:lineRule="auto"/>
    </w:pPr>
    <w:rPr>
      <w:rFonts w:ascii="宋体" w:hAnsi="Courier New" w:cs="Courier New"/>
      <w:sz w:val="21"/>
      <w:szCs w:val="21"/>
    </w:rPr>
  </w:style>
  <w:style w:type="paragraph" w:customStyle="1" w:styleId="2837">
    <w:name w:val="样式 样式 样式 表头 + 段前: 1 行1 + 段前: 1 行 + 仿宋_GB2312 小四"/>
    <w:basedOn w:val="2838"/>
    <w:qFormat/>
    <w:uiPriority w:val="0"/>
    <w:rPr>
      <w:rFonts w:ascii="仿宋_GB2312" w:hAnsi="仿宋_GB2312" w:eastAsia="仿宋_GB2312"/>
      <w:sz w:val="24"/>
    </w:rPr>
  </w:style>
  <w:style w:type="paragraph" w:customStyle="1" w:styleId="2838">
    <w:name w:val="样式 样式 表头 + 段前: 1 行1 + 段前: 1 行"/>
    <w:basedOn w:val="2187"/>
    <w:qFormat/>
    <w:uiPriority w:val="0"/>
    <w:pPr>
      <w:spacing w:before="312"/>
    </w:pPr>
    <w:rPr>
      <w:bCs/>
    </w:rPr>
  </w:style>
  <w:style w:type="paragraph" w:customStyle="1" w:styleId="2839">
    <w:name w:val="5"/>
    <w:basedOn w:val="1"/>
    <w:next w:val="82"/>
    <w:qFormat/>
    <w:uiPriority w:val="0"/>
    <w:pPr>
      <w:widowControl/>
      <w:snapToGrid w:val="0"/>
      <w:spacing w:before="100" w:beforeAutospacing="1" w:after="100" w:afterAutospacing="1" w:line="240" w:lineRule="auto"/>
      <w:jc w:val="left"/>
    </w:pPr>
    <w:rPr>
      <w:rFonts w:ascii="Arial Unicode MS" w:hAnsi="Arial Unicode MS" w:eastAsia="Arial Unicode MS" w:cs="Arial Unicode MS"/>
      <w:color w:val="000000"/>
      <w:kern w:val="0"/>
      <w:sz w:val="21"/>
    </w:rPr>
  </w:style>
  <w:style w:type="paragraph" w:customStyle="1" w:styleId="2840">
    <w:name w:val="图表目录21"/>
    <w:basedOn w:val="2244"/>
    <w:next w:val="2244"/>
    <w:qFormat/>
    <w:uiPriority w:val="0"/>
    <w:pPr>
      <w:keepNext w:val="0"/>
      <w:tabs>
        <w:tab w:val="right" w:leader="dot" w:pos="8051"/>
      </w:tabs>
      <w:spacing w:before="0" w:after="200" w:line="360" w:lineRule="atLeast"/>
      <w:ind w:left="840" w:hanging="840" w:firstLineChars="0"/>
      <w:jc w:val="left"/>
    </w:pPr>
    <w:rPr>
      <w:rFonts w:ascii="宋体" w:hAnsi="Calibri"/>
      <w:sz w:val="24"/>
      <w:szCs w:val="22"/>
    </w:rPr>
  </w:style>
  <w:style w:type="paragraph" w:customStyle="1" w:styleId="2841">
    <w:name w:val="样式 标题 1第一标题 + 段前: 0.3 行 段后: 0.3 行"/>
    <w:basedOn w:val="5"/>
    <w:qFormat/>
    <w:uiPriority w:val="0"/>
    <w:pPr>
      <w:keepNext w:val="0"/>
      <w:widowControl/>
      <w:autoSpaceDE w:val="0"/>
      <w:autoSpaceDN w:val="0"/>
      <w:spacing w:before="360" w:beforeLines="50" w:after="360" w:afterLines="30" w:line="240" w:lineRule="auto"/>
    </w:pPr>
    <w:rPr>
      <w:rFonts w:ascii="Cambria" w:hAnsi="Cambria" w:eastAsia="黑体" w:cs="宋体"/>
      <w:kern w:val="0"/>
      <w:sz w:val="32"/>
      <w:szCs w:val="20"/>
      <w:lang w:val="zh-CN" w:bidi="en-US"/>
    </w:rPr>
  </w:style>
  <w:style w:type="paragraph" w:customStyle="1" w:styleId="2842">
    <w:name w:val="正文样式一"/>
    <w:basedOn w:val="1"/>
    <w:qFormat/>
    <w:uiPriority w:val="0"/>
    <w:pPr>
      <w:adjustRightInd w:val="0"/>
      <w:spacing w:line="400" w:lineRule="atLeast"/>
      <w:ind w:firstLine="510"/>
      <w:textAlignment w:val="baseline"/>
    </w:pPr>
    <w:rPr>
      <w:kern w:val="0"/>
    </w:rPr>
  </w:style>
  <w:style w:type="paragraph" w:customStyle="1" w:styleId="2843">
    <w:name w:val="页号"/>
    <w:basedOn w:val="56"/>
    <w:qFormat/>
    <w:uiPriority w:val="0"/>
    <w:pPr>
      <w:tabs>
        <w:tab w:val="center" w:pos="4320"/>
        <w:tab w:val="right" w:pos="8640"/>
        <w:tab w:val="clear" w:pos="4153"/>
        <w:tab w:val="clear" w:pos="8306"/>
      </w:tabs>
      <w:adjustRightInd w:val="0"/>
      <w:snapToGrid/>
      <w:jc w:val="center"/>
      <w:textAlignment w:val="baseline"/>
    </w:pPr>
    <w:rPr>
      <w:rFonts w:ascii="宋体" w:hAnsi="Arial" w:cs="宋体"/>
      <w:spacing w:val="3"/>
      <w:kern w:val="24"/>
      <w:sz w:val="24"/>
      <w:szCs w:val="24"/>
    </w:rPr>
  </w:style>
  <w:style w:type="paragraph" w:customStyle="1" w:styleId="2844">
    <w:name w:val="样式 列表列表 Char列表 Char Char Char Char Char1列表 Char Char Char Cha..."/>
    <w:basedOn w:val="67"/>
    <w:qFormat/>
    <w:uiPriority w:val="0"/>
    <w:pPr>
      <w:spacing w:line="500" w:lineRule="exact"/>
      <w:ind w:left="0" w:firstLine="200" w:firstLineChars="200"/>
      <w:jc w:val="center"/>
    </w:pPr>
    <w:rPr>
      <w:rFonts w:eastAsia="黑体"/>
      <w:sz w:val="24"/>
      <w:szCs w:val="24"/>
    </w:rPr>
  </w:style>
  <w:style w:type="paragraph" w:customStyle="1" w:styleId="2845">
    <w:name w:val="正文文本最新 Char Char Char1 Char Char Char Char Char Char"/>
    <w:qFormat/>
    <w:uiPriority w:val="0"/>
    <w:pPr>
      <w:spacing w:line="360" w:lineRule="auto"/>
      <w:ind w:firstLine="200" w:firstLineChars="200"/>
      <w:jc w:val="both"/>
    </w:pPr>
    <w:rPr>
      <w:rFonts w:ascii="Times New Roman" w:hAnsi="Times New Roman" w:eastAsia="宋体" w:cs="Times New Roman"/>
      <w:b/>
      <w:bCs/>
      <w:kern w:val="2"/>
      <w:sz w:val="28"/>
      <w:szCs w:val="24"/>
      <w:lang w:val="en-US" w:eastAsia="zh-CN" w:bidi="ar-SA"/>
    </w:rPr>
  </w:style>
  <w:style w:type="paragraph" w:customStyle="1" w:styleId="2846">
    <w:name w:val="16.5.2.1"/>
    <w:basedOn w:val="428"/>
    <w:qFormat/>
    <w:uiPriority w:val="0"/>
    <w:pPr>
      <w:tabs>
        <w:tab w:val="left" w:pos="0"/>
        <w:tab w:val="left" w:pos="360"/>
        <w:tab w:val="left" w:pos="1680"/>
        <w:tab w:val="left" w:pos="2160"/>
        <w:tab w:val="clear" w:pos="1800"/>
      </w:tabs>
      <w:spacing w:after="0"/>
      <w:ind w:left="2160" w:hanging="420"/>
    </w:pPr>
    <w:rPr>
      <w:b w:val="0"/>
    </w:rPr>
  </w:style>
  <w:style w:type="paragraph" w:customStyle="1" w:styleId="2847">
    <w:name w:val="样式46"/>
    <w:basedOn w:val="1568"/>
    <w:qFormat/>
    <w:uiPriority w:val="0"/>
    <w:pPr>
      <w:tabs>
        <w:tab w:val="left" w:pos="1365"/>
      </w:tabs>
      <w:adjustRightInd w:val="0"/>
      <w:snapToGrid w:val="0"/>
      <w:spacing w:line="336" w:lineRule="auto"/>
      <w:ind w:left="47" w:firstLine="691" w:firstLineChars="287"/>
    </w:pPr>
    <w:rPr>
      <w:rFonts w:ascii="Times New Roman" w:hAnsi="Times New Roman" w:eastAsia="黑体"/>
      <w:b/>
      <w:bCs/>
      <w:szCs w:val="20"/>
    </w:rPr>
  </w:style>
  <w:style w:type="paragraph" w:customStyle="1" w:styleId="2848">
    <w:name w:val="样式 标题 2 + 行距: 1.5 倍行距"/>
    <w:basedOn w:val="6"/>
    <w:qFormat/>
    <w:uiPriority w:val="0"/>
    <w:pPr>
      <w:numPr>
        <w:numId w:val="0"/>
      </w:numPr>
      <w:tabs>
        <w:tab w:val="left" w:pos="576"/>
      </w:tabs>
      <w:spacing w:before="0" w:beforeLines="0"/>
      <w:ind w:left="576" w:hanging="576"/>
    </w:pPr>
    <w:rPr>
      <w:rFonts w:eastAsia="宋体" w:cs="宋体"/>
      <w:b/>
      <w:bCs/>
      <w:sz w:val="28"/>
      <w:szCs w:val="20"/>
    </w:rPr>
  </w:style>
  <w:style w:type="paragraph" w:customStyle="1" w:styleId="2849">
    <w:name w:val="样式 样式 样式 表格 + 加粗 全部大写 + 加粗 非全部大写 + 加粗 全部大写"/>
    <w:basedOn w:val="2449"/>
    <w:qFormat/>
    <w:uiPriority w:val="0"/>
  </w:style>
  <w:style w:type="paragraph" w:customStyle="1" w:styleId="2850">
    <w:name w:val="样式 正文文本缩进正文文字缩进正文文字缩进1 + 首行缩进:  0.98 厘米"/>
    <w:basedOn w:val="3"/>
    <w:qFormat/>
    <w:uiPriority w:val="0"/>
    <w:pPr>
      <w:snapToGrid w:val="0"/>
      <w:spacing w:after="0" w:line="460" w:lineRule="exact"/>
      <w:ind w:left="0" w:leftChars="0" w:firstLine="556"/>
    </w:pPr>
    <w:rPr>
      <w:rFonts w:ascii="楷体_GB2312" w:eastAsia="楷体_GB2312"/>
      <w:bCs/>
      <w:color w:val="000000"/>
      <w:kern w:val="0"/>
      <w:sz w:val="28"/>
      <w:szCs w:val="28"/>
    </w:rPr>
  </w:style>
  <w:style w:type="paragraph" w:customStyle="1" w:styleId="2851">
    <w:name w:val="样式 (中文) 仿宋_GB2312 四号 加粗 行距: 1.5 倍行距"/>
    <w:basedOn w:val="1"/>
    <w:qFormat/>
    <w:uiPriority w:val="0"/>
    <w:pPr>
      <w:ind w:firstLine="561" w:firstLineChars="200"/>
    </w:pPr>
    <w:rPr>
      <w:sz w:val="26"/>
      <w:szCs w:val="20"/>
    </w:rPr>
  </w:style>
  <w:style w:type="paragraph" w:customStyle="1" w:styleId="2852">
    <w:name w:val="样式 正文首行缩进 + 首行缩进:  0.85 厘米"/>
    <w:basedOn w:val="87"/>
    <w:qFormat/>
    <w:uiPriority w:val="0"/>
    <w:pPr>
      <w:spacing w:after="0" w:line="300" w:lineRule="auto"/>
      <w:ind w:firstLine="482" w:firstLineChars="0"/>
    </w:pPr>
    <w:rPr>
      <w:rFonts w:ascii="宋体" w:hAnsi="宋体" w:cs="宋体"/>
      <w:spacing w:val="4"/>
      <w:kern w:val="0"/>
      <w:szCs w:val="20"/>
    </w:rPr>
  </w:style>
  <w:style w:type="paragraph" w:customStyle="1" w:styleId="2853">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854">
    <w:name w:val="样式 标题 1 + Times New Roman 非加粗"/>
    <w:basedOn w:val="5"/>
    <w:qFormat/>
    <w:uiPriority w:val="0"/>
    <w:pPr>
      <w:keepLines/>
      <w:shd w:val="clear" w:color="auto" w:fill="FFFFFF"/>
      <w:spacing w:before="360" w:beforeLines="200" w:after="120" w:line="560" w:lineRule="exact"/>
      <w:jc w:val="center"/>
    </w:pPr>
    <w:rPr>
      <w:rFonts w:ascii="黑体" w:hAnsi="Arial" w:eastAsia="黑体" w:cs="Arial"/>
      <w:kern w:val="32"/>
      <w:sz w:val="32"/>
    </w:rPr>
  </w:style>
  <w:style w:type="paragraph" w:customStyle="1" w:styleId="2855">
    <w:name w:val="4级样式"/>
    <w:basedOn w:val="8"/>
    <w:qFormat/>
    <w:uiPriority w:val="0"/>
    <w:pPr>
      <w:keepLines/>
      <w:numPr>
        <w:ilvl w:val="3"/>
        <w:numId w:val="43"/>
      </w:numPr>
      <w:tabs>
        <w:tab w:val="left" w:pos="1080"/>
        <w:tab w:val="clear" w:pos="864"/>
      </w:tabs>
      <w:spacing w:before="120" w:after="120"/>
      <w:jc w:val="both"/>
    </w:pPr>
    <w:rPr>
      <w:rFonts w:eastAsia="黑体" w:cs="宋体"/>
      <w:bCs w:val="0"/>
    </w:rPr>
  </w:style>
  <w:style w:type="paragraph" w:customStyle="1" w:styleId="2856">
    <w:name w:val="报告名"/>
    <w:basedOn w:val="1"/>
    <w:qFormat/>
    <w:uiPriority w:val="0"/>
    <w:pPr>
      <w:tabs>
        <w:tab w:val="left" w:pos="1727"/>
        <w:tab w:val="left" w:pos="1884"/>
      </w:tabs>
      <w:adjustRightInd w:val="0"/>
      <w:spacing w:line="312" w:lineRule="auto"/>
      <w:outlineLvl w:val="0"/>
    </w:pPr>
    <w:rPr>
      <w:b/>
    </w:rPr>
  </w:style>
  <w:style w:type="paragraph" w:customStyle="1" w:styleId="2857">
    <w:name w:val="样式55"/>
    <w:basedOn w:val="545"/>
    <w:qFormat/>
    <w:uiPriority w:val="0"/>
    <w:pPr>
      <w:outlineLvl w:val="2"/>
    </w:pPr>
  </w:style>
  <w:style w:type="paragraph" w:customStyle="1" w:styleId="2858">
    <w:name w:val="样式 标题 2 + Times New Roman"/>
    <w:basedOn w:val="6"/>
    <w:qFormat/>
    <w:uiPriority w:val="0"/>
    <w:pPr>
      <w:keepNext/>
      <w:keepLines/>
      <w:numPr>
        <w:ilvl w:val="0"/>
        <w:numId w:val="0"/>
      </w:numPr>
      <w:tabs>
        <w:tab w:val="clear" w:pos="-181"/>
      </w:tabs>
      <w:adjustRightInd/>
      <w:snapToGrid/>
      <w:spacing w:before="0" w:beforeLines="0" w:after="100" w:afterAutospacing="1" w:line="300" w:lineRule="auto"/>
      <w:jc w:val="center"/>
      <w:textAlignment w:val="auto"/>
    </w:pPr>
    <w:rPr>
      <w:rFonts w:eastAsia="楷体_GB2312"/>
      <w:b/>
      <w:bCs/>
      <w:kern w:val="2"/>
      <w:sz w:val="32"/>
      <w:szCs w:val="32"/>
    </w:rPr>
  </w:style>
  <w:style w:type="paragraph" w:customStyle="1" w:styleId="2859">
    <w:name w:val="样式 样式 宋体 小四 左 行距: 固定值 24 磅 + 黑色 居中 首行缩进:  2 字符 段前: 5 磅 段后: 5..."/>
    <w:basedOn w:val="2860"/>
    <w:qFormat/>
    <w:uiPriority w:val="0"/>
    <w:pPr>
      <w:spacing w:before="100" w:after="100"/>
      <w:ind w:firstLine="0" w:firstLineChars="0"/>
      <w:jc w:val="center"/>
    </w:pPr>
    <w:rPr>
      <w:color w:val="000000"/>
    </w:rPr>
  </w:style>
  <w:style w:type="paragraph" w:customStyle="1" w:styleId="2860">
    <w:name w:val="样式 宋体 小四 左 行距: 固定值 24 磅"/>
    <w:basedOn w:val="1"/>
    <w:qFormat/>
    <w:uiPriority w:val="0"/>
    <w:pPr>
      <w:spacing w:line="480" w:lineRule="exact"/>
      <w:ind w:firstLine="200" w:firstLineChars="200"/>
      <w:jc w:val="left"/>
    </w:pPr>
    <w:rPr>
      <w:rFonts w:ascii="宋体" w:cs="宋体"/>
      <w:kern w:val="0"/>
      <w:szCs w:val="20"/>
    </w:rPr>
  </w:style>
  <w:style w:type="paragraph" w:customStyle="1" w:styleId="2861">
    <w:name w:val="ZW Char Char Char"/>
    <w:basedOn w:val="1"/>
    <w:qFormat/>
    <w:uiPriority w:val="0"/>
    <w:pPr>
      <w:adjustRightInd w:val="0"/>
      <w:spacing w:beforeLines="20"/>
      <w:ind w:firstLine="560" w:firstLineChars="200"/>
    </w:pPr>
  </w:style>
  <w:style w:type="paragraph" w:customStyle="1" w:styleId="2862">
    <w:name w:val="日期11"/>
    <w:basedOn w:val="1"/>
    <w:next w:val="1"/>
    <w:qFormat/>
    <w:uiPriority w:val="0"/>
    <w:pPr>
      <w:adjustRightInd w:val="0"/>
      <w:spacing w:line="240" w:lineRule="auto"/>
      <w:textAlignment w:val="baseline"/>
    </w:pPr>
    <w:rPr>
      <w:sz w:val="21"/>
      <w:szCs w:val="20"/>
    </w:rPr>
  </w:style>
  <w:style w:type="paragraph" w:customStyle="1" w:styleId="2863">
    <w:name w:val="目录 2 + 首行缩进2 字符 + 首行缩进:  2 字符"/>
    <w:basedOn w:val="1597"/>
    <w:qFormat/>
    <w:uiPriority w:val="0"/>
    <w:pPr>
      <w:ind w:firstLine="480"/>
    </w:pPr>
    <w:rPr>
      <w:iCs w:val="0"/>
      <w:szCs w:val="20"/>
    </w:rPr>
  </w:style>
  <w:style w:type="paragraph" w:customStyle="1" w:styleId="2864">
    <w:name w:val="xl29"/>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eastAsia="Arial Unicode MS"/>
      <w:kern w:val="0"/>
      <w:sz w:val="21"/>
      <w:szCs w:val="21"/>
    </w:rPr>
  </w:style>
  <w:style w:type="paragraph" w:customStyle="1" w:styleId="2865">
    <w:name w:val="报告书正文 Char Char Char Char"/>
    <w:basedOn w:val="1"/>
    <w:qFormat/>
    <w:uiPriority w:val="0"/>
    <w:pPr>
      <w:spacing w:line="300" w:lineRule="auto"/>
      <w:ind w:firstLine="480" w:firstLineChars="200"/>
    </w:pPr>
    <w:rPr>
      <w:color w:val="000000"/>
      <w:szCs w:val="20"/>
    </w:rPr>
  </w:style>
  <w:style w:type="paragraph" w:customStyle="1" w:styleId="2866">
    <w:name w:val="居中四号"/>
    <w:qFormat/>
    <w:uiPriority w:val="0"/>
    <w:pPr>
      <w:spacing w:line="300" w:lineRule="auto"/>
      <w:jc w:val="center"/>
    </w:pPr>
    <w:rPr>
      <w:rFonts w:ascii="Times New Roman" w:hAnsi="Times New Roman" w:eastAsia="宋体" w:cs="Times New Roman"/>
      <w:kern w:val="0"/>
      <w:sz w:val="28"/>
      <w:szCs w:val="20"/>
      <w:lang w:val="en-US" w:eastAsia="zh-CN" w:bidi="ar-SA"/>
    </w:rPr>
  </w:style>
  <w:style w:type="paragraph" w:customStyle="1" w:styleId="2867">
    <w:name w:val="主题线"/>
    <w:basedOn w:val="1"/>
    <w:next w:val="36"/>
    <w:qFormat/>
    <w:uiPriority w:val="0"/>
    <w:pPr>
      <w:widowControl/>
      <w:overflowPunct w:val="0"/>
      <w:autoSpaceDE w:val="0"/>
      <w:autoSpaceDN w:val="0"/>
      <w:adjustRightInd w:val="0"/>
      <w:spacing w:line="240" w:lineRule="auto"/>
      <w:textAlignment w:val="baseline"/>
    </w:pPr>
    <w:rPr>
      <w:i/>
      <w:kern w:val="0"/>
      <w:sz w:val="20"/>
      <w:szCs w:val="20"/>
      <w:u w:val="single"/>
      <w:lang w:bidi="en-US"/>
    </w:rPr>
  </w:style>
  <w:style w:type="paragraph" w:customStyle="1" w:styleId="2868">
    <w:name w:val="偶数页篇眉"/>
    <w:basedOn w:val="58"/>
    <w:qFormat/>
    <w:uiPriority w:val="0"/>
    <w:pPr>
      <w:keepLines/>
      <w:widowControl/>
      <w:pBdr>
        <w:bottom w:val="none" w:color="auto" w:sz="0" w:space="0"/>
      </w:pBdr>
      <w:tabs>
        <w:tab w:val="right" w:pos="0"/>
        <w:tab w:val="center" w:pos="7200"/>
        <w:tab w:val="right" w:pos="14400"/>
        <w:tab w:val="clear" w:pos="4153"/>
        <w:tab w:val="clear" w:pos="8306"/>
      </w:tabs>
      <w:overflowPunct w:val="0"/>
      <w:autoSpaceDE w:val="0"/>
      <w:autoSpaceDN w:val="0"/>
      <w:adjustRightInd w:val="0"/>
      <w:snapToGrid/>
      <w:jc w:val="right"/>
      <w:textAlignment w:val="baseline"/>
    </w:pPr>
    <w:rPr>
      <w:spacing w:val="80"/>
      <w:kern w:val="0"/>
      <w:sz w:val="20"/>
      <w:szCs w:val="20"/>
      <w:lang w:bidi="en-US"/>
    </w:rPr>
  </w:style>
  <w:style w:type="paragraph" w:customStyle="1" w:styleId="2869">
    <w:name w:val="灯泡注释(打印无效)"/>
    <w:basedOn w:val="87"/>
    <w:qFormat/>
    <w:uiPriority w:val="0"/>
    <w:pPr>
      <w:snapToGrid w:val="0"/>
      <w:spacing w:after="0" w:line="240" w:lineRule="auto"/>
      <w:ind w:firstLine="0" w:firstLineChars="0"/>
    </w:pPr>
    <w:rPr>
      <w:rFonts w:ascii="宋体" w:hAnsi="宋体" w:cs="宋体"/>
      <w:i/>
      <w:vanish/>
      <w:color w:val="FF0000"/>
      <w:spacing w:val="4"/>
      <w:sz w:val="21"/>
      <w:szCs w:val="21"/>
    </w:rPr>
  </w:style>
  <w:style w:type="paragraph" w:customStyle="1" w:styleId="2870">
    <w:name w:val="表标题6.11"/>
    <w:basedOn w:val="1"/>
    <w:qFormat/>
    <w:uiPriority w:val="0"/>
    <w:pPr>
      <w:tabs>
        <w:tab w:val="left" w:pos="1619"/>
      </w:tabs>
      <w:spacing w:beforeLines="100" w:line="0" w:lineRule="atLeast"/>
      <w:ind w:left="539"/>
    </w:pPr>
    <w:rPr>
      <w:rFonts w:eastAsia="黑体"/>
      <w:b/>
    </w:rPr>
  </w:style>
  <w:style w:type="paragraph" w:customStyle="1" w:styleId="2871">
    <w:name w:val="表标题6.9"/>
    <w:basedOn w:val="1"/>
    <w:qFormat/>
    <w:uiPriority w:val="0"/>
    <w:pPr>
      <w:tabs>
        <w:tab w:val="left" w:pos="1619"/>
      </w:tabs>
      <w:spacing w:beforeLines="100" w:line="0" w:lineRule="atLeast"/>
      <w:ind w:left="539"/>
    </w:pPr>
    <w:rPr>
      <w:rFonts w:eastAsia="黑体"/>
      <w:b/>
    </w:rPr>
  </w:style>
  <w:style w:type="paragraph" w:customStyle="1" w:styleId="2872">
    <w:name w:val="表6"/>
    <w:basedOn w:val="36"/>
    <w:qFormat/>
    <w:uiPriority w:val="0"/>
    <w:pPr>
      <w:numPr>
        <w:ilvl w:val="0"/>
        <w:numId w:val="70"/>
      </w:numPr>
      <w:tabs>
        <w:tab w:val="clear" w:pos="0"/>
      </w:tabs>
      <w:spacing w:line="240" w:lineRule="auto"/>
    </w:pPr>
    <w:rPr>
      <w:sz w:val="21"/>
    </w:rPr>
  </w:style>
  <w:style w:type="paragraph" w:customStyle="1" w:styleId="2873">
    <w:name w:val="xl12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874">
    <w:name w:val="default"/>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875">
    <w:name w:val="三级标题王1"/>
    <w:basedOn w:val="1"/>
    <w:qFormat/>
    <w:uiPriority w:val="0"/>
    <w:pPr>
      <w:adjustRightInd w:val="0"/>
      <w:snapToGrid w:val="0"/>
      <w:jc w:val="left"/>
      <w:textAlignment w:val="baseline"/>
      <w:outlineLvl w:val="2"/>
    </w:pPr>
    <w:rPr>
      <w:rFonts w:ascii="黑体" w:eastAsia="黑体"/>
      <w:b/>
      <w:kern w:val="0"/>
    </w:rPr>
  </w:style>
  <w:style w:type="paragraph" w:customStyle="1" w:styleId="2876">
    <w:name w:val="zh正文"/>
    <w:basedOn w:val="1"/>
    <w:qFormat/>
    <w:uiPriority w:val="0"/>
    <w:pPr>
      <w:spacing w:line="360" w:lineRule="exact"/>
      <w:ind w:firstLine="560" w:firstLineChars="200"/>
    </w:pPr>
    <w:rPr>
      <w:rFonts w:ascii="宋体" w:hAnsi="宋体"/>
      <w:sz w:val="28"/>
      <w:szCs w:val="20"/>
    </w:rPr>
  </w:style>
  <w:style w:type="paragraph" w:customStyle="1" w:styleId="2877">
    <w:name w:val="样式 my标题3 + 段前: 0.5 行 段后: 0.5 行"/>
    <w:basedOn w:val="2763"/>
    <w:qFormat/>
    <w:uiPriority w:val="0"/>
    <w:pPr>
      <w:numPr>
        <w:ilvl w:val="2"/>
      </w:numPr>
      <w:ind w:left="540"/>
    </w:pPr>
    <w:rPr>
      <w:szCs w:val="20"/>
    </w:rPr>
  </w:style>
  <w:style w:type="paragraph" w:customStyle="1" w:styleId="2878">
    <w:name w:val="正文21"/>
    <w:basedOn w:val="1"/>
    <w:qFormat/>
    <w:uiPriority w:val="0"/>
    <w:pPr>
      <w:adjustRightInd w:val="0"/>
      <w:snapToGrid w:val="0"/>
      <w:spacing w:line="500" w:lineRule="atLeast"/>
      <w:ind w:firstLine="567"/>
    </w:pPr>
    <w:rPr>
      <w:rFonts w:cs="宋体"/>
      <w:color w:val="000000"/>
      <w:szCs w:val="20"/>
    </w:rPr>
  </w:style>
  <w:style w:type="paragraph" w:customStyle="1" w:styleId="2879">
    <w:name w:val="font0"/>
    <w:basedOn w:val="1"/>
    <w:qFormat/>
    <w:uiPriority w:val="0"/>
    <w:pPr>
      <w:widowControl/>
      <w:spacing w:before="100" w:beforeAutospacing="1" w:after="100" w:afterAutospacing="1" w:line="240" w:lineRule="auto"/>
      <w:jc w:val="left"/>
    </w:pPr>
    <w:rPr>
      <w:rFonts w:hint="eastAsia" w:ascii="宋体" w:hAnsi="宋体"/>
      <w:kern w:val="0"/>
    </w:rPr>
  </w:style>
  <w:style w:type="paragraph" w:customStyle="1" w:styleId="2880">
    <w:name w:val="样式 正文（首行缩进两字） Char1标题4 + (符号) 宋体 小四 首行缩进:  0.85 厘米"/>
    <w:basedOn w:val="1"/>
    <w:qFormat/>
    <w:uiPriority w:val="0"/>
    <w:pPr>
      <w:adjustRightInd w:val="0"/>
      <w:spacing w:line="440" w:lineRule="atLeast"/>
      <w:ind w:firstLine="482"/>
    </w:pPr>
    <w:rPr>
      <w:rFonts w:hAnsi="宋体" w:cs="宋体"/>
      <w:kern w:val="0"/>
      <w:szCs w:val="20"/>
    </w:rPr>
  </w:style>
  <w:style w:type="paragraph" w:customStyle="1" w:styleId="2881">
    <w:name w:val="WPS Plain"/>
    <w:qFormat/>
    <w:uiPriority w:val="0"/>
    <w:rPr>
      <w:rFonts w:ascii="Times New Roman" w:hAnsi="Times New Roman" w:eastAsia="宋体" w:cs="Times New Roman"/>
      <w:kern w:val="0"/>
      <w:sz w:val="20"/>
      <w:szCs w:val="20"/>
      <w:lang w:val="en-US" w:eastAsia="zh-CN" w:bidi="ar-SA"/>
    </w:rPr>
  </w:style>
  <w:style w:type="paragraph" w:customStyle="1" w:styleId="2882">
    <w:name w:val="正文1 Char Char2 Char"/>
    <w:basedOn w:val="1"/>
    <w:qFormat/>
    <w:uiPriority w:val="0"/>
    <w:pPr>
      <w:adjustRightInd w:val="0"/>
      <w:snapToGrid w:val="0"/>
      <w:spacing w:line="516" w:lineRule="exact"/>
      <w:ind w:firstLine="200" w:firstLineChars="200"/>
    </w:pPr>
    <w:rPr>
      <w:rFonts w:eastAsia="仿宋_GB2312"/>
      <w:sz w:val="26"/>
      <w:szCs w:val="26"/>
    </w:rPr>
  </w:style>
  <w:style w:type="paragraph" w:customStyle="1" w:styleId="2883">
    <w:name w:val="Char Char Char Char Char Char1 Char Char Char Char"/>
    <w:basedOn w:val="1"/>
    <w:qFormat/>
    <w:uiPriority w:val="0"/>
    <w:pPr>
      <w:widowControl/>
      <w:spacing w:line="240" w:lineRule="auto"/>
      <w:jc w:val="left"/>
    </w:pPr>
    <w:rPr>
      <w:rFonts w:ascii="宋体" w:hAnsi="宋体" w:cs="宋体"/>
      <w:kern w:val="0"/>
    </w:rPr>
  </w:style>
  <w:style w:type="paragraph" w:customStyle="1" w:styleId="2884">
    <w:name w:val="样式 样式 表格1 + 首行缩进:  0.63 厘米 + 段前: 0.5 行"/>
    <w:basedOn w:val="1"/>
    <w:qFormat/>
    <w:uiPriority w:val="0"/>
    <w:pPr>
      <w:adjustRightInd w:val="0"/>
      <w:snapToGrid w:val="0"/>
      <w:spacing w:line="240" w:lineRule="auto"/>
      <w:jc w:val="center"/>
    </w:pPr>
    <w:rPr>
      <w:rFonts w:ascii="宋体" w:hAnsi="宋体" w:cs="宋体"/>
      <w:sz w:val="18"/>
      <w:szCs w:val="18"/>
    </w:rPr>
  </w:style>
  <w:style w:type="paragraph" w:customStyle="1" w:styleId="2885">
    <w:name w:val="a8"/>
    <w:basedOn w:val="1"/>
    <w:qFormat/>
    <w:uiPriority w:val="0"/>
    <w:pPr>
      <w:widowControl/>
      <w:spacing w:before="100" w:beforeAutospacing="1" w:after="100" w:afterAutospacing="1" w:line="240" w:lineRule="auto"/>
      <w:jc w:val="left"/>
    </w:pPr>
    <w:rPr>
      <w:rFonts w:ascii="宋体" w:hAnsi="宋体"/>
      <w:color w:val="000000"/>
      <w:kern w:val="0"/>
    </w:rPr>
  </w:style>
  <w:style w:type="paragraph" w:customStyle="1" w:styleId="2886">
    <w:name w:val="xl37"/>
    <w:basedOn w:val="1"/>
    <w:qFormat/>
    <w:uiPriority w:val="0"/>
    <w:pPr>
      <w:widowControl/>
      <w:pBdr>
        <w:bottom w:val="single" w:color="auto" w:sz="4" w:space="0"/>
        <w:right w:val="single" w:color="auto" w:sz="4" w:space="0"/>
      </w:pBdr>
      <w:spacing w:before="100" w:beforeAutospacing="1" w:after="100" w:afterAutospacing="1" w:line="240" w:lineRule="auto"/>
      <w:jc w:val="center"/>
      <w:textAlignment w:val="top"/>
    </w:pPr>
    <w:rPr>
      <w:rFonts w:ascii="Arial" w:hAnsi="Arial" w:eastAsia="Arial Unicode MS" w:cs="Arial"/>
      <w:b/>
      <w:bCs/>
      <w:color w:val="0000FF"/>
      <w:kern w:val="0"/>
      <w:sz w:val="21"/>
      <w:szCs w:val="21"/>
    </w:rPr>
  </w:style>
  <w:style w:type="paragraph" w:customStyle="1" w:styleId="2887">
    <w:name w:val="表格小五"/>
    <w:basedOn w:val="1"/>
    <w:qFormat/>
    <w:uiPriority w:val="0"/>
    <w:pPr>
      <w:adjustRightInd w:val="0"/>
      <w:snapToGrid w:val="0"/>
      <w:spacing w:line="320" w:lineRule="exact"/>
      <w:ind w:left="-42" w:leftChars="-20" w:right="-42" w:rightChars="-20"/>
      <w:jc w:val="center"/>
      <w:textAlignment w:val="baseline"/>
    </w:pPr>
    <w:rPr>
      <w:rFonts w:ascii="Arial" w:hAnsi="Arial" w:cs="Arial"/>
      <w:snapToGrid w:val="0"/>
      <w:kern w:val="40"/>
      <w:sz w:val="18"/>
      <w:szCs w:val="18"/>
    </w:rPr>
  </w:style>
  <w:style w:type="paragraph" w:customStyle="1" w:styleId="2888">
    <w:name w:val="Char Char Char1 Char Char Char Char Char Char Char Char Char Char Char Char Char"/>
    <w:basedOn w:val="1"/>
    <w:qFormat/>
    <w:uiPriority w:val="0"/>
    <w:pPr>
      <w:spacing w:line="240" w:lineRule="auto"/>
    </w:pPr>
  </w:style>
  <w:style w:type="paragraph" w:customStyle="1" w:styleId="2889">
    <w:name w:val="基准页脚样式"/>
    <w:basedOn w:val="36"/>
    <w:qFormat/>
    <w:uiPriority w:val="0"/>
    <w:pPr>
      <w:widowControl/>
      <w:spacing w:after="0" w:line="320" w:lineRule="exact"/>
      <w:jc w:val="center"/>
    </w:pPr>
    <w:rPr>
      <w:rFonts w:ascii="宋体" w:hAnsi="Arial" w:cs="宋体"/>
      <w:spacing w:val="-20"/>
      <w:sz w:val="21"/>
    </w:rPr>
  </w:style>
  <w:style w:type="paragraph" w:customStyle="1" w:styleId="2890">
    <w:name w:val="正文样式1"/>
    <w:basedOn w:val="1"/>
    <w:qFormat/>
    <w:uiPriority w:val="0"/>
    <w:pPr>
      <w:ind w:firstLine="480" w:firstLineChars="200"/>
    </w:pPr>
    <w:rPr>
      <w:rFonts w:ascii="宋体"/>
    </w:rPr>
  </w:style>
  <w:style w:type="paragraph" w:customStyle="1" w:styleId="2891">
    <w:name w:val="Char51"/>
    <w:basedOn w:val="28"/>
    <w:qFormat/>
    <w:uiPriority w:val="0"/>
    <w:pPr>
      <w:adjustRightInd w:val="0"/>
      <w:spacing w:line="436" w:lineRule="exact"/>
      <w:ind w:left="357"/>
      <w:jc w:val="left"/>
      <w:outlineLvl w:val="3"/>
    </w:pPr>
    <w:rPr>
      <w:rFonts w:ascii="Tahoma" w:hAnsi="Tahoma"/>
      <w:b/>
      <w:sz w:val="24"/>
      <w:szCs w:val="28"/>
    </w:rPr>
  </w:style>
  <w:style w:type="paragraph" w:customStyle="1" w:styleId="2892">
    <w:name w:val="表芯"/>
    <w:basedOn w:val="1"/>
    <w:next w:val="1"/>
    <w:qFormat/>
    <w:uiPriority w:val="0"/>
    <w:pPr>
      <w:keepNext/>
      <w:adjustRightInd w:val="0"/>
      <w:spacing w:before="20" w:line="0" w:lineRule="atLeast"/>
      <w:jc w:val="center"/>
    </w:pPr>
    <w:rPr>
      <w:kern w:val="21"/>
      <w:sz w:val="21"/>
      <w:szCs w:val="20"/>
    </w:rPr>
  </w:style>
  <w:style w:type="paragraph" w:customStyle="1" w:styleId="2893">
    <w:name w:val="表注+左对齐"/>
    <w:basedOn w:val="1"/>
    <w:qFormat/>
    <w:uiPriority w:val="0"/>
    <w:pPr>
      <w:widowControl/>
      <w:adjustRightInd w:val="0"/>
      <w:snapToGrid w:val="0"/>
      <w:spacing w:line="240" w:lineRule="atLeast"/>
      <w:textAlignment w:val="baseline"/>
    </w:pPr>
    <w:rPr>
      <w:rFonts w:ascii="仿宋_GB2312" w:eastAsia="仿宋_GB2312"/>
      <w:sz w:val="18"/>
      <w:szCs w:val="18"/>
    </w:rPr>
  </w:style>
  <w:style w:type="paragraph" w:customStyle="1" w:styleId="2894">
    <w:name w:val="样式 标题 3小标题小节标题标题3H3h33rd level第二层条标题4标题 3 Char标题 3 Cha..."/>
    <w:basedOn w:val="7"/>
    <w:qFormat/>
    <w:uiPriority w:val="0"/>
    <w:pPr>
      <w:tabs>
        <w:tab w:val="left" w:pos="1185"/>
      </w:tabs>
      <w:adjustRightInd w:val="0"/>
      <w:snapToGrid w:val="0"/>
      <w:spacing w:before="0" w:after="0" w:line="360" w:lineRule="auto"/>
      <w:ind w:left="956" w:hanging="851"/>
      <w:textAlignment w:val="baseline"/>
    </w:pPr>
    <w:rPr>
      <w:rFonts w:ascii="Times New Roman" w:hAnsi="Times New Roman" w:cs="宋体"/>
      <w:color w:val="auto"/>
      <w:kern w:val="32"/>
      <w:sz w:val="32"/>
      <w:szCs w:val="20"/>
      <w:lang w:val="en-GB"/>
    </w:rPr>
  </w:style>
  <w:style w:type="paragraph" w:customStyle="1" w:styleId="2895">
    <w:name w:val="报告表  段"/>
    <w:basedOn w:val="1"/>
    <w:qFormat/>
    <w:uiPriority w:val="0"/>
    <w:pPr>
      <w:adjustRightInd w:val="0"/>
      <w:ind w:firstLine="505" w:firstLineChars="200"/>
      <w:textAlignment w:val="baseline"/>
    </w:pPr>
    <w:rPr>
      <w:rFonts w:ascii="宋体"/>
      <w:kern w:val="0"/>
      <w:szCs w:val="20"/>
    </w:rPr>
  </w:style>
  <w:style w:type="paragraph" w:customStyle="1" w:styleId="2896">
    <w:name w:val="样式90"/>
    <w:basedOn w:val="5"/>
    <w:qFormat/>
    <w:uiPriority w:val="0"/>
    <w:pPr>
      <w:keepLines/>
      <w:tabs>
        <w:tab w:val="left" w:pos="432"/>
      </w:tabs>
      <w:adjustRightInd w:val="0"/>
      <w:snapToGrid w:val="0"/>
      <w:spacing w:before="300" w:after="300" w:line="360" w:lineRule="auto"/>
      <w:ind w:left="432" w:hanging="432"/>
    </w:pPr>
    <w:rPr>
      <w:rFonts w:ascii="Times New Roman" w:hAnsi="Times New Roman" w:eastAsia="黑体"/>
      <w:b/>
      <w:bCs/>
      <w:kern w:val="44"/>
      <w:sz w:val="44"/>
      <w:szCs w:val="44"/>
    </w:rPr>
  </w:style>
  <w:style w:type="paragraph" w:customStyle="1" w:styleId="2897">
    <w:name w:val="Char Char Char Char4"/>
    <w:basedOn w:val="1"/>
    <w:qFormat/>
    <w:uiPriority w:val="0"/>
    <w:pPr>
      <w:spacing w:line="240" w:lineRule="auto"/>
    </w:pPr>
    <w:rPr>
      <w:sz w:val="21"/>
    </w:rPr>
  </w:style>
  <w:style w:type="paragraph" w:customStyle="1" w:styleId="2898">
    <w:name w:val="样式 左 行距: 1.5 倍行距"/>
    <w:basedOn w:val="1"/>
    <w:qFormat/>
    <w:uiPriority w:val="0"/>
    <w:pPr>
      <w:spacing w:line="312" w:lineRule="auto"/>
      <w:ind w:firstLine="200" w:firstLineChars="200"/>
      <w:jc w:val="left"/>
    </w:pPr>
    <w:rPr>
      <w:rFonts w:cs="宋体"/>
      <w:szCs w:val="20"/>
    </w:rPr>
  </w:style>
  <w:style w:type="paragraph" w:customStyle="1" w:styleId="2899">
    <w:name w:val="MFS正文 Char"/>
    <w:basedOn w:val="87"/>
    <w:qFormat/>
    <w:uiPriority w:val="0"/>
    <w:pPr>
      <w:adjustRightInd w:val="0"/>
      <w:snapToGrid w:val="0"/>
      <w:spacing w:before="93"/>
      <w:ind w:firstLine="200" w:firstLineChars="200"/>
    </w:pPr>
    <w:rPr>
      <w:rFonts w:eastAsia="楷体_GB2312"/>
    </w:rPr>
  </w:style>
  <w:style w:type="paragraph" w:customStyle="1" w:styleId="2900">
    <w:name w:val="样式 标题 2 + Times New Roman 小三 居中 行距: 固定值 20 磅"/>
    <w:basedOn w:val="6"/>
    <w:qFormat/>
    <w:uiPriority w:val="0"/>
    <w:pPr>
      <w:keepNext/>
      <w:keepLines/>
      <w:widowControl/>
      <w:numPr>
        <w:ilvl w:val="0"/>
        <w:numId w:val="0"/>
      </w:numPr>
      <w:tabs>
        <w:tab w:val="clear" w:pos="-181"/>
      </w:tabs>
      <w:adjustRightInd/>
      <w:snapToGrid/>
      <w:spacing w:before="260" w:beforeLines="0" w:after="260" w:line="400" w:lineRule="exact"/>
      <w:ind w:firstLine="538" w:firstLineChars="192"/>
      <w:textAlignment w:val="auto"/>
    </w:pPr>
    <w:rPr>
      <w:rFonts w:cs="宋体"/>
      <w:b/>
      <w:spacing w:val="4"/>
      <w:kern w:val="2"/>
      <w:szCs w:val="24"/>
    </w:rPr>
  </w:style>
  <w:style w:type="paragraph" w:customStyle="1" w:styleId="2901">
    <w:name w:val="表标题7.2"/>
    <w:basedOn w:val="2755"/>
    <w:qFormat/>
    <w:uiPriority w:val="0"/>
    <w:pPr>
      <w:numPr>
        <w:numId w:val="71"/>
      </w:numPr>
    </w:pPr>
    <w:rPr>
      <w:szCs w:val="24"/>
    </w:rPr>
  </w:style>
  <w:style w:type="paragraph" w:customStyle="1" w:styleId="2902">
    <w:name w:val="表格文字（居中）"/>
    <w:basedOn w:val="1"/>
    <w:qFormat/>
    <w:uiPriority w:val="0"/>
    <w:pPr>
      <w:spacing w:line="240" w:lineRule="auto"/>
      <w:jc w:val="center"/>
    </w:pPr>
    <w:rPr>
      <w:sz w:val="21"/>
      <w:szCs w:val="21"/>
    </w:rPr>
  </w:style>
  <w:style w:type="paragraph" w:customStyle="1" w:styleId="2903">
    <w:name w:val="t12"/>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2904">
    <w:name w:val="xl39"/>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2905">
    <w:name w:val="样式 标题 3 + 左侧:  0 厘米 首行缩进:  0 厘米"/>
    <w:basedOn w:val="7"/>
    <w:qFormat/>
    <w:uiPriority w:val="0"/>
    <w:pPr>
      <w:numPr>
        <w:ilvl w:val="0"/>
        <w:numId w:val="0"/>
      </w:numPr>
      <w:tabs>
        <w:tab w:val="left" w:pos="709"/>
        <w:tab w:val="left" w:pos="851"/>
        <w:tab w:val="left" w:pos="1050"/>
      </w:tabs>
      <w:adjustRightInd w:val="0"/>
      <w:snapToGrid w:val="0"/>
      <w:spacing w:before="0" w:after="0" w:line="360" w:lineRule="auto"/>
      <w:ind w:left="709" w:hanging="709"/>
      <w:textAlignment w:val="baseline"/>
    </w:pPr>
    <w:rPr>
      <w:rFonts w:ascii="Times New Roman" w:hAnsi="Times New Roman" w:cs="宋体"/>
      <w:bCs w:val="0"/>
      <w:color w:val="auto"/>
      <w:kern w:val="32"/>
      <w:sz w:val="30"/>
      <w:szCs w:val="30"/>
      <w:lang w:val="en-GB"/>
    </w:rPr>
  </w:style>
  <w:style w:type="paragraph" w:customStyle="1" w:styleId="2906">
    <w:name w:val="样式 标题 1 + Times New Roman 二号 段后: 6 磅 行距: 单倍行距"/>
    <w:basedOn w:val="5"/>
    <w:qFormat/>
    <w:uiPriority w:val="0"/>
    <w:pPr>
      <w:keepLines/>
      <w:tabs>
        <w:tab w:val="left" w:pos="425"/>
      </w:tabs>
      <w:adjustRightInd w:val="0"/>
      <w:snapToGrid w:val="0"/>
      <w:spacing w:before="340" w:line="360" w:lineRule="auto"/>
      <w:ind w:left="425" w:hanging="425"/>
      <w:jc w:val="left"/>
      <w:textAlignment w:val="baseline"/>
    </w:pPr>
    <w:rPr>
      <w:rFonts w:ascii="Times New Roman" w:hAnsi="Times New Roman"/>
      <w:b/>
      <w:bCs/>
      <w:kern w:val="0"/>
      <w:sz w:val="44"/>
      <w:szCs w:val="20"/>
    </w:rPr>
  </w:style>
  <w:style w:type="paragraph" w:customStyle="1" w:styleId="2907">
    <w:name w:val="xl122"/>
    <w:basedOn w:val="1"/>
    <w:qFormat/>
    <w:uiPriority w:val="0"/>
    <w:pPr>
      <w:widowControl/>
      <w:pBdr>
        <w:top w:val="single" w:color="auto" w:sz="4" w:space="0"/>
        <w:lef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908">
    <w:name w:val="字元"/>
    <w:basedOn w:val="1"/>
    <w:next w:val="1"/>
    <w:qFormat/>
    <w:uiPriority w:val="0"/>
    <w:pPr>
      <w:spacing w:line="480" w:lineRule="exact"/>
      <w:ind w:left="420" w:firstLine="420"/>
      <w:jc w:val="left"/>
    </w:pPr>
    <w:rPr>
      <w:kern w:val="0"/>
    </w:rPr>
  </w:style>
  <w:style w:type="paragraph" w:customStyle="1" w:styleId="2909">
    <w:name w:val="et7"/>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2910">
    <w:name w:val="图表1"/>
    <w:qFormat/>
    <w:uiPriority w:val="0"/>
    <w:pPr>
      <w:jc w:val="center"/>
    </w:pPr>
    <w:rPr>
      <w:rFonts w:ascii="Times New Roman" w:hAnsi="Times New Roman" w:eastAsia="宋体" w:cs="Times New Roman"/>
      <w:kern w:val="2"/>
      <w:sz w:val="21"/>
      <w:szCs w:val="24"/>
      <w:lang w:val="en-US" w:eastAsia="zh-CN" w:bidi="ar-SA"/>
    </w:rPr>
  </w:style>
  <w:style w:type="paragraph" w:customStyle="1" w:styleId="2911">
    <w:name w:val="Date1"/>
    <w:basedOn w:val="1"/>
    <w:next w:val="1"/>
    <w:qFormat/>
    <w:uiPriority w:val="0"/>
    <w:pPr>
      <w:adjustRightInd w:val="0"/>
      <w:spacing w:line="240" w:lineRule="auto"/>
      <w:textAlignment w:val="baseline"/>
    </w:pPr>
    <w:rPr>
      <w:sz w:val="21"/>
      <w:szCs w:val="20"/>
    </w:rPr>
  </w:style>
  <w:style w:type="paragraph" w:customStyle="1" w:styleId="2912">
    <w:name w:val="样式 正文1 Char Char + 字距调整七号 Char Char"/>
    <w:basedOn w:val="1"/>
    <w:qFormat/>
    <w:uiPriority w:val="0"/>
    <w:pPr>
      <w:suppressLineNumbers/>
      <w:suppressAutoHyphens/>
      <w:topLinePunct/>
      <w:adjustRightInd w:val="0"/>
      <w:snapToGrid w:val="0"/>
      <w:ind w:firstLine="480" w:firstLineChars="200"/>
    </w:pPr>
    <w:rPr>
      <w:kern w:val="11"/>
    </w:rPr>
  </w:style>
  <w:style w:type="paragraph" w:customStyle="1" w:styleId="2913">
    <w:name w:val="正文文本 21"/>
    <w:basedOn w:val="1"/>
    <w:qFormat/>
    <w:uiPriority w:val="0"/>
    <w:pPr>
      <w:overflowPunct w:val="0"/>
      <w:autoSpaceDE w:val="0"/>
      <w:autoSpaceDN w:val="0"/>
      <w:adjustRightInd w:val="0"/>
      <w:spacing w:after="120"/>
      <w:textAlignment w:val="baseline"/>
    </w:pPr>
    <w:rPr>
      <w:szCs w:val="20"/>
    </w:rPr>
  </w:style>
  <w:style w:type="paragraph" w:customStyle="1" w:styleId="2914">
    <w:name w:val="宏福4"/>
    <w:basedOn w:val="1"/>
    <w:qFormat/>
    <w:uiPriority w:val="0"/>
    <w:pPr>
      <w:adjustRightInd w:val="0"/>
      <w:spacing w:line="400" w:lineRule="atLeast"/>
      <w:ind w:firstLine="567"/>
      <w:jc w:val="left"/>
      <w:textAlignment w:val="baseline"/>
    </w:pPr>
    <w:rPr>
      <w:sz w:val="28"/>
      <w:szCs w:val="20"/>
    </w:rPr>
  </w:style>
  <w:style w:type="paragraph" w:customStyle="1" w:styleId="2915">
    <w:name w:val="段落 Char1 Char Char Char Char Char Char"/>
    <w:basedOn w:val="1"/>
    <w:qFormat/>
    <w:uiPriority w:val="0"/>
    <w:pPr>
      <w:widowControl/>
      <w:tabs>
        <w:tab w:val="left" w:pos="1021"/>
      </w:tabs>
      <w:adjustRightInd w:val="0"/>
      <w:snapToGrid w:val="0"/>
      <w:spacing w:line="326" w:lineRule="auto"/>
      <w:ind w:firstLine="528" w:firstLineChars="200"/>
    </w:pPr>
    <w:rPr>
      <w:color w:val="000000"/>
      <w:w w:val="110"/>
      <w:kern w:val="24"/>
      <w:lang w:bidi="en-US"/>
    </w:rPr>
  </w:style>
  <w:style w:type="paragraph" w:customStyle="1" w:styleId="2916">
    <w:name w:val="MFS正文 Char Char"/>
    <w:basedOn w:val="87"/>
    <w:qFormat/>
    <w:uiPriority w:val="0"/>
    <w:pPr>
      <w:adjustRightInd w:val="0"/>
      <w:snapToGrid w:val="0"/>
      <w:spacing w:before="93" w:after="0"/>
      <w:ind w:firstLine="487" w:firstLineChars="200"/>
    </w:pPr>
    <w:rPr>
      <w:rFonts w:eastAsia="楷体_GB2312"/>
      <w:spacing w:val="8"/>
      <w:kern w:val="24"/>
      <w:szCs w:val="20"/>
    </w:rPr>
  </w:style>
  <w:style w:type="paragraph" w:customStyle="1" w:styleId="2917">
    <w:name w:val="标题1（新）"/>
    <w:basedOn w:val="1"/>
    <w:next w:val="1"/>
    <w:qFormat/>
    <w:uiPriority w:val="0"/>
    <w:pPr>
      <w:widowControl/>
      <w:numPr>
        <w:ilvl w:val="0"/>
        <w:numId w:val="72"/>
      </w:numPr>
      <w:spacing w:beforeLines="50" w:afterLines="50" w:line="240" w:lineRule="auto"/>
    </w:pPr>
    <w:rPr>
      <w:rFonts w:eastAsia="黑体"/>
      <w:kern w:val="0"/>
      <w:szCs w:val="28"/>
    </w:rPr>
  </w:style>
  <w:style w:type="paragraph" w:customStyle="1" w:styleId="2918">
    <w:name w:val="样式 标题 1 + 黑体 三号 居中 行距: 固定值 20 磅"/>
    <w:basedOn w:val="5"/>
    <w:qFormat/>
    <w:uiPriority w:val="0"/>
    <w:pPr>
      <w:keepLines/>
      <w:widowControl/>
      <w:topLinePunct/>
      <w:autoSpaceDE w:val="0"/>
      <w:autoSpaceDN w:val="0"/>
      <w:adjustRightInd w:val="0"/>
      <w:snapToGrid w:val="0"/>
      <w:spacing w:before="340" w:after="330" w:line="400" w:lineRule="exact"/>
      <w:ind w:firstLine="538" w:firstLineChars="224"/>
      <w:jc w:val="left"/>
    </w:pPr>
    <w:rPr>
      <w:rFonts w:ascii="黑体" w:hAnsi="黑体" w:eastAsia="黑体" w:cs="宋体"/>
      <w:snapToGrid w:val="0"/>
      <w:kern w:val="44"/>
      <w:sz w:val="32"/>
      <w:szCs w:val="20"/>
    </w:rPr>
  </w:style>
  <w:style w:type="paragraph" w:customStyle="1" w:styleId="2919">
    <w:name w:val="样式 表 头 + (中文) 黑体 居中"/>
    <w:basedOn w:val="352"/>
    <w:qFormat/>
    <w:uiPriority w:val="0"/>
    <w:pPr>
      <w:tabs>
        <w:tab w:val="left" w:pos="1418"/>
      </w:tabs>
      <w:adjustRightInd/>
      <w:spacing w:before="0" w:afterLines="50" w:line="500" w:lineRule="exact"/>
      <w:ind w:left="864" w:hanging="576"/>
    </w:pPr>
    <w:rPr>
      <w:rFonts w:cs="宋体"/>
      <w:spacing w:val="0"/>
      <w:sz w:val="21"/>
    </w:rPr>
  </w:style>
  <w:style w:type="paragraph" w:customStyle="1" w:styleId="2920">
    <w:name w:val="宋体 13 磅 行距: 固定值 24 磅"/>
    <w:basedOn w:val="1"/>
    <w:qFormat/>
    <w:uiPriority w:val="0"/>
    <w:pPr>
      <w:spacing w:line="480" w:lineRule="exact"/>
      <w:ind w:firstLine="520" w:firstLineChars="200"/>
    </w:pPr>
    <w:rPr>
      <w:rFonts w:ascii="宋体" w:hAnsi="宋体" w:cs="宋体"/>
      <w:sz w:val="26"/>
      <w:szCs w:val="20"/>
    </w:rPr>
  </w:style>
  <w:style w:type="paragraph" w:customStyle="1" w:styleId="2921">
    <w:name w:val="ttxt"/>
    <w:basedOn w:val="1"/>
    <w:qFormat/>
    <w:uiPriority w:val="0"/>
    <w:pPr>
      <w:widowControl/>
      <w:spacing w:before="100" w:beforeAutospacing="1" w:after="100" w:afterAutospacing="1" w:line="240" w:lineRule="auto"/>
      <w:jc w:val="left"/>
    </w:pPr>
    <w:rPr>
      <w:rFonts w:ascii="宋体" w:hAnsi="宋体"/>
      <w:kern w:val="0"/>
    </w:rPr>
  </w:style>
  <w:style w:type="paragraph" w:customStyle="1" w:styleId="2922">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kern w:val="0"/>
      <w:sz w:val="16"/>
      <w:szCs w:val="16"/>
    </w:rPr>
  </w:style>
  <w:style w:type="paragraph" w:customStyle="1" w:styleId="2923">
    <w:name w:val="Company Name One"/>
    <w:basedOn w:val="2516"/>
    <w:next w:val="1"/>
    <w:qFormat/>
    <w:uiPriority w:val="0"/>
  </w:style>
  <w:style w:type="paragraph" w:customStyle="1" w:styleId="2924">
    <w:name w:val="Char4 Char Char Char Char Char Char1"/>
    <w:basedOn w:val="1"/>
    <w:qFormat/>
    <w:uiPriority w:val="0"/>
    <w:pPr>
      <w:ind w:firstLine="200" w:firstLineChars="200"/>
    </w:pPr>
    <w:rPr>
      <w:rFonts w:ascii="宋体" w:hAnsi="宋体" w:cs="宋体"/>
    </w:rPr>
  </w:style>
  <w:style w:type="paragraph" w:customStyle="1" w:styleId="2925">
    <w:name w:val="_Style 233"/>
    <w:next w:val="1"/>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customStyle="1" w:styleId="2926">
    <w:name w:val="Section Subtitle"/>
    <w:basedOn w:val="2226"/>
    <w:next w:val="1"/>
    <w:qFormat/>
    <w:uiPriority w:val="0"/>
    <w:pPr>
      <w:pBdr>
        <w:top w:val="none" w:color="auto" w:sz="0" w:space="0"/>
      </w:pBdr>
    </w:pPr>
    <w:rPr>
      <w:b w:val="0"/>
      <w:spacing w:val="0"/>
      <w:position w:val="6"/>
    </w:rPr>
  </w:style>
  <w:style w:type="paragraph" w:customStyle="1" w:styleId="2927">
    <w:name w:val="xyb自建表格名称 Char"/>
    <w:basedOn w:val="1"/>
    <w:qFormat/>
    <w:uiPriority w:val="0"/>
    <w:pPr>
      <w:jc w:val="center"/>
    </w:pPr>
    <w:rPr>
      <w:rFonts w:ascii="宋体" w:hAnsi="宋体"/>
    </w:rPr>
  </w:style>
  <w:style w:type="paragraph" w:customStyle="1" w:styleId="2928">
    <w:name w:val="ttop"/>
    <w:basedOn w:val="1"/>
    <w:qFormat/>
    <w:uiPriority w:val="0"/>
    <w:pPr>
      <w:widowControl/>
      <w:spacing w:before="100" w:beforeAutospacing="1" w:after="100" w:afterAutospacing="1" w:line="240" w:lineRule="auto"/>
      <w:jc w:val="left"/>
    </w:pPr>
    <w:rPr>
      <w:rFonts w:ascii="宋体" w:hAnsi="宋体"/>
      <w:kern w:val="0"/>
    </w:rPr>
  </w:style>
  <w:style w:type="paragraph" w:customStyle="1" w:styleId="2929">
    <w:name w:val="等核实"/>
    <w:basedOn w:val="3"/>
    <w:qFormat/>
    <w:uiPriority w:val="0"/>
    <w:pPr>
      <w:tabs>
        <w:tab w:val="left" w:pos="4305"/>
      </w:tabs>
      <w:adjustRightInd w:val="0"/>
      <w:snapToGrid w:val="0"/>
      <w:spacing w:after="0" w:line="300" w:lineRule="auto"/>
      <w:ind w:left="0" w:leftChars="0" w:firstLine="567"/>
    </w:pPr>
    <w:rPr>
      <w:rFonts w:ascii="宋体" w:hAnsi="宋体"/>
      <w:color w:val="0000FF"/>
      <w:sz w:val="28"/>
      <w:szCs w:val="20"/>
    </w:rPr>
  </w:style>
  <w:style w:type="paragraph" w:customStyle="1" w:styleId="2930">
    <w:name w:val="正文1 Char Char Char Char"/>
    <w:basedOn w:val="1"/>
    <w:qFormat/>
    <w:uiPriority w:val="0"/>
    <w:pPr>
      <w:suppressLineNumbers/>
      <w:suppressAutoHyphens/>
      <w:topLinePunct/>
      <w:adjustRightInd w:val="0"/>
      <w:snapToGrid w:val="0"/>
      <w:ind w:firstLine="480" w:firstLineChars="200"/>
    </w:pPr>
  </w:style>
  <w:style w:type="paragraph" w:customStyle="1" w:styleId="2931">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textAlignment w:val="center"/>
    </w:pPr>
    <w:rPr>
      <w:rFonts w:ascii="宋体" w:hAnsi="宋体" w:cs="宋体"/>
      <w:b/>
      <w:bCs/>
      <w:kern w:val="0"/>
      <w:sz w:val="22"/>
      <w:szCs w:val="22"/>
    </w:rPr>
  </w:style>
  <w:style w:type="paragraph" w:customStyle="1" w:styleId="2932">
    <w:name w:val="正文文本格式"/>
    <w:basedOn w:val="1"/>
    <w:qFormat/>
    <w:uiPriority w:val="0"/>
    <w:pPr>
      <w:adjustRightInd w:val="0"/>
      <w:snapToGrid w:val="0"/>
      <w:spacing w:line="480" w:lineRule="exact"/>
      <w:ind w:firstLine="567"/>
    </w:pPr>
    <w:rPr>
      <w:snapToGrid w:val="0"/>
      <w:kern w:val="0"/>
      <w:sz w:val="28"/>
      <w:szCs w:val="28"/>
    </w:rPr>
  </w:style>
  <w:style w:type="paragraph" w:customStyle="1" w:styleId="2933">
    <w:name w:val="xl139"/>
    <w:basedOn w:val="1"/>
    <w:qFormat/>
    <w:uiPriority w:val="0"/>
    <w:pPr>
      <w:widowControl/>
      <w:pBdr>
        <w:top w:val="single" w:color="auto" w:sz="4" w:space="0"/>
        <w:bottom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2934">
    <w:name w:val="样式 标题 1 + 两端对齐"/>
    <w:basedOn w:val="5"/>
    <w:qFormat/>
    <w:uiPriority w:val="0"/>
    <w:pPr>
      <w:keepNext w:val="0"/>
      <w:keepLines/>
      <w:spacing w:before="840" w:after="360" w:line="312" w:lineRule="auto"/>
      <w:jc w:val="left"/>
    </w:pPr>
    <w:rPr>
      <w:rFonts w:ascii="Times New Roman" w:hAnsi="Times New Roman" w:eastAsia="黑体" w:cs="宋体"/>
      <w:b/>
      <w:bCs/>
      <w:kern w:val="44"/>
      <w:sz w:val="36"/>
      <w:szCs w:val="36"/>
    </w:rPr>
  </w:style>
  <w:style w:type="paragraph" w:customStyle="1" w:styleId="2935">
    <w:name w:val="普通(网站)1"/>
    <w:basedOn w:val="1"/>
    <w:qFormat/>
    <w:uiPriority w:val="0"/>
    <w:pPr>
      <w:adjustRightInd w:val="0"/>
      <w:spacing w:line="240" w:lineRule="auto"/>
      <w:textAlignment w:val="baseline"/>
    </w:pPr>
    <w:rPr>
      <w:szCs w:val="20"/>
    </w:rPr>
  </w:style>
  <w:style w:type="paragraph" w:customStyle="1" w:styleId="2936">
    <w:name w:val="ttopl"/>
    <w:basedOn w:val="1"/>
    <w:qFormat/>
    <w:uiPriority w:val="0"/>
    <w:pPr>
      <w:widowControl/>
      <w:spacing w:before="100" w:beforeAutospacing="1" w:after="100" w:afterAutospacing="1" w:line="240" w:lineRule="auto"/>
      <w:jc w:val="left"/>
    </w:pPr>
    <w:rPr>
      <w:rFonts w:ascii="宋体" w:hAnsi="宋体"/>
      <w:kern w:val="0"/>
    </w:rPr>
  </w:style>
  <w:style w:type="paragraph" w:customStyle="1" w:styleId="2937">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rPr>
  </w:style>
  <w:style w:type="paragraph" w:customStyle="1" w:styleId="2938">
    <w:name w:val="XHR正文小四"/>
    <w:basedOn w:val="1"/>
    <w:qFormat/>
    <w:uiPriority w:val="0"/>
    <w:pPr>
      <w:adjustRightInd w:val="0"/>
      <w:ind w:firstLine="480" w:firstLineChars="200"/>
      <w:textAlignment w:val="baseline"/>
    </w:pPr>
    <w:rPr>
      <w:kern w:val="0"/>
      <w:szCs w:val="28"/>
    </w:rPr>
  </w:style>
  <w:style w:type="paragraph" w:customStyle="1" w:styleId="2939">
    <w:name w:val="lw正文"/>
    <w:basedOn w:val="1"/>
    <w:qFormat/>
    <w:uiPriority w:val="0"/>
    <w:pPr>
      <w:autoSpaceDE w:val="0"/>
      <w:autoSpaceDN w:val="0"/>
      <w:adjustRightInd w:val="0"/>
      <w:ind w:firstLine="420"/>
      <w:jc w:val="left"/>
    </w:pPr>
    <w:rPr>
      <w:kern w:val="0"/>
      <w:szCs w:val="20"/>
    </w:rPr>
  </w:style>
  <w:style w:type="paragraph" w:customStyle="1" w:styleId="2940">
    <w:name w:val="OIC1 Address"/>
    <w:basedOn w:val="1"/>
    <w:qFormat/>
    <w:uiPriority w:val="0"/>
    <w:pPr>
      <w:tabs>
        <w:tab w:val="left" w:pos="1440"/>
      </w:tabs>
      <w:spacing w:line="240" w:lineRule="auto"/>
      <w:jc w:val="center"/>
    </w:pPr>
    <w:rPr>
      <w:rFonts w:ascii="Arial" w:hAnsi="Arial"/>
      <w:color w:val="000080"/>
      <w:kern w:val="0"/>
      <w:sz w:val="20"/>
      <w:szCs w:val="20"/>
    </w:rPr>
  </w:style>
  <w:style w:type="paragraph" w:customStyle="1" w:styleId="2941">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942">
    <w:name w:val="假设列表"/>
    <w:qFormat/>
    <w:uiPriority w:val="0"/>
    <w:pPr>
      <w:tabs>
        <w:tab w:val="left" w:pos="900"/>
      </w:tabs>
      <w:spacing w:before="156"/>
      <w:ind w:left="900" w:hanging="420"/>
      <w:jc w:val="both"/>
    </w:pPr>
    <w:rPr>
      <w:rFonts w:ascii="仿宋_GB2312" w:hAnsi="Times New Roman" w:eastAsia="仿宋_GB2312" w:cs="Times New Roman"/>
      <w:kern w:val="0"/>
      <w:sz w:val="24"/>
      <w:szCs w:val="20"/>
      <w:lang w:val="en-US" w:eastAsia="zh-CN" w:bidi="ar-SA"/>
    </w:rPr>
  </w:style>
  <w:style w:type="paragraph" w:customStyle="1" w:styleId="29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b/>
      <w:bCs/>
      <w:kern w:val="0"/>
      <w:sz w:val="22"/>
      <w:szCs w:val="22"/>
    </w:rPr>
  </w:style>
  <w:style w:type="paragraph" w:customStyle="1" w:styleId="2944">
    <w:name w:val="四号字缩进"/>
    <w:basedOn w:val="1"/>
    <w:qFormat/>
    <w:uiPriority w:val="0"/>
    <w:pPr>
      <w:widowControl/>
      <w:adjustRightInd w:val="0"/>
      <w:snapToGrid w:val="0"/>
      <w:spacing w:line="480" w:lineRule="atLeast"/>
      <w:ind w:firstLine="567"/>
      <w:jc w:val="left"/>
    </w:pPr>
    <w:rPr>
      <w:rFonts w:ascii="宋体" w:hAnsi="宋体" w:cs="Angsana New"/>
      <w:spacing w:val="6"/>
      <w:kern w:val="0"/>
      <w:sz w:val="28"/>
      <w:szCs w:val="28"/>
    </w:rPr>
  </w:style>
  <w:style w:type="paragraph" w:customStyle="1" w:styleId="2945">
    <w:name w:val="插图表 QJJ"/>
    <w:basedOn w:val="1"/>
    <w:qFormat/>
    <w:uiPriority w:val="0"/>
    <w:pPr>
      <w:adjustRightInd w:val="0"/>
      <w:spacing w:line="240" w:lineRule="auto"/>
      <w:jc w:val="center"/>
      <w:textAlignment w:val="center"/>
    </w:pPr>
    <w:rPr>
      <w:rFonts w:ascii="Arial" w:hAnsi="Arial" w:cs="Arial"/>
      <w:b/>
      <w:szCs w:val="20"/>
    </w:rPr>
  </w:style>
  <w:style w:type="paragraph" w:customStyle="1" w:styleId="2946">
    <w:name w:val="正文标题3"/>
    <w:basedOn w:val="7"/>
    <w:qFormat/>
    <w:uiPriority w:val="0"/>
    <w:pPr>
      <w:keepLines w:val="0"/>
      <w:numPr>
        <w:ilvl w:val="0"/>
        <w:numId w:val="0"/>
      </w:numPr>
      <w:spacing w:before="120" w:beforeLines="50" w:after="0" w:afterLines="10" w:line="360" w:lineRule="auto"/>
      <w:ind w:firstLine="562" w:firstLineChars="200"/>
    </w:pPr>
    <w:rPr>
      <w:rFonts w:ascii="Times New Roman" w:hAnsi="Times New Roman" w:eastAsia="黑体"/>
      <w:b w:val="0"/>
      <w:color w:val="auto"/>
    </w:rPr>
  </w:style>
  <w:style w:type="paragraph" w:customStyle="1" w:styleId="2947">
    <w:name w:val="正文段落"/>
    <w:basedOn w:val="1"/>
    <w:qFormat/>
    <w:uiPriority w:val="0"/>
    <w:pPr>
      <w:spacing w:line="360" w:lineRule="exact"/>
      <w:ind w:firstLine="476"/>
    </w:pPr>
    <w:rPr>
      <w:rFonts w:ascii="宋体" w:hAnsi="宋体"/>
    </w:rPr>
  </w:style>
  <w:style w:type="paragraph" w:customStyle="1" w:styleId="2948">
    <w:name w:val="Char2 Char Char Char Char Char Char Char Char Char Char Char Char Char Char Char Char Char Char Char Char Char1"/>
    <w:basedOn w:val="1"/>
    <w:qFormat/>
    <w:uiPriority w:val="0"/>
    <w:pPr>
      <w:ind w:firstLine="200" w:firstLineChars="200"/>
    </w:pPr>
    <w:rPr>
      <w:rFonts w:eastAsia="黑体"/>
      <w:sz w:val="28"/>
      <w:szCs w:val="28"/>
    </w:rPr>
  </w:style>
  <w:style w:type="paragraph" w:customStyle="1" w:styleId="2949">
    <w:name w:val="大表格"/>
    <w:basedOn w:val="1"/>
    <w:qFormat/>
    <w:uiPriority w:val="0"/>
    <w:pPr>
      <w:adjustRightInd w:val="0"/>
      <w:spacing w:line="240" w:lineRule="exact"/>
    </w:pPr>
    <w:rPr>
      <w:rFonts w:cs="宋体"/>
      <w:color w:val="000000"/>
      <w:kern w:val="0"/>
    </w:rPr>
  </w:style>
  <w:style w:type="paragraph" w:customStyle="1" w:styleId="2950">
    <w:name w:val="我的标题"/>
    <w:basedOn w:val="1"/>
    <w:next w:val="1"/>
    <w:qFormat/>
    <w:uiPriority w:val="0"/>
    <w:pPr>
      <w:adjustRightInd w:val="0"/>
      <w:ind w:firstLine="560" w:firstLineChars="200"/>
    </w:pPr>
    <w:rPr>
      <w:rFonts w:cs="宋体"/>
      <w:color w:val="000000"/>
      <w:sz w:val="21"/>
    </w:rPr>
  </w:style>
  <w:style w:type="paragraph" w:customStyle="1" w:styleId="2951">
    <w:name w:val="样式 标题 2 + (中文) 宋体"/>
    <w:basedOn w:val="6"/>
    <w:qFormat/>
    <w:uiPriority w:val="0"/>
    <w:pPr>
      <w:numPr>
        <w:ilvl w:val="0"/>
        <w:numId w:val="0"/>
      </w:numPr>
      <w:tabs>
        <w:tab w:val="left" w:pos="576"/>
        <w:tab w:val="clear" w:pos="-181"/>
      </w:tabs>
      <w:spacing w:before="0" w:beforeLines="50" w:afterLines="50"/>
      <w:ind w:left="567" w:hanging="567"/>
      <w:jc w:val="both"/>
      <w:textAlignment w:val="auto"/>
    </w:pPr>
    <w:rPr>
      <w:rFonts w:eastAsia="宋体"/>
      <w:b/>
      <w:bCs/>
      <w:kern w:val="2"/>
      <w:sz w:val="28"/>
    </w:rPr>
  </w:style>
  <w:style w:type="paragraph" w:customStyle="1" w:styleId="2952">
    <w:name w:val="Char Char Char Char Char Char Char Char Char Char Char Char Char1"/>
    <w:basedOn w:val="1"/>
    <w:qFormat/>
    <w:uiPriority w:val="0"/>
    <w:pPr>
      <w:spacing w:line="240" w:lineRule="auto"/>
    </w:pPr>
    <w:rPr>
      <w:rFonts w:ascii="Tahoma" w:hAnsi="Tahoma"/>
      <w:szCs w:val="20"/>
    </w:rPr>
  </w:style>
  <w:style w:type="paragraph" w:customStyle="1" w:styleId="2953">
    <w:name w:val="样式 标题 3标题 3 Char Char标题 3 Char Char Char Char Char标题 3 Char C...3"/>
    <w:basedOn w:val="7"/>
    <w:qFormat/>
    <w:uiPriority w:val="0"/>
    <w:pPr>
      <w:keepNext w:val="0"/>
      <w:keepLines w:val="0"/>
      <w:numPr>
        <w:ilvl w:val="0"/>
        <w:numId w:val="0"/>
      </w:numPr>
      <w:tabs>
        <w:tab w:val="left" w:pos="4500"/>
      </w:tabs>
      <w:adjustRightInd w:val="0"/>
      <w:snapToGrid w:val="0"/>
      <w:spacing w:before="62" w:after="62" w:line="400" w:lineRule="exact"/>
      <w:textAlignment w:val="baseline"/>
    </w:pPr>
    <w:rPr>
      <w:rFonts w:ascii="Times New Roman" w:hAnsi="Times New Roman" w:eastAsia="黑体" w:cs="宋体"/>
      <w:b w:val="0"/>
      <w:kern w:val="0"/>
      <w:sz w:val="24"/>
      <w:szCs w:val="24"/>
    </w:rPr>
  </w:style>
  <w:style w:type="paragraph" w:customStyle="1" w:styleId="2954">
    <w:name w:val="1级"/>
    <w:basedOn w:val="5"/>
    <w:qFormat/>
    <w:uiPriority w:val="0"/>
    <w:pPr>
      <w:widowControl/>
      <w:spacing w:before="360" w:beforeLines="50" w:after="50" w:line="440" w:lineRule="exact"/>
    </w:pPr>
    <w:rPr>
      <w:rFonts w:ascii="Cambria" w:hAnsi="Cambria" w:eastAsia="黑体"/>
      <w:kern w:val="32"/>
      <w:sz w:val="32"/>
      <w:szCs w:val="44"/>
      <w:lang w:bidi="en-US"/>
    </w:rPr>
  </w:style>
  <w:style w:type="paragraph" w:customStyle="1" w:styleId="2955">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line="500" w:lineRule="exact"/>
      <w:jc w:val="center"/>
      <w:textAlignment w:val="center"/>
    </w:pPr>
    <w:rPr>
      <w:rFonts w:ascii="Arial Unicode MS" w:hAnsi="Arial Unicode MS" w:eastAsia="Arial Unicode MS"/>
      <w:kern w:val="0"/>
    </w:rPr>
  </w:style>
  <w:style w:type="paragraph" w:customStyle="1" w:styleId="2956">
    <w:name w:val="标题 3 黑体 + 左侧: 1 厘米 + 段前: 1 行"/>
    <w:basedOn w:val="1"/>
    <w:qFormat/>
    <w:uiPriority w:val="0"/>
    <w:pPr>
      <w:keepNext/>
      <w:keepLines/>
      <w:adjustRightInd w:val="0"/>
      <w:spacing w:beforeLines="100"/>
      <w:ind w:firstLine="567"/>
      <w:textAlignment w:val="baseline"/>
      <w:outlineLvl w:val="2"/>
    </w:pPr>
    <w:rPr>
      <w:rFonts w:ascii="黑体" w:hAnsi="黑体" w:eastAsia="黑体" w:cs="宋体"/>
      <w:color w:val="000000"/>
      <w:kern w:val="18"/>
      <w:szCs w:val="20"/>
    </w:rPr>
  </w:style>
  <w:style w:type="paragraph" w:customStyle="1" w:styleId="2957">
    <w:name w:val="Address 2"/>
    <w:basedOn w:val="1"/>
    <w:qFormat/>
    <w:uiPriority w:val="0"/>
    <w:pPr>
      <w:framePr w:w="2405" w:wrap="notBeside" w:vAnchor="page" w:hAnchor="page" w:x="5761" w:y="1009" w:anchorLock="1"/>
      <w:widowControl/>
      <w:spacing w:line="200" w:lineRule="atLeast"/>
    </w:pPr>
    <w:rPr>
      <w:kern w:val="0"/>
      <w:sz w:val="16"/>
      <w:szCs w:val="20"/>
    </w:rPr>
  </w:style>
  <w:style w:type="paragraph" w:customStyle="1" w:styleId="2958">
    <w:name w:val="xl113"/>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2959">
    <w:name w:val="文档卷标"/>
    <w:basedOn w:val="2658"/>
    <w:qFormat/>
    <w:uiPriority w:val="0"/>
    <w:pPr>
      <w:spacing w:after="360"/>
    </w:pPr>
    <w:rPr>
      <w:rFonts w:ascii="Times New Roman" w:hAnsi="Times New Roman"/>
    </w:rPr>
  </w:style>
  <w:style w:type="paragraph" w:customStyle="1" w:styleId="2960">
    <w:name w:val="标题4样式"/>
    <w:basedOn w:val="8"/>
    <w:qFormat/>
    <w:uiPriority w:val="0"/>
    <w:pPr>
      <w:keepLines/>
      <w:widowControl/>
      <w:tabs>
        <w:tab w:val="left" w:pos="1080"/>
        <w:tab w:val="clear" w:pos="864"/>
      </w:tabs>
      <w:autoSpaceDE w:val="0"/>
      <w:autoSpaceDN w:val="0"/>
      <w:adjustRightInd w:val="0"/>
      <w:jc w:val="left"/>
      <w:textAlignment w:val="baseline"/>
    </w:pPr>
    <w:rPr>
      <w:rFonts w:ascii="黑体" w:hAnsi="Arial" w:eastAsia="黑体"/>
      <w:bCs w:val="0"/>
      <w:kern w:val="0"/>
      <w:szCs w:val="20"/>
    </w:rPr>
  </w:style>
  <w:style w:type="paragraph" w:customStyle="1" w:styleId="2961">
    <w:name w:val="表标题4.4 行"/>
    <w:basedOn w:val="1"/>
    <w:qFormat/>
    <w:uiPriority w:val="0"/>
    <w:pPr>
      <w:numPr>
        <w:ilvl w:val="0"/>
        <w:numId w:val="73"/>
      </w:numPr>
      <w:spacing w:beforeLines="100" w:line="0" w:lineRule="atLeast"/>
      <w:jc w:val="center"/>
    </w:pPr>
    <w:rPr>
      <w:rFonts w:eastAsia="黑体" w:cs="宋体"/>
      <w:b/>
      <w:bCs/>
      <w:color w:val="000000"/>
      <w:szCs w:val="20"/>
    </w:rPr>
  </w:style>
  <w:style w:type="paragraph" w:customStyle="1" w:styleId="2962">
    <w:name w:val="表尾"/>
    <w:basedOn w:val="1"/>
    <w:qFormat/>
    <w:uiPriority w:val="0"/>
    <w:pPr>
      <w:widowControl/>
      <w:tabs>
        <w:tab w:val="left" w:pos="1021"/>
      </w:tabs>
      <w:spacing w:line="200" w:lineRule="exact"/>
    </w:pPr>
    <w:rPr>
      <w:kern w:val="0"/>
      <w:sz w:val="10"/>
      <w:szCs w:val="20"/>
      <w:lang w:bidi="en-US"/>
    </w:rPr>
  </w:style>
  <w:style w:type="paragraph" w:customStyle="1" w:styleId="2963">
    <w:name w:val="样式 正文1 Char Char + 字距调整七号 Char"/>
    <w:basedOn w:val="1"/>
    <w:qFormat/>
    <w:uiPriority w:val="0"/>
    <w:pPr>
      <w:suppressLineNumbers/>
      <w:suppressAutoHyphens/>
      <w:topLinePunct/>
      <w:adjustRightInd w:val="0"/>
      <w:snapToGrid w:val="0"/>
      <w:ind w:firstLine="480" w:firstLineChars="200"/>
    </w:pPr>
    <w:rPr>
      <w:kern w:val="11"/>
    </w:rPr>
  </w:style>
  <w:style w:type="paragraph" w:customStyle="1" w:styleId="2964">
    <w:name w:val="19"/>
    <w:basedOn w:val="1"/>
    <w:qFormat/>
    <w:uiPriority w:val="0"/>
    <w:pPr>
      <w:widowControl/>
      <w:snapToGrid w:val="0"/>
      <w:spacing w:before="100" w:beforeAutospacing="1" w:after="100" w:afterAutospacing="1" w:line="460" w:lineRule="atLeast"/>
    </w:pPr>
    <w:rPr>
      <w:kern w:val="0"/>
    </w:rPr>
  </w:style>
  <w:style w:type="paragraph" w:customStyle="1" w:styleId="2965">
    <w:name w:val="正文居中"/>
    <w:basedOn w:val="87"/>
    <w:qFormat/>
    <w:uiPriority w:val="0"/>
    <w:pPr>
      <w:adjustRightInd w:val="0"/>
      <w:spacing w:before="48" w:after="0"/>
      <w:ind w:firstLine="480" w:firstLineChars="200"/>
      <w:textAlignment w:val="baseline"/>
    </w:pPr>
    <w:rPr>
      <w:rFonts w:ascii="宋体" w:hAnsi="宋体" w:cs="Courier New"/>
      <w:spacing w:val="4"/>
      <w:kern w:val="0"/>
      <w:lang w:val="zh-CN"/>
    </w:rPr>
  </w:style>
  <w:style w:type="paragraph" w:customStyle="1" w:styleId="2966">
    <w:name w:val="图号样式100"/>
    <w:basedOn w:val="36"/>
    <w:qFormat/>
    <w:uiPriority w:val="0"/>
    <w:pPr>
      <w:widowControl/>
      <w:spacing w:after="0"/>
      <w:jc w:val="center"/>
    </w:pPr>
    <w:rPr>
      <w:rFonts w:ascii="宋体" w:hAnsi="宋体"/>
      <w:kern w:val="0"/>
      <w:lang w:bidi="en-US"/>
    </w:rPr>
  </w:style>
  <w:style w:type="paragraph" w:customStyle="1" w:styleId="2967">
    <w:name w:val="标题 1 + 段前: 0.5 行 段后: 0.5 行1"/>
    <w:basedOn w:val="1"/>
    <w:qFormat/>
    <w:uiPriority w:val="0"/>
    <w:pPr>
      <w:widowControl/>
      <w:spacing w:before="120" w:after="120" w:line="240" w:lineRule="auto"/>
      <w:outlineLvl w:val="0"/>
    </w:pPr>
    <w:rPr>
      <w:rFonts w:eastAsia="黑体" w:cs="宋体"/>
      <w:kern w:val="0"/>
      <w:sz w:val="28"/>
      <w:szCs w:val="20"/>
      <w:lang w:bidi="en-US"/>
    </w:rPr>
  </w:style>
  <w:style w:type="paragraph" w:customStyle="1" w:styleId="2968">
    <w:name w:val="表头、图片说明文字"/>
    <w:basedOn w:val="670"/>
    <w:qFormat/>
    <w:uiPriority w:val="0"/>
    <w:pPr>
      <w:ind w:firstLine="0" w:firstLineChars="0"/>
      <w:jc w:val="center"/>
    </w:pPr>
    <w:rPr>
      <w:b/>
      <w:bCs/>
      <w:szCs w:val="20"/>
    </w:rPr>
  </w:style>
  <w:style w:type="paragraph" w:customStyle="1" w:styleId="2969">
    <w:name w:val="表格字"/>
    <w:basedOn w:val="1"/>
    <w:qFormat/>
    <w:uiPriority w:val="0"/>
    <w:pPr>
      <w:spacing w:line="300" w:lineRule="atLeast"/>
      <w:jc w:val="center"/>
    </w:pPr>
    <w:rPr>
      <w:rFonts w:ascii="宋体" w:hAnsi="宋体"/>
      <w:sz w:val="21"/>
    </w:rPr>
  </w:style>
  <w:style w:type="paragraph" w:customStyle="1" w:styleId="2970">
    <w:name w:val="样式 样式 正文1 + 首行缩进:  2 字符2 + 首行缩进:  2 字符"/>
    <w:basedOn w:val="1"/>
    <w:qFormat/>
    <w:uiPriority w:val="0"/>
    <w:pPr>
      <w:suppressLineNumbers/>
      <w:suppressAutoHyphens/>
      <w:adjustRightInd w:val="0"/>
      <w:snapToGrid w:val="0"/>
      <w:spacing w:beforeLines="10" w:afterLines="10"/>
      <w:ind w:firstLine="480" w:firstLineChars="200"/>
    </w:pPr>
    <w:rPr>
      <w:color w:val="000000"/>
    </w:rPr>
  </w:style>
  <w:style w:type="paragraph" w:customStyle="1" w:styleId="2971">
    <w:name w:val="Char Char Char Char Char Char Char Char Char Char"/>
    <w:basedOn w:val="1"/>
    <w:qFormat/>
    <w:uiPriority w:val="0"/>
    <w:pPr>
      <w:spacing w:line="240" w:lineRule="auto"/>
    </w:pPr>
    <w:rPr>
      <w:sz w:val="21"/>
    </w:rPr>
  </w:style>
  <w:style w:type="paragraph" w:customStyle="1" w:styleId="2972">
    <w:name w:val="用户正文"/>
    <w:basedOn w:val="1"/>
    <w:next w:val="1"/>
    <w:qFormat/>
    <w:uiPriority w:val="0"/>
    <w:pPr>
      <w:adjustRightInd w:val="0"/>
      <w:ind w:firstLine="560" w:firstLineChars="200"/>
      <w:jc w:val="left"/>
      <w:textAlignment w:val="baseline"/>
    </w:pPr>
    <w:rPr>
      <w:bCs/>
      <w:kern w:val="0"/>
      <w:sz w:val="28"/>
      <w:szCs w:val="20"/>
    </w:rPr>
  </w:style>
  <w:style w:type="paragraph" w:customStyle="1" w:styleId="2973">
    <w:name w:val="样式 表格文字居中 + 右侧:  -0.06 字符1"/>
    <w:basedOn w:val="453"/>
    <w:qFormat/>
    <w:uiPriority w:val="0"/>
    <w:pPr>
      <w:keepNext/>
      <w:spacing w:line="0" w:lineRule="atLeast"/>
      <w:ind w:left="-6" w:leftChars="-50" w:right="0" w:rightChars="0"/>
    </w:pPr>
    <w:rPr>
      <w:color w:val="auto"/>
      <w:sz w:val="18"/>
      <w:szCs w:val="20"/>
    </w:rPr>
  </w:style>
  <w:style w:type="paragraph" w:customStyle="1" w:styleId="2974">
    <w:name w:val="小内容"/>
    <w:basedOn w:val="1"/>
    <w:qFormat/>
    <w:uiPriority w:val="0"/>
    <w:pPr>
      <w:spacing w:line="500" w:lineRule="exact"/>
      <w:ind w:firstLine="200" w:firstLineChars="200"/>
    </w:pPr>
    <w:rPr>
      <w:rFonts w:ascii="宋体" w:hAnsi="宋体"/>
    </w:rPr>
  </w:style>
  <w:style w:type="paragraph" w:customStyle="1" w:styleId="2975">
    <w:name w:val="Char Char Char Char Char Char"/>
    <w:basedOn w:val="1"/>
    <w:qFormat/>
    <w:uiPriority w:val="0"/>
    <w:pPr>
      <w:spacing w:line="240" w:lineRule="auto"/>
    </w:pPr>
  </w:style>
  <w:style w:type="paragraph" w:customStyle="1" w:styleId="2976">
    <w:name w:val="表标题7.5"/>
    <w:basedOn w:val="1"/>
    <w:qFormat/>
    <w:uiPriority w:val="0"/>
    <w:pPr>
      <w:tabs>
        <w:tab w:val="center" w:pos="4060"/>
        <w:tab w:val="left" w:pos="4395"/>
        <w:tab w:val="right" w:pos="8261"/>
      </w:tabs>
      <w:suppressAutoHyphens/>
      <w:adjustRightInd w:val="0"/>
      <w:spacing w:before="240" w:line="0" w:lineRule="atLeast"/>
      <w:ind w:left="3671" w:firstLine="4"/>
      <w:jc w:val="center"/>
    </w:pPr>
    <w:rPr>
      <w:rFonts w:ascii="黑体" w:eastAsia="黑体"/>
      <w:b/>
      <w:spacing w:val="6"/>
      <w:kern w:val="0"/>
      <w:sz w:val="26"/>
      <w:szCs w:val="26"/>
    </w:rPr>
  </w:style>
  <w:style w:type="paragraph" w:customStyle="1" w:styleId="2977">
    <w:name w:val="xl133"/>
    <w:basedOn w:val="1"/>
    <w:qFormat/>
    <w:uiPriority w:val="0"/>
    <w:pPr>
      <w:widowControl/>
      <w:pBdr>
        <w:top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978">
    <w:name w:val="样式 正文缩进 + 小四1"/>
    <w:basedOn w:val="23"/>
    <w:qFormat/>
    <w:uiPriority w:val="0"/>
    <w:pPr>
      <w:keepNext/>
      <w:tabs>
        <w:tab w:val="left" w:pos="1727"/>
        <w:tab w:val="left" w:pos="1884"/>
      </w:tabs>
      <w:spacing w:line="360" w:lineRule="auto"/>
      <w:ind w:firstLine="480"/>
      <w:jc w:val="left"/>
      <w:outlineLvl w:val="0"/>
    </w:pPr>
    <w:rPr>
      <w:rFonts w:ascii="宋体" w:hAnsi="宋体" w:cs="宋体"/>
      <w:snapToGrid w:val="0"/>
      <w:color w:val="000000"/>
      <w:spacing w:val="4"/>
      <w:sz w:val="28"/>
      <w:szCs w:val="24"/>
    </w:rPr>
  </w:style>
  <w:style w:type="paragraph" w:customStyle="1" w:styleId="2979">
    <w:name w:val="样式 正文首行缩进 + 首行缩进:  2 字符1"/>
    <w:basedOn w:val="87"/>
    <w:qFormat/>
    <w:uiPriority w:val="0"/>
    <w:pPr>
      <w:keepNext/>
      <w:tabs>
        <w:tab w:val="left" w:pos="628"/>
        <w:tab w:val="left" w:pos="1727"/>
        <w:tab w:val="left" w:pos="1884"/>
        <w:tab w:val="left" w:pos="2660"/>
        <w:tab w:val="left" w:pos="5460"/>
      </w:tabs>
      <w:adjustRightInd w:val="0"/>
      <w:snapToGrid w:val="0"/>
      <w:spacing w:after="0"/>
      <w:ind w:firstLine="560" w:firstLineChars="200"/>
    </w:pPr>
    <w:rPr>
      <w:rFonts w:ascii="宋体" w:hAnsi="宋体" w:cs="宋体"/>
      <w:spacing w:val="4"/>
      <w:sz w:val="28"/>
      <w:szCs w:val="20"/>
    </w:rPr>
  </w:style>
  <w:style w:type="paragraph" w:customStyle="1" w:styleId="2980">
    <w:name w:val="样式 1.1 + 段前: 6 磅 段后: 6 磅 行距: 多倍行距 1.25 字行"/>
    <w:basedOn w:val="6"/>
    <w:qFormat/>
    <w:uiPriority w:val="0"/>
    <w:pPr>
      <w:numPr>
        <w:ilvl w:val="0"/>
        <w:numId w:val="0"/>
      </w:numPr>
      <w:tabs>
        <w:tab w:val="clear" w:pos="-181"/>
      </w:tabs>
      <w:adjustRightInd/>
      <w:snapToGrid/>
      <w:spacing w:before="120" w:beforeLines="0" w:after="120" w:line="300" w:lineRule="auto"/>
      <w:textAlignment w:val="auto"/>
      <w:outlineLvl w:val="0"/>
    </w:pPr>
    <w:rPr>
      <w:rFonts w:cs="宋体"/>
      <w:b/>
      <w:bCs/>
      <w:kern w:val="2"/>
      <w:sz w:val="28"/>
      <w:szCs w:val="20"/>
    </w:rPr>
  </w:style>
  <w:style w:type="paragraph" w:customStyle="1" w:styleId="2981">
    <w:name w:val="Char7"/>
    <w:basedOn w:val="1"/>
    <w:qFormat/>
    <w:uiPriority w:val="0"/>
    <w:pPr>
      <w:spacing w:line="240" w:lineRule="auto"/>
    </w:pPr>
  </w:style>
  <w:style w:type="paragraph" w:customStyle="1" w:styleId="2982">
    <w:name w:val="et31"/>
    <w:basedOn w:val="1"/>
    <w:qFormat/>
    <w:uiPriority w:val="0"/>
    <w:pPr>
      <w:widowControl/>
      <w:pBdr>
        <w:top w:val="single" w:color="000000" w:sz="18" w:space="0"/>
        <w:left w:val="single" w:color="000000" w:sz="4" w:space="0"/>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2983">
    <w:name w:val="偶数页脚注"/>
    <w:basedOn w:val="56"/>
    <w:qFormat/>
    <w:uiPriority w:val="0"/>
    <w:pPr>
      <w:keepLines/>
      <w:widowControl/>
      <w:tabs>
        <w:tab w:val="right" w:pos="0"/>
        <w:tab w:val="center" w:pos="7200"/>
        <w:tab w:val="right" w:pos="14400"/>
        <w:tab w:val="clear" w:pos="4153"/>
        <w:tab w:val="clear" w:pos="8306"/>
      </w:tabs>
      <w:overflowPunct w:val="0"/>
      <w:autoSpaceDE w:val="0"/>
      <w:autoSpaceDN w:val="0"/>
      <w:adjustRightInd w:val="0"/>
      <w:snapToGrid/>
      <w:jc w:val="right"/>
      <w:textAlignment w:val="baseline"/>
    </w:pPr>
    <w:rPr>
      <w:spacing w:val="80"/>
      <w:kern w:val="0"/>
      <w:sz w:val="20"/>
      <w:szCs w:val="20"/>
      <w:lang w:bidi="en-US"/>
    </w:rPr>
  </w:style>
  <w:style w:type="paragraph" w:customStyle="1" w:styleId="2984">
    <w:name w:val="河石管道 表头"/>
    <w:qFormat/>
    <w:uiPriority w:val="0"/>
    <w:pPr>
      <w:widowControl w:val="0"/>
      <w:jc w:val="center"/>
    </w:pPr>
    <w:rPr>
      <w:rFonts w:ascii="Times New Roman" w:hAnsi="Times New Roman" w:eastAsia="宋体" w:cs="Times New Roman"/>
      <w:b/>
      <w:bCs/>
      <w:snapToGrid w:val="0"/>
      <w:kern w:val="28"/>
      <w:sz w:val="21"/>
      <w:szCs w:val="21"/>
      <w:lang w:val="en-US" w:eastAsia="zh-CN" w:bidi="ar-SA"/>
    </w:rPr>
  </w:style>
  <w:style w:type="paragraph" w:customStyle="1" w:styleId="2985">
    <w:name w:val="样式100"/>
    <w:basedOn w:val="1704"/>
    <w:qFormat/>
    <w:uiPriority w:val="0"/>
    <w:pPr>
      <w:numPr>
        <w:numId w:val="0"/>
      </w:numPr>
    </w:pPr>
  </w:style>
  <w:style w:type="paragraph" w:customStyle="1" w:styleId="2986">
    <w:name w:val="泸县焦化表格文字"/>
    <w:basedOn w:val="1"/>
    <w:qFormat/>
    <w:uiPriority w:val="0"/>
    <w:pPr>
      <w:adjustRightInd w:val="0"/>
      <w:snapToGrid w:val="0"/>
      <w:jc w:val="center"/>
    </w:pPr>
    <w:rPr>
      <w:bCs/>
      <w:color w:val="0000FF"/>
      <w:sz w:val="21"/>
      <w:szCs w:val="21"/>
    </w:rPr>
  </w:style>
  <w:style w:type="paragraph" w:customStyle="1" w:styleId="2987">
    <w:name w:val="样式 文本正文"/>
    <w:basedOn w:val="1"/>
    <w:qFormat/>
    <w:uiPriority w:val="0"/>
    <w:pPr>
      <w:adjustRightInd w:val="0"/>
      <w:ind w:firstLine="560" w:firstLineChars="200"/>
      <w:textAlignment w:val="baseline"/>
    </w:pPr>
    <w:rPr>
      <w:rFonts w:ascii="仿宋_GB2312" w:hAnsi="仿宋_GB2312" w:cs="宋体"/>
      <w:snapToGrid w:val="0"/>
      <w:color w:val="000000"/>
      <w:spacing w:val="4"/>
      <w:kern w:val="18"/>
      <w:szCs w:val="20"/>
    </w:rPr>
  </w:style>
  <w:style w:type="paragraph" w:customStyle="1" w:styleId="2988">
    <w:name w:val="表格下注"/>
    <w:qFormat/>
    <w:uiPriority w:val="0"/>
    <w:pPr>
      <w:autoSpaceDE w:val="0"/>
      <w:autoSpaceDN w:val="0"/>
      <w:ind w:firstLine="200" w:firstLineChars="200"/>
      <w:jc w:val="both"/>
    </w:pPr>
    <w:rPr>
      <w:rFonts w:ascii="Times New Roman" w:hAnsi="Times New Roman" w:eastAsia="黑体" w:cs="Times New Roman"/>
      <w:kern w:val="0"/>
      <w:sz w:val="21"/>
      <w:szCs w:val="20"/>
      <w:lang w:val="en-US" w:eastAsia="zh-CN" w:bidi="ar-SA"/>
    </w:rPr>
  </w:style>
  <w:style w:type="paragraph" w:customStyle="1" w:styleId="2989">
    <w:name w:val="CM1"/>
    <w:basedOn w:val="1"/>
    <w:next w:val="1"/>
    <w:qFormat/>
    <w:uiPriority w:val="0"/>
    <w:pPr>
      <w:autoSpaceDE w:val="0"/>
      <w:autoSpaceDN w:val="0"/>
      <w:adjustRightInd w:val="0"/>
      <w:spacing w:line="240" w:lineRule="auto"/>
      <w:ind w:firstLine="200" w:firstLineChars="200"/>
      <w:jc w:val="left"/>
    </w:pPr>
    <w:rPr>
      <w:rFonts w:ascii="宋体" w:cs="宋体"/>
      <w:kern w:val="0"/>
    </w:rPr>
  </w:style>
  <w:style w:type="paragraph" w:customStyle="1" w:styleId="2990">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kern w:val="0"/>
    </w:rPr>
  </w:style>
  <w:style w:type="paragraph" w:customStyle="1" w:styleId="2991">
    <w:name w:val="样式 表格 + 小五 底端: (单实线 自动设置  0.75 磅 行宽)"/>
    <w:basedOn w:val="1"/>
    <w:qFormat/>
    <w:uiPriority w:val="0"/>
    <w:pPr>
      <w:framePr w:wrap="around" w:vAnchor="text" w:hAnchor="text" w:y="1"/>
      <w:pBdr>
        <w:top w:val="thickThinSmallGap" w:color="auto" w:sz="12" w:space="0"/>
        <w:bottom w:val="double" w:color="auto" w:sz="4" w:space="0"/>
      </w:pBdr>
      <w:spacing w:line="0" w:lineRule="atLeast"/>
    </w:pPr>
    <w:rPr>
      <w:bCs/>
      <w:sz w:val="18"/>
      <w:szCs w:val="18"/>
    </w:rPr>
  </w:style>
  <w:style w:type="paragraph" w:customStyle="1" w:styleId="2992">
    <w:name w:val="标题3"/>
    <w:basedOn w:val="7"/>
    <w:qFormat/>
    <w:uiPriority w:val="0"/>
    <w:pPr>
      <w:widowControl/>
      <w:tabs>
        <w:tab w:val="left" w:pos="284"/>
        <w:tab w:val="clear" w:pos="2705"/>
      </w:tabs>
      <w:snapToGrid w:val="0"/>
      <w:spacing w:before="120" w:after="0" w:line="240" w:lineRule="atLeast"/>
      <w:ind w:left="720"/>
      <w:jc w:val="left"/>
    </w:pPr>
    <w:rPr>
      <w:rFonts w:ascii="Times" w:hAnsi="Times" w:eastAsia="仿宋_GB2312"/>
      <w:bCs w:val="0"/>
      <w:color w:val="auto"/>
      <w:szCs w:val="20"/>
    </w:rPr>
  </w:style>
  <w:style w:type="paragraph" w:customStyle="1" w:styleId="2993">
    <w:name w:val="样式 泸县焦化表格文字 +"/>
    <w:basedOn w:val="1924"/>
    <w:qFormat/>
    <w:uiPriority w:val="0"/>
    <w:pPr>
      <w:spacing w:line="240" w:lineRule="auto"/>
      <w:ind w:firstLine="0" w:firstLineChars="0"/>
    </w:pPr>
    <w:rPr>
      <w:sz w:val="21"/>
      <w:szCs w:val="21"/>
    </w:rPr>
  </w:style>
  <w:style w:type="paragraph" w:customStyle="1" w:styleId="2994">
    <w:name w:val="Qzy样式2"/>
    <w:basedOn w:val="6"/>
    <w:qFormat/>
    <w:uiPriority w:val="0"/>
    <w:pPr>
      <w:keepLines/>
      <w:numPr>
        <w:ilvl w:val="0"/>
        <w:numId w:val="0"/>
      </w:numPr>
      <w:tabs>
        <w:tab w:val="clear" w:pos="-181"/>
      </w:tabs>
      <w:adjustRightInd/>
      <w:snapToGrid/>
      <w:spacing w:before="0" w:beforeLines="0" w:line="520" w:lineRule="exact"/>
      <w:jc w:val="both"/>
      <w:textAlignment w:val="auto"/>
    </w:pPr>
    <w:rPr>
      <w:rFonts w:ascii="宋体" w:hAnsi="宋体" w:eastAsia="宋体" w:cs="宋体"/>
      <w:b/>
      <w:bCs/>
      <w:color w:val="000000"/>
      <w:spacing w:val="4"/>
      <w:kern w:val="2"/>
      <w:szCs w:val="32"/>
    </w:rPr>
  </w:style>
  <w:style w:type="paragraph" w:customStyle="1" w:styleId="2995">
    <w:name w:val="样式 标题 3小标题小节标题H3h33rd level第二层条标题4标题 3 Char标题 3 Char Ch...2"/>
    <w:basedOn w:val="7"/>
    <w:qFormat/>
    <w:uiPriority w:val="0"/>
    <w:pPr>
      <w:tabs>
        <w:tab w:val="left" w:pos="709"/>
        <w:tab w:val="left" w:pos="851"/>
        <w:tab w:val="left" w:pos="1185"/>
      </w:tabs>
      <w:adjustRightInd w:val="0"/>
      <w:snapToGrid w:val="0"/>
      <w:spacing w:before="0" w:after="0" w:line="360" w:lineRule="auto"/>
      <w:ind w:left="709" w:hanging="709"/>
      <w:textAlignment w:val="baseline"/>
    </w:pPr>
    <w:rPr>
      <w:rFonts w:ascii="Arial" w:hAnsi="Arial" w:cs="Arial"/>
      <w:bCs w:val="0"/>
      <w:color w:val="0000FF"/>
      <w:kern w:val="32"/>
      <w:sz w:val="30"/>
      <w:szCs w:val="30"/>
      <w:lang w:val="en-GB"/>
    </w:rPr>
  </w:style>
  <w:style w:type="paragraph" w:customStyle="1" w:styleId="2996">
    <w:name w:val="样式 样式4 + 首行缩进:  2 字符"/>
    <w:basedOn w:val="1"/>
    <w:qFormat/>
    <w:uiPriority w:val="0"/>
    <w:pPr>
      <w:tabs>
        <w:tab w:val="center" w:pos="4252"/>
        <w:tab w:val="left" w:pos="7065"/>
      </w:tabs>
      <w:adjustRightInd w:val="0"/>
      <w:snapToGrid w:val="0"/>
      <w:ind w:firstLine="560" w:firstLineChars="200"/>
    </w:pPr>
    <w:rPr>
      <w:rFonts w:eastAsia="仿宋_GB2312"/>
      <w:kern w:val="0"/>
      <w:sz w:val="28"/>
      <w:szCs w:val="28"/>
    </w:rPr>
  </w:style>
  <w:style w:type="paragraph" w:customStyle="1" w:styleId="2997">
    <w:name w:val="图标"/>
    <w:basedOn w:val="1"/>
    <w:qFormat/>
    <w:uiPriority w:val="0"/>
    <w:pPr>
      <w:spacing w:line="480" w:lineRule="exact"/>
      <w:jc w:val="center"/>
    </w:pPr>
    <w:rPr>
      <w:rFonts w:ascii="黑体" w:eastAsia="黑体"/>
      <w:color w:val="000000"/>
      <w:sz w:val="28"/>
      <w:szCs w:val="20"/>
    </w:rPr>
  </w:style>
  <w:style w:type="paragraph" w:customStyle="1" w:styleId="2998">
    <w:name w:val="1."/>
    <w:basedOn w:val="1"/>
    <w:qFormat/>
    <w:uiPriority w:val="0"/>
    <w:pPr>
      <w:snapToGrid w:val="0"/>
      <w:ind w:left="1820" w:hanging="323"/>
    </w:pPr>
    <w:rPr>
      <w:rFonts w:ascii="DFKai-SB" w:hAnsi="Wingdings" w:eastAsia="DFKai-SB"/>
      <w:sz w:val="28"/>
      <w:szCs w:val="20"/>
      <w:lang w:eastAsia="zh-TW"/>
    </w:rPr>
  </w:style>
  <w:style w:type="paragraph" w:customStyle="1" w:styleId="2999">
    <w:name w:val="xl67"/>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kern w:val="0"/>
      <w:sz w:val="16"/>
      <w:szCs w:val="16"/>
    </w:rPr>
  </w:style>
  <w:style w:type="paragraph" w:customStyle="1" w:styleId="3000">
    <w:name w:val="th1"/>
    <w:basedOn w:val="1"/>
    <w:qFormat/>
    <w:uiPriority w:val="0"/>
    <w:pPr>
      <w:widowControl/>
      <w:spacing w:before="100" w:beforeAutospacing="1" w:after="100" w:afterAutospacing="1" w:line="240" w:lineRule="auto"/>
      <w:jc w:val="left"/>
    </w:pPr>
    <w:rPr>
      <w:rFonts w:ascii="宋体" w:hAnsi="宋体"/>
      <w:kern w:val="0"/>
    </w:rPr>
  </w:style>
  <w:style w:type="paragraph" w:customStyle="1" w:styleId="3001">
    <w:name w:val="标题3 Char Char Char"/>
    <w:basedOn w:val="1"/>
    <w:qFormat/>
    <w:uiPriority w:val="0"/>
    <w:pPr>
      <w:spacing w:afterLines="50" w:line="560" w:lineRule="exact"/>
    </w:pPr>
    <w:rPr>
      <w:rFonts w:eastAsia="黑体"/>
      <w:sz w:val="30"/>
      <w:szCs w:val="30"/>
    </w:rPr>
  </w:style>
  <w:style w:type="paragraph" w:customStyle="1" w:styleId="3002">
    <w:name w:val="样式 表格内容 + 五号 首行缩进:  0.06 厘米"/>
    <w:basedOn w:val="36"/>
    <w:qFormat/>
    <w:uiPriority w:val="0"/>
    <w:pPr>
      <w:overflowPunct w:val="0"/>
      <w:adjustRightInd w:val="0"/>
      <w:spacing w:before="40" w:after="60" w:line="200" w:lineRule="atLeast"/>
      <w:ind w:firstLine="32"/>
      <w:textAlignment w:val="baseline"/>
    </w:pPr>
    <w:rPr>
      <w:rFonts w:ascii="Arial" w:hAnsi="Arial" w:cs="宋体"/>
      <w:kern w:val="0"/>
      <w:sz w:val="21"/>
      <w:szCs w:val="20"/>
    </w:rPr>
  </w:style>
  <w:style w:type="paragraph" w:customStyle="1" w:styleId="3003">
    <w:name w:val="Char Char Char1 Char Char Char Char Char Char Char Char Char Char Char Char1 Char Char Char Char Char Char Char Char Char Char"/>
    <w:basedOn w:val="1"/>
    <w:qFormat/>
    <w:uiPriority w:val="0"/>
    <w:pPr>
      <w:spacing w:line="240" w:lineRule="auto"/>
    </w:pPr>
    <w:rPr>
      <w:sz w:val="21"/>
    </w:rPr>
  </w:style>
  <w:style w:type="paragraph" w:customStyle="1" w:styleId="3004">
    <w:name w:val="GM"/>
    <w:basedOn w:val="5"/>
    <w:qFormat/>
    <w:uiPriority w:val="0"/>
    <w:pPr>
      <w:widowControl/>
      <w:numPr>
        <w:ilvl w:val="0"/>
        <w:numId w:val="74"/>
      </w:numPr>
      <w:tabs>
        <w:tab w:val="left" w:pos="432"/>
        <w:tab w:val="left" w:pos="720"/>
        <w:tab w:val="left" w:pos="2260"/>
        <w:tab w:val="left" w:pos="2820"/>
        <w:tab w:val="left" w:pos="3420"/>
        <w:tab w:val="clear" w:pos="1040"/>
      </w:tabs>
      <w:spacing w:before="240" w:after="120" w:line="360" w:lineRule="auto"/>
      <w:ind w:left="851" w:right="-28" w:hanging="851"/>
      <w:jc w:val="center"/>
    </w:pPr>
    <w:rPr>
      <w:rFonts w:ascii="Arial" w:hAnsi="Arial" w:eastAsia="仿宋_GB2312"/>
      <w:b/>
      <w:kern w:val="0"/>
      <w:sz w:val="22"/>
      <w:szCs w:val="20"/>
      <w:lang w:val="en-GB"/>
    </w:rPr>
  </w:style>
  <w:style w:type="paragraph" w:customStyle="1" w:styleId="3005">
    <w:name w:val="表格内"/>
    <w:basedOn w:val="1"/>
    <w:qFormat/>
    <w:uiPriority w:val="0"/>
    <w:pPr>
      <w:adjustRightInd w:val="0"/>
      <w:spacing w:line="240" w:lineRule="atLeast"/>
      <w:jc w:val="center"/>
      <w:textAlignment w:val="baseline"/>
    </w:pPr>
    <w:rPr>
      <w:rFonts w:ascii="宋体"/>
      <w:color w:val="000000"/>
      <w:kern w:val="0"/>
      <w:sz w:val="28"/>
      <w:szCs w:val="20"/>
    </w:rPr>
  </w:style>
  <w:style w:type="paragraph" w:customStyle="1" w:styleId="3006">
    <w:name w:val="文本正文 + 仿宋_GB23121 Char Char"/>
    <w:basedOn w:val="1"/>
    <w:qFormat/>
    <w:uiPriority w:val="0"/>
    <w:pPr>
      <w:adjustRightInd w:val="0"/>
      <w:ind w:firstLine="560" w:firstLineChars="200"/>
      <w:textAlignment w:val="baseline"/>
    </w:pPr>
    <w:rPr>
      <w:rFonts w:ascii="仿宋_GB2312" w:hAnsi="仿宋_GB2312" w:cs="宋体"/>
      <w:snapToGrid w:val="0"/>
      <w:color w:val="000000"/>
      <w:spacing w:val="4"/>
      <w:kern w:val="18"/>
    </w:rPr>
  </w:style>
  <w:style w:type="paragraph" w:customStyle="1" w:styleId="3007">
    <w:name w:val="Char Char Char Char Char Char Char2"/>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sz w:val="24"/>
      <w:szCs w:val="24"/>
    </w:rPr>
  </w:style>
  <w:style w:type="paragraph" w:customStyle="1" w:styleId="3008">
    <w:name w:val="标题03"/>
    <w:basedOn w:val="1"/>
    <w:next w:val="2"/>
    <w:qFormat/>
    <w:uiPriority w:val="0"/>
    <w:pPr>
      <w:tabs>
        <w:tab w:val="left" w:pos="15"/>
      </w:tabs>
      <w:adjustRightInd w:val="0"/>
      <w:snapToGrid w:val="0"/>
      <w:spacing w:beforeLines="50" w:afterLines="50" w:line="500" w:lineRule="exact"/>
      <w:outlineLvl w:val="1"/>
    </w:pPr>
    <w:rPr>
      <w:rFonts w:ascii="黑体" w:eastAsia="黑体"/>
      <w:sz w:val="30"/>
      <w:szCs w:val="30"/>
    </w:rPr>
  </w:style>
  <w:style w:type="paragraph" w:customStyle="1" w:styleId="3009">
    <w:name w:val="xl99"/>
    <w:basedOn w:val="1"/>
    <w:qFormat/>
    <w:uiPriority w:val="0"/>
    <w:pPr>
      <w:widowControl/>
      <w:pBdr>
        <w:top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3010">
    <w:name w:val="16.7.3.1"/>
    <w:basedOn w:val="8"/>
    <w:qFormat/>
    <w:uiPriority w:val="0"/>
    <w:pPr>
      <w:keepLines/>
      <w:numPr>
        <w:ilvl w:val="3"/>
        <w:numId w:val="75"/>
      </w:numPr>
      <w:tabs>
        <w:tab w:val="left" w:pos="1080"/>
        <w:tab w:val="clear" w:pos="864"/>
      </w:tabs>
      <w:spacing w:before="120" w:after="120" w:line="312" w:lineRule="auto"/>
      <w:jc w:val="both"/>
    </w:pPr>
    <w:rPr>
      <w:rFonts w:ascii="Arial" w:hAnsi="Arial" w:eastAsia="黑体"/>
    </w:rPr>
  </w:style>
  <w:style w:type="paragraph" w:customStyle="1" w:styleId="3011">
    <w:name w:val="Char Char Char Char Char Char Char Char Char Char Char Char1"/>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color w:val="auto"/>
      <w:sz w:val="24"/>
      <w:szCs w:val="24"/>
    </w:rPr>
  </w:style>
  <w:style w:type="paragraph" w:customStyle="1" w:styleId="3012">
    <w:name w:val="正文文字首航缩2字"/>
    <w:basedOn w:val="1"/>
    <w:qFormat/>
    <w:uiPriority w:val="0"/>
    <w:pPr>
      <w:ind w:firstLine="200" w:firstLineChars="200"/>
    </w:pPr>
  </w:style>
  <w:style w:type="paragraph" w:customStyle="1" w:styleId="3013">
    <w:name w:val="Char1 Char Char Char1"/>
    <w:basedOn w:val="1"/>
    <w:qFormat/>
    <w:uiPriority w:val="0"/>
    <w:pPr>
      <w:adjustRightInd w:val="0"/>
      <w:snapToGrid w:val="0"/>
      <w:ind w:firstLine="200" w:firstLineChars="200"/>
    </w:pPr>
    <w:rPr>
      <w:rFonts w:ascii="宋体" w:hAnsi="宋体" w:eastAsia="汉鼎简书宋" w:cs="宋体"/>
      <w:spacing w:val="4"/>
    </w:rPr>
  </w:style>
  <w:style w:type="paragraph" w:customStyle="1" w:styleId="3014">
    <w:name w:val="样式15"/>
    <w:basedOn w:val="1568"/>
    <w:qFormat/>
    <w:uiPriority w:val="0"/>
    <w:pPr>
      <w:keepNext/>
      <w:keepLines/>
      <w:tabs>
        <w:tab w:val="left" w:pos="1260"/>
      </w:tabs>
      <w:adjustRightInd w:val="0"/>
      <w:snapToGrid w:val="0"/>
      <w:spacing w:before="160" w:after="160" w:line="360" w:lineRule="auto"/>
      <w:ind w:left="800" w:leftChars="800" w:hanging="200" w:hangingChars="200"/>
      <w:jc w:val="both"/>
      <w:textAlignment w:val="baseline"/>
      <w:outlineLvl w:val="2"/>
    </w:pPr>
    <w:rPr>
      <w:rFonts w:ascii="Times New Roman" w:hAnsi="黑体" w:eastAsia="黑体"/>
      <w:b/>
      <w:kern w:val="0"/>
      <w:sz w:val="28"/>
      <w:szCs w:val="20"/>
    </w:rPr>
  </w:style>
  <w:style w:type="paragraph" w:customStyle="1" w:styleId="3015">
    <w:name w:val="資料來源"/>
    <w:basedOn w:val="1"/>
    <w:qFormat/>
    <w:uiPriority w:val="0"/>
    <w:pPr>
      <w:adjustRightInd w:val="0"/>
      <w:snapToGrid w:val="0"/>
      <w:spacing w:before="60" w:line="240" w:lineRule="auto"/>
      <w:textAlignment w:val="baseline"/>
    </w:pPr>
    <w:rPr>
      <w:rFonts w:eastAsia="華康中明體"/>
      <w:sz w:val="18"/>
      <w:szCs w:val="20"/>
      <w:lang w:eastAsia="zh-TW"/>
    </w:rPr>
  </w:style>
  <w:style w:type="paragraph" w:customStyle="1" w:styleId="3016">
    <w:name w:val="样式 (符号) 宋体"/>
    <w:basedOn w:val="1"/>
    <w:qFormat/>
    <w:uiPriority w:val="0"/>
    <w:pPr>
      <w:spacing w:line="240" w:lineRule="auto"/>
      <w:ind w:firstLine="504" w:firstLineChars="200"/>
    </w:pPr>
    <w:rPr>
      <w:rFonts w:hAnsi="宋体" w:cs="宋体"/>
      <w:szCs w:val="20"/>
    </w:rPr>
  </w:style>
  <w:style w:type="paragraph" w:customStyle="1" w:styleId="3017">
    <w:name w:val="列项——"/>
    <w:qFormat/>
    <w:uiPriority w:val="0"/>
    <w:pPr>
      <w:widowControl w:val="0"/>
      <w:tabs>
        <w:tab w:val="left" w:pos="854"/>
      </w:tabs>
      <w:ind w:left="840" w:leftChars="200" w:hanging="420" w:hangingChars="200"/>
      <w:jc w:val="both"/>
    </w:pPr>
    <w:rPr>
      <w:rFonts w:ascii="宋体" w:hAnsi="Times New Roman" w:eastAsia="宋体" w:cs="Times New Roman"/>
      <w:kern w:val="0"/>
      <w:sz w:val="21"/>
      <w:szCs w:val="20"/>
      <w:lang w:val="en-US" w:eastAsia="zh-CN" w:bidi="ar-SA"/>
    </w:rPr>
  </w:style>
  <w:style w:type="paragraph" w:customStyle="1" w:styleId="3018">
    <w:name w:val="et11"/>
    <w:basedOn w:val="1"/>
    <w:qFormat/>
    <w:uiPriority w:val="0"/>
    <w:pPr>
      <w:widowControl/>
      <w:pBdr>
        <w:bottom w:val="single" w:color="000000" w:sz="12" w:space="0"/>
        <w:right w:val="single" w:color="000000" w:sz="12"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3019">
    <w:name w:val="Char Char Char1 Char1"/>
    <w:basedOn w:val="1"/>
    <w:qFormat/>
    <w:uiPriority w:val="0"/>
    <w:pPr>
      <w:spacing w:line="240" w:lineRule="auto"/>
    </w:pPr>
    <w:rPr>
      <w:sz w:val="21"/>
    </w:rPr>
  </w:style>
  <w:style w:type="paragraph" w:customStyle="1" w:styleId="3020">
    <w:name w:val="13.4.4.1"/>
    <w:basedOn w:val="1"/>
    <w:qFormat/>
    <w:uiPriority w:val="0"/>
    <w:pPr>
      <w:numPr>
        <w:ilvl w:val="3"/>
        <w:numId w:val="76"/>
      </w:numPr>
      <w:tabs>
        <w:tab w:val="left" w:pos="2514"/>
      </w:tabs>
      <w:spacing w:line="312" w:lineRule="auto"/>
      <w:outlineLvl w:val="3"/>
    </w:pPr>
    <w:rPr>
      <w:rFonts w:ascii="黑体" w:hAnsi="Arial" w:eastAsia="黑体" w:cs="宋体"/>
      <w:b/>
      <w:color w:val="000000"/>
    </w:rPr>
  </w:style>
  <w:style w:type="paragraph" w:customStyle="1" w:styleId="3021">
    <w:name w:val="Char1 Char Char Char"/>
    <w:basedOn w:val="1"/>
    <w:qFormat/>
    <w:uiPriority w:val="0"/>
    <w:pPr>
      <w:widowControl/>
      <w:spacing w:line="240" w:lineRule="auto"/>
      <w:jc w:val="left"/>
    </w:pPr>
    <w:rPr>
      <w:rFonts w:ascii="宋体" w:hAnsi="宋体" w:cs="宋体"/>
      <w:kern w:val="0"/>
      <w:sz w:val="21"/>
    </w:rPr>
  </w:style>
  <w:style w:type="paragraph" w:customStyle="1" w:styleId="3022">
    <w:name w:val="样式 样式2 + 首行缩进:  2 字符"/>
    <w:basedOn w:val="1"/>
    <w:qFormat/>
    <w:uiPriority w:val="0"/>
    <w:pPr>
      <w:adjustRightInd w:val="0"/>
      <w:snapToGrid w:val="0"/>
    </w:pPr>
    <w:rPr>
      <w:rFonts w:ascii="宋体" w:hAnsi="宋体" w:cs="宋体"/>
      <w:b/>
      <w:sz w:val="28"/>
      <w:szCs w:val="28"/>
    </w:rPr>
  </w:style>
  <w:style w:type="paragraph" w:customStyle="1" w:styleId="3023">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8"/>
      <w:szCs w:val="18"/>
    </w:rPr>
  </w:style>
  <w:style w:type="paragraph" w:customStyle="1" w:styleId="3024">
    <w:name w:val="样式 标题 1 + 段后: 0.3 行"/>
    <w:basedOn w:val="5"/>
    <w:qFormat/>
    <w:uiPriority w:val="0"/>
    <w:pPr>
      <w:keepNext w:val="0"/>
      <w:tabs>
        <w:tab w:val="left" w:pos="987"/>
        <w:tab w:val="left" w:pos="1800"/>
      </w:tabs>
      <w:spacing w:before="360" w:beforeLines="50" w:after="360" w:afterLines="30" w:line="300" w:lineRule="auto"/>
      <w:ind w:left="987" w:hanging="420"/>
      <w:jc w:val="center"/>
    </w:pPr>
    <w:rPr>
      <w:rFonts w:ascii="黑体" w:hAnsi="Times New Roman" w:eastAsia="黑体" w:cs="Arial"/>
      <w:b/>
      <w:kern w:val="44"/>
      <w:sz w:val="30"/>
      <w:szCs w:val="30"/>
    </w:rPr>
  </w:style>
  <w:style w:type="paragraph" w:customStyle="1" w:styleId="3025">
    <w:name w:val="样式 标题 3 + 五号 非加粗 段前: 0 磅 段后: 0 磅 行距: 最小值 0 磅"/>
    <w:basedOn w:val="7"/>
    <w:qFormat/>
    <w:uiPriority w:val="0"/>
    <w:pPr>
      <w:keepNext w:val="0"/>
      <w:widowControl/>
      <w:numPr>
        <w:ilvl w:val="0"/>
        <w:numId w:val="0"/>
      </w:numPr>
      <w:tabs>
        <w:tab w:val="left" w:pos="2160"/>
      </w:tabs>
      <w:spacing w:before="0" w:after="0" w:line="0" w:lineRule="atLeast"/>
      <w:ind w:left="2160" w:hanging="360"/>
    </w:pPr>
    <w:rPr>
      <w:rFonts w:ascii="Times New Roman" w:hAnsi="Times New Roman" w:eastAsia="黑体"/>
      <w:b w:val="0"/>
      <w:bCs w:val="0"/>
      <w:snapToGrid w:val="0"/>
      <w:color w:val="auto"/>
      <w:kern w:val="0"/>
      <w:sz w:val="21"/>
      <w:szCs w:val="20"/>
    </w:rPr>
  </w:style>
  <w:style w:type="paragraph" w:customStyle="1" w:styleId="3026">
    <w:name w:val="表格文字左"/>
    <w:basedOn w:val="1"/>
    <w:qFormat/>
    <w:uiPriority w:val="0"/>
    <w:pPr>
      <w:spacing w:line="240" w:lineRule="atLeast"/>
      <w:jc w:val="center"/>
    </w:pPr>
    <w:rPr>
      <w:rFonts w:ascii="宋体" w:hAnsi="宋体"/>
      <w:color w:val="000000"/>
      <w:kern w:val="0"/>
    </w:rPr>
  </w:style>
  <w:style w:type="paragraph" w:customStyle="1" w:styleId="3027">
    <w:name w:val="正文-欣欣"/>
    <w:basedOn w:val="1"/>
    <w:next w:val="1"/>
    <w:qFormat/>
    <w:uiPriority w:val="0"/>
    <w:pPr>
      <w:adjustRightInd w:val="0"/>
      <w:ind w:firstLine="200" w:firstLineChars="200"/>
    </w:pPr>
    <w:rPr>
      <w:szCs w:val="30"/>
    </w:rPr>
  </w:style>
  <w:style w:type="paragraph" w:customStyle="1" w:styleId="3028">
    <w:name w:val="报告1"/>
    <w:basedOn w:val="970"/>
    <w:qFormat/>
    <w:uiPriority w:val="0"/>
    <w:pPr>
      <w:snapToGrid w:val="0"/>
      <w:textAlignment w:val="baseline"/>
    </w:pPr>
    <w:rPr>
      <w:rFonts w:ascii="宋体" w:hAnsi="宋体"/>
      <w:color w:val="0000FF"/>
      <w:kern w:val="24"/>
      <w:szCs w:val="24"/>
    </w:rPr>
  </w:style>
  <w:style w:type="paragraph" w:customStyle="1" w:styleId="3029">
    <w:name w:val="CM36"/>
    <w:basedOn w:val="1345"/>
    <w:next w:val="1345"/>
    <w:qFormat/>
    <w:uiPriority w:val="0"/>
    <w:pPr>
      <w:spacing w:line="468" w:lineRule="atLeast"/>
    </w:pPr>
    <w:rPr>
      <w:rFonts w:ascii="·..." w:eastAsia="·..." w:cs="·..."/>
      <w:color w:val="auto"/>
    </w:rPr>
  </w:style>
  <w:style w:type="paragraph" w:customStyle="1" w:styleId="3030">
    <w:name w:val="样式 首行缩进:  2 字符 行距: 1.5 倍行距"/>
    <w:basedOn w:val="1"/>
    <w:qFormat/>
    <w:uiPriority w:val="0"/>
    <w:pPr>
      <w:spacing w:line="440" w:lineRule="exact"/>
      <w:ind w:firstLine="200" w:firstLineChars="200"/>
    </w:pPr>
    <w:rPr>
      <w:rFonts w:cs="宋体"/>
      <w:szCs w:val="20"/>
    </w:rPr>
  </w:style>
  <w:style w:type="paragraph" w:customStyle="1" w:styleId="3031">
    <w:name w:val="标题样式5"/>
    <w:basedOn w:val="9"/>
    <w:qFormat/>
    <w:uiPriority w:val="0"/>
    <w:pPr>
      <w:adjustRightInd/>
      <w:spacing w:before="0" w:after="0"/>
      <w:jc w:val="both"/>
      <w:textAlignment w:val="auto"/>
    </w:pPr>
    <w:rPr>
      <w:rFonts w:ascii="黑体"/>
      <w:bCs/>
      <w:kern w:val="2"/>
      <w:sz w:val="24"/>
      <w:szCs w:val="24"/>
    </w:rPr>
  </w:style>
  <w:style w:type="paragraph" w:customStyle="1" w:styleId="3032">
    <w:name w:val="样式 标题 3 + 黑色 Char Char Char"/>
    <w:basedOn w:val="7"/>
    <w:qFormat/>
    <w:uiPriority w:val="0"/>
    <w:pPr>
      <w:keepNext w:val="0"/>
      <w:keepLines w:val="0"/>
      <w:numPr>
        <w:ilvl w:val="0"/>
        <w:numId w:val="0"/>
      </w:numPr>
      <w:tabs>
        <w:tab w:val="left" w:pos="1260"/>
      </w:tabs>
      <w:adjustRightInd w:val="0"/>
      <w:snapToGrid w:val="0"/>
      <w:spacing w:before="0" w:after="0" w:line="360" w:lineRule="auto"/>
      <w:ind w:left="567" w:hanging="420"/>
    </w:pPr>
    <w:rPr>
      <w:rFonts w:ascii="Times New Roman" w:hAnsi="Times New Roman"/>
      <w:b w:val="0"/>
      <w:color w:val="auto"/>
      <w:sz w:val="24"/>
      <w:szCs w:val="30"/>
      <w:lang w:val="en-GB"/>
    </w:rPr>
  </w:style>
  <w:style w:type="paragraph" w:customStyle="1" w:styleId="3033">
    <w:name w:val="样式 标题 3 + 小三 黑色"/>
    <w:basedOn w:val="7"/>
    <w:qFormat/>
    <w:uiPriority w:val="0"/>
    <w:pPr>
      <w:numPr>
        <w:numId w:val="0"/>
      </w:numPr>
      <w:tabs>
        <w:tab w:val="left" w:pos="1365"/>
      </w:tabs>
      <w:spacing w:line="413" w:lineRule="auto"/>
    </w:pPr>
    <w:rPr>
      <w:rFonts w:ascii="Times New Roman" w:hAnsi="Times New Roman"/>
      <w:sz w:val="30"/>
      <w:szCs w:val="30"/>
    </w:rPr>
  </w:style>
  <w:style w:type="paragraph" w:customStyle="1" w:styleId="3034">
    <w:name w:val="16.9.2.1"/>
    <w:basedOn w:val="428"/>
    <w:qFormat/>
    <w:uiPriority w:val="0"/>
    <w:pPr>
      <w:numPr>
        <w:numId w:val="77"/>
      </w:numPr>
      <w:tabs>
        <w:tab w:val="left" w:pos="360"/>
        <w:tab w:val="left" w:pos="425"/>
        <w:tab w:val="left" w:pos="1620"/>
        <w:tab w:val="left" w:pos="1680"/>
        <w:tab w:val="left" w:pos="4800"/>
        <w:tab w:val="clear" w:pos="1800"/>
      </w:tabs>
      <w:ind w:left="1680" w:leftChars="600" w:hanging="420"/>
    </w:pPr>
  </w:style>
  <w:style w:type="paragraph" w:customStyle="1" w:styleId="3035">
    <w:name w:val="xl126"/>
    <w:basedOn w:val="1"/>
    <w:qFormat/>
    <w:uiPriority w:val="0"/>
    <w:pPr>
      <w:widowControl/>
      <w:pBdr>
        <w:left w:val="single" w:color="auto" w:sz="4" w:space="0"/>
        <w:right w:val="single" w:color="auto" w:sz="4" w:space="0"/>
      </w:pBdr>
      <w:spacing w:before="100" w:beforeAutospacing="1" w:after="100" w:afterAutospacing="1" w:line="240" w:lineRule="auto"/>
      <w:jc w:val="center"/>
    </w:pPr>
    <w:rPr>
      <w:kern w:val="0"/>
      <w:sz w:val="18"/>
      <w:szCs w:val="18"/>
    </w:rPr>
  </w:style>
  <w:style w:type="paragraph" w:customStyle="1" w:styleId="3036">
    <w:name w:val="Char Char Char Char Char Char2"/>
    <w:basedOn w:val="1"/>
    <w:qFormat/>
    <w:uiPriority w:val="0"/>
    <w:pPr>
      <w:spacing w:line="240" w:lineRule="auto"/>
    </w:pPr>
    <w:rPr>
      <w:rFonts w:eastAsia="仿宋_GB2312"/>
    </w:rPr>
  </w:style>
  <w:style w:type="paragraph" w:customStyle="1" w:styleId="3037">
    <w:name w:val="表内文字，居中"/>
    <w:basedOn w:val="1"/>
    <w:qFormat/>
    <w:uiPriority w:val="0"/>
    <w:pPr>
      <w:widowControl/>
      <w:spacing w:line="240" w:lineRule="auto"/>
      <w:jc w:val="center"/>
    </w:pPr>
    <w:rPr>
      <w:kern w:val="0"/>
      <w:sz w:val="21"/>
      <w:szCs w:val="20"/>
    </w:rPr>
  </w:style>
  <w:style w:type="paragraph" w:customStyle="1" w:styleId="3038">
    <w:name w:val="11"/>
    <w:basedOn w:val="1"/>
    <w:qFormat/>
    <w:uiPriority w:val="0"/>
    <w:pPr>
      <w:widowControl/>
      <w:spacing w:before="100" w:beforeAutospacing="1" w:after="100" w:afterAutospacing="1" w:line="240" w:lineRule="auto"/>
      <w:jc w:val="left"/>
    </w:pPr>
    <w:rPr>
      <w:rFonts w:ascii="宋体" w:hAnsi="宋体"/>
      <w:color w:val="000000"/>
      <w:kern w:val="0"/>
    </w:rPr>
  </w:style>
  <w:style w:type="paragraph" w:customStyle="1" w:styleId="303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kern w:val="0"/>
      <w:sz w:val="16"/>
      <w:szCs w:val="16"/>
    </w:rPr>
  </w:style>
  <w:style w:type="paragraph" w:customStyle="1" w:styleId="3040">
    <w:name w:val="表头名称"/>
    <w:basedOn w:val="23"/>
    <w:qFormat/>
    <w:uiPriority w:val="0"/>
    <w:pPr>
      <w:autoSpaceDE w:val="0"/>
      <w:autoSpaceDN w:val="0"/>
      <w:adjustRightInd w:val="0"/>
      <w:spacing w:line="360" w:lineRule="auto"/>
      <w:ind w:firstLine="0"/>
      <w:jc w:val="center"/>
    </w:pPr>
    <w:rPr>
      <w:rFonts w:ascii="黑体" w:hAnsi="宋体" w:eastAsia="黑体"/>
      <w:kern w:val="0"/>
      <w:szCs w:val="21"/>
    </w:rPr>
  </w:style>
  <w:style w:type="paragraph" w:customStyle="1" w:styleId="3041">
    <w:name w:val="样式38"/>
    <w:basedOn w:val="368"/>
    <w:qFormat/>
    <w:uiPriority w:val="0"/>
  </w:style>
  <w:style w:type="paragraph" w:customStyle="1" w:styleId="3042">
    <w:name w:val="表2"/>
    <w:basedOn w:val="1"/>
    <w:qFormat/>
    <w:uiPriority w:val="0"/>
    <w:pPr>
      <w:adjustRightInd w:val="0"/>
      <w:snapToGrid w:val="0"/>
      <w:spacing w:line="0" w:lineRule="atLeast"/>
      <w:jc w:val="center"/>
    </w:pPr>
  </w:style>
  <w:style w:type="paragraph" w:customStyle="1" w:styleId="3043">
    <w:name w:val="Char Char Char1 Char Char Char Char Char Char Char Char Char Char Char Char Char Char Char Char Char Char Char Char Char Char Char Char Char1"/>
    <w:basedOn w:val="1"/>
    <w:qFormat/>
    <w:uiPriority w:val="0"/>
    <w:pPr>
      <w:spacing w:line="240" w:lineRule="auto"/>
    </w:pPr>
    <w:rPr>
      <w:sz w:val="21"/>
      <w:szCs w:val="20"/>
    </w:rPr>
  </w:style>
  <w:style w:type="paragraph" w:customStyle="1" w:styleId="3044">
    <w:name w:val="Body Text First Indent3"/>
    <w:basedOn w:val="36"/>
    <w:qFormat/>
    <w:uiPriority w:val="0"/>
    <w:pPr>
      <w:adjustRightInd w:val="0"/>
      <w:spacing w:after="0" w:line="312" w:lineRule="auto"/>
      <w:ind w:firstLine="567"/>
      <w:textAlignment w:val="baseline"/>
    </w:pPr>
    <w:rPr>
      <w:rFonts w:hAnsi="宋体" w:cs="宋体"/>
      <w:spacing w:val="4"/>
      <w:sz w:val="28"/>
    </w:rPr>
  </w:style>
  <w:style w:type="paragraph" w:customStyle="1" w:styleId="3045">
    <w:name w:val="样式3wf"/>
    <w:basedOn w:val="1271"/>
    <w:qFormat/>
    <w:uiPriority w:val="0"/>
    <w:pPr>
      <w:autoSpaceDE w:val="0"/>
      <w:autoSpaceDN w:val="0"/>
      <w:adjustRightInd w:val="0"/>
      <w:snapToGrid w:val="0"/>
      <w:spacing w:before="120" w:line="240" w:lineRule="auto"/>
      <w:ind w:firstLine="0" w:firstLineChars="0"/>
      <w:jc w:val="center"/>
      <w:textAlignment w:val="baseline"/>
    </w:pPr>
    <w:rPr>
      <w:rFonts w:eastAsia="宋体"/>
      <w:sz w:val="24"/>
      <w:szCs w:val="21"/>
    </w:rPr>
  </w:style>
  <w:style w:type="paragraph" w:customStyle="1" w:styleId="3046">
    <w:name w:val="样式 标题 2标题 2 Char Char + Arial 加粗 首行缩进:  0 厘米 段前: 12 磅 段后: 0..."/>
    <w:basedOn w:val="6"/>
    <w:qFormat/>
    <w:uiPriority w:val="0"/>
    <w:pPr>
      <w:keepNext/>
      <w:keepLines/>
      <w:numPr>
        <w:ilvl w:val="0"/>
        <w:numId w:val="0"/>
      </w:numPr>
      <w:tabs>
        <w:tab w:val="left" w:pos="2040"/>
        <w:tab w:val="clear" w:pos="-181"/>
      </w:tabs>
      <w:adjustRightInd/>
      <w:snapToGrid/>
      <w:spacing w:before="260" w:beforeLines="0" w:after="260" w:line="415" w:lineRule="auto"/>
      <w:ind w:left="2040" w:leftChars="800" w:hanging="360" w:hangingChars="200"/>
      <w:jc w:val="both"/>
      <w:textAlignment w:val="auto"/>
    </w:pPr>
    <w:rPr>
      <w:rFonts w:ascii="Arial" w:hAnsi="Arial"/>
      <w:b/>
      <w:bCs/>
      <w:kern w:val="2"/>
      <w:sz w:val="32"/>
      <w:szCs w:val="32"/>
    </w:rPr>
  </w:style>
  <w:style w:type="paragraph" w:customStyle="1" w:styleId="3047">
    <w:name w:val="正文昆明"/>
    <w:basedOn w:val="1"/>
    <w:qFormat/>
    <w:uiPriority w:val="0"/>
    <w:pPr>
      <w:spacing w:before="240"/>
      <w:ind w:left="200" w:leftChars="200" w:firstLine="510"/>
    </w:pPr>
    <w:rPr>
      <w:rFonts w:ascii="Arial" w:hAnsi="Arial" w:cs="宋体"/>
      <w:color w:val="000000"/>
      <w:szCs w:val="20"/>
    </w:rPr>
  </w:style>
  <w:style w:type="paragraph" w:customStyle="1" w:styleId="3048">
    <w:name w:val="xl36"/>
    <w:basedOn w:val="1"/>
    <w:qFormat/>
    <w:uiPriority w:val="0"/>
    <w:pPr>
      <w:widowControl/>
      <w:spacing w:before="100" w:beforeAutospacing="1" w:after="100" w:afterAutospacing="1"/>
      <w:jc w:val="left"/>
    </w:pPr>
    <w:rPr>
      <w:rFonts w:hint="eastAsia" w:ascii="宋体" w:hAnsi="宋体"/>
      <w:color w:val="013F21"/>
      <w:kern w:val="0"/>
    </w:rPr>
  </w:style>
  <w:style w:type="paragraph" w:customStyle="1" w:styleId="3049">
    <w:name w:val="表格内格式"/>
    <w:basedOn w:val="1"/>
    <w:qFormat/>
    <w:uiPriority w:val="0"/>
    <w:pPr>
      <w:spacing w:line="240" w:lineRule="exact"/>
      <w:jc w:val="center"/>
    </w:pPr>
    <w:rPr>
      <w:rFonts w:ascii="宋体"/>
      <w:sz w:val="21"/>
    </w:rPr>
  </w:style>
  <w:style w:type="paragraph" w:customStyle="1" w:styleId="3050">
    <w:name w:val="S表格"/>
    <w:basedOn w:val="1"/>
    <w:qFormat/>
    <w:uiPriority w:val="0"/>
    <w:pPr>
      <w:spacing w:before="240"/>
      <w:outlineLvl w:val="2"/>
    </w:pPr>
    <w:rPr>
      <w:bCs/>
    </w:rPr>
  </w:style>
  <w:style w:type="paragraph" w:customStyle="1" w:styleId="3051">
    <w:name w:val="小4黑居中行1"/>
    <w:qFormat/>
    <w:uiPriority w:val="0"/>
    <w:pPr>
      <w:spacing w:line="360" w:lineRule="auto"/>
      <w:jc w:val="center"/>
    </w:pPr>
    <w:rPr>
      <w:rFonts w:ascii="Times New Roman" w:hAnsi="Times New Roman" w:eastAsia="宋体" w:cs="Times New Roman"/>
      <w:kern w:val="2"/>
      <w:sz w:val="21"/>
      <w:szCs w:val="20"/>
      <w:lang w:val="en-US" w:eastAsia="zh-CN" w:bidi="ar-SA"/>
    </w:rPr>
  </w:style>
  <w:style w:type="paragraph" w:customStyle="1" w:styleId="3052">
    <w:name w:val="Char1 Char Char Char Char Char Char Char Char Char Char Char Char"/>
    <w:basedOn w:val="1"/>
    <w:qFormat/>
    <w:uiPriority w:val="0"/>
    <w:pPr>
      <w:spacing w:line="240" w:lineRule="auto"/>
    </w:pPr>
    <w:rPr>
      <w:sz w:val="21"/>
    </w:rPr>
  </w:style>
  <w:style w:type="paragraph" w:customStyle="1" w:styleId="3053">
    <w:name w:val="德胜表格内容"/>
    <w:basedOn w:val="1"/>
    <w:link w:val="3054"/>
    <w:qFormat/>
    <w:uiPriority w:val="0"/>
    <w:pPr>
      <w:adjustRightInd w:val="0"/>
      <w:snapToGrid w:val="0"/>
      <w:jc w:val="center"/>
    </w:pPr>
    <w:rPr>
      <w:snapToGrid w:val="0"/>
      <w:color w:val="0000FF"/>
      <w:kern w:val="0"/>
      <w:szCs w:val="21"/>
    </w:rPr>
  </w:style>
  <w:style w:type="character" w:customStyle="1" w:styleId="3054">
    <w:name w:val="德胜表格内容 Char"/>
    <w:link w:val="3053"/>
    <w:qFormat/>
    <w:uiPriority w:val="0"/>
    <w:rPr>
      <w:rFonts w:ascii="Times New Roman" w:hAnsi="Times New Roman" w:eastAsia="宋体" w:cs="Times New Roman"/>
      <w:snapToGrid w:val="0"/>
      <w:color w:val="0000FF"/>
      <w:kern w:val="0"/>
      <w:sz w:val="24"/>
      <w:szCs w:val="21"/>
    </w:rPr>
  </w:style>
  <w:style w:type="paragraph" w:customStyle="1" w:styleId="3055">
    <w:name w:val="正文表头"/>
    <w:basedOn w:val="1"/>
    <w:next w:val="2616"/>
    <w:qFormat/>
    <w:uiPriority w:val="0"/>
    <w:pPr>
      <w:keepNext/>
      <w:tabs>
        <w:tab w:val="center" w:pos="4253"/>
        <w:tab w:val="right" w:pos="8505"/>
      </w:tabs>
      <w:overflowPunct w:val="0"/>
      <w:adjustRightInd w:val="0"/>
      <w:spacing w:before="120"/>
      <w:jc w:val="center"/>
      <w:textAlignment w:val="baseline"/>
    </w:pPr>
    <w:rPr>
      <w:rFonts w:eastAsia="黑体"/>
      <w:kern w:val="0"/>
      <w:sz w:val="28"/>
      <w:szCs w:val="20"/>
    </w:rPr>
  </w:style>
  <w:style w:type="paragraph" w:customStyle="1" w:styleId="3056">
    <w:name w:val="內文-1"/>
    <w:basedOn w:val="1"/>
    <w:qFormat/>
    <w:uiPriority w:val="0"/>
    <w:pPr>
      <w:topLinePunct/>
      <w:adjustRightInd w:val="0"/>
      <w:spacing w:line="384" w:lineRule="exact"/>
      <w:ind w:firstLine="482"/>
      <w:textAlignment w:val="baseline"/>
    </w:pPr>
    <w:rPr>
      <w:rFonts w:eastAsia="華康中明體"/>
      <w:kern w:val="20"/>
      <w:szCs w:val="20"/>
      <w:lang w:eastAsia="zh-TW"/>
    </w:rPr>
  </w:style>
  <w:style w:type="paragraph" w:customStyle="1" w:styleId="3057">
    <w:name w:val="样式 标题 1章标题 1 + 黑色 行距: 1.5 倍行距"/>
    <w:basedOn w:val="5"/>
    <w:qFormat/>
    <w:uiPriority w:val="0"/>
    <w:pPr>
      <w:keepLines/>
      <w:spacing w:before="340" w:after="330" w:line="360" w:lineRule="auto"/>
    </w:pPr>
    <w:rPr>
      <w:rFonts w:ascii="Times New Roman" w:hAnsi="Times New Roman" w:eastAsia="黑体" w:cs="宋体"/>
      <w:bCs/>
      <w:color w:val="000000"/>
      <w:kern w:val="44"/>
      <w:sz w:val="36"/>
      <w:szCs w:val="20"/>
    </w:rPr>
  </w:style>
  <w:style w:type="paragraph" w:customStyle="1" w:styleId="3058">
    <w:name w:val="Char2 Char Char Char Char Char Char Char2"/>
    <w:basedOn w:val="1"/>
    <w:qFormat/>
    <w:uiPriority w:val="0"/>
    <w:pPr>
      <w:autoSpaceDE w:val="0"/>
      <w:autoSpaceDN w:val="0"/>
      <w:adjustRightInd w:val="0"/>
      <w:snapToGrid w:val="0"/>
      <w:spacing w:before="50" w:after="50"/>
      <w:ind w:firstLine="560" w:firstLineChars="200"/>
    </w:pPr>
    <w:rPr>
      <w:rFonts w:eastAsia="仿宋_GB2312"/>
      <w:color w:val="000000"/>
    </w:rPr>
  </w:style>
  <w:style w:type="paragraph" w:customStyle="1" w:styleId="3059">
    <w:name w:val="正文首行缩进2字符"/>
    <w:basedOn w:val="1"/>
    <w:qFormat/>
    <w:uiPriority w:val="0"/>
    <w:pPr>
      <w:autoSpaceDE w:val="0"/>
      <w:autoSpaceDN w:val="0"/>
      <w:spacing w:line="560" w:lineRule="exact"/>
      <w:ind w:firstLine="200" w:firstLineChars="200"/>
    </w:pPr>
    <w:rPr>
      <w:kern w:val="0"/>
      <w:sz w:val="28"/>
    </w:rPr>
  </w:style>
  <w:style w:type="paragraph" w:customStyle="1" w:styleId="3060">
    <w:name w:val="样式 仿宋_GB2312 居中 行距: 固定值 18 磅"/>
    <w:basedOn w:val="1"/>
    <w:qFormat/>
    <w:uiPriority w:val="0"/>
    <w:pPr>
      <w:spacing w:line="360" w:lineRule="exact"/>
      <w:jc w:val="center"/>
    </w:pPr>
    <w:rPr>
      <w:rFonts w:ascii="仿宋_GB2312" w:hAnsi="宋体" w:eastAsia="仿宋_GB2312" w:cs="宋体"/>
      <w:kern w:val="0"/>
      <w:szCs w:val="20"/>
    </w:rPr>
  </w:style>
  <w:style w:type="paragraph" w:customStyle="1" w:styleId="3061">
    <w:name w:val="Char Char Char1 Char Char Char Char Char Char Char Char Char Char Char Char Char Char Char Char Char Char Char Char Char Char Char Char Char"/>
    <w:basedOn w:val="1"/>
    <w:qFormat/>
    <w:uiPriority w:val="0"/>
    <w:pPr>
      <w:spacing w:line="240" w:lineRule="auto"/>
    </w:pPr>
    <w:rPr>
      <w:sz w:val="21"/>
      <w:szCs w:val="20"/>
    </w:rPr>
  </w:style>
  <w:style w:type="paragraph" w:customStyle="1" w:styleId="3062">
    <w:name w:val="24"/>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3063">
    <w:name w:val="Char6 Char Char Char Char Char Char Char Char Char"/>
    <w:basedOn w:val="1"/>
    <w:qFormat/>
    <w:uiPriority w:val="0"/>
    <w:pPr>
      <w:spacing w:line="240" w:lineRule="auto"/>
    </w:pPr>
    <w:rPr>
      <w:rFonts w:ascii="宋体" w:hAnsi="宋体"/>
      <w:color w:val="000000"/>
      <w:sz w:val="28"/>
      <w:szCs w:val="20"/>
    </w:rPr>
  </w:style>
  <w:style w:type="paragraph" w:customStyle="1" w:styleId="3064">
    <w:name w:val="xl83"/>
    <w:basedOn w:val="1"/>
    <w:qFormat/>
    <w:uiPriority w:val="0"/>
    <w:pPr>
      <w:widowControl/>
      <w:pBdr>
        <w:bottom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sz w:val="20"/>
      <w:szCs w:val="20"/>
    </w:rPr>
  </w:style>
  <w:style w:type="paragraph" w:customStyle="1" w:styleId="3065">
    <w:name w:val="章标题(不加入目录内)"/>
    <w:basedOn w:val="85"/>
    <w:qFormat/>
    <w:uiPriority w:val="0"/>
    <w:pPr>
      <w:keepLines/>
      <w:pageBreakBefore/>
      <w:spacing w:after="120" w:line="240" w:lineRule="auto"/>
      <w:ind w:firstLine="0" w:firstLineChars="0"/>
      <w:outlineLvl w:val="9"/>
    </w:pPr>
    <w:rPr>
      <w:rFonts w:ascii="Times New Roman" w:hAnsi="Times New Roman" w:eastAsia="黑体" w:cs="Times New Roman"/>
      <w:bCs w:val="0"/>
      <w:spacing w:val="4"/>
      <w:sz w:val="36"/>
      <w:szCs w:val="20"/>
    </w:rPr>
  </w:style>
  <w:style w:type="paragraph" w:customStyle="1" w:styleId="3066">
    <w:name w:val="标题 2 + 段前: 0.3 行 段后: 0.3 行1"/>
    <w:basedOn w:val="6"/>
    <w:next w:val="1"/>
    <w:qFormat/>
    <w:uiPriority w:val="0"/>
    <w:pPr>
      <w:keepNext/>
      <w:keepLines/>
      <w:widowControl/>
      <w:numPr>
        <w:ilvl w:val="0"/>
        <w:numId w:val="0"/>
      </w:numPr>
      <w:tabs>
        <w:tab w:val="clear" w:pos="-181"/>
      </w:tabs>
      <w:spacing w:before="120" w:beforeLines="0" w:after="120" w:line="480" w:lineRule="exact"/>
      <w:ind w:left="1" w:firstLine="1"/>
      <w:jc w:val="both"/>
      <w:textAlignment w:val="auto"/>
    </w:pPr>
    <w:rPr>
      <w:rFonts w:cs="宋体"/>
      <w:b/>
      <w:bCs/>
      <w:i/>
      <w:szCs w:val="20"/>
    </w:rPr>
  </w:style>
  <w:style w:type="paragraph" w:customStyle="1" w:styleId="3067">
    <w:name w:val="样式 标题 2第一层条H2h2 + 左侧:  0 厘米 首行缩进:  0 厘米"/>
    <w:basedOn w:val="6"/>
    <w:qFormat/>
    <w:uiPriority w:val="0"/>
    <w:pPr>
      <w:keepNext/>
      <w:keepLines/>
      <w:numPr>
        <w:ilvl w:val="0"/>
        <w:numId w:val="0"/>
      </w:numPr>
      <w:tabs>
        <w:tab w:val="left" w:pos="737"/>
        <w:tab w:val="clear" w:pos="-181"/>
      </w:tabs>
      <w:snapToGrid/>
      <w:spacing w:before="240" w:beforeLines="0" w:after="60" w:line="240" w:lineRule="auto"/>
      <w:ind w:left="737" w:hanging="737"/>
    </w:pPr>
    <w:rPr>
      <w:rFonts w:hAnsi="Arial" w:cs="宋体"/>
      <w:bCs/>
      <w:kern w:val="32"/>
      <w:sz w:val="32"/>
      <w:szCs w:val="20"/>
    </w:rPr>
  </w:style>
  <w:style w:type="paragraph" w:customStyle="1" w:styleId="3068">
    <w:name w:val="样式 正文文本 + 四号 段后: 0 磅 行距: 固定值 24 磅"/>
    <w:basedOn w:val="36"/>
    <w:qFormat/>
    <w:uiPriority w:val="0"/>
    <w:pPr>
      <w:spacing w:after="0" w:line="480" w:lineRule="exact"/>
      <w:ind w:firstLine="630" w:firstLineChars="225"/>
    </w:pPr>
    <w:rPr>
      <w:sz w:val="28"/>
      <w:szCs w:val="20"/>
    </w:rPr>
  </w:style>
  <w:style w:type="paragraph" w:customStyle="1" w:styleId="3069">
    <w:name w:val="专题设置"/>
    <w:qFormat/>
    <w:uiPriority w:val="0"/>
    <w:pPr>
      <w:spacing w:beforeLines="50" w:afterLines="50"/>
      <w:ind w:firstLine="482" w:firstLineChars="200"/>
    </w:pPr>
    <w:rPr>
      <w:rFonts w:ascii="Times New Roman" w:hAnsi="Times New Roman" w:eastAsia="宋体" w:cs="Times New Roman"/>
      <w:b/>
      <w:kern w:val="0"/>
      <w:sz w:val="24"/>
      <w:szCs w:val="20"/>
      <w:lang w:val="en-US" w:eastAsia="zh-CN" w:bidi="ar-SA"/>
    </w:rPr>
  </w:style>
  <w:style w:type="paragraph" w:customStyle="1" w:styleId="3070">
    <w:name w:val="页脚4"/>
    <w:basedOn w:val="2395"/>
    <w:qFormat/>
    <w:uiPriority w:val="0"/>
    <w:pPr>
      <w:tabs>
        <w:tab w:val="center" w:pos="4153"/>
        <w:tab w:val="right" w:pos="8306"/>
      </w:tabs>
      <w:spacing w:line="240" w:lineRule="atLeast"/>
    </w:pPr>
    <w:rPr>
      <w:sz w:val="18"/>
    </w:rPr>
  </w:style>
  <w:style w:type="paragraph" w:customStyle="1" w:styleId="3071">
    <w:name w:val="样式 正文文字缩进 + 四号 行距: 最小值 30 磅"/>
    <w:basedOn w:val="3"/>
    <w:qFormat/>
    <w:uiPriority w:val="0"/>
    <w:pPr>
      <w:spacing w:after="0" w:line="600" w:lineRule="exact"/>
      <w:ind w:left="0" w:leftChars="0" w:firstLine="573"/>
    </w:pPr>
    <w:rPr>
      <w:rFonts w:ascii="宋体" w:cs="宋体"/>
      <w:sz w:val="28"/>
      <w:szCs w:val="20"/>
    </w:rPr>
  </w:style>
  <w:style w:type="paragraph" w:customStyle="1" w:styleId="3072">
    <w:name w:val="news_content"/>
    <w:basedOn w:val="1"/>
    <w:qFormat/>
    <w:uiPriority w:val="0"/>
    <w:pPr>
      <w:widowControl/>
      <w:spacing w:before="100" w:beforeAutospacing="1" w:after="100" w:afterAutospacing="1" w:line="240" w:lineRule="auto"/>
      <w:jc w:val="left"/>
    </w:pPr>
    <w:rPr>
      <w:rFonts w:ascii="宋体" w:hAnsi="宋体" w:cs="宋体"/>
      <w:color w:val="000000"/>
      <w:kern w:val="0"/>
    </w:rPr>
  </w:style>
  <w:style w:type="paragraph" w:customStyle="1" w:styleId="3073">
    <w:name w:val="右五"/>
    <w:basedOn w:val="2645"/>
    <w:next w:val="1"/>
    <w:qFormat/>
    <w:uiPriority w:val="0"/>
    <w:pPr>
      <w:jc w:val="right"/>
    </w:pPr>
  </w:style>
  <w:style w:type="paragraph" w:customStyle="1" w:styleId="3074">
    <w:name w:val="msoacetate"/>
    <w:basedOn w:val="1"/>
    <w:qFormat/>
    <w:uiPriority w:val="0"/>
    <w:pPr>
      <w:adjustRightInd w:val="0"/>
      <w:spacing w:line="360" w:lineRule="atLeast"/>
      <w:ind w:firstLine="567"/>
    </w:pPr>
    <w:rPr>
      <w:kern w:val="0"/>
      <w:sz w:val="18"/>
      <w:szCs w:val="18"/>
    </w:rPr>
  </w:style>
  <w:style w:type="paragraph" w:customStyle="1" w:styleId="3075">
    <w:name w:val="Char4 Char Char Char Char Char Char12"/>
    <w:basedOn w:val="1"/>
    <w:qFormat/>
    <w:uiPriority w:val="0"/>
    <w:pPr>
      <w:ind w:firstLine="200" w:firstLineChars="200"/>
    </w:pPr>
    <w:rPr>
      <w:rFonts w:ascii="宋体" w:hAnsi="宋体" w:cs="宋体"/>
    </w:rPr>
  </w:style>
  <w:style w:type="paragraph" w:styleId="3076">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7">
    <w:name w:val="表标题11.1"/>
    <w:basedOn w:val="1"/>
    <w:qFormat/>
    <w:uiPriority w:val="0"/>
    <w:pPr>
      <w:spacing w:beforeLines="100" w:line="0" w:lineRule="atLeast"/>
      <w:jc w:val="center"/>
    </w:pPr>
    <w:rPr>
      <w:b/>
    </w:rPr>
  </w:style>
  <w:style w:type="paragraph" w:customStyle="1" w:styleId="3078">
    <w:name w:val="正文文本3"/>
    <w:basedOn w:val="1"/>
    <w:next w:val="1"/>
    <w:qFormat/>
    <w:uiPriority w:val="0"/>
    <w:pPr>
      <w:widowControl/>
      <w:autoSpaceDE w:val="0"/>
      <w:autoSpaceDN w:val="0"/>
      <w:adjustRightInd w:val="0"/>
      <w:spacing w:before="60" w:after="60" w:line="240" w:lineRule="auto"/>
      <w:jc w:val="left"/>
    </w:pPr>
    <w:rPr>
      <w:rFonts w:ascii="宋体"/>
      <w:kern w:val="0"/>
      <w:lang w:eastAsia="en-US"/>
    </w:rPr>
  </w:style>
  <w:style w:type="paragraph" w:customStyle="1" w:styleId="3079">
    <w:name w:val="正文1 Char Char Char Char1"/>
    <w:basedOn w:val="1"/>
    <w:qFormat/>
    <w:uiPriority w:val="0"/>
    <w:pPr>
      <w:suppressLineNumbers/>
      <w:suppressAutoHyphens/>
      <w:topLinePunct/>
      <w:adjustRightInd w:val="0"/>
      <w:snapToGrid w:val="0"/>
      <w:ind w:firstLine="480" w:firstLineChars="200"/>
    </w:pPr>
  </w:style>
  <w:style w:type="paragraph" w:customStyle="1" w:styleId="3080">
    <w:name w:val="一级标题new"/>
    <w:basedOn w:val="1"/>
    <w:qFormat/>
    <w:uiPriority w:val="0"/>
    <w:pPr>
      <w:keepNext/>
      <w:keepLines/>
      <w:pageBreakBefore/>
      <w:tabs>
        <w:tab w:val="left" w:pos="540"/>
      </w:tabs>
      <w:adjustRightInd w:val="0"/>
      <w:spacing w:line="240" w:lineRule="auto"/>
      <w:jc w:val="left"/>
      <w:textAlignment w:val="baseline"/>
      <w:outlineLvl w:val="0"/>
    </w:pPr>
    <w:rPr>
      <w:rFonts w:eastAsia="黑体" w:cs="宋体"/>
      <w:b/>
      <w:bCs/>
      <w:kern w:val="0"/>
      <w:sz w:val="44"/>
      <w:szCs w:val="20"/>
    </w:rPr>
  </w:style>
  <w:style w:type="paragraph" w:customStyle="1" w:styleId="3081">
    <w:name w:val="样式 正文文本 + 红色 Char"/>
    <w:basedOn w:val="36"/>
    <w:qFormat/>
    <w:uiPriority w:val="0"/>
    <w:pPr>
      <w:adjustRightInd w:val="0"/>
      <w:snapToGrid w:val="0"/>
      <w:spacing w:before="60" w:after="60" w:line="264" w:lineRule="auto"/>
      <w:ind w:firstLine="200" w:firstLineChars="200"/>
      <w:textAlignment w:val="baseline"/>
    </w:pPr>
    <w:rPr>
      <w:rFonts w:eastAsia="仿宋_GB2312"/>
      <w:snapToGrid w:val="0"/>
      <w:color w:val="FF0000"/>
      <w:kern w:val="0"/>
    </w:rPr>
  </w:style>
  <w:style w:type="paragraph" w:customStyle="1" w:styleId="3082">
    <w:name w:val="biao2"/>
    <w:basedOn w:val="1"/>
    <w:qFormat/>
    <w:uiPriority w:val="0"/>
    <w:pPr>
      <w:widowControl/>
      <w:adjustRightInd w:val="0"/>
      <w:spacing w:before="100" w:after="100" w:line="240" w:lineRule="auto"/>
      <w:jc w:val="center"/>
      <w:textAlignment w:val="center"/>
    </w:pPr>
    <w:rPr>
      <w:rFonts w:ascii="??" w:hAnsi="??"/>
      <w:color w:val="000000"/>
      <w:kern w:val="0"/>
      <w:sz w:val="27"/>
      <w:szCs w:val="20"/>
    </w:rPr>
  </w:style>
  <w:style w:type="paragraph" w:customStyle="1" w:styleId="3083">
    <w:name w:val="表标题16.7－1"/>
    <w:basedOn w:val="1"/>
    <w:qFormat/>
    <w:uiPriority w:val="0"/>
    <w:pPr>
      <w:tabs>
        <w:tab w:val="left" w:pos="1931"/>
      </w:tabs>
      <w:spacing w:beforeLines="100" w:line="0" w:lineRule="atLeast"/>
      <w:ind w:left="1271" w:hanging="420"/>
    </w:pPr>
    <w:rPr>
      <w:rFonts w:eastAsia="黑体"/>
      <w:b/>
      <w:color w:val="000000"/>
    </w:rPr>
  </w:style>
  <w:style w:type="paragraph" w:customStyle="1" w:styleId="3084">
    <w:name w:val="Char13"/>
    <w:basedOn w:val="1"/>
    <w:qFormat/>
    <w:uiPriority w:val="0"/>
    <w:pPr>
      <w:ind w:firstLine="200" w:firstLineChars="200"/>
    </w:pPr>
    <w:rPr>
      <w:rFonts w:ascii="宋体" w:hAnsi="宋体" w:cs="宋体"/>
    </w:rPr>
  </w:style>
  <w:style w:type="paragraph" w:customStyle="1" w:styleId="3085">
    <w:name w:val="表内容"/>
    <w:basedOn w:val="23"/>
    <w:link w:val="3174"/>
    <w:qFormat/>
    <w:uiPriority w:val="0"/>
    <w:pPr>
      <w:snapToGrid w:val="0"/>
      <w:spacing w:before="60" w:after="60"/>
      <w:ind w:firstLine="0"/>
      <w:jc w:val="center"/>
    </w:pPr>
  </w:style>
  <w:style w:type="paragraph" w:customStyle="1" w:styleId="3086">
    <w:name w:val="样式 标题 3小标题标题 3 Char头小节标题Sottoparagrafo标题 3 Char Char Char..."/>
    <w:basedOn w:val="7"/>
    <w:qFormat/>
    <w:uiPriority w:val="0"/>
    <w:pPr>
      <w:numPr>
        <w:numId w:val="0"/>
      </w:numPr>
      <w:tabs>
        <w:tab w:val="left" w:pos="1365"/>
      </w:tabs>
      <w:spacing w:before="156" w:line="413" w:lineRule="auto"/>
    </w:pPr>
    <w:rPr>
      <w:rFonts w:ascii="Times New Roman" w:hAnsi="Times New Roman"/>
      <w:color w:val="auto"/>
      <w:sz w:val="32"/>
      <w:szCs w:val="20"/>
    </w:rPr>
  </w:style>
  <w:style w:type="paragraph" w:customStyle="1" w:styleId="3087">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3088">
    <w:name w:val="表3.8-1"/>
    <w:basedOn w:val="1445"/>
    <w:qFormat/>
    <w:uiPriority w:val="0"/>
    <w:pPr>
      <w:numPr>
        <w:ilvl w:val="0"/>
        <w:numId w:val="78"/>
      </w:numPr>
    </w:pPr>
  </w:style>
  <w:style w:type="paragraph" w:customStyle="1" w:styleId="3089">
    <w:name w:val="样式 表2.1 + 居中"/>
    <w:basedOn w:val="279"/>
    <w:qFormat/>
    <w:uiPriority w:val="0"/>
    <w:pPr>
      <w:tabs>
        <w:tab w:val="clear" w:pos="1080"/>
      </w:tabs>
      <w:ind w:left="0" w:firstLine="0"/>
      <w:jc w:val="center"/>
    </w:pPr>
    <w:rPr>
      <w:rFonts w:cs="宋体"/>
      <w:bCs/>
      <w:szCs w:val="20"/>
    </w:rPr>
  </w:style>
  <w:style w:type="paragraph" w:customStyle="1" w:styleId="3090">
    <w:name w:val="xl124"/>
    <w:basedOn w:val="1"/>
    <w:qFormat/>
    <w:uiPriority w:val="0"/>
    <w:pPr>
      <w:widowControl/>
      <w:pBdr>
        <w:left w:val="single" w:color="auto" w:sz="4" w:space="0"/>
        <w:bottom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3091">
    <w:name w:val="Char Char Char Char Char Char Char3"/>
    <w:basedOn w:val="1"/>
    <w:qFormat/>
    <w:uiPriority w:val="0"/>
    <w:pPr>
      <w:widowControl/>
      <w:spacing w:after="160" w:line="240" w:lineRule="exact"/>
    </w:pPr>
    <w:rPr>
      <w:rFonts w:ascii="Verdana" w:hAnsi="Verdana"/>
      <w:kern w:val="0"/>
      <w:sz w:val="20"/>
      <w:szCs w:val="20"/>
      <w:lang w:bidi="en-US"/>
    </w:rPr>
  </w:style>
  <w:style w:type="paragraph" w:customStyle="1" w:styleId="3092">
    <w:name w:val="CM23"/>
    <w:basedOn w:val="1345"/>
    <w:next w:val="1345"/>
    <w:qFormat/>
    <w:uiPriority w:val="0"/>
    <w:pPr>
      <w:spacing w:line="468" w:lineRule="atLeast"/>
    </w:pPr>
    <w:rPr>
      <w:rFonts w:ascii="·..." w:eastAsia="·..." w:cs="·..."/>
      <w:color w:val="auto"/>
    </w:rPr>
  </w:style>
  <w:style w:type="paragraph" w:customStyle="1" w:styleId="3093">
    <w:name w:val="样式 表头 + Times New Roman 段前: 0.5 行"/>
    <w:basedOn w:val="3"/>
    <w:qFormat/>
    <w:uiPriority w:val="0"/>
    <w:pPr>
      <w:spacing w:after="0"/>
      <w:ind w:left="0" w:leftChars="0" w:firstLine="509" w:firstLineChars="196"/>
      <w:jc w:val="center"/>
    </w:pPr>
    <w:rPr>
      <w:rFonts w:cs="宋体"/>
      <w:b/>
      <w:szCs w:val="20"/>
    </w:rPr>
  </w:style>
  <w:style w:type="paragraph" w:customStyle="1" w:styleId="3094">
    <w:name w:val="标题　3"/>
    <w:basedOn w:val="8"/>
    <w:qFormat/>
    <w:uiPriority w:val="0"/>
    <w:pPr>
      <w:keepLines/>
      <w:tabs>
        <w:tab w:val="left" w:pos="1080"/>
        <w:tab w:val="clear" w:pos="864"/>
      </w:tabs>
      <w:jc w:val="both"/>
    </w:pPr>
    <w:rPr>
      <w:kern w:val="0"/>
      <w:sz w:val="28"/>
      <w:szCs w:val="20"/>
    </w:rPr>
  </w:style>
  <w:style w:type="paragraph" w:customStyle="1" w:styleId="3095">
    <w:name w:val="10"/>
    <w:basedOn w:val="1"/>
    <w:next w:val="1"/>
    <w:qFormat/>
    <w:uiPriority w:val="0"/>
    <w:pPr>
      <w:autoSpaceDE w:val="0"/>
      <w:autoSpaceDN w:val="0"/>
      <w:adjustRightInd w:val="0"/>
      <w:snapToGrid w:val="0"/>
      <w:spacing w:line="312" w:lineRule="atLeast"/>
    </w:pPr>
    <w:rPr>
      <w:rFonts w:ascii="宋体" w:hAnsi="Tms Rmn"/>
      <w:kern w:val="0"/>
      <w:sz w:val="18"/>
      <w:szCs w:val="20"/>
    </w:rPr>
  </w:style>
  <w:style w:type="paragraph" w:customStyle="1" w:styleId="3096">
    <w:name w:val="文章总标题"/>
    <w:basedOn w:val="1"/>
    <w:next w:val="1"/>
    <w:qFormat/>
    <w:uiPriority w:val="0"/>
    <w:pPr>
      <w:widowControl/>
      <w:spacing w:before="566" w:after="544" w:line="566" w:lineRule="atLeast"/>
      <w:jc w:val="center"/>
      <w:textAlignment w:val="baseline"/>
    </w:pPr>
    <w:rPr>
      <w:rFonts w:ascii="Arial" w:eastAsia="黑体" w:cs="Arial"/>
      <w:bCs/>
      <w:color w:val="000000"/>
      <w:kern w:val="0"/>
      <w:sz w:val="54"/>
      <w:szCs w:val="54"/>
      <w:u w:color="000000"/>
    </w:rPr>
  </w:style>
  <w:style w:type="paragraph" w:customStyle="1" w:styleId="3097">
    <w:name w:val="表1"/>
    <w:basedOn w:val="1"/>
    <w:qFormat/>
    <w:uiPriority w:val="0"/>
    <w:pPr>
      <w:adjustRightInd w:val="0"/>
      <w:snapToGrid w:val="0"/>
      <w:spacing w:line="240" w:lineRule="auto"/>
      <w:jc w:val="center"/>
    </w:pPr>
    <w:rPr>
      <w:rFonts w:hAnsi="宋体"/>
      <w:snapToGrid w:val="0"/>
      <w:kern w:val="0"/>
      <w:sz w:val="21"/>
      <w:szCs w:val="21"/>
    </w:rPr>
  </w:style>
  <w:style w:type="paragraph" w:customStyle="1" w:styleId="3098">
    <w:name w:val="四级无标题条"/>
    <w:basedOn w:val="1"/>
    <w:qFormat/>
    <w:uiPriority w:val="0"/>
    <w:pPr>
      <w:numPr>
        <w:ilvl w:val="2"/>
        <w:numId w:val="79"/>
      </w:numPr>
      <w:spacing w:line="240" w:lineRule="auto"/>
    </w:pPr>
    <w:rPr>
      <w:sz w:val="21"/>
    </w:rPr>
  </w:style>
  <w:style w:type="paragraph" w:customStyle="1" w:styleId="3099">
    <w:name w:val="9 Char"/>
    <w:basedOn w:val="1"/>
    <w:qFormat/>
    <w:uiPriority w:val="0"/>
    <w:pPr>
      <w:spacing w:line="240" w:lineRule="exact"/>
      <w:ind w:firstLine="200" w:firstLineChars="200"/>
    </w:pPr>
    <w:rPr>
      <w:sz w:val="28"/>
      <w:szCs w:val="28"/>
    </w:rPr>
  </w:style>
  <w:style w:type="paragraph" w:customStyle="1" w:styleId="3100">
    <w:name w:val="b"/>
    <w:basedOn w:val="1"/>
    <w:qFormat/>
    <w:uiPriority w:val="0"/>
    <w:pPr>
      <w:widowControl/>
      <w:spacing w:before="100" w:beforeAutospacing="1" w:after="100" w:afterAutospacing="1" w:line="240" w:lineRule="auto"/>
      <w:jc w:val="left"/>
    </w:pPr>
    <w:rPr>
      <w:rFonts w:ascii="宋体" w:hAnsi="宋体"/>
      <w:kern w:val="0"/>
      <w:szCs w:val="20"/>
    </w:rPr>
  </w:style>
  <w:style w:type="paragraph" w:customStyle="1" w:styleId="3101">
    <w:name w:val="图表目录12"/>
    <w:basedOn w:val="1"/>
    <w:next w:val="1"/>
    <w:qFormat/>
    <w:uiPriority w:val="0"/>
    <w:pPr>
      <w:adjustRightInd w:val="0"/>
      <w:spacing w:line="360" w:lineRule="atLeast"/>
      <w:jc w:val="left"/>
      <w:textAlignment w:val="baseline"/>
    </w:pPr>
    <w:rPr>
      <w:rFonts w:ascii="宋体" w:hAnsi="宋体" w:cs="宋体"/>
      <w:spacing w:val="4"/>
    </w:rPr>
  </w:style>
  <w:style w:type="paragraph" w:customStyle="1" w:styleId="3102">
    <w:name w:val="图文"/>
    <w:basedOn w:val="1"/>
    <w:qFormat/>
    <w:uiPriority w:val="0"/>
    <w:pPr>
      <w:autoSpaceDE w:val="0"/>
      <w:autoSpaceDN w:val="0"/>
      <w:spacing w:afterLines="50" w:line="280" w:lineRule="exact"/>
      <w:ind w:firstLine="200" w:firstLineChars="200"/>
      <w:jc w:val="center"/>
      <w:outlineLvl w:val="1"/>
    </w:pPr>
    <w:rPr>
      <w:rFonts w:eastAsia="仿宋_GB2312"/>
      <w:sz w:val="21"/>
      <w:szCs w:val="20"/>
    </w:rPr>
  </w:style>
  <w:style w:type="paragraph" w:customStyle="1" w:styleId="3103">
    <w:name w:val="样式 样式 首行缩进:  2 字符5 + 首行缩进:  2 字符1"/>
    <w:basedOn w:val="1"/>
    <w:qFormat/>
    <w:uiPriority w:val="0"/>
    <w:pPr>
      <w:ind w:firstLine="514" w:firstLineChars="200"/>
    </w:pPr>
    <w:rPr>
      <w:rFonts w:cs="宋体"/>
      <w:szCs w:val="20"/>
    </w:rPr>
  </w:style>
  <w:style w:type="paragraph" w:customStyle="1" w:styleId="3104">
    <w:name w:val="我的样式（正文）"/>
    <w:basedOn w:val="1"/>
    <w:qFormat/>
    <w:uiPriority w:val="0"/>
    <w:pPr>
      <w:spacing w:line="440" w:lineRule="exact"/>
    </w:pPr>
    <w:rPr>
      <w:rFonts w:ascii="宋体"/>
      <w:sz w:val="28"/>
      <w:szCs w:val="20"/>
    </w:rPr>
  </w:style>
  <w:style w:type="paragraph" w:customStyle="1" w:styleId="3105">
    <w:name w:val="Char Char Char Char3"/>
    <w:basedOn w:val="1"/>
    <w:qFormat/>
    <w:uiPriority w:val="0"/>
    <w:pPr>
      <w:spacing w:line="240" w:lineRule="auto"/>
    </w:pPr>
    <w:rPr>
      <w:sz w:val="21"/>
    </w:rPr>
  </w:style>
  <w:style w:type="paragraph" w:customStyle="1" w:styleId="3106">
    <w:name w:val="样式 标题 2公路2江门样式2样式 2H2k标题 2标题 121标题 21H21节标题河石1.1Se..."/>
    <w:basedOn w:val="6"/>
    <w:qFormat/>
    <w:uiPriority w:val="0"/>
    <w:pPr>
      <w:keepNext/>
      <w:keepLines/>
      <w:numPr>
        <w:numId w:val="0"/>
      </w:numPr>
      <w:tabs>
        <w:tab w:val="left" w:pos="53"/>
        <w:tab w:val="left" w:pos="576"/>
        <w:tab w:val="left" w:pos="735"/>
        <w:tab w:val="left" w:pos="1101"/>
        <w:tab w:val="clear" w:pos="-181"/>
      </w:tabs>
      <w:adjustRightInd/>
      <w:snapToGrid/>
      <w:spacing w:before="200" w:beforeLines="0" w:after="200" w:line="240" w:lineRule="auto"/>
      <w:ind w:left="1101" w:hanging="576"/>
      <w:jc w:val="both"/>
      <w:textAlignment w:val="auto"/>
    </w:pPr>
    <w:rPr>
      <w:rFonts w:eastAsia="宋体"/>
      <w:b/>
      <w:bCs/>
      <w:kern w:val="2"/>
      <w:sz w:val="28"/>
      <w:szCs w:val="32"/>
    </w:rPr>
  </w:style>
  <w:style w:type="paragraph" w:customStyle="1" w:styleId="3107">
    <w:name w:val="xl109"/>
    <w:basedOn w:val="1"/>
    <w:qFormat/>
    <w:uiPriority w:val="0"/>
    <w:pPr>
      <w:widowControl/>
      <w:pBdr>
        <w:bottom w:val="single" w:color="auto" w:sz="4" w:space="0"/>
      </w:pBdr>
      <w:spacing w:before="100" w:beforeAutospacing="1" w:after="100" w:afterAutospacing="1" w:line="240" w:lineRule="auto"/>
      <w:jc w:val="center"/>
      <w:textAlignment w:val="center"/>
    </w:pPr>
    <w:rPr>
      <w:rFonts w:ascii="宋体" w:hAnsi="宋体" w:cs="宋体"/>
      <w:kern w:val="0"/>
      <w:sz w:val="22"/>
      <w:szCs w:val="22"/>
    </w:rPr>
  </w:style>
  <w:style w:type="paragraph" w:customStyle="1" w:styleId="3108">
    <w:name w:val="xl89"/>
    <w:basedOn w:val="1"/>
    <w:qFormat/>
    <w:uiPriority w:val="0"/>
    <w:pPr>
      <w:widowControl/>
      <w:spacing w:before="100" w:beforeAutospacing="1" w:after="100" w:afterAutospacing="1" w:line="240" w:lineRule="auto"/>
      <w:jc w:val="center"/>
      <w:textAlignment w:val="center"/>
    </w:pPr>
    <w:rPr>
      <w:rFonts w:ascii="宋体" w:hAnsi="宋体" w:cs="宋体"/>
      <w:kern w:val="0"/>
      <w:sz w:val="40"/>
      <w:szCs w:val="40"/>
    </w:rPr>
  </w:style>
  <w:style w:type="paragraph" w:customStyle="1" w:styleId="3109">
    <w:name w:val="et14"/>
    <w:basedOn w:val="1"/>
    <w:qFormat/>
    <w:uiPriority w:val="0"/>
    <w:pPr>
      <w:widowControl/>
      <w:pBdr>
        <w:bottom w:val="single" w:color="000000" w:sz="18" w:space="0"/>
        <w:right w:val="single" w:color="000000" w:sz="12" w:space="0"/>
      </w:pBdr>
      <w:spacing w:before="100" w:beforeAutospacing="1" w:after="100" w:afterAutospacing="1" w:line="240" w:lineRule="auto"/>
      <w:jc w:val="center"/>
      <w:textAlignment w:val="center"/>
    </w:pPr>
    <w:rPr>
      <w:color w:val="000000"/>
      <w:kern w:val="0"/>
      <w:sz w:val="18"/>
      <w:szCs w:val="18"/>
    </w:rPr>
  </w:style>
  <w:style w:type="paragraph" w:customStyle="1" w:styleId="3110">
    <w:name w:val="一级标题王、"/>
    <w:basedOn w:val="1"/>
    <w:qFormat/>
    <w:uiPriority w:val="0"/>
    <w:pPr>
      <w:adjustRightInd w:val="0"/>
      <w:snapToGrid w:val="0"/>
      <w:jc w:val="left"/>
      <w:outlineLvl w:val="0"/>
    </w:pPr>
    <w:rPr>
      <w:rFonts w:ascii="黑体" w:hAnsi="宋体" w:eastAsia="黑体"/>
      <w:b/>
      <w:bCs/>
      <w:w w:val="80"/>
      <w:sz w:val="32"/>
      <w:szCs w:val="20"/>
    </w:rPr>
  </w:style>
  <w:style w:type="paragraph" w:customStyle="1" w:styleId="3111">
    <w:name w:val="xl12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3112">
    <w:name w:val="样式 首行缩进:  1.01 厘米"/>
    <w:basedOn w:val="1"/>
    <w:qFormat/>
    <w:uiPriority w:val="0"/>
    <w:pPr>
      <w:spacing w:line="500" w:lineRule="exact"/>
      <w:ind w:firstLine="570"/>
    </w:pPr>
    <w:rPr>
      <w:rFonts w:cs="宋体"/>
      <w:kern w:val="28"/>
      <w:szCs w:val="20"/>
    </w:rPr>
  </w:style>
  <w:style w:type="paragraph" w:customStyle="1" w:styleId="3113">
    <w:name w:val="样式 样式 标题 1 + 两端对齐 + 居中"/>
    <w:basedOn w:val="2934"/>
    <w:qFormat/>
    <w:uiPriority w:val="0"/>
    <w:pPr>
      <w:tabs>
        <w:tab w:val="left" w:pos="1680"/>
      </w:tabs>
      <w:ind w:left="1020" w:hanging="420"/>
      <w:jc w:val="center"/>
    </w:pPr>
  </w:style>
  <w:style w:type="paragraph" w:customStyle="1" w:styleId="3114">
    <w:name w:val="xl56"/>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kern w:val="0"/>
      <w:sz w:val="16"/>
      <w:szCs w:val="16"/>
    </w:rPr>
  </w:style>
  <w:style w:type="paragraph" w:customStyle="1" w:styleId="3115">
    <w:name w:val="样式节"/>
    <w:basedOn w:val="1"/>
    <w:qFormat/>
    <w:uiPriority w:val="0"/>
    <w:pPr>
      <w:snapToGrid w:val="0"/>
      <w:spacing w:before="120" w:after="120" w:line="312" w:lineRule="auto"/>
      <w:ind w:firstLine="567"/>
    </w:pPr>
    <w:rPr>
      <w:rFonts w:ascii="宋体"/>
      <w:b/>
      <w:spacing w:val="6"/>
      <w:sz w:val="32"/>
      <w:szCs w:val="20"/>
    </w:rPr>
  </w:style>
  <w:style w:type="paragraph" w:customStyle="1" w:styleId="3116">
    <w:name w:val="xl64"/>
    <w:basedOn w:val="1"/>
    <w:qFormat/>
    <w:uiPriority w:val="0"/>
    <w:pPr>
      <w:widowControl/>
      <w:pBdr>
        <w:left w:val="single" w:color="auto" w:sz="8" w:space="0"/>
      </w:pBdr>
      <w:spacing w:before="100" w:beforeAutospacing="1" w:after="100" w:afterAutospacing="1" w:line="240" w:lineRule="auto"/>
      <w:jc w:val="center"/>
    </w:pPr>
    <w:rPr>
      <w:kern w:val="0"/>
      <w:sz w:val="16"/>
      <w:szCs w:val="16"/>
    </w:rPr>
  </w:style>
  <w:style w:type="paragraph" w:customStyle="1" w:styleId="3117">
    <w:name w:val="Char Char12"/>
    <w:basedOn w:val="1"/>
    <w:qFormat/>
    <w:uiPriority w:val="0"/>
    <w:pPr>
      <w:widowControl/>
      <w:tabs>
        <w:tab w:val="left" w:pos="630"/>
      </w:tabs>
      <w:spacing w:before="100" w:beforeAutospacing="1" w:after="100" w:afterAutospacing="1" w:line="240" w:lineRule="auto"/>
      <w:ind w:firstLine="200" w:firstLineChars="200"/>
      <w:jc w:val="left"/>
    </w:pPr>
    <w:rPr>
      <w:rFonts w:ascii="Verdana" w:hAnsi="Verdana" w:eastAsia="仿宋_GB2312"/>
      <w:kern w:val="0"/>
      <w:sz w:val="20"/>
      <w:szCs w:val="21"/>
      <w:lang w:eastAsia="en-US"/>
    </w:rPr>
  </w:style>
  <w:style w:type="paragraph" w:customStyle="1" w:styleId="3118">
    <w:name w:val="CM27"/>
    <w:basedOn w:val="1345"/>
    <w:next w:val="1345"/>
    <w:qFormat/>
    <w:uiPriority w:val="0"/>
    <w:pPr>
      <w:spacing w:line="468" w:lineRule="atLeast"/>
    </w:pPr>
    <w:rPr>
      <w:rFonts w:ascii="·..." w:eastAsia="·..." w:cs="·..."/>
      <w:color w:val="auto"/>
    </w:rPr>
  </w:style>
  <w:style w:type="paragraph" w:customStyle="1" w:styleId="3119">
    <w:name w:val="三级无标题条"/>
    <w:basedOn w:val="1"/>
    <w:qFormat/>
    <w:uiPriority w:val="0"/>
    <w:pPr>
      <w:numPr>
        <w:ilvl w:val="5"/>
        <w:numId w:val="79"/>
      </w:numPr>
      <w:spacing w:line="240" w:lineRule="auto"/>
    </w:pPr>
    <w:rPr>
      <w:sz w:val="21"/>
    </w:rPr>
  </w:style>
  <w:style w:type="paragraph" w:customStyle="1" w:styleId="3120">
    <w:name w:val="表内5"/>
    <w:basedOn w:val="1773"/>
    <w:qFormat/>
    <w:uiPriority w:val="0"/>
    <w:pPr>
      <w:spacing w:line="240" w:lineRule="auto"/>
      <w:ind w:firstLine="200" w:firstLineChars="350"/>
      <w:jc w:val="center"/>
    </w:pPr>
    <w:rPr>
      <w:rFonts w:ascii="宋体" w:hAnsi="宋体"/>
      <w:snapToGrid/>
      <w:color w:val="000000"/>
      <w:spacing w:val="0"/>
      <w:kern w:val="2"/>
      <w:sz w:val="21"/>
      <w:szCs w:val="21"/>
    </w:rPr>
  </w:style>
  <w:style w:type="paragraph" w:customStyle="1" w:styleId="3121">
    <w:name w:val="ZW"/>
    <w:basedOn w:val="1"/>
    <w:qFormat/>
    <w:uiPriority w:val="0"/>
    <w:pPr>
      <w:adjustRightInd w:val="0"/>
      <w:spacing w:line="300" w:lineRule="auto"/>
      <w:ind w:firstLine="200" w:firstLineChars="200"/>
    </w:pPr>
    <w:rPr>
      <w:rFonts w:cs="宋体"/>
    </w:rPr>
  </w:style>
  <w:style w:type="paragraph" w:customStyle="1" w:styleId="3122">
    <w:name w:val="南江医院 正文"/>
    <w:basedOn w:val="1"/>
    <w:qFormat/>
    <w:uiPriority w:val="0"/>
    <w:pPr>
      <w:adjustRightInd w:val="0"/>
      <w:snapToGrid w:val="0"/>
      <w:ind w:firstLine="200" w:firstLineChars="200"/>
      <w:jc w:val="left"/>
    </w:pPr>
    <w:rPr>
      <w:rFonts w:hAnsi="宋体"/>
    </w:rPr>
  </w:style>
  <w:style w:type="paragraph" w:customStyle="1" w:styleId="312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2"/>
      <w:szCs w:val="22"/>
    </w:rPr>
  </w:style>
  <w:style w:type="paragraph" w:customStyle="1" w:styleId="3124">
    <w:name w:val="TY"/>
    <w:basedOn w:val="1"/>
    <w:qFormat/>
    <w:uiPriority w:val="0"/>
    <w:pPr>
      <w:adjustRightInd w:val="0"/>
      <w:snapToGrid w:val="0"/>
      <w:spacing w:before="40" w:after="40" w:line="240" w:lineRule="auto"/>
    </w:pPr>
    <w:rPr>
      <w:sz w:val="21"/>
      <w:szCs w:val="20"/>
    </w:rPr>
  </w:style>
  <w:style w:type="paragraph" w:customStyle="1" w:styleId="3125">
    <w:name w:val="1标题"/>
    <w:next w:val="1848"/>
    <w:qFormat/>
    <w:uiPriority w:val="0"/>
    <w:pPr>
      <w:spacing w:beforeLines="50" w:afterLines="50"/>
      <w:jc w:val="center"/>
      <w:outlineLvl w:val="0"/>
    </w:pPr>
    <w:rPr>
      <w:rFonts w:ascii="Times New Roman" w:hAnsi="Times New Roman" w:eastAsia="黑体" w:cs="Times New Roman"/>
      <w:kern w:val="2"/>
      <w:sz w:val="36"/>
      <w:szCs w:val="24"/>
      <w:lang w:val="en-US" w:eastAsia="zh-CN" w:bidi="ar-SA"/>
    </w:rPr>
  </w:style>
  <w:style w:type="paragraph" w:customStyle="1" w:styleId="3126">
    <w:name w:val="Char Char Char1 Char7"/>
    <w:basedOn w:val="1"/>
    <w:qFormat/>
    <w:uiPriority w:val="0"/>
    <w:pPr>
      <w:spacing w:line="240" w:lineRule="auto"/>
    </w:pPr>
    <w:rPr>
      <w:sz w:val="21"/>
    </w:rPr>
  </w:style>
  <w:style w:type="paragraph" w:customStyle="1" w:styleId="3127">
    <w:name w:val="样式 标题 2 + 段前: 0.5 行"/>
    <w:basedOn w:val="6"/>
    <w:qFormat/>
    <w:uiPriority w:val="0"/>
    <w:pPr>
      <w:numPr>
        <w:ilvl w:val="0"/>
        <w:numId w:val="0"/>
      </w:numPr>
      <w:tabs>
        <w:tab w:val="left" w:pos="540"/>
        <w:tab w:val="clear" w:pos="-181"/>
      </w:tabs>
      <w:adjustRightInd/>
      <w:spacing w:before="50" w:beforeLines="0"/>
      <w:ind w:left="540" w:hanging="540"/>
      <w:jc w:val="both"/>
      <w:textAlignment w:val="auto"/>
    </w:pPr>
    <w:rPr>
      <w:rFonts w:cs="宋体"/>
      <w:b/>
      <w:bCs/>
      <w:kern w:val="2"/>
      <w:sz w:val="24"/>
      <w:szCs w:val="20"/>
    </w:rPr>
  </w:style>
  <w:style w:type="paragraph" w:customStyle="1" w:styleId="3128">
    <w:name w:val="Char Char1 Char Char1 Char Char1 Char Char1 Char Char Char Char Char Char Char4"/>
    <w:basedOn w:val="1"/>
    <w:qFormat/>
    <w:uiPriority w:val="0"/>
    <w:pPr>
      <w:spacing w:line="240" w:lineRule="auto"/>
    </w:pPr>
    <w:rPr>
      <w:rFonts w:ascii="Tahoma" w:hAnsi="Tahoma"/>
    </w:rPr>
  </w:style>
  <w:style w:type="paragraph" w:customStyle="1" w:styleId="3129">
    <w:name w:val="样式 标题 1 + 首行缩进:  0 厘米 段前: 6 磅 段后: 12 磅 行距: 最小值 28 磅"/>
    <w:basedOn w:val="5"/>
    <w:qFormat/>
    <w:uiPriority w:val="0"/>
    <w:pPr>
      <w:keepLines/>
      <w:pageBreakBefore/>
      <w:widowControl/>
      <w:tabs>
        <w:tab w:val="left" w:pos="1800"/>
      </w:tabs>
      <w:spacing w:before="360" w:beforeLines="200" w:after="624" w:line="560" w:lineRule="exact"/>
      <w:jc w:val="center"/>
    </w:pPr>
    <w:rPr>
      <w:rFonts w:ascii="黑体" w:hAnsi="Times New Roman" w:eastAsia="黑体" w:cs="宋体"/>
      <w:bCs/>
      <w:color w:val="000000"/>
      <w:kern w:val="44"/>
      <w:sz w:val="32"/>
      <w:szCs w:val="32"/>
      <w:u w:color="000000"/>
    </w:rPr>
  </w:style>
  <w:style w:type="paragraph" w:customStyle="1" w:styleId="3130">
    <w:name w:val="项目点符号"/>
    <w:basedOn w:val="1"/>
    <w:qFormat/>
    <w:uiPriority w:val="0"/>
    <w:pPr>
      <w:ind w:firstLine="539" w:firstLineChars="214"/>
    </w:pPr>
    <w:rPr>
      <w:color w:val="000000"/>
      <w:spacing w:val="6"/>
    </w:rPr>
  </w:style>
  <w:style w:type="paragraph" w:customStyle="1" w:styleId="3131">
    <w:name w:val="正文文字标准"/>
    <w:basedOn w:val="87"/>
    <w:qFormat/>
    <w:uiPriority w:val="0"/>
    <w:pPr>
      <w:spacing w:after="0"/>
      <w:ind w:firstLine="200" w:firstLineChars="200"/>
    </w:pPr>
    <w:rPr>
      <w:rFonts w:hAnsi="宋体"/>
      <w:b/>
      <w:bCs/>
      <w:color w:val="0000FF"/>
    </w:rPr>
  </w:style>
  <w:style w:type="paragraph" w:customStyle="1" w:styleId="3132">
    <w:name w:val="7表格(治)"/>
    <w:qFormat/>
    <w:uiPriority w:val="0"/>
    <w:pPr>
      <w:jc w:val="center"/>
    </w:pPr>
    <w:rPr>
      <w:rFonts w:ascii="宋体" w:hAnsi="宋体" w:eastAsia="宋体" w:cs="Times New Roman"/>
      <w:color w:val="0000FF"/>
      <w:kern w:val="0"/>
      <w:sz w:val="21"/>
      <w:szCs w:val="20"/>
      <w:lang w:val="en-US" w:eastAsia="zh-CN" w:bidi="ar-SA"/>
    </w:rPr>
  </w:style>
  <w:style w:type="paragraph" w:customStyle="1" w:styleId="3133">
    <w:name w:val="Char Char Char Char Char Char Char Char Char Char Char Char1 Char"/>
    <w:basedOn w:val="1"/>
    <w:qFormat/>
    <w:uiPriority w:val="0"/>
    <w:pPr>
      <w:spacing w:line="240" w:lineRule="auto"/>
    </w:pPr>
  </w:style>
  <w:style w:type="paragraph" w:customStyle="1" w:styleId="3134">
    <w:name w:val="zxl正文首行缩进  2 字符 行距: Char"/>
    <w:basedOn w:val="1"/>
    <w:qFormat/>
    <w:uiPriority w:val="0"/>
    <w:pPr>
      <w:widowControl/>
      <w:tabs>
        <w:tab w:val="left" w:pos="-1843"/>
        <w:tab w:val="left" w:pos="1727"/>
        <w:tab w:val="left" w:pos="1884"/>
      </w:tabs>
      <w:spacing w:line="336" w:lineRule="auto"/>
      <w:ind w:firstLine="560" w:firstLineChars="200"/>
      <w:outlineLvl w:val="0"/>
    </w:pPr>
    <w:rPr>
      <w:rFonts w:ascii="宋体" w:hAnsi="宋体"/>
      <w:sz w:val="28"/>
      <w:szCs w:val="28"/>
    </w:rPr>
  </w:style>
  <w:style w:type="paragraph" w:customStyle="1" w:styleId="313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eastAsia="Arial Unicode MS"/>
      <w:color w:val="0000FF"/>
      <w:kern w:val="0"/>
    </w:rPr>
  </w:style>
  <w:style w:type="paragraph" w:customStyle="1" w:styleId="3136">
    <w:name w:val="Puce1-8 pts"/>
    <w:basedOn w:val="1460"/>
    <w:qFormat/>
    <w:uiPriority w:val="0"/>
    <w:pPr>
      <w:keepLines/>
      <w:tabs>
        <w:tab w:val="left" w:pos="0"/>
        <w:tab w:val="clear" w:pos="1280"/>
        <w:tab w:val="clear" w:pos="1560"/>
      </w:tabs>
      <w:spacing w:before="160"/>
      <w:ind w:left="1280" w:hanging="720"/>
    </w:pPr>
    <w:rPr>
      <w:lang w:eastAsia="zh-CN"/>
    </w:rPr>
  </w:style>
  <w:style w:type="paragraph" w:customStyle="1" w:styleId="3137">
    <w:name w:val="样式 标题 1 + (中文) 黑体 三号 居中 行距: 单倍行距"/>
    <w:basedOn w:val="5"/>
    <w:qFormat/>
    <w:uiPriority w:val="0"/>
    <w:pPr>
      <w:keepLines/>
      <w:widowControl/>
      <w:topLinePunct/>
      <w:autoSpaceDE w:val="0"/>
      <w:autoSpaceDN w:val="0"/>
      <w:adjustRightInd w:val="0"/>
      <w:snapToGrid w:val="0"/>
      <w:spacing w:before="340" w:after="330" w:line="240" w:lineRule="auto"/>
      <w:ind w:firstLine="538" w:firstLineChars="224"/>
      <w:jc w:val="left"/>
    </w:pPr>
    <w:rPr>
      <w:rFonts w:hAnsi="Times New Roman" w:eastAsia="黑体" w:cs="宋体"/>
      <w:snapToGrid w:val="0"/>
      <w:kern w:val="44"/>
      <w:sz w:val="32"/>
      <w:szCs w:val="20"/>
    </w:rPr>
  </w:style>
  <w:style w:type="paragraph" w:customStyle="1" w:styleId="3138">
    <w:name w:val="普通 (Web)"/>
    <w:basedOn w:val="1"/>
    <w:qFormat/>
    <w:uiPriority w:val="0"/>
    <w:pPr>
      <w:widowControl/>
      <w:spacing w:before="100" w:beforeAutospacing="1" w:after="100" w:afterAutospacing="1" w:line="240" w:lineRule="auto"/>
      <w:jc w:val="left"/>
    </w:pPr>
    <w:rPr>
      <w:rFonts w:ascii="宋体" w:hAnsi="宋体"/>
      <w:kern w:val="0"/>
    </w:rPr>
  </w:style>
  <w:style w:type="paragraph" w:customStyle="1" w:styleId="3139">
    <w:name w:val="Char Char2 Char Char Char Char Char Char Char11"/>
    <w:basedOn w:val="7"/>
    <w:qFormat/>
    <w:uiPriority w:val="0"/>
    <w:pPr>
      <w:numPr>
        <w:ilvl w:val="0"/>
        <w:numId w:val="0"/>
      </w:numPr>
      <w:tabs>
        <w:tab w:val="left" w:pos="360"/>
        <w:tab w:val="left" w:pos="900"/>
      </w:tabs>
      <w:snapToGrid w:val="0"/>
      <w:spacing w:before="120" w:after="120" w:line="360" w:lineRule="auto"/>
      <w:ind w:left="542" w:leftChars="-12" w:firstLine="200" w:firstLineChars="200"/>
      <w:jc w:val="left"/>
    </w:pPr>
    <w:rPr>
      <w:rFonts w:ascii="Times New Roman" w:hAnsi="Times New Roman" w:eastAsia="黑体"/>
      <w:b w:val="0"/>
      <w:bCs w:val="0"/>
      <w:snapToGrid w:val="0"/>
      <w:color w:val="auto"/>
      <w:sz w:val="24"/>
      <w:szCs w:val="20"/>
    </w:rPr>
  </w:style>
  <w:style w:type="paragraph" w:customStyle="1" w:styleId="3140">
    <w:name w:val="样式 样式 样式 首行缩进:  2 字符 + 首行缩进:  2 字符 + 首行缩进:  2 字符"/>
    <w:basedOn w:val="2478"/>
    <w:qFormat/>
    <w:uiPriority w:val="0"/>
    <w:pPr>
      <w:ind w:firstLine="567"/>
    </w:pPr>
    <w:rPr>
      <w:szCs w:val="20"/>
    </w:rPr>
  </w:style>
  <w:style w:type="paragraph" w:customStyle="1" w:styleId="3141">
    <w:name w:val="表题"/>
    <w:basedOn w:val="36"/>
    <w:next w:val="531"/>
    <w:qFormat/>
    <w:uiPriority w:val="0"/>
    <w:pPr>
      <w:adjustRightInd w:val="0"/>
      <w:spacing w:after="0" w:line="240" w:lineRule="auto"/>
      <w:jc w:val="center"/>
    </w:pPr>
    <w:rPr>
      <w:bCs/>
      <w:kern w:val="44"/>
      <w:szCs w:val="20"/>
    </w:rPr>
  </w:style>
  <w:style w:type="paragraph" w:customStyle="1" w:styleId="3142">
    <w:name w:val="表格标题格式设置"/>
    <w:basedOn w:val="1"/>
    <w:qFormat/>
    <w:uiPriority w:val="0"/>
    <w:pPr>
      <w:spacing w:line="400" w:lineRule="atLeast"/>
      <w:jc w:val="center"/>
    </w:pPr>
    <w:rPr>
      <w:rFonts w:ascii="宋体" w:hAnsi="宋体"/>
      <w:b/>
      <w:bCs/>
    </w:rPr>
  </w:style>
  <w:style w:type="paragraph" w:customStyle="1" w:styleId="3143">
    <w:name w:val="中表格"/>
    <w:basedOn w:val="1"/>
    <w:qFormat/>
    <w:uiPriority w:val="0"/>
    <w:pPr>
      <w:spacing w:line="420" w:lineRule="exact"/>
      <w:jc w:val="center"/>
    </w:pPr>
    <w:rPr>
      <w:rFonts w:ascii="宋体" w:hAnsi="Arial"/>
      <w:szCs w:val="20"/>
    </w:rPr>
  </w:style>
  <w:style w:type="paragraph" w:customStyle="1" w:styleId="3144">
    <w:name w:val="表格居中3"/>
    <w:basedOn w:val="1"/>
    <w:qFormat/>
    <w:uiPriority w:val="0"/>
    <w:pPr>
      <w:spacing w:line="240" w:lineRule="auto"/>
      <w:jc w:val="center"/>
      <w:outlineLvl w:val="3"/>
    </w:pPr>
    <w:rPr>
      <w:rFonts w:ascii="宋体" w:hAnsi="宋体"/>
      <w:sz w:val="21"/>
      <w:szCs w:val="20"/>
    </w:rPr>
  </w:style>
  <w:style w:type="paragraph" w:customStyle="1" w:styleId="3145">
    <w:name w:val="Char1 Char Char Char Char Char Char Char Char Char Char Char Char1"/>
    <w:basedOn w:val="1"/>
    <w:qFormat/>
    <w:uiPriority w:val="0"/>
    <w:pPr>
      <w:spacing w:line="240" w:lineRule="auto"/>
    </w:pPr>
    <w:rPr>
      <w:sz w:val="21"/>
    </w:rPr>
  </w:style>
  <w:style w:type="paragraph" w:customStyle="1" w:styleId="3146">
    <w:name w:val="gb1"/>
    <w:basedOn w:val="1"/>
    <w:qFormat/>
    <w:uiPriority w:val="0"/>
    <w:pPr>
      <w:widowControl/>
      <w:tabs>
        <w:tab w:val="left" w:pos="227"/>
      </w:tabs>
      <w:overflowPunct w:val="0"/>
      <w:autoSpaceDE w:val="0"/>
      <w:autoSpaceDN w:val="0"/>
      <w:adjustRightInd w:val="0"/>
      <w:spacing w:before="120" w:after="120" w:line="240" w:lineRule="auto"/>
      <w:jc w:val="left"/>
      <w:textAlignment w:val="baseline"/>
    </w:pPr>
    <w:rPr>
      <w:rFonts w:ascii="Arial" w:hAnsi="Arial" w:eastAsia="仿宋体"/>
      <w:color w:val="000000"/>
      <w:kern w:val="0"/>
      <w:szCs w:val="20"/>
    </w:rPr>
  </w:style>
  <w:style w:type="paragraph" w:customStyle="1" w:styleId="3147">
    <w:name w:val="自动更正"/>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48">
    <w:name w:val="题图"/>
    <w:basedOn w:val="1"/>
    <w:qFormat/>
    <w:uiPriority w:val="0"/>
    <w:pPr>
      <w:adjustRightInd w:val="0"/>
      <w:snapToGrid w:val="0"/>
      <w:spacing w:line="240" w:lineRule="auto"/>
      <w:jc w:val="center"/>
    </w:pPr>
    <w:rPr>
      <w:rFonts w:ascii="宋体"/>
      <w:sz w:val="28"/>
    </w:rPr>
  </w:style>
  <w:style w:type="paragraph" w:customStyle="1" w:styleId="3149">
    <w:name w:val="样式 标题 2h22Header 2nd PageA.B.C.h2 main headingAChapter Ti..."/>
    <w:basedOn w:val="6"/>
    <w:qFormat/>
    <w:uiPriority w:val="0"/>
    <w:pPr>
      <w:keepNext/>
      <w:widowControl/>
      <w:numPr>
        <w:ilvl w:val="0"/>
        <w:numId w:val="0"/>
      </w:numPr>
      <w:tabs>
        <w:tab w:val="clear" w:pos="-181"/>
      </w:tabs>
      <w:spacing w:before="0" w:beforeLines="0"/>
      <w:ind w:left="346" w:hanging="346" w:firstLineChars="200"/>
    </w:pPr>
    <w:rPr>
      <w:rFonts w:ascii="黑体" w:cs="宋体"/>
      <w:b/>
      <w:bCs/>
      <w:spacing w:val="-2"/>
      <w:kern w:val="2"/>
      <w:sz w:val="24"/>
      <w:szCs w:val="24"/>
    </w:rPr>
  </w:style>
  <w:style w:type="paragraph" w:customStyle="1" w:styleId="3150">
    <w:name w:val="Char1 Char Char Char Char Char1 Char Char Char Char Char Char Char"/>
    <w:basedOn w:val="1"/>
    <w:qFormat/>
    <w:uiPriority w:val="0"/>
    <w:pPr>
      <w:adjustRightInd w:val="0"/>
      <w:snapToGrid w:val="0"/>
    </w:pPr>
    <w:rPr>
      <w:rFonts w:ascii="宋体" w:hAnsi="宋体" w:cs="宋体"/>
    </w:rPr>
  </w:style>
  <w:style w:type="paragraph" w:customStyle="1" w:styleId="3151">
    <w:name w:val="悬挂式正文"/>
    <w:basedOn w:val="1"/>
    <w:qFormat/>
    <w:uiPriority w:val="0"/>
    <w:pPr>
      <w:tabs>
        <w:tab w:val="center" w:pos="6804"/>
        <w:tab w:val="right" w:pos="7371"/>
      </w:tabs>
      <w:overflowPunct w:val="0"/>
      <w:adjustRightInd w:val="0"/>
      <w:ind w:left="1701" w:hanging="1134"/>
      <w:textAlignment w:val="baseline"/>
    </w:pPr>
    <w:rPr>
      <w:kern w:val="0"/>
      <w:sz w:val="28"/>
      <w:szCs w:val="20"/>
    </w:rPr>
  </w:style>
  <w:style w:type="paragraph" w:customStyle="1" w:styleId="3152">
    <w:name w:val="封面日期"/>
    <w:basedOn w:val="1"/>
    <w:qFormat/>
    <w:uiPriority w:val="0"/>
    <w:pPr>
      <w:spacing w:line="400" w:lineRule="exact"/>
      <w:jc w:val="center"/>
    </w:pPr>
    <w:rPr>
      <w:rFonts w:eastAsia="仿宋_GB2312"/>
      <w:szCs w:val="20"/>
    </w:rPr>
  </w:style>
  <w:style w:type="paragraph" w:customStyle="1" w:styleId="3153">
    <w:name w:val="样式 标题 2 + Times New Roman 小三 居中"/>
    <w:basedOn w:val="6"/>
    <w:qFormat/>
    <w:uiPriority w:val="0"/>
    <w:pPr>
      <w:keepNext/>
      <w:keepLines/>
      <w:widowControl/>
      <w:numPr>
        <w:ilvl w:val="0"/>
        <w:numId w:val="0"/>
      </w:numPr>
      <w:tabs>
        <w:tab w:val="clear" w:pos="-181"/>
      </w:tabs>
      <w:adjustRightInd/>
      <w:snapToGrid/>
      <w:spacing w:before="260" w:beforeLines="0" w:after="260" w:line="415" w:lineRule="auto"/>
      <w:ind w:firstLine="538" w:firstLineChars="192"/>
      <w:textAlignment w:val="auto"/>
    </w:pPr>
    <w:rPr>
      <w:rFonts w:cs="宋体"/>
      <w:b/>
      <w:spacing w:val="4"/>
      <w:kern w:val="2"/>
      <w:szCs w:val="24"/>
    </w:rPr>
  </w:style>
  <w:style w:type="paragraph" w:customStyle="1" w:styleId="3154">
    <w:name w:val="reader-word-layer reader-word-s3-1"/>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3155">
    <w:name w:val="表头000000"/>
    <w:basedOn w:val="1"/>
    <w:next w:val="1"/>
    <w:qFormat/>
    <w:uiPriority w:val="0"/>
    <w:pPr>
      <w:snapToGrid w:val="0"/>
      <w:spacing w:line="240" w:lineRule="atLeast"/>
      <w:jc w:val="center"/>
    </w:pPr>
    <w:rPr>
      <w:rFonts w:ascii="黑体" w:hAnsi="宋体" w:eastAsia="黑体"/>
      <w:bCs/>
      <w:szCs w:val="28"/>
    </w:rPr>
  </w:style>
  <w:style w:type="paragraph" w:customStyle="1" w:styleId="3156">
    <w:name w:val="1正文"/>
    <w:basedOn w:val="1"/>
    <w:qFormat/>
    <w:uiPriority w:val="0"/>
    <w:pPr>
      <w:widowControl/>
      <w:spacing w:beforeLines="50" w:afterLines="50" w:line="240" w:lineRule="auto"/>
    </w:pPr>
    <w:rPr>
      <w:kern w:val="0"/>
      <w:sz w:val="21"/>
      <w:lang w:bidi="en-US"/>
    </w:rPr>
  </w:style>
  <w:style w:type="paragraph" w:customStyle="1" w:styleId="3157">
    <w:name w:val="主题封页"/>
    <w:basedOn w:val="2658"/>
    <w:next w:val="1857"/>
    <w:qFormat/>
    <w:uiPriority w:val="0"/>
    <w:pPr>
      <w:spacing w:before="720" w:after="160"/>
      <w:jc w:val="center"/>
    </w:pPr>
    <w:rPr>
      <w:sz w:val="40"/>
    </w:rPr>
  </w:style>
  <w:style w:type="paragraph" w:customStyle="1" w:styleId="3158">
    <w:name w:val="Char Char1 Char3"/>
    <w:basedOn w:val="1"/>
    <w:qFormat/>
    <w:uiPriority w:val="0"/>
    <w:pPr>
      <w:adjustRightInd w:val="0"/>
      <w:ind w:firstLine="560" w:firstLineChars="200"/>
    </w:pPr>
    <w:rPr>
      <w:rFonts w:ascii="宋体" w:hAnsi="宋体" w:cs="宋体"/>
    </w:rPr>
  </w:style>
  <w:style w:type="character" w:customStyle="1" w:styleId="3159">
    <w:name w:val="Char Char242"/>
    <w:qFormat/>
    <w:uiPriority w:val="0"/>
    <w:rPr>
      <w:rFonts w:ascii="宋体" w:hAnsi="宋体" w:eastAsia="宋体" w:cs="宋体"/>
      <w:spacing w:val="4"/>
      <w:kern w:val="2"/>
      <w:sz w:val="21"/>
      <w:szCs w:val="24"/>
      <w:lang w:val="en-US" w:eastAsia="zh-CN" w:bidi="ar-SA"/>
    </w:rPr>
  </w:style>
  <w:style w:type="character" w:customStyle="1" w:styleId="3160">
    <w:name w:val="正文文本缩进 Char3"/>
    <w:qFormat/>
    <w:uiPriority w:val="0"/>
    <w:rPr>
      <w:rFonts w:hint="eastAsia" w:ascii="宋体" w:hAnsi="宋体" w:eastAsia="宋体" w:cs="宋体"/>
      <w:kern w:val="2"/>
      <w:sz w:val="24"/>
    </w:rPr>
  </w:style>
  <w:style w:type="paragraph" w:customStyle="1" w:styleId="3161">
    <w:name w:val="样式 左 首行缩进:  1.01 厘米"/>
    <w:basedOn w:val="1"/>
    <w:link w:val="3243"/>
    <w:qFormat/>
    <w:uiPriority w:val="0"/>
    <w:pPr>
      <w:adjustRightInd w:val="0"/>
      <w:snapToGrid w:val="0"/>
      <w:spacing w:line="460" w:lineRule="exact"/>
      <w:ind w:firstLine="200" w:firstLineChars="200"/>
    </w:pPr>
    <w:rPr>
      <w:sz w:val="26"/>
      <w:szCs w:val="26"/>
    </w:rPr>
  </w:style>
  <w:style w:type="paragraph" w:customStyle="1" w:styleId="3162">
    <w:name w:val="hb1"/>
    <w:basedOn w:val="36"/>
    <w:semiHidden/>
    <w:qFormat/>
    <w:uiPriority w:val="0"/>
    <w:pPr>
      <w:spacing w:after="0" w:line="460" w:lineRule="exact"/>
      <w:ind w:firstLine="482"/>
    </w:pPr>
    <w:rPr>
      <w:rFonts w:ascii="宋体" w:hAnsi="宋体"/>
      <w:color w:val="000000"/>
    </w:rPr>
  </w:style>
  <w:style w:type="paragraph" w:customStyle="1" w:styleId="3163">
    <w:name w:val="样式 列表 2 + 华文仿宋 居中"/>
    <w:basedOn w:val="38"/>
    <w:qFormat/>
    <w:uiPriority w:val="0"/>
    <w:pPr>
      <w:adjustRightInd w:val="0"/>
      <w:snapToGrid w:val="0"/>
      <w:ind w:left="0" w:firstLine="0"/>
      <w:jc w:val="center"/>
    </w:pPr>
    <w:rPr>
      <w:color w:val="5B9BD5" w:themeColor="accent1"/>
      <w:kern w:val="0"/>
      <w:szCs w:val="21"/>
      <w14:textFill>
        <w14:solidFill>
          <w14:schemeClr w14:val="accent1"/>
        </w14:solidFill>
      </w14:textFill>
    </w:rPr>
  </w:style>
  <w:style w:type="table" w:customStyle="1" w:styleId="3164">
    <w:name w:val="Table Normal"/>
    <w:semiHidden/>
    <w:unhideWhenUsed/>
    <w:qFormat/>
    <w:uiPriority w:val="2"/>
    <w:pPr>
      <w:widowControl w:val="0"/>
    </w:pPr>
    <w:rPr>
      <w:rFonts w:ascii="Times New Roman" w:hAnsi="Times New Roman" w:eastAsia="宋体" w:cs="Times New Roman"/>
      <w:kern w:val="0"/>
      <w:sz w:val="22"/>
      <w:szCs w:val="20"/>
      <w:lang w:eastAsia="en-US"/>
    </w:rPr>
    <w:tblPr>
      <w:tblCellMar>
        <w:top w:w="0" w:type="dxa"/>
        <w:left w:w="0" w:type="dxa"/>
        <w:bottom w:w="0" w:type="dxa"/>
        <w:right w:w="0" w:type="dxa"/>
      </w:tblCellMar>
    </w:tblPr>
  </w:style>
  <w:style w:type="paragraph" w:customStyle="1" w:styleId="3165">
    <w:name w:val="正文-蓝色"/>
    <w:basedOn w:val="3027"/>
    <w:link w:val="3178"/>
    <w:qFormat/>
    <w:uiPriority w:val="0"/>
    <w:rPr>
      <w:rFonts w:cs="宋体"/>
      <w:color w:val="0000FF"/>
      <w:szCs w:val="28"/>
    </w:rPr>
  </w:style>
  <w:style w:type="paragraph" w:customStyle="1" w:styleId="3166">
    <w:name w:val="表格标题-6"/>
    <w:basedOn w:val="3167"/>
    <w:next w:val="1"/>
    <w:qFormat/>
    <w:uiPriority w:val="0"/>
    <w:pPr>
      <w:ind w:left="1050" w:hanging="420"/>
    </w:pPr>
  </w:style>
  <w:style w:type="paragraph" w:customStyle="1" w:styleId="3167">
    <w:name w:val="表格标题-xin"/>
    <w:basedOn w:val="1"/>
    <w:next w:val="1"/>
    <w:semiHidden/>
    <w:qFormat/>
    <w:uiPriority w:val="0"/>
    <w:pPr>
      <w:adjustRightInd w:val="0"/>
      <w:snapToGrid w:val="0"/>
      <w:jc w:val="center"/>
    </w:pPr>
    <w:rPr>
      <w:rFonts w:eastAsia="黑体"/>
    </w:rPr>
  </w:style>
  <w:style w:type="character" w:customStyle="1" w:styleId="3168">
    <w:name w:val="fontborder"/>
    <w:basedOn w:val="133"/>
    <w:qFormat/>
    <w:uiPriority w:val="0"/>
    <w:rPr>
      <w:bdr w:val="single" w:color="000000" w:sz="6" w:space="0"/>
    </w:rPr>
  </w:style>
  <w:style w:type="character" w:customStyle="1" w:styleId="3169">
    <w:name w:val="fontstrikethrough"/>
    <w:basedOn w:val="133"/>
    <w:qFormat/>
    <w:uiPriority w:val="0"/>
    <w:rPr>
      <w:strike/>
    </w:rPr>
  </w:style>
  <w:style w:type="character" w:customStyle="1" w:styleId="3170">
    <w:name w:val="bsharetext"/>
    <w:basedOn w:val="133"/>
    <w:qFormat/>
    <w:uiPriority w:val="0"/>
  </w:style>
  <w:style w:type="character" w:customStyle="1" w:styleId="3171">
    <w:name w:val="表格内容 Char"/>
    <w:link w:val="3172"/>
    <w:uiPriority w:val="0"/>
  </w:style>
  <w:style w:type="paragraph" w:customStyle="1" w:styleId="3172">
    <w:name w:val="表格内容"/>
    <w:basedOn w:val="23"/>
    <w:next w:val="23"/>
    <w:link w:val="3171"/>
    <w:uiPriority w:val="0"/>
    <w:pPr>
      <w:adjustRightInd w:val="0"/>
      <w:snapToGrid w:val="0"/>
      <w:ind w:firstLine="0"/>
      <w:jc w:val="center"/>
    </w:pPr>
    <w:rPr>
      <w:rFonts w:asciiTheme="minorHAnsi" w:hAnsiTheme="minorHAnsi" w:eastAsiaTheme="minorEastAsia" w:cstheme="minorBidi"/>
      <w:szCs w:val="22"/>
    </w:rPr>
  </w:style>
  <w:style w:type="character" w:customStyle="1" w:styleId="3173">
    <w:name w:val="0正文 Char"/>
    <w:link w:val="192"/>
    <w:uiPriority w:val="0"/>
    <w:rPr>
      <w:rFonts w:ascii="Times New Roman" w:hAnsi="Times New Roman" w:eastAsia="宋体" w:cs="Times New Roman"/>
      <w:sz w:val="24"/>
      <w:szCs w:val="24"/>
    </w:rPr>
  </w:style>
  <w:style w:type="character" w:customStyle="1" w:styleId="3174">
    <w:name w:val="表内容 Char"/>
    <w:basedOn w:val="133"/>
    <w:link w:val="3085"/>
    <w:uiPriority w:val="0"/>
    <w:rPr>
      <w:rFonts w:ascii="Times New Roman" w:hAnsi="Times New Roman" w:eastAsia="宋体" w:cs="Times New Roman"/>
      <w:szCs w:val="20"/>
    </w:rPr>
  </w:style>
  <w:style w:type="paragraph" w:customStyle="1" w:styleId="3175">
    <w:name w:val="表格_正文"/>
    <w:qFormat/>
    <w:uiPriority w:val="0"/>
    <w:pPr>
      <w:widowControl w:val="0"/>
      <w:tabs>
        <w:tab w:val="left" w:pos="0"/>
      </w:tabs>
      <w:adjustRightInd w:val="0"/>
      <w:snapToGrid w:val="0"/>
      <w:jc w:val="center"/>
    </w:pPr>
    <w:rPr>
      <w:rFonts w:ascii="Times New Roman" w:hAnsi="Times New Roman" w:eastAsia="宋体" w:cs="Times New Roman"/>
      <w:kern w:val="0"/>
      <w:sz w:val="21"/>
      <w:szCs w:val="22"/>
      <w:lang w:val="en-US" w:eastAsia="zh-CN" w:bidi="ar-SA"/>
    </w:rPr>
  </w:style>
  <w:style w:type="paragraph" w:customStyle="1" w:styleId="3176">
    <w:name w:val="表格_标题"/>
    <w:basedOn w:val="3175"/>
    <w:qFormat/>
    <w:uiPriority w:val="0"/>
    <w:pPr>
      <w:spacing w:before="50" w:beforeLines="50"/>
    </w:pPr>
    <w:rPr>
      <w:b/>
      <w:sz w:val="24"/>
    </w:rPr>
  </w:style>
  <w:style w:type="paragraph" w:customStyle="1" w:styleId="3177">
    <w:name w:val="报告正文-连续目录"/>
    <w:basedOn w:val="1"/>
    <w:uiPriority w:val="0"/>
    <w:pPr>
      <w:spacing w:line="440" w:lineRule="exact"/>
      <w:ind w:firstLine="200" w:firstLineChars="200"/>
    </w:pPr>
    <w:rPr>
      <w:rFonts w:ascii="Arial" w:hAnsi="Arial"/>
      <w:snapToGrid w:val="0"/>
      <w:kern w:val="0"/>
    </w:rPr>
  </w:style>
  <w:style w:type="character" w:customStyle="1" w:styleId="3178">
    <w:name w:val="正文-蓝色 Char"/>
    <w:link w:val="3165"/>
    <w:qFormat/>
    <w:uiPriority w:val="0"/>
    <w:rPr>
      <w:rFonts w:ascii="Times New Roman" w:hAnsi="Times New Roman" w:eastAsia="宋体" w:cs="宋体"/>
      <w:color w:val="0000FF"/>
      <w:sz w:val="24"/>
      <w:szCs w:val="28"/>
    </w:rPr>
  </w:style>
  <w:style w:type="paragraph" w:customStyle="1" w:styleId="3179">
    <w:name w:val="注释"/>
    <w:basedOn w:val="1"/>
    <w:uiPriority w:val="0"/>
    <w:pPr>
      <w:widowControl/>
      <w:spacing w:line="360" w:lineRule="exact"/>
      <w:jc w:val="left"/>
    </w:pPr>
    <w:rPr>
      <w:rFonts w:ascii="宋体" w:hAnsi="宋体" w:cs="宋体"/>
      <w:kern w:val="0"/>
      <w:sz w:val="21"/>
    </w:rPr>
  </w:style>
  <w:style w:type="character" w:customStyle="1" w:styleId="3180">
    <w:name w:val="纯文本 Char1"/>
    <w:basedOn w:val="133"/>
    <w:uiPriority w:val="0"/>
    <w:rPr>
      <w:rFonts w:ascii="宋体" w:hAnsi="Courier New" w:eastAsia="宋体" w:cs="Courier New"/>
      <w:kern w:val="0"/>
      <w:szCs w:val="21"/>
    </w:rPr>
  </w:style>
  <w:style w:type="character" w:customStyle="1" w:styleId="3181">
    <w:name w:val="HTML 预设格式 Char1"/>
    <w:basedOn w:val="133"/>
    <w:semiHidden/>
    <w:uiPriority w:val="99"/>
    <w:rPr>
      <w:rFonts w:ascii="Courier New" w:hAnsi="Courier New" w:eastAsia="宋体" w:cs="Courier New"/>
      <w:kern w:val="0"/>
      <w:sz w:val="20"/>
      <w:szCs w:val="20"/>
    </w:rPr>
  </w:style>
  <w:style w:type="character" w:customStyle="1" w:styleId="3182">
    <w:name w:val="批注文字 Char"/>
    <w:basedOn w:val="133"/>
    <w:uiPriority w:val="0"/>
    <w:rPr>
      <w:rFonts w:ascii="宋体" w:hAnsi="宋体" w:eastAsia="宋体" w:cs="宋体"/>
      <w:kern w:val="0"/>
      <w:sz w:val="24"/>
      <w:szCs w:val="24"/>
    </w:rPr>
  </w:style>
  <w:style w:type="character" w:customStyle="1" w:styleId="3183">
    <w:name w:val="正文文本 Char1"/>
    <w:basedOn w:val="133"/>
    <w:uiPriority w:val="0"/>
    <w:rPr>
      <w:rFonts w:ascii="宋体" w:hAnsi="宋体" w:eastAsia="宋体" w:cs="宋体"/>
      <w:kern w:val="0"/>
      <w:sz w:val="24"/>
      <w:szCs w:val="24"/>
    </w:rPr>
  </w:style>
  <w:style w:type="character" w:customStyle="1" w:styleId="3184">
    <w:name w:val="正文文本缩进 3 Char1"/>
    <w:basedOn w:val="133"/>
    <w:semiHidden/>
    <w:uiPriority w:val="99"/>
    <w:rPr>
      <w:rFonts w:ascii="宋体" w:hAnsi="宋体" w:eastAsia="宋体" w:cs="宋体"/>
      <w:kern w:val="0"/>
      <w:sz w:val="16"/>
      <w:szCs w:val="16"/>
    </w:rPr>
  </w:style>
  <w:style w:type="character" w:customStyle="1" w:styleId="3185">
    <w:name w:val="批注框文本 Char1"/>
    <w:basedOn w:val="133"/>
    <w:semiHidden/>
    <w:uiPriority w:val="99"/>
    <w:rPr>
      <w:rFonts w:ascii="宋体" w:hAnsi="宋体" w:eastAsia="宋体" w:cs="宋体"/>
      <w:kern w:val="0"/>
      <w:sz w:val="18"/>
      <w:szCs w:val="18"/>
    </w:rPr>
  </w:style>
  <w:style w:type="paragraph" w:customStyle="1" w:styleId="3186">
    <w:name w:val="Char Char"/>
    <w:basedOn w:val="1"/>
    <w:uiPriority w:val="0"/>
    <w:pPr>
      <w:widowControl/>
      <w:spacing w:line="240" w:lineRule="auto"/>
      <w:jc w:val="left"/>
    </w:pPr>
    <w:rPr>
      <w:rFonts w:ascii="宋体" w:hAnsi="宋体" w:cs="宋体"/>
      <w:kern w:val="0"/>
      <w:sz w:val="21"/>
      <w:szCs w:val="20"/>
    </w:rPr>
  </w:style>
  <w:style w:type="table" w:customStyle="1" w:styleId="3187">
    <w:name w:val="网格型1"/>
    <w:basedOn w:val="88"/>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188">
    <w:name w:val="Char Char Char Char Char Char Char Char2 Char Char Char Char Char Char Char Char Char Char1"/>
    <w:basedOn w:val="1"/>
    <w:next w:val="1"/>
    <w:semiHidden/>
    <w:uiPriority w:val="0"/>
    <w:pPr>
      <w:spacing w:line="336" w:lineRule="auto"/>
      <w:ind w:firstLine="200" w:firstLineChars="200"/>
    </w:pPr>
    <w:rPr>
      <w:rFonts w:ascii="宋体" w:hAnsi="宋体" w:eastAsia="汉鼎简书宋" w:cs="宋体"/>
      <w:spacing w:val="4"/>
    </w:rPr>
  </w:style>
  <w:style w:type="paragraph" w:customStyle="1" w:styleId="3189">
    <w:name w:val="Char Char Char Char Char Char Char Char2 Char Char Char Char Char Char Char Char Char Char"/>
    <w:basedOn w:val="1"/>
    <w:next w:val="1"/>
    <w:semiHidden/>
    <w:uiPriority w:val="0"/>
    <w:pPr>
      <w:spacing w:line="336" w:lineRule="auto"/>
      <w:ind w:firstLine="200" w:firstLineChars="200"/>
    </w:pPr>
    <w:rPr>
      <w:rFonts w:ascii="宋体" w:hAnsi="宋体" w:eastAsia="汉鼎简书宋" w:cs="宋体"/>
      <w:spacing w:val="4"/>
    </w:rPr>
  </w:style>
  <w:style w:type="paragraph" w:customStyle="1" w:styleId="3190">
    <w:name w:val="Char Char2"/>
    <w:basedOn w:val="1"/>
    <w:next w:val="1"/>
    <w:semiHidden/>
    <w:uiPriority w:val="0"/>
    <w:pPr>
      <w:spacing w:line="336" w:lineRule="auto"/>
      <w:ind w:firstLine="200" w:firstLineChars="200"/>
    </w:pPr>
    <w:rPr>
      <w:rFonts w:ascii="宋体" w:hAnsi="宋体" w:eastAsia="汉鼎简书宋" w:cs="宋体"/>
      <w:spacing w:val="4"/>
    </w:rPr>
  </w:style>
  <w:style w:type="paragraph" w:customStyle="1" w:styleId="3191">
    <w:name w:val="Char Char Char Char Char Char Char Char2 Char Char Char Char Char Char Char Char Char Char Char Char"/>
    <w:basedOn w:val="1"/>
    <w:next w:val="1"/>
    <w:semiHidden/>
    <w:uiPriority w:val="0"/>
    <w:pPr>
      <w:spacing w:line="336" w:lineRule="auto"/>
      <w:ind w:firstLine="200" w:firstLineChars="200"/>
    </w:pPr>
    <w:rPr>
      <w:rFonts w:ascii="宋体" w:hAnsi="宋体" w:eastAsia="汉鼎简书宋" w:cs="宋体"/>
      <w:spacing w:val="4"/>
    </w:rPr>
  </w:style>
  <w:style w:type="table" w:customStyle="1" w:styleId="3192">
    <w:name w:val="环评排版"/>
    <w:basedOn w:val="88"/>
    <w:uiPriority w:val="0"/>
    <w:pPr>
      <w:snapToGrid w:val="0"/>
      <w:spacing w:line="360" w:lineRule="atLeast"/>
      <w:jc w:val="center"/>
    </w:pPr>
    <w:rPr>
      <w:rFonts w:ascii="Times New Roman" w:hAnsi="Times New Roman" w:eastAsia="宋体" w:cs="Times New Roman"/>
      <w:kern w:val="0"/>
      <w:szCs w:val="20"/>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character" w:customStyle="1" w:styleId="3193">
    <w:name w:val="访问过的超链接1"/>
    <w:uiPriority w:val="0"/>
    <w:rPr>
      <w:color w:val="800080"/>
      <w:u w:val="single"/>
    </w:rPr>
  </w:style>
  <w:style w:type="character" w:customStyle="1" w:styleId="3194">
    <w:name w:val="标题 1 Char1"/>
    <w:uiPriority w:val="0"/>
    <w:rPr>
      <w:b/>
      <w:bCs/>
      <w:kern w:val="44"/>
      <w:sz w:val="44"/>
      <w:szCs w:val="44"/>
    </w:rPr>
  </w:style>
  <w:style w:type="paragraph" w:customStyle="1" w:styleId="3195">
    <w:name w:val="章标题"/>
    <w:next w:val="1"/>
    <w:uiPriority w:val="0"/>
    <w:pPr>
      <w:tabs>
        <w:tab w:val="left" w:pos="903"/>
      </w:tabs>
      <w:spacing w:before="50" w:after="50"/>
      <w:ind w:left="903" w:hanging="315"/>
      <w:jc w:val="both"/>
      <w:outlineLvl w:val="1"/>
    </w:pPr>
    <w:rPr>
      <w:rFonts w:ascii="黑体" w:hAnsi="Times New Roman" w:eastAsia="黑体" w:cs="Times New Roman"/>
      <w:kern w:val="0"/>
      <w:sz w:val="21"/>
      <w:szCs w:val="20"/>
      <w:lang w:val="en-US" w:eastAsia="zh-CN" w:bidi="ar-SA"/>
    </w:rPr>
  </w:style>
  <w:style w:type="paragraph" w:customStyle="1" w:styleId="3196">
    <w:name w:val="Char Char Char Char Char Char Char Char2 Char Char Char Char Char Char Char Char Char Char Char Char Char2"/>
    <w:basedOn w:val="1"/>
    <w:next w:val="1"/>
    <w:semiHidden/>
    <w:uiPriority w:val="0"/>
    <w:pPr>
      <w:spacing w:line="336" w:lineRule="auto"/>
      <w:ind w:firstLine="200" w:firstLineChars="200"/>
    </w:pPr>
    <w:rPr>
      <w:rFonts w:ascii="宋体" w:hAnsi="宋体" w:eastAsia="汉鼎简书宋" w:cs="宋体"/>
      <w:spacing w:val="4"/>
    </w:rPr>
  </w:style>
  <w:style w:type="table" w:customStyle="1" w:styleId="3197">
    <w:name w:val="最常用表格"/>
    <w:basedOn w:val="122"/>
    <w:semiHidden/>
    <w:uiPriority w:val="0"/>
    <w:pPr>
      <w:widowControl w:val="0"/>
      <w:spacing w:line="240" w:lineRule="auto"/>
      <w:ind w:firstLine="0" w:firstLineChars="0"/>
      <w:jc w:val="center"/>
    </w:pPr>
    <w:rPr>
      <w:rFonts w:eastAsia="Times New Roman"/>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shd w:val="clear" w:color="auto" w:fill="auto"/>
      <w:vAlign w:val="center"/>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character" w:customStyle="1" w:styleId="3198">
    <w:name w:val="文本正文 + 仿宋_GB2312 Char Char Char"/>
    <w:semiHidden/>
    <w:uiPriority w:val="0"/>
    <w:rPr>
      <w:rFonts w:ascii="仿宋_GB2312" w:hAnsi="仿宋_GB2312" w:eastAsia="仿宋_GB2312" w:cs="宋体"/>
      <w:snapToGrid w:val="0"/>
      <w:color w:val="000000"/>
      <w:spacing w:val="4"/>
      <w:kern w:val="18"/>
      <w:sz w:val="28"/>
      <w:szCs w:val="28"/>
      <w:lang w:val="en-US" w:eastAsia="zh-CN" w:bidi="ar-SA"/>
    </w:rPr>
  </w:style>
  <w:style w:type="paragraph" w:customStyle="1" w:styleId="3199">
    <w:name w:val="文本正文 + 仿宋_GB2312 Char"/>
    <w:basedOn w:val="1"/>
    <w:semiHidden/>
    <w:uiPriority w:val="0"/>
    <w:pPr>
      <w:adjustRightInd w:val="0"/>
      <w:ind w:firstLine="567"/>
      <w:textAlignment w:val="baseline"/>
    </w:pPr>
    <w:rPr>
      <w:rFonts w:ascii="仿宋_GB2312" w:hAnsi="仿宋_GB2312" w:cs="宋体"/>
      <w:snapToGrid w:val="0"/>
      <w:color w:val="000000"/>
      <w:spacing w:val="4"/>
      <w:kern w:val="18"/>
    </w:rPr>
  </w:style>
  <w:style w:type="character" w:customStyle="1" w:styleId="3200">
    <w:name w:val="标题 4 Char1"/>
    <w:uiPriority w:val="0"/>
    <w:rPr>
      <w:rFonts w:ascii="Arial" w:hAnsi="Arial" w:eastAsia="黑体"/>
      <w:b/>
      <w:bCs/>
      <w:kern w:val="2"/>
      <w:sz w:val="28"/>
      <w:szCs w:val="28"/>
    </w:rPr>
  </w:style>
  <w:style w:type="character" w:customStyle="1" w:styleId="3201">
    <w:name w:val="1.1标题 3 Char"/>
    <w:semiHidden/>
    <w:uiPriority w:val="0"/>
    <w:rPr>
      <w:rFonts w:ascii="黑体" w:hAnsi="宋体" w:eastAsia="黑体" w:cs="宋体"/>
      <w:b/>
      <w:bCs/>
      <w:snapToGrid w:val="0"/>
      <w:color w:val="000000"/>
      <w:spacing w:val="4"/>
      <w:kern w:val="2"/>
      <w:sz w:val="28"/>
      <w:szCs w:val="28"/>
      <w:lang w:val="en-US" w:eastAsia="zh-CN" w:bidi="ar-SA"/>
    </w:rPr>
  </w:style>
  <w:style w:type="character" w:customStyle="1" w:styleId="3202">
    <w:name w:val="标题4 Char"/>
    <w:semiHidden/>
    <w:uiPriority w:val="0"/>
    <w:rPr>
      <w:rFonts w:ascii="宋体" w:hAnsi="宋体" w:eastAsia="宋体" w:cs="宋体"/>
      <w:snapToGrid w:val="0"/>
      <w:color w:val="000000"/>
      <w:spacing w:val="4"/>
      <w:kern w:val="2"/>
      <w:sz w:val="21"/>
      <w:szCs w:val="24"/>
      <w:lang w:val="en-US" w:eastAsia="zh-CN" w:bidi="ar-SA"/>
    </w:rPr>
  </w:style>
  <w:style w:type="paragraph" w:customStyle="1" w:styleId="3203">
    <w:name w:val="目录2"/>
    <w:basedOn w:val="75"/>
    <w:next w:val="1"/>
    <w:semiHidden/>
    <w:uiPriority w:val="0"/>
    <w:pPr>
      <w:tabs>
        <w:tab w:val="left" w:pos="630"/>
        <w:tab w:val="left" w:pos="681"/>
        <w:tab w:val="right" w:leader="dot" w:pos="8296"/>
        <w:tab w:val="left" w:leader="dot" w:pos="8492"/>
        <w:tab w:val="right" w:leader="dot" w:pos="9061"/>
      </w:tabs>
      <w:snapToGrid/>
      <w:spacing w:beforeLines="50" w:line="312" w:lineRule="auto"/>
      <w:ind w:left="210" w:firstLine="420" w:firstLineChars="0"/>
      <w:textAlignment w:val="baseline"/>
    </w:pPr>
    <w:rPr>
      <w:rFonts w:ascii="宋体" w:hAnsi="Arial"/>
      <w:b/>
      <w:color w:val="000000"/>
      <w:kern w:val="0"/>
      <w:sz w:val="21"/>
      <w:u w:color="000000"/>
    </w:rPr>
  </w:style>
  <w:style w:type="character" w:customStyle="1" w:styleId="3204">
    <w:name w:val="页脚 Char1"/>
    <w:uiPriority w:val="0"/>
    <w:rPr>
      <w:rFonts w:ascii="宋体" w:hAnsi="宋体" w:eastAsia="宋体" w:cs="宋体"/>
      <w:spacing w:val="4"/>
      <w:kern w:val="2"/>
      <w:sz w:val="18"/>
      <w:szCs w:val="24"/>
      <w:lang w:val="en-US" w:eastAsia="zh-CN" w:bidi="ar-SA"/>
    </w:rPr>
  </w:style>
  <w:style w:type="table" w:customStyle="1" w:styleId="3205">
    <w:name w:val="刘文自定义表格"/>
    <w:basedOn w:val="90"/>
    <w:semiHidden/>
    <w:uiPriority w:val="0"/>
    <w:pPr>
      <w:jc w:val="center"/>
    </w:pPr>
    <w:tblPr>
      <w:tblBorders>
        <w:top w:val="single" w:color="auto" w:sz="12" w:space="0"/>
        <w:bottom w:val="single" w:color="auto" w:sz="12" w:space="0"/>
      </w:tblBorders>
      <w:tblCellMar>
        <w:top w:w="0" w:type="dxa"/>
        <w:left w:w="108" w:type="dxa"/>
        <w:bottom w:w="0" w:type="dxa"/>
        <w:right w:w="108" w:type="dxa"/>
      </w:tblCellMar>
    </w:tblPr>
    <w:trPr>
      <w:tblHeader/>
    </w:trPr>
    <w:tcPr>
      <w:tcMar>
        <w:left w:w="28" w:type="dxa"/>
        <w:right w:w="28" w:type="dxa"/>
      </w:tcMar>
      <w:vAlign w:val="center"/>
    </w:tcPr>
  </w:style>
  <w:style w:type="table" w:customStyle="1" w:styleId="3206">
    <w:name w:val="HIT-EIA"/>
    <w:basedOn w:val="95"/>
    <w:uiPriority w:val="0"/>
    <w:pPr>
      <w:jc w:val="center"/>
    </w:pPr>
    <w:rPr>
      <w:sz w:val="21"/>
    </w:rPr>
    <w:tblPr>
      <w:tblBorders>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character" w:customStyle="1" w:styleId="3207">
    <w:name w:val="纯文本 Char1 Char Char Char Char Char Char Char"/>
    <w:uiPriority w:val="0"/>
    <w:rPr>
      <w:rFonts w:ascii="宋体" w:hAnsi="Courier New" w:eastAsia="宋体" w:cs="宋体"/>
      <w:spacing w:val="4"/>
      <w:kern w:val="2"/>
      <w:sz w:val="21"/>
      <w:szCs w:val="24"/>
      <w:lang w:val="en-US" w:eastAsia="zh-CN" w:bidi="ar-SA"/>
    </w:rPr>
  </w:style>
  <w:style w:type="character" w:customStyle="1" w:styleId="3208">
    <w:name w:val="正文首行缩进 Char Char Char Char Char"/>
    <w:uiPriority w:val="0"/>
    <w:rPr>
      <w:rFonts w:ascii="宋体" w:hAnsi="宋体" w:eastAsia="宋体" w:cs="宋体"/>
      <w:spacing w:val="6"/>
      <w:kern w:val="2"/>
      <w:sz w:val="24"/>
      <w:szCs w:val="24"/>
      <w:lang w:val="en-US" w:eastAsia="zh-CN" w:bidi="ar-SA"/>
    </w:rPr>
  </w:style>
  <w:style w:type="character" w:customStyle="1" w:styleId="3209">
    <w:name w:val="标题1 Char"/>
    <w:uiPriority w:val="0"/>
    <w:rPr>
      <w:rFonts w:ascii="宋体" w:hAnsi="宋体" w:cs="宋体"/>
      <w:spacing w:val="4"/>
      <w:kern w:val="2"/>
      <w:sz w:val="24"/>
      <w:szCs w:val="24"/>
    </w:rPr>
  </w:style>
  <w:style w:type="character" w:customStyle="1" w:styleId="3210">
    <w:name w:val="Subtle Emphasis"/>
    <w:qFormat/>
    <w:uiPriority w:val="0"/>
    <w:rPr>
      <w:i/>
      <w:color w:val="5A5A5A"/>
    </w:rPr>
  </w:style>
  <w:style w:type="character" w:customStyle="1" w:styleId="3211">
    <w:name w:val="Intense Emphasis"/>
    <w:qFormat/>
    <w:uiPriority w:val="0"/>
    <w:rPr>
      <w:rFonts w:ascii="宋体" w:hAnsi="宋体" w:eastAsia="汉鼎简书宋" w:cs="宋体"/>
      <w:b/>
      <w:i/>
      <w:spacing w:val="4"/>
      <w:kern w:val="2"/>
      <w:sz w:val="24"/>
      <w:szCs w:val="24"/>
      <w:u w:val="single"/>
      <w:lang w:val="en-US" w:eastAsia="zh-CN" w:bidi="ar-SA"/>
    </w:rPr>
  </w:style>
  <w:style w:type="character" w:customStyle="1" w:styleId="3212">
    <w:name w:val="Subtle Reference"/>
    <w:qFormat/>
    <w:uiPriority w:val="0"/>
    <w:rPr>
      <w:rFonts w:ascii="宋体" w:hAnsi="宋体" w:eastAsia="汉鼎简书宋" w:cs="宋体"/>
      <w:spacing w:val="4"/>
      <w:kern w:val="2"/>
      <w:sz w:val="24"/>
      <w:szCs w:val="24"/>
      <w:u w:val="single"/>
      <w:lang w:val="en-US" w:eastAsia="zh-CN" w:bidi="ar-SA"/>
    </w:rPr>
  </w:style>
  <w:style w:type="character" w:customStyle="1" w:styleId="3213">
    <w:name w:val="Intense Reference"/>
    <w:qFormat/>
    <w:uiPriority w:val="0"/>
    <w:rPr>
      <w:rFonts w:ascii="宋体" w:hAnsi="宋体" w:eastAsia="汉鼎简书宋" w:cs="宋体"/>
      <w:b/>
      <w:spacing w:val="4"/>
      <w:kern w:val="2"/>
      <w:sz w:val="24"/>
      <w:szCs w:val="24"/>
      <w:u w:val="single"/>
      <w:lang w:val="en-US" w:eastAsia="zh-CN" w:bidi="ar-SA"/>
    </w:rPr>
  </w:style>
  <w:style w:type="character" w:customStyle="1" w:styleId="3214">
    <w:name w:val="Book Title"/>
    <w:qFormat/>
    <w:uiPriority w:val="0"/>
    <w:rPr>
      <w:rFonts w:ascii="Cambria" w:hAnsi="Cambria" w:eastAsia="宋体" w:cs="宋体"/>
      <w:b/>
      <w:i/>
      <w:spacing w:val="4"/>
      <w:kern w:val="2"/>
      <w:sz w:val="24"/>
      <w:szCs w:val="24"/>
      <w:lang w:val="en-US" w:eastAsia="zh-CN" w:bidi="ar-SA"/>
    </w:rPr>
  </w:style>
  <w:style w:type="paragraph" w:customStyle="1" w:styleId="3215">
    <w:name w:val="TOC Heading"/>
    <w:basedOn w:val="5"/>
    <w:next w:val="1"/>
    <w:qFormat/>
    <w:uiPriority w:val="0"/>
    <w:pPr>
      <w:widowControl/>
      <w:spacing w:before="240" w:after="60" w:line="240" w:lineRule="auto"/>
      <w:jc w:val="left"/>
      <w:outlineLvl w:val="9"/>
    </w:pPr>
    <w:rPr>
      <w:rFonts w:ascii="Cambria" w:hAnsi="Cambria"/>
      <w:b/>
      <w:bCs/>
      <w:kern w:val="32"/>
      <w:sz w:val="32"/>
      <w:szCs w:val="32"/>
      <w:lang w:eastAsia="en-US" w:bidi="en-US"/>
    </w:rPr>
  </w:style>
  <w:style w:type="character" w:customStyle="1" w:styleId="3216">
    <w:name w:val="普通文字 Char2"/>
    <w:uiPriority w:val="0"/>
    <w:rPr>
      <w:rFonts w:ascii="宋体" w:hAnsi="Courier New" w:eastAsia="宋体" w:cs="宋体"/>
      <w:spacing w:val="4"/>
      <w:kern w:val="2"/>
      <w:sz w:val="28"/>
      <w:szCs w:val="24"/>
      <w:lang w:val="en-US" w:eastAsia="zh-CN" w:bidi="ar-SA"/>
    </w:rPr>
  </w:style>
  <w:style w:type="table" w:customStyle="1" w:styleId="3217">
    <w:name w:val="环评用表"/>
    <w:basedOn w:val="3197"/>
    <w:uiPriority w:val="0"/>
    <w:rPr>
      <w:rFonts w:eastAsia="宋体"/>
      <w:szCs w:val="21"/>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shd w:val="clear" w:color="auto" w:fill="auto"/>
      <w:vAlign w:val="center"/>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character" w:customStyle="1" w:styleId="3218">
    <w:name w:val="默认段落字体 Para Char Char"/>
    <w:link w:val="2580"/>
    <w:uiPriority w:val="0"/>
    <w:rPr>
      <w:rFonts w:ascii="宋体" w:hAnsi="宋体" w:eastAsia="宋体" w:cs="宋体"/>
      <w:sz w:val="24"/>
      <w:szCs w:val="24"/>
    </w:rPr>
  </w:style>
  <w:style w:type="paragraph" w:customStyle="1" w:styleId="3219">
    <w:name w:val="Revision"/>
    <w:hidden/>
    <w:semiHidden/>
    <w:uiPriority w:val="0"/>
    <w:rPr>
      <w:rFonts w:ascii="Times New Roman" w:hAnsi="Times New Roman" w:eastAsia="宋体" w:cs="Times New Roman"/>
      <w:kern w:val="2"/>
      <w:sz w:val="24"/>
      <w:szCs w:val="24"/>
      <w:lang w:val="en-US" w:eastAsia="zh-CN" w:bidi="ar-SA"/>
    </w:rPr>
  </w:style>
  <w:style w:type="table" w:customStyle="1" w:styleId="3220">
    <w:name w:val="网格型2"/>
    <w:basedOn w:val="88"/>
    <w:uiPriority w:val="0"/>
    <w:pPr>
      <w:widowControl w:val="0"/>
      <w:spacing w:line="360" w:lineRule="auto"/>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1">
    <w:name w:val="表格样式100"/>
    <w:basedOn w:val="88"/>
    <w:semiHidden/>
    <w:uiPriority w:val="0"/>
    <w:pPr>
      <w:widowControl w:val="0"/>
      <w:overflowPunct w:val="0"/>
      <w:topLinePunct/>
      <w:autoSpaceDE w:val="0"/>
      <w:autoSpaceDN w:val="0"/>
      <w:adjustRightInd w:val="0"/>
      <w:snapToGrid w:val="0"/>
      <w:spacing w:line="400" w:lineRule="exact"/>
      <w:jc w:val="center"/>
    </w:pPr>
    <w:rPr>
      <w:rFonts w:ascii="Times New Roman" w:hAnsi="Times New Roman" w:eastAsia="宋体" w:cs="Times New Roman"/>
      <w:kern w:val="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222">
    <w:name w:val="HTML Top of Form"/>
    <w:basedOn w:val="1"/>
    <w:next w:val="1"/>
    <w:link w:val="3223"/>
    <w:uiPriority w:val="0"/>
    <w:pPr>
      <w:widowControl/>
      <w:pBdr>
        <w:bottom w:val="single" w:color="auto" w:sz="6" w:space="1"/>
      </w:pBdr>
      <w:spacing w:line="240" w:lineRule="auto"/>
      <w:jc w:val="center"/>
    </w:pPr>
    <w:rPr>
      <w:rFonts w:ascii="Arial" w:hAnsi="Arial"/>
      <w:vanish/>
      <w:kern w:val="0"/>
      <w:sz w:val="16"/>
      <w:szCs w:val="16"/>
    </w:rPr>
  </w:style>
  <w:style w:type="character" w:customStyle="1" w:styleId="3223">
    <w:name w:val="z-窗体顶端 Char1"/>
    <w:basedOn w:val="133"/>
    <w:link w:val="3222"/>
    <w:uiPriority w:val="0"/>
    <w:rPr>
      <w:rFonts w:ascii="Arial" w:hAnsi="Arial" w:eastAsia="宋体" w:cs="Times New Roman"/>
      <w:vanish/>
      <w:kern w:val="0"/>
      <w:sz w:val="16"/>
      <w:szCs w:val="16"/>
    </w:rPr>
  </w:style>
  <w:style w:type="paragraph" w:customStyle="1" w:styleId="3224">
    <w:name w:val="HTML Bottom of Form"/>
    <w:basedOn w:val="1"/>
    <w:next w:val="1"/>
    <w:link w:val="3225"/>
    <w:uiPriority w:val="0"/>
    <w:pPr>
      <w:widowControl/>
      <w:pBdr>
        <w:top w:val="single" w:color="auto" w:sz="6" w:space="1"/>
      </w:pBdr>
      <w:spacing w:line="240" w:lineRule="auto"/>
      <w:jc w:val="center"/>
    </w:pPr>
    <w:rPr>
      <w:rFonts w:ascii="Arial" w:hAnsi="Arial"/>
      <w:vanish/>
      <w:kern w:val="0"/>
      <w:sz w:val="16"/>
      <w:szCs w:val="16"/>
    </w:rPr>
  </w:style>
  <w:style w:type="character" w:customStyle="1" w:styleId="3225">
    <w:name w:val="z-窗体底端 Char1"/>
    <w:basedOn w:val="133"/>
    <w:link w:val="3224"/>
    <w:uiPriority w:val="0"/>
    <w:rPr>
      <w:rFonts w:ascii="Arial" w:hAnsi="Arial" w:eastAsia="宋体" w:cs="Times New Roman"/>
      <w:vanish/>
      <w:kern w:val="0"/>
      <w:sz w:val="16"/>
      <w:szCs w:val="16"/>
    </w:rPr>
  </w:style>
  <w:style w:type="character" w:customStyle="1" w:styleId="3226">
    <w:name w:val="列表 Char"/>
    <w:link w:val="67"/>
    <w:uiPriority w:val="0"/>
    <w:rPr>
      <w:rFonts w:ascii="Times New Roman" w:hAnsi="Times New Roman" w:eastAsia="宋体" w:cs="Times New Roman"/>
      <w:szCs w:val="20"/>
    </w:rPr>
  </w:style>
  <w:style w:type="table" w:customStyle="1" w:styleId="3227">
    <w:name w:val="环评"/>
    <w:basedOn w:val="88"/>
    <w:uiPriority w:val="0"/>
    <w:rPr>
      <w:rFonts w:ascii="Times New Roman" w:hAnsi="Times New Roman" w:eastAsia="宋体" w:cs="Times New Roman"/>
      <w:kern w:val="0"/>
      <w:szCs w:val="20"/>
    </w:rPr>
    <w:tblPr>
      <w:tblCellMar>
        <w:top w:w="0" w:type="dxa"/>
        <w:left w:w="108" w:type="dxa"/>
        <w:bottom w:w="0" w:type="dxa"/>
        <w:right w:w="108" w:type="dxa"/>
      </w:tblCellMar>
    </w:tblPr>
  </w:style>
  <w:style w:type="table" w:customStyle="1" w:styleId="3228">
    <w:name w:val="普通表格1"/>
    <w:semiHidden/>
    <w:uiPriority w:val="0"/>
    <w:pPr>
      <w:jc w:val="both"/>
    </w:pPr>
    <w:rPr>
      <w:rFonts w:ascii="Times New Roman" w:hAnsi="Times New Roman" w:eastAsia="宋体" w:cs="Times New Roman"/>
      <w:kern w:val="0"/>
      <w:sz w:val="20"/>
      <w:szCs w:val="20"/>
    </w:rPr>
    <w:tblPr>
      <w:tblCellMar>
        <w:top w:w="0" w:type="dxa"/>
        <w:left w:w="108" w:type="dxa"/>
        <w:bottom w:w="0" w:type="dxa"/>
        <w:right w:w="108" w:type="dxa"/>
      </w:tblCellMar>
    </w:tblPr>
  </w:style>
  <w:style w:type="paragraph" w:customStyle="1" w:styleId="3229">
    <w:name w:val="Char Char Char Char Char Char Char Char Char Char Char Char1 Char Char Char Char Char Char Char Char Char Char Char Char1 Char"/>
    <w:basedOn w:val="1"/>
    <w:next w:val="1"/>
    <w:semiHidden/>
    <w:uiPriority w:val="0"/>
    <w:pPr>
      <w:spacing w:line="336" w:lineRule="auto"/>
      <w:ind w:firstLine="200" w:firstLineChars="200"/>
    </w:pPr>
    <w:rPr>
      <w:rFonts w:ascii="宋体" w:hAnsi="宋体" w:eastAsia="汉鼎简书宋" w:cs="宋体"/>
    </w:rPr>
  </w:style>
  <w:style w:type="table" w:customStyle="1" w:styleId="3230">
    <w:name w:val="表格样式（自定义）"/>
    <w:basedOn w:val="88"/>
    <w:uiPriority w:val="0"/>
    <w:pPr>
      <w:keepNext/>
      <w:jc w:val="center"/>
    </w:pPr>
    <w:rPr>
      <w:rFonts w:ascii="Times New Roman" w:hAnsi="Times New Roman" w:eastAsia="宋体" w:cs="Times New Roman"/>
      <w:kern w:val="0"/>
      <w:szCs w:val="21"/>
    </w:rPr>
    <w:tblPr>
      <w:jc w:val="cente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rPr>
      <w:tblHeader/>
      <w:jc w:val="center"/>
    </w:trPr>
    <w:tcPr>
      <w:vAlign w:val="center"/>
    </w:tcPr>
  </w:style>
  <w:style w:type="table" w:customStyle="1" w:styleId="3231">
    <w:name w:val="嘉和绿洲"/>
    <w:qFormat/>
    <w:uiPriority w:val="0"/>
    <w:pPr>
      <w:jc w:val="center"/>
    </w:pPr>
    <w:rPr>
      <w:rFonts w:ascii="Calibri" w:hAnsi="Calibri" w:eastAsia="Times New Roman" w:cs="Times New Roman"/>
      <w:kern w:val="0"/>
      <w:szCs w:val="20"/>
    </w:rPr>
    <w:tblPr>
      <w:tblBorders>
        <w:top w:val="single" w:color="auto" w:sz="12" w:space="0"/>
        <w:bottom w:val="single" w:color="auto" w:sz="12" w:space="0"/>
        <w:insideH w:val="single" w:color="000000" w:sz="4" w:space="0"/>
        <w:insideV w:val="single" w:color="000000" w:sz="4" w:space="0"/>
      </w:tblBorders>
      <w:tblCellMar>
        <w:top w:w="0" w:type="dxa"/>
        <w:left w:w="108" w:type="dxa"/>
        <w:bottom w:w="0" w:type="dxa"/>
        <w:right w:w="108" w:type="dxa"/>
      </w:tblCellMar>
    </w:tblPr>
    <w:tcPr>
      <w:shd w:val="clear" w:color="auto" w:fill="F2F2F2"/>
      <w:vAlign w:val="center"/>
    </w:tcPr>
  </w:style>
  <w:style w:type="character" w:customStyle="1" w:styleId="3232">
    <w:name w:val="标题 1 Char Char Char"/>
    <w:uiPriority w:val="0"/>
    <w:rPr>
      <w:rFonts w:eastAsia="黑体"/>
      <w:b/>
      <w:snapToGrid w:val="0"/>
      <w:sz w:val="24"/>
      <w:lang w:val="en-US" w:eastAsia="zh-CN"/>
    </w:rPr>
  </w:style>
  <w:style w:type="table" w:customStyle="1" w:styleId="3233">
    <w:name w:val="aa"/>
    <w:basedOn w:val="89"/>
    <w:uiPriority w:val="0"/>
    <w:pPr>
      <w:widowControl w:val="0"/>
      <w:jc w:val="both"/>
    </w:pPr>
    <w:rPr>
      <w:sz w:val="21"/>
      <w:szCs w:val="21"/>
    </w:rPr>
    <w:tblPr>
      <w:tblBorders>
        <w:top w:val="thickThinSmallGap" w:color="auto" w:sz="12" w:space="0"/>
        <w:left w:val="thickThinSmallGap" w:color="auto" w:sz="12" w:space="0"/>
        <w:bottom w:val="thickThinSmallGap" w:color="auto" w:sz="12" w:space="0"/>
        <w:right w:val="thickThinSmallGap" w:color="auto" w:sz="12" w:space="0"/>
      </w:tblBorders>
      <w:tblCellMar>
        <w:top w:w="0" w:type="dxa"/>
        <w:left w:w="108" w:type="dxa"/>
        <w:bottom w:w="0" w:type="dxa"/>
        <w:right w:w="108" w:type="dxa"/>
      </w:tblCellMar>
    </w:tblPr>
    <w:tblStylePr w:type="firstRow">
      <w:pPr>
        <w:wordWrap/>
      </w:pPr>
      <w:rPr>
        <w:rFonts w:ascii="宋体" w:hAnsi="宋体"/>
        <w:b/>
        <w:sz w:val="21"/>
      </w:rPr>
      <w:tblPr>
        <w:jc w:val="center"/>
      </w:tblPr>
      <w:trPr>
        <w:jc w:val="center"/>
      </w:trPr>
      <w:tcPr>
        <w:shd w:val="clear" w:color="auto" w:fill="E6E6E6"/>
      </w:tcPr>
    </w:tblStylePr>
  </w:style>
  <w:style w:type="character" w:customStyle="1" w:styleId="3234">
    <w:name w:val="页眉 Char2"/>
    <w:locked/>
    <w:uiPriority w:val="0"/>
    <w:rPr>
      <w:rFonts w:eastAsia="宋体"/>
      <w:kern w:val="2"/>
      <w:sz w:val="18"/>
      <w:szCs w:val="18"/>
      <w:lang w:val="en-US" w:eastAsia="zh-CN" w:bidi="ar-SA"/>
    </w:rPr>
  </w:style>
  <w:style w:type="table" w:customStyle="1" w:styleId="3235">
    <w:name w:val="(环评报告表）1"/>
    <w:basedOn w:val="88"/>
    <w:uiPriority w:val="0"/>
    <w:pPr>
      <w:widowControl w:val="0"/>
      <w:spacing w:line="360" w:lineRule="auto"/>
      <w:ind w:firstLine="200" w:firstLineChars="20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36">
    <w:name w:val="标题 21"/>
    <w:basedOn w:val="1"/>
    <w:qFormat/>
    <w:uiPriority w:val="1"/>
    <w:pPr>
      <w:spacing w:line="240" w:lineRule="auto"/>
      <w:ind w:left="286"/>
      <w:jc w:val="left"/>
      <w:outlineLvl w:val="2"/>
    </w:pPr>
    <w:rPr>
      <w:rFonts w:ascii="宋体" w:hAnsi="宋体" w:cstheme="minorBidi"/>
      <w:kern w:val="0"/>
      <w:sz w:val="29"/>
      <w:szCs w:val="29"/>
      <w:lang w:eastAsia="en-US"/>
    </w:rPr>
  </w:style>
  <w:style w:type="paragraph" w:customStyle="1" w:styleId="3237">
    <w:name w:val="标题 31"/>
    <w:basedOn w:val="1"/>
    <w:qFormat/>
    <w:uiPriority w:val="1"/>
    <w:pPr>
      <w:spacing w:line="240" w:lineRule="auto"/>
      <w:ind w:left="118"/>
      <w:jc w:val="left"/>
      <w:outlineLvl w:val="3"/>
    </w:pPr>
    <w:rPr>
      <w:rFonts w:ascii="宋体" w:hAnsi="宋体" w:cstheme="minorBidi"/>
      <w:kern w:val="0"/>
      <w:sz w:val="28"/>
      <w:szCs w:val="28"/>
      <w:lang w:eastAsia="en-US"/>
    </w:rPr>
  </w:style>
  <w:style w:type="paragraph" w:customStyle="1" w:styleId="3238">
    <w:name w:val="标题 41"/>
    <w:basedOn w:val="1"/>
    <w:qFormat/>
    <w:uiPriority w:val="1"/>
    <w:pPr>
      <w:spacing w:line="240" w:lineRule="auto"/>
      <w:ind w:left="205"/>
      <w:jc w:val="left"/>
      <w:outlineLvl w:val="4"/>
    </w:pPr>
    <w:rPr>
      <w:rFonts w:ascii="宋体" w:hAnsi="宋体" w:cstheme="minorBidi"/>
      <w:kern w:val="0"/>
      <w:sz w:val="26"/>
      <w:szCs w:val="26"/>
      <w:lang w:eastAsia="en-US"/>
    </w:rPr>
  </w:style>
  <w:style w:type="character" w:styleId="3239">
    <w:name w:val="Placeholder Text"/>
    <w:basedOn w:val="133"/>
    <w:semiHidden/>
    <w:uiPriority w:val="99"/>
    <w:rPr>
      <w:color w:val="808080"/>
    </w:rPr>
  </w:style>
  <w:style w:type="table" w:customStyle="1" w:styleId="3240">
    <w:name w:val="刘文自定义表格1"/>
    <w:basedOn w:val="90"/>
    <w:semiHidden/>
    <w:uiPriority w:val="0"/>
    <w:pPr>
      <w:jc w:val="center"/>
    </w:pPr>
    <w:tblPr>
      <w:tblBorders>
        <w:top w:val="single" w:color="auto" w:sz="12" w:space="0"/>
        <w:bottom w:val="single" w:color="auto" w:sz="12" w:space="0"/>
      </w:tblBorders>
      <w:tblCellMar>
        <w:top w:w="0" w:type="dxa"/>
        <w:left w:w="108" w:type="dxa"/>
        <w:bottom w:w="0" w:type="dxa"/>
        <w:right w:w="108" w:type="dxa"/>
      </w:tblCellMar>
    </w:tblPr>
    <w:trPr>
      <w:tblHeader/>
    </w:trPr>
    <w:tcPr>
      <w:tcMar>
        <w:left w:w="28" w:type="dxa"/>
        <w:right w:w="28" w:type="dxa"/>
      </w:tcMar>
      <w:vAlign w:val="center"/>
    </w:tcPr>
  </w:style>
  <w:style w:type="table" w:customStyle="1" w:styleId="3241">
    <w:name w:val="HIT-EIA1"/>
    <w:basedOn w:val="95"/>
    <w:uiPriority w:val="0"/>
    <w:pPr>
      <w:jc w:val="center"/>
    </w:pPr>
    <w:rPr>
      <w:sz w:val="21"/>
    </w:rPr>
    <w:tblPr>
      <w:tblBorders>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242">
    <w:name w:val="aa1"/>
    <w:basedOn w:val="89"/>
    <w:uiPriority w:val="0"/>
    <w:pPr>
      <w:widowControl w:val="0"/>
      <w:jc w:val="both"/>
    </w:pPr>
    <w:rPr>
      <w:sz w:val="21"/>
      <w:szCs w:val="21"/>
    </w:rPr>
    <w:tblPr>
      <w:tblBorders>
        <w:top w:val="thickThinSmallGap" w:color="auto" w:sz="12" w:space="0"/>
        <w:left w:val="thickThinSmallGap" w:color="auto" w:sz="12" w:space="0"/>
        <w:bottom w:val="thickThinSmallGap" w:color="auto" w:sz="12" w:space="0"/>
        <w:right w:val="thickThinSmallGap" w:color="auto" w:sz="12" w:space="0"/>
      </w:tblBorders>
      <w:tblCellMar>
        <w:top w:w="0" w:type="dxa"/>
        <w:left w:w="108" w:type="dxa"/>
        <w:bottom w:w="0" w:type="dxa"/>
        <w:right w:w="108" w:type="dxa"/>
      </w:tblCellMar>
    </w:tblPr>
    <w:tblStylePr w:type="firstRow">
      <w:pPr>
        <w:wordWrap/>
      </w:pPr>
      <w:rPr>
        <w:rFonts w:ascii="宋体" w:hAnsi="宋体"/>
        <w:b/>
        <w:sz w:val="21"/>
      </w:rPr>
      <w:tblPr>
        <w:jc w:val="center"/>
      </w:tblPr>
      <w:trPr>
        <w:jc w:val="center"/>
      </w:trPr>
      <w:tcPr>
        <w:shd w:val="clear" w:color="auto" w:fill="E6E6E6"/>
      </w:tcPr>
    </w:tblStylePr>
  </w:style>
  <w:style w:type="character" w:customStyle="1" w:styleId="3243">
    <w:name w:val="样式 左 首行缩进:  1.01 厘米 Char"/>
    <w:basedOn w:val="133"/>
    <w:link w:val="3161"/>
    <w:uiPriority w:val="0"/>
    <w:rPr>
      <w:rFonts w:ascii="Times New Roman" w:hAnsi="Times New Roman" w:eastAsia="宋体" w:cs="Times New Roman"/>
      <w:sz w:val="26"/>
      <w:szCs w:val="26"/>
    </w:rPr>
  </w:style>
  <w:style w:type="paragraph" w:customStyle="1" w:styleId="3244">
    <w:name w:val="标准样式"/>
    <w:uiPriority w:val="0"/>
    <w:pPr>
      <w:widowControl w:val="0"/>
      <w:spacing w:line="600" w:lineRule="exact"/>
      <w:ind w:firstLine="200" w:firstLineChars="200"/>
      <w:jc w:val="both"/>
    </w:pPr>
    <w:rPr>
      <w:rFonts w:ascii="Times New Roman" w:hAnsi="Times New Roman" w:eastAsia="宋体" w:cs="Times New Roman"/>
      <w:kern w:val="0"/>
      <w:sz w:val="28"/>
      <w:szCs w:val="20"/>
      <w:lang w:val="en-US" w:eastAsia="zh-CN" w:bidi="ar-SA"/>
    </w:rPr>
  </w:style>
  <w:style w:type="character" w:customStyle="1" w:styleId="3245">
    <w:name w:val="表格文字2 Char"/>
    <w:basedOn w:val="133"/>
    <w:link w:val="1584"/>
    <w:uiPriority w:val="0"/>
    <w:rPr>
      <w:rFonts w:ascii="宋体" w:hAnsi="Times New Roman" w:eastAsia="宋体" w:cs="Times New Roman"/>
      <w:kern w:val="0"/>
      <w:sz w:val="24"/>
      <w:szCs w:val="20"/>
    </w:rPr>
  </w:style>
  <w:style w:type="character" w:customStyle="1" w:styleId="3246">
    <w:name w:val="列表 2 Char"/>
    <w:link w:val="38"/>
    <w:locked/>
    <w:uiPriority w:val="0"/>
    <w:rPr>
      <w:rFonts w:ascii="Times New Roman" w:hAnsi="Times New Roman" w:eastAsia="宋体" w:cs="Times New Roman"/>
      <w:sz w:val="24"/>
      <w:szCs w:val="20"/>
    </w:rPr>
  </w:style>
  <w:style w:type="paragraph" w:customStyle="1" w:styleId="3247">
    <w:name w:val="样式 标题 3 + (中文) 楷体_GB2312 四号 黑色 段前: 6 磅 段后: 6 磅 图案: 清除 (白色)..."/>
    <w:basedOn w:val="7"/>
    <w:uiPriority w:val="0"/>
    <w:pPr>
      <w:numPr>
        <w:ilvl w:val="0"/>
        <w:numId w:val="0"/>
      </w:numPr>
      <w:shd w:val="clear" w:color="auto" w:fill="FFFFFF"/>
      <w:tabs>
        <w:tab w:val="clear" w:pos="2705"/>
      </w:tabs>
      <w:spacing w:before="120" w:after="120" w:line="240" w:lineRule="auto"/>
      <w:ind w:firstLine="112" w:firstLineChars="112"/>
    </w:pPr>
    <w:rPr>
      <w:rFonts w:ascii="Times New Roman" w:hAnsi="Times New Roman" w:eastAsia="楷体_GB2312" w:cs="宋体"/>
      <w:szCs w:val="20"/>
    </w:rPr>
  </w:style>
  <w:style w:type="character" w:customStyle="1" w:styleId="3248">
    <w:name w:val="排版正文 Char"/>
    <w:link w:val="3249"/>
    <w:locked/>
    <w:uiPriority w:val="0"/>
    <w:rPr>
      <w:szCs w:val="24"/>
    </w:rPr>
  </w:style>
  <w:style w:type="paragraph" w:customStyle="1" w:styleId="3249">
    <w:name w:val="排版正文"/>
    <w:basedOn w:val="1"/>
    <w:link w:val="3248"/>
    <w:uiPriority w:val="0"/>
    <w:pPr>
      <w:snapToGrid w:val="0"/>
      <w:spacing w:line="460" w:lineRule="exact"/>
      <w:ind w:firstLine="520" w:firstLineChars="200"/>
    </w:pPr>
    <w:rPr>
      <w:rFonts w:asciiTheme="minorHAnsi" w:hAnsiTheme="minorHAnsi" w:eastAsiaTheme="minorEastAsia" w:cstheme="minorBidi"/>
      <w:sz w:val="21"/>
    </w:rPr>
  </w:style>
  <w:style w:type="character" w:customStyle="1" w:styleId="3250">
    <w:name w:val="表文字 Char Char"/>
    <w:locked/>
    <w:uiPriority w:val="0"/>
    <w:rPr>
      <w:szCs w:val="21"/>
    </w:rPr>
  </w:style>
  <w:style w:type="paragraph" w:customStyle="1" w:styleId="3251">
    <w:name w:val="6表格"/>
    <w:basedOn w:val="1"/>
    <w:uiPriority w:val="0"/>
    <w:pPr>
      <w:adjustRightInd w:val="0"/>
      <w:snapToGrid w:val="0"/>
      <w:spacing w:before="120" w:line="240" w:lineRule="auto"/>
      <w:jc w:val="center"/>
    </w:pPr>
    <w:rPr>
      <w:kern w:val="0"/>
      <w:sz w:val="21"/>
      <w:szCs w:val="20"/>
    </w:rPr>
  </w:style>
  <w:style w:type="paragraph" w:customStyle="1" w:styleId="3252">
    <w:name w:val="排版正文 Char Char"/>
    <w:basedOn w:val="1"/>
    <w:next w:val="1"/>
    <w:uiPriority w:val="0"/>
    <w:pPr>
      <w:spacing w:line="480" w:lineRule="exact"/>
      <w:ind w:firstLine="520" w:firstLineChars="200"/>
    </w:pPr>
    <w:rPr>
      <w:color w:val="FF0000"/>
      <w:sz w:val="26"/>
      <w:szCs w:val="26"/>
    </w:rPr>
  </w:style>
  <w:style w:type="paragraph" w:customStyle="1" w:styleId="3253">
    <w:name w:val="Char Char Char Char Char Char1 Char Char Char Char Char Char"/>
    <w:basedOn w:val="1"/>
    <w:uiPriority w:val="0"/>
    <w:pPr>
      <w:ind w:firstLine="200" w:firstLineChars="200"/>
    </w:pPr>
    <w:rPr>
      <w:rFonts w:ascii="宋体" w:hAnsi="宋体" w:cs="宋体"/>
    </w:rPr>
  </w:style>
  <w:style w:type="paragraph" w:customStyle="1" w:styleId="3254">
    <w:name w:val="Char Char Char Char Char Char Char Char"/>
    <w:basedOn w:val="1"/>
    <w:uiPriority w:val="0"/>
    <w:pPr>
      <w:widowControl/>
      <w:spacing w:after="160" w:line="240" w:lineRule="exact"/>
      <w:jc w:val="left"/>
    </w:pPr>
    <w:rPr>
      <w:rFonts w:ascii="Arial" w:hAnsi="Arial" w:eastAsia="Times New Roman" w:cs="Verdana"/>
      <w:b/>
      <w:kern w:val="0"/>
      <w:szCs w:val="20"/>
      <w:lang w:eastAsia="en-US"/>
    </w:rPr>
  </w:style>
  <w:style w:type="paragraph" w:customStyle="1" w:styleId="3255">
    <w:name w:val="文章正文 Char"/>
    <w:basedOn w:val="1"/>
    <w:uiPriority w:val="0"/>
    <w:pPr>
      <w:spacing w:line="600" w:lineRule="exact"/>
      <w:ind w:firstLine="200" w:firstLineChars="200"/>
    </w:pPr>
    <w:rPr>
      <w:rFonts w:eastAsia="仿宋_GB2312"/>
      <w:sz w:val="32"/>
      <w:szCs w:val="32"/>
    </w:rPr>
  </w:style>
  <w:style w:type="paragraph" w:customStyle="1" w:styleId="3256">
    <w:name w:val="Char Char Char Char Char1 Char"/>
    <w:basedOn w:val="1"/>
    <w:uiPriority w:val="0"/>
    <w:pPr>
      <w:widowControl/>
      <w:spacing w:after="160" w:line="240" w:lineRule="exact"/>
      <w:jc w:val="left"/>
    </w:pPr>
    <w:rPr>
      <w:rFonts w:ascii="Arial" w:hAnsi="Arial" w:eastAsia="Times New Roman" w:cs="Verdana"/>
      <w:b/>
      <w:kern w:val="0"/>
      <w:szCs w:val="20"/>
      <w:lang w:eastAsia="en-US"/>
    </w:rPr>
  </w:style>
  <w:style w:type="paragraph" w:customStyle="1" w:styleId="3257">
    <w:name w:val="样式 13 磅 行距: 固定值 23 磅 首行缩进:  2 字符"/>
    <w:basedOn w:val="1"/>
    <w:uiPriority w:val="0"/>
    <w:pPr>
      <w:spacing w:line="460" w:lineRule="exact"/>
      <w:ind w:firstLine="520" w:firstLineChars="200"/>
    </w:pPr>
    <w:rPr>
      <w:rFonts w:cs="ˎ̥"/>
      <w:sz w:val="26"/>
      <w:szCs w:val="20"/>
    </w:rPr>
  </w:style>
  <w:style w:type="paragraph" w:customStyle="1" w:styleId="3258">
    <w:name w:val="Char Char Char Char Char Char Char Char Char Char Char Char Char Char Char Char Char Char Char"/>
    <w:basedOn w:val="1"/>
    <w:semiHidden/>
    <w:uiPriority w:val="0"/>
    <w:pPr>
      <w:spacing w:line="240" w:lineRule="auto"/>
      <w:ind w:left="510"/>
    </w:pPr>
    <w:rPr>
      <w:sz w:val="21"/>
      <w:szCs w:val="21"/>
    </w:rPr>
  </w:style>
  <w:style w:type="paragraph" w:customStyle="1" w:styleId="3259">
    <w:name w:val="gg_body"/>
    <w:basedOn w:val="1"/>
    <w:uiPriority w:val="0"/>
    <w:pPr>
      <w:spacing w:line="460" w:lineRule="exact"/>
      <w:ind w:firstLine="200"/>
    </w:pPr>
    <w:rPr>
      <w:rFonts w:ascii="宋体" w:hAnsi="宋体"/>
      <w:szCs w:val="20"/>
    </w:rPr>
  </w:style>
  <w:style w:type="paragraph" w:customStyle="1" w:styleId="3260">
    <w:name w:val="Char Char Char Char Char Char1 Char Char Char Char Char Char Char Char Char Char Char Char Char"/>
    <w:basedOn w:val="1"/>
    <w:uiPriority w:val="0"/>
    <w:pPr>
      <w:widowControl/>
      <w:spacing w:after="160" w:line="240" w:lineRule="exact"/>
      <w:jc w:val="left"/>
    </w:pPr>
    <w:rPr>
      <w:rFonts w:ascii="Arial" w:hAnsi="Arial" w:eastAsia="Times New Roman" w:cs="Verdana"/>
      <w:b/>
      <w:kern w:val="0"/>
      <w:szCs w:val="20"/>
      <w:lang w:eastAsia="en-US"/>
    </w:rPr>
  </w:style>
  <w:style w:type="character" w:customStyle="1" w:styleId="3261">
    <w:name w:val="样式 标题 1 + 黑体 三号 Char Char"/>
    <w:link w:val="3262"/>
    <w:locked/>
    <w:uiPriority w:val="0"/>
    <w:rPr>
      <w:rFonts w:ascii="黑体" w:hAnsi="黑体" w:eastAsia="黑体"/>
      <w:b/>
      <w:sz w:val="30"/>
    </w:rPr>
  </w:style>
  <w:style w:type="paragraph" w:customStyle="1" w:styleId="3262">
    <w:name w:val="样式 标题 1 + 黑体 三号 Char"/>
    <w:basedOn w:val="5"/>
    <w:link w:val="3261"/>
    <w:uiPriority w:val="0"/>
    <w:pPr>
      <w:keepLines/>
      <w:autoSpaceDE w:val="0"/>
      <w:autoSpaceDN w:val="0"/>
      <w:adjustRightInd w:val="0"/>
      <w:spacing w:before="120" w:after="60" w:line="288" w:lineRule="auto"/>
      <w:jc w:val="left"/>
    </w:pPr>
    <w:rPr>
      <w:rFonts w:ascii="黑体" w:hAnsi="黑体" w:eastAsia="黑体" w:cstheme="minorBidi"/>
      <w:b/>
      <w:sz w:val="30"/>
      <w:szCs w:val="22"/>
    </w:rPr>
  </w:style>
  <w:style w:type="character" w:customStyle="1" w:styleId="3263">
    <w:name w:val="表内文字 Char Char"/>
    <w:link w:val="1479"/>
    <w:locked/>
    <w:uiPriority w:val="0"/>
    <w:rPr>
      <w:rFonts w:ascii="Times New Roman" w:hAnsi="Times New Roman" w:eastAsia="宋体" w:cs="Times New Roman"/>
      <w:kern w:val="0"/>
      <w:szCs w:val="20"/>
    </w:rPr>
  </w:style>
  <w:style w:type="paragraph" w:customStyle="1" w:styleId="3264">
    <w:name w:val="题注新新"/>
    <w:basedOn w:val="24"/>
    <w:uiPriority w:val="0"/>
    <w:pPr>
      <w:keepNext w:val="0"/>
      <w:adjustRightInd w:val="0"/>
      <w:snapToGrid w:val="0"/>
      <w:jc w:val="both"/>
    </w:pPr>
    <w:rPr>
      <w:rFonts w:ascii="Arial" w:hAnsi="Arial" w:eastAsia="黑体"/>
      <w:b w:val="0"/>
      <w:sz w:val="21"/>
    </w:rPr>
  </w:style>
  <w:style w:type="paragraph" w:customStyle="1" w:styleId="3265">
    <w:name w:val="样式 首行缩进:  1.13 厘米"/>
    <w:basedOn w:val="1"/>
    <w:uiPriority w:val="0"/>
    <w:pPr>
      <w:adjustRightInd w:val="0"/>
      <w:spacing w:line="500" w:lineRule="exact"/>
      <w:ind w:firstLine="200" w:firstLineChars="200"/>
    </w:pPr>
    <w:rPr>
      <w:spacing w:val="20"/>
      <w:szCs w:val="20"/>
    </w:rPr>
  </w:style>
  <w:style w:type="character" w:customStyle="1" w:styleId="3266">
    <w:name w:val="新格式表 Char"/>
    <w:link w:val="3267"/>
    <w:locked/>
    <w:uiPriority w:val="0"/>
    <w:rPr>
      <w:sz w:val="22"/>
      <w:szCs w:val="21"/>
    </w:rPr>
  </w:style>
  <w:style w:type="paragraph" w:customStyle="1" w:styleId="3267">
    <w:name w:val="新格式表"/>
    <w:basedOn w:val="1"/>
    <w:link w:val="3266"/>
    <w:uiPriority w:val="0"/>
    <w:pPr>
      <w:snapToGrid w:val="0"/>
      <w:spacing w:line="240" w:lineRule="auto"/>
      <w:jc w:val="center"/>
    </w:pPr>
    <w:rPr>
      <w:rFonts w:asciiTheme="minorHAnsi" w:hAnsiTheme="minorHAnsi" w:eastAsiaTheme="minorEastAsia" w:cstheme="minorBidi"/>
      <w:sz w:val="22"/>
      <w:szCs w:val="21"/>
    </w:rPr>
  </w:style>
  <w:style w:type="character" w:customStyle="1" w:styleId="3268">
    <w:name w:val="nbt1"/>
    <w:basedOn w:val="133"/>
    <w:uiPriority w:val="0"/>
  </w:style>
  <w:style w:type="character" w:customStyle="1" w:styleId="3269">
    <w:name w:val="txtbreak"/>
    <w:basedOn w:val="133"/>
    <w:uiPriority w:val="0"/>
  </w:style>
  <w:style w:type="character" w:customStyle="1" w:styleId="3270">
    <w:name w:val="样式 正文小四 + 四号 Char1"/>
    <w:uiPriority w:val="0"/>
    <w:rPr>
      <w:rFonts w:hint="eastAsia" w:ascii="宋体" w:hAnsi="宋体" w:eastAsia="宋体"/>
      <w:kern w:val="2"/>
      <w:sz w:val="28"/>
      <w:szCs w:val="24"/>
      <w:lang w:val="en-US" w:eastAsia="zh-CN" w:bidi="ar-SA"/>
    </w:rPr>
  </w:style>
  <w:style w:type="paragraph" w:customStyle="1" w:styleId="3271">
    <w:name w:val="Char Char1 Char Char Char Char3"/>
    <w:basedOn w:val="1"/>
    <w:semiHidden/>
    <w:uiPriority w:val="0"/>
    <w:pPr>
      <w:adjustRightInd w:val="0"/>
      <w:snapToGrid w:val="0"/>
      <w:ind w:firstLine="200" w:firstLineChars="200"/>
    </w:pPr>
    <w:rPr>
      <w:rFonts w:ascii="宋体"/>
    </w:rPr>
  </w:style>
  <w:style w:type="paragraph" w:customStyle="1" w:styleId="3272">
    <w:name w:val="Char8"/>
    <w:basedOn w:val="28"/>
    <w:uiPriority w:val="0"/>
    <w:pPr>
      <w:adjustRightInd w:val="0"/>
      <w:spacing w:line="436" w:lineRule="exact"/>
      <w:ind w:left="357"/>
      <w:jc w:val="left"/>
      <w:outlineLvl w:val="3"/>
    </w:pPr>
  </w:style>
  <w:style w:type="table" w:customStyle="1" w:styleId="3273">
    <w:name w:val="最常用表格1"/>
    <w:basedOn w:val="122"/>
    <w:semiHidden/>
    <w:uiPriority w:val="0"/>
    <w:pPr>
      <w:widowControl w:val="0"/>
      <w:spacing w:line="240" w:lineRule="auto"/>
      <w:ind w:firstLine="0" w:firstLineChars="0"/>
      <w:jc w:val="center"/>
    </w:pPr>
    <w:rPr>
      <w:rFonts w:eastAsia="Times New Roman"/>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shd w:val="clear" w:color="auto" w:fill="auto"/>
      <w:vAlign w:val="center"/>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274">
    <w:name w:val="HIT-EIA2"/>
    <w:basedOn w:val="95"/>
    <w:uiPriority w:val="0"/>
    <w:pPr>
      <w:jc w:val="center"/>
    </w:pPr>
    <w:rPr>
      <w:sz w:val="21"/>
    </w:rPr>
    <w:tblPr>
      <w:tblBorders>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275">
    <w:name w:val="环评用表1"/>
    <w:basedOn w:val="3197"/>
    <w:uiPriority w:val="0"/>
    <w:rPr>
      <w:rFonts w:eastAsia="宋体"/>
      <w:szCs w:val="21"/>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shd w:val="clear" w:color="auto" w:fill="auto"/>
      <w:vAlign w:val="center"/>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276">
    <w:name w:val="HIT-EIA11"/>
    <w:basedOn w:val="95"/>
    <w:uiPriority w:val="0"/>
    <w:pPr>
      <w:jc w:val="center"/>
    </w:pPr>
    <w:rPr>
      <w:sz w:val="21"/>
    </w:rPr>
    <w:tblPr>
      <w:tblBorders>
        <w:insideH w:val="single" w:color="auto" w:sz="4" w:space="0"/>
        <w:insideV w:val="single" w:color="auto" w:sz="4" w:space="0"/>
      </w:tblBorders>
      <w:tblCellMar>
        <w:top w:w="0" w:type="dxa"/>
        <w:left w:w="108" w:type="dxa"/>
        <w:bottom w:w="0" w:type="dxa"/>
        <w:right w:w="108" w:type="dxa"/>
      </w:tblCellMar>
    </w:tblPr>
    <w:tcPr>
      <w:shd w:val="clear" w:color="auto" w:fill="auto"/>
      <w:vAlign w:val="center"/>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3277">
    <w:name w:val="图样式 居中 SL CON"/>
    <w:basedOn w:val="1"/>
    <w:uiPriority w:val="0"/>
    <w:pPr>
      <w:widowControl/>
      <w:tabs>
        <w:tab w:val="left" w:pos="377"/>
      </w:tabs>
      <w:spacing w:before="100" w:beforeAutospacing="1" w:after="100" w:afterAutospacing="1" w:line="300" w:lineRule="auto"/>
      <w:jc w:val="center"/>
    </w:pPr>
    <w:rPr>
      <w:rFonts w:ascii="宋体" w:cs="宋体"/>
      <w:kern w:val="0"/>
      <w:szCs w:val="20"/>
    </w:rPr>
  </w:style>
  <w:style w:type="table" w:customStyle="1" w:styleId="3278">
    <w:name w:val="网格型3"/>
    <w:basedOn w:val="8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79">
    <w:name w:val="网格型4"/>
    <w:basedOn w:val="8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80">
    <w:name w:val="网格型5"/>
    <w:basedOn w:val="8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5" Type="http://schemas.openxmlformats.org/officeDocument/2006/relationships/fontTable" Target="fontTable.xml"/><Relationship Id="rId54" Type="http://schemas.openxmlformats.org/officeDocument/2006/relationships/customXml" Target="../customXml/item2.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26.png"/><Relationship Id="rId50" Type="http://schemas.openxmlformats.org/officeDocument/2006/relationships/image" Target="media/image25.png"/><Relationship Id="rId5" Type="http://schemas.openxmlformats.org/officeDocument/2006/relationships/header" Target="header2.xml"/><Relationship Id="rId49" Type="http://schemas.openxmlformats.org/officeDocument/2006/relationships/image" Target="media/image24.png"/><Relationship Id="rId48" Type="http://schemas.openxmlformats.org/officeDocument/2006/relationships/image" Target="media/image23.png"/><Relationship Id="rId47" Type="http://schemas.openxmlformats.org/officeDocument/2006/relationships/image" Target="media/image22.jpeg"/><Relationship Id="rId46" Type="http://schemas.openxmlformats.org/officeDocument/2006/relationships/oleObject" Target="embeddings/oleObject15.bin"/><Relationship Id="rId45" Type="http://schemas.openxmlformats.org/officeDocument/2006/relationships/image" Target="media/image21.png"/><Relationship Id="rId44" Type="http://schemas.openxmlformats.org/officeDocument/2006/relationships/image" Target="media/image20.wmf"/><Relationship Id="rId43" Type="http://schemas.openxmlformats.org/officeDocument/2006/relationships/oleObject" Target="embeddings/oleObject14.bin"/><Relationship Id="rId42" Type="http://schemas.openxmlformats.org/officeDocument/2006/relationships/image" Target="media/image19.wmf"/><Relationship Id="rId41" Type="http://schemas.openxmlformats.org/officeDocument/2006/relationships/oleObject" Target="embeddings/oleObject13.bin"/><Relationship Id="rId40" Type="http://schemas.openxmlformats.org/officeDocument/2006/relationships/image" Target="media/image18.wmf"/><Relationship Id="rId4" Type="http://schemas.openxmlformats.org/officeDocument/2006/relationships/footer" Target="footer1.xml"/><Relationship Id="rId39" Type="http://schemas.openxmlformats.org/officeDocument/2006/relationships/oleObject" Target="embeddings/oleObject12.bin"/><Relationship Id="rId38" Type="http://schemas.openxmlformats.org/officeDocument/2006/relationships/image" Target="media/image17.png"/><Relationship Id="rId37" Type="http://schemas.openxmlformats.org/officeDocument/2006/relationships/image" Target="media/image16.wmf"/><Relationship Id="rId36" Type="http://schemas.openxmlformats.org/officeDocument/2006/relationships/oleObject" Target="embeddings/oleObject11.bin"/><Relationship Id="rId35" Type="http://schemas.openxmlformats.org/officeDocument/2006/relationships/image" Target="media/image15.wmf"/><Relationship Id="rId34" Type="http://schemas.openxmlformats.org/officeDocument/2006/relationships/oleObject" Target="embeddings/oleObject10.bin"/><Relationship Id="rId33" Type="http://schemas.openxmlformats.org/officeDocument/2006/relationships/image" Target="media/image14.wmf"/><Relationship Id="rId32" Type="http://schemas.openxmlformats.org/officeDocument/2006/relationships/oleObject" Target="embeddings/oleObject9.bin"/><Relationship Id="rId31" Type="http://schemas.openxmlformats.org/officeDocument/2006/relationships/oleObject" Target="embeddings/oleObject8.bin"/><Relationship Id="rId30" Type="http://schemas.openxmlformats.org/officeDocument/2006/relationships/image" Target="media/image13.wmf"/><Relationship Id="rId3" Type="http://schemas.openxmlformats.org/officeDocument/2006/relationships/header" Target="header1.xml"/><Relationship Id="rId29" Type="http://schemas.openxmlformats.org/officeDocument/2006/relationships/oleObject" Target="embeddings/oleObject7.bin"/><Relationship Id="rId28" Type="http://schemas.openxmlformats.org/officeDocument/2006/relationships/image" Target="media/image12.wmf"/><Relationship Id="rId27" Type="http://schemas.openxmlformats.org/officeDocument/2006/relationships/oleObject" Target="embeddings/oleObject6.bin"/><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emf"/><Relationship Id="rId21" Type="http://schemas.openxmlformats.org/officeDocument/2006/relationships/oleObject" Target="embeddings/oleObject5.bin"/><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5.emf"/><Relationship Id="rId17" Type="http://schemas.openxmlformats.org/officeDocument/2006/relationships/oleObject" Target="embeddings/oleObject3.bin"/><Relationship Id="rId16" Type="http://schemas.openxmlformats.org/officeDocument/2006/relationships/image" Target="media/image4.emf"/><Relationship Id="rId15" Type="http://schemas.openxmlformats.org/officeDocument/2006/relationships/oleObject" Target="embeddings/oleObject2.bin"/><Relationship Id="rId14" Type="http://schemas.openxmlformats.org/officeDocument/2006/relationships/image" Target="media/image3.png"/><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95E0E1-3F87-4F21-AB34-74823B2F379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21367</Words>
  <Characters>121792</Characters>
  <Lines>1014</Lines>
  <Paragraphs>285</Paragraphs>
  <TotalTime>1638</TotalTime>
  <ScaleCrop>false</ScaleCrop>
  <LinksUpToDate>false</LinksUpToDate>
  <CharactersWithSpaces>142874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2020-02-13T08:28:00Z</dcterms:created>
  <dc:creator>Administrator</dc:creator>
  <cp:lastModifiedBy>王思锐</cp:lastModifiedBy>
  <dcterms:modified xsi:type="dcterms:W3CDTF">2021-07-06T02:13:29Z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