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overflowPunct/>
        <w:autoSpaceDE/>
        <w:autoSpaceDN/>
        <w:adjustRightInd/>
        <w:spacing w:line="600" w:lineRule="exact"/>
        <w:jc w:val="left"/>
        <w:textAlignment w:val="auto"/>
        <w:rPr>
          <w:rFonts w:hint="eastAsia" w:ascii="方正小标宋简体" w:eastAsia="方正小标宋简体" w:cs="Times New Roman"/>
          <w:kern w:val="2"/>
          <w:sz w:val="44"/>
          <w:szCs w:val="44"/>
          <w:lang w:eastAsia="zh-CN"/>
        </w:rPr>
      </w:pPr>
      <w:bookmarkStart w:id="0" w:name="_GoBack"/>
      <w:bookmarkEnd w:id="0"/>
      <w:r>
        <w:rPr>
          <w:rFonts w:hint="eastAsia" w:ascii="黑体" w:hAnsi="黑体" w:eastAsia="黑体" w:cs="黑体"/>
          <w:kern w:val="2"/>
          <w:sz w:val="32"/>
          <w:szCs w:val="32"/>
          <w:lang w:eastAsia="zh-CN"/>
        </w:rPr>
        <w:t>附件</w:t>
      </w:r>
      <w:r>
        <w:rPr>
          <w:rFonts w:hint="eastAsia" w:ascii="黑体" w:hAnsi="黑体" w:eastAsia="黑体" w:cs="黑体"/>
          <w:kern w:val="2"/>
          <w:sz w:val="32"/>
          <w:szCs w:val="32"/>
          <w:lang w:val="en-US" w:eastAsia="zh-CN"/>
        </w:rPr>
        <w:t>1</w:t>
      </w:r>
    </w:p>
    <w:p>
      <w:pPr>
        <w:widowControl w:val="0"/>
        <w:overflowPunct/>
        <w:autoSpaceDE/>
        <w:autoSpaceDN/>
        <w:adjustRightInd/>
        <w:spacing w:line="560" w:lineRule="exact"/>
        <w:jc w:val="center"/>
        <w:textAlignment w:val="auto"/>
        <w:rPr>
          <w:rFonts w:hint="eastAsia" w:ascii="方正小标宋简体" w:hAnsi="Times New Roman" w:eastAsia="方正小标宋简体" w:cs="Times New Roman"/>
          <w:kern w:val="2"/>
          <w:sz w:val="44"/>
          <w:szCs w:val="44"/>
        </w:rPr>
      </w:pPr>
      <w:r>
        <w:rPr>
          <w:rFonts w:hint="eastAsia" w:ascii="方正小标宋简体" w:eastAsia="方正小标宋简体" w:cs="Times New Roman"/>
          <w:kern w:val="2"/>
          <w:sz w:val="44"/>
          <w:szCs w:val="44"/>
          <w:lang w:val="en-US" w:eastAsia="zh-CN"/>
        </w:rPr>
        <w:t>马边彝族自治县</w:t>
      </w:r>
      <w:r>
        <w:rPr>
          <w:rFonts w:hint="eastAsia" w:ascii="方正小标宋简体" w:hAnsi="Times New Roman" w:eastAsia="方正小标宋简体" w:cs="Times New Roman"/>
          <w:kern w:val="2"/>
          <w:sz w:val="44"/>
          <w:szCs w:val="44"/>
        </w:rPr>
        <w:t>城镇土地使用税</w:t>
      </w:r>
    </w:p>
    <w:p>
      <w:pPr>
        <w:widowControl w:val="0"/>
        <w:overflowPunct/>
        <w:autoSpaceDE/>
        <w:autoSpaceDN/>
        <w:adjustRightInd/>
        <w:spacing w:line="560" w:lineRule="exact"/>
        <w:jc w:val="center"/>
        <w:textAlignment w:val="auto"/>
        <w:rPr>
          <w:rFonts w:hint="eastAsia" w:ascii="方正小标宋简体" w:hAnsi="Times New Roman" w:eastAsia="方正小标宋简体" w:cs="Times New Roman"/>
          <w:kern w:val="2"/>
          <w:sz w:val="44"/>
          <w:szCs w:val="44"/>
        </w:rPr>
      </w:pPr>
      <w:r>
        <w:rPr>
          <w:rFonts w:hint="eastAsia" w:ascii="方正小标宋简体" w:hAnsi="Times New Roman" w:eastAsia="方正小标宋简体" w:cs="Times New Roman"/>
          <w:kern w:val="2"/>
          <w:sz w:val="44"/>
          <w:szCs w:val="44"/>
        </w:rPr>
        <w:t>征收范围和税额标准</w:t>
      </w:r>
    </w:p>
    <w:p>
      <w:pPr>
        <w:widowControl w:val="0"/>
        <w:overflowPunct/>
        <w:autoSpaceDE/>
        <w:autoSpaceDN/>
        <w:adjustRightInd/>
        <w:spacing w:line="560" w:lineRule="exact"/>
        <w:jc w:val="center"/>
        <w:textAlignment w:val="auto"/>
        <w:rPr>
          <w:rFonts w:hint="eastAsia" w:ascii="楷体_GB2312" w:hAnsi="楷体_GB2312" w:eastAsia="楷体_GB2312" w:cs="楷体_GB2312"/>
          <w:spacing w:val="-6"/>
          <w:kern w:val="2"/>
          <w:sz w:val="32"/>
          <w:szCs w:val="32"/>
        </w:rPr>
      </w:pPr>
      <w:r>
        <w:rPr>
          <w:rFonts w:hint="eastAsia" w:ascii="楷体_GB2312" w:hAnsi="楷体_GB2312" w:eastAsia="楷体_GB2312" w:cs="楷体_GB2312"/>
          <w:spacing w:val="-6"/>
          <w:kern w:val="2"/>
          <w:sz w:val="32"/>
          <w:szCs w:val="32"/>
        </w:rPr>
        <w:t>（</w:t>
      </w:r>
      <w:r>
        <w:rPr>
          <w:rFonts w:hint="eastAsia" w:ascii="楷体_GB2312" w:hAnsi="楷体_GB2312" w:eastAsia="楷体_GB2312" w:cs="楷体_GB2312"/>
          <w:spacing w:val="-6"/>
          <w:kern w:val="2"/>
          <w:sz w:val="32"/>
          <w:szCs w:val="32"/>
          <w:lang w:eastAsia="zh-CN"/>
        </w:rPr>
        <w:t>征求意见</w:t>
      </w:r>
      <w:r>
        <w:rPr>
          <w:rFonts w:hint="eastAsia" w:ascii="楷体_GB2312" w:hAnsi="楷体_GB2312" w:eastAsia="楷体_GB2312" w:cs="楷体_GB2312"/>
          <w:spacing w:val="-6"/>
          <w:kern w:val="2"/>
          <w:sz w:val="32"/>
          <w:szCs w:val="32"/>
        </w:rPr>
        <w:t>稿）</w:t>
      </w:r>
    </w:p>
    <w:p>
      <w:pPr>
        <w:spacing w:line="560" w:lineRule="exact"/>
        <w:ind w:firstLine="640" w:firstLineChars="200"/>
        <w:rPr>
          <w:rFonts w:hint="eastAsia" w:ascii="仿宋_GB2312" w:hAnsi="宋体" w:eastAsia="仿宋_GB2312" w:cs="宋体"/>
          <w:color w:val="000000"/>
          <w:sz w:val="32"/>
          <w:szCs w:val="32"/>
        </w:rPr>
      </w:pP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根据《中华人民共和国城镇土地使用税暂行条例》《四川省城镇土地使用税实施办法》</w:t>
      </w:r>
      <w:r>
        <w:rPr>
          <w:rFonts w:hint="default" w:ascii="Times New Roman" w:hAnsi="Times New Roman" w:eastAsia="仿宋_GB2312" w:cs="Times New Roman"/>
          <w:kern w:val="2"/>
          <w:sz w:val="32"/>
          <w:szCs w:val="32"/>
          <w:lang w:eastAsia="zh-CN"/>
        </w:rPr>
        <w:t>的规定，对</w:t>
      </w:r>
      <w:r>
        <w:rPr>
          <w:rFonts w:hint="eastAsia" w:eastAsia="仿宋_GB2312" w:cs="Times New Roman"/>
          <w:kern w:val="2"/>
          <w:sz w:val="32"/>
          <w:szCs w:val="32"/>
          <w:lang w:val="en-US" w:eastAsia="zh-CN"/>
        </w:rPr>
        <w:t>马边彝族自治县（以下简称马边县）</w:t>
      </w:r>
      <w:r>
        <w:rPr>
          <w:rFonts w:hint="default" w:ascii="Times New Roman" w:hAnsi="Times New Roman" w:eastAsia="仿宋_GB2312" w:cs="Times New Roman"/>
          <w:kern w:val="2"/>
          <w:sz w:val="32"/>
          <w:szCs w:val="32"/>
        </w:rPr>
        <w:t>城镇土地使用税</w:t>
      </w:r>
      <w:r>
        <w:rPr>
          <w:rFonts w:hint="default" w:ascii="Times New Roman" w:hAnsi="Times New Roman" w:eastAsia="仿宋_GB2312" w:cs="Times New Roman"/>
          <w:kern w:val="2"/>
          <w:sz w:val="32"/>
          <w:szCs w:val="32"/>
          <w:lang w:eastAsia="zh-CN"/>
        </w:rPr>
        <w:t>的征收范围和税额标准作如下调整</w:t>
      </w:r>
      <w:r>
        <w:rPr>
          <w:rFonts w:hint="default" w:ascii="Times New Roman" w:hAnsi="Times New Roman" w:eastAsia="仿宋_GB2312" w:cs="Times New Roman"/>
          <w:kern w:val="2"/>
          <w:sz w:val="32"/>
          <w:szCs w:val="32"/>
        </w:rPr>
        <w:t>：</w:t>
      </w:r>
    </w:p>
    <w:p>
      <w:pPr>
        <w:keepNext w:val="0"/>
        <w:keepLines w:val="0"/>
        <w:pageBreakBefore w:val="0"/>
        <w:widowControl w:val="0"/>
        <w:kinsoku/>
        <w:wordWrap/>
        <w:overflowPunct/>
        <w:topLinePunct w:val="0"/>
        <w:autoSpaceDE/>
        <w:autoSpaceDN/>
        <w:bidi w:val="0"/>
        <w:adjustRightInd/>
        <w:snapToGrid/>
        <w:spacing w:line="550" w:lineRule="exact"/>
        <w:ind w:firstLine="640" w:firstLineChars="200"/>
        <w:jc w:val="both"/>
        <w:textAlignment w:val="auto"/>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lang w:eastAsia="zh-CN"/>
        </w:rPr>
        <w:t>一、征收范围和税额标准</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eastAsia="仿宋_GB2312" w:cs="Times New Roman"/>
          <w:kern w:val="2"/>
          <w:sz w:val="32"/>
          <w:szCs w:val="32"/>
          <w:lang w:val="en-US" w:eastAsia="zh-CN"/>
        </w:rPr>
        <w:t>马边县</w:t>
      </w:r>
      <w:r>
        <w:rPr>
          <w:rFonts w:hint="default" w:ascii="Times New Roman" w:hAnsi="Times New Roman" w:eastAsia="仿宋_GB2312" w:cs="Times New Roman"/>
          <w:kern w:val="2"/>
          <w:sz w:val="32"/>
          <w:szCs w:val="32"/>
          <w:lang w:val="en-US" w:eastAsia="zh-CN"/>
        </w:rPr>
        <w:t>城区、建制镇定级边界区范围内的应税土地。</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仿宋_GB2312" w:cs="Times New Roman"/>
          <w:kern w:val="2"/>
          <w:sz w:val="32"/>
          <w:szCs w:val="32"/>
          <w:lang w:eastAsia="zh-CN"/>
        </w:rPr>
      </w:pPr>
      <w:r>
        <w:rPr>
          <w:rFonts w:hint="default" w:ascii="Times New Roman" w:hAnsi="Times New Roman" w:eastAsia="仿宋_GB2312" w:cs="Times New Roman"/>
          <w:kern w:val="2"/>
          <w:sz w:val="32"/>
          <w:szCs w:val="32"/>
          <w:lang w:eastAsia="zh-CN"/>
        </w:rPr>
        <w:t>根据市政建设情况、经济繁荣程度等条件，将</w:t>
      </w:r>
      <w:r>
        <w:rPr>
          <w:rFonts w:hint="eastAsia" w:eastAsia="仿宋_GB2312" w:cs="Times New Roman"/>
          <w:kern w:val="2"/>
          <w:sz w:val="32"/>
          <w:szCs w:val="32"/>
          <w:lang w:val="en-US" w:eastAsia="zh-CN"/>
        </w:rPr>
        <w:t>马边县</w:t>
      </w:r>
      <w:r>
        <w:rPr>
          <w:rFonts w:hint="default" w:ascii="Times New Roman" w:hAnsi="Times New Roman" w:eastAsia="仿宋_GB2312" w:cs="Times New Roman"/>
          <w:kern w:val="0"/>
          <w:sz w:val="32"/>
          <w:szCs w:val="32"/>
          <w:lang w:val="en-US" w:eastAsia="zh-CN"/>
        </w:rPr>
        <w:t>城</w:t>
      </w:r>
      <w:r>
        <w:rPr>
          <w:rFonts w:hint="eastAsia" w:eastAsia="仿宋_GB2312" w:cs="Times New Roman"/>
          <w:kern w:val="0"/>
          <w:sz w:val="32"/>
          <w:szCs w:val="32"/>
          <w:lang w:val="en-US" w:eastAsia="zh-CN"/>
        </w:rPr>
        <w:t>镇</w:t>
      </w:r>
      <w:r>
        <w:rPr>
          <w:rFonts w:hint="default" w:ascii="Times New Roman" w:hAnsi="Times New Roman" w:eastAsia="仿宋_GB2312" w:cs="Times New Roman"/>
          <w:kern w:val="0"/>
          <w:sz w:val="32"/>
          <w:szCs w:val="32"/>
          <w:lang w:val="en-US" w:eastAsia="zh-CN"/>
        </w:rPr>
        <w:t>土地划分为</w:t>
      </w:r>
      <w:r>
        <w:rPr>
          <w:rFonts w:hint="eastAsia" w:eastAsia="仿宋_GB2312" w:cs="Times New Roman"/>
          <w:kern w:val="2"/>
          <w:sz w:val="32"/>
          <w:szCs w:val="32"/>
          <w:lang w:val="en-US" w:eastAsia="zh-CN"/>
        </w:rPr>
        <w:t>1</w:t>
      </w:r>
      <w:r>
        <w:rPr>
          <w:rFonts w:hint="default" w:ascii="Times New Roman" w:hAnsi="Times New Roman" w:eastAsia="仿宋_GB2312" w:cs="Times New Roman"/>
          <w:kern w:val="2"/>
          <w:sz w:val="32"/>
          <w:szCs w:val="32"/>
          <w:lang w:eastAsia="zh-CN"/>
        </w:rPr>
        <w:t>至</w:t>
      </w:r>
      <w:r>
        <w:rPr>
          <w:rFonts w:hint="eastAsia" w:eastAsia="仿宋_GB2312" w:cs="Times New Roman"/>
          <w:kern w:val="2"/>
          <w:sz w:val="32"/>
          <w:szCs w:val="32"/>
          <w:lang w:val="en-US" w:eastAsia="zh-CN"/>
        </w:rPr>
        <w:t>4</w:t>
      </w:r>
      <w:r>
        <w:rPr>
          <w:rFonts w:hint="default" w:ascii="Times New Roman" w:hAnsi="Times New Roman" w:eastAsia="仿宋_GB2312" w:cs="Times New Roman"/>
          <w:kern w:val="2"/>
          <w:sz w:val="32"/>
          <w:szCs w:val="32"/>
          <w:lang w:eastAsia="zh-CN"/>
        </w:rPr>
        <w:t>级，城镇土地使用税年税额标准为每平方米</w:t>
      </w:r>
      <w:r>
        <w:rPr>
          <w:rFonts w:hint="eastAsia" w:eastAsia="仿宋_GB2312" w:cs="Times New Roman"/>
          <w:kern w:val="2"/>
          <w:sz w:val="32"/>
          <w:szCs w:val="32"/>
          <w:lang w:val="en-US" w:eastAsia="zh-CN"/>
        </w:rPr>
        <w:t>2</w:t>
      </w:r>
      <w:r>
        <w:rPr>
          <w:rFonts w:hint="default" w:ascii="Times New Roman" w:hAnsi="Times New Roman" w:eastAsia="仿宋_GB2312" w:cs="Times New Roman"/>
          <w:kern w:val="2"/>
          <w:sz w:val="32"/>
          <w:szCs w:val="32"/>
          <w:lang w:eastAsia="zh-CN"/>
        </w:rPr>
        <w:t>元至</w:t>
      </w:r>
      <w:r>
        <w:rPr>
          <w:rFonts w:hint="eastAsia" w:eastAsia="仿宋_GB2312" w:cs="Times New Roman"/>
          <w:kern w:val="2"/>
          <w:sz w:val="32"/>
          <w:szCs w:val="32"/>
          <w:lang w:val="en-US" w:eastAsia="zh-CN"/>
        </w:rPr>
        <w:t>8</w:t>
      </w:r>
      <w:r>
        <w:rPr>
          <w:rFonts w:hint="default" w:ascii="Times New Roman" w:hAnsi="Times New Roman" w:eastAsia="仿宋_GB2312" w:cs="Times New Roman"/>
          <w:kern w:val="2"/>
          <w:sz w:val="32"/>
          <w:szCs w:val="32"/>
          <w:lang w:eastAsia="zh-CN"/>
        </w:rPr>
        <w:t>元，具体等级范围及税额标准详见附件。</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黑体" w:cs="Times New Roman"/>
          <w:kern w:val="2"/>
          <w:sz w:val="32"/>
          <w:szCs w:val="32"/>
          <w:lang w:val="en-US" w:eastAsia="zh-CN"/>
        </w:rPr>
      </w:pPr>
      <w:r>
        <w:rPr>
          <w:rFonts w:hint="default" w:ascii="Times New Roman" w:hAnsi="Times New Roman" w:eastAsia="黑体" w:cs="Times New Roman"/>
          <w:kern w:val="2"/>
          <w:sz w:val="32"/>
          <w:szCs w:val="32"/>
          <w:lang w:val="en-US" w:eastAsia="zh-CN"/>
        </w:rPr>
        <w:t>二、执行时间</w:t>
      </w:r>
    </w:p>
    <w:p>
      <w:pPr>
        <w:keepNext w:val="0"/>
        <w:keepLines w:val="0"/>
        <w:pageBreakBefore w:val="0"/>
        <w:widowControl w:val="0"/>
        <w:tabs>
          <w:tab w:val="left" w:pos="420"/>
          <w:tab w:val="left" w:pos="9240"/>
        </w:tabs>
        <w:kinsoku/>
        <w:wordWrap/>
        <w:overflowPunct/>
        <w:topLinePunct w:val="0"/>
        <w:autoSpaceDE/>
        <w:autoSpaceDN/>
        <w:bidi w:val="0"/>
        <w:adjustRightInd/>
        <w:snapToGrid/>
        <w:spacing w:line="550" w:lineRule="exact"/>
        <w:ind w:firstLine="640"/>
        <w:jc w:val="both"/>
        <w:textAlignment w:val="auto"/>
        <w:rPr>
          <w:rFonts w:hint="eastAsia" w:eastAsia="仿宋_GB2312" w:cs="Times New Roman"/>
          <w:color w:val="FF0000"/>
          <w:kern w:val="2"/>
          <w:sz w:val="32"/>
          <w:szCs w:val="32"/>
          <w:lang w:val="en-US" w:eastAsia="zh-CN"/>
        </w:rPr>
      </w:pPr>
      <w:r>
        <w:rPr>
          <w:rFonts w:hint="default" w:ascii="Times New Roman" w:hAnsi="Times New Roman" w:eastAsia="仿宋_GB2312" w:cs="Times New Roman"/>
          <w:sz w:val="32"/>
          <w:szCs w:val="32"/>
          <w:lang w:eastAsia="zh-CN"/>
        </w:rPr>
        <w:t>上述征收范围和税额标准自</w:t>
      </w:r>
      <w:r>
        <w:rPr>
          <w:rFonts w:hint="eastAsia" w:eastAsia="仿宋_GB2312" w:cs="Times New Roman"/>
          <w:sz w:val="32"/>
          <w:szCs w:val="32"/>
          <w:lang w:val="en-US" w:eastAsia="zh-CN"/>
        </w:rPr>
        <w:t>XX</w:t>
      </w:r>
      <w:r>
        <w:rPr>
          <w:rFonts w:hint="default" w:ascii="Times New Roman" w:hAnsi="Times New Roman" w:eastAsia="仿宋_GB2312" w:cs="Times New Roman"/>
          <w:sz w:val="32"/>
          <w:szCs w:val="32"/>
          <w:lang w:eastAsia="zh-CN"/>
        </w:rPr>
        <w:t>年</w:t>
      </w:r>
      <w:r>
        <w:rPr>
          <w:rFonts w:hint="eastAsia" w:eastAsia="仿宋_GB2312" w:cs="Times New Roman"/>
          <w:sz w:val="32"/>
          <w:szCs w:val="32"/>
          <w:lang w:val="en-US" w:eastAsia="zh-CN"/>
        </w:rPr>
        <w:t>X</w:t>
      </w:r>
      <w:r>
        <w:rPr>
          <w:rFonts w:hint="default" w:ascii="Times New Roman" w:hAnsi="Times New Roman" w:eastAsia="仿宋_GB2312" w:cs="Times New Roman"/>
          <w:sz w:val="32"/>
          <w:szCs w:val="32"/>
          <w:lang w:eastAsia="zh-CN"/>
        </w:rPr>
        <w:t>月</w:t>
      </w:r>
      <w:r>
        <w:rPr>
          <w:rFonts w:hint="eastAsia" w:eastAsia="仿宋_GB2312" w:cs="Times New Roman"/>
          <w:sz w:val="32"/>
          <w:szCs w:val="32"/>
          <w:lang w:val="en-US" w:eastAsia="zh-CN"/>
        </w:rPr>
        <w:t>X</w:t>
      </w:r>
      <w:r>
        <w:rPr>
          <w:rFonts w:hint="default" w:ascii="Times New Roman" w:hAnsi="Times New Roman" w:eastAsia="仿宋_GB2312" w:cs="Times New Roman"/>
          <w:sz w:val="32"/>
          <w:szCs w:val="32"/>
          <w:lang w:eastAsia="zh-CN"/>
        </w:rPr>
        <w:t>日起施行（以最终政府发文确定时间为准），有效期5年。如有效期内相关法律法规等政策文件修订或者重新发布，则按修订或者重新发布的政策文件执行。</w:t>
      </w:r>
      <w:r>
        <w:rPr>
          <w:rFonts w:hint="default" w:ascii="Times New Roman" w:hAnsi="Times New Roman" w:eastAsia="仿宋_GB2312" w:cs="Times New Roman"/>
          <w:sz w:val="32"/>
          <w:szCs w:val="32"/>
          <w:lang w:val="en-US" w:eastAsia="zh-CN"/>
        </w:rPr>
        <w:t>《乐山市人民政府关于调整城镇土地使用税税额标准有关问题的批复》（乐府函〔2008〕</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6号)</w:t>
      </w:r>
      <w:r>
        <w:rPr>
          <w:rFonts w:hint="eastAsia" w:eastAsia="仿宋_GB2312" w:cs="Times New Roman"/>
          <w:sz w:val="32"/>
          <w:szCs w:val="32"/>
          <w:lang w:val="en-US" w:eastAsia="zh-CN"/>
        </w:rPr>
        <w:t>和《</w:t>
      </w:r>
      <w:r>
        <w:rPr>
          <w:rFonts w:hint="default" w:ascii="Times New Roman" w:hAnsi="Times New Roman" w:eastAsia="仿宋_GB2312" w:cs="Times New Roman"/>
          <w:sz w:val="32"/>
          <w:szCs w:val="32"/>
          <w:lang w:val="en-US" w:eastAsia="zh-CN"/>
        </w:rPr>
        <w:t>乐山市人民政府</w:t>
      </w:r>
      <w:r>
        <w:rPr>
          <w:rFonts w:hint="eastAsia" w:eastAsia="仿宋_GB2312" w:cs="Times New Roman"/>
          <w:sz w:val="32"/>
          <w:szCs w:val="32"/>
          <w:lang w:val="en-US" w:eastAsia="zh-CN"/>
        </w:rPr>
        <w:t>关于调整马边彝族自治县城镇土地使用税征收范围和税额标准有关问题的批复》（</w:t>
      </w:r>
      <w:r>
        <w:rPr>
          <w:rFonts w:hint="default" w:ascii="Times New Roman" w:hAnsi="Times New Roman" w:eastAsia="仿宋_GB2312" w:cs="Times New Roman"/>
          <w:sz w:val="32"/>
          <w:szCs w:val="32"/>
          <w:lang w:val="en-US" w:eastAsia="zh-CN"/>
        </w:rPr>
        <w:t>乐府函</w:t>
      </w:r>
      <w:r>
        <w:rPr>
          <w:rFonts w:hint="eastAsia" w:eastAsia="仿宋_GB2312" w:cs="Times New Roman"/>
          <w:sz w:val="32"/>
          <w:szCs w:val="32"/>
          <w:lang w:val="en-US" w:eastAsia="zh-CN"/>
        </w:rPr>
        <w:t>复</w:t>
      </w:r>
      <w:r>
        <w:rPr>
          <w:rFonts w:hint="default" w:ascii="Times New Roman" w:hAnsi="Times New Roman" w:eastAsia="仿宋_GB2312" w:cs="Times New Roman"/>
          <w:sz w:val="32"/>
          <w:szCs w:val="32"/>
          <w:lang w:val="en-US" w:eastAsia="zh-CN"/>
        </w:rPr>
        <w:t>〔2</w:t>
      </w:r>
      <w:r>
        <w:rPr>
          <w:rFonts w:hint="eastAsia" w:eastAsia="仿宋_GB2312" w:cs="Times New Roman"/>
          <w:sz w:val="32"/>
          <w:szCs w:val="32"/>
          <w:lang w:val="en-US" w:eastAsia="zh-CN"/>
        </w:rPr>
        <w:t>015</w:t>
      </w:r>
      <w:r>
        <w:rPr>
          <w:rFonts w:hint="default" w:ascii="Times New Roman" w:hAnsi="Times New Roman" w:eastAsia="仿宋_GB2312" w:cs="Times New Roman"/>
          <w:sz w:val="32"/>
          <w:szCs w:val="32"/>
          <w:lang w:val="en-US" w:eastAsia="zh-CN"/>
        </w:rPr>
        <w:t>〕</w:t>
      </w:r>
      <w:r>
        <w:rPr>
          <w:rFonts w:hint="eastAsia" w:eastAsia="仿宋_GB2312" w:cs="Times New Roman"/>
          <w:sz w:val="32"/>
          <w:szCs w:val="32"/>
          <w:lang w:val="en-US" w:eastAsia="zh-CN"/>
        </w:rPr>
        <w:t>4</w:t>
      </w:r>
      <w:r>
        <w:rPr>
          <w:rFonts w:hint="default" w:ascii="Times New Roman" w:hAnsi="Times New Roman" w:eastAsia="仿宋_GB2312" w:cs="Times New Roman"/>
          <w:sz w:val="32"/>
          <w:szCs w:val="32"/>
          <w:lang w:val="en-US" w:eastAsia="zh-CN"/>
        </w:rPr>
        <w:t>号</w:t>
      </w:r>
      <w:r>
        <w:rPr>
          <w:rFonts w:hint="eastAsia"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同时废止。</w:t>
      </w:r>
    </w:p>
    <w:p>
      <w:pPr>
        <w:keepNext w:val="0"/>
        <w:keepLines w:val="0"/>
        <w:pageBreakBefore w:val="0"/>
        <w:widowControl w:val="0"/>
        <w:tabs>
          <w:tab w:val="left" w:pos="420"/>
          <w:tab w:val="left" w:pos="9240"/>
        </w:tabs>
        <w:kinsoku/>
        <w:wordWrap/>
        <w:overflowPunct/>
        <w:topLinePunct w:val="0"/>
        <w:autoSpaceDE/>
        <w:autoSpaceDN/>
        <w:bidi w:val="0"/>
        <w:adjustRightInd/>
        <w:snapToGrid/>
        <w:spacing w:line="550" w:lineRule="exact"/>
        <w:ind w:firstLine="640"/>
        <w:jc w:val="both"/>
        <w:textAlignment w:val="auto"/>
        <w:rPr>
          <w:rFonts w:hint="eastAsia" w:eastAsia="仿宋_GB2312" w:cs="Times New Roman"/>
          <w:color w:val="FF0000"/>
          <w:kern w:val="2"/>
          <w:sz w:val="32"/>
          <w:szCs w:val="32"/>
          <w:lang w:val="en-US" w:eastAsia="zh-CN"/>
        </w:rPr>
      </w:pPr>
    </w:p>
    <w:p>
      <w:pPr>
        <w:keepNext w:val="0"/>
        <w:keepLines w:val="0"/>
        <w:pageBreakBefore w:val="0"/>
        <w:widowControl w:val="0"/>
        <w:tabs>
          <w:tab w:val="left" w:pos="420"/>
          <w:tab w:val="left" w:pos="9240"/>
        </w:tabs>
        <w:kinsoku/>
        <w:wordWrap/>
        <w:overflowPunct/>
        <w:topLinePunct w:val="0"/>
        <w:autoSpaceDE/>
        <w:autoSpaceDN/>
        <w:bidi w:val="0"/>
        <w:adjustRightInd/>
        <w:snapToGrid/>
        <w:spacing w:line="550" w:lineRule="exact"/>
        <w:ind w:firstLine="640"/>
        <w:jc w:val="both"/>
        <w:textAlignment w:val="auto"/>
        <w:rPr>
          <w:rFonts w:hint="eastAsia" w:ascii="方正小标宋简体" w:hAnsi="Times New Roman" w:eastAsia="方正小标宋简体" w:cs="Times New Roman"/>
          <w:kern w:val="2"/>
          <w:sz w:val="32"/>
          <w:szCs w:val="32"/>
          <w:lang w:eastAsia="zh-CN"/>
        </w:rPr>
      </w:pPr>
      <w:r>
        <w:rPr>
          <w:rFonts w:hint="eastAsia" w:ascii="Times New Roman" w:hAnsi="Times New Roman" w:eastAsia="仿宋_GB2312" w:cs="Times New Roman"/>
          <w:sz w:val="32"/>
          <w:szCs w:val="32"/>
          <w:lang w:val="en-US" w:eastAsia="zh-CN"/>
        </w:rPr>
        <w:t>附件：马边县城镇土地使用税征税范围和税额标准表</w:t>
      </w:r>
      <w:r>
        <w:rPr>
          <w:rFonts w:hint="default" w:ascii="Times New Roman" w:hAnsi="Times New Roman" w:eastAsia="仿宋_GB2312" w:cs="Times New Roman"/>
          <w:kern w:val="2"/>
          <w:sz w:val="32"/>
          <w:szCs w:val="32"/>
          <w:lang w:val="en-US" w:eastAsia="zh-CN"/>
        </w:rPr>
        <w:tab/>
      </w:r>
    </w:p>
    <w:p>
      <w:pPr>
        <w:rPr>
          <w:rFonts w:hint="eastAsia" w:ascii="黑体" w:hAnsi="黑体" w:eastAsia="黑体" w:cs="黑体"/>
          <w:kern w:val="2"/>
          <w:sz w:val="32"/>
          <w:szCs w:val="32"/>
          <w:lang w:val="en-US" w:eastAsia="zh-CN"/>
        </w:rPr>
      </w:pPr>
      <w:r>
        <w:rPr>
          <w:rFonts w:hint="eastAsia" w:ascii="黑体" w:hAnsi="黑体" w:eastAsia="黑体" w:cs="黑体"/>
          <w:kern w:val="2"/>
          <w:sz w:val="32"/>
          <w:szCs w:val="32"/>
          <w:lang w:eastAsia="zh-CN"/>
        </w:rPr>
        <w:br w:type="page"/>
      </w:r>
      <w:r>
        <w:rPr>
          <w:rFonts w:hint="eastAsia" w:ascii="黑体" w:hAnsi="黑体" w:eastAsia="黑体" w:cs="黑体"/>
          <w:kern w:val="2"/>
          <w:sz w:val="32"/>
          <w:szCs w:val="32"/>
          <w:lang w:eastAsia="zh-CN"/>
        </w:rPr>
        <w:t>附件</w:t>
      </w:r>
      <w:r>
        <w:rPr>
          <w:rFonts w:hint="eastAsia" w:ascii="黑体" w:hAnsi="黑体" w:eastAsia="黑体" w:cs="黑体"/>
          <w:kern w:val="2"/>
          <w:sz w:val="32"/>
          <w:szCs w:val="32"/>
          <w:lang w:val="en-US" w:eastAsia="zh-CN"/>
        </w:rPr>
        <w:t>1-1</w:t>
      </w:r>
    </w:p>
    <w:p>
      <w:pPr>
        <w:widowControl w:val="0"/>
        <w:overflowPunct/>
        <w:autoSpaceDE/>
        <w:autoSpaceDN/>
        <w:adjustRightInd/>
        <w:spacing w:line="580" w:lineRule="exact"/>
        <w:jc w:val="center"/>
        <w:textAlignment w:val="auto"/>
        <w:rPr>
          <w:rFonts w:hint="eastAsia" w:ascii="方正小标宋简体" w:eastAsia="方正小标宋简体" w:cs="Times New Roman"/>
          <w:color w:val="auto"/>
          <w:kern w:val="2"/>
          <w:sz w:val="36"/>
          <w:szCs w:val="36"/>
          <w:highlight w:val="none"/>
          <w:lang w:eastAsia="zh-CN"/>
        </w:rPr>
      </w:pPr>
      <w:r>
        <w:rPr>
          <w:rFonts w:hint="eastAsia" w:ascii="方正小标宋简体" w:hAnsi="Times New Roman" w:eastAsia="方正小标宋简体" w:cs="Times New Roman"/>
          <w:color w:val="auto"/>
          <w:kern w:val="2"/>
          <w:sz w:val="36"/>
          <w:szCs w:val="36"/>
          <w:highlight w:val="none"/>
          <w:lang w:eastAsia="zh-CN"/>
        </w:rPr>
        <w:br w:type="textWrapping"/>
      </w:r>
      <w:r>
        <w:rPr>
          <w:rFonts w:hint="eastAsia" w:ascii="方正小标宋简体" w:eastAsia="方正小标宋简体" w:cs="Times New Roman"/>
          <w:color w:val="auto"/>
          <w:kern w:val="2"/>
          <w:sz w:val="36"/>
          <w:szCs w:val="36"/>
          <w:highlight w:val="none"/>
          <w:lang w:val="en-US" w:eastAsia="zh-CN"/>
        </w:rPr>
        <w:t>马边县</w:t>
      </w:r>
      <w:r>
        <w:rPr>
          <w:rFonts w:hint="eastAsia" w:ascii="方正小标宋简体" w:hAnsi="Times New Roman" w:eastAsia="方正小标宋简体" w:cs="Times New Roman"/>
          <w:color w:val="auto"/>
          <w:kern w:val="2"/>
          <w:sz w:val="36"/>
          <w:szCs w:val="36"/>
          <w:highlight w:val="none"/>
          <w:lang w:eastAsia="zh-CN"/>
        </w:rPr>
        <w:t>城镇土地使用税征</w:t>
      </w:r>
      <w:r>
        <w:rPr>
          <w:rFonts w:hint="eastAsia" w:ascii="方正小标宋简体" w:eastAsia="方正小标宋简体" w:cs="Times New Roman"/>
          <w:color w:val="auto"/>
          <w:kern w:val="2"/>
          <w:sz w:val="36"/>
          <w:szCs w:val="36"/>
          <w:highlight w:val="none"/>
          <w:lang w:eastAsia="zh-CN"/>
        </w:rPr>
        <w:t>税</w:t>
      </w:r>
      <w:r>
        <w:rPr>
          <w:rFonts w:hint="eastAsia" w:ascii="方正小标宋简体" w:hAnsi="Times New Roman" w:eastAsia="方正小标宋简体" w:cs="Times New Roman"/>
          <w:color w:val="auto"/>
          <w:kern w:val="2"/>
          <w:sz w:val="36"/>
          <w:szCs w:val="36"/>
          <w:highlight w:val="none"/>
          <w:lang w:eastAsia="zh-CN"/>
        </w:rPr>
        <w:t>范围和税额标准</w:t>
      </w:r>
      <w:r>
        <w:rPr>
          <w:rFonts w:hint="eastAsia" w:ascii="方正小标宋简体" w:eastAsia="方正小标宋简体" w:cs="Times New Roman"/>
          <w:color w:val="auto"/>
          <w:kern w:val="2"/>
          <w:sz w:val="36"/>
          <w:szCs w:val="36"/>
          <w:highlight w:val="none"/>
          <w:lang w:eastAsia="zh-CN"/>
        </w:rPr>
        <w:t>表</w:t>
      </w:r>
    </w:p>
    <w:tbl>
      <w:tblPr>
        <w:tblStyle w:val="4"/>
        <w:tblW w:w="10250" w:type="dxa"/>
        <w:jc w:val="center"/>
        <w:tblLayout w:type="fixed"/>
        <w:tblCellMar>
          <w:top w:w="0" w:type="dxa"/>
          <w:left w:w="108" w:type="dxa"/>
          <w:bottom w:w="0" w:type="dxa"/>
          <w:right w:w="108" w:type="dxa"/>
        </w:tblCellMar>
      </w:tblPr>
      <w:tblGrid>
        <w:gridCol w:w="808"/>
        <w:gridCol w:w="1602"/>
        <w:gridCol w:w="1410"/>
        <w:gridCol w:w="3240"/>
        <w:gridCol w:w="3190"/>
      </w:tblGrid>
      <w:tr>
        <w:tblPrEx>
          <w:tblCellMar>
            <w:top w:w="0" w:type="dxa"/>
            <w:left w:w="108" w:type="dxa"/>
            <w:bottom w:w="0" w:type="dxa"/>
            <w:right w:w="108" w:type="dxa"/>
          </w:tblCellMar>
        </w:tblPrEx>
        <w:trPr>
          <w:trHeight w:val="889" w:hRule="atLeast"/>
          <w:jc w:val="center"/>
        </w:trPr>
        <w:tc>
          <w:tcPr>
            <w:tcW w:w="808"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center"/>
              <w:textAlignment w:val="center"/>
              <w:rPr>
                <w:b/>
                <w:color w:val="000000"/>
                <w:szCs w:val="21"/>
                <w:lang w:bidi="ar"/>
              </w:rPr>
            </w:pPr>
            <w:r>
              <w:rPr>
                <w:b/>
                <w:color w:val="000000"/>
                <w:szCs w:val="21"/>
                <w:lang w:bidi="ar"/>
              </w:rPr>
              <w:t>土地</w:t>
            </w:r>
          </w:p>
          <w:p>
            <w:pPr>
              <w:widowControl w:val="0"/>
              <w:overflowPunct/>
              <w:autoSpaceDE/>
              <w:autoSpaceDN/>
              <w:adjustRightInd/>
              <w:jc w:val="center"/>
              <w:textAlignment w:val="center"/>
              <w:rPr>
                <w:b/>
                <w:color w:val="000000"/>
                <w:szCs w:val="21"/>
              </w:rPr>
            </w:pPr>
            <w:r>
              <w:rPr>
                <w:b/>
                <w:color w:val="000000"/>
                <w:szCs w:val="21"/>
                <w:lang w:bidi="ar"/>
              </w:rPr>
              <w:t>等级</w:t>
            </w:r>
          </w:p>
        </w:tc>
        <w:tc>
          <w:tcPr>
            <w:tcW w:w="1602"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center"/>
              <w:textAlignment w:val="center"/>
              <w:rPr>
                <w:b/>
                <w:color w:val="000000"/>
                <w:szCs w:val="21"/>
                <w:lang w:bidi="ar"/>
              </w:rPr>
            </w:pPr>
            <w:r>
              <w:rPr>
                <w:b/>
                <w:color w:val="000000"/>
                <w:szCs w:val="21"/>
                <w:lang w:bidi="ar"/>
              </w:rPr>
              <w:t>每平方米</w:t>
            </w:r>
          </w:p>
          <w:p>
            <w:pPr>
              <w:widowControl w:val="0"/>
              <w:overflowPunct/>
              <w:autoSpaceDE/>
              <w:autoSpaceDN/>
              <w:adjustRightInd/>
              <w:jc w:val="center"/>
              <w:textAlignment w:val="center"/>
              <w:rPr>
                <w:b/>
                <w:color w:val="000000"/>
                <w:szCs w:val="21"/>
                <w:lang w:bidi="ar"/>
              </w:rPr>
            </w:pPr>
            <w:r>
              <w:rPr>
                <w:b/>
                <w:color w:val="000000"/>
                <w:szCs w:val="21"/>
                <w:lang w:bidi="ar"/>
              </w:rPr>
              <w:t>年 税 额</w:t>
            </w:r>
          </w:p>
          <w:p>
            <w:pPr>
              <w:widowControl w:val="0"/>
              <w:overflowPunct/>
              <w:autoSpaceDE/>
              <w:autoSpaceDN/>
              <w:adjustRightInd/>
              <w:jc w:val="center"/>
              <w:textAlignment w:val="center"/>
              <w:rPr>
                <w:b/>
                <w:color w:val="000000"/>
                <w:szCs w:val="21"/>
              </w:rPr>
            </w:pPr>
            <w:r>
              <w:rPr>
                <w:b/>
                <w:color w:val="000000"/>
                <w:szCs w:val="21"/>
                <w:lang w:bidi="ar"/>
              </w:rPr>
              <w:t>（元）</w:t>
            </w:r>
          </w:p>
        </w:tc>
        <w:tc>
          <w:tcPr>
            <w:tcW w:w="4650" w:type="dxa"/>
            <w:gridSpan w:val="2"/>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center"/>
              <w:textAlignment w:val="center"/>
              <w:rPr>
                <w:b/>
                <w:color w:val="000000"/>
                <w:szCs w:val="21"/>
              </w:rPr>
            </w:pPr>
            <w:r>
              <w:rPr>
                <w:b/>
                <w:color w:val="000000"/>
                <w:szCs w:val="21"/>
                <w:lang w:bidi="ar"/>
              </w:rPr>
              <w:t>等级地域范围</w:t>
            </w:r>
          </w:p>
        </w:tc>
        <w:tc>
          <w:tcPr>
            <w:tcW w:w="3190"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center"/>
              <w:textAlignment w:val="center"/>
              <w:rPr>
                <w:rFonts w:hint="eastAsia" w:eastAsia="宋体"/>
                <w:b/>
                <w:color w:val="000000"/>
                <w:szCs w:val="21"/>
                <w:lang w:eastAsia="zh-CN" w:bidi="ar"/>
              </w:rPr>
            </w:pPr>
            <w:r>
              <w:rPr>
                <w:rFonts w:hint="eastAsia"/>
                <w:b/>
                <w:color w:val="000000"/>
                <w:szCs w:val="21"/>
                <w:lang w:eastAsia="zh-CN" w:bidi="ar"/>
              </w:rPr>
              <w:t>备注</w:t>
            </w:r>
          </w:p>
        </w:tc>
      </w:tr>
      <w:tr>
        <w:tblPrEx>
          <w:tblCellMar>
            <w:top w:w="0" w:type="dxa"/>
            <w:left w:w="108" w:type="dxa"/>
            <w:bottom w:w="0" w:type="dxa"/>
            <w:right w:w="108" w:type="dxa"/>
          </w:tblCellMar>
        </w:tblPrEx>
        <w:trPr>
          <w:trHeight w:val="833" w:hRule="atLeast"/>
          <w:jc w:val="center"/>
        </w:trPr>
        <w:tc>
          <w:tcPr>
            <w:tcW w:w="808"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b/>
                <w:color w:val="000000"/>
                <w:szCs w:val="21"/>
                <w:lang w:bidi="ar"/>
              </w:rPr>
            </w:pPr>
            <w:r>
              <w:rPr>
                <w:b/>
                <w:color w:val="000000"/>
                <w:szCs w:val="21"/>
                <w:lang w:bidi="ar"/>
              </w:rPr>
              <w:t>一级</w:t>
            </w:r>
          </w:p>
        </w:tc>
        <w:tc>
          <w:tcPr>
            <w:tcW w:w="1602"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rFonts w:hint="eastAsia" w:eastAsia="宋体"/>
                <w:b/>
                <w:color w:val="000000"/>
                <w:szCs w:val="21"/>
                <w:lang w:eastAsia="zh-CN" w:bidi="ar"/>
              </w:rPr>
            </w:pPr>
            <w:r>
              <w:rPr>
                <w:rFonts w:hint="eastAsia"/>
                <w:b/>
                <w:color w:val="000000"/>
                <w:szCs w:val="21"/>
                <w:lang w:val="en-US" w:eastAsia="zh-CN" w:bidi="ar"/>
              </w:rPr>
              <w:t>8</w:t>
            </w: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b/>
                <w:color w:val="000000"/>
                <w:szCs w:val="21"/>
                <w:lang w:bidi="ar"/>
              </w:rPr>
            </w:pPr>
            <w:r>
              <w:rPr>
                <w:b/>
                <w:color w:val="000000"/>
                <w:szCs w:val="21"/>
                <w:lang w:bidi="ar"/>
              </w:rPr>
              <w:t>县城</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东至：东光大道 </w:t>
            </w:r>
          </w:p>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南至：马边一中 </w:t>
            </w:r>
          </w:p>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西至：西街-南河名城-红旗大道 </w:t>
            </w:r>
          </w:p>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北至：马边河</w:t>
            </w:r>
          </w:p>
          <w:p>
            <w:pPr>
              <w:overflowPunct/>
              <w:autoSpaceDE/>
              <w:autoSpaceDN/>
              <w:adjustRightInd/>
              <w:spacing w:line="320" w:lineRule="exact"/>
              <w:jc w:val="left"/>
              <w:textAlignment w:val="center"/>
              <w:rPr>
                <w:b/>
                <w:szCs w:val="21"/>
              </w:rPr>
            </w:pPr>
          </w:p>
        </w:tc>
        <w:tc>
          <w:tcPr>
            <w:tcW w:w="3190"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级别范围内主要街道：建设街、中坝街、新建街、 滨河西路、西街、滨河东路、 鄢家坝路、光明大道、红旗大道、育才路</w:t>
            </w:r>
          </w:p>
          <w:p>
            <w:pPr>
              <w:overflowPunct/>
              <w:autoSpaceDE/>
              <w:autoSpaceDN/>
              <w:adjustRightInd/>
              <w:spacing w:line="320" w:lineRule="exact"/>
              <w:jc w:val="left"/>
              <w:textAlignment w:val="center"/>
              <w:rPr>
                <w:rFonts w:hint="eastAsia" w:eastAsia="宋体"/>
                <w:b/>
                <w:szCs w:val="21"/>
                <w:lang w:eastAsia="zh-CN"/>
              </w:rPr>
            </w:pPr>
          </w:p>
        </w:tc>
      </w:tr>
      <w:tr>
        <w:tblPrEx>
          <w:tblCellMar>
            <w:top w:w="0" w:type="dxa"/>
            <w:left w:w="108" w:type="dxa"/>
            <w:bottom w:w="0" w:type="dxa"/>
            <w:right w:w="108" w:type="dxa"/>
          </w:tblCellMar>
        </w:tblPrEx>
        <w:trPr>
          <w:trHeight w:val="2290" w:hRule="atLeast"/>
          <w:jc w:val="center"/>
        </w:trPr>
        <w:tc>
          <w:tcPr>
            <w:tcW w:w="808"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b/>
                <w:color w:val="000000"/>
                <w:szCs w:val="21"/>
                <w:lang w:bidi="ar"/>
              </w:rPr>
            </w:pPr>
            <w:r>
              <w:rPr>
                <w:b/>
                <w:color w:val="000000"/>
                <w:szCs w:val="21"/>
                <w:lang w:bidi="ar"/>
              </w:rPr>
              <w:t>二级</w:t>
            </w:r>
          </w:p>
        </w:tc>
        <w:tc>
          <w:tcPr>
            <w:tcW w:w="1602"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rFonts w:hint="eastAsia" w:eastAsia="宋体"/>
                <w:b/>
                <w:color w:val="000000"/>
                <w:szCs w:val="21"/>
                <w:lang w:eastAsia="zh-CN" w:bidi="ar"/>
              </w:rPr>
            </w:pPr>
            <w:r>
              <w:rPr>
                <w:rFonts w:hint="eastAsia"/>
                <w:b/>
                <w:color w:val="000000"/>
                <w:szCs w:val="21"/>
                <w:lang w:val="en-US" w:eastAsia="zh-CN" w:bidi="ar"/>
              </w:rPr>
              <w:t>6</w:t>
            </w: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b/>
                <w:color w:val="000000"/>
                <w:szCs w:val="21"/>
                <w:lang w:bidi="ar"/>
              </w:rPr>
            </w:pPr>
            <w:r>
              <w:rPr>
                <w:b/>
                <w:color w:val="000000"/>
                <w:szCs w:val="21"/>
                <w:lang w:bidi="ar"/>
              </w:rPr>
              <w:t>县城</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left"/>
              <w:textAlignment w:val="center"/>
              <w:rPr>
                <w:rFonts w:hint="eastAsia"/>
                <w:b/>
                <w:color w:val="000000"/>
                <w:szCs w:val="21"/>
                <w:lang w:eastAsia="zh-CN" w:bidi="ar"/>
              </w:rPr>
            </w:pPr>
            <w:r>
              <w:rPr>
                <w:rFonts w:hint="eastAsia"/>
                <w:b/>
                <w:color w:val="000000"/>
                <w:szCs w:val="21"/>
                <w:lang w:val="en-US" w:eastAsia="zh-CN" w:bidi="ar"/>
              </w:rPr>
              <w:t xml:space="preserve">东至：东光大道东侧-民建小学 </w:t>
            </w:r>
          </w:p>
          <w:p>
            <w:pPr>
              <w:widowControl w:val="0"/>
              <w:overflowPunct/>
              <w:autoSpaceDE/>
              <w:autoSpaceDN/>
              <w:adjustRightInd/>
              <w:jc w:val="left"/>
              <w:textAlignment w:val="center"/>
              <w:rPr>
                <w:rFonts w:hint="eastAsia"/>
                <w:b/>
                <w:color w:val="000000"/>
                <w:szCs w:val="21"/>
                <w:lang w:eastAsia="zh-CN" w:bidi="ar"/>
              </w:rPr>
            </w:pPr>
            <w:r>
              <w:rPr>
                <w:rFonts w:hint="eastAsia"/>
                <w:b/>
                <w:color w:val="000000"/>
                <w:szCs w:val="21"/>
                <w:lang w:val="en-US" w:eastAsia="zh-CN" w:bidi="ar"/>
              </w:rPr>
              <w:t>南至：马边一中南侧-永乐特色光辉小镇</w:t>
            </w:r>
          </w:p>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西至：绕城路 </w:t>
            </w:r>
          </w:p>
          <w:p>
            <w:pPr>
              <w:widowControl w:val="0"/>
              <w:overflowPunct/>
              <w:autoSpaceDE/>
              <w:autoSpaceDN/>
              <w:adjustRightInd/>
              <w:jc w:val="left"/>
              <w:textAlignment w:val="center"/>
              <w:rPr>
                <w:b/>
                <w:szCs w:val="21"/>
              </w:rPr>
            </w:pPr>
            <w:r>
              <w:rPr>
                <w:rFonts w:hint="eastAsia"/>
                <w:b/>
                <w:color w:val="000000"/>
                <w:szCs w:val="21"/>
                <w:lang w:val="en-US" w:eastAsia="zh-CN" w:bidi="ar"/>
              </w:rPr>
              <w:t>北至：龙桥小区</w:t>
            </w:r>
          </w:p>
        </w:tc>
        <w:tc>
          <w:tcPr>
            <w:tcW w:w="3190" w:type="dxa"/>
            <w:tcBorders>
              <w:top w:val="single" w:color="000000" w:sz="4" w:space="0"/>
              <w:left w:val="single" w:color="000000" w:sz="4" w:space="0"/>
              <w:bottom w:val="single" w:color="000000" w:sz="4" w:space="0"/>
              <w:right w:val="single" w:color="000000" w:sz="4" w:space="0"/>
            </w:tcBorders>
            <w:noWrap w:val="0"/>
            <w:vAlign w:val="center"/>
          </w:tcPr>
          <w:p>
            <w:pPr>
              <w:widowControl w:val="0"/>
              <w:overflowPunct/>
              <w:autoSpaceDE/>
              <w:autoSpaceDN/>
              <w:adjustRightInd/>
              <w:jc w:val="left"/>
              <w:textAlignment w:val="center"/>
              <w:rPr>
                <w:rFonts w:hint="eastAsia" w:eastAsia="宋体"/>
                <w:b/>
                <w:szCs w:val="21"/>
                <w:lang w:eastAsia="zh-CN"/>
              </w:rPr>
            </w:pPr>
            <w:r>
              <w:rPr>
                <w:rFonts w:hint="eastAsia"/>
                <w:b/>
                <w:color w:val="000000"/>
                <w:szCs w:val="21"/>
                <w:lang w:val="en-US" w:eastAsia="zh-CN" w:bidi="ar"/>
              </w:rPr>
              <w:t>级别范围内主要街道：西城路、东光大道、光明大道、金叶路、348 国道</w:t>
            </w:r>
          </w:p>
        </w:tc>
      </w:tr>
      <w:tr>
        <w:tblPrEx>
          <w:tblCellMar>
            <w:top w:w="0" w:type="dxa"/>
            <w:left w:w="108" w:type="dxa"/>
            <w:bottom w:w="0" w:type="dxa"/>
            <w:right w:w="108" w:type="dxa"/>
          </w:tblCellMar>
        </w:tblPrEx>
        <w:trPr>
          <w:trHeight w:val="910" w:hRule="atLeast"/>
          <w:jc w:val="center"/>
        </w:trPr>
        <w:tc>
          <w:tcPr>
            <w:tcW w:w="808" w:type="dxa"/>
            <w:tcBorders>
              <w:top w:val="single" w:color="000000" w:sz="4" w:space="0"/>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b/>
                <w:color w:val="000000"/>
                <w:szCs w:val="21"/>
                <w:lang w:bidi="ar"/>
              </w:rPr>
            </w:pPr>
            <w:r>
              <w:rPr>
                <w:b/>
                <w:color w:val="000000"/>
                <w:szCs w:val="21"/>
                <w:lang w:bidi="ar"/>
              </w:rPr>
              <w:t>三级</w:t>
            </w:r>
          </w:p>
        </w:tc>
        <w:tc>
          <w:tcPr>
            <w:tcW w:w="1602" w:type="dxa"/>
            <w:tcBorders>
              <w:top w:val="single" w:color="000000" w:sz="4" w:space="0"/>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rFonts w:hint="eastAsia" w:eastAsia="宋体"/>
                <w:b/>
                <w:color w:val="000000"/>
                <w:szCs w:val="21"/>
                <w:lang w:eastAsia="zh-CN" w:bidi="ar"/>
              </w:rPr>
            </w:pPr>
            <w:r>
              <w:rPr>
                <w:rFonts w:hint="eastAsia"/>
                <w:b/>
                <w:color w:val="000000"/>
                <w:szCs w:val="21"/>
                <w:lang w:val="en-US" w:eastAsia="zh-CN" w:bidi="ar"/>
              </w:rPr>
              <w:t>4</w:t>
            </w:r>
          </w:p>
        </w:tc>
        <w:tc>
          <w:tcPr>
            <w:tcW w:w="1410" w:type="dxa"/>
            <w:tcBorders>
              <w:top w:val="single" w:color="000000" w:sz="4" w:space="0"/>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rFonts w:hint="eastAsia" w:eastAsia="楷体_GB2312"/>
                <w:lang w:val="en-US" w:eastAsia="zh-CN"/>
              </w:rPr>
            </w:pPr>
            <w:r>
              <w:rPr>
                <w:rFonts w:ascii="Times New Roman" w:hAnsi="Times New Roman" w:eastAsia="宋体" w:cs="Times New Roman"/>
                <w:b/>
                <w:color w:val="000000"/>
                <w:szCs w:val="21"/>
                <w:lang w:bidi="ar"/>
              </w:rPr>
              <w:t>县城</w:t>
            </w:r>
          </w:p>
        </w:tc>
        <w:tc>
          <w:tcPr>
            <w:tcW w:w="3240" w:type="dxa"/>
            <w:tcBorders>
              <w:top w:val="single" w:color="000000" w:sz="4" w:space="0"/>
              <w:left w:val="single" w:color="000000" w:sz="4" w:space="0"/>
              <w:bottom w:val="single" w:color="auto" w:sz="4" w:space="0"/>
              <w:right w:val="single" w:color="000000" w:sz="4" w:space="0"/>
            </w:tcBorders>
            <w:noWrap w:val="0"/>
            <w:vAlign w:val="center"/>
          </w:tcPr>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东至：定级边界 </w:t>
            </w:r>
          </w:p>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南至：定级边界 </w:t>
            </w:r>
          </w:p>
          <w:p>
            <w:pPr>
              <w:widowControl w:val="0"/>
              <w:overflowPunct/>
              <w:autoSpaceDE/>
              <w:autoSpaceDN/>
              <w:adjustRightInd/>
              <w:jc w:val="left"/>
              <w:textAlignment w:val="center"/>
              <w:rPr>
                <w:rFonts w:hint="eastAsia"/>
                <w:b/>
                <w:color w:val="000000"/>
                <w:szCs w:val="21"/>
                <w:lang w:val="en-US" w:eastAsia="zh-CN" w:bidi="ar"/>
              </w:rPr>
            </w:pPr>
            <w:r>
              <w:rPr>
                <w:rFonts w:hint="eastAsia"/>
                <w:b/>
                <w:color w:val="000000"/>
                <w:szCs w:val="21"/>
                <w:lang w:val="en-US" w:eastAsia="zh-CN" w:bidi="ar"/>
              </w:rPr>
              <w:t xml:space="preserve">西至：定级边界 </w:t>
            </w:r>
          </w:p>
          <w:p>
            <w:pPr>
              <w:widowControl w:val="0"/>
              <w:overflowPunct/>
              <w:autoSpaceDE/>
              <w:autoSpaceDN/>
              <w:adjustRightInd/>
              <w:jc w:val="left"/>
              <w:textAlignment w:val="center"/>
              <w:rPr>
                <w:rFonts w:hint="default"/>
                <w:lang w:val="en-US" w:eastAsia="zh-CN"/>
              </w:rPr>
            </w:pPr>
            <w:r>
              <w:rPr>
                <w:rFonts w:hint="eastAsia"/>
                <w:b/>
                <w:color w:val="000000"/>
                <w:szCs w:val="21"/>
                <w:lang w:val="en-US" w:eastAsia="zh-CN" w:bidi="ar"/>
              </w:rPr>
              <w:t>北至：劳动循环工业园北侧</w:t>
            </w:r>
          </w:p>
        </w:tc>
        <w:tc>
          <w:tcPr>
            <w:tcW w:w="3190" w:type="dxa"/>
            <w:tcBorders>
              <w:top w:val="single" w:color="000000" w:sz="4" w:space="0"/>
              <w:left w:val="single" w:color="000000" w:sz="4" w:space="0"/>
              <w:bottom w:val="single" w:color="auto" w:sz="4" w:space="0"/>
              <w:right w:val="single" w:color="000000" w:sz="4" w:space="0"/>
            </w:tcBorders>
            <w:noWrap w:val="0"/>
            <w:vAlign w:val="center"/>
          </w:tcPr>
          <w:p>
            <w:pPr>
              <w:keepNext w:val="0"/>
              <w:keepLines w:val="0"/>
              <w:widowControl/>
              <w:suppressLineNumbers w:val="0"/>
              <w:jc w:val="left"/>
              <w:rPr>
                <w:rFonts w:hint="eastAsia"/>
                <w:b/>
                <w:color w:val="000000"/>
                <w:szCs w:val="21"/>
                <w:lang w:val="en-US" w:eastAsia="zh-CN" w:bidi="ar"/>
              </w:rPr>
            </w:pPr>
            <w:r>
              <w:rPr>
                <w:rFonts w:hint="eastAsia"/>
                <w:b/>
                <w:color w:val="000000"/>
                <w:szCs w:val="21"/>
                <w:lang w:val="en-US" w:eastAsia="zh-CN" w:bidi="ar"/>
              </w:rPr>
              <w:t>级别范围内主要街道：马新路、绕城路、规划道路</w:t>
            </w:r>
          </w:p>
          <w:p>
            <w:pPr>
              <w:overflowPunct/>
              <w:autoSpaceDE/>
              <w:autoSpaceDN/>
              <w:adjustRightInd/>
              <w:spacing w:line="320" w:lineRule="exact"/>
              <w:jc w:val="left"/>
              <w:textAlignment w:val="center"/>
              <w:rPr>
                <w:rFonts w:hint="eastAsia"/>
                <w:b/>
                <w:color w:val="FF0000"/>
                <w:szCs w:val="21"/>
              </w:rPr>
            </w:pPr>
          </w:p>
        </w:tc>
      </w:tr>
      <w:tr>
        <w:tblPrEx>
          <w:tblCellMar>
            <w:top w:w="0" w:type="dxa"/>
            <w:left w:w="108" w:type="dxa"/>
            <w:bottom w:w="0" w:type="dxa"/>
            <w:right w:w="108" w:type="dxa"/>
          </w:tblCellMar>
        </w:tblPrEx>
        <w:trPr>
          <w:trHeight w:val="903" w:hRule="atLeast"/>
          <w:jc w:val="center"/>
        </w:trPr>
        <w:tc>
          <w:tcPr>
            <w:tcW w:w="808" w:type="dxa"/>
            <w:vMerge w:val="restart"/>
            <w:tcBorders>
              <w:top w:val="single" w:color="000000" w:sz="4" w:space="0"/>
              <w:left w:val="single" w:color="000000" w:sz="4" w:space="0"/>
              <w:right w:val="single" w:color="000000" w:sz="4" w:space="0"/>
            </w:tcBorders>
            <w:noWrap w:val="0"/>
            <w:vAlign w:val="center"/>
          </w:tcPr>
          <w:p>
            <w:pPr>
              <w:overflowPunct/>
              <w:autoSpaceDE/>
              <w:autoSpaceDN/>
              <w:adjustRightInd/>
              <w:spacing w:line="320" w:lineRule="exact"/>
              <w:jc w:val="center"/>
              <w:textAlignment w:val="center"/>
              <w:rPr>
                <w:b/>
                <w:color w:val="000000"/>
                <w:szCs w:val="21"/>
                <w:lang w:bidi="ar"/>
              </w:rPr>
            </w:pPr>
            <w:r>
              <w:rPr>
                <w:rFonts w:hint="eastAsia"/>
                <w:b/>
                <w:color w:val="000000"/>
                <w:szCs w:val="21"/>
                <w:lang w:eastAsia="zh-CN" w:bidi="ar"/>
              </w:rPr>
              <w:t>四</w:t>
            </w:r>
            <w:r>
              <w:rPr>
                <w:b/>
                <w:color w:val="000000"/>
                <w:szCs w:val="21"/>
                <w:lang w:bidi="ar"/>
              </w:rPr>
              <w:t>级</w:t>
            </w:r>
          </w:p>
        </w:tc>
        <w:tc>
          <w:tcPr>
            <w:tcW w:w="1602" w:type="dxa"/>
            <w:vMerge w:val="restart"/>
            <w:tcBorders>
              <w:top w:val="single" w:color="000000" w:sz="4" w:space="0"/>
              <w:left w:val="single" w:color="000000" w:sz="4" w:space="0"/>
              <w:right w:val="single" w:color="000000" w:sz="4" w:space="0"/>
            </w:tcBorders>
            <w:noWrap w:val="0"/>
            <w:vAlign w:val="center"/>
          </w:tcPr>
          <w:p>
            <w:pPr>
              <w:overflowPunct/>
              <w:autoSpaceDE/>
              <w:autoSpaceDN/>
              <w:adjustRightInd/>
              <w:spacing w:line="320" w:lineRule="exact"/>
              <w:jc w:val="center"/>
              <w:textAlignment w:val="center"/>
              <w:rPr>
                <w:rFonts w:hint="eastAsia" w:eastAsia="宋体"/>
                <w:b/>
                <w:color w:val="000000"/>
                <w:szCs w:val="21"/>
                <w:lang w:val="en-US" w:eastAsia="zh-CN" w:bidi="ar"/>
              </w:rPr>
            </w:pPr>
            <w:r>
              <w:rPr>
                <w:rFonts w:hint="eastAsia"/>
                <w:b/>
                <w:color w:val="000000"/>
                <w:szCs w:val="21"/>
                <w:lang w:val="en-US" w:eastAsia="zh-CN" w:bidi="ar"/>
              </w:rPr>
              <w:t>2</w:t>
            </w:r>
          </w:p>
        </w:tc>
        <w:tc>
          <w:tcPr>
            <w:tcW w:w="1410"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rFonts w:hint="eastAsia" w:eastAsia="宋体"/>
                <w:b/>
                <w:color w:val="000000"/>
                <w:szCs w:val="21"/>
                <w:lang w:eastAsia="zh-CN" w:bidi="ar"/>
              </w:rPr>
            </w:pPr>
            <w:r>
              <w:rPr>
                <w:rFonts w:hint="eastAsia"/>
                <w:b/>
                <w:color w:val="000000"/>
                <w:szCs w:val="21"/>
                <w:lang w:eastAsia="zh-CN" w:bidi="ar"/>
              </w:rPr>
              <w:t>县城</w:t>
            </w:r>
          </w:p>
        </w:tc>
        <w:tc>
          <w:tcPr>
            <w:tcW w:w="3240"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left"/>
              <w:textAlignment w:val="center"/>
              <w:rPr>
                <w:rFonts w:hint="eastAsia"/>
                <w:lang w:eastAsia="zh-CN"/>
              </w:rPr>
            </w:pPr>
            <w:r>
              <w:rPr>
                <w:b/>
                <w:szCs w:val="21"/>
              </w:rPr>
              <w:t>上述一级、二级、三级范围以外的县城</w:t>
            </w:r>
            <w:r>
              <w:rPr>
                <w:rFonts w:hint="eastAsia"/>
                <w:b/>
                <w:szCs w:val="21"/>
                <w:lang w:eastAsia="zh-CN"/>
              </w:rPr>
              <w:t>定级边界</w:t>
            </w:r>
            <w:r>
              <w:rPr>
                <w:b/>
                <w:szCs w:val="21"/>
              </w:rPr>
              <w:t>区范围</w:t>
            </w:r>
            <w:r>
              <w:rPr>
                <w:rFonts w:hint="eastAsia"/>
                <w:b/>
                <w:szCs w:val="21"/>
                <w:lang w:eastAsia="zh-CN"/>
              </w:rPr>
              <w:t>内。</w:t>
            </w:r>
          </w:p>
        </w:tc>
        <w:tc>
          <w:tcPr>
            <w:tcW w:w="3190" w:type="dxa"/>
            <w:tcBorders>
              <w:top w:val="single" w:color="000000" w:sz="4" w:space="0"/>
              <w:left w:val="single" w:color="000000" w:sz="4" w:space="0"/>
              <w:bottom w:val="single" w:color="000000" w:sz="4" w:space="0"/>
              <w:right w:val="single" w:color="000000" w:sz="4" w:space="0"/>
            </w:tcBorders>
            <w:noWrap w:val="0"/>
            <w:vAlign w:val="center"/>
          </w:tcPr>
          <w:p>
            <w:pPr>
              <w:overflowPunct/>
              <w:autoSpaceDE/>
              <w:autoSpaceDN/>
              <w:adjustRightInd/>
              <w:spacing w:line="320" w:lineRule="exact"/>
              <w:jc w:val="center"/>
              <w:textAlignment w:val="center"/>
              <w:rPr>
                <w:rFonts w:hint="default" w:eastAsia="宋体"/>
                <w:lang w:val="en-US" w:eastAsia="zh-CN"/>
              </w:rPr>
            </w:pPr>
          </w:p>
        </w:tc>
      </w:tr>
      <w:tr>
        <w:tblPrEx>
          <w:tblCellMar>
            <w:top w:w="0" w:type="dxa"/>
            <w:left w:w="108" w:type="dxa"/>
            <w:bottom w:w="0" w:type="dxa"/>
            <w:right w:w="108" w:type="dxa"/>
          </w:tblCellMar>
        </w:tblPrEx>
        <w:trPr>
          <w:trHeight w:val="903" w:hRule="atLeast"/>
          <w:jc w:val="center"/>
        </w:trPr>
        <w:tc>
          <w:tcPr>
            <w:tcW w:w="808" w:type="dxa"/>
            <w:vMerge w:val="continue"/>
            <w:tcBorders>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rFonts w:hint="eastAsia"/>
                <w:b/>
                <w:color w:val="000000"/>
                <w:szCs w:val="21"/>
                <w:lang w:eastAsia="zh-CN" w:bidi="ar"/>
              </w:rPr>
            </w:pPr>
          </w:p>
        </w:tc>
        <w:tc>
          <w:tcPr>
            <w:tcW w:w="1602" w:type="dxa"/>
            <w:vMerge w:val="continue"/>
            <w:tcBorders>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rFonts w:hint="eastAsia"/>
                <w:b/>
                <w:color w:val="000000"/>
                <w:szCs w:val="21"/>
                <w:lang w:val="en-US" w:eastAsia="zh-CN" w:bidi="ar"/>
              </w:rPr>
            </w:pPr>
          </w:p>
        </w:tc>
        <w:tc>
          <w:tcPr>
            <w:tcW w:w="1410" w:type="dxa"/>
            <w:tcBorders>
              <w:top w:val="single" w:color="000000" w:sz="4" w:space="0"/>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rFonts w:hint="eastAsia"/>
                <w:b/>
                <w:color w:val="000000"/>
                <w:szCs w:val="21"/>
                <w:lang w:eastAsia="zh-CN" w:bidi="ar"/>
              </w:rPr>
            </w:pPr>
            <w:r>
              <w:rPr>
                <w:rFonts w:hint="eastAsia"/>
                <w:b/>
                <w:color w:val="000000"/>
                <w:szCs w:val="21"/>
                <w:lang w:eastAsia="zh-CN" w:bidi="ar"/>
              </w:rPr>
              <w:t>建制镇</w:t>
            </w:r>
          </w:p>
        </w:tc>
        <w:tc>
          <w:tcPr>
            <w:tcW w:w="3240" w:type="dxa"/>
            <w:tcBorders>
              <w:top w:val="single" w:color="000000" w:sz="4" w:space="0"/>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left"/>
              <w:textAlignment w:val="center"/>
              <w:rPr>
                <w:rFonts w:hint="eastAsia"/>
                <w:lang w:eastAsia="zh-CN"/>
              </w:rPr>
            </w:pPr>
            <w:r>
              <w:rPr>
                <w:rFonts w:hint="eastAsia"/>
                <w:b/>
                <w:szCs w:val="21"/>
              </w:rPr>
              <w:t>荣丁镇、下溪镇、苏坝镇、</w:t>
            </w:r>
            <w:r>
              <w:rPr>
                <w:rFonts w:hint="eastAsia"/>
                <w:b/>
                <w:szCs w:val="21"/>
                <w:lang w:eastAsia="zh-CN"/>
              </w:rPr>
              <w:t>烟峰镇、荍坝镇、民主镇、梅林镇、雪口山镇、三河口镇定级边界区范围内。</w:t>
            </w:r>
          </w:p>
        </w:tc>
        <w:tc>
          <w:tcPr>
            <w:tcW w:w="3190" w:type="dxa"/>
            <w:tcBorders>
              <w:top w:val="single" w:color="000000" w:sz="4" w:space="0"/>
              <w:left w:val="single" w:color="000000" w:sz="4" w:space="0"/>
              <w:bottom w:val="single" w:color="auto" w:sz="4" w:space="0"/>
              <w:right w:val="single" w:color="000000" w:sz="4" w:space="0"/>
            </w:tcBorders>
            <w:noWrap w:val="0"/>
            <w:vAlign w:val="center"/>
          </w:tcPr>
          <w:p>
            <w:pPr>
              <w:overflowPunct/>
              <w:autoSpaceDE/>
              <w:autoSpaceDN/>
              <w:adjustRightInd/>
              <w:spacing w:line="320" w:lineRule="exact"/>
              <w:jc w:val="center"/>
              <w:textAlignment w:val="center"/>
              <w:rPr>
                <w:rFonts w:hint="eastAsia"/>
                <w:b/>
                <w:color w:val="000000"/>
                <w:szCs w:val="21"/>
                <w:lang w:eastAsia="zh-CN" w:bidi="ar"/>
              </w:rPr>
            </w:pPr>
          </w:p>
        </w:tc>
      </w:tr>
    </w:tbl>
    <w:p>
      <w:pPr>
        <w:keepNext w:val="0"/>
        <w:keepLines w:val="0"/>
        <w:widowControl/>
        <w:suppressLineNumbers w:val="0"/>
        <w:jc w:val="left"/>
      </w:pPr>
      <w:r>
        <w:rPr>
          <w:rFonts w:hint="eastAsia"/>
          <w:b/>
          <w:color w:val="000000"/>
          <w:szCs w:val="21"/>
          <w:lang w:val="en-US" w:eastAsia="zh-CN" w:bidi="ar"/>
        </w:rPr>
        <w:t>具体范围以马边彝族自治县城区土地级别与基准地价图为准（马府函〔2021〕100 号）</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8C4DBB"/>
    <w:rsid w:val="05392BB0"/>
    <w:rsid w:val="05A459AA"/>
    <w:rsid w:val="06CB215E"/>
    <w:rsid w:val="08DF3FF5"/>
    <w:rsid w:val="0B913D82"/>
    <w:rsid w:val="0CC37739"/>
    <w:rsid w:val="0D690C60"/>
    <w:rsid w:val="0DDA3F11"/>
    <w:rsid w:val="0F493909"/>
    <w:rsid w:val="0F7D5706"/>
    <w:rsid w:val="11862F02"/>
    <w:rsid w:val="12974A07"/>
    <w:rsid w:val="15346016"/>
    <w:rsid w:val="183F1CB6"/>
    <w:rsid w:val="1CE01D65"/>
    <w:rsid w:val="1F522AD2"/>
    <w:rsid w:val="23B24F0F"/>
    <w:rsid w:val="29226AAF"/>
    <w:rsid w:val="2B2E574D"/>
    <w:rsid w:val="2C3351F5"/>
    <w:rsid w:val="32947052"/>
    <w:rsid w:val="32DB3FF9"/>
    <w:rsid w:val="358D3D86"/>
    <w:rsid w:val="3E5C171F"/>
    <w:rsid w:val="3F8D6A1F"/>
    <w:rsid w:val="40E2215A"/>
    <w:rsid w:val="489D24C2"/>
    <w:rsid w:val="5005272D"/>
    <w:rsid w:val="50F27C63"/>
    <w:rsid w:val="5AD47EDF"/>
    <w:rsid w:val="5EC7798D"/>
    <w:rsid w:val="5ECB684E"/>
    <w:rsid w:val="5ECD1493"/>
    <w:rsid w:val="5F8C4DBB"/>
    <w:rsid w:val="61C144C4"/>
    <w:rsid w:val="63DE3F0E"/>
    <w:rsid w:val="65543FE8"/>
    <w:rsid w:val="65815702"/>
    <w:rsid w:val="660B183A"/>
    <w:rsid w:val="6B68795A"/>
    <w:rsid w:val="6CA9078E"/>
    <w:rsid w:val="725A163D"/>
    <w:rsid w:val="756E48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qFormat="1"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List 4"/>
    <w:basedOn w:val="1"/>
    <w:qFormat/>
    <w:uiPriority w:val="0"/>
    <w:pPr>
      <w:ind w:left="100" w:leftChars="600" w:hanging="200" w:hangingChars="200"/>
    </w:pPr>
  </w:style>
  <w:style w:type="paragraph" w:styleId="3">
    <w:name w:val="Plain Text"/>
    <w:basedOn w:val="1"/>
    <w:unhideWhenUsed/>
    <w:qFormat/>
    <w:uiPriority w:val="99"/>
    <w:rPr>
      <w:rFonts w:ascii="宋体" w:hAnsi="Courier New" w:cs="Courier New"/>
      <w:szCs w:val="21"/>
    </w:rPr>
  </w:style>
  <w:style w:type="paragraph" w:customStyle="1" w:styleId="6">
    <w:name w:val="Normal Indent1"/>
    <w:basedOn w:val="1"/>
    <w:next w:val="1"/>
    <w:qFormat/>
    <w:uiPriority w:val="0"/>
    <w:pPr>
      <w:widowControl w:val="0"/>
      <w:spacing w:line="660" w:lineRule="exact"/>
      <w:ind w:firstLine="720" w:firstLineChars="200"/>
      <w:jc w:val="both"/>
    </w:pPr>
    <w:rPr>
      <w:rFonts w:ascii="Calibri" w:hAnsi="Calibri" w:eastAsia="楷体_GB2312" w:cs="Times New Roman"/>
      <w:kern w:val="2"/>
      <w:sz w:val="36"/>
      <w:szCs w:val="36"/>
      <w:lang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Office_11.8.2.10158_F1E327BC-269C-435d-A152-05C5408002CA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2025-05-16T06:46:00Z</dcterms:created>
  <dc:creator>Administrator</dc:creator>
  <cp:lastModifiedBy>刘波</cp:lastModifiedBy>
  <dcterms:modified xsi:type="dcterms:W3CDTF">2025-06-16T02:19:12Z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2052-11.8.2.10158</vt:lpwstr>
  </property>
</Properties>
</file>